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8C6452" w14:textId="5A0BB5FF" w:rsidR="00986FF8" w:rsidRPr="00D863C2" w:rsidRDefault="005D2576" w:rsidP="00986FF8">
      <w:pPr>
        <w:pStyle w:val="Heading2"/>
        <w:rPr>
          <w:b/>
          <w:bCs w:val="0"/>
        </w:rPr>
      </w:pPr>
      <w:bookmarkStart w:id="0" w:name="_Toc134339566"/>
      <w:r w:rsidRPr="00D863C2">
        <w:rPr>
          <w:b/>
          <w:bCs w:val="0"/>
        </w:rPr>
        <w:t xml:space="preserve">Twentieth-century </w:t>
      </w:r>
      <w:r w:rsidR="00986FF8" w:rsidRPr="00D863C2">
        <w:rPr>
          <w:b/>
          <w:bCs w:val="0"/>
        </w:rPr>
        <w:t>Brittany’s ‘Postcolonial’ literature</w:t>
      </w:r>
      <w:bookmarkEnd w:id="0"/>
      <w:r w:rsidR="00986FF8" w:rsidRPr="00D863C2">
        <w:rPr>
          <w:b/>
          <w:bCs w:val="0"/>
        </w:rPr>
        <w:t xml:space="preserve"> </w:t>
      </w:r>
    </w:p>
    <w:p w14:paraId="0E51E004" w14:textId="7C77E3BA" w:rsidR="00D863C2" w:rsidRPr="00D863C2" w:rsidRDefault="00D863C2" w:rsidP="00D863C2">
      <w:pPr>
        <w:rPr>
          <w:b/>
          <w:bCs/>
          <w:sz w:val="28"/>
          <w:szCs w:val="28"/>
        </w:rPr>
      </w:pPr>
      <w:r w:rsidRPr="00D863C2">
        <w:rPr>
          <w:b/>
          <w:bCs/>
          <w:sz w:val="28"/>
          <w:szCs w:val="28"/>
        </w:rPr>
        <w:t>Nostalgia</w:t>
      </w:r>
    </w:p>
    <w:p w14:paraId="1E68611D" w14:textId="77777777" w:rsidR="00D863C2" w:rsidRPr="00D863C2" w:rsidRDefault="00D863C2" w:rsidP="00D863C2"/>
    <w:p w14:paraId="37F15D41" w14:textId="4482A8A5" w:rsidR="00986FF8" w:rsidRPr="0082625F" w:rsidRDefault="00986FF8" w:rsidP="00986FF8">
      <w:pPr>
        <w:rPr>
          <w:lang w:val="fr-FR"/>
        </w:rPr>
      </w:pPr>
      <w:r>
        <w:rPr>
          <w:szCs w:val="20"/>
        </w:rPr>
        <w:t>At this time of acute political awareness, t</w:t>
      </w:r>
      <w:r>
        <w:t xml:space="preserve">he nineteenth-century origins of the Breton cultural revival were rejected as colonializing, and the literature of Breton-born writers such as Brizeux, who had chosen to write in French, and ‘to Paris’, was reviled, though La Villemarqué’s collection of poems, the </w:t>
      </w:r>
      <w:r>
        <w:rPr>
          <w:i/>
          <w:iCs/>
        </w:rPr>
        <w:t>Barzaz Breiz</w:t>
      </w:r>
      <w:r>
        <w:t xml:space="preserve">, was a notable exception, and is even argued to have caused the political movement. Lebesque, for instance, in the context of a potted history of the literature of Brittany, cites passages on oppression from the </w:t>
      </w:r>
      <w:r>
        <w:rPr>
          <w:i/>
          <w:iCs/>
        </w:rPr>
        <w:t>Barzaz Breiz</w:t>
      </w:r>
      <w:r>
        <w:t xml:space="preserve">, along with the comment: ‘Où sommes-nous donc? </w:t>
      </w:r>
      <w:r w:rsidRPr="0082625F">
        <w:rPr>
          <w:lang w:val="fr-FR"/>
        </w:rPr>
        <w:t>En Bretagne, en Algérie, au Kurdistan ou au Vietnam?’</w:t>
      </w:r>
      <w:r w:rsidR="00407BD7">
        <w:rPr>
          <w:lang w:val="fr-FR"/>
        </w:rPr>
        <w:t xml:space="preserve"> </w:t>
      </w:r>
      <w:r w:rsidR="00407BD7" w:rsidRPr="00407BD7">
        <w:t>[So where are we? In</w:t>
      </w:r>
      <w:r w:rsidR="00407BD7">
        <w:t xml:space="preserve"> Brittany, Algeria, or Kurdistan or Vietnam?]</w:t>
      </w:r>
      <w:r w:rsidRPr="00407BD7">
        <w:t>.</w:t>
      </w:r>
      <w:r>
        <w:rPr>
          <w:rStyle w:val="FootnoteReference"/>
        </w:rPr>
        <w:footnoteReference w:id="1"/>
      </w:r>
      <w:r w:rsidRPr="00407BD7">
        <w:t xml:space="preserve"> </w:t>
      </w:r>
      <w:r>
        <w:t xml:space="preserve">While it is certain that poets and self-styled revolutionaries dipped into the nineteenth century for inspiration in this way, there is no real continuity between a movement that was the product of </w:t>
      </w:r>
      <w:r>
        <w:rPr>
          <w:i/>
          <w:iCs/>
        </w:rPr>
        <w:t>literary</w:t>
      </w:r>
      <w:r>
        <w:t xml:space="preserve"> Romanticism, and the later activity that resulted from a political </w:t>
      </w:r>
      <w:r>
        <w:rPr>
          <w:i/>
          <w:iCs/>
        </w:rPr>
        <w:t>prise de conscience</w:t>
      </w:r>
      <w:r>
        <w:t xml:space="preserve">. </w:t>
      </w:r>
      <w:r w:rsidRPr="0082625F">
        <w:rPr>
          <w:lang w:val="fr-FR"/>
        </w:rPr>
        <w:t xml:space="preserve">As the Breton historian Guiomar puts it: </w:t>
      </w:r>
    </w:p>
    <w:p w14:paraId="41935AAF" w14:textId="638C9496" w:rsidR="00986FF8" w:rsidRDefault="00986FF8" w:rsidP="00986FF8">
      <w:pPr>
        <w:pStyle w:val="DisplayQuote"/>
        <w:rPr>
          <w:lang w:val="fr-FR"/>
        </w:rPr>
      </w:pPr>
      <w:r w:rsidRPr="0082625F">
        <w:rPr>
          <w:lang w:val="fr-FR"/>
        </w:rPr>
        <w:t>Bref le bretonisme [that is the nineteenth-century version] n’est qu’une construction d’intellectuels à visée culturelle; si ultérieurement des mouvements politiques ont cru y trouver un appui, ce serait désormais une contre-vérité que d’en faire le maillon dix-neuviémiste de la chaine ininterrompue d’un nationalisme breton continu.</w:t>
      </w:r>
      <w:r>
        <w:rPr>
          <w:rStyle w:val="FootnoteReference"/>
          <w:sz w:val="22"/>
        </w:rPr>
        <w:footnoteReference w:id="2"/>
      </w:r>
      <w:r w:rsidRPr="0082625F">
        <w:rPr>
          <w:lang w:val="fr-FR"/>
        </w:rPr>
        <w:t xml:space="preserve"> </w:t>
      </w:r>
    </w:p>
    <w:p w14:paraId="232D25BF" w14:textId="308AA407" w:rsidR="00407BD7" w:rsidRDefault="00002F0A" w:rsidP="0071048B">
      <w:pPr>
        <w:pStyle w:val="BodyText"/>
        <w:ind w:left="454"/>
      </w:pPr>
      <w:r>
        <w:t>[</w:t>
      </w:r>
      <w:r w:rsidR="008E108B" w:rsidRPr="008E108B">
        <w:t xml:space="preserve">In </w:t>
      </w:r>
      <w:r w:rsidR="008E108B">
        <w:t xml:space="preserve">fact Bretonism </w:t>
      </w:r>
      <w:r w:rsidR="0058025B">
        <w:t>was</w:t>
      </w:r>
      <w:r w:rsidR="008E108B">
        <w:t xml:space="preserve"> </w:t>
      </w:r>
      <w:r w:rsidR="0071048B">
        <w:t>just</w:t>
      </w:r>
      <w:r w:rsidR="008E108B">
        <w:t xml:space="preserve"> a construction by intellectuals</w:t>
      </w:r>
      <w:r w:rsidR="0058025B">
        <w:t xml:space="preserve"> with a cultural aim; </w:t>
      </w:r>
      <w:r w:rsidR="00D53503">
        <w:t>maybe</w:t>
      </w:r>
      <w:r w:rsidR="00495A38">
        <w:t xml:space="preserve"> political movements have later </w:t>
      </w:r>
      <w:r w:rsidR="00A83FC1">
        <w:t>found support in it</w:t>
      </w:r>
      <w:r w:rsidR="00D53503">
        <w:t>, but it would not be true to see</w:t>
      </w:r>
      <w:r w:rsidR="0013300D">
        <w:t xml:space="preserve"> it</w:t>
      </w:r>
      <w:r w:rsidR="00D53503">
        <w:t xml:space="preserve"> </w:t>
      </w:r>
      <w:r w:rsidR="0013300D">
        <w:t xml:space="preserve">as </w:t>
      </w:r>
      <w:r w:rsidR="00D53503">
        <w:t xml:space="preserve">the nineteenth-century </w:t>
      </w:r>
      <w:r w:rsidR="0071048B">
        <w:t>link in an uninterrupted chain of Breton nationalism.</w:t>
      </w:r>
      <w:r>
        <w:t>]</w:t>
      </w:r>
      <w:r w:rsidR="0071048B">
        <w:t xml:space="preserve"> </w:t>
      </w:r>
    </w:p>
    <w:p w14:paraId="586752A3" w14:textId="77777777" w:rsidR="008E108B" w:rsidRPr="008E108B" w:rsidRDefault="008E108B" w:rsidP="00407BD7">
      <w:pPr>
        <w:pStyle w:val="BodyText"/>
      </w:pPr>
    </w:p>
    <w:p w14:paraId="4D0ABDC5" w14:textId="77777777" w:rsidR="00986FF8" w:rsidRPr="0082625F" w:rsidRDefault="00986FF8" w:rsidP="00986FF8">
      <w:pPr>
        <w:pStyle w:val="NormalIndent"/>
        <w:rPr>
          <w:lang w:val="fr-FR"/>
        </w:rPr>
      </w:pPr>
      <w:r>
        <w:t xml:space="preserve">The founding of Gwalarn (Breton-language journal) in 1925 by Roparz Hemon marked the first systematic break with the Brittany invented by nineteenth-century enthusiasts. Gwalarn’s explicit aim was to save the language, and its radical method was to produce literature in Breton that broke with the traditional subject matter that readers had come to expect of ‘Breton’ writers in either language. In other words it looked outwards to the wider world by treating universal themes. Such a turnaround only happened in a systematic way in the 1960s in the case of French-language writing in Brittany. As a consequence of this switch, anything Romantic or picturesque is rejected in the work of the poets of decolonization. Their stormy relationship with the poetry of perfect cadences and regular rhythms is evident on every page. </w:t>
      </w:r>
      <w:r w:rsidRPr="0082625F">
        <w:rPr>
          <w:lang w:val="fr-FR"/>
        </w:rPr>
        <w:t>As the Occitan poet Yves Rouquette put it:</w:t>
      </w:r>
    </w:p>
    <w:p w14:paraId="301F125F" w14:textId="77777777" w:rsidR="00986FF8" w:rsidRPr="0082625F" w:rsidRDefault="00986FF8" w:rsidP="00986FF8">
      <w:pPr>
        <w:pStyle w:val="DisplayQuote"/>
        <w:spacing w:after="0"/>
        <w:rPr>
          <w:lang w:val="fr-FR"/>
        </w:rPr>
      </w:pPr>
      <w:r w:rsidRPr="0082625F">
        <w:rPr>
          <w:lang w:val="fr-FR"/>
        </w:rPr>
        <w:t>Fuir tout pittoresque</w:t>
      </w:r>
    </w:p>
    <w:p w14:paraId="33109E41" w14:textId="77777777" w:rsidR="00986FF8" w:rsidRPr="0082625F" w:rsidRDefault="00986FF8" w:rsidP="00986FF8">
      <w:pPr>
        <w:pStyle w:val="DisplayQuote"/>
        <w:spacing w:before="0" w:after="0"/>
        <w:rPr>
          <w:lang w:val="fr-FR"/>
        </w:rPr>
      </w:pPr>
      <w:r w:rsidRPr="0082625F">
        <w:rPr>
          <w:lang w:val="fr-FR"/>
        </w:rPr>
        <w:t>Nous ne sommes pas</w:t>
      </w:r>
    </w:p>
    <w:p w14:paraId="1F93F1FE" w14:textId="77777777" w:rsidR="00986FF8" w:rsidRPr="0082625F" w:rsidRDefault="00986FF8" w:rsidP="00986FF8">
      <w:pPr>
        <w:pStyle w:val="DisplayQuote"/>
        <w:spacing w:before="0" w:after="0"/>
        <w:rPr>
          <w:lang w:val="fr-FR"/>
        </w:rPr>
      </w:pPr>
      <w:r w:rsidRPr="0082625F">
        <w:rPr>
          <w:lang w:val="fr-FR"/>
        </w:rPr>
        <w:t>Des poètes paysans</w:t>
      </w:r>
    </w:p>
    <w:p w14:paraId="09B7509A" w14:textId="77777777" w:rsidR="00986FF8" w:rsidRPr="0082625F" w:rsidRDefault="00986FF8" w:rsidP="00986FF8">
      <w:pPr>
        <w:pStyle w:val="DisplayQuote"/>
        <w:spacing w:before="0" w:after="0"/>
        <w:rPr>
          <w:lang w:val="fr-FR"/>
        </w:rPr>
      </w:pPr>
      <w:r w:rsidRPr="0082625F">
        <w:rPr>
          <w:lang w:val="fr-FR"/>
        </w:rPr>
        <w:t>Nous n’avons pas de sabots à poser à la porte d’aucune ferme</w:t>
      </w:r>
    </w:p>
    <w:p w14:paraId="589BE7AE" w14:textId="77777777" w:rsidR="00986FF8" w:rsidRPr="0082625F" w:rsidRDefault="00986FF8" w:rsidP="00986FF8">
      <w:pPr>
        <w:pStyle w:val="DisplayQuote"/>
        <w:spacing w:before="0"/>
        <w:rPr>
          <w:lang w:val="fr-FR"/>
        </w:rPr>
      </w:pPr>
      <w:r w:rsidRPr="0082625F">
        <w:rPr>
          <w:lang w:val="fr-FR"/>
        </w:rPr>
        <w:t>Et les formules nous les avons oubliées.</w:t>
      </w:r>
      <w:r>
        <w:rPr>
          <w:rStyle w:val="FootnoteReference"/>
        </w:rPr>
        <w:footnoteReference w:id="3"/>
      </w:r>
      <w:r w:rsidRPr="0082625F">
        <w:rPr>
          <w:lang w:val="fr-FR"/>
        </w:rPr>
        <w:t xml:space="preserve"> </w:t>
      </w:r>
    </w:p>
    <w:p w14:paraId="1E3E6BCC" w14:textId="77777777" w:rsidR="00002F0A" w:rsidRPr="00002F0A" w:rsidRDefault="00002F0A" w:rsidP="00002F0A">
      <w:pPr>
        <w:pStyle w:val="BodyText"/>
        <w:spacing w:line="240" w:lineRule="auto"/>
        <w:ind w:left="454"/>
        <w:jc w:val="left"/>
        <w:rPr>
          <w:sz w:val="20"/>
        </w:rPr>
      </w:pPr>
      <w:r w:rsidRPr="00002F0A">
        <w:rPr>
          <w:sz w:val="20"/>
        </w:rPr>
        <w:lastRenderedPageBreak/>
        <w:t>[Flee the picturesque</w:t>
      </w:r>
    </w:p>
    <w:p w14:paraId="5BBA3F8F" w14:textId="77777777" w:rsidR="00002F0A" w:rsidRPr="00002F0A" w:rsidRDefault="00002F0A" w:rsidP="00002F0A">
      <w:pPr>
        <w:pStyle w:val="BodyText"/>
        <w:spacing w:line="240" w:lineRule="auto"/>
        <w:ind w:left="454"/>
        <w:jc w:val="left"/>
        <w:rPr>
          <w:sz w:val="20"/>
        </w:rPr>
      </w:pPr>
      <w:r w:rsidRPr="00002F0A">
        <w:rPr>
          <w:sz w:val="20"/>
        </w:rPr>
        <w:t>We are no</w:t>
      </w:r>
    </w:p>
    <w:p w14:paraId="1325319C" w14:textId="77777777" w:rsidR="00002F0A" w:rsidRPr="00002F0A" w:rsidRDefault="00002F0A" w:rsidP="00002F0A">
      <w:pPr>
        <w:pStyle w:val="BodyText"/>
        <w:spacing w:line="240" w:lineRule="auto"/>
        <w:ind w:left="454"/>
        <w:jc w:val="left"/>
        <w:rPr>
          <w:sz w:val="20"/>
        </w:rPr>
      </w:pPr>
      <w:r w:rsidRPr="00002F0A">
        <w:rPr>
          <w:sz w:val="20"/>
        </w:rPr>
        <w:t>Peasant poets</w:t>
      </w:r>
    </w:p>
    <w:p w14:paraId="14ECED4A" w14:textId="77777777" w:rsidR="00002F0A" w:rsidRPr="00002F0A" w:rsidRDefault="00002F0A" w:rsidP="00002F0A">
      <w:pPr>
        <w:pStyle w:val="BodyText"/>
        <w:spacing w:line="240" w:lineRule="auto"/>
        <w:ind w:left="454"/>
        <w:jc w:val="left"/>
        <w:rPr>
          <w:sz w:val="20"/>
        </w:rPr>
      </w:pPr>
      <w:r w:rsidRPr="00002F0A">
        <w:rPr>
          <w:sz w:val="20"/>
        </w:rPr>
        <w:t>We have no clogs to leave at the threshold any farmhouse</w:t>
      </w:r>
    </w:p>
    <w:p w14:paraId="6057EB86" w14:textId="77777777" w:rsidR="00002F0A" w:rsidRPr="00002F0A" w:rsidRDefault="00002F0A" w:rsidP="00002F0A">
      <w:pPr>
        <w:pStyle w:val="BodyText"/>
        <w:spacing w:line="240" w:lineRule="auto"/>
        <w:ind w:left="454"/>
        <w:jc w:val="left"/>
        <w:rPr>
          <w:sz w:val="20"/>
        </w:rPr>
      </w:pPr>
      <w:r w:rsidRPr="00002F0A">
        <w:rPr>
          <w:sz w:val="20"/>
        </w:rPr>
        <w:t>And the set expressions have been forgotten]</w:t>
      </w:r>
    </w:p>
    <w:p w14:paraId="35F80060" w14:textId="77777777" w:rsidR="0013300D" w:rsidRDefault="0013300D" w:rsidP="00986FF8"/>
    <w:p w14:paraId="7013DFD7" w14:textId="1ECCE849" w:rsidR="00986FF8" w:rsidRDefault="00986FF8" w:rsidP="00986FF8">
      <w:pPr>
        <w:rPr>
          <w:sz w:val="18"/>
        </w:rPr>
      </w:pPr>
      <w:r>
        <w:t xml:space="preserve">The Brittany described by Paol Keineg in the poem ‘Il est défendu de cracher par terre et de parler Breton’ is deliberately unfamiliar to the student of Romantic literature: </w:t>
      </w:r>
    </w:p>
    <w:p w14:paraId="457F2EF2" w14:textId="77777777" w:rsidR="00986FF8" w:rsidRPr="0082625F" w:rsidRDefault="00986FF8" w:rsidP="00986FF8">
      <w:pPr>
        <w:pStyle w:val="DisplayQuote"/>
        <w:spacing w:after="0"/>
        <w:rPr>
          <w:lang w:val="fr-FR"/>
        </w:rPr>
      </w:pPr>
      <w:r w:rsidRPr="0082625F">
        <w:rPr>
          <w:lang w:val="fr-FR"/>
        </w:rPr>
        <w:t>Lèvres et yeux gommés</w:t>
      </w:r>
    </w:p>
    <w:p w14:paraId="3B38CCDC" w14:textId="77777777" w:rsidR="00986FF8" w:rsidRPr="0082625F" w:rsidRDefault="00986FF8" w:rsidP="00986FF8">
      <w:pPr>
        <w:pStyle w:val="DisplayQuote"/>
        <w:spacing w:before="0" w:after="0"/>
        <w:rPr>
          <w:lang w:val="fr-FR"/>
        </w:rPr>
      </w:pPr>
      <w:r w:rsidRPr="0082625F">
        <w:rPr>
          <w:lang w:val="fr-FR"/>
        </w:rPr>
        <w:t>os de la face éclatés</w:t>
      </w:r>
    </w:p>
    <w:p w14:paraId="0D17F0B0" w14:textId="77777777" w:rsidR="00986FF8" w:rsidRPr="0082625F" w:rsidRDefault="00986FF8" w:rsidP="00986FF8">
      <w:pPr>
        <w:pStyle w:val="DisplayQuote"/>
        <w:spacing w:before="0" w:after="0"/>
        <w:rPr>
          <w:lang w:val="fr-FR"/>
        </w:rPr>
      </w:pPr>
      <w:r w:rsidRPr="0082625F">
        <w:rPr>
          <w:lang w:val="fr-FR"/>
        </w:rPr>
        <w:t>gisements de sang froid dans les veines</w:t>
      </w:r>
    </w:p>
    <w:p w14:paraId="6A793E77" w14:textId="77777777" w:rsidR="00986FF8" w:rsidRPr="0082625F" w:rsidRDefault="00986FF8" w:rsidP="00986FF8">
      <w:pPr>
        <w:pStyle w:val="DisplayQuote"/>
        <w:spacing w:before="0" w:after="0"/>
        <w:rPr>
          <w:lang w:val="fr-FR"/>
        </w:rPr>
      </w:pPr>
      <w:r w:rsidRPr="0082625F">
        <w:rPr>
          <w:lang w:val="fr-FR"/>
        </w:rPr>
        <w:t>racines des doigts tranchées</w:t>
      </w:r>
    </w:p>
    <w:p w14:paraId="485E53B7" w14:textId="51C37DFA" w:rsidR="00986FF8" w:rsidRDefault="00986FF8" w:rsidP="00986FF8">
      <w:pPr>
        <w:pStyle w:val="DisplayQuote"/>
        <w:spacing w:before="0"/>
        <w:rPr>
          <w:lang w:val="fr-FR"/>
        </w:rPr>
      </w:pPr>
      <w:r w:rsidRPr="0082625F">
        <w:rPr>
          <w:lang w:val="fr-FR"/>
        </w:rPr>
        <w:t>aubépine fanée de notre haleine.</w:t>
      </w:r>
      <w:r>
        <w:rPr>
          <w:rStyle w:val="FootnoteReference"/>
        </w:rPr>
        <w:footnoteReference w:id="4"/>
      </w:r>
      <w:r w:rsidRPr="0082625F">
        <w:rPr>
          <w:lang w:val="fr-FR"/>
        </w:rPr>
        <w:t xml:space="preserve"> </w:t>
      </w:r>
    </w:p>
    <w:p w14:paraId="21F0E061" w14:textId="77777777" w:rsidR="00284149" w:rsidRDefault="00284149" w:rsidP="00284149">
      <w:pPr>
        <w:ind w:left="454"/>
        <w:rPr>
          <w:rFonts w:ascii="Arial" w:hAnsi="Arial" w:cs="Arial"/>
          <w:sz w:val="20"/>
        </w:rPr>
      </w:pPr>
      <w:r>
        <w:rPr>
          <w:rFonts w:ascii="Arial" w:hAnsi="Arial" w:cs="Arial"/>
          <w:sz w:val="20"/>
        </w:rPr>
        <w:t>[Eyes and lips erased</w:t>
      </w:r>
    </w:p>
    <w:p w14:paraId="30DCA482" w14:textId="77777777" w:rsidR="00284149" w:rsidRDefault="00284149" w:rsidP="00284149">
      <w:pPr>
        <w:ind w:left="454"/>
        <w:rPr>
          <w:rFonts w:ascii="Arial" w:hAnsi="Arial" w:cs="Arial"/>
          <w:sz w:val="20"/>
        </w:rPr>
      </w:pPr>
      <w:r>
        <w:rPr>
          <w:rFonts w:ascii="Arial" w:hAnsi="Arial" w:cs="Arial"/>
          <w:sz w:val="20"/>
        </w:rPr>
        <w:t xml:space="preserve">face of scattered bones </w:t>
      </w:r>
    </w:p>
    <w:p w14:paraId="1B9FDCB4" w14:textId="77777777" w:rsidR="00284149" w:rsidRDefault="00284149" w:rsidP="00284149">
      <w:pPr>
        <w:ind w:left="454"/>
        <w:rPr>
          <w:rFonts w:ascii="Arial" w:hAnsi="Arial" w:cs="Arial"/>
          <w:sz w:val="20"/>
        </w:rPr>
      </w:pPr>
      <w:r>
        <w:rPr>
          <w:rFonts w:ascii="Arial" w:hAnsi="Arial" w:cs="Arial"/>
          <w:sz w:val="20"/>
        </w:rPr>
        <w:t>veins of cold blood</w:t>
      </w:r>
    </w:p>
    <w:p w14:paraId="5EE2B82F" w14:textId="77777777" w:rsidR="00284149" w:rsidRDefault="00284149" w:rsidP="00284149">
      <w:pPr>
        <w:ind w:left="454"/>
        <w:rPr>
          <w:rFonts w:ascii="Arial" w:hAnsi="Arial" w:cs="Arial"/>
          <w:sz w:val="20"/>
        </w:rPr>
      </w:pPr>
      <w:r>
        <w:rPr>
          <w:rFonts w:ascii="Arial" w:hAnsi="Arial" w:cs="Arial"/>
          <w:sz w:val="20"/>
        </w:rPr>
        <w:t>fingers sliced</w:t>
      </w:r>
    </w:p>
    <w:p w14:paraId="3AC0D843" w14:textId="77777777" w:rsidR="00284149" w:rsidRDefault="00284149" w:rsidP="00284149">
      <w:pPr>
        <w:ind w:left="454"/>
        <w:rPr>
          <w:rFonts w:ascii="Arial" w:hAnsi="Arial" w:cs="Arial"/>
          <w:sz w:val="20"/>
        </w:rPr>
      </w:pPr>
      <w:r>
        <w:rPr>
          <w:rFonts w:ascii="Arial" w:hAnsi="Arial" w:cs="Arial"/>
          <w:sz w:val="20"/>
        </w:rPr>
        <w:t>breath of dying hawthorn]</w:t>
      </w:r>
    </w:p>
    <w:p w14:paraId="53C4CD11" w14:textId="77777777" w:rsidR="00002F0A" w:rsidRPr="00002F0A" w:rsidRDefault="00002F0A" w:rsidP="00002F0A">
      <w:pPr>
        <w:pStyle w:val="BodyText"/>
        <w:rPr>
          <w:lang w:val="fr-FR"/>
        </w:rPr>
      </w:pPr>
    </w:p>
    <w:p w14:paraId="65BE7051" w14:textId="77777777" w:rsidR="00986FF8" w:rsidRDefault="00986FF8" w:rsidP="00986FF8">
      <w:r>
        <w:t xml:space="preserve">The image created here is neither Celtic nor seafaring, it is perhaps savage, but not noble. The state of humanity in this poetry is a sorry one, and the only hint of the usually grand and inspiring Breton nature – hawthorn – is in its death throes (‘fanée’). </w:t>
      </w:r>
    </w:p>
    <w:p w14:paraId="55E7AF49" w14:textId="3C5371AA" w:rsidR="00986FF8" w:rsidRDefault="00986FF8" w:rsidP="00986FF8">
      <w:pPr>
        <w:ind w:firstLine="454"/>
      </w:pPr>
      <w:r>
        <w:t>Instead of the fertile, pretty natural imagery we have grown to expect in poetry on Brittany, we are transported to a landscape that is wounded: ‘terre de cicatrices humides’</w:t>
      </w:r>
      <w:r w:rsidR="00284149">
        <w:t xml:space="preserve"> [land of wet wounds]</w:t>
      </w:r>
      <w:r>
        <w:t>, and decaying, a scene containing ‘oiseaux lents et pourris’</w:t>
      </w:r>
      <w:r w:rsidR="00284149">
        <w:t xml:space="preserve"> [slow</w:t>
      </w:r>
      <w:r w:rsidR="00684A34">
        <w:t>, rotting birds]</w:t>
      </w:r>
      <w:r>
        <w:t>, ‘moisissures’</w:t>
      </w:r>
      <w:r w:rsidR="00684A34">
        <w:t xml:space="preserve"> [mould]</w:t>
      </w:r>
      <w:r>
        <w:t>, and ‘pus’.</w:t>
      </w:r>
      <w:r>
        <w:rPr>
          <w:rStyle w:val="FootnoteReference"/>
        </w:rPr>
        <w:footnoteReference w:id="5"/>
      </w:r>
      <w:r>
        <w:t xml:space="preserve"> Whole villages are ‘verrouillés’ (Keineg), and presented as bleak dormitories, which the faceless workers are forced to leave at the crack of dawn to travel to the tyranny of the modern factory (Sten Kidna).</w:t>
      </w:r>
      <w:r>
        <w:rPr>
          <w:rStyle w:val="FootnoteReference"/>
        </w:rPr>
        <w:footnoteReference w:id="6"/>
      </w:r>
      <w:r>
        <w:t xml:space="preserve"> </w:t>
      </w:r>
      <w:r w:rsidRPr="00634939">
        <w:t>The Bretons who people this landscape are faceless: ‘Vous n’avez plus de visage/ vous n’avez plus de lèvres/ vous n’avez plus de bouche’</w:t>
      </w:r>
      <w:r w:rsidR="00684A34" w:rsidRPr="00634939">
        <w:t xml:space="preserve"> </w:t>
      </w:r>
      <w:r w:rsidR="00634939" w:rsidRPr="00634939">
        <w:t xml:space="preserve">[you no longer have a face/ you </w:t>
      </w:r>
      <w:r w:rsidR="00634939">
        <w:t>no longer have lips/ you no longer have a mouth]</w:t>
      </w:r>
      <w:r w:rsidRPr="00634939">
        <w:t>.</w:t>
      </w:r>
      <w:r>
        <w:rPr>
          <w:rStyle w:val="FootnoteReference"/>
        </w:rPr>
        <w:footnoteReference w:id="7"/>
      </w:r>
      <w:r w:rsidRPr="00634939">
        <w:t xml:space="preserve"> </w:t>
      </w:r>
      <w:r>
        <w:t>Their fate is compared to that of the negro by Per Denez,</w:t>
      </w:r>
      <w:r>
        <w:rPr>
          <w:rStyle w:val="FootnoteReference"/>
        </w:rPr>
        <w:footnoteReference w:id="8"/>
      </w:r>
      <w:r>
        <w:t xml:space="preserve"> and also by Yves Rouquette in his preface to Keineg’s work: ‘Nous voici nègres’</w:t>
      </w:r>
      <w:r w:rsidR="000A2106">
        <w:t xml:space="preserve"> [here we are, Negroes]</w:t>
      </w:r>
      <w:r>
        <w:t>,</w:t>
      </w:r>
      <w:r>
        <w:rPr>
          <w:rStyle w:val="FootnoteReference"/>
        </w:rPr>
        <w:footnoteReference w:id="9"/>
      </w:r>
      <w:r>
        <w:t xml:space="preserve"> and elsewhere to other victims of France’s domination such as the ‘Arab, va breur karet’</w:t>
      </w:r>
      <w:r w:rsidR="000A2106">
        <w:t xml:space="preserve"> [Arab, my dear brother]</w:t>
      </w:r>
      <w:r>
        <w:t xml:space="preserve"> and ‘L’Enfant algérien’</w:t>
      </w:r>
      <w:r w:rsidR="000A2106">
        <w:t xml:space="preserve"> [Algerian child]</w:t>
      </w:r>
      <w:r>
        <w:t>.</w:t>
      </w:r>
      <w:r>
        <w:rPr>
          <w:rStyle w:val="FootnoteReference"/>
        </w:rPr>
        <w:footnoteReference w:id="10"/>
      </w:r>
      <w:r>
        <w:t xml:space="preserve">. </w:t>
      </w:r>
    </w:p>
    <w:p w14:paraId="343C77E2" w14:textId="77777777" w:rsidR="00986FF8" w:rsidRPr="0082625F" w:rsidRDefault="00986FF8" w:rsidP="00986FF8">
      <w:pPr>
        <w:pStyle w:val="NormalIndent"/>
        <w:rPr>
          <w:lang w:val="fr-FR"/>
        </w:rPr>
      </w:pPr>
      <w:r>
        <w:t xml:space="preserve">The charming rural idyll had been one of the biggest clichés of Brittany. As the discussion of Brizeux showed, the inclusion of images of a simple, traditional way of life, and quaint exoticism of costume was virtually a condition of entry into mainstream literature. The 1970s poets were acutely aware that the only literary Brittany tolerated by Paris was the one that followed a recognized formula, with any cultural difference confined to the level of the picturesque. </w:t>
      </w:r>
      <w:r w:rsidRPr="0082625F">
        <w:rPr>
          <w:lang w:val="fr-FR"/>
        </w:rPr>
        <w:t xml:space="preserve">As Yann-Ber Piriou puts it: </w:t>
      </w:r>
    </w:p>
    <w:p w14:paraId="0ECFF651" w14:textId="381D8DFB" w:rsidR="00986FF8" w:rsidRDefault="00986FF8" w:rsidP="00986FF8">
      <w:pPr>
        <w:pStyle w:val="DisplayQuote"/>
        <w:rPr>
          <w:lang w:val="fr-FR"/>
        </w:rPr>
      </w:pPr>
      <w:r w:rsidRPr="0082625F">
        <w:rPr>
          <w:lang w:val="fr-FR"/>
        </w:rPr>
        <w:t xml:space="preserve">Bref, les Bretons ne sauraient prétendre à l’existence littéraire qu’à condition de respecter certains impératives folkloriques, aux ingrédients et dosages bien déterminés. On prend un calvaire, deux clochers à jour, trois coiffes, quelques notes de biniou; on agrémente d’un bouquet d’ajonc d’or, d’une touffe de bruyère, d’un brin de genêt; on brasse du vent, de la pluie et de la brume; on marie le cidre doux aux crêpes dentelle. Les korrigans de la lande interviennent alors qui assurent la transfiguration mystique du décor en y associant une duchesse, deux chouans, un pêcheur d’Islande, </w:t>
      </w:r>
      <w:r w:rsidRPr="0082625F">
        <w:rPr>
          <w:lang w:val="fr-FR"/>
        </w:rPr>
        <w:lastRenderedPageBreak/>
        <w:t>quelques cols bleus, un couple de b</w:t>
      </w:r>
      <w:r w:rsidR="00A5440A">
        <w:rPr>
          <w:lang w:val="fr-FR"/>
        </w:rPr>
        <w:t>o</w:t>
      </w:r>
      <w:r w:rsidRPr="0082625F">
        <w:rPr>
          <w:lang w:val="fr-FR"/>
        </w:rPr>
        <w:t>niches, un trio de bonnes sœurs, un recteur de paroisse, une demi-douzaine d’anciens combatants et un quarteron de ministres inconditionnellement dévoués à la cause de la France éternelle.</w:t>
      </w:r>
      <w:r>
        <w:rPr>
          <w:rStyle w:val="FootnoteReference"/>
        </w:rPr>
        <w:footnoteReference w:id="11"/>
      </w:r>
      <w:r w:rsidRPr="0082625F">
        <w:rPr>
          <w:lang w:val="fr-FR"/>
        </w:rPr>
        <w:t xml:space="preserve"> </w:t>
      </w:r>
    </w:p>
    <w:p w14:paraId="1FF32EF3" w14:textId="767F4923" w:rsidR="00894DBD" w:rsidRPr="007D1A03" w:rsidRDefault="006A4A31" w:rsidP="000C5CAA">
      <w:pPr>
        <w:pStyle w:val="BodyText"/>
        <w:ind w:left="454"/>
      </w:pPr>
      <w:r w:rsidRPr="00360256">
        <w:t>[</w:t>
      </w:r>
      <w:r w:rsidR="00360256" w:rsidRPr="00360256">
        <w:t>I</w:t>
      </w:r>
      <w:r w:rsidR="00360256">
        <w:t xml:space="preserve">n short the Bretons </w:t>
      </w:r>
      <w:r w:rsidR="0041328A">
        <w:t xml:space="preserve">are only exist in literary terms on condition that they </w:t>
      </w:r>
      <w:r w:rsidR="003C322F">
        <w:t xml:space="preserve">adhere to </w:t>
      </w:r>
      <w:r w:rsidR="0041328A">
        <w:t>certains rules of folklore, and keep to the pres</w:t>
      </w:r>
      <w:r w:rsidR="003C322F">
        <w:t>cribed ingredients</w:t>
      </w:r>
      <w:r w:rsidR="00894DBD">
        <w:t xml:space="preserve">. You take a </w:t>
      </w:r>
      <w:r w:rsidR="00B12C4E">
        <w:t xml:space="preserve">village </w:t>
      </w:r>
      <w:r w:rsidR="009A2062">
        <w:t>stone cr</w:t>
      </w:r>
      <w:r w:rsidR="00B12C4E">
        <w:t>u</w:t>
      </w:r>
      <w:r w:rsidR="009A2062">
        <w:t>cifix</w:t>
      </w:r>
      <w:r w:rsidR="00B12C4E">
        <w:t xml:space="preserve"> sculpture, two church </w:t>
      </w:r>
      <w:r w:rsidR="00CE6DD2">
        <w:t>towers</w:t>
      </w:r>
      <w:r w:rsidR="00630364">
        <w:t>, three ladies lace headdresses</w:t>
      </w:r>
      <w:r w:rsidR="007D1A03">
        <w:t xml:space="preserve">, some notes played on a </w:t>
      </w:r>
      <w:r w:rsidR="007D1A03">
        <w:rPr>
          <w:i/>
          <w:iCs/>
        </w:rPr>
        <w:t>biniou</w:t>
      </w:r>
      <w:r w:rsidR="007D1A03">
        <w:t>; you add a bunch or golden gorse</w:t>
      </w:r>
      <w:r w:rsidR="007D72E6">
        <w:t xml:space="preserve">, a handfull of heather, a sprig of broom; </w:t>
      </w:r>
      <w:r w:rsidR="00EA16BA">
        <w:t xml:space="preserve">you mix it well with some wind, rain and mist; you </w:t>
      </w:r>
      <w:r w:rsidR="00A1108D">
        <w:t>combine the sweet cider with lace-thin crêpes. The</w:t>
      </w:r>
      <w:r w:rsidR="00D46D9F">
        <w:t>n come the</w:t>
      </w:r>
      <w:r w:rsidR="00A1108D">
        <w:t xml:space="preserve"> </w:t>
      </w:r>
      <w:r w:rsidR="00D46D9F">
        <w:t xml:space="preserve">elves from the moorland, who take care of the mystical transfiguration of the </w:t>
      </w:r>
      <w:r w:rsidR="001B0E50">
        <w:t xml:space="preserve">scenery by adding a Duchess, two counter-Revolutionaries, </w:t>
      </w:r>
      <w:r w:rsidR="002D3735">
        <w:t>a Fisherman back from Iceland, some blue</w:t>
      </w:r>
      <w:r w:rsidR="00255B60">
        <w:t>-</w:t>
      </w:r>
      <w:r w:rsidR="002D3735">
        <w:t>collars</w:t>
      </w:r>
      <w:r w:rsidR="00255B60">
        <w:t xml:space="preserve"> workers</w:t>
      </w:r>
      <w:r w:rsidR="002D3735">
        <w:t>,</w:t>
      </w:r>
      <w:r w:rsidR="00255B60">
        <w:t xml:space="preserve"> a couple of </w:t>
      </w:r>
      <w:r w:rsidR="00A5440A">
        <w:t>servants, a trio of nuns, a parish</w:t>
      </w:r>
      <w:r w:rsidR="001B0E50">
        <w:t xml:space="preserve"> </w:t>
      </w:r>
      <w:r w:rsidR="00903C6F">
        <w:t xml:space="preserve">priest, half a dozen </w:t>
      </w:r>
      <w:r w:rsidR="00702926">
        <w:t xml:space="preserve">old soldiers and a </w:t>
      </w:r>
      <w:r w:rsidR="00590584">
        <w:t xml:space="preserve">band of </w:t>
      </w:r>
      <w:r w:rsidR="009F0EEE">
        <w:t>ministers devoted to the cause of eternal France]</w:t>
      </w:r>
      <w:r w:rsidR="00D46D9F">
        <w:t xml:space="preserve"> </w:t>
      </w:r>
      <w:r w:rsidR="007D1A03">
        <w:t xml:space="preserve"> </w:t>
      </w:r>
    </w:p>
    <w:p w14:paraId="0F4FFA97" w14:textId="7C3BDF51" w:rsidR="0041328A" w:rsidRDefault="0041328A" w:rsidP="006A4A31">
      <w:pPr>
        <w:pStyle w:val="BodyText"/>
      </w:pPr>
      <w:r>
        <w:t xml:space="preserve"> </w:t>
      </w:r>
    </w:p>
    <w:p w14:paraId="5B293367" w14:textId="49793E47" w:rsidR="00986FF8" w:rsidRDefault="00986FF8" w:rsidP="00986FF8">
      <w:r>
        <w:t>The response to the nature cliché in the work of modern poets is radical. The Bretons here are neither at one with their landscape nor merging into it, as they would have been in the nineteenth century, but are alternately imprisoned by it or banished from it (Anjela Duval).</w:t>
      </w:r>
      <w:r>
        <w:rPr>
          <w:rStyle w:val="FootnoteReference"/>
        </w:rPr>
        <w:footnoteReference w:id="12"/>
      </w:r>
      <w:r>
        <w:t xml:space="preserve"> Whole villages have been abandoned altogether (Hélias),</w:t>
      </w:r>
      <w:r>
        <w:rPr>
          <w:rStyle w:val="FootnoteReference"/>
        </w:rPr>
        <w:footnoteReference w:id="13"/>
      </w:r>
      <w:r>
        <w:t xml:space="preserve"> as the inhabitants have left on the ‘petit train colonial’ </w:t>
      </w:r>
      <w:r w:rsidR="009F0EEE">
        <w:t xml:space="preserve">[little colonial train] </w:t>
      </w:r>
      <w:r>
        <w:t>(Keineg).</w:t>
      </w:r>
      <w:r>
        <w:rPr>
          <w:rStyle w:val="FootnoteReference"/>
        </w:rPr>
        <w:footnoteReference w:id="14"/>
      </w:r>
      <w:r>
        <w:t xml:space="preserve"> Whereas Brizeux’s Marie’s life of simple poverty was to be admired, and even envied, here the sad fate of the ‘ouvrière’ is contrasted with that of the factory boss’s wife (Keineg).</w:t>
      </w:r>
      <w:r>
        <w:rPr>
          <w:rStyle w:val="FootnoteReference"/>
        </w:rPr>
        <w:footnoteReference w:id="15"/>
      </w:r>
      <w:r>
        <w:t xml:space="preserve">  </w:t>
      </w:r>
    </w:p>
    <w:p w14:paraId="56A5D62D" w14:textId="77777777" w:rsidR="00986FF8" w:rsidRDefault="00986FF8" w:rsidP="00986FF8">
      <w:pPr>
        <w:pStyle w:val="BodyText"/>
        <w:spacing w:line="240" w:lineRule="auto"/>
        <w:ind w:firstLine="454"/>
        <w:rPr>
          <w:rFonts w:cs="Times New Roman"/>
        </w:rPr>
      </w:pPr>
      <w:r>
        <w:rPr>
          <w:rFonts w:cs="Times New Roman"/>
        </w:rPr>
        <w:t xml:space="preserve">These poets fought against this construction of Brittany because more than an aesthetic issue was at stake. The Parisian preference for a comfortingly familiar, if quaint, version of Brittany, which focused on all the unthreatening differences that we would now dismiss as ‘folklore’, came to be understood not just as patronizing, or even inaccurate, but as indicative of a colonial attitude. As Lafont argues, the promotion of ‘folklore’ is explicitly linked to a colonialist attitude at the centre: </w:t>
      </w:r>
    </w:p>
    <w:p w14:paraId="33165B6F" w14:textId="77777777" w:rsidR="00986FF8" w:rsidRPr="0082625F" w:rsidRDefault="00986FF8" w:rsidP="00986FF8">
      <w:pPr>
        <w:pStyle w:val="DisplayQuote"/>
        <w:rPr>
          <w:lang w:val="fr-FR"/>
        </w:rPr>
      </w:pPr>
      <w:r w:rsidRPr="0082625F">
        <w:rPr>
          <w:lang w:val="fr-FR"/>
        </w:rPr>
        <w:t>Nous savons que les pouvoirs colonisateurs ont favorisé le folklore des peuples soumis. Ce folklore ne peut être utilisé positivement par ces peuples qu’une fois abolie la dépendance économique et reconstituée la véritable dignité culturelle. Pour l’instant il est à ranger parmi les phénomènes de déculturation que la colonisation entraîne avec elle.</w:t>
      </w:r>
      <w:r>
        <w:rPr>
          <w:rStyle w:val="FootnoteReference"/>
        </w:rPr>
        <w:footnoteReference w:id="16"/>
      </w:r>
    </w:p>
    <w:p w14:paraId="626D03F5" w14:textId="77777777" w:rsidR="009F0EEE" w:rsidRDefault="009F0EEE" w:rsidP="00986FF8">
      <w:pPr>
        <w:pStyle w:val="BodyText"/>
        <w:spacing w:line="240" w:lineRule="auto"/>
        <w:rPr>
          <w:rFonts w:cs="Times New Roman"/>
        </w:rPr>
      </w:pPr>
    </w:p>
    <w:p w14:paraId="6661738E" w14:textId="1A5889EB" w:rsidR="00D02BA0" w:rsidRDefault="00D02BA0" w:rsidP="00986FF8">
      <w:pPr>
        <w:pStyle w:val="BodyText"/>
        <w:spacing w:line="240" w:lineRule="auto"/>
        <w:rPr>
          <w:rFonts w:cs="Times New Roman"/>
        </w:rPr>
      </w:pPr>
      <w:r>
        <w:rPr>
          <w:rFonts w:cs="Times New Roman"/>
        </w:rPr>
        <w:t xml:space="preserve">[We know that colonizing powers favoured the folklore of </w:t>
      </w:r>
      <w:r w:rsidR="00AD0C8B">
        <w:rPr>
          <w:rFonts w:cs="Times New Roman"/>
        </w:rPr>
        <w:t xml:space="preserve">subdued people. </w:t>
      </w:r>
      <w:r w:rsidR="00C90745">
        <w:rPr>
          <w:rFonts w:cs="Times New Roman"/>
        </w:rPr>
        <w:t>F</w:t>
      </w:r>
      <w:r w:rsidR="00AD0C8B">
        <w:rPr>
          <w:rFonts w:cs="Times New Roman"/>
        </w:rPr>
        <w:t xml:space="preserve">olklore can only be used positively by these people once </w:t>
      </w:r>
      <w:r w:rsidR="00C90745">
        <w:rPr>
          <w:rFonts w:cs="Times New Roman"/>
        </w:rPr>
        <w:t xml:space="preserve">their </w:t>
      </w:r>
      <w:r w:rsidR="00D312D5">
        <w:rPr>
          <w:rFonts w:cs="Times New Roman"/>
        </w:rPr>
        <w:t xml:space="preserve">economic dependance </w:t>
      </w:r>
      <w:r w:rsidR="00F64475">
        <w:rPr>
          <w:rFonts w:cs="Times New Roman"/>
        </w:rPr>
        <w:t>has been</w:t>
      </w:r>
      <w:r w:rsidR="00D312D5">
        <w:rPr>
          <w:rFonts w:cs="Times New Roman"/>
        </w:rPr>
        <w:t xml:space="preserve"> abolished and real cultural dignity restored. </w:t>
      </w:r>
      <w:r w:rsidR="00F64475">
        <w:rPr>
          <w:rFonts w:cs="Times New Roman"/>
        </w:rPr>
        <w:t>Until then</w:t>
      </w:r>
      <w:r w:rsidR="00D312D5">
        <w:rPr>
          <w:rFonts w:cs="Times New Roman"/>
        </w:rPr>
        <w:t xml:space="preserve"> </w:t>
      </w:r>
      <w:r w:rsidR="00B77469">
        <w:rPr>
          <w:rFonts w:cs="Times New Roman"/>
        </w:rPr>
        <w:t xml:space="preserve">it is classed </w:t>
      </w:r>
      <w:r w:rsidR="00F64475">
        <w:rPr>
          <w:rFonts w:cs="Times New Roman"/>
        </w:rPr>
        <w:t>as part of</w:t>
      </w:r>
      <w:r w:rsidR="00B77469">
        <w:rPr>
          <w:rFonts w:cs="Times New Roman"/>
        </w:rPr>
        <w:t xml:space="preserve"> the </w:t>
      </w:r>
      <w:r w:rsidR="00EF72AD">
        <w:rPr>
          <w:rFonts w:cs="Times New Roman"/>
        </w:rPr>
        <w:t>deculturalizing work that colonialism brings with it.</w:t>
      </w:r>
      <w:r w:rsidR="00C90745">
        <w:rPr>
          <w:rFonts w:cs="Times New Roman"/>
        </w:rPr>
        <w:t>]</w:t>
      </w:r>
    </w:p>
    <w:p w14:paraId="4CA0B925" w14:textId="77777777" w:rsidR="00AD0C8B" w:rsidRDefault="00AD0C8B" w:rsidP="00986FF8">
      <w:pPr>
        <w:pStyle w:val="BodyText"/>
        <w:spacing w:line="240" w:lineRule="auto"/>
        <w:rPr>
          <w:rFonts w:cs="Times New Roman"/>
        </w:rPr>
      </w:pPr>
    </w:p>
    <w:p w14:paraId="7BBE780E" w14:textId="4D26D90C" w:rsidR="00986FF8" w:rsidRDefault="00986FF8" w:rsidP="00986FF8">
      <w:pPr>
        <w:pStyle w:val="BodyText"/>
        <w:spacing w:line="240" w:lineRule="auto"/>
        <w:rPr>
          <w:rFonts w:cs="Times New Roman"/>
        </w:rPr>
      </w:pPr>
      <w:r>
        <w:rPr>
          <w:rFonts w:cs="Times New Roman"/>
        </w:rPr>
        <w:t xml:space="preserve">So, rejecting nineteenth-century representations was more than a matter of tinkering with the clichés of the past, it was a real political issue. Politicized Bretons therefore </w:t>
      </w:r>
      <w:r>
        <w:rPr>
          <w:rFonts w:cs="Times New Roman"/>
          <w:i/>
          <w:iCs/>
        </w:rPr>
        <w:t>had</w:t>
      </w:r>
      <w:r>
        <w:rPr>
          <w:rFonts w:cs="Times New Roman"/>
        </w:rPr>
        <w:t xml:space="preserve"> to reject Brizeux, just as Occitans </w:t>
      </w:r>
      <w:r>
        <w:t>had to repudiate Mistral and the Félibriges, for having grounded Provençal identity in an idyllic rural past.</w:t>
      </w:r>
      <w:r>
        <w:rPr>
          <w:rStyle w:val="FootnoteReference"/>
        </w:rPr>
        <w:footnoteReference w:id="17"/>
      </w:r>
      <w:r>
        <w:t xml:space="preserve"> As William Calin’s study of Scots, Breton and Occitan literatures has shown, minority literatures in the twentieth century are united by a need to reject the version of their region that was created by Romanticism.</w:t>
      </w:r>
      <w:r>
        <w:rPr>
          <w:rStyle w:val="FootnoteReference"/>
        </w:rPr>
        <w:footnoteReference w:id="18"/>
      </w:r>
      <w:r>
        <w:t xml:space="preserve"> This also explains </w:t>
      </w:r>
      <w:r>
        <w:rPr>
          <w:rFonts w:cs="Times New Roman"/>
        </w:rPr>
        <w:t xml:space="preserve">the ferocity of the debate that surrounds the work of Pierre-Jakez Hélias, whose autobiography </w:t>
      </w:r>
      <w:r>
        <w:rPr>
          <w:rFonts w:cs="Times New Roman"/>
          <w:i/>
          <w:iCs/>
        </w:rPr>
        <w:t>Le Cheval d’orgueil</w:t>
      </w:r>
      <w:r>
        <w:rPr>
          <w:rFonts w:cs="Times New Roman"/>
        </w:rPr>
        <w:t xml:space="preserve"> (1975) was seen by Breton nationalists as a betrayal </w:t>
      </w:r>
      <w:r>
        <w:rPr>
          <w:rFonts w:cs="Times New Roman"/>
        </w:rPr>
        <w:lastRenderedPageBreak/>
        <w:t>because it glorified folklore at a time when the damage already done by this attitude had become clear. This work also reinforced the cliché of the Bretons as incurable nostalgics.</w:t>
      </w:r>
    </w:p>
    <w:p w14:paraId="55109CE8" w14:textId="22AB734A" w:rsidR="00986FF8" w:rsidRDefault="00986FF8" w:rsidP="00986FF8">
      <w:pPr>
        <w:pStyle w:val="NormalIndent"/>
      </w:pPr>
      <w:r>
        <w:t xml:space="preserve">Nostalgia is another of the biggest clichés about Brittany, and one of the most reviled because of its political significance. It is also one of the most inescapable ones, because as we saw, the French-language literature of Brittany began in an atmosphere of nostalgia because it was born with Romanticism, and it is difficult to disengage the two. Indeed it could be argued that Brittany would not even have become a popular subject matter for literature if the mood of the day had not already been one of nostalgia for some lost, pure, innocent, age. Brittany did more than just display the fashionable characteristics, as Breton peasants were perceived to be not just nostalgic, but </w:t>
      </w:r>
      <w:r>
        <w:rPr>
          <w:i/>
        </w:rPr>
        <w:t>more</w:t>
      </w:r>
      <w:r>
        <w:t xml:space="preserve"> nostalgic than </w:t>
      </w:r>
      <w:r>
        <w:rPr>
          <w:i/>
        </w:rPr>
        <w:t>any</w:t>
      </w:r>
      <w:r>
        <w:t xml:space="preserve"> other people. Typically, La Villemarqué tells of a Breton conscript who dies near Bordeaux of ‘mal du pays’</w:t>
      </w:r>
      <w:r w:rsidR="00A419BF">
        <w:t xml:space="preserve"> [home sickness]</w:t>
      </w:r>
      <w:r>
        <w:t xml:space="preserve"> in a poem of the same name, and his editorial note to this poem sums up the cliché conveniently: ‘Loin de leur patrie […] les Bretons n’existent qu’à moitié. </w:t>
      </w:r>
      <w:r w:rsidRPr="0082625F">
        <w:rPr>
          <w:lang w:val="fr-FR"/>
        </w:rPr>
        <w:t>Souvent ils meurent du regret de ne plus la voir’</w:t>
      </w:r>
      <w:r w:rsidR="00A419BF">
        <w:rPr>
          <w:lang w:val="fr-FR"/>
        </w:rPr>
        <w:t xml:space="preserve"> [Far from their homeland……these Bretons only half exists. </w:t>
      </w:r>
      <w:r w:rsidR="00A419BF" w:rsidRPr="00A419BF">
        <w:t>Of</w:t>
      </w:r>
      <w:r w:rsidR="00A419BF">
        <w:t xml:space="preserve">ten they die </w:t>
      </w:r>
      <w:r w:rsidR="002B1971">
        <w:t>form the regret of never seeing it again]</w:t>
      </w:r>
      <w:r w:rsidRPr="00A419BF">
        <w:t>.</w:t>
      </w:r>
      <w:r>
        <w:rPr>
          <w:rStyle w:val="FootnoteReference"/>
        </w:rPr>
        <w:footnoteReference w:id="19"/>
      </w:r>
      <w:r w:rsidRPr="00A419BF">
        <w:t xml:space="preserve"> </w:t>
      </w:r>
      <w:r>
        <w:t xml:space="preserve">This image of the Bretons is confirmed in Corbière-père’s seafaring novel </w:t>
      </w:r>
      <w:r>
        <w:rPr>
          <w:i/>
        </w:rPr>
        <w:t>Le Négrier</w:t>
      </w:r>
      <w:r>
        <w:t xml:space="preserve">: </w:t>
      </w:r>
    </w:p>
    <w:p w14:paraId="796058CE" w14:textId="2672988E" w:rsidR="00986FF8" w:rsidRDefault="00986FF8" w:rsidP="00986FF8">
      <w:pPr>
        <w:pStyle w:val="DisplayQuote"/>
        <w:rPr>
          <w:lang w:val="fr-FR"/>
        </w:rPr>
      </w:pPr>
      <w:r w:rsidRPr="0082625F">
        <w:rPr>
          <w:lang w:val="fr-FR"/>
        </w:rPr>
        <w:t>Il y avait quelquefois des jours de fête pour les prisonniers. Chaque province célébrait, à une époque marquée de l’année, un anniversaire cher au pays où l’on était né. Les Bretons se distinguaient surout par l’espèce de culte qu’ils avaient voué à la patrie absente.</w:t>
      </w:r>
      <w:r>
        <w:rPr>
          <w:rStyle w:val="FootnoteReference"/>
        </w:rPr>
        <w:footnoteReference w:id="20"/>
      </w:r>
    </w:p>
    <w:p w14:paraId="15533BAE" w14:textId="20BF3779" w:rsidR="002B1971" w:rsidRPr="002B1971" w:rsidRDefault="007C3DA5" w:rsidP="007C3DA5">
      <w:pPr>
        <w:pStyle w:val="BodyText"/>
        <w:ind w:left="454"/>
      </w:pPr>
      <w:r>
        <w:t>[</w:t>
      </w:r>
      <w:r w:rsidR="002B1971" w:rsidRPr="002B1971">
        <w:t xml:space="preserve">There were sometimes holidays for the prisonners. </w:t>
      </w:r>
      <w:r w:rsidR="00E534B0">
        <w:t>The people of e</w:t>
      </w:r>
      <w:r w:rsidR="002B1971">
        <w:t xml:space="preserve">ach province celebrated, at a </w:t>
      </w:r>
      <w:r w:rsidR="00934890">
        <w:t xml:space="preserve">certain time of the year, an anniversary held dear in the land where they were born. </w:t>
      </w:r>
      <w:r w:rsidR="00E534B0">
        <w:t>The Bretons stood out because of the</w:t>
      </w:r>
      <w:r w:rsidR="00216ADB">
        <w:t xml:space="preserve"> </w:t>
      </w:r>
      <w:r w:rsidR="007D131C">
        <w:t xml:space="preserve">way they seemed to absolutely worship </w:t>
      </w:r>
      <w:r>
        <w:t>their absent fatherland.]</w:t>
      </w:r>
    </w:p>
    <w:p w14:paraId="4A3F3E75" w14:textId="77777777" w:rsidR="002B1971" w:rsidRPr="002B1971" w:rsidRDefault="002B1971" w:rsidP="002B1971">
      <w:pPr>
        <w:pStyle w:val="BodyText"/>
      </w:pPr>
    </w:p>
    <w:p w14:paraId="003BBF97" w14:textId="7DE4C13C" w:rsidR="00986FF8" w:rsidRDefault="00986FF8" w:rsidP="00986FF8">
      <w:pPr>
        <w:pStyle w:val="BodyText"/>
        <w:spacing w:line="240" w:lineRule="auto"/>
      </w:pPr>
      <w:r>
        <w:t xml:space="preserve">Examples from Brizeux abound, as he makes nostalgia for his homeland central to his poetic project, as in: ‘Souvenirs du pays, avec quelle douceur,/ Hélas! </w:t>
      </w:r>
      <w:r w:rsidRPr="0082625F">
        <w:rPr>
          <w:lang w:val="fr-FR"/>
        </w:rPr>
        <w:t xml:space="preserve">Vous murmurez dans le fond de mon cœur’ </w:t>
      </w:r>
      <w:r w:rsidR="007D131C">
        <w:rPr>
          <w:lang w:val="fr-FR"/>
        </w:rPr>
        <w:t>[</w:t>
      </w:r>
      <w:r w:rsidR="007E7CBF">
        <w:rPr>
          <w:lang w:val="fr-FR"/>
        </w:rPr>
        <w:t xml:space="preserve">Memories of the land, how sweetly/ Alas ! You whisper deep in my heart] </w:t>
      </w:r>
      <w:r w:rsidRPr="0082625F">
        <w:rPr>
          <w:lang w:val="fr-FR"/>
        </w:rPr>
        <w:t xml:space="preserve">(‘Le Retour’, </w:t>
      </w:r>
      <w:r w:rsidRPr="0082625F">
        <w:rPr>
          <w:i/>
          <w:lang w:val="fr-FR"/>
        </w:rPr>
        <w:t>Marie</w:t>
      </w:r>
      <w:r w:rsidRPr="0082625F">
        <w:rPr>
          <w:iCs/>
          <w:lang w:val="fr-FR"/>
        </w:rPr>
        <w:t xml:space="preserve">, </w:t>
      </w:r>
      <w:r w:rsidRPr="0082625F">
        <w:rPr>
          <w:i/>
          <w:lang w:val="fr-FR"/>
        </w:rPr>
        <w:t>OAB</w:t>
      </w:r>
      <w:r w:rsidRPr="0082625F">
        <w:rPr>
          <w:iCs/>
          <w:lang w:val="fr-FR"/>
        </w:rPr>
        <w:t xml:space="preserve">, </w:t>
      </w:r>
      <w:r w:rsidRPr="0082625F">
        <w:rPr>
          <w:iCs/>
          <w:smallCaps/>
          <w:lang w:val="fr-FR"/>
        </w:rPr>
        <w:t xml:space="preserve">i, </w:t>
      </w:r>
      <w:r w:rsidRPr="0082625F">
        <w:rPr>
          <w:iCs/>
          <w:lang w:val="fr-FR"/>
        </w:rPr>
        <w:t>107</w:t>
      </w:r>
      <w:r w:rsidRPr="0082625F">
        <w:rPr>
          <w:lang w:val="fr-FR"/>
        </w:rPr>
        <w:t>), and: ‘En tous lieux un départ est chose triste à voir;/ Mais dans notre Bretagne, oh! c’est désespoir!’</w:t>
      </w:r>
      <w:r w:rsidR="007E7CBF">
        <w:rPr>
          <w:lang w:val="fr-FR"/>
        </w:rPr>
        <w:t xml:space="preserve"> </w:t>
      </w:r>
      <w:r w:rsidR="007E7CBF" w:rsidRPr="007E7CBF">
        <w:t>[E</w:t>
      </w:r>
      <w:r w:rsidR="007E7CBF">
        <w:t>verywhere a departure is sad to see;/ but in our Brittany, oh! it’s despair]</w:t>
      </w:r>
      <w:r w:rsidRPr="007E7CBF">
        <w:t>.</w:t>
      </w:r>
      <w:r>
        <w:rPr>
          <w:rStyle w:val="FootnoteReference"/>
        </w:rPr>
        <w:footnoteReference w:id="21"/>
      </w:r>
      <w:r w:rsidRPr="007E7CBF">
        <w:t xml:space="preserve"> </w:t>
      </w:r>
      <w:r>
        <w:rPr>
          <w:rFonts w:cs="Times New Roman"/>
        </w:rPr>
        <w:t>By the end of the nineteenth century the Breton exiled in Paris had become a clichéd figure, heavily exploited in literature from the popular songs of Botrel to the short stories of Gustave Geoffroy, such as his ‘La Gare’ (that is Montparnasse), which tells of the fate of a Breton woman, Jeannik, who goes to serve in Paris.</w:t>
      </w:r>
      <w:r>
        <w:rPr>
          <w:rStyle w:val="FootnoteReference"/>
          <w:rFonts w:cs="Times New Roman"/>
        </w:rPr>
        <w:footnoteReference w:id="22"/>
      </w:r>
      <w:r>
        <w:rPr>
          <w:rFonts w:cs="Times New Roman"/>
        </w:rPr>
        <w:t xml:space="preserve"> Hélias’s case shows the problem of nostalgic folklore erupting in the heady atmosphere of the 1970s. To his critics he was no better than a traitor, and this is still an issue today, as we see in </w:t>
      </w:r>
      <w:r>
        <w:t xml:space="preserve">the columns of the journal </w:t>
      </w:r>
      <w:r>
        <w:rPr>
          <w:i/>
          <w:iCs/>
        </w:rPr>
        <w:t>Hopala!</w:t>
      </w:r>
      <w:r>
        <w:t xml:space="preserve"> in a caustic review of the surprise publishing hit by Déguignet – </w:t>
      </w:r>
      <w:r>
        <w:rPr>
          <w:i/>
          <w:iCs/>
        </w:rPr>
        <w:t>Mémoires d’un paysan Bas-Breton</w:t>
      </w:r>
      <w:r>
        <w:t xml:space="preserve"> – which is full of anti-nostalgia.</w:t>
      </w:r>
      <w:r>
        <w:rPr>
          <w:rStyle w:val="FootnoteReference"/>
        </w:rPr>
        <w:footnoteReference w:id="23"/>
      </w:r>
    </w:p>
    <w:p w14:paraId="4BD60711" w14:textId="6CDA0325" w:rsidR="00355D50" w:rsidRDefault="00355D50" w:rsidP="00986FF8">
      <w:pPr>
        <w:pStyle w:val="BodyText"/>
        <w:spacing w:line="240" w:lineRule="auto"/>
      </w:pPr>
    </w:p>
    <w:p w14:paraId="02B798D5" w14:textId="75D7830E" w:rsidR="00355D50" w:rsidRPr="00355D50" w:rsidRDefault="00355D50" w:rsidP="00986FF8">
      <w:pPr>
        <w:pStyle w:val="BodyText"/>
        <w:spacing w:line="240" w:lineRule="auto"/>
        <w:rPr>
          <w:b/>
          <w:bCs/>
          <w:sz w:val="28"/>
          <w:szCs w:val="28"/>
        </w:rPr>
      </w:pPr>
      <w:r w:rsidRPr="00355D50">
        <w:rPr>
          <w:b/>
          <w:bCs/>
          <w:sz w:val="28"/>
          <w:szCs w:val="28"/>
        </w:rPr>
        <w:t>Hélias</w:t>
      </w:r>
    </w:p>
    <w:p w14:paraId="67CBA50C" w14:textId="77777777" w:rsidR="00355D50" w:rsidRDefault="00355D50" w:rsidP="00986FF8">
      <w:pPr>
        <w:pStyle w:val="BodyText"/>
        <w:spacing w:line="240" w:lineRule="auto"/>
      </w:pPr>
    </w:p>
    <w:p w14:paraId="0F31B4F0" w14:textId="77777777" w:rsidR="00986FF8" w:rsidRDefault="00986FF8" w:rsidP="00986FF8">
      <w:pPr>
        <w:pStyle w:val="NormalIndent"/>
      </w:pPr>
      <w:r>
        <w:t xml:space="preserve">Hélias is perhaps the most famous ‘regional’ writer in France in recent times, but it is difficult to separate his major French-language work </w:t>
      </w:r>
      <w:r>
        <w:rPr>
          <w:i/>
        </w:rPr>
        <w:t>Le cheval d’orgueil: mémoires d’un Breton du Pays bigouden</w:t>
      </w:r>
      <w:r>
        <w:t xml:space="preserve"> from the fierce debate provoked when it was first published in 1975,</w:t>
      </w:r>
      <w:r>
        <w:rPr>
          <w:rStyle w:val="FootnoteReference"/>
        </w:rPr>
        <w:footnoteReference w:id="24"/>
      </w:r>
      <w:r>
        <w:t xml:space="preserve"> most notably the book-length critique, or reply, by Xavier Grall: </w:t>
      </w:r>
      <w:r>
        <w:rPr>
          <w:i/>
        </w:rPr>
        <w:t>Le Cheval couché</w:t>
      </w:r>
      <w:r>
        <w:rPr>
          <w:iCs/>
        </w:rPr>
        <w:t xml:space="preserve"> (1977)</w:t>
      </w:r>
      <w:r>
        <w:t xml:space="preserve">. Hélias was found guilty by Grall and others of dwelling on the past, and of perpetuating a number of damaging myths about Brittany. Death and nature figure prominently, as we might expect, but poverty is arguably the most important theme in the </w:t>
      </w:r>
      <w:r>
        <w:rPr>
          <w:i/>
          <w:iCs/>
        </w:rPr>
        <w:t>Cheval</w:t>
      </w:r>
      <w:r>
        <w:t xml:space="preserve">, as the fact that Hélias’s grandfather was so poor that he could only afford a ‘horse of </w:t>
      </w:r>
      <w:r>
        <w:lastRenderedPageBreak/>
        <w:t>pride’ rather than a real horse, is a central premise. A certain glorification of poverty is implicit in the book’s nostalgia, as when the narrator regrets the passing of old farming methods, lamenting the replacement of the ‘battage à quatre chevaux’ with the combine harvester (</w:t>
      </w:r>
      <w:r>
        <w:rPr>
          <w:i/>
          <w:iCs/>
        </w:rPr>
        <w:t>Cheval</w:t>
      </w:r>
      <w:r>
        <w:t xml:space="preserve"> 344). This extends into admiration for the suffering of poor people who went without food, and without modern devices such as the washing machine. </w:t>
      </w:r>
    </w:p>
    <w:p w14:paraId="00F70DB2" w14:textId="77777777" w:rsidR="00986FF8" w:rsidRPr="0082625F" w:rsidRDefault="00986FF8" w:rsidP="00986FF8">
      <w:pPr>
        <w:pStyle w:val="NormalIndent"/>
        <w:rPr>
          <w:lang w:val="fr-FR"/>
        </w:rPr>
      </w:pPr>
      <w:r>
        <w:t xml:space="preserve">Stoicism and living in harmony with nature were both consequences of poverty that impressed Hélias and exasperated his critics. For Hélias the closeness to nature provided evidence of a superior wisdom. </w:t>
      </w:r>
      <w:r w:rsidRPr="0082625F">
        <w:rPr>
          <w:lang w:val="fr-FR"/>
        </w:rPr>
        <w:t xml:space="preserve">Of his grandfather he says: </w:t>
      </w:r>
    </w:p>
    <w:p w14:paraId="20D5117B" w14:textId="77777777" w:rsidR="00986FF8" w:rsidRPr="0082625F" w:rsidRDefault="00986FF8" w:rsidP="00986FF8">
      <w:pPr>
        <w:pStyle w:val="DisplayQuote"/>
        <w:rPr>
          <w:lang w:val="fr-FR"/>
        </w:rPr>
      </w:pPr>
      <w:r w:rsidRPr="0082625F">
        <w:rPr>
          <w:lang w:val="fr-FR"/>
        </w:rPr>
        <w:t>Mais jamais aucun philosophe ne m’a impressionné autant que lui. Quand je suis trop tenté d’admirer quelqu’un, je revois le visage d’Alain Le Goff et je m’en tiens à la juste mesure. Ne me parlez pas de héros, je vous prie (</w:t>
      </w:r>
      <w:r w:rsidRPr="0082625F">
        <w:rPr>
          <w:i/>
          <w:iCs/>
          <w:lang w:val="fr-FR"/>
        </w:rPr>
        <w:t>Cheval</w:t>
      </w:r>
      <w:r w:rsidRPr="0082625F">
        <w:rPr>
          <w:lang w:val="fr-FR"/>
        </w:rPr>
        <w:t xml:space="preserve"> 28)</w:t>
      </w:r>
    </w:p>
    <w:p w14:paraId="24F95044" w14:textId="115F4498" w:rsidR="00C35EFD" w:rsidRDefault="00E565B8" w:rsidP="00E565B8">
      <w:pPr>
        <w:ind w:left="454"/>
      </w:pPr>
      <w:r>
        <w:t>[</w:t>
      </w:r>
      <w:r w:rsidR="00C35EFD" w:rsidRPr="00C35EFD">
        <w:t>No philosoper h</w:t>
      </w:r>
      <w:r w:rsidR="00C35EFD">
        <w:t xml:space="preserve">as ever impressed me as much as he did. When I am too tempted to admire someone, I remember Alain le Goff’s face </w:t>
      </w:r>
      <w:r>
        <w:t>and regain a sense of perspectite. I urge you, don’t talk to me about heros]</w:t>
      </w:r>
    </w:p>
    <w:p w14:paraId="47E2E47B" w14:textId="77777777" w:rsidR="00C35EFD" w:rsidRPr="00C35EFD" w:rsidRDefault="00C35EFD" w:rsidP="00986FF8"/>
    <w:p w14:paraId="290C60FA" w14:textId="64658056" w:rsidR="00986FF8" w:rsidRPr="00C35EFD" w:rsidRDefault="00986FF8" w:rsidP="00986FF8">
      <w:r w:rsidRPr="00C35EFD">
        <w:t>And later:</w:t>
      </w:r>
    </w:p>
    <w:p w14:paraId="5AF11E4D" w14:textId="77777777" w:rsidR="00986FF8" w:rsidRPr="0082625F" w:rsidRDefault="00986FF8" w:rsidP="00986FF8">
      <w:pPr>
        <w:pStyle w:val="DisplayQuote"/>
        <w:rPr>
          <w:lang w:val="fr-FR"/>
        </w:rPr>
      </w:pPr>
      <w:r w:rsidRPr="0082625F">
        <w:rPr>
          <w:lang w:val="fr-FR"/>
        </w:rPr>
        <w:t>Alain Le Goff déclare que la guérison de tous les maux de corps se trouve autour de nous, à notre portée dans des herbes qui portent précisément en breton le nom du mal qu’elles guérissent ou celui du saint qui en protège (</w:t>
      </w:r>
      <w:r w:rsidRPr="0082625F">
        <w:rPr>
          <w:i/>
          <w:iCs/>
          <w:lang w:val="fr-FR"/>
        </w:rPr>
        <w:t>Cheval</w:t>
      </w:r>
      <w:r w:rsidRPr="0082625F">
        <w:rPr>
          <w:lang w:val="fr-FR"/>
        </w:rPr>
        <w:t xml:space="preserve"> 124)</w:t>
      </w:r>
    </w:p>
    <w:p w14:paraId="3D20898F" w14:textId="4359AF31" w:rsidR="00FC1E13" w:rsidRDefault="001012FF" w:rsidP="001012FF">
      <w:pPr>
        <w:ind w:left="454"/>
      </w:pPr>
      <w:r>
        <w:t>[</w:t>
      </w:r>
      <w:r w:rsidR="00FC1E13" w:rsidRPr="00FC1E13">
        <w:t>Alain le Goff declares that</w:t>
      </w:r>
      <w:r w:rsidR="00FC1E13">
        <w:t xml:space="preserve"> the cure for all physical ailments is to be found all around us, within our reach among the </w:t>
      </w:r>
      <w:r w:rsidR="00D02373">
        <w:t xml:space="preserve">plants that, in Breton, bear the precise name of the ailment that they cure, or of the saint that protects </w:t>
      </w:r>
      <w:r>
        <w:t xml:space="preserve">us from it.] </w:t>
      </w:r>
    </w:p>
    <w:p w14:paraId="6216956F" w14:textId="77777777" w:rsidR="00D02373" w:rsidRPr="00FC1E13" w:rsidRDefault="00D02373" w:rsidP="00986FF8"/>
    <w:p w14:paraId="6F2454C0" w14:textId="5EC25D0E" w:rsidR="00986FF8" w:rsidRDefault="00986FF8" w:rsidP="00986FF8">
      <w:r>
        <w:t xml:space="preserve">However, to his critics, this last comment primitivizes the Breton people, making them the twentieth-century equivalents of Romanticism’s noble savages. Equally damaging, in their view, is the way that his comment primitivizes the Breton language. His attitude towards the language is the issue that most enraged Hélias’s critics, as in his book Breton seems little more than something to be nostalgic about, and the story of its demise is told with resigned sadness rather than anger. Peasant attitudes towards French are shown to range from innocent curiosity (the narrator’s mother, </w:t>
      </w:r>
      <w:r>
        <w:rPr>
          <w:i/>
          <w:iCs/>
        </w:rPr>
        <w:t>Cheval</w:t>
      </w:r>
      <w:r>
        <w:t xml:space="preserve"> 54), to active promotion as a tool crucial for self-advancement. The grandfather tells young Pierre he would be better off learning French than the ancient craft of making wooden clogs: ‘Mais il vaut mieux apprendre à lire, à écrire et à parler en français’ </w:t>
      </w:r>
      <w:r w:rsidR="001012FF">
        <w:t>[</w:t>
      </w:r>
      <w:r w:rsidR="00223EAA">
        <w:t xml:space="preserve">But it would be better to learn to read, write and speak French] </w:t>
      </w:r>
      <w:r>
        <w:t>(</w:t>
      </w:r>
      <w:r>
        <w:rPr>
          <w:i/>
          <w:iCs/>
        </w:rPr>
        <w:t>Cheval</w:t>
      </w:r>
      <w:r>
        <w:t xml:space="preserve"> 100). Regardless of whether Hélias’s portrait was actually honest, it was an immensely frustrating one for nationalists, as for them telling the story of language loss in Brittany in this selective way was tantamount to betrayal. </w:t>
      </w:r>
    </w:p>
    <w:p w14:paraId="5FD42F5A" w14:textId="368FB7A7" w:rsidR="00986FF8" w:rsidRPr="00EE2E1F" w:rsidRDefault="00986FF8" w:rsidP="00986FF8">
      <w:pPr>
        <w:pStyle w:val="NormalIndent"/>
      </w:pPr>
      <w:r>
        <w:t>Indeed, in his other works, where he situates himself more explicitly in the fight for the preservation and revival the Breton language, it becomes clear that Hélias does not agree with the aim of standardizing the language and its orthography. This was a key issue within the Breton movement, but Hélias did not see its relevance, arguing instead that people were attached to Breton precisely because it was so specific to their own private sphere, and their own neighbourhood and context, rather than to public life (</w:t>
      </w:r>
      <w:r>
        <w:rPr>
          <w:i/>
          <w:iCs/>
        </w:rPr>
        <w:t>Cheval</w:t>
      </w:r>
      <w:r>
        <w:t xml:space="preserve"> 529). Nor did he agree with Gwalarnist literary ideals, as he was sceptical of the value or relevance of what he described as the ‘tentation intellectuelle’</w:t>
      </w:r>
      <w:r w:rsidR="00223EAA">
        <w:t xml:space="preserve"> [temptation</w:t>
      </w:r>
      <w:r w:rsidR="009B6FCC">
        <w:t xml:space="preserve"> of the intellect</w:t>
      </w:r>
      <w:r w:rsidR="00223EAA">
        <w:t>]</w:t>
      </w:r>
      <w:r>
        <w:t xml:space="preserve">, that is: ‘créer une littérature sans grand rapport avec le vieux fonds oral […] essayer de créer une langue unifiée’ </w:t>
      </w:r>
      <w:r w:rsidR="00223EAA">
        <w:t xml:space="preserve">[to create </w:t>
      </w:r>
      <w:r w:rsidR="009B6FCC">
        <w:t xml:space="preserve">a literature without much connection to the old oral </w:t>
      </w:r>
      <w:r w:rsidR="00C26029">
        <w:t>heritage]</w:t>
      </w:r>
      <w:r>
        <w:t>(</w:t>
      </w:r>
      <w:r>
        <w:rPr>
          <w:i/>
          <w:iCs/>
        </w:rPr>
        <w:t>Cheval</w:t>
      </w:r>
      <w:r>
        <w:t xml:space="preserve"> 538). As far as his critics are concerned, his real crime is in his attitude towards the future, and his failure to rally the troops. </w:t>
      </w:r>
      <w:r w:rsidRPr="0082625F">
        <w:rPr>
          <w:lang w:val="fr-FR"/>
        </w:rPr>
        <w:t>It is a comment such as this that makes him hated by present-day language campaigners: ‘J’ajoute ceci, qui n’est pas négligeable: notre civilisation bretonne est notre vie privée à l’intérieur de la civilisation générale de la France, qui commande notre vie publique</w:t>
      </w:r>
      <w:r w:rsidR="00C26029">
        <w:rPr>
          <w:lang w:val="fr-FR"/>
        </w:rPr>
        <w:t>’</w:t>
      </w:r>
      <w:r w:rsidRPr="0082625F">
        <w:rPr>
          <w:lang w:val="fr-FR"/>
        </w:rPr>
        <w:t>.</w:t>
      </w:r>
      <w:r w:rsidR="00C26029">
        <w:rPr>
          <w:lang w:val="fr-FR"/>
        </w:rPr>
        <w:t xml:space="preserve"> </w:t>
      </w:r>
      <w:r w:rsidR="00C26029" w:rsidRPr="00C26029">
        <w:t>[I</w:t>
      </w:r>
      <w:r w:rsidR="00C26029">
        <w:t xml:space="preserve"> add this, and it is not negligible</w:t>
      </w:r>
      <w:r w:rsidR="00806123">
        <w:t xml:space="preserve">: our Breton civilization is out private life within the general civilization fo France, which </w:t>
      </w:r>
      <w:r w:rsidR="009A25A9">
        <w:t>determines our public life].</w:t>
      </w:r>
      <w:r>
        <w:rPr>
          <w:rStyle w:val="FootnoteReference"/>
        </w:rPr>
        <w:footnoteReference w:id="25"/>
      </w:r>
      <w:r w:rsidRPr="00C26029">
        <w:t xml:space="preserve"> </w:t>
      </w:r>
      <w:r>
        <w:t xml:space="preserve">His treachery was confirmed by the fact that his book was published not </w:t>
      </w:r>
      <w:r>
        <w:lastRenderedPageBreak/>
        <w:t>as literature, but as part of a series by ‘Plon’, called ‘terre humaine’, which specialized in testaments of civilizations heading for extinction.</w:t>
      </w:r>
      <w:r>
        <w:rPr>
          <w:rStyle w:val="FootnoteReference"/>
        </w:rPr>
        <w:footnoteReference w:id="26"/>
      </w:r>
      <w:r>
        <w:t xml:space="preserve"> </w:t>
      </w:r>
      <w:r w:rsidRPr="00EE2E1F">
        <w:t>As Grall put it, Hélias was an ‘être tombal’ (deathly being), and he continues: ‘J’ai la rage de constater que toutes ces enquêtes savantes, sociologiques et ethnologiques, tendent à inventorier les agonies et à faire de ce pays vivant une sépulture’</w:t>
      </w:r>
      <w:r w:rsidR="009A25A9" w:rsidRPr="00EE2E1F">
        <w:t xml:space="preserve"> [I’m </w:t>
      </w:r>
      <w:r w:rsidR="004B1708" w:rsidRPr="00EE2E1F">
        <w:t xml:space="preserve">burning to tell that all these scholarly, sociological or ethnographical surveys </w:t>
      </w:r>
      <w:r w:rsidR="00EE2E1F" w:rsidRPr="00EE2E1F">
        <w:t>a</w:t>
      </w:r>
      <w:r w:rsidR="00E85073">
        <w:t>mount to the</w:t>
      </w:r>
      <w:r w:rsidR="00EE2E1F" w:rsidRPr="00EE2E1F">
        <w:t xml:space="preserve"> inventory</w:t>
      </w:r>
      <w:r w:rsidR="00E85073">
        <w:t xml:space="preserve"> of</w:t>
      </w:r>
      <w:r w:rsidR="00EE2E1F">
        <w:t xml:space="preserve"> </w:t>
      </w:r>
      <w:r w:rsidR="00E85073">
        <w:t xml:space="preserve">the dying and </w:t>
      </w:r>
      <w:r w:rsidR="00C0624A">
        <w:t>make of the country a living grave]</w:t>
      </w:r>
      <w:r w:rsidRPr="00EE2E1F">
        <w:t>.</w:t>
      </w:r>
      <w:r>
        <w:rPr>
          <w:rStyle w:val="FootnoteReference"/>
        </w:rPr>
        <w:footnoteReference w:id="27"/>
      </w:r>
      <w:r w:rsidRPr="00EE2E1F">
        <w:t xml:space="preserve"> </w:t>
      </w:r>
    </w:p>
    <w:p w14:paraId="33F8DC39" w14:textId="77777777" w:rsidR="000D3CE7" w:rsidRDefault="00986FF8" w:rsidP="00986FF8">
      <w:pPr>
        <w:pStyle w:val="NormalIndent"/>
      </w:pPr>
      <w:r>
        <w:t xml:space="preserve">Presumably none of this would have mattered terribly had the book not been such an astonishing success, selling three million copies and being translated into numerous languages. Thus the book’s popularity suggests that Hélias had successfully written to the expectations of the French-reading public, in a manner not so different from Brizeux. This is confirmed, for Grall, in its inclusion in an episode of Bernard Pivot’s cultural TV show ‘Apostrophes’. Grall argues that the fact that Hélias had been invited along with Le Roy Ladurie, author of </w:t>
      </w:r>
      <w:r>
        <w:rPr>
          <w:i/>
        </w:rPr>
        <w:t>Montaillou, village occitan</w:t>
      </w:r>
      <w:r>
        <w:t xml:space="preserve">, rather than with other Bretons, reveals a centralizing attitude, proving that cultural difference within France is only tolerated if restricted to the level of folklore, or the picturesque: ‘Et c’est à peine s’il y fut question de la Bretagne. </w:t>
      </w:r>
      <w:r w:rsidRPr="0082625F">
        <w:rPr>
          <w:lang w:val="fr-FR"/>
        </w:rPr>
        <w:t xml:space="preserve">On parla, d’ailleurs fort bien, des civilisations rurales de l’Hexagone. </w:t>
      </w:r>
      <w:r>
        <w:t>Pouldreuzic et Montaillou, c’était kif-kif, c’était pareil!</w:t>
      </w:r>
      <w:r w:rsidR="00C0624A">
        <w:t xml:space="preserve"> [And </w:t>
      </w:r>
      <w:r w:rsidR="00173C46">
        <w:t xml:space="preserve">it was hardly about Brittany. It discussed, rather well, the rural cultures of France. Pouldreuzic and Montaillou, were </w:t>
      </w:r>
      <w:r w:rsidR="0077365B">
        <w:t>just the same, no difference]</w:t>
      </w:r>
      <w:r>
        <w:t>.</w:t>
      </w:r>
      <w:r>
        <w:rPr>
          <w:rStyle w:val="FootnoteReference"/>
        </w:rPr>
        <w:footnoteReference w:id="28"/>
      </w:r>
      <w:r>
        <w:t xml:space="preserve"> Like Brizeux, Hélias is a controversial figure, whose French-language work is often reviled, despite, or perhaps precisely because of, the fact that he brought Francophone Breton writing into the French mainstream, however briefly.</w:t>
      </w:r>
    </w:p>
    <w:p w14:paraId="4A790913" w14:textId="77777777" w:rsidR="000D3CE7" w:rsidRDefault="000D3CE7" w:rsidP="00986FF8">
      <w:pPr>
        <w:pStyle w:val="NormalIndent"/>
      </w:pPr>
    </w:p>
    <w:p w14:paraId="11D3D90A" w14:textId="77777777" w:rsidR="000D3CE7" w:rsidRPr="000D3CE7" w:rsidRDefault="000D3CE7" w:rsidP="00986FF8">
      <w:pPr>
        <w:pStyle w:val="NormalIndent"/>
        <w:rPr>
          <w:b/>
          <w:bCs/>
          <w:sz w:val="28"/>
          <w:szCs w:val="28"/>
        </w:rPr>
      </w:pPr>
      <w:r w:rsidRPr="000D3CE7">
        <w:rPr>
          <w:b/>
          <w:bCs/>
          <w:sz w:val="28"/>
          <w:szCs w:val="28"/>
        </w:rPr>
        <w:t>Bécassine</w:t>
      </w:r>
    </w:p>
    <w:p w14:paraId="6A297539" w14:textId="2A3A18BD" w:rsidR="00986FF8" w:rsidRDefault="00986FF8" w:rsidP="00986FF8">
      <w:pPr>
        <w:pStyle w:val="NormalIndent"/>
      </w:pPr>
      <w:r>
        <w:t xml:space="preserve"> </w:t>
      </w:r>
    </w:p>
    <w:p w14:paraId="5382EA44" w14:textId="77777777" w:rsidR="00986FF8" w:rsidRDefault="00986FF8" w:rsidP="00986FF8">
      <w:pPr>
        <w:pStyle w:val="NormalIndent"/>
      </w:pPr>
      <w:r>
        <w:t xml:space="preserve">The equally impassioned debate surrounding the cartoon character Bécassine goes a step beyond the rejection of clichés about Brittany, as Bécassine was the object of a gradual but deliberate act of complete reclaiming. Born in 1905 in the magazine </w:t>
      </w:r>
      <w:r>
        <w:rPr>
          <w:i/>
          <w:iCs/>
        </w:rPr>
        <w:t>La Semaine de Suzette</w:t>
      </w:r>
      <w:r>
        <w:t xml:space="preserve">, her story was then published as separate books from 1913 onwards, and is still popular with French children today. Bécassine is a simple girl from deepest Brittany, who speaks poor French, has no mouth, and is most famous for her inability to understand anything much about what is going on around her. She follows a trajectory typical of young Breton girls, serving first with Monsieur et Madame de Grand-Air in a Breton château, and then going to Paris as a nursemaid. She is more than just typical of Bretonness, she is made to incarnate Brittany in a key episode in </w:t>
      </w:r>
      <w:r>
        <w:rPr>
          <w:i/>
          <w:iCs/>
        </w:rPr>
        <w:t>L’Enfance de Bécassine</w:t>
      </w:r>
      <w:r>
        <w:t>, where the Union of France and Brittany is acted out in a village pageant. Bécassine is chosen to represent Brittany because she is appropriately smaller in size than the girl representing France. This difference in size comes in handy when little Bécassine/Brittany tries to break free and do her own thing: ‘la Bretagne se révolte! La France la maintient vigoureusement’.</w:t>
      </w:r>
      <w:r>
        <w:rPr>
          <w:rStyle w:val="FootnoteReference"/>
        </w:rPr>
        <w:footnoteReference w:id="29"/>
      </w:r>
      <w:r>
        <w:t xml:space="preserve"> The other characters in the books wear typical Breton costumes and clogs, play the ‘biniou’, dance in traditional fashion, and their landscape is strewn with standing stones. </w:t>
      </w:r>
    </w:p>
    <w:p w14:paraId="60621562" w14:textId="77777777" w:rsidR="00986FF8" w:rsidRPr="0082625F" w:rsidRDefault="00986FF8" w:rsidP="00986FF8">
      <w:pPr>
        <w:pStyle w:val="NormalIndent"/>
        <w:rPr>
          <w:lang w:val="fr-FR"/>
        </w:rPr>
      </w:pPr>
      <w:r>
        <w:t xml:space="preserve">The fact that ‘bécassine’ is today an insult meaning ‘silly little girl’ in colloquial French, leaves us in no doubt that this clichéd image of Bretonness is potentially damaging, and a backlash against it was hardly surprising. This began in 1936 with a play called </w:t>
      </w:r>
      <w:r>
        <w:rPr>
          <w:i/>
        </w:rPr>
        <w:t>‘Bécassine’ vue par les Bretons</w:t>
      </w:r>
      <w:r>
        <w:rPr>
          <w:iCs/>
        </w:rPr>
        <w:t>, in which fifteen-year-old Mona, the eldest of three children, has to leave for Paris to help her grandmother.</w:t>
      </w:r>
      <w:r>
        <w:t xml:space="preserve"> She goes into service, and is ridiculed by Nicole, the daughter of the house, and called a ‘bécassine’, but Mona stands up to them, and so the cover illustration shows a ‘Bécassine’ being trampled by a proud, serious young woman in Breton costume. The play was created by the girls of the Chorale Notre-Came de Lambader in Plouvorn, and then edited and translated. </w:t>
      </w:r>
      <w:r w:rsidRPr="0082625F">
        <w:rPr>
          <w:lang w:val="fr-FR"/>
        </w:rPr>
        <w:t>The editors hail it as:</w:t>
      </w:r>
    </w:p>
    <w:p w14:paraId="2DDB32E9" w14:textId="77777777" w:rsidR="00986FF8" w:rsidRPr="0082625F" w:rsidRDefault="00986FF8" w:rsidP="00986FF8">
      <w:pPr>
        <w:pStyle w:val="DisplayQuote"/>
        <w:rPr>
          <w:lang w:val="fr-FR"/>
        </w:rPr>
      </w:pPr>
      <w:r w:rsidRPr="0082625F">
        <w:rPr>
          <w:lang w:val="fr-FR"/>
        </w:rPr>
        <w:lastRenderedPageBreak/>
        <w:t xml:space="preserve">Une réponse magnifique à ceux qui ont tenté de ridiculariser les Bretonnes en les représentant sous les traits d’une marionnette frisant la bêtise, l’ignorance, et affublée d’un accoutrement ridicule, tournant en dérision le costume breton féminin. </w:t>
      </w:r>
      <w:r>
        <w:rPr>
          <w:rStyle w:val="FootnoteReference"/>
        </w:rPr>
        <w:footnoteReference w:id="30"/>
      </w:r>
    </w:p>
    <w:p w14:paraId="1B5C3C5B" w14:textId="0FB7B283" w:rsidR="006F1D74" w:rsidRDefault="00D67082" w:rsidP="00D67082">
      <w:pPr>
        <w:ind w:left="454"/>
      </w:pPr>
      <w:r w:rsidRPr="00D67082">
        <w:t>[</w:t>
      </w:r>
      <w:r w:rsidR="006F1D74">
        <w:t xml:space="preserve">A magnificent response to those who have tried to ridicul Breton women by representing them </w:t>
      </w:r>
      <w:r w:rsidR="00DD575F">
        <w:t xml:space="preserve">as puppets </w:t>
      </w:r>
      <w:r w:rsidR="00C1528D">
        <w:t xml:space="preserve">bordering on the stupid and ignorant, and </w:t>
      </w:r>
      <w:r w:rsidR="00C56E09">
        <w:t xml:space="preserve">decked out in ridiculous </w:t>
      </w:r>
      <w:r>
        <w:t>clothes, deriding the female Breton costume.]</w:t>
      </w:r>
      <w:r w:rsidR="00C1528D">
        <w:t xml:space="preserve"> </w:t>
      </w:r>
    </w:p>
    <w:p w14:paraId="3A595251" w14:textId="77777777" w:rsidR="00D67082" w:rsidRDefault="00D67082" w:rsidP="00D67082">
      <w:pPr>
        <w:ind w:left="454"/>
      </w:pPr>
    </w:p>
    <w:p w14:paraId="4D3CD41C" w14:textId="10580248" w:rsidR="00986FF8" w:rsidRDefault="00986FF8" w:rsidP="00986FF8">
      <w:r>
        <w:t>Not long after the play, the 1939 film of Bécassine by Caron caused such protest that it was not shown on the big screen in Brittany until as late as the Douarnenez film festival of 1989. Plans to show it on television in 1995 for Bécassine’s ninetieth birthday caused further protest, as did the design of a postage stamp to celebrate her centenary in 2005.</w:t>
      </w:r>
      <w:r>
        <w:rPr>
          <w:rStyle w:val="FootnoteReference"/>
        </w:rPr>
        <w:footnoteReference w:id="31"/>
      </w:r>
      <w:r>
        <w:t xml:space="preserve"> Also in 1939, in the Musée Grévin waxworks in Paris, Bécassine was symbolically murdered by three student members of Breiz Atao: Jadé, Mahé and Guérin. Their attack on her, which included stealing her nose, caused them to be taken in by the police, but they were soon released.</w:t>
      </w:r>
    </w:p>
    <w:p w14:paraId="31A20A3E" w14:textId="261EED1F" w:rsidR="00986FF8" w:rsidRPr="0082625F" w:rsidRDefault="00986FF8" w:rsidP="00986FF8">
      <w:pPr>
        <w:pStyle w:val="NormalIndent"/>
        <w:rPr>
          <w:lang w:val="fr-FR"/>
        </w:rPr>
      </w:pPr>
      <w:r>
        <w:t xml:space="preserve">During the political awakening of the 1960s and 1970s Bécassine was seized on because she was such a recognizable symbol of Breton servitude. </w:t>
      </w:r>
      <w:r w:rsidRPr="0082625F">
        <w:rPr>
          <w:lang w:val="fr-FR"/>
        </w:rPr>
        <w:t xml:space="preserve">She appears, for instance, in the first issue of </w:t>
      </w:r>
      <w:r w:rsidRPr="0082625F">
        <w:rPr>
          <w:i/>
          <w:iCs/>
          <w:lang w:val="fr-FR"/>
        </w:rPr>
        <w:t>Bretagne révolutionnaire</w:t>
      </w:r>
      <w:r w:rsidRPr="0082625F">
        <w:rPr>
          <w:lang w:val="fr-FR"/>
        </w:rPr>
        <w:t>, with the comment: ‘Aujourd’hui elle a retrouvé sa bouche […] maintenant elle dit merde à la marquise, en attendant de lui servir des grenades en guise d’artichauts’.</w:t>
      </w:r>
      <w:r w:rsidR="00D67082">
        <w:rPr>
          <w:lang w:val="fr-FR"/>
        </w:rPr>
        <w:t xml:space="preserve"> </w:t>
      </w:r>
      <w:r w:rsidR="00D67082" w:rsidRPr="00D67082">
        <w:t>[T</w:t>
      </w:r>
      <w:r w:rsidR="00D67082">
        <w:t xml:space="preserve">oday she has </w:t>
      </w:r>
      <w:r w:rsidR="00896F61">
        <w:t>found her mouth once more…… now she swear</w:t>
      </w:r>
      <w:r w:rsidR="00D46FFF">
        <w:t>s</w:t>
      </w:r>
      <w:r w:rsidR="00896F61">
        <w:t xml:space="preserve"> at the </w:t>
      </w:r>
      <w:r w:rsidR="00D46FFF">
        <w:rPr>
          <w:i/>
          <w:iCs/>
        </w:rPr>
        <w:t>marquise</w:t>
      </w:r>
      <w:r w:rsidR="00F16DA8">
        <w:t>, serving her grenades in lieu of artichokes]</w:t>
      </w:r>
      <w:r w:rsidR="00D46FFF">
        <w:t xml:space="preserve"> </w:t>
      </w:r>
      <w:r>
        <w:rPr>
          <w:rStyle w:val="FootnoteReference"/>
        </w:rPr>
        <w:footnoteReference w:id="32"/>
      </w:r>
      <w:r w:rsidRPr="00D67082">
        <w:t xml:space="preserve"> </w:t>
      </w:r>
      <w:r>
        <w:t xml:space="preserve">By the 1970s she had been adopted as a militant symbol by other regions of France too. In </w:t>
      </w:r>
      <w:r>
        <w:rPr>
          <w:i/>
          <w:iCs/>
        </w:rPr>
        <w:t>Lutte occitane</w:t>
      </w:r>
      <w:r>
        <w:t xml:space="preserve">, a cartoon strip (reproduced from </w:t>
      </w:r>
      <w:r>
        <w:rPr>
          <w:i/>
        </w:rPr>
        <w:t>Le Trognon</w:t>
      </w:r>
      <w:r>
        <w:t xml:space="preserve">, a Rennes journal), shows Bécassine shedding her traditional costume, and donning first the Citroën dungarees, and then arming herself. </w:t>
      </w:r>
      <w:r w:rsidRPr="0082625F">
        <w:rPr>
          <w:lang w:val="fr-FR"/>
        </w:rPr>
        <w:t xml:space="preserve">The accompanying text explains: </w:t>
      </w:r>
    </w:p>
    <w:p w14:paraId="306FBEB9" w14:textId="60C4849F" w:rsidR="00986FF8" w:rsidRDefault="00986FF8" w:rsidP="00986FF8">
      <w:pPr>
        <w:pStyle w:val="DisplayQuote"/>
        <w:rPr>
          <w:lang w:val="fr-FR"/>
        </w:rPr>
      </w:pPr>
      <w:r w:rsidRPr="0082625F">
        <w:rPr>
          <w:lang w:val="fr-FR"/>
        </w:rPr>
        <w:t xml:space="preserve">le dessinateur l’a faite sans bouche car Bécassine c’est l’esclave muette qui ne dit que trois mots bretons. </w:t>
      </w:r>
      <w:r w:rsidRPr="00C605D7">
        <w:rPr>
          <w:lang w:val="fr-FR"/>
        </w:rPr>
        <w:t>[…] Aujourd’hui commencent les ‘nouvelles aventures de Bécassine’: La Bretagne se révolte et en se révoltant de façon aussi générale elle pulvérise les images du passé.</w:t>
      </w:r>
      <w:r>
        <w:rPr>
          <w:rStyle w:val="FootnoteReference"/>
        </w:rPr>
        <w:footnoteReference w:id="33"/>
      </w:r>
    </w:p>
    <w:p w14:paraId="6E20A21F" w14:textId="7A59B02A" w:rsidR="003427FD" w:rsidRPr="004619CC" w:rsidRDefault="0043431D" w:rsidP="00444DE6">
      <w:pPr>
        <w:pStyle w:val="BodyText"/>
        <w:ind w:left="454"/>
      </w:pPr>
      <w:r w:rsidRPr="004619CC">
        <w:t>[</w:t>
      </w:r>
      <w:r w:rsidR="004619CC" w:rsidRPr="004619CC">
        <w:t>the illustrator made here w</w:t>
      </w:r>
      <w:r w:rsidR="004619CC">
        <w:t xml:space="preserve">ithout a mouth because Bécassine is the mute slave who can’t say anything bar a few words of Breton </w:t>
      </w:r>
      <w:r w:rsidR="00E365C8">
        <w:t xml:space="preserve">…. Today the ‘new adventures of Bécassine’ begin: Brittany is in revolt, and </w:t>
      </w:r>
      <w:r w:rsidR="006B3422">
        <w:t xml:space="preserve">is doing so in such a generalized way </w:t>
      </w:r>
      <w:r w:rsidR="00444DE6">
        <w:t>as to demolish images from the past]</w:t>
      </w:r>
      <w:r w:rsidR="00E365C8">
        <w:t xml:space="preserve"> </w:t>
      </w:r>
    </w:p>
    <w:p w14:paraId="7C950618" w14:textId="77777777" w:rsidR="003427FD" w:rsidRPr="004619CC" w:rsidRDefault="003427FD" w:rsidP="003427FD">
      <w:pPr>
        <w:pStyle w:val="BodyText"/>
      </w:pPr>
    </w:p>
    <w:p w14:paraId="49F47CA6" w14:textId="77777777" w:rsidR="00986FF8" w:rsidRDefault="00986FF8" w:rsidP="00986FF8">
      <w:pPr>
        <w:ind w:firstLine="454"/>
      </w:pPr>
      <w:r>
        <w:t>Bécassine is also drawn on by Richardot in his work on the politico-economic consequences of over centralization in France, and he examines the way in which her negative energy has been re-harnessed in a postcolonial context:</w:t>
      </w:r>
    </w:p>
    <w:p w14:paraId="435EC40C" w14:textId="77777777" w:rsidR="00986FF8" w:rsidRPr="0082625F" w:rsidRDefault="00986FF8" w:rsidP="00986FF8">
      <w:pPr>
        <w:pStyle w:val="DisplayQuote"/>
        <w:spacing w:after="0"/>
        <w:rPr>
          <w:lang w:val="fr-FR"/>
        </w:rPr>
      </w:pPr>
      <w:r w:rsidRPr="0082625F">
        <w:rPr>
          <w:lang w:val="fr-FR"/>
        </w:rPr>
        <w:t>Qui aurait pensé, en dehors de la Bretagne, que cette brave Bécassine était mal vue par son pays d’origine? Elle est à la Bretagne ce que le ‘Nègre Banania’ était jadis à l’Afrique. Les nationalistes africains, Senghor en tête, avaient tellement protesté contre lui que la grande marque de petit déjeuner avait dû changer la présentation de ses produits.</w:t>
      </w:r>
    </w:p>
    <w:p w14:paraId="2593CEBC" w14:textId="3F2D0641" w:rsidR="00986FF8" w:rsidRDefault="00986FF8" w:rsidP="00986FF8">
      <w:pPr>
        <w:pStyle w:val="DisplayQuote"/>
        <w:spacing w:before="0"/>
      </w:pPr>
      <w:r w:rsidRPr="0082625F">
        <w:rPr>
          <w:lang w:val="fr-FR"/>
        </w:rPr>
        <w:t xml:space="preserve">Mais un changement vient d’intervenir: récemment, Bécassine a rendu son tablier à la Marquise de Grand-Air. Elle a acheté une mitraillette et s’est remise à parler breton: ‘Ha Malloz-Ru Dar C’hallaoued!’, dit-elle en brandissant sa mitraillette. Cela signifie dans la langue réssuscitée: ‘Malédiction rouge aux Français’. </w:t>
      </w:r>
      <w:r>
        <w:t>Bécassine est déchaînée.</w:t>
      </w:r>
      <w:r>
        <w:rPr>
          <w:rStyle w:val="FootnoteReference"/>
        </w:rPr>
        <w:footnoteReference w:id="34"/>
      </w:r>
      <w:r>
        <w:t xml:space="preserve"> </w:t>
      </w:r>
    </w:p>
    <w:p w14:paraId="2FBEC036" w14:textId="32620D51" w:rsidR="00590DFB" w:rsidRDefault="00590DFB" w:rsidP="00986FF8">
      <w:r>
        <w:tab/>
      </w:r>
    </w:p>
    <w:p w14:paraId="193C1E45" w14:textId="7164596C" w:rsidR="00590DFB" w:rsidRPr="00114503" w:rsidRDefault="00620CC1" w:rsidP="00986FF8">
      <w:r>
        <w:lastRenderedPageBreak/>
        <w:t>Who</w:t>
      </w:r>
      <w:r w:rsidR="008C01CE">
        <w:t xml:space="preserve">, outside Brittany, </w:t>
      </w:r>
      <w:r>
        <w:t xml:space="preserve">would have thought, that this </w:t>
      </w:r>
      <w:r w:rsidR="0014588F">
        <w:t xml:space="preserve">good Bécassine </w:t>
      </w:r>
      <w:r w:rsidR="003C6BC0">
        <w:t xml:space="preserve">had a poor reputation in her homeland? </w:t>
      </w:r>
      <w:r w:rsidR="005262A0">
        <w:t>She is to Brittany what the ‘Banania Negro’ once was to Africa. African nationalists, led by S</w:t>
      </w:r>
      <w:r w:rsidR="00D10563">
        <w:t>enghor, had protested so much against him that the great breakfast brand was forced to ch</w:t>
      </w:r>
      <w:r w:rsidR="0060556B">
        <w:t>ange the packaging of its products</w:t>
      </w:r>
      <w:r w:rsidR="00CD71BD">
        <w:t xml:space="preserve">. But change is in the air, </w:t>
      </w:r>
      <w:r w:rsidR="00242750">
        <w:t>Bécassine recently handed in her notice to the Mar</w:t>
      </w:r>
      <w:r w:rsidR="00967076">
        <w:t>quise</w:t>
      </w:r>
      <w:r w:rsidR="00242750">
        <w:t xml:space="preserve"> of Airs-and-Graces. She has bought a </w:t>
      </w:r>
      <w:r w:rsidR="00257A89">
        <w:t xml:space="preserve">gun </w:t>
      </w:r>
      <w:r w:rsidR="0016239B">
        <w:t>and started speaking Breton again</w:t>
      </w:r>
      <w:r w:rsidR="00114503">
        <w:t xml:space="preserve">; </w:t>
      </w:r>
      <w:r w:rsidR="00114503" w:rsidRPr="00114503">
        <w:t>‘Ha Malloz-Ru Dar C’hallaoued!’</w:t>
      </w:r>
      <w:r w:rsidR="00114503">
        <w:t xml:space="preserve">, she says, gun in hand. </w:t>
      </w:r>
      <w:r w:rsidR="00B5624F">
        <w:t>I</w:t>
      </w:r>
      <w:r w:rsidR="00A20C14">
        <w:t xml:space="preserve">n the </w:t>
      </w:r>
      <w:r w:rsidR="00B5624F">
        <w:t>reviveved language t</w:t>
      </w:r>
      <w:r w:rsidR="00B5624F">
        <w:t>hat means</w:t>
      </w:r>
      <w:r w:rsidR="00A21E41">
        <w:t>: ‘A red curse on the French’. Bécassine has been let loose.]</w:t>
      </w:r>
    </w:p>
    <w:p w14:paraId="4AB330C3" w14:textId="77777777" w:rsidR="00620CC1" w:rsidRDefault="00620CC1" w:rsidP="00986FF8"/>
    <w:p w14:paraId="326EDBFD" w14:textId="6F5C804E" w:rsidR="00986FF8" w:rsidRDefault="00986FF8" w:rsidP="00986FF8">
      <w:r>
        <w:t xml:space="preserve">The figure of Bécassine was re-invented in numerous other ways, such as in a play by Keineg: </w:t>
      </w:r>
      <w:r>
        <w:rPr>
          <w:i/>
          <w:iCs/>
        </w:rPr>
        <w:t>Nevez-amzer ar Bonedoù Ruz</w:t>
      </w:r>
      <w:r>
        <w:t xml:space="preserve"> (1972), in which she rallies the troops, and in anti-Bécassine posters by L’Unaviez Oberiou Breiz, which were designed by Xavier de Langlais. Bécassine even figures in the heated debate around Françoise Morvan’s recent book </w:t>
      </w:r>
      <w:r>
        <w:rPr>
          <w:i/>
          <w:iCs/>
        </w:rPr>
        <w:t>Le Monde comme si</w:t>
      </w:r>
      <w:r>
        <w:t xml:space="preserve">. Reviewing the book in </w:t>
      </w:r>
      <w:r>
        <w:rPr>
          <w:i/>
          <w:iCs/>
        </w:rPr>
        <w:t>Hopala!</w:t>
      </w:r>
      <w:r>
        <w:t xml:space="preserve"> Prémel condemns the author by saying that she combines the worst aspects of both Bécassine herself and Mme de Grand-Air, a comparison that was invited by the fact that Morvan herself uses Bécassine as an intertext.</w:t>
      </w:r>
      <w:r>
        <w:rPr>
          <w:rStyle w:val="FootnoteReference"/>
        </w:rPr>
        <w:footnoteReference w:id="35"/>
      </w:r>
      <w:r>
        <w:t xml:space="preserve"> It is clear that she has been completely reclaimed, and cannot today be taken at face value. </w:t>
      </w:r>
    </w:p>
    <w:p w14:paraId="61FA3CA5" w14:textId="77777777" w:rsidR="00986FF8" w:rsidRDefault="00986FF8" w:rsidP="00986FF8"/>
    <w:p w14:paraId="2FC2FC11" w14:textId="77777777" w:rsidR="00210BE3" w:rsidRDefault="00210BE3"/>
    <w:sectPr w:rsidR="00210BE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717D5E0" w14:textId="77777777" w:rsidR="002E3B3D" w:rsidRDefault="002E3B3D" w:rsidP="00986FF8">
      <w:pPr>
        <w:spacing w:line="240" w:lineRule="auto"/>
      </w:pPr>
      <w:r>
        <w:separator/>
      </w:r>
    </w:p>
  </w:endnote>
  <w:endnote w:type="continuationSeparator" w:id="0">
    <w:p w14:paraId="68D8B187" w14:textId="77777777" w:rsidR="002E3B3D" w:rsidRDefault="002E3B3D" w:rsidP="00986FF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E7AB9CF" w14:textId="77777777" w:rsidR="002E3B3D" w:rsidRDefault="002E3B3D" w:rsidP="00986FF8">
      <w:pPr>
        <w:spacing w:line="240" w:lineRule="auto"/>
      </w:pPr>
      <w:r>
        <w:separator/>
      </w:r>
    </w:p>
  </w:footnote>
  <w:footnote w:type="continuationSeparator" w:id="0">
    <w:p w14:paraId="4D5ED16D" w14:textId="77777777" w:rsidR="002E3B3D" w:rsidRDefault="002E3B3D" w:rsidP="00986FF8">
      <w:pPr>
        <w:spacing w:line="240" w:lineRule="auto"/>
      </w:pPr>
      <w:r>
        <w:continuationSeparator/>
      </w:r>
    </w:p>
  </w:footnote>
  <w:footnote w:id="1">
    <w:p w14:paraId="57F56792" w14:textId="77777777" w:rsidR="00986FF8" w:rsidRPr="0082625F" w:rsidRDefault="00986FF8" w:rsidP="00986FF8">
      <w:pPr>
        <w:pStyle w:val="FootnoteText"/>
        <w:rPr>
          <w:lang w:val="fr-FR"/>
        </w:rPr>
      </w:pPr>
      <w:r>
        <w:rPr>
          <w:rStyle w:val="FootnoteReference"/>
        </w:rPr>
        <w:footnoteRef/>
      </w:r>
      <w:r w:rsidRPr="0082625F">
        <w:rPr>
          <w:lang w:val="fr-FR"/>
        </w:rPr>
        <w:tab/>
      </w:r>
      <w:r w:rsidRPr="0082625F">
        <w:rPr>
          <w:i/>
          <w:iCs/>
          <w:lang w:val="fr-FR"/>
        </w:rPr>
        <w:t>Comment peut-on être breton?</w:t>
      </w:r>
      <w:r w:rsidRPr="0082625F">
        <w:rPr>
          <w:lang w:val="fr-FR"/>
        </w:rPr>
        <w:t xml:space="preserve">, p.14. See also Donatien Laurent, </w:t>
      </w:r>
      <w:r w:rsidRPr="0082625F">
        <w:rPr>
          <w:i/>
          <w:iCs/>
          <w:lang w:val="fr-FR"/>
        </w:rPr>
        <w:t>Aux Sources du ‘Barzaz Breiz’</w:t>
      </w:r>
      <w:r w:rsidRPr="0082625F">
        <w:rPr>
          <w:lang w:val="fr-FR"/>
        </w:rPr>
        <w:t xml:space="preserve"> (Douarnenez: Ar Men, 1989), p.11. See also Jean-Yves Guiomar, ‘Le Barzaz-Breiz de Théodore Hersart de La Villemarqué’, in </w:t>
      </w:r>
      <w:r w:rsidRPr="0082625F">
        <w:rPr>
          <w:i/>
          <w:lang w:val="fr-FR"/>
        </w:rPr>
        <w:t>Les Lieux de Mémoire</w:t>
      </w:r>
      <w:r w:rsidRPr="0082625F">
        <w:rPr>
          <w:lang w:val="fr-FR"/>
        </w:rPr>
        <w:t xml:space="preserve">, ed. by Pierre Nora, 3 vols (Paris: Gallimard, 1992), </w:t>
      </w:r>
      <w:r w:rsidRPr="0082625F">
        <w:rPr>
          <w:smallCaps/>
          <w:lang w:val="fr-FR"/>
        </w:rPr>
        <w:t>ii</w:t>
      </w:r>
      <w:r w:rsidRPr="0082625F">
        <w:rPr>
          <w:lang w:val="fr-FR"/>
        </w:rPr>
        <w:t xml:space="preserve">, 527–65; ‘On ne peut dire que le mouvement breton est né du seul </w:t>
      </w:r>
      <w:r w:rsidRPr="0082625F">
        <w:rPr>
          <w:i/>
          <w:lang w:val="fr-FR"/>
        </w:rPr>
        <w:t>Barzaz-</w:t>
      </w:r>
      <w:r w:rsidRPr="0082625F">
        <w:rPr>
          <w:i/>
          <w:iCs/>
          <w:lang w:val="fr-FR"/>
        </w:rPr>
        <w:t>Breiz</w:t>
      </w:r>
      <w:r w:rsidRPr="0082625F">
        <w:rPr>
          <w:lang w:val="fr-FR"/>
        </w:rPr>
        <w:t>, mais sans doute peut-on dire que, sans cet ouvrage, il n’existerait pas’, (p.554).</w:t>
      </w:r>
    </w:p>
  </w:footnote>
  <w:footnote w:id="2">
    <w:p w14:paraId="7C933FE0" w14:textId="77777777" w:rsidR="00986FF8" w:rsidRDefault="00986FF8" w:rsidP="00986FF8">
      <w:pPr>
        <w:pStyle w:val="FootnoteText"/>
      </w:pPr>
      <w:r>
        <w:rPr>
          <w:rStyle w:val="FootnoteReference"/>
        </w:rPr>
        <w:footnoteRef/>
      </w:r>
      <w:r>
        <w:tab/>
      </w:r>
      <w:r>
        <w:rPr>
          <w:i/>
          <w:iCs/>
        </w:rPr>
        <w:t>Le Bretonisme</w:t>
      </w:r>
      <w:r>
        <w:t xml:space="preserve">, p.14. Guiomar’s is one of the standard texts on the early roots of the Breton movement. Histories of its twentieth-century episode are notoriously biased and many have been criticized as unreliable. However, Alain Déniel, </w:t>
      </w:r>
      <w:r>
        <w:rPr>
          <w:i/>
          <w:iCs/>
        </w:rPr>
        <w:t>Le Mouvement breton 1919–1945</w:t>
      </w:r>
      <w:r>
        <w:t xml:space="preserve"> (Paris: Maspero, 1976) is generally considered an accurate account, and on the hotly-debated episode during the second world war, see Kristian Hamon, </w:t>
      </w:r>
      <w:r>
        <w:rPr>
          <w:i/>
          <w:iCs/>
        </w:rPr>
        <w:t>Les nationalistes bretons sous l’occupation</w:t>
      </w:r>
      <w:r>
        <w:t xml:space="preserve"> (Relecq-Kerhuon: An Here, 2001), and Gwenno Sven-Myer, </w:t>
      </w:r>
      <w:r>
        <w:rPr>
          <w:i/>
          <w:iCs/>
        </w:rPr>
        <w:t>Digwyddiadau 1940–1944 a’r Llydaweg</w:t>
      </w:r>
      <w:r>
        <w:t xml:space="preserve">, unpublished doctoral thesis, University of Wales Aberystwyth (2003). </w:t>
      </w:r>
    </w:p>
  </w:footnote>
  <w:footnote w:id="3">
    <w:p w14:paraId="38066D89" w14:textId="77777777" w:rsidR="00986FF8" w:rsidRPr="0082625F" w:rsidRDefault="00986FF8" w:rsidP="00986FF8">
      <w:pPr>
        <w:pStyle w:val="FootnoteText"/>
        <w:rPr>
          <w:lang w:val="fr-FR"/>
        </w:rPr>
      </w:pPr>
      <w:r>
        <w:rPr>
          <w:rStyle w:val="FootnoteReference"/>
        </w:rPr>
        <w:footnoteRef/>
      </w:r>
      <w:r w:rsidRPr="0082625F">
        <w:rPr>
          <w:lang w:val="fr-FR"/>
        </w:rPr>
        <w:t xml:space="preserve"> </w:t>
      </w:r>
      <w:r w:rsidRPr="0082625F">
        <w:rPr>
          <w:lang w:val="fr-FR"/>
        </w:rPr>
        <w:tab/>
        <w:t xml:space="preserve">Yves Rouquette, ‘Fidèles’, </w:t>
      </w:r>
      <w:r w:rsidRPr="0082625F">
        <w:rPr>
          <w:i/>
          <w:iCs/>
          <w:lang w:val="fr-FR"/>
        </w:rPr>
        <w:t>Rouergue, si, précédé de Ode à saint Aphrodise et suivi de Messe pour les cochons</w:t>
      </w:r>
      <w:r w:rsidRPr="0082625F">
        <w:rPr>
          <w:lang w:val="fr-FR"/>
        </w:rPr>
        <w:t xml:space="preserve">, édition bilingue (Paris: Oswald, 1972), p.93. </w:t>
      </w:r>
    </w:p>
  </w:footnote>
  <w:footnote w:id="4">
    <w:p w14:paraId="69A4EFAB" w14:textId="77777777" w:rsidR="00986FF8" w:rsidRPr="0082625F" w:rsidRDefault="00986FF8" w:rsidP="00986FF8">
      <w:pPr>
        <w:pStyle w:val="FootnoteText"/>
        <w:rPr>
          <w:lang w:val="fr-FR"/>
        </w:rPr>
      </w:pPr>
      <w:r>
        <w:rPr>
          <w:rStyle w:val="FootnoteReference"/>
        </w:rPr>
        <w:footnoteRef/>
      </w:r>
      <w:r w:rsidRPr="0082625F">
        <w:rPr>
          <w:lang w:val="fr-FR"/>
        </w:rPr>
        <w:t xml:space="preserve"> </w:t>
      </w:r>
      <w:r w:rsidRPr="0082625F">
        <w:rPr>
          <w:lang w:val="fr-FR"/>
        </w:rPr>
        <w:tab/>
        <w:t xml:space="preserve">Paol Keineg, ‘Poèmes-tracts’, in </w:t>
      </w:r>
      <w:r w:rsidRPr="0082625F">
        <w:rPr>
          <w:i/>
          <w:iCs/>
          <w:lang w:val="fr-FR"/>
        </w:rPr>
        <w:t>Chroniques et croquis</w:t>
      </w:r>
      <w:r w:rsidRPr="0082625F">
        <w:rPr>
          <w:lang w:val="fr-FR"/>
        </w:rPr>
        <w:t>, pp.95–7 (95).</w:t>
      </w:r>
    </w:p>
  </w:footnote>
  <w:footnote w:id="5">
    <w:p w14:paraId="778B5739" w14:textId="77777777" w:rsidR="00986FF8" w:rsidRPr="0082625F" w:rsidRDefault="00986FF8" w:rsidP="00986FF8">
      <w:pPr>
        <w:pStyle w:val="FootnoteText"/>
        <w:rPr>
          <w:lang w:val="fr-FR"/>
        </w:rPr>
      </w:pPr>
      <w:r>
        <w:rPr>
          <w:rStyle w:val="FootnoteReference"/>
        </w:rPr>
        <w:footnoteRef/>
      </w:r>
      <w:r w:rsidRPr="0082625F">
        <w:rPr>
          <w:lang w:val="fr-FR"/>
        </w:rPr>
        <w:t xml:space="preserve"> </w:t>
      </w:r>
      <w:r w:rsidRPr="0082625F">
        <w:rPr>
          <w:lang w:val="fr-FR"/>
        </w:rPr>
        <w:tab/>
        <w:t xml:space="preserve">Paol Keineg, ‘Exploitation’, and ‘Dans la plaie pâle de l’aurore’, </w:t>
      </w:r>
      <w:r w:rsidRPr="0082625F">
        <w:rPr>
          <w:i/>
          <w:iCs/>
          <w:lang w:val="fr-FR"/>
        </w:rPr>
        <w:t>Chroniques et croquis</w:t>
      </w:r>
      <w:r w:rsidRPr="0082625F">
        <w:rPr>
          <w:lang w:val="fr-FR"/>
        </w:rPr>
        <w:t>, pp. 105, 48.</w:t>
      </w:r>
    </w:p>
  </w:footnote>
  <w:footnote w:id="6">
    <w:p w14:paraId="379E1952" w14:textId="77777777" w:rsidR="00986FF8" w:rsidRPr="0082625F" w:rsidRDefault="00986FF8" w:rsidP="00986FF8">
      <w:pPr>
        <w:pStyle w:val="FootnoteText"/>
        <w:rPr>
          <w:lang w:val="fr-FR"/>
        </w:rPr>
      </w:pPr>
      <w:r>
        <w:rPr>
          <w:rStyle w:val="FootnoteReference"/>
        </w:rPr>
        <w:footnoteRef/>
      </w:r>
      <w:r w:rsidRPr="0082625F">
        <w:rPr>
          <w:lang w:val="fr-FR"/>
        </w:rPr>
        <w:t xml:space="preserve"> </w:t>
      </w:r>
      <w:r w:rsidRPr="0082625F">
        <w:rPr>
          <w:lang w:val="fr-FR"/>
        </w:rPr>
        <w:tab/>
        <w:t xml:space="preserve">Sten Kidna, ‘Bemdeiz da c’houlou-deiz’, in </w:t>
      </w:r>
      <w:r w:rsidRPr="0082625F">
        <w:rPr>
          <w:i/>
          <w:iCs/>
          <w:lang w:val="fr-FR"/>
        </w:rPr>
        <w:t>Du a Gwyn: Cerddi Cyfoes o Lydaw</w:t>
      </w:r>
      <w:r w:rsidRPr="0082625F">
        <w:rPr>
          <w:lang w:val="fr-FR"/>
        </w:rPr>
        <w:t>, p.92</w:t>
      </w:r>
    </w:p>
  </w:footnote>
  <w:footnote w:id="7">
    <w:p w14:paraId="473E431E" w14:textId="77777777" w:rsidR="00986FF8" w:rsidRPr="0082625F" w:rsidRDefault="00986FF8" w:rsidP="00986FF8">
      <w:pPr>
        <w:pStyle w:val="FootnoteText"/>
        <w:rPr>
          <w:lang w:val="fr-FR"/>
        </w:rPr>
      </w:pPr>
      <w:r>
        <w:rPr>
          <w:rStyle w:val="FootnoteReference"/>
        </w:rPr>
        <w:footnoteRef/>
      </w:r>
      <w:r w:rsidRPr="0082625F">
        <w:rPr>
          <w:lang w:val="fr-FR"/>
        </w:rPr>
        <w:t xml:space="preserve"> </w:t>
      </w:r>
      <w:r w:rsidRPr="0082625F">
        <w:rPr>
          <w:lang w:val="fr-FR"/>
        </w:rPr>
        <w:tab/>
        <w:t xml:space="preserve">Paol Keineg, ‘Rennes Citroën’, </w:t>
      </w:r>
      <w:r w:rsidRPr="0082625F">
        <w:rPr>
          <w:i/>
          <w:iCs/>
          <w:lang w:val="fr-FR"/>
        </w:rPr>
        <w:t>Chroniques et croquis</w:t>
      </w:r>
      <w:r w:rsidRPr="0082625F">
        <w:rPr>
          <w:lang w:val="fr-FR"/>
        </w:rPr>
        <w:t>, p.91.</w:t>
      </w:r>
    </w:p>
  </w:footnote>
  <w:footnote w:id="8">
    <w:p w14:paraId="3AA1B80E" w14:textId="77777777" w:rsidR="00986FF8" w:rsidRDefault="00986FF8" w:rsidP="00986FF8">
      <w:pPr>
        <w:pStyle w:val="FootnoteText"/>
      </w:pPr>
      <w:r>
        <w:rPr>
          <w:rStyle w:val="FootnoteReference"/>
        </w:rPr>
        <w:footnoteRef/>
      </w:r>
      <w:r>
        <w:t xml:space="preserve"> </w:t>
      </w:r>
      <w:r>
        <w:tab/>
        <w:t xml:space="preserve">Per Denez, ‘Negro Song’, in </w:t>
      </w:r>
      <w:r>
        <w:rPr>
          <w:i/>
          <w:iCs/>
        </w:rPr>
        <w:t>Du a Gwyn</w:t>
      </w:r>
      <w:r>
        <w:t>, p.20.</w:t>
      </w:r>
    </w:p>
  </w:footnote>
  <w:footnote w:id="9">
    <w:p w14:paraId="691EC8FA" w14:textId="77777777" w:rsidR="00986FF8" w:rsidRPr="0082625F" w:rsidRDefault="00986FF8" w:rsidP="00986FF8">
      <w:pPr>
        <w:pStyle w:val="FootnoteText"/>
        <w:rPr>
          <w:lang w:val="fr-FR"/>
        </w:rPr>
      </w:pPr>
      <w:r>
        <w:rPr>
          <w:rStyle w:val="FootnoteReference"/>
        </w:rPr>
        <w:footnoteRef/>
      </w:r>
      <w:r w:rsidRPr="0082625F">
        <w:rPr>
          <w:lang w:val="fr-FR"/>
        </w:rPr>
        <w:t xml:space="preserve"> </w:t>
      </w:r>
      <w:r w:rsidRPr="0082625F">
        <w:rPr>
          <w:lang w:val="fr-FR"/>
        </w:rPr>
        <w:tab/>
        <w:t xml:space="preserve">Yves Rouquette, </w:t>
      </w:r>
      <w:r w:rsidRPr="0082625F">
        <w:rPr>
          <w:i/>
          <w:iCs/>
          <w:lang w:val="fr-FR"/>
        </w:rPr>
        <w:t>Chroniques</w:t>
      </w:r>
      <w:r w:rsidRPr="0082625F">
        <w:rPr>
          <w:lang w:val="fr-FR"/>
        </w:rPr>
        <w:t>, p.11.</w:t>
      </w:r>
    </w:p>
  </w:footnote>
  <w:footnote w:id="10">
    <w:p w14:paraId="5D10FB21" w14:textId="77777777" w:rsidR="00986FF8" w:rsidRPr="0082625F" w:rsidRDefault="00986FF8" w:rsidP="00986FF8">
      <w:pPr>
        <w:pStyle w:val="FootnoteText"/>
        <w:rPr>
          <w:lang w:val="fr-FR"/>
        </w:rPr>
      </w:pPr>
      <w:r>
        <w:rPr>
          <w:rStyle w:val="FootnoteReference"/>
        </w:rPr>
        <w:footnoteRef/>
      </w:r>
      <w:r w:rsidRPr="0082625F">
        <w:rPr>
          <w:lang w:val="fr-FR"/>
        </w:rPr>
        <w:t xml:space="preserve"> </w:t>
      </w:r>
      <w:r w:rsidRPr="0082625F">
        <w:rPr>
          <w:lang w:val="fr-FR"/>
        </w:rPr>
        <w:tab/>
        <w:t xml:space="preserve">Yann-Ber Piriou, </w:t>
      </w:r>
      <w:r w:rsidRPr="0082625F">
        <w:rPr>
          <w:i/>
          <w:iCs/>
          <w:lang w:val="fr-FR"/>
        </w:rPr>
        <w:t>Défense de cracher par terre et de parler breton</w:t>
      </w:r>
      <w:r w:rsidRPr="0082625F">
        <w:rPr>
          <w:lang w:val="fr-FR"/>
        </w:rPr>
        <w:t>, pp.70, 151.</w:t>
      </w:r>
    </w:p>
  </w:footnote>
  <w:footnote w:id="11">
    <w:p w14:paraId="6F7F18CC" w14:textId="77777777" w:rsidR="00986FF8" w:rsidRPr="0082625F" w:rsidRDefault="00986FF8" w:rsidP="00986FF8">
      <w:pPr>
        <w:pStyle w:val="FootnoteText"/>
        <w:rPr>
          <w:lang w:val="fr-FR"/>
        </w:rPr>
      </w:pPr>
      <w:r>
        <w:rPr>
          <w:rStyle w:val="FootnoteReference"/>
        </w:rPr>
        <w:footnoteRef/>
      </w:r>
      <w:r w:rsidRPr="0082625F">
        <w:rPr>
          <w:lang w:val="fr-FR"/>
        </w:rPr>
        <w:t xml:space="preserve"> </w:t>
      </w:r>
      <w:r w:rsidRPr="0082625F">
        <w:rPr>
          <w:lang w:val="fr-FR"/>
        </w:rPr>
        <w:tab/>
        <w:t xml:space="preserve">Yann-Ber Piriou, </w:t>
      </w:r>
      <w:r w:rsidRPr="0082625F">
        <w:rPr>
          <w:i/>
          <w:iCs/>
          <w:lang w:val="fr-FR"/>
        </w:rPr>
        <w:t>Défense de cracher par terre et de paler breton</w:t>
      </w:r>
      <w:r w:rsidRPr="0082625F">
        <w:rPr>
          <w:lang w:val="fr-FR"/>
        </w:rPr>
        <w:t>, pp.5–6.</w:t>
      </w:r>
    </w:p>
  </w:footnote>
  <w:footnote w:id="12">
    <w:p w14:paraId="79E734F4" w14:textId="77777777" w:rsidR="00986FF8" w:rsidRPr="0082625F" w:rsidRDefault="00986FF8" w:rsidP="00986FF8">
      <w:pPr>
        <w:pStyle w:val="FootnoteText"/>
        <w:rPr>
          <w:lang w:val="fr-FR"/>
        </w:rPr>
      </w:pPr>
      <w:r>
        <w:rPr>
          <w:rStyle w:val="FootnoteReference"/>
        </w:rPr>
        <w:footnoteRef/>
      </w:r>
      <w:r w:rsidRPr="0082625F">
        <w:rPr>
          <w:lang w:val="fr-FR"/>
        </w:rPr>
        <w:t xml:space="preserve"> </w:t>
      </w:r>
      <w:r w:rsidRPr="0082625F">
        <w:rPr>
          <w:lang w:val="fr-FR"/>
        </w:rPr>
        <w:tab/>
        <w:t xml:space="preserve">‘Divroañ’, in </w:t>
      </w:r>
      <w:r w:rsidRPr="0082625F">
        <w:rPr>
          <w:i/>
          <w:iCs/>
          <w:lang w:val="fr-FR"/>
        </w:rPr>
        <w:t>Du a Gwyn</w:t>
      </w:r>
      <w:r w:rsidRPr="0082625F">
        <w:rPr>
          <w:lang w:val="fr-FR"/>
        </w:rPr>
        <w:t>, p.28.</w:t>
      </w:r>
    </w:p>
  </w:footnote>
  <w:footnote w:id="13">
    <w:p w14:paraId="35E775BE" w14:textId="77777777" w:rsidR="00986FF8" w:rsidRPr="0082625F" w:rsidRDefault="00986FF8" w:rsidP="00986FF8">
      <w:pPr>
        <w:pStyle w:val="FootnoteText"/>
        <w:rPr>
          <w:lang w:val="fr-FR"/>
        </w:rPr>
      </w:pPr>
      <w:r>
        <w:rPr>
          <w:rStyle w:val="FootnoteReference"/>
        </w:rPr>
        <w:footnoteRef/>
      </w:r>
      <w:r w:rsidRPr="0082625F">
        <w:rPr>
          <w:lang w:val="fr-FR"/>
        </w:rPr>
        <w:t xml:space="preserve"> </w:t>
      </w:r>
      <w:r w:rsidRPr="0082625F">
        <w:rPr>
          <w:lang w:val="fr-FR"/>
        </w:rPr>
        <w:tab/>
        <w:t xml:space="preserve">Pierre-Jakez Hélias, ‘An Dilez’, in </w:t>
      </w:r>
      <w:r w:rsidRPr="0082625F">
        <w:rPr>
          <w:i/>
          <w:iCs/>
          <w:lang w:val="fr-FR"/>
        </w:rPr>
        <w:t>Du a Gwyn</w:t>
      </w:r>
      <w:r w:rsidRPr="0082625F">
        <w:rPr>
          <w:lang w:val="fr-FR"/>
        </w:rPr>
        <w:t>, p.60.</w:t>
      </w:r>
    </w:p>
  </w:footnote>
  <w:footnote w:id="14">
    <w:p w14:paraId="0B9CD2AB" w14:textId="77777777" w:rsidR="00986FF8" w:rsidRPr="0082625F" w:rsidRDefault="00986FF8" w:rsidP="00986FF8">
      <w:pPr>
        <w:pStyle w:val="FootnoteText"/>
        <w:rPr>
          <w:lang w:val="fr-FR"/>
        </w:rPr>
      </w:pPr>
      <w:r>
        <w:rPr>
          <w:rStyle w:val="FootnoteReference"/>
        </w:rPr>
        <w:footnoteRef/>
      </w:r>
      <w:r w:rsidRPr="0082625F">
        <w:rPr>
          <w:lang w:val="fr-FR"/>
        </w:rPr>
        <w:t xml:space="preserve"> </w:t>
      </w:r>
      <w:r w:rsidRPr="0082625F">
        <w:rPr>
          <w:lang w:val="fr-FR"/>
        </w:rPr>
        <w:tab/>
        <w:t xml:space="preserve">Paol Keineg, ‘Dépopulation’, </w:t>
      </w:r>
      <w:r w:rsidRPr="0082625F">
        <w:rPr>
          <w:i/>
          <w:iCs/>
          <w:lang w:val="fr-FR"/>
        </w:rPr>
        <w:t>Chroniques et croquis</w:t>
      </w:r>
      <w:r w:rsidRPr="0082625F">
        <w:rPr>
          <w:lang w:val="fr-FR"/>
        </w:rPr>
        <w:t>, p.41.</w:t>
      </w:r>
    </w:p>
  </w:footnote>
  <w:footnote w:id="15">
    <w:p w14:paraId="1A4A9907" w14:textId="77777777" w:rsidR="00986FF8" w:rsidRPr="0082625F" w:rsidRDefault="00986FF8" w:rsidP="00986FF8">
      <w:pPr>
        <w:pStyle w:val="FootnoteText"/>
        <w:rPr>
          <w:lang w:val="fr-FR"/>
        </w:rPr>
      </w:pPr>
      <w:r>
        <w:rPr>
          <w:rStyle w:val="FootnoteReference"/>
        </w:rPr>
        <w:footnoteRef/>
      </w:r>
      <w:r w:rsidRPr="0082625F">
        <w:rPr>
          <w:lang w:val="fr-FR"/>
        </w:rPr>
        <w:t xml:space="preserve"> </w:t>
      </w:r>
      <w:r w:rsidRPr="0082625F">
        <w:rPr>
          <w:lang w:val="fr-FR"/>
        </w:rPr>
        <w:tab/>
        <w:t xml:space="preserve">Paol Keineg, ‘Transocean, Brest’, in </w:t>
      </w:r>
      <w:r w:rsidRPr="0082625F">
        <w:rPr>
          <w:i/>
          <w:iCs/>
          <w:lang w:val="fr-FR"/>
        </w:rPr>
        <w:t>Chroniques et croquis</w:t>
      </w:r>
      <w:r w:rsidRPr="0082625F">
        <w:rPr>
          <w:lang w:val="fr-FR"/>
        </w:rPr>
        <w:t>, p.101.</w:t>
      </w:r>
    </w:p>
  </w:footnote>
  <w:footnote w:id="16">
    <w:p w14:paraId="3ADD7025" w14:textId="77777777" w:rsidR="00986FF8" w:rsidRPr="0082625F" w:rsidRDefault="00986FF8" w:rsidP="00986FF8">
      <w:pPr>
        <w:pStyle w:val="FootnoteText"/>
        <w:rPr>
          <w:lang w:val="fr-FR"/>
        </w:rPr>
      </w:pPr>
      <w:r>
        <w:rPr>
          <w:rStyle w:val="FootnoteReference"/>
        </w:rPr>
        <w:footnoteRef/>
      </w:r>
      <w:r w:rsidRPr="0082625F">
        <w:rPr>
          <w:lang w:val="fr-FR"/>
        </w:rPr>
        <w:t xml:space="preserve"> </w:t>
      </w:r>
      <w:r w:rsidRPr="0082625F">
        <w:rPr>
          <w:lang w:val="fr-FR"/>
        </w:rPr>
        <w:tab/>
      </w:r>
      <w:r w:rsidRPr="0082625F">
        <w:rPr>
          <w:i/>
          <w:iCs/>
          <w:lang w:val="fr-FR"/>
        </w:rPr>
        <w:t>La Revolution régionaliste</w:t>
      </w:r>
      <w:r w:rsidRPr="0082625F">
        <w:rPr>
          <w:lang w:val="fr-FR"/>
        </w:rPr>
        <w:t xml:space="preserve">, pp.208–9. On this point see also Peter McPhee, ‘A Case of Internal Colonization’; and Nathalie Dugalès, ‘La Représentation de la Bretagne et des Bretons dans la presse française: étude comparée des journaux </w:t>
      </w:r>
      <w:r w:rsidRPr="0082625F">
        <w:rPr>
          <w:i/>
          <w:iCs/>
          <w:lang w:val="fr-FR"/>
        </w:rPr>
        <w:t>Le Monde</w:t>
      </w:r>
      <w:r w:rsidRPr="0082625F">
        <w:rPr>
          <w:lang w:val="fr-FR"/>
        </w:rPr>
        <w:t xml:space="preserve">, </w:t>
      </w:r>
      <w:r w:rsidRPr="0082625F">
        <w:rPr>
          <w:i/>
          <w:iCs/>
          <w:lang w:val="fr-FR"/>
        </w:rPr>
        <w:t>Libération</w:t>
      </w:r>
      <w:r w:rsidRPr="0082625F">
        <w:rPr>
          <w:lang w:val="fr-FR"/>
        </w:rPr>
        <w:t xml:space="preserve">, </w:t>
      </w:r>
      <w:r w:rsidRPr="0082625F">
        <w:rPr>
          <w:i/>
          <w:iCs/>
          <w:lang w:val="fr-FR"/>
        </w:rPr>
        <w:t>Le Figaro</w:t>
      </w:r>
      <w:r w:rsidRPr="0082625F">
        <w:rPr>
          <w:lang w:val="fr-FR"/>
        </w:rPr>
        <w:t xml:space="preserve">’, in </w:t>
      </w:r>
      <w:r w:rsidRPr="0082625F">
        <w:rPr>
          <w:i/>
          <w:iCs/>
          <w:lang w:val="fr-FR"/>
        </w:rPr>
        <w:t>Et la Bretagne?: Héritage, Identité, Projets</w:t>
      </w:r>
      <w:r w:rsidRPr="0082625F">
        <w:rPr>
          <w:lang w:val="fr-FR"/>
        </w:rPr>
        <w:t xml:space="preserve">, ed. by Nathalie Dugalès, Ronan Le Coadic and Fabrice Patez (Rennes: Presses Universitaires de Rennes, 2004), pp.97–116. This process of ‘folklorisation’ has been identified and discussed with specific reference to Béarnaise in Pierre Bourdieu and Luc Boltanski, ‘Le fétichisme de la langue’, </w:t>
      </w:r>
      <w:r w:rsidRPr="0082625F">
        <w:rPr>
          <w:i/>
          <w:iCs/>
          <w:lang w:val="fr-FR"/>
        </w:rPr>
        <w:t>Actes de la Recherche en Sciences Sociales</w:t>
      </w:r>
      <w:r w:rsidRPr="0082625F">
        <w:rPr>
          <w:lang w:val="fr-FR"/>
        </w:rPr>
        <w:t>, 4 (1975), 2–32.</w:t>
      </w:r>
    </w:p>
  </w:footnote>
  <w:footnote w:id="17">
    <w:p w14:paraId="5C2403AC" w14:textId="77777777" w:rsidR="00986FF8" w:rsidRPr="0082625F" w:rsidRDefault="00986FF8" w:rsidP="00986FF8">
      <w:pPr>
        <w:pStyle w:val="FootnoteText"/>
        <w:rPr>
          <w:lang w:val="fr-FR"/>
        </w:rPr>
      </w:pPr>
      <w:r>
        <w:rPr>
          <w:rStyle w:val="FootnoteReference"/>
        </w:rPr>
        <w:footnoteRef/>
      </w:r>
      <w:r w:rsidRPr="0082625F">
        <w:rPr>
          <w:lang w:val="fr-FR"/>
        </w:rPr>
        <w:t xml:space="preserve"> </w:t>
      </w:r>
      <w:r w:rsidRPr="0082625F">
        <w:rPr>
          <w:lang w:val="fr-FR"/>
        </w:rPr>
        <w:tab/>
        <w:t xml:space="preserve">See Lafont’s </w:t>
      </w:r>
      <w:r w:rsidRPr="0082625F">
        <w:rPr>
          <w:i/>
          <w:iCs/>
          <w:lang w:val="fr-FR"/>
        </w:rPr>
        <w:t>Mistral ou l’illusion</w:t>
      </w:r>
      <w:r w:rsidRPr="0082625F">
        <w:rPr>
          <w:lang w:val="fr-FR"/>
        </w:rPr>
        <w:t xml:space="preserve"> (Paris: Plon, 1954), and elsewhere: ‘Le discours félibréen finit en représentation touristique’, Lafont, </w:t>
      </w:r>
      <w:r w:rsidRPr="0082625F">
        <w:rPr>
          <w:i/>
          <w:iCs/>
          <w:lang w:val="fr-FR"/>
        </w:rPr>
        <w:t>Clefs pour l’Occitanie</w:t>
      </w:r>
      <w:r w:rsidRPr="0082625F">
        <w:rPr>
          <w:lang w:val="fr-FR"/>
        </w:rPr>
        <w:t xml:space="preserve"> (Paris: Seghers, 1971), p.138. </w:t>
      </w:r>
    </w:p>
  </w:footnote>
  <w:footnote w:id="18">
    <w:p w14:paraId="6CADBB38" w14:textId="77777777" w:rsidR="00986FF8" w:rsidRPr="0082625F" w:rsidRDefault="00986FF8" w:rsidP="00986FF8">
      <w:pPr>
        <w:pStyle w:val="FootnoteText"/>
        <w:rPr>
          <w:lang w:val="fr-FR"/>
        </w:rPr>
      </w:pPr>
      <w:r>
        <w:rPr>
          <w:rStyle w:val="FootnoteReference"/>
        </w:rPr>
        <w:footnoteRef/>
      </w:r>
      <w:r w:rsidRPr="0082625F">
        <w:rPr>
          <w:lang w:val="fr-FR"/>
        </w:rPr>
        <w:t xml:space="preserve"> </w:t>
      </w:r>
      <w:r w:rsidRPr="0082625F">
        <w:rPr>
          <w:lang w:val="fr-FR"/>
        </w:rPr>
        <w:tab/>
      </w:r>
      <w:r w:rsidRPr="0082625F">
        <w:rPr>
          <w:i/>
          <w:lang w:val="fr-FR"/>
        </w:rPr>
        <w:t>Minority Literatures and Modernism</w:t>
      </w:r>
      <w:r w:rsidRPr="0082625F">
        <w:rPr>
          <w:lang w:val="fr-FR"/>
        </w:rPr>
        <w:t>.</w:t>
      </w:r>
    </w:p>
  </w:footnote>
  <w:footnote w:id="19">
    <w:p w14:paraId="5FF43619" w14:textId="77777777" w:rsidR="00986FF8" w:rsidRPr="0082625F" w:rsidRDefault="00986FF8" w:rsidP="00986FF8">
      <w:pPr>
        <w:pStyle w:val="FootnoteText"/>
        <w:rPr>
          <w:lang w:val="fr-FR"/>
        </w:rPr>
      </w:pPr>
      <w:r>
        <w:rPr>
          <w:rStyle w:val="FootnoteReference"/>
        </w:rPr>
        <w:footnoteRef/>
      </w:r>
      <w:r w:rsidRPr="0082625F">
        <w:rPr>
          <w:lang w:val="fr-FR"/>
        </w:rPr>
        <w:t xml:space="preserve"> </w:t>
      </w:r>
      <w:r w:rsidRPr="0082625F">
        <w:rPr>
          <w:lang w:val="fr-FR"/>
        </w:rPr>
        <w:tab/>
        <w:t xml:space="preserve">La Villemarqué, </w:t>
      </w:r>
      <w:r w:rsidRPr="0082625F">
        <w:rPr>
          <w:i/>
          <w:lang w:val="fr-FR"/>
        </w:rPr>
        <w:t>Barzhaz Breizh: Trésor de la littérature orale de la Bretagne</w:t>
      </w:r>
      <w:r w:rsidRPr="0082625F">
        <w:rPr>
          <w:iCs/>
          <w:lang w:val="fr-FR"/>
        </w:rPr>
        <w:t xml:space="preserve"> (Spézet: Coop Breizh, 1997), p.455</w:t>
      </w:r>
      <w:r w:rsidRPr="0082625F">
        <w:rPr>
          <w:lang w:val="fr-FR"/>
        </w:rPr>
        <w:t>.</w:t>
      </w:r>
    </w:p>
  </w:footnote>
  <w:footnote w:id="20">
    <w:p w14:paraId="36CC4682" w14:textId="77777777" w:rsidR="00986FF8" w:rsidRPr="0082625F" w:rsidRDefault="00986FF8" w:rsidP="00986FF8">
      <w:pPr>
        <w:pStyle w:val="FootnoteText"/>
        <w:rPr>
          <w:lang w:val="fr-FR"/>
        </w:rPr>
      </w:pPr>
      <w:r>
        <w:rPr>
          <w:rStyle w:val="FootnoteReference"/>
        </w:rPr>
        <w:footnoteRef/>
      </w:r>
      <w:r w:rsidRPr="0082625F">
        <w:rPr>
          <w:lang w:val="fr-FR"/>
        </w:rPr>
        <w:t xml:space="preserve"> </w:t>
      </w:r>
      <w:r w:rsidRPr="0082625F">
        <w:rPr>
          <w:lang w:val="fr-FR"/>
        </w:rPr>
        <w:tab/>
        <w:t xml:space="preserve">Edouard Corbière, </w:t>
      </w:r>
      <w:r w:rsidRPr="0082625F">
        <w:rPr>
          <w:i/>
          <w:iCs/>
          <w:lang w:val="fr-FR"/>
        </w:rPr>
        <w:t>Le Négrier</w:t>
      </w:r>
      <w:r w:rsidRPr="0082625F">
        <w:rPr>
          <w:lang w:val="fr-FR"/>
        </w:rPr>
        <w:t xml:space="preserve"> (Saint-Malo: Éditions L’Ancre de Marine, 1990), p.136.</w:t>
      </w:r>
    </w:p>
  </w:footnote>
  <w:footnote w:id="21">
    <w:p w14:paraId="55B9B281" w14:textId="77777777" w:rsidR="00986FF8" w:rsidRPr="0082625F" w:rsidRDefault="00986FF8" w:rsidP="00986FF8">
      <w:pPr>
        <w:pStyle w:val="FootnoteText"/>
        <w:rPr>
          <w:lang w:val="fr-FR"/>
        </w:rPr>
      </w:pPr>
      <w:r>
        <w:rPr>
          <w:rStyle w:val="FootnoteReference"/>
        </w:rPr>
        <w:footnoteRef/>
      </w:r>
      <w:r w:rsidRPr="0082625F">
        <w:rPr>
          <w:lang w:val="fr-FR"/>
        </w:rPr>
        <w:t xml:space="preserve"> </w:t>
      </w:r>
      <w:r w:rsidRPr="0082625F">
        <w:rPr>
          <w:lang w:val="fr-FR"/>
        </w:rPr>
        <w:tab/>
        <w:t xml:space="preserve">‘Le Marché de Kemper, </w:t>
      </w:r>
      <w:r w:rsidRPr="0082625F">
        <w:rPr>
          <w:i/>
          <w:lang w:val="fr-FR"/>
        </w:rPr>
        <w:t>Les Bretons</w:t>
      </w:r>
      <w:r w:rsidRPr="0082625F">
        <w:rPr>
          <w:iCs/>
          <w:lang w:val="fr-FR"/>
        </w:rPr>
        <w:t xml:space="preserve">, ed. by Taillandier, </w:t>
      </w:r>
      <w:r w:rsidRPr="0082625F">
        <w:rPr>
          <w:iCs/>
          <w:smallCaps/>
          <w:lang w:val="fr-FR"/>
        </w:rPr>
        <w:t xml:space="preserve">i, </w:t>
      </w:r>
      <w:r w:rsidRPr="0082625F">
        <w:rPr>
          <w:iCs/>
          <w:lang w:val="fr-FR"/>
        </w:rPr>
        <w:t>239.</w:t>
      </w:r>
    </w:p>
  </w:footnote>
  <w:footnote w:id="22">
    <w:p w14:paraId="5001F16E" w14:textId="77777777" w:rsidR="00986FF8" w:rsidRPr="0082625F" w:rsidRDefault="00986FF8" w:rsidP="00986FF8">
      <w:pPr>
        <w:pStyle w:val="FootnoteText"/>
        <w:rPr>
          <w:lang w:val="fr-FR"/>
        </w:rPr>
      </w:pPr>
      <w:r>
        <w:rPr>
          <w:rStyle w:val="FootnoteReference"/>
        </w:rPr>
        <w:footnoteRef/>
      </w:r>
      <w:r w:rsidRPr="0082625F">
        <w:rPr>
          <w:lang w:val="fr-FR"/>
        </w:rPr>
        <w:t xml:space="preserve"> </w:t>
      </w:r>
      <w:r w:rsidRPr="0082625F">
        <w:rPr>
          <w:lang w:val="fr-FR"/>
        </w:rPr>
        <w:tab/>
        <w:t xml:space="preserve">See Gustave Geffroy, </w:t>
      </w:r>
      <w:r w:rsidRPr="0082625F">
        <w:rPr>
          <w:i/>
          <w:lang w:val="fr-FR"/>
        </w:rPr>
        <w:t>Nouveaux contes du pays d’Ouest</w:t>
      </w:r>
      <w:r w:rsidRPr="0082625F">
        <w:rPr>
          <w:lang w:val="fr-FR"/>
        </w:rPr>
        <w:t xml:space="preserve"> (Paris: Georges Crès, 1920), pp.169–77.</w:t>
      </w:r>
    </w:p>
  </w:footnote>
  <w:footnote w:id="23">
    <w:p w14:paraId="7597D862" w14:textId="77777777" w:rsidR="00986FF8" w:rsidRDefault="00986FF8" w:rsidP="00986FF8">
      <w:pPr>
        <w:pStyle w:val="FootnoteText"/>
      </w:pPr>
      <w:r>
        <w:rPr>
          <w:rStyle w:val="FootnoteReference"/>
        </w:rPr>
        <w:footnoteRef/>
      </w:r>
      <w:r w:rsidRPr="0082625F">
        <w:rPr>
          <w:lang w:val="fr-FR"/>
        </w:rPr>
        <w:t xml:space="preserve"> </w:t>
      </w:r>
      <w:r w:rsidRPr="0082625F">
        <w:rPr>
          <w:lang w:val="fr-FR"/>
        </w:rPr>
        <w:tab/>
        <w:t xml:space="preserve">Jean-Yves Le Disez, </w:t>
      </w:r>
      <w:r w:rsidRPr="0082625F">
        <w:rPr>
          <w:i/>
          <w:iCs/>
          <w:lang w:val="fr-FR"/>
        </w:rPr>
        <w:t>Hopala!</w:t>
      </w:r>
      <w:r w:rsidRPr="0082625F">
        <w:rPr>
          <w:lang w:val="fr-FR"/>
        </w:rPr>
        <w:t xml:space="preserve"> </w:t>
      </w:r>
      <w:r>
        <w:t xml:space="preserve">[actually entitled </w:t>
      </w:r>
      <w:r>
        <w:rPr>
          <w:i/>
          <w:iCs/>
        </w:rPr>
        <w:t>Noir/Blanc</w:t>
      </w:r>
      <w:r>
        <w:t xml:space="preserve"> at this time], 1 (1999), 85–7.</w:t>
      </w:r>
    </w:p>
  </w:footnote>
  <w:footnote w:id="24">
    <w:p w14:paraId="5D55161F" w14:textId="77777777" w:rsidR="00986FF8" w:rsidRDefault="00986FF8" w:rsidP="00986FF8">
      <w:pPr>
        <w:pStyle w:val="FootnoteText"/>
      </w:pPr>
      <w:r>
        <w:rPr>
          <w:rStyle w:val="FootnoteReference"/>
        </w:rPr>
        <w:footnoteRef/>
      </w:r>
      <w:r>
        <w:tab/>
        <w:t xml:space="preserve">Hélias’s book had previously been published in the form of some 150 separate episodes, written in Breton, in various papers. Hereafter abbreviated to </w:t>
      </w:r>
      <w:r>
        <w:rPr>
          <w:i/>
          <w:iCs/>
        </w:rPr>
        <w:t>Cheval</w:t>
      </w:r>
      <w:r>
        <w:t xml:space="preserve">, with page references given in the text to </w:t>
      </w:r>
      <w:r>
        <w:rPr>
          <w:i/>
          <w:iCs/>
        </w:rPr>
        <w:t xml:space="preserve">Le Cheval d’orgueil: </w:t>
      </w:r>
      <w:r>
        <w:rPr>
          <w:i/>
        </w:rPr>
        <w:t>mémoires d’un Breton du Pays bigouden</w:t>
      </w:r>
      <w:r>
        <w:rPr>
          <w:iCs/>
        </w:rPr>
        <w:t xml:space="preserve"> (Paris: Plon, 1975)</w:t>
      </w:r>
      <w:r>
        <w:t xml:space="preserve">. </w:t>
      </w:r>
    </w:p>
  </w:footnote>
  <w:footnote w:id="25">
    <w:p w14:paraId="243E7A1B" w14:textId="77777777" w:rsidR="00986FF8" w:rsidRPr="0082625F" w:rsidRDefault="00986FF8" w:rsidP="00986FF8">
      <w:pPr>
        <w:pStyle w:val="FootnoteText"/>
        <w:rPr>
          <w:lang w:val="fr-FR"/>
        </w:rPr>
      </w:pPr>
      <w:r>
        <w:rPr>
          <w:rStyle w:val="FootnoteReference"/>
        </w:rPr>
        <w:footnoteRef/>
      </w:r>
      <w:r w:rsidRPr="0082625F">
        <w:rPr>
          <w:lang w:val="fr-FR"/>
        </w:rPr>
        <w:t xml:space="preserve"> </w:t>
      </w:r>
      <w:r w:rsidRPr="0082625F">
        <w:rPr>
          <w:lang w:val="fr-FR"/>
        </w:rPr>
        <w:tab/>
        <w:t xml:space="preserve">Pierre-Jakez Hélias, ‘Lettre aux étudiants bretons sur les perspectives d’une culture bretonne’ [1966], in </w:t>
      </w:r>
      <w:r w:rsidRPr="0082625F">
        <w:rPr>
          <w:i/>
          <w:iCs/>
          <w:lang w:val="fr-FR"/>
        </w:rPr>
        <w:t>Lettres de Bretagne</w:t>
      </w:r>
      <w:r w:rsidRPr="0082625F">
        <w:rPr>
          <w:lang w:val="fr-FR"/>
        </w:rPr>
        <w:t xml:space="preserve"> (Paris: Galilée, 1978), pp.51–78 (55).</w:t>
      </w:r>
    </w:p>
  </w:footnote>
  <w:footnote w:id="26">
    <w:p w14:paraId="0BDF254B" w14:textId="77777777" w:rsidR="00986FF8" w:rsidRPr="0082625F" w:rsidRDefault="00986FF8" w:rsidP="00986FF8">
      <w:pPr>
        <w:pStyle w:val="FootnoteText"/>
        <w:rPr>
          <w:lang w:val="fr-FR"/>
        </w:rPr>
      </w:pPr>
      <w:r>
        <w:rPr>
          <w:rStyle w:val="FootnoteReference"/>
        </w:rPr>
        <w:footnoteRef/>
      </w:r>
      <w:r w:rsidRPr="0082625F">
        <w:rPr>
          <w:lang w:val="fr-FR"/>
        </w:rPr>
        <w:t xml:space="preserve"> </w:t>
      </w:r>
      <w:r w:rsidRPr="0082625F">
        <w:rPr>
          <w:lang w:val="fr-FR"/>
        </w:rPr>
        <w:tab/>
        <w:t xml:space="preserve">On the book’s beginnings, see the article by comissioning editor and founder of ‘Terre humaine’, Jean Malaurie, ‘Histoire de la naissance du </w:t>
      </w:r>
      <w:r w:rsidRPr="0082625F">
        <w:rPr>
          <w:i/>
          <w:iCs/>
          <w:lang w:val="fr-FR"/>
        </w:rPr>
        <w:t>Cheval d’orgueil</w:t>
      </w:r>
      <w:r w:rsidRPr="0082625F">
        <w:rPr>
          <w:lang w:val="fr-FR"/>
        </w:rPr>
        <w:t xml:space="preserve"> et révélation d’un écrivain’, in </w:t>
      </w:r>
      <w:r w:rsidRPr="0082625F">
        <w:rPr>
          <w:i/>
          <w:iCs/>
          <w:lang w:val="fr-FR"/>
        </w:rPr>
        <w:t>Hélias et les siens/ Hélias hag e dud,</w:t>
      </w:r>
      <w:r w:rsidRPr="0082625F">
        <w:rPr>
          <w:lang w:val="fr-FR"/>
        </w:rPr>
        <w:t xml:space="preserve"> KREIZ 15, ed. by Jean-Luc Le Cam (Brest: CRBC, 2001), pp.219–24.</w:t>
      </w:r>
    </w:p>
  </w:footnote>
  <w:footnote w:id="27">
    <w:p w14:paraId="0AA66CAA" w14:textId="77777777" w:rsidR="00986FF8" w:rsidRPr="0082625F" w:rsidRDefault="00986FF8" w:rsidP="00986FF8">
      <w:pPr>
        <w:pStyle w:val="FootnoteText"/>
        <w:rPr>
          <w:lang w:val="fr-FR"/>
        </w:rPr>
      </w:pPr>
      <w:r>
        <w:rPr>
          <w:rStyle w:val="FootnoteReference"/>
        </w:rPr>
        <w:footnoteRef/>
      </w:r>
      <w:r w:rsidRPr="0082625F">
        <w:rPr>
          <w:lang w:val="fr-FR"/>
        </w:rPr>
        <w:t xml:space="preserve"> </w:t>
      </w:r>
      <w:r w:rsidRPr="0082625F">
        <w:rPr>
          <w:lang w:val="fr-FR"/>
        </w:rPr>
        <w:tab/>
        <w:t xml:space="preserve">Xavier Grall, </w:t>
      </w:r>
      <w:r w:rsidRPr="0082625F">
        <w:rPr>
          <w:i/>
          <w:lang w:val="fr-FR"/>
        </w:rPr>
        <w:t>Le Monde dimanche</w:t>
      </w:r>
      <w:r w:rsidRPr="0082625F">
        <w:rPr>
          <w:lang w:val="fr-FR"/>
        </w:rPr>
        <w:t>, jan 1976.</w:t>
      </w:r>
    </w:p>
  </w:footnote>
  <w:footnote w:id="28">
    <w:p w14:paraId="2DA37500" w14:textId="77777777" w:rsidR="00986FF8" w:rsidRPr="0082625F" w:rsidRDefault="00986FF8" w:rsidP="00986FF8">
      <w:pPr>
        <w:pStyle w:val="FootnoteText"/>
        <w:rPr>
          <w:lang w:val="fr-FR"/>
        </w:rPr>
      </w:pPr>
      <w:r>
        <w:rPr>
          <w:rStyle w:val="FootnoteReference"/>
        </w:rPr>
        <w:footnoteRef/>
      </w:r>
      <w:r w:rsidRPr="0082625F">
        <w:rPr>
          <w:lang w:val="fr-FR"/>
        </w:rPr>
        <w:tab/>
        <w:t xml:space="preserve">Xavier Grall, </w:t>
      </w:r>
      <w:r w:rsidRPr="0082625F">
        <w:rPr>
          <w:i/>
          <w:lang w:val="fr-FR"/>
        </w:rPr>
        <w:t>Le Cheval couché</w:t>
      </w:r>
      <w:r w:rsidRPr="0082625F">
        <w:rPr>
          <w:iCs/>
          <w:lang w:val="fr-FR"/>
        </w:rPr>
        <w:t>, p.50.</w:t>
      </w:r>
      <w:r w:rsidRPr="0082625F">
        <w:rPr>
          <w:lang w:val="fr-FR"/>
        </w:rPr>
        <w:t xml:space="preserve"> </w:t>
      </w:r>
    </w:p>
  </w:footnote>
  <w:footnote w:id="29">
    <w:p w14:paraId="72CC4029" w14:textId="77777777" w:rsidR="00986FF8" w:rsidRPr="0082625F" w:rsidRDefault="00986FF8" w:rsidP="00986FF8">
      <w:pPr>
        <w:pStyle w:val="FootnoteText"/>
        <w:rPr>
          <w:lang w:val="fr-FR"/>
        </w:rPr>
      </w:pPr>
      <w:r>
        <w:rPr>
          <w:rStyle w:val="FootnoteReference"/>
        </w:rPr>
        <w:footnoteRef/>
      </w:r>
      <w:r w:rsidRPr="0082625F">
        <w:rPr>
          <w:lang w:val="fr-FR"/>
        </w:rPr>
        <w:t xml:space="preserve"> </w:t>
      </w:r>
      <w:r w:rsidRPr="0082625F">
        <w:rPr>
          <w:lang w:val="fr-FR"/>
        </w:rPr>
        <w:tab/>
        <w:t xml:space="preserve">Caumery and J. P. Pinchon, </w:t>
      </w:r>
      <w:r w:rsidRPr="0082625F">
        <w:rPr>
          <w:i/>
          <w:iCs/>
          <w:lang w:val="fr-FR"/>
        </w:rPr>
        <w:t>L’Enfance de Bécassine</w:t>
      </w:r>
      <w:r w:rsidRPr="0082625F">
        <w:rPr>
          <w:lang w:val="fr-FR"/>
        </w:rPr>
        <w:t xml:space="preserve"> (Paris: Gautier-Languereau, 1913), p.9. The choice of Bécassine for this role had followed some interesting discussion: ‘Ce n’est pas mal, dit M. de Grand-Air, mais la Bretagne est aussi grande que la France. Ça n’est pas vraisemblable. Il faut une enfant plus petite pour la Bretagne’, ibid., p.8.</w:t>
      </w:r>
    </w:p>
  </w:footnote>
  <w:footnote w:id="30">
    <w:p w14:paraId="20C669D2" w14:textId="77777777" w:rsidR="00986FF8" w:rsidRPr="0082625F" w:rsidRDefault="00986FF8" w:rsidP="00986FF8">
      <w:pPr>
        <w:pStyle w:val="FootnoteText"/>
        <w:rPr>
          <w:lang w:val="fr-FR"/>
        </w:rPr>
      </w:pPr>
      <w:r>
        <w:rPr>
          <w:rStyle w:val="FootnoteReference"/>
        </w:rPr>
        <w:footnoteRef/>
      </w:r>
      <w:r w:rsidRPr="0082625F">
        <w:rPr>
          <w:lang w:val="fr-FR"/>
        </w:rPr>
        <w:t xml:space="preserve"> </w:t>
      </w:r>
      <w:r w:rsidRPr="0082625F">
        <w:rPr>
          <w:lang w:val="fr-FR"/>
        </w:rPr>
        <w:tab/>
        <w:t xml:space="preserve">Léone Calvez and Herri Caouissin, </w:t>
      </w:r>
      <w:r w:rsidRPr="0082625F">
        <w:rPr>
          <w:i/>
          <w:lang w:val="fr-FR"/>
        </w:rPr>
        <w:t>‘Bécassine’ vue par les Bretons</w:t>
      </w:r>
      <w:r w:rsidRPr="0082625F">
        <w:rPr>
          <w:lang w:val="fr-FR"/>
        </w:rPr>
        <w:t>, comédie dramatique en 4 actes (Pleyber-Christ: Ronan, 1937), créée le 26 décembre 1936 à Plouvorn, par les jeunes filles de la Chorale de Notre-Dame de Lambader. The preface adds, on the question of language: ‘Nous avons tenu à publier une traduction française intégrale de la pièce pour qu’elle puisse être également représentée dans les localités de Bretagne où la langue bretonne n’est malheureusement ni connue, ni parlée. Mais, dans les localités bretonnantes, dans les villes mêmes où l’on parle le breton, nous insistons pour que la pièce soit donnée avec le dialogue bilingue’.</w:t>
      </w:r>
    </w:p>
  </w:footnote>
  <w:footnote w:id="31">
    <w:p w14:paraId="76D659C1" w14:textId="77777777" w:rsidR="00986FF8" w:rsidRDefault="00986FF8" w:rsidP="00986FF8">
      <w:pPr>
        <w:pStyle w:val="FootnoteText"/>
      </w:pPr>
      <w:r>
        <w:rPr>
          <w:rStyle w:val="FootnoteReference"/>
        </w:rPr>
        <w:footnoteRef/>
      </w:r>
      <w:r>
        <w:t xml:space="preserve"> </w:t>
      </w:r>
      <w:r>
        <w:tab/>
        <w:t xml:space="preserve">For an account of this, see Jacqueline Gibson, ‘Bécassine, C’hoazh hag Adarre’, </w:t>
      </w:r>
      <w:r>
        <w:rPr>
          <w:i/>
          <w:iCs/>
        </w:rPr>
        <w:t>Breizh</w:t>
      </w:r>
      <w:r>
        <w:t xml:space="preserve"> [formerly </w:t>
      </w:r>
      <w:r>
        <w:rPr>
          <w:i/>
          <w:iCs/>
        </w:rPr>
        <w:t>Keleier Breizh</w:t>
      </w:r>
      <w:r>
        <w:t>], 40 (2005), 21.</w:t>
      </w:r>
    </w:p>
  </w:footnote>
  <w:footnote w:id="32">
    <w:p w14:paraId="183E315C" w14:textId="77777777" w:rsidR="00986FF8" w:rsidRPr="0082625F" w:rsidRDefault="00986FF8" w:rsidP="00986FF8">
      <w:pPr>
        <w:pStyle w:val="FootnoteText"/>
        <w:rPr>
          <w:lang w:val="fr-FR"/>
        </w:rPr>
      </w:pPr>
      <w:r>
        <w:rPr>
          <w:rStyle w:val="FootnoteReference"/>
        </w:rPr>
        <w:footnoteRef/>
      </w:r>
      <w:r w:rsidRPr="0082625F">
        <w:rPr>
          <w:lang w:val="fr-FR"/>
        </w:rPr>
        <w:t xml:space="preserve"> </w:t>
      </w:r>
      <w:r w:rsidRPr="0082625F">
        <w:rPr>
          <w:lang w:val="fr-FR"/>
        </w:rPr>
        <w:tab/>
      </w:r>
      <w:r w:rsidRPr="0082625F">
        <w:rPr>
          <w:i/>
          <w:iCs/>
          <w:lang w:val="fr-FR"/>
        </w:rPr>
        <w:t>Bretagne révolutionnaire</w:t>
      </w:r>
      <w:r w:rsidRPr="0082625F">
        <w:rPr>
          <w:lang w:val="fr-FR"/>
        </w:rPr>
        <w:t>, 1 (1 avril, 1969), p.1</w:t>
      </w:r>
    </w:p>
  </w:footnote>
  <w:footnote w:id="33">
    <w:p w14:paraId="24F84DCC" w14:textId="77777777" w:rsidR="00986FF8" w:rsidRPr="0082625F" w:rsidRDefault="00986FF8" w:rsidP="00986FF8">
      <w:pPr>
        <w:pStyle w:val="FootnoteText"/>
        <w:rPr>
          <w:lang w:val="fr-FR"/>
        </w:rPr>
      </w:pPr>
      <w:r>
        <w:rPr>
          <w:rStyle w:val="FootnoteReference"/>
        </w:rPr>
        <w:footnoteRef/>
      </w:r>
      <w:r w:rsidRPr="0082625F">
        <w:rPr>
          <w:lang w:val="fr-FR"/>
        </w:rPr>
        <w:t xml:space="preserve"> </w:t>
      </w:r>
      <w:r w:rsidRPr="0082625F">
        <w:rPr>
          <w:lang w:val="fr-FR"/>
        </w:rPr>
        <w:tab/>
      </w:r>
      <w:r w:rsidRPr="0082625F">
        <w:rPr>
          <w:i/>
          <w:iCs/>
          <w:lang w:val="fr-FR"/>
        </w:rPr>
        <w:t>Lutte occitane: organe d’information et de combat de ‘lucha occitana’, rédigé par des équipes militantes</w:t>
      </w:r>
      <w:r w:rsidRPr="0082625F">
        <w:rPr>
          <w:lang w:val="fr-FR"/>
        </w:rPr>
        <w:t>, 5 (Novembre 1972), p.16.</w:t>
      </w:r>
    </w:p>
  </w:footnote>
  <w:footnote w:id="34">
    <w:p w14:paraId="64CD4780" w14:textId="77777777" w:rsidR="00986FF8" w:rsidRPr="0082625F" w:rsidRDefault="00986FF8" w:rsidP="00986FF8">
      <w:pPr>
        <w:pStyle w:val="FootnoteText"/>
        <w:rPr>
          <w:lang w:val="fr-FR"/>
        </w:rPr>
      </w:pPr>
      <w:r>
        <w:rPr>
          <w:rStyle w:val="FootnoteReference"/>
        </w:rPr>
        <w:footnoteRef/>
      </w:r>
      <w:r w:rsidRPr="0082625F">
        <w:rPr>
          <w:lang w:val="fr-FR"/>
        </w:rPr>
        <w:t xml:space="preserve"> </w:t>
      </w:r>
      <w:r w:rsidRPr="0082625F">
        <w:rPr>
          <w:lang w:val="fr-FR"/>
        </w:rPr>
        <w:tab/>
        <w:t xml:space="preserve">Jean-Pierre Richardot, </w:t>
      </w:r>
      <w:r w:rsidRPr="0082625F">
        <w:rPr>
          <w:i/>
          <w:iCs/>
          <w:lang w:val="fr-FR"/>
        </w:rPr>
        <w:t>La France en miettes</w:t>
      </w:r>
      <w:r w:rsidRPr="0082625F">
        <w:rPr>
          <w:lang w:val="fr-FR"/>
        </w:rPr>
        <w:t>, p.146.</w:t>
      </w:r>
    </w:p>
  </w:footnote>
  <w:footnote w:id="35">
    <w:p w14:paraId="323CE2C7" w14:textId="77777777" w:rsidR="00986FF8" w:rsidRPr="0082625F" w:rsidRDefault="00986FF8" w:rsidP="00986FF8">
      <w:pPr>
        <w:pStyle w:val="FootnoteText"/>
        <w:rPr>
          <w:lang w:val="fr-FR"/>
        </w:rPr>
      </w:pPr>
      <w:r>
        <w:rPr>
          <w:rStyle w:val="FootnoteReference"/>
        </w:rPr>
        <w:footnoteRef/>
      </w:r>
      <w:r w:rsidRPr="0082625F">
        <w:rPr>
          <w:lang w:val="fr-FR"/>
        </w:rPr>
        <w:t xml:space="preserve"> </w:t>
      </w:r>
      <w:r w:rsidRPr="0082625F">
        <w:rPr>
          <w:lang w:val="fr-FR"/>
        </w:rPr>
        <w:tab/>
        <w:t xml:space="preserve">Prémel, </w:t>
      </w:r>
      <w:r w:rsidRPr="0082625F">
        <w:rPr>
          <w:i/>
          <w:iCs/>
          <w:lang w:val="fr-FR"/>
        </w:rPr>
        <w:t>Hopala!</w:t>
      </w:r>
      <w:r w:rsidRPr="0082625F">
        <w:rPr>
          <w:lang w:val="fr-FR"/>
        </w:rPr>
        <w:t xml:space="preserve"> 14 (2003), 77.</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6FF8"/>
    <w:rsid w:val="00002F0A"/>
    <w:rsid w:val="00032707"/>
    <w:rsid w:val="000A2106"/>
    <w:rsid w:val="000C5CAA"/>
    <w:rsid w:val="000D3CE7"/>
    <w:rsid w:val="001012FF"/>
    <w:rsid w:val="00114503"/>
    <w:rsid w:val="0013300D"/>
    <w:rsid w:val="0014588F"/>
    <w:rsid w:val="0016239B"/>
    <w:rsid w:val="00173C46"/>
    <w:rsid w:val="001B0E50"/>
    <w:rsid w:val="00210BE3"/>
    <w:rsid w:val="00216ADB"/>
    <w:rsid w:val="00223EAA"/>
    <w:rsid w:val="00242750"/>
    <w:rsid w:val="00255B60"/>
    <w:rsid w:val="00257A89"/>
    <w:rsid w:val="00284149"/>
    <w:rsid w:val="002B1971"/>
    <w:rsid w:val="002D3735"/>
    <w:rsid w:val="002E3B3D"/>
    <w:rsid w:val="003427FD"/>
    <w:rsid w:val="00355D50"/>
    <w:rsid w:val="00360256"/>
    <w:rsid w:val="003C322F"/>
    <w:rsid w:val="003C6BC0"/>
    <w:rsid w:val="00407BD7"/>
    <w:rsid w:val="0041328A"/>
    <w:rsid w:val="0043431D"/>
    <w:rsid w:val="00444DE6"/>
    <w:rsid w:val="004619CC"/>
    <w:rsid w:val="00495A38"/>
    <w:rsid w:val="004A7264"/>
    <w:rsid w:val="004B1708"/>
    <w:rsid w:val="005262A0"/>
    <w:rsid w:val="0058025B"/>
    <w:rsid w:val="00590584"/>
    <w:rsid w:val="00590DFB"/>
    <w:rsid w:val="005D2576"/>
    <w:rsid w:val="0060556B"/>
    <w:rsid w:val="00620CC1"/>
    <w:rsid w:val="00630364"/>
    <w:rsid w:val="00634939"/>
    <w:rsid w:val="00684A34"/>
    <w:rsid w:val="006A4A31"/>
    <w:rsid w:val="006B3422"/>
    <w:rsid w:val="006F1D74"/>
    <w:rsid w:val="00702926"/>
    <w:rsid w:val="0071048B"/>
    <w:rsid w:val="0077365B"/>
    <w:rsid w:val="007C3DA5"/>
    <w:rsid w:val="007D131C"/>
    <w:rsid w:val="007D1A03"/>
    <w:rsid w:val="007D72E6"/>
    <w:rsid w:val="007E7CBF"/>
    <w:rsid w:val="00806123"/>
    <w:rsid w:val="00894DBD"/>
    <w:rsid w:val="00896F61"/>
    <w:rsid w:val="008C01CE"/>
    <w:rsid w:val="008E108B"/>
    <w:rsid w:val="00903C6F"/>
    <w:rsid w:val="00934890"/>
    <w:rsid w:val="00967076"/>
    <w:rsid w:val="00986FF8"/>
    <w:rsid w:val="009A2062"/>
    <w:rsid w:val="009A25A9"/>
    <w:rsid w:val="009B6FCC"/>
    <w:rsid w:val="009F0EEE"/>
    <w:rsid w:val="00A1108D"/>
    <w:rsid w:val="00A20C14"/>
    <w:rsid w:val="00A21E41"/>
    <w:rsid w:val="00A419BF"/>
    <w:rsid w:val="00A5440A"/>
    <w:rsid w:val="00A83FC1"/>
    <w:rsid w:val="00AD0C8B"/>
    <w:rsid w:val="00B12C4E"/>
    <w:rsid w:val="00B5624F"/>
    <w:rsid w:val="00B77469"/>
    <w:rsid w:val="00C0624A"/>
    <w:rsid w:val="00C1528D"/>
    <w:rsid w:val="00C26029"/>
    <w:rsid w:val="00C35EFD"/>
    <w:rsid w:val="00C56E09"/>
    <w:rsid w:val="00C90745"/>
    <w:rsid w:val="00CD71BD"/>
    <w:rsid w:val="00CE6DD2"/>
    <w:rsid w:val="00D02373"/>
    <w:rsid w:val="00D02BA0"/>
    <w:rsid w:val="00D10563"/>
    <w:rsid w:val="00D312D5"/>
    <w:rsid w:val="00D46D9F"/>
    <w:rsid w:val="00D46FFF"/>
    <w:rsid w:val="00D53503"/>
    <w:rsid w:val="00D67082"/>
    <w:rsid w:val="00D863C2"/>
    <w:rsid w:val="00DD575F"/>
    <w:rsid w:val="00E365C8"/>
    <w:rsid w:val="00E534B0"/>
    <w:rsid w:val="00E565B8"/>
    <w:rsid w:val="00E85073"/>
    <w:rsid w:val="00EA16BA"/>
    <w:rsid w:val="00EE2E1F"/>
    <w:rsid w:val="00EF72AD"/>
    <w:rsid w:val="00F16DA8"/>
    <w:rsid w:val="00F64475"/>
    <w:rsid w:val="00FC1E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694696"/>
  <w15:chartTrackingRefBased/>
  <w15:docId w15:val="{699107EB-FBF0-4B57-868E-3F003F2E4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FF8"/>
    <w:pPr>
      <w:spacing w:after="0" w:line="260" w:lineRule="exact"/>
      <w:jc w:val="both"/>
    </w:pPr>
    <w:rPr>
      <w:rFonts w:ascii="Times New Roman" w:eastAsia="Times New Roman" w:hAnsi="Times New Roman" w:cs="Times New Roman"/>
      <w:szCs w:val="24"/>
    </w:rPr>
  </w:style>
  <w:style w:type="paragraph" w:styleId="Heading2">
    <w:name w:val="heading 2"/>
    <w:basedOn w:val="Normal"/>
    <w:next w:val="Normal"/>
    <w:link w:val="Heading2Char"/>
    <w:qFormat/>
    <w:rsid w:val="00986FF8"/>
    <w:pPr>
      <w:keepNext/>
      <w:spacing w:before="780" w:after="520" w:line="300" w:lineRule="exact"/>
      <w:outlineLvl w:val="1"/>
    </w:pPr>
    <w:rPr>
      <w:rFonts w:cs="Arial"/>
      <w:b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986FF8"/>
    <w:rPr>
      <w:rFonts w:ascii="Times New Roman" w:eastAsia="Times New Roman" w:hAnsi="Times New Roman" w:cs="Arial"/>
      <w:bCs/>
      <w:sz w:val="26"/>
      <w:szCs w:val="24"/>
    </w:rPr>
  </w:style>
  <w:style w:type="character" w:styleId="FootnoteReference">
    <w:name w:val="footnote reference"/>
    <w:basedOn w:val="DefaultParagraphFont"/>
    <w:semiHidden/>
    <w:rsid w:val="00986FF8"/>
    <w:rPr>
      <w:vertAlign w:val="superscript"/>
    </w:rPr>
  </w:style>
  <w:style w:type="paragraph" w:styleId="BodyText">
    <w:name w:val="Body Text"/>
    <w:basedOn w:val="Normal"/>
    <w:link w:val="BodyTextChar"/>
    <w:semiHidden/>
    <w:rsid w:val="00986FF8"/>
    <w:rPr>
      <w:rFonts w:cs="Arial"/>
    </w:rPr>
  </w:style>
  <w:style w:type="character" w:customStyle="1" w:styleId="BodyTextChar">
    <w:name w:val="Body Text Char"/>
    <w:basedOn w:val="DefaultParagraphFont"/>
    <w:link w:val="BodyText"/>
    <w:semiHidden/>
    <w:rsid w:val="00986FF8"/>
    <w:rPr>
      <w:rFonts w:ascii="Times New Roman" w:eastAsia="Times New Roman" w:hAnsi="Times New Roman" w:cs="Arial"/>
      <w:szCs w:val="24"/>
    </w:rPr>
  </w:style>
  <w:style w:type="paragraph" w:styleId="FootnoteText">
    <w:name w:val="footnote text"/>
    <w:basedOn w:val="Normal"/>
    <w:link w:val="FootnoteTextChar"/>
    <w:semiHidden/>
    <w:rsid w:val="00986FF8"/>
    <w:pPr>
      <w:tabs>
        <w:tab w:val="left" w:pos="454"/>
      </w:tabs>
      <w:overflowPunct w:val="0"/>
      <w:autoSpaceDE w:val="0"/>
      <w:autoSpaceDN w:val="0"/>
      <w:adjustRightInd w:val="0"/>
      <w:spacing w:line="220" w:lineRule="exact"/>
      <w:ind w:left="454" w:hanging="454"/>
      <w:textAlignment w:val="baseline"/>
    </w:pPr>
    <w:rPr>
      <w:sz w:val="18"/>
      <w:szCs w:val="20"/>
    </w:rPr>
  </w:style>
  <w:style w:type="character" w:customStyle="1" w:styleId="FootnoteTextChar">
    <w:name w:val="Footnote Text Char"/>
    <w:basedOn w:val="DefaultParagraphFont"/>
    <w:link w:val="FootnoteText"/>
    <w:semiHidden/>
    <w:rsid w:val="00986FF8"/>
    <w:rPr>
      <w:rFonts w:ascii="Times New Roman" w:eastAsia="Times New Roman" w:hAnsi="Times New Roman" w:cs="Times New Roman"/>
      <w:sz w:val="18"/>
      <w:szCs w:val="20"/>
    </w:rPr>
  </w:style>
  <w:style w:type="paragraph" w:styleId="NormalIndent">
    <w:name w:val="Normal Indent"/>
    <w:basedOn w:val="Normal"/>
    <w:semiHidden/>
    <w:rsid w:val="00986FF8"/>
    <w:pPr>
      <w:ind w:firstLine="454"/>
    </w:pPr>
  </w:style>
  <w:style w:type="paragraph" w:customStyle="1" w:styleId="DisplayQuote">
    <w:name w:val="Display Quote"/>
    <w:basedOn w:val="BodyTextIndent"/>
    <w:next w:val="BodyText"/>
    <w:rsid w:val="00986FF8"/>
    <w:pPr>
      <w:spacing w:before="220" w:after="220" w:line="220" w:lineRule="exact"/>
      <w:ind w:left="454"/>
    </w:pPr>
    <w:rPr>
      <w:sz w:val="18"/>
    </w:rPr>
  </w:style>
  <w:style w:type="paragraph" w:styleId="BodyTextIndent">
    <w:name w:val="Body Text Indent"/>
    <w:basedOn w:val="Normal"/>
    <w:link w:val="BodyTextIndentChar"/>
    <w:uiPriority w:val="99"/>
    <w:semiHidden/>
    <w:unhideWhenUsed/>
    <w:rsid w:val="00986FF8"/>
    <w:pPr>
      <w:spacing w:after="120"/>
      <w:ind w:left="283"/>
    </w:pPr>
  </w:style>
  <w:style w:type="character" w:customStyle="1" w:styleId="BodyTextIndentChar">
    <w:name w:val="Body Text Indent Char"/>
    <w:basedOn w:val="DefaultParagraphFont"/>
    <w:link w:val="BodyTextIndent"/>
    <w:uiPriority w:val="99"/>
    <w:semiHidden/>
    <w:rsid w:val="00986FF8"/>
    <w:rPr>
      <w:rFonts w:ascii="Times New Roman" w:eastAsia="Times New Roman"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TotalTime>
  <Pages>8</Pages>
  <Words>3937</Words>
  <Characters>22444</Characters>
  <Application>Microsoft Office Word</Application>
  <DocSecurity>0</DocSecurity>
  <Lines>187</Lines>
  <Paragraphs>52</Paragraphs>
  <ScaleCrop>false</ScaleCrop>
  <Company/>
  <LinksUpToDate>false</LinksUpToDate>
  <CharactersWithSpaces>26329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Nicholas Shilton</dc:creator>
  <cp:keywords/>
  <dc:description/>
  <cp:lastModifiedBy>Nicholas Shilton</cp:lastModifiedBy>
  <cp:revision>107</cp:revision>
  <dcterms:created xsi:type="dcterms:W3CDTF">2020-09-25T14:21:00Z</dcterms:created>
  <dcterms:modified xsi:type="dcterms:W3CDTF">2020-09-28T08:50:00Z</dcterms:modified>
</cp:coreProperties>
</file>