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11E9C" w14:textId="77777777" w:rsidR="00932871" w:rsidRPr="00E01B1E" w:rsidRDefault="00932871" w:rsidP="00FE6C81">
      <w:pPr>
        <w:spacing w:line="276" w:lineRule="auto"/>
        <w:rPr>
          <w:rFonts w:ascii="Arial" w:hAnsi="Arial" w:cs="Arial"/>
          <w:sz w:val="24"/>
          <w:szCs w:val="24"/>
        </w:rPr>
      </w:pPr>
      <w:bookmarkStart w:id="0" w:name="_Hlk196135487"/>
      <w:r w:rsidRPr="00E01B1E">
        <w:rPr>
          <w:rFonts w:ascii="Arial" w:hAnsi="Arial" w:cs="Arial"/>
          <w:sz w:val="24"/>
          <w:szCs w:val="24"/>
        </w:rPr>
        <w:t xml:space="preserve">Margarida Silva </w:t>
      </w:r>
    </w:p>
    <w:p w14:paraId="04803233" w14:textId="77777777" w:rsidR="00932871" w:rsidRPr="00E01B1E" w:rsidRDefault="00932871" w:rsidP="00FE6C81">
      <w:pPr>
        <w:spacing w:line="276" w:lineRule="auto"/>
        <w:rPr>
          <w:rFonts w:ascii="Arial" w:hAnsi="Arial" w:cs="Arial"/>
          <w:sz w:val="24"/>
          <w:szCs w:val="24"/>
        </w:rPr>
      </w:pPr>
      <w:r w:rsidRPr="00E01B1E">
        <w:rPr>
          <w:rFonts w:ascii="Arial" w:hAnsi="Arial" w:cs="Arial"/>
          <w:sz w:val="24"/>
          <w:szCs w:val="24"/>
        </w:rPr>
        <w:t xml:space="preserve">Student Number 2030461 </w:t>
      </w:r>
    </w:p>
    <w:p w14:paraId="451274BE" w14:textId="77777777" w:rsidR="00932871" w:rsidRPr="00E01B1E" w:rsidRDefault="00932871" w:rsidP="00FE6C81">
      <w:pPr>
        <w:spacing w:line="276" w:lineRule="auto"/>
        <w:rPr>
          <w:rFonts w:ascii="Arial" w:hAnsi="Arial" w:cs="Arial"/>
          <w:sz w:val="24"/>
          <w:szCs w:val="24"/>
        </w:rPr>
      </w:pPr>
      <w:r w:rsidRPr="009C06BF">
        <w:rPr>
          <w:rFonts w:ascii="Arial" w:hAnsi="Arial" w:cs="Arial"/>
          <w:sz w:val="24"/>
          <w:szCs w:val="24"/>
        </w:rPr>
        <w:t xml:space="preserve">BMPF 7013 </w:t>
      </w:r>
      <w:r w:rsidRPr="00E01B1E">
        <w:rPr>
          <w:rFonts w:ascii="Arial" w:hAnsi="Arial" w:cs="Arial"/>
          <w:sz w:val="24"/>
          <w:szCs w:val="24"/>
        </w:rPr>
        <w:t xml:space="preserve">- Module </w:t>
      </w:r>
      <w:r>
        <w:rPr>
          <w:rFonts w:ascii="Arial" w:hAnsi="Arial" w:cs="Arial"/>
          <w:sz w:val="24"/>
          <w:szCs w:val="24"/>
        </w:rPr>
        <w:t>5</w:t>
      </w:r>
      <w:r w:rsidRPr="00E01B1E">
        <w:rPr>
          <w:rFonts w:ascii="Arial" w:hAnsi="Arial" w:cs="Arial"/>
          <w:sz w:val="24"/>
          <w:szCs w:val="24"/>
        </w:rPr>
        <w:t xml:space="preserve"> – Voice Pedagogy </w:t>
      </w:r>
    </w:p>
    <w:p w14:paraId="701568EC" w14:textId="77777777" w:rsidR="00B73E6D" w:rsidRPr="00E01B1E" w:rsidRDefault="00932871" w:rsidP="00FE6C81">
      <w:pPr>
        <w:spacing w:line="276" w:lineRule="auto"/>
        <w:rPr>
          <w:rFonts w:ascii="Arial" w:hAnsi="Arial" w:cs="Arial"/>
          <w:sz w:val="24"/>
          <w:szCs w:val="24"/>
        </w:rPr>
      </w:pPr>
      <w:r>
        <w:rPr>
          <w:rFonts w:ascii="Arial" w:hAnsi="Arial" w:cs="Arial"/>
          <w:sz w:val="24"/>
          <w:szCs w:val="24"/>
        </w:rPr>
        <w:t>June 2025</w:t>
      </w:r>
    </w:p>
    <w:p w14:paraId="00672604" w14:textId="77777777" w:rsidR="00932871" w:rsidRPr="00E01B1E" w:rsidRDefault="00932871" w:rsidP="00932871">
      <w:pPr>
        <w:spacing w:line="360" w:lineRule="auto"/>
        <w:rPr>
          <w:rFonts w:ascii="Arial" w:hAnsi="Arial" w:cs="Arial"/>
          <w:sz w:val="24"/>
          <w:szCs w:val="24"/>
        </w:rPr>
      </w:pPr>
    </w:p>
    <w:p w14:paraId="102A19BC" w14:textId="77777777" w:rsidR="00932871" w:rsidRDefault="00932871" w:rsidP="00932871">
      <w:pPr>
        <w:pStyle w:val="PargrafodaLista"/>
        <w:numPr>
          <w:ilvl w:val="0"/>
          <w:numId w:val="1"/>
        </w:numPr>
        <w:spacing w:line="360" w:lineRule="auto"/>
        <w:rPr>
          <w:rFonts w:ascii="Arial" w:hAnsi="Arial" w:cs="Arial"/>
          <w:sz w:val="24"/>
          <w:szCs w:val="24"/>
        </w:rPr>
      </w:pPr>
      <w:r w:rsidRPr="00BC4552">
        <w:rPr>
          <w:rFonts w:ascii="Arial" w:hAnsi="Arial" w:cs="Arial"/>
          <w:sz w:val="24"/>
          <w:szCs w:val="24"/>
        </w:rPr>
        <w:t>PORTFOLIO</w:t>
      </w:r>
    </w:p>
    <w:p w14:paraId="3A29F034" w14:textId="77777777" w:rsidR="000B172D" w:rsidRDefault="000B172D" w:rsidP="00000617">
      <w:pPr>
        <w:spacing w:line="360" w:lineRule="auto"/>
        <w:rPr>
          <w:rFonts w:ascii="Arial" w:hAnsi="Arial" w:cs="Arial"/>
          <w:b/>
          <w:bCs/>
          <w:color w:val="FF0000"/>
          <w:sz w:val="24"/>
          <w:szCs w:val="24"/>
        </w:rPr>
      </w:pPr>
    </w:p>
    <w:p w14:paraId="75F0D7DB" w14:textId="77777777" w:rsidR="000B172D" w:rsidRDefault="006F7B9F" w:rsidP="00000617">
      <w:pPr>
        <w:spacing w:line="360" w:lineRule="auto"/>
        <w:rPr>
          <w:rFonts w:ascii="Arial" w:hAnsi="Arial" w:cs="Arial"/>
          <w:b/>
          <w:bCs/>
          <w:color w:val="000000" w:themeColor="text1"/>
          <w:sz w:val="24"/>
          <w:szCs w:val="24"/>
        </w:rPr>
      </w:pPr>
      <w:r w:rsidRPr="006F7B9F">
        <w:rPr>
          <w:rFonts w:ascii="Arial" w:hAnsi="Arial" w:cs="Arial"/>
          <w:b/>
          <w:bCs/>
          <w:color w:val="000000" w:themeColor="text1"/>
          <w:sz w:val="24"/>
          <w:szCs w:val="24"/>
        </w:rPr>
        <w:t xml:space="preserve">Which evidence-based strategies are most effective in managing Music Performance Anxiety (MPA), and </w:t>
      </w:r>
      <w:r w:rsidR="00B53632" w:rsidRPr="00B53632">
        <w:rPr>
          <w:rFonts w:ascii="Arial" w:hAnsi="Arial" w:cs="Arial"/>
          <w:b/>
          <w:bCs/>
          <w:color w:val="000000" w:themeColor="text1"/>
          <w:sz w:val="24"/>
          <w:szCs w:val="24"/>
        </w:rPr>
        <w:t>how can they be meaningfully implemented</w:t>
      </w:r>
      <w:r w:rsidRPr="006F7B9F">
        <w:rPr>
          <w:rFonts w:ascii="Arial" w:hAnsi="Arial" w:cs="Arial"/>
          <w:b/>
          <w:bCs/>
          <w:color w:val="000000" w:themeColor="text1"/>
          <w:sz w:val="24"/>
          <w:szCs w:val="24"/>
        </w:rPr>
        <w:t xml:space="preserve"> within the context of Portugal’s </w:t>
      </w:r>
      <w:r w:rsidR="004E154D">
        <w:rPr>
          <w:rFonts w:ascii="Arial" w:hAnsi="Arial" w:cs="Arial"/>
          <w:b/>
          <w:bCs/>
          <w:color w:val="000000" w:themeColor="text1"/>
          <w:sz w:val="24"/>
          <w:szCs w:val="24"/>
        </w:rPr>
        <w:t>educational</w:t>
      </w:r>
      <w:r w:rsidRPr="006F7B9F">
        <w:rPr>
          <w:rFonts w:ascii="Arial" w:hAnsi="Arial" w:cs="Arial"/>
          <w:b/>
          <w:bCs/>
          <w:color w:val="000000" w:themeColor="text1"/>
          <w:sz w:val="24"/>
          <w:szCs w:val="24"/>
        </w:rPr>
        <w:t xml:space="preserve"> artistic sector?</w:t>
      </w:r>
    </w:p>
    <w:p w14:paraId="3395DE3A" w14:textId="77777777" w:rsidR="006F7B9F" w:rsidRPr="006F7B9F" w:rsidRDefault="006F7B9F" w:rsidP="00000617">
      <w:pPr>
        <w:spacing w:line="360" w:lineRule="auto"/>
        <w:rPr>
          <w:rFonts w:ascii="Arial" w:hAnsi="Arial" w:cs="Arial"/>
          <w:b/>
          <w:bCs/>
          <w:color w:val="000000" w:themeColor="text1"/>
          <w:sz w:val="24"/>
          <w:szCs w:val="24"/>
        </w:rPr>
      </w:pPr>
    </w:p>
    <w:p w14:paraId="177B1FAE" w14:textId="77777777" w:rsidR="00932871" w:rsidRDefault="00932871" w:rsidP="000C32E0">
      <w:pPr>
        <w:spacing w:line="360" w:lineRule="auto"/>
        <w:jc w:val="both"/>
        <w:rPr>
          <w:rFonts w:ascii="Arial" w:hAnsi="Arial" w:cs="Arial"/>
          <w:sz w:val="24"/>
          <w:szCs w:val="24"/>
        </w:rPr>
      </w:pPr>
      <w:r w:rsidRPr="00BC4552">
        <w:rPr>
          <w:rFonts w:ascii="Arial" w:hAnsi="Arial" w:cs="Arial"/>
          <w:sz w:val="24"/>
          <w:szCs w:val="24"/>
        </w:rPr>
        <w:t xml:space="preserve">INTRODUCTION AND RATIONALE </w:t>
      </w:r>
    </w:p>
    <w:p w14:paraId="697B0A0F" w14:textId="77777777" w:rsidR="00806294" w:rsidRDefault="00FC1DDA" w:rsidP="00806294">
      <w:pPr>
        <w:spacing w:line="360" w:lineRule="auto"/>
        <w:jc w:val="both"/>
        <w:rPr>
          <w:rFonts w:ascii="Arial" w:hAnsi="Arial" w:cs="Arial"/>
          <w:sz w:val="24"/>
          <w:szCs w:val="24"/>
        </w:rPr>
      </w:pPr>
      <w:r w:rsidRPr="00FC1DDA">
        <w:rPr>
          <w:rFonts w:ascii="Arial" w:hAnsi="Arial" w:cs="Arial"/>
          <w:sz w:val="24"/>
          <w:szCs w:val="24"/>
        </w:rPr>
        <w:t>As a singing teacher working with both professional and pre-professional musical theatre performers in Portugal, I have observed that high-pressure environments</w:t>
      </w:r>
      <w:r>
        <w:rPr>
          <w:rFonts w:ascii="Arial" w:hAnsi="Arial" w:cs="Arial"/>
          <w:sz w:val="24"/>
          <w:szCs w:val="24"/>
        </w:rPr>
        <w:t xml:space="preserve">, </w:t>
      </w:r>
      <w:r w:rsidRPr="00FC1DDA">
        <w:rPr>
          <w:rFonts w:ascii="Arial" w:hAnsi="Arial" w:cs="Arial"/>
          <w:sz w:val="24"/>
          <w:szCs w:val="24"/>
        </w:rPr>
        <w:t>such as performances and auditions</w:t>
      </w:r>
      <w:r>
        <w:rPr>
          <w:rFonts w:ascii="Arial" w:hAnsi="Arial" w:cs="Arial"/>
          <w:sz w:val="24"/>
          <w:szCs w:val="24"/>
        </w:rPr>
        <w:t xml:space="preserve">, </w:t>
      </w:r>
      <w:r w:rsidRPr="00FC1DDA">
        <w:rPr>
          <w:rFonts w:ascii="Arial" w:hAnsi="Arial" w:cs="Arial"/>
          <w:sz w:val="24"/>
          <w:szCs w:val="24"/>
        </w:rPr>
        <w:t>often trigger significant stress and anxiety in students. From experience, I’ve noticed that anxiety can impair vocal performance, increase physical tension, and diminish self-esteem, particularly in pre-performance settings. These observations have deepened my interest in understanding the impact of stress on vocal development and performance.</w:t>
      </w:r>
    </w:p>
    <w:p w14:paraId="303DD5F7" w14:textId="77777777" w:rsidR="00FC1DDA" w:rsidRDefault="00806294" w:rsidP="000C32E0">
      <w:pPr>
        <w:spacing w:line="360" w:lineRule="auto"/>
        <w:jc w:val="both"/>
        <w:rPr>
          <w:rFonts w:ascii="Arial" w:hAnsi="Arial" w:cs="Arial"/>
          <w:sz w:val="24"/>
          <w:szCs w:val="24"/>
        </w:rPr>
      </w:pPr>
      <w:r>
        <w:rPr>
          <w:rFonts w:ascii="Arial" w:hAnsi="Arial" w:cs="Arial"/>
          <w:sz w:val="24"/>
          <w:szCs w:val="24"/>
        </w:rPr>
        <w:t xml:space="preserve"> </w:t>
      </w:r>
      <w:r w:rsidRPr="0084458E">
        <w:rPr>
          <w:rFonts w:ascii="Arial" w:hAnsi="Arial" w:cs="Arial"/>
          <w:sz w:val="24"/>
          <w:szCs w:val="24"/>
        </w:rPr>
        <w:t>In my previous research (Module 4), I examined the prevalence and impact of Music Performance Anxiety (MPA) within singing education, focusing on its origins, causes, and effects on singers. The study revealed that MPA is highly prevalent, particularly among undergraduate students</w:t>
      </w:r>
      <w:r w:rsidR="00F858BB">
        <w:rPr>
          <w:rFonts w:ascii="Arial" w:hAnsi="Arial" w:cs="Arial"/>
          <w:sz w:val="24"/>
          <w:szCs w:val="24"/>
        </w:rPr>
        <w:t xml:space="preserve"> </w:t>
      </w:r>
      <w:r w:rsidR="005C2BE8">
        <w:rPr>
          <w:rFonts w:ascii="Arial" w:hAnsi="Arial" w:cs="Arial"/>
          <w:sz w:val="24"/>
          <w:szCs w:val="24"/>
        </w:rPr>
        <w:fldChar w:fldCharType="begin"/>
      </w:r>
      <w:r w:rsidR="005C2BE8">
        <w:rPr>
          <w:rFonts w:ascii="Arial" w:hAnsi="Arial" w:cs="Arial"/>
          <w:sz w:val="24"/>
          <w:szCs w:val="24"/>
        </w:rPr>
        <w:instrText xml:space="preserve"> ADDIN ZOTERO_ITEM CSL_CITATION {"citationID":"eEdP8RS0","properties":{"formattedCitation":"(Hildebrandt, N\\uc0\\u252{}bling and Candia, 2012; Braden, Osborne and Wilson, 2015; Barros {\\i{}et al.}, 2022; Henshaw and Collyer, 2022)","plainCitation":"(Hildebrandt, Nübling and Candia, 2012; Braden, Osborne and Wilson, 2015; Barros et al., 2022; Henshaw and Collyer, 2022)","noteIndex":0},"citationItems":[{"id":640,"uris":["http://zotero.org/users/local/hN5mtYaY/items/WEE7G37A"],"itemData":{"id":640,"type":"article-journal","abstract":"Public opinion associates music performance with pleasure, relaxation, and entertainment. Nevertheless, several studies have shown that professional musicians and music students are often affected by work-related burdens. These are closely related to stress and anxiety.\nScrutinizing specific health strains and work attitudes of music students during their freshman year of high-level education.\nOne hundred five students in three Swiss music universities were part of a longitudinal study using standardized assessment questionnaires. Before and after their first study year, some custom-made questionnaires designed to fit the particular work environment of musicians were used together with the already validated inquiry instruments.\nFatigue, depression, and stage fright increased significantly.\nOur results indicate more study is needed and attempts should be made to minimize the stress level, improve the students' ability to cope with stress, and otherwise reduce their risk for injury. This appears particularly important considering the long-term negative effects of stressors on individuals' health as revealed by modern research.","container-title":"Medical Problems of Performing Artists","ISSN":"08851158","issue":"1","language":"English","license":"Copyright Science &amp; Medicine Inc. Mar 2012","note":"number-of-pages: 6\npublisher-place: Narberth, United States\npublisher: Science &amp; Medicine Inc.","page":"43-8","source":"ProQuest","title":"Increment of Fatigue, Depression, and Stage Fright During the First Year of High-Level Education in Music Students","volume":"27","author":[{"family":"Hildebrandt","given":"Horst"},{"family":"Nübling","given":"Matthias"},{"family":"Candia","given":"Victor"}],"issued":{"date-parts":[["2012",3]]}}},{"id":839,"uris":["http://zotero.org/users/local/hN5mtYaY/items/M5PTAHL7"],"itemData":{"id":839,"type":"article-journal","abstract":"Music performance anxiety (MPA) can be distressing for many young people studying music, and may negatively impact upon their ability to cope with the demands and stressors of music education. It can also lead young people to give up music or to develop unhealthy coping habits in their adult music careers. Minimal research has examined the effectiveness of psychological programs to address MPA in young musicians. Sixty-two adolescents were pseudo-randomized to a cognitive behavioral (CB) group-delivered intervention or a waitlist condition. The intervention consisted of psychoeducation, cognitive restructuring and relaxation techniques, identification of strengths, goal-setting, imagery and visualization techniques to support three solo performances in front of judges. Significant reductions in self-rated MPA were found in both groups following the intervention and compared to their baseline MPA. This reduction was maintained at 2-months follow-up. There appeared to be inconsistent effects of the intervention upon judge-rated MPA, however the presence of floor effects precluded meaningful reductions in MPA. There appeared to be no effect of the intervention upon judge-rated performance quality. This study highlights the potential for group-based CB programs to be delivered within school music curricula to help young musicians develop skills to overcome the often debilitating effects of MPA.","container-title":"Frontiers in Psychology","DOI":"10.3389/fpsyg.2015.00195","ISSN":"1664-1078","journalAbbreviation":"Front Psychol","language":"eng","note":"PMID: 25784885\nPMCID: PMC4347450","page":"195","source":"PubMed","title":"Psychological intervention reduces self-reported performance anxiety in high school music students","volume":"6","author":[{"family":"Braden","given":"Alice M."},{"family":"Osborne","given":"Margaret S."},{"family":"Wilson","given":"Sarah J."}],"issued":{"date-parts":[["2015"]]}}},{"id":695,"uris":["http://zotero.org/users/local/hN5mtYaY/items/RFYS8HQR"],"itemData":{"id":695,"type":"article-journal","abstract":"Music performance anxiety (MPA) is described as a persistent apprehension that compromises performative skills both in solo and group performances. The aim of this systematic review was to discuss an overview of research articles addressing the characteristics of MPA as experienced by undergraduate music students. The search was undertaken in the databases Web of Science, PubMed, Scopus and Eric; of 1526 articles identified by the search keywords, 43 were selected for review through the PRISMA protocol. The study types included cross-sectional, experimental, longitudinal, descriptive, questionnaire survey, qualitative study, exploratory and retrospective follow-up designs. This review evidences the diversity of the contexts and topics addressed by current research, namely issues of prevalence, predictors of anxiety/risk factors, relationship between flow experience (FE) and MPA, and coping with MPA, adopting psychological, cognitive, physiological and behavioral perspectives. Notwithstanding, the review has also identified a lack of qualitative and longitudinal studies, studies on institutional teaching contexts, and of larger and more representative participant samples, which could promote a better understanding of the etiology of MPA among students attending higher education.","container-title":"Psychology of Music","DOI":"10.1177/03057356211066967","ISSN":"0305-7356","issue":"6","language":"en","note":"publisher: SAGE Publications Ltd","page":"2021-2043","source":"SAGE Journals","title":"Characteristics of music performance anxiety among undergraduate music students: A systematic review","title-short":"Characteristics of music performance anxiety among undergraduate music students","volume":"50","author":[{"family":"Barros","given":"Samuel"},{"family":"Marinho","given":"Helena"},{"family":"Borges","given":"Nery"},{"family":"Pereira","given":"Anabela"}],"issued":{"date-parts":[["2022",11,1]]}}},{"id":263,"uris":["http://zotero.org/users/local/hN5mtYaY/items/MD9UZG9L"],"itemData":{"id":263,"type":"article-journal","abstract":"Music Performance Anxiety (MPA) is a complex phenomenon that has been observed in musicians of all disciplines and at all skill levels. Singers are particularly vulnerable to MPA as symptoms like shaky voice and hyperventilation impede reliable vocalisation. Furthermore, enquiry into aesthetic and performance expectations of contemporary commercial music (CCM), music theatre and classical singing reveals genre specific triggers for MPA. To date, most of the research concerning singers’ experiences with MPA has focused on the classical genre and so has excluded most singers and contemporary performance situations. It is imperative that developing singers and singing voice teachers understand the nuances of the diverse professional performance environment. To this end, in September 2019, Griffith University facilitated a panel presentation and open discussion with experts in the field of Contemporary Commercial Music (CCM), Music Theatre (MT) and Classical singing. The three panellists discussed MPA in the context of each genre as well as management strategies for performers and teachers. The following article summarises their remarks.","container-title":"Journal of Singing","DOI":"10.53830/JETA7812","ISSN":"10867732, 27694046","issue":"5","journalAbbreviation":"SING","language":"en","page":"583-590","source":"DOI.org (Crossref)","title":"Under Pressure: Reports of Performance Anxiety Across Multiple Singing Genres","title-short":"Under Pressure","volume":"78","author":[{"family":"Henshaw","given":"Ajhriahna"},{"family":"Collyer","given":"Sarah"}],"issued":{"date-parts":[["2022",4,28]]}}}],"schema":"https://github.com/citation-style-language/schema/raw/master/csl-citation.json"} </w:instrText>
      </w:r>
      <w:r w:rsidR="005C2BE8">
        <w:rPr>
          <w:rFonts w:ascii="Arial" w:hAnsi="Arial" w:cs="Arial"/>
          <w:sz w:val="24"/>
          <w:szCs w:val="24"/>
        </w:rPr>
        <w:fldChar w:fldCharType="separate"/>
      </w:r>
      <w:r w:rsidR="005C2BE8" w:rsidRPr="005C2BE8">
        <w:rPr>
          <w:rFonts w:ascii="Arial" w:hAnsi="Arial" w:cs="Arial"/>
          <w:sz w:val="24"/>
        </w:rPr>
        <w:t xml:space="preserve">(Hildebrandt, Nübling and Candia, 2012; Braden, Osborne and Wilson, 2015; Barros </w:t>
      </w:r>
      <w:r w:rsidR="005C2BE8" w:rsidRPr="005C2BE8">
        <w:rPr>
          <w:rFonts w:ascii="Arial" w:hAnsi="Arial" w:cs="Arial"/>
          <w:i/>
          <w:iCs/>
          <w:sz w:val="24"/>
        </w:rPr>
        <w:t>et al.</w:t>
      </w:r>
      <w:r w:rsidR="005C2BE8" w:rsidRPr="005C2BE8">
        <w:rPr>
          <w:rFonts w:ascii="Arial" w:hAnsi="Arial" w:cs="Arial"/>
          <w:sz w:val="24"/>
        </w:rPr>
        <w:t>, 2022; Henshaw and Collyer, 2022)</w:t>
      </w:r>
      <w:r w:rsidR="005C2BE8">
        <w:rPr>
          <w:rFonts w:ascii="Arial" w:hAnsi="Arial" w:cs="Arial"/>
          <w:sz w:val="24"/>
          <w:szCs w:val="24"/>
        </w:rPr>
        <w:fldChar w:fldCharType="end"/>
      </w:r>
      <w:r w:rsidRPr="0084458E">
        <w:rPr>
          <w:rFonts w:ascii="Arial" w:hAnsi="Arial" w:cs="Arial"/>
          <w:sz w:val="24"/>
          <w:szCs w:val="24"/>
        </w:rPr>
        <w:t>, and manifests through cognitive, emotional, physiological, and behavioral symptoms</w:t>
      </w:r>
      <w:r w:rsidR="00F858BB">
        <w:rPr>
          <w:rFonts w:ascii="Arial" w:hAnsi="Arial" w:cs="Arial"/>
          <w:sz w:val="24"/>
          <w:szCs w:val="24"/>
        </w:rPr>
        <w:t xml:space="preserve"> </w:t>
      </w:r>
      <w:r w:rsidR="005C2BE8">
        <w:rPr>
          <w:rFonts w:ascii="Arial" w:hAnsi="Arial" w:cs="Arial"/>
          <w:sz w:val="24"/>
          <w:szCs w:val="24"/>
        </w:rPr>
        <w:fldChar w:fldCharType="begin"/>
      </w:r>
      <w:r w:rsidR="005C2BE8">
        <w:rPr>
          <w:rFonts w:ascii="Arial" w:hAnsi="Arial" w:cs="Arial"/>
          <w:sz w:val="24"/>
          <w:szCs w:val="24"/>
        </w:rPr>
        <w:instrText xml:space="preserve"> ADDIN ZOTERO_ITEM CSL_CITATION {"citationID":"kIXEE4rE","properties":{"formattedCitation":"(Steptoe, 1982, 2001; Barlow, 1988; Kenny, 2006)","plainCitation":"(Steptoe, 1982, 2001; Barlow, 1988; Kenny, 2006)","noteIndex":0},"citationItems":[{"id":813,"uris":["http://zotero.org/users/local/hN5mtYaY/items/RH4N3S6N"],"itemData":{"id":813,"type":"article-journal","abstract":"Semantic Scholar extracted view of \"Performance Anxiety. Recent Developments in Its Analysis and Management\" by A. Steptoe","container-title":"The Musical Times","DOI":"10.2307/962763","ISSN":"00274666","issue":"1674","journalAbbreviation":"The Musical Times","page":"537","source":"Semantic Scholar","title":"Performance Anxiety. Recent Developments in Its Analysis and Management","volume":"123","author":[{"family":"Steptoe","given":"Andrew"}],"issued":{"date-parts":[["1982",8]]}}},{"id":713,"uris":["http://zotero.org/users/local/hN5mtYaY/items/QVNW7U7G"],"itemData":{"id":713,"type":"chapter","abstract":"The performance of music induces extraordinarily positive feelings in many players and singers. Participation in a successful and exciting performance often leads to feelings of euphoria, whether it be in a school concert, a piece sung by a village choir, or a public show in a prestigious concert hall. Here is the baritone Thomas Allen (interviewed in the Independent on Sunday in 1990) describing his feelings at the end of a performance of Don Giovanni in Japan: ‘I could have walked over the house tops I was so high’.When the producer came backstage to congratulate him, Allen picked him up and carried him across the stage, ‘Oh, I could have run up Mount Fuji!’ The same feelings of joy of creative music making are vividly expressed in a letter written by the 21-year-old Mozart to his father in November 1777. He was playing the organ during a Sunday service in the Court chapel in Mannheim in the presence of the ruler of the state.","container-title":"Music And Emotion: Theory and research","ISBN":"978-0-19-263188-6","note":"DOI: 10.1093/oso/9780192631886.003.0013","page":"0","publisher":"Oxford University Press","source":"Silverchair","title":"Negative Emotions In Music Making: The Problem Of Performance Anxiety","title-short":"Negative Emotions In Music Making","URL":"https://doi.org/10.1093/oso/9780192631886.003.0013","author":[{"family":"Steptoe","given":"Andrew"}],"editor":[{"family":"Juslin","given":"Patrik N"},{"family":"Sloboda","given":"John A"}],"accessed":{"date-parts":[["2024",11,21]]},"issued":{"date-parts":[["2001",8,30]]}}},{"id":731,"uris":["http://zotero.org/users/local/hN5mtYaY/items/A4FIDQPK"],"itemData":{"id":731,"type":"book","abstract":"xvii, 698 pages : 24 cm; Includes bibliographical references (pages 635-692) and index; The experience of anxiety : shadow of intelligence or specter of death -- Emotions and anxiety -- The phenomenon of panic -- Provoking panic in the laboratory -- Biological aspects of anxiety and panic -- The origins of panic : alarms, false alarms, and learned alarms -- The process and origins of anxiety -- The process of fear and anxiety reduction : affective therapy -- Classification -- Diagnosis and assessment of panic disorder and Agoraphobia -- Treatment of panic and Agoraphobia -- Simple phobia -- Posttraumatic Stress disorder -- Social phobia -- Generalized anxiety disorder -- Obsessive-Compulsive disorder","ISBN":"978-0-89862-720-6","language":"eng","number-of-pages":"730","publisher":"New York : Guilford Press","source":"Internet Archive","title":"Anxiety and its disorders : the nature and treatment of anxiety and panic","title-short":"Anxiety and its disorders","URL":"http://archive.org/details/anxietyitsdisord0000barl_j6d3","author":[{"family":"Barlow","given":"David H."}],"contributor":[{"literal":"Internet Archive"}],"accessed":{"date-parts":[["2024",11,25]]},"issued":{"date-parts":[["1988"]]}}},{"id":439,"uris":["http://zotero.org/users/local/hN5mtYaY/items/F7LPVRPL"],"itemData":{"id":439,"type":"article-journal","container-title":"Context","ISSN":"10384006","issue":"31","language":"English","license":"Copyright University of Melbourne - Faculty of Music 2006","note":"number-of-pages: 15\npublisher-place: Melbourne, Australia\npublisher: University of Melbourne - Faculty of Music","page":"51-64,207","source":"ProQuest","title":"Music Performance Anxiety: Origins, Phenomenology, Assessment and Treatment","title-short":"Music Performance Anxiety","author":[{"family":"Kenny","given":"Dianna T."}],"issued":{"date-parts":[["2006"]]}}}],"schema":"https://github.com/citation-style-language/schema/raw/master/csl-citation.json"} </w:instrText>
      </w:r>
      <w:r w:rsidR="005C2BE8">
        <w:rPr>
          <w:rFonts w:ascii="Arial" w:hAnsi="Arial" w:cs="Arial"/>
          <w:sz w:val="24"/>
          <w:szCs w:val="24"/>
        </w:rPr>
        <w:fldChar w:fldCharType="separate"/>
      </w:r>
      <w:r w:rsidR="005C2BE8" w:rsidRPr="005C2BE8">
        <w:rPr>
          <w:rFonts w:ascii="Arial" w:hAnsi="Arial" w:cs="Arial"/>
          <w:sz w:val="24"/>
        </w:rPr>
        <w:t>(Steptoe, 1982, 2001; Barlow, 1988; Kenny, 2006)</w:t>
      </w:r>
      <w:r w:rsidR="005C2BE8">
        <w:rPr>
          <w:rFonts w:ascii="Arial" w:hAnsi="Arial" w:cs="Arial"/>
          <w:sz w:val="24"/>
          <w:szCs w:val="24"/>
        </w:rPr>
        <w:fldChar w:fldCharType="end"/>
      </w:r>
      <w:r w:rsidRPr="0084458E">
        <w:rPr>
          <w:rFonts w:ascii="Arial" w:hAnsi="Arial" w:cs="Arial"/>
          <w:sz w:val="24"/>
          <w:szCs w:val="24"/>
        </w:rPr>
        <w:t xml:space="preserve">. These symptoms can severely affect singers’ emotional well-being, health, and professional development. Importantly, the research emphasized the role of supportive teacher-student relationships in mitigating anxiety and fostering self-efficacy and confidence (Kirchner, 2004; Nagel, 2009; Braden, Osborne &amp; </w:t>
      </w:r>
      <w:r w:rsidRPr="0084458E">
        <w:rPr>
          <w:rFonts w:ascii="Arial" w:hAnsi="Arial" w:cs="Arial"/>
          <w:sz w:val="24"/>
          <w:szCs w:val="24"/>
        </w:rPr>
        <w:lastRenderedPageBreak/>
        <w:t>Wilson, 2015; Boyett, 2020). The findings highlighted the need for holistic, education-based strategies that address both the psychological and structural dimensions of MPA, transforming it from a harmful obstacle into a manageable and potentially motivating element of artistic growth</w:t>
      </w:r>
      <w:r w:rsidR="00F858BB">
        <w:rPr>
          <w:rFonts w:ascii="Arial" w:hAnsi="Arial" w:cs="Arial"/>
          <w:sz w:val="24"/>
          <w:szCs w:val="24"/>
        </w:rPr>
        <w:t xml:space="preserve"> </w:t>
      </w:r>
      <w:r w:rsidR="005C2BE8">
        <w:rPr>
          <w:rFonts w:ascii="Arial" w:hAnsi="Arial" w:cs="Arial"/>
          <w:sz w:val="24"/>
          <w:szCs w:val="24"/>
        </w:rPr>
        <w:fldChar w:fldCharType="begin"/>
      </w:r>
      <w:r w:rsidR="005C2BE8">
        <w:rPr>
          <w:rFonts w:ascii="Arial" w:hAnsi="Arial" w:cs="Arial"/>
          <w:sz w:val="24"/>
          <w:szCs w:val="24"/>
        </w:rPr>
        <w:instrText xml:space="preserve"> ADDIN ZOTERO_ITEM CSL_CITATION {"citationID":"JLTqz36J","properties":{"formattedCitation":"(Kirchner, 2004; Kenny, 2005; Boyett, 2020; Henshaw and Collyer, 2022)","plainCitation":"(Kirchner, 2004; Kenny, 2005; Boyett, 2020; Henshaw and Collyer, 2022)","noteIndex":0},"citationItems":[{"id":766,"uris":["http://zotero.org/users/local/hN5mtYaY/items/ZUU82LLU"],"itemData":{"id":766,"type":"article-journal","abstract":"Kirchner presents several basic techniques to alleviate mild performance including memory stations, realistic expectations, and performance rehearsals. Among other things, selected designated measures throughout a composition to be memory stations, an individual could confidently jump to these if the need arose.","container-title":"The American Music Teacher","ISSN":"00030112","issue":"3","language":"English","license":"Copyright Music Teachers National Association Dec 2004/Jan 2005","note":"number-of-pages: 3\npublisher-place: Cincinnati, United States\npublisher: Music Teachers National Association","page":"31-33","source":"ProQuest","title":"Managing Musical Performance Anxiety","volume":"54","author":[{"family":"Kirchner","given":"Joann"}],"issued":{"date-parts":[["2004",12]]}}},{"id":909,"uris":["http://zotero.org/users/local/hN5mtYaY/items/Z4Y4VJ2N"],"itemData":{"id":909,"type":"article-journal","abstract":"A systematic review of all available treatment studies for music performance anxiety was undertaken. Interventions were categorised into psychological treatments and pharmacological treatments. Psychological treatments included behavioral, cognitive, cognitive-behavioral, combined treatments and other therapies. Issues such as the number of studies in each treatment modality, their sample sizes and the methodological quality of most of the studies reviewed precluded firm conclusions about the effectiveness of any of the treatments assessed for music performance anxiety. The field is in urgent need of larger scale, methodologically rigorous studies to assist the large minority of musicians who suffer from performance impairing music performance anxiety. (PsycINFO Database Record (c) 2009 APA, all rights reserved) (journal abstract).","container-title":"Anxiety, Stress &amp; Coping: An International Journal","DOI":"10.1080/10615800500167258","ISSN":"1061-5806 1477-2205","journalAbbreviation":"Anxiety, Stress &amp; Coping: An International Journal","page":"183-208","source":"ResearchGate","title":"A Systematic Review of Treatments for Music Performance Anxiety","volume":"18","author":[{"family":"Kenny","given":"Dianna"}],"issued":{"date-parts":[["2005",9,1]]}}},{"id":851,"uris":["http://zotero.org/users/local/hN5mtYaY/items/2RC7823L"],"itemData":{"id":851,"type":"article-journal","container-title":"MTNA e-Journal","title":"“Music Performance Anxiety, The Role Of Teachers In Addressing Anxiety,”","author":[{"family":"Boyett","given":"Clara"}],"issued":{"date-parts":[["2020"]]}}},{"id":263,"uris":["http://zotero.org/users/local/hN5mtYaY/items/MD9UZG9L"],"itemData":{"id":263,"type":"article-journal","abstract":"Music Performance Anxiety (MPA) is a complex phenomenon that has been observed in musicians of all disciplines and at all skill levels. Singers are particularly vulnerable to MPA as symptoms like shaky voice and hyperventilation impede reliable vocalisation. Furthermore, enquiry into aesthetic and performance expectations of contemporary commercial music (CCM), music theatre and classical singing reveals genre specific triggers for MPA. To date, most of the research concerning singers’ experiences with MPA has focused on the classical genre and so has excluded most singers and contemporary performance situations. It is imperative that developing singers and singing voice teachers understand the nuances of the diverse professional performance environment. To this end, in September 2019, Griffith University facilitated a panel presentation and open discussion with experts in the field of Contemporary Commercial Music (CCM), Music Theatre (MT) and Classical singing. The three panellists discussed MPA in the context of each genre as well as management strategies for performers and teachers. The following article summarises their remarks.","container-title":"Journal of Singing","DOI":"10.53830/JETA7812","ISSN":"10867732, 27694046","issue":"5","journalAbbreviation":"SING","language":"en","page":"583-590","source":"DOI.org (Crossref)","title":"Under Pressure: Reports of Performance Anxiety Across Multiple Singing Genres","title-short":"Under Pressure","volume":"78","author":[{"family":"Henshaw","given":"Ajhriahna"},{"family":"Collyer","given":"Sarah"}],"issued":{"date-parts":[["2022",4,28]]}}}],"schema":"https://github.com/citation-style-language/schema/raw/master/csl-citation.json"} </w:instrText>
      </w:r>
      <w:r w:rsidR="005C2BE8">
        <w:rPr>
          <w:rFonts w:ascii="Arial" w:hAnsi="Arial" w:cs="Arial"/>
          <w:sz w:val="24"/>
          <w:szCs w:val="24"/>
        </w:rPr>
        <w:fldChar w:fldCharType="separate"/>
      </w:r>
      <w:r w:rsidR="005C2BE8" w:rsidRPr="005C2BE8">
        <w:rPr>
          <w:rFonts w:ascii="Arial" w:hAnsi="Arial" w:cs="Arial"/>
          <w:sz w:val="24"/>
        </w:rPr>
        <w:t>(Kirchner, 2004; Kenny, 2005; Boyett, 2020; Henshaw and Collyer, 2022)</w:t>
      </w:r>
      <w:r w:rsidR="005C2BE8">
        <w:rPr>
          <w:rFonts w:ascii="Arial" w:hAnsi="Arial" w:cs="Arial"/>
          <w:sz w:val="24"/>
          <w:szCs w:val="24"/>
        </w:rPr>
        <w:fldChar w:fldCharType="end"/>
      </w:r>
      <w:r w:rsidRPr="0084458E">
        <w:rPr>
          <w:rFonts w:ascii="Arial" w:hAnsi="Arial" w:cs="Arial"/>
          <w:sz w:val="24"/>
          <w:szCs w:val="24"/>
        </w:rPr>
        <w:t>.</w:t>
      </w:r>
    </w:p>
    <w:p w14:paraId="4F462984" w14:textId="77777777" w:rsidR="00CE0271" w:rsidRDefault="00026808" w:rsidP="000C32E0">
      <w:pPr>
        <w:spacing w:line="360" w:lineRule="auto"/>
        <w:jc w:val="both"/>
        <w:rPr>
          <w:rFonts w:ascii="Arial" w:hAnsi="Arial" w:cs="Arial"/>
          <w:sz w:val="24"/>
          <w:szCs w:val="24"/>
        </w:rPr>
      </w:pPr>
      <w:r w:rsidRPr="00026808">
        <w:rPr>
          <w:rFonts w:ascii="Arial" w:hAnsi="Arial" w:cs="Arial"/>
          <w:sz w:val="24"/>
          <w:szCs w:val="24"/>
        </w:rPr>
        <w:t>As a Portuguese voice teacher working in Portugal, I am particularly focused on exploring the influence of</w:t>
      </w:r>
      <w:r w:rsidR="00F858BB">
        <w:rPr>
          <w:rFonts w:ascii="Arial" w:hAnsi="Arial" w:cs="Arial"/>
          <w:sz w:val="24"/>
          <w:szCs w:val="24"/>
        </w:rPr>
        <w:t xml:space="preserve"> </w:t>
      </w:r>
      <w:r w:rsidRPr="00026808">
        <w:rPr>
          <w:rFonts w:ascii="Arial" w:hAnsi="Arial" w:cs="Arial"/>
          <w:sz w:val="24"/>
          <w:szCs w:val="24"/>
        </w:rPr>
        <w:t>MPA within my community. A 2017 study by Damas suggests that MPA is a prevalent issue among musicians, underscoring the need for further research to address this concern</w:t>
      </w:r>
      <w:r>
        <w:rPr>
          <w:rFonts w:ascii="Arial" w:hAnsi="Arial" w:cs="Arial"/>
          <w:sz w:val="24"/>
          <w:szCs w:val="24"/>
        </w:rPr>
        <w:t xml:space="preserve"> </w:t>
      </w:r>
      <w:r w:rsidR="000C32E0">
        <w:rPr>
          <w:rFonts w:ascii="Arial" w:hAnsi="Arial" w:cs="Arial"/>
          <w:sz w:val="24"/>
          <w:szCs w:val="24"/>
        </w:rPr>
        <w:fldChar w:fldCharType="begin"/>
      </w:r>
      <w:r w:rsidR="000C32E0">
        <w:rPr>
          <w:rFonts w:ascii="Arial" w:hAnsi="Arial" w:cs="Arial"/>
          <w:sz w:val="24"/>
          <w:szCs w:val="24"/>
        </w:rPr>
        <w:instrText xml:space="preserve"> ADDIN ZOTERO_ITEM CSL_CITATION {"citationID":"smY6dQd3","properties":{"formattedCitation":"(Damas, 2017)","plainCitation":"(Damas, 2017)","noteIndex":0},"citationItems":[{"id":677,"uris":["http://zotero.org/users/local/hN5mtYaY/items/E2LS3MXR"],"itemData":{"id":677,"type":"article-journal","container-title":"Revista Portuguesa de Educação Artística","DOI":"10.23828/rpea.v7i1.118","ISSN":"1647-905X","issue":"1","title":"Evaluation of the Anxiety Prevalence Relative to Musical Performance in Classical Musicians","volume":"7","author":[{"family":"Damas","given":"Carlos"}],"issued":{"date-parts":[["2017"]]}}}],"schema":"https://github.com/citation-style-language/schema/raw/master/csl-citation.json"} </w:instrText>
      </w:r>
      <w:r w:rsidR="000C32E0">
        <w:rPr>
          <w:rFonts w:ascii="Arial" w:hAnsi="Arial" w:cs="Arial"/>
          <w:sz w:val="24"/>
          <w:szCs w:val="24"/>
        </w:rPr>
        <w:fldChar w:fldCharType="separate"/>
      </w:r>
      <w:r w:rsidR="000C32E0" w:rsidRPr="000C32E0">
        <w:rPr>
          <w:rFonts w:ascii="Arial" w:hAnsi="Arial" w:cs="Arial"/>
          <w:sz w:val="24"/>
        </w:rPr>
        <w:t>(Damas, 2017)</w:t>
      </w:r>
      <w:r w:rsidR="000C32E0">
        <w:rPr>
          <w:rFonts w:ascii="Arial" w:hAnsi="Arial" w:cs="Arial"/>
          <w:sz w:val="24"/>
          <w:szCs w:val="24"/>
        </w:rPr>
        <w:fldChar w:fldCharType="end"/>
      </w:r>
      <w:r w:rsidRPr="00026808">
        <w:rPr>
          <w:rFonts w:ascii="Arial" w:hAnsi="Arial" w:cs="Arial"/>
          <w:sz w:val="24"/>
          <w:szCs w:val="24"/>
        </w:rPr>
        <w:t>. This aligns with my own professional observations, where I have witnessed firsthand how stress and anxiety can significantly affect vocalists in performance contexts.</w:t>
      </w:r>
      <w:r>
        <w:rPr>
          <w:rFonts w:ascii="Arial" w:hAnsi="Arial" w:cs="Arial"/>
          <w:sz w:val="24"/>
          <w:szCs w:val="24"/>
        </w:rPr>
        <w:t xml:space="preserve"> </w:t>
      </w:r>
    </w:p>
    <w:p w14:paraId="51B37D0D" w14:textId="77777777" w:rsidR="00085CF9" w:rsidRDefault="00374AC8" w:rsidP="000C32E0">
      <w:pPr>
        <w:spacing w:line="360" w:lineRule="auto"/>
        <w:jc w:val="both"/>
        <w:rPr>
          <w:rFonts w:ascii="Arial" w:hAnsi="Arial" w:cs="Arial"/>
          <w:sz w:val="24"/>
          <w:szCs w:val="24"/>
        </w:rPr>
      </w:pPr>
      <w:r w:rsidRPr="00374AC8">
        <w:rPr>
          <w:rFonts w:ascii="Arial" w:hAnsi="Arial" w:cs="Arial"/>
          <w:sz w:val="24"/>
          <w:szCs w:val="24"/>
        </w:rPr>
        <w:t xml:space="preserve">Drawing </w:t>
      </w:r>
      <w:r w:rsidR="00806294">
        <w:rPr>
          <w:rFonts w:ascii="Arial" w:hAnsi="Arial" w:cs="Arial"/>
          <w:sz w:val="24"/>
          <w:szCs w:val="24"/>
        </w:rPr>
        <w:t xml:space="preserve">also </w:t>
      </w:r>
      <w:r w:rsidRPr="00374AC8">
        <w:rPr>
          <w:rFonts w:ascii="Arial" w:hAnsi="Arial" w:cs="Arial"/>
          <w:sz w:val="24"/>
          <w:szCs w:val="24"/>
        </w:rPr>
        <w:t xml:space="preserve">from my personal experience, I am particularly motivated to explore the relationship </w:t>
      </w:r>
      <w:proofErr w:type="gramStart"/>
      <w:r w:rsidRPr="00374AC8">
        <w:rPr>
          <w:rFonts w:ascii="Arial" w:hAnsi="Arial" w:cs="Arial"/>
          <w:sz w:val="24"/>
          <w:szCs w:val="24"/>
        </w:rPr>
        <w:t>MPA</w:t>
      </w:r>
      <w:proofErr w:type="gramEnd"/>
      <w:r w:rsidRPr="00374AC8">
        <w:rPr>
          <w:rFonts w:ascii="Arial" w:hAnsi="Arial" w:cs="Arial"/>
          <w:sz w:val="24"/>
          <w:szCs w:val="24"/>
        </w:rPr>
        <w:t xml:space="preserve"> and the precarious professional realities faced by artists in Portugal, especially within the performing arts sector</w:t>
      </w:r>
      <w:r w:rsidR="00CE0271">
        <w:rPr>
          <w:rFonts w:ascii="Arial" w:hAnsi="Arial" w:cs="Arial"/>
          <w:sz w:val="24"/>
          <w:szCs w:val="24"/>
        </w:rPr>
        <w:t xml:space="preserve"> and Performing arts students</w:t>
      </w:r>
      <w:r w:rsidRPr="00374AC8">
        <w:rPr>
          <w:rFonts w:ascii="Arial" w:hAnsi="Arial" w:cs="Arial"/>
          <w:sz w:val="24"/>
          <w:szCs w:val="24"/>
        </w:rPr>
        <w:t>. The structural challenges that characterize the Portuguese cultural landscape</w:t>
      </w:r>
      <w:r>
        <w:rPr>
          <w:rFonts w:ascii="Arial" w:hAnsi="Arial" w:cs="Arial"/>
          <w:sz w:val="24"/>
          <w:szCs w:val="24"/>
        </w:rPr>
        <w:t xml:space="preserve">, </w:t>
      </w:r>
      <w:r w:rsidRPr="00374AC8">
        <w:rPr>
          <w:rFonts w:ascii="Arial" w:hAnsi="Arial" w:cs="Arial"/>
          <w:sz w:val="24"/>
          <w:szCs w:val="24"/>
        </w:rPr>
        <w:t>such as economic instability, limited job opportunities, and underinvestment in the arts</w:t>
      </w:r>
      <w:r>
        <w:rPr>
          <w:rFonts w:ascii="Arial" w:hAnsi="Arial" w:cs="Arial"/>
          <w:sz w:val="24"/>
          <w:szCs w:val="24"/>
        </w:rPr>
        <w:t xml:space="preserve"> </w:t>
      </w:r>
      <w:r>
        <w:rPr>
          <w:rFonts w:ascii="Arial" w:hAnsi="Arial" w:cs="Arial"/>
          <w:sz w:val="24"/>
          <w:szCs w:val="24"/>
        </w:rPr>
        <w:fldChar w:fldCharType="begin"/>
      </w:r>
      <w:r w:rsidR="008C4FF3">
        <w:rPr>
          <w:rFonts w:ascii="Arial" w:hAnsi="Arial" w:cs="Arial"/>
          <w:sz w:val="24"/>
          <w:szCs w:val="24"/>
        </w:rPr>
        <w:instrText xml:space="preserve"> ADDIN ZOTERO_ITEM CSL_CITATION {"citationID":"DG6mU2pb","properties":{"formattedCitation":"(Conde, 2009; Guard\\uc0\\u227{}o, 2018; Oliveira, 2019)","plainCitation":"(Conde, 2009; Guardão, 2018; Oliveira, 2019)","noteIndex":0},"citationItems":[{"id":978,"uris":["http://zotero.org/users/local/hN5mtYaY/items/GN8GGV2T"],"itemData":{"id":978,"type":"report","abstract":"Artists are vulnerable workers not only on account of professional contingencies\n(underemployment, intermittent and multiple jobs, freelance work, precarious\ncontracts, low salaries in certain categories), but also on account of their\ndependent identities, which are exposed to specific forms of symbolic power,\ninequality and gatekeeping processes if they wish to achieve recognition. This\npaper focuses on the two perspectives, making use of certain European and\nPortuguese references in order to portray ambivalent and diversified features in\nthe artistic condition. The research in Portugal combined statistical analysis with\nqualitative approaches to professional experiences and locations in various areas\n(in particular the visual arts, composers and musicians in the main orchestras),\nwith particular attention to gender issues.","genre":"workingPaper","language":"eng","license":"openAccess","note":"Accepted: 2009-06-29T11:59:33Z\nISSN: 1647-0893","publisher":"CIES-ISCTE","source":"repositorio.iscte-iul.pt","title":"Artists as vulnerable workers","URL":"https://repositorio.iscte-iul.pt/handle/10071/1502","author":[{"family":"Conde","given":"Idalina"}],"accessed":{"date-parts":[["2025",4,16]]},"issued":{"date-parts":[["2009"]]}}},{"id":972,"uris":["http://zotero.org/users/local/hN5mtYaY/items/HSJE3DEX"],"itemData":{"id":972,"type":"article-journal","archive_location":"https://www.ietm.org/en/publications","container-title":"IETM - International network for contemporary performing arts, Brussels","language":"en","source":"Zotero","title":"Contemporary performing arts in Portugal: an overview","author":[{"family":"Guardão","given":"Maria João"}],"issued":{"date-parts":[["2018"]]}}},{"id":1004,"uris":["http://zotero.org/users/local/hN5mtYaY/items/CCQR2VAU"],"itemData":{"id":1004,"type":"article-journal","abstract":"Semantic Scholar extracted view of \"Do ethos à praxis: Carreiras DIY na cena musical independente em Portugal\" by Ana Oiveira","DOI":"10.21747/9789898969187/deva25","note":"Book Title: De vidas Artes\nISBN: 9789898969187\npublisher: Universidade do Porto. Faculdade de Letras\nDOI: 10.21747/9789898969187/deva25","page":"421-442","source":"Semantic Scholar","title":"Do ethos à praxis: Carreiras DIY na cena musical independente em Portugal","title-short":"Do ethos à praxis","editor":[{"family":"Guerra","given":"Paula"},{"family":"Dabul","given":"Lígia"}],"author":[{"family":"Oliveira","given":"Ana"}],"issued":{"date-parts":[["2019"]]}}}],"schema":"https://github.com/citation-style-language/schema/raw/master/csl-citation.json"} </w:instrText>
      </w:r>
      <w:r>
        <w:rPr>
          <w:rFonts w:ascii="Arial" w:hAnsi="Arial" w:cs="Arial"/>
          <w:sz w:val="24"/>
          <w:szCs w:val="24"/>
        </w:rPr>
        <w:fldChar w:fldCharType="separate"/>
      </w:r>
      <w:r w:rsidR="008C4FF3" w:rsidRPr="008C4FF3">
        <w:rPr>
          <w:rFonts w:ascii="Arial" w:hAnsi="Arial" w:cs="Arial"/>
          <w:sz w:val="24"/>
        </w:rPr>
        <w:t>(Conde, 2009; Guardão, 2018; Oliveira, 2019)</w:t>
      </w:r>
      <w:r>
        <w:rPr>
          <w:rFonts w:ascii="Arial" w:hAnsi="Arial" w:cs="Arial"/>
          <w:sz w:val="24"/>
          <w:szCs w:val="24"/>
        </w:rPr>
        <w:fldChar w:fldCharType="end"/>
      </w:r>
      <w:r w:rsidR="009876BB">
        <w:rPr>
          <w:rFonts w:ascii="Arial" w:hAnsi="Arial" w:cs="Arial"/>
          <w:sz w:val="24"/>
          <w:szCs w:val="24"/>
        </w:rPr>
        <w:t xml:space="preserve"> </w:t>
      </w:r>
      <w:r w:rsidRPr="00374AC8">
        <w:rPr>
          <w:rFonts w:ascii="Arial" w:hAnsi="Arial" w:cs="Arial"/>
          <w:sz w:val="24"/>
          <w:szCs w:val="24"/>
        </w:rPr>
        <w:t>have a profound impact on</w:t>
      </w:r>
      <w:r w:rsidR="00F955BA">
        <w:rPr>
          <w:rFonts w:ascii="Arial" w:hAnsi="Arial" w:cs="Arial"/>
          <w:sz w:val="24"/>
          <w:szCs w:val="24"/>
        </w:rPr>
        <w:t xml:space="preserve"> companies and</w:t>
      </w:r>
      <w:r w:rsidRPr="00374AC8">
        <w:rPr>
          <w:rFonts w:ascii="Arial" w:hAnsi="Arial" w:cs="Arial"/>
          <w:sz w:val="24"/>
          <w:szCs w:val="24"/>
        </w:rPr>
        <w:t xml:space="preserve"> working performers</w:t>
      </w:r>
      <w:r w:rsidR="00F955BA">
        <w:rPr>
          <w:rFonts w:ascii="Arial" w:hAnsi="Arial" w:cs="Arial"/>
          <w:sz w:val="24"/>
          <w:szCs w:val="24"/>
        </w:rPr>
        <w:t xml:space="preserve"> </w:t>
      </w:r>
      <w:r w:rsidR="00F955BA">
        <w:rPr>
          <w:rFonts w:ascii="Arial" w:hAnsi="Arial" w:cs="Arial"/>
          <w:sz w:val="24"/>
          <w:szCs w:val="24"/>
        </w:rPr>
        <w:fldChar w:fldCharType="begin"/>
      </w:r>
      <w:r w:rsidR="00071FA8">
        <w:rPr>
          <w:rFonts w:ascii="Arial" w:hAnsi="Arial" w:cs="Arial"/>
          <w:sz w:val="24"/>
          <w:szCs w:val="24"/>
        </w:rPr>
        <w:instrText xml:space="preserve"> ADDIN ZOTERO_ITEM CSL_CITATION {"citationID":"tYZAHZVg","properties":{"formattedCitation":"(Borges and Veloso, 2020)","plainCitation":"(Borges and Veloso, 2020)","noteIndex":0},"citationItems":[{"id":1001,"uris":["http://zotero.org/users/local/hN5mtYaY/items/KSLCFULC"],"itemData":{"id":1001,"type":"article-journal","DOI":"10.3280/SL2020-157005","ISSN":"0392-5048, 1972-554X","language":"ita","source":"www.medra.org","title":"Emerging patterns of artistic organizations in Portugal: A three case studies analysis","title-short":"Emerging patterns of artistic organizations in Portugal","URL":"https://www.medra.org/servlet/MREngine?lang=ita&amp;hdl=10.3280/SL2020-157005","author":[{"family":"Borges","given":"Vera"},{"family":"Veloso","given":"Luísa"}],"accessed":{"date-parts":[["2025",4,18]]},"issued":{"date-parts":[["2020"]]}}}],"schema":"https://github.com/citation-style-language/schema/raw/master/csl-citation.json"} </w:instrText>
      </w:r>
      <w:r w:rsidR="00F955BA">
        <w:rPr>
          <w:rFonts w:ascii="Arial" w:hAnsi="Arial" w:cs="Arial"/>
          <w:sz w:val="24"/>
          <w:szCs w:val="24"/>
        </w:rPr>
        <w:fldChar w:fldCharType="separate"/>
      </w:r>
      <w:r w:rsidR="00071FA8" w:rsidRPr="00071FA8">
        <w:rPr>
          <w:rFonts w:ascii="Arial" w:hAnsi="Arial" w:cs="Arial"/>
          <w:sz w:val="24"/>
        </w:rPr>
        <w:t>(Borges and Veloso, 2020)</w:t>
      </w:r>
      <w:r w:rsidR="00F955BA">
        <w:rPr>
          <w:rFonts w:ascii="Arial" w:hAnsi="Arial" w:cs="Arial"/>
          <w:sz w:val="24"/>
          <w:szCs w:val="24"/>
        </w:rPr>
        <w:fldChar w:fldCharType="end"/>
      </w:r>
      <w:r w:rsidRPr="00374AC8">
        <w:rPr>
          <w:rFonts w:ascii="Arial" w:hAnsi="Arial" w:cs="Arial"/>
          <w:sz w:val="24"/>
          <w:szCs w:val="24"/>
        </w:rPr>
        <w:t xml:space="preserve"> but also on performing arts students</w:t>
      </w:r>
      <w:r w:rsidR="00F955BA">
        <w:rPr>
          <w:rFonts w:ascii="Arial" w:hAnsi="Arial" w:cs="Arial"/>
          <w:sz w:val="24"/>
          <w:szCs w:val="24"/>
        </w:rPr>
        <w:t xml:space="preserve"> </w:t>
      </w:r>
      <w:r w:rsidR="00F955BA">
        <w:rPr>
          <w:rFonts w:ascii="Arial" w:hAnsi="Arial" w:cs="Arial"/>
          <w:sz w:val="24"/>
          <w:szCs w:val="24"/>
        </w:rPr>
        <w:fldChar w:fldCharType="begin"/>
      </w:r>
      <w:r w:rsidR="008C4FF3">
        <w:rPr>
          <w:rFonts w:ascii="Arial" w:hAnsi="Arial" w:cs="Arial"/>
          <w:sz w:val="24"/>
          <w:szCs w:val="24"/>
        </w:rPr>
        <w:instrText xml:space="preserve"> ADDIN ZOTERO_ITEM CSL_CITATION {"citationID":"4ztxBY1D","properties":{"formattedCitation":"(Oliveira, 2019)","plainCitation":"(Oliveira, 2019)","noteIndex":0},"citationItems":[{"id":1004,"uris":["http://zotero.org/users/local/hN5mtYaY/items/CCQR2VAU"],"itemData":{"id":1004,"type":"article-journal","abstract":"Semantic Scholar extracted view of \"Do ethos à praxis: Carreiras DIY na cena musical independente em Portugal\" by Ana Oiveira","DOI":"10.21747/9789898969187/deva25","note":"Book Title: De vidas Artes\nISBN: 9789898969187\npublisher: Universidade do Porto. Faculdade de Letras\nDOI: 10.21747/9789898969187/deva25","page":"421-442","source":"Semantic Scholar","title":"Do ethos à praxis: Carreiras DIY na cena musical independente em Portugal","title-short":"Do ethos à praxis","editor":[{"family":"Guerra","given":"Paula"},{"family":"Dabul","given":"Lígia"}],"author":[{"family":"Oliveira","given":"Ana"}],"issued":{"date-parts":[["2019"]]}}}],"schema":"https://github.com/citation-style-language/schema/raw/master/csl-citation.json"} </w:instrText>
      </w:r>
      <w:r w:rsidR="00F955BA">
        <w:rPr>
          <w:rFonts w:ascii="Arial" w:hAnsi="Arial" w:cs="Arial"/>
          <w:sz w:val="24"/>
          <w:szCs w:val="24"/>
        </w:rPr>
        <w:fldChar w:fldCharType="separate"/>
      </w:r>
      <w:r w:rsidR="008C4FF3" w:rsidRPr="008C4FF3">
        <w:rPr>
          <w:rFonts w:ascii="Arial" w:hAnsi="Arial" w:cs="Arial"/>
          <w:sz w:val="24"/>
        </w:rPr>
        <w:t>(Oliveira, 2019)</w:t>
      </w:r>
      <w:r w:rsidR="00F955BA">
        <w:rPr>
          <w:rFonts w:ascii="Arial" w:hAnsi="Arial" w:cs="Arial"/>
          <w:sz w:val="24"/>
          <w:szCs w:val="24"/>
        </w:rPr>
        <w:fldChar w:fldCharType="end"/>
      </w:r>
      <w:r w:rsidRPr="00374AC8">
        <w:rPr>
          <w:rFonts w:ascii="Arial" w:hAnsi="Arial" w:cs="Arial"/>
          <w:sz w:val="24"/>
          <w:szCs w:val="24"/>
        </w:rPr>
        <w:t xml:space="preserve">. </w:t>
      </w:r>
    </w:p>
    <w:p w14:paraId="6DD13C3A" w14:textId="77777777" w:rsidR="00637B6F" w:rsidRDefault="00637B6F" w:rsidP="000C32E0">
      <w:pPr>
        <w:spacing w:line="360" w:lineRule="auto"/>
        <w:jc w:val="both"/>
        <w:rPr>
          <w:rFonts w:ascii="Arial" w:hAnsi="Arial" w:cs="Arial"/>
          <w:sz w:val="24"/>
          <w:szCs w:val="24"/>
        </w:rPr>
      </w:pPr>
    </w:p>
    <w:p w14:paraId="0F007B7A" w14:textId="77777777" w:rsidR="00000617" w:rsidRDefault="00637B6F" w:rsidP="000C32E0">
      <w:pPr>
        <w:spacing w:line="360" w:lineRule="auto"/>
        <w:jc w:val="both"/>
        <w:rPr>
          <w:rFonts w:ascii="Arial" w:hAnsi="Arial" w:cs="Arial"/>
          <w:sz w:val="24"/>
          <w:szCs w:val="24"/>
        </w:rPr>
      </w:pPr>
      <w:r>
        <w:rPr>
          <w:rFonts w:ascii="Arial" w:hAnsi="Arial" w:cs="Arial"/>
          <w:sz w:val="24"/>
          <w:szCs w:val="24"/>
        </w:rPr>
        <w:t>JUSTIFICATION</w:t>
      </w:r>
    </w:p>
    <w:p w14:paraId="208DBB48" w14:textId="77777777" w:rsidR="00637B6F" w:rsidRDefault="00000617" w:rsidP="000C32E0">
      <w:pPr>
        <w:spacing w:line="360" w:lineRule="auto"/>
        <w:jc w:val="both"/>
        <w:rPr>
          <w:rFonts w:ascii="Arial" w:hAnsi="Arial" w:cs="Arial"/>
          <w:sz w:val="24"/>
          <w:szCs w:val="24"/>
        </w:rPr>
      </w:pPr>
      <w:r>
        <w:rPr>
          <w:rFonts w:ascii="Arial" w:hAnsi="Arial" w:cs="Arial"/>
          <w:sz w:val="24"/>
          <w:szCs w:val="24"/>
        </w:rPr>
        <w:br/>
      </w:r>
      <w:r w:rsidRPr="00000617">
        <w:rPr>
          <w:rFonts w:ascii="Arial" w:hAnsi="Arial" w:cs="Arial"/>
          <w:sz w:val="24"/>
          <w:szCs w:val="24"/>
        </w:rPr>
        <w:t>From an early age, concerns regarding the economic instability of an artistic career and the limited access to musical theatre education in Portugal significantly shaped my professional trajectory. These contextual challenges ultimately motivated my decision to study abroad and seek artistic opportunities beyond national borders. Through personal reflection</w:t>
      </w:r>
      <w:r>
        <w:rPr>
          <w:rFonts w:ascii="Arial" w:hAnsi="Arial" w:cs="Arial"/>
          <w:sz w:val="24"/>
          <w:szCs w:val="24"/>
        </w:rPr>
        <w:t xml:space="preserve"> </w:t>
      </w:r>
      <w:r w:rsidRPr="00000617">
        <w:rPr>
          <w:rFonts w:ascii="Arial" w:hAnsi="Arial" w:cs="Arial"/>
          <w:sz w:val="24"/>
          <w:szCs w:val="24"/>
        </w:rPr>
        <w:t>I have identified a strong link between my trait anxiety and the structural uncertainties inherent in pursuing a performance career in Portugal. Notably, this anxiety has often manifested as MPA. The scarcity of opportunities within the Portuguese musical theatre landscape appears to amplify external pressures and the need for validation, further intensifying performance-related stress.</w:t>
      </w:r>
    </w:p>
    <w:p w14:paraId="78568954" w14:textId="77777777" w:rsidR="00085CF9" w:rsidRDefault="00085CF9" w:rsidP="000C32E0">
      <w:pPr>
        <w:spacing w:line="360" w:lineRule="auto"/>
        <w:jc w:val="both"/>
        <w:rPr>
          <w:rFonts w:ascii="Arial" w:hAnsi="Arial" w:cs="Arial"/>
          <w:sz w:val="24"/>
          <w:szCs w:val="24"/>
        </w:rPr>
      </w:pPr>
      <w:r w:rsidRPr="00085CF9">
        <w:rPr>
          <w:rFonts w:ascii="Arial" w:hAnsi="Arial" w:cs="Arial"/>
          <w:sz w:val="24"/>
          <w:szCs w:val="24"/>
        </w:rPr>
        <w:lastRenderedPageBreak/>
        <w:t>From this personal reflection, I became intrigued to find out whether this correlation was something my fellow artists had also considered. I began bringing the topic into informal conversations, and the responses were consistently along the lines of, “Of course it affects us,” “Absolutely, it makes so much sense,” or simply, “Yes, it does affect me.” These discussions often expanded to include a wide range of reasons behind our anxiety and potential MP</w:t>
      </w:r>
      <w:r>
        <w:rPr>
          <w:rFonts w:ascii="Arial" w:hAnsi="Arial" w:cs="Arial"/>
          <w:sz w:val="24"/>
          <w:szCs w:val="24"/>
        </w:rPr>
        <w:t>A</w:t>
      </w:r>
      <w:r w:rsidRPr="00085CF9">
        <w:rPr>
          <w:rFonts w:ascii="Arial" w:hAnsi="Arial" w:cs="Arial"/>
          <w:sz w:val="24"/>
          <w:szCs w:val="24"/>
        </w:rPr>
        <w:t xml:space="preserve">. What struck me most was the realization that this topic is rarely addressed in academic settings or discussed openly between teachers and students. In Portugal, performing arts schools do little to help students navigate these anxiety-related tendencies. This led me to </w:t>
      </w:r>
      <w:r w:rsidR="00F858BB" w:rsidRPr="00085CF9">
        <w:rPr>
          <w:rFonts w:ascii="Arial" w:hAnsi="Arial" w:cs="Arial"/>
          <w:sz w:val="24"/>
          <w:szCs w:val="24"/>
        </w:rPr>
        <w:t>the question</w:t>
      </w:r>
      <w:r w:rsidRPr="00085CF9">
        <w:rPr>
          <w:rFonts w:ascii="Arial" w:hAnsi="Arial" w:cs="Arial"/>
          <w:sz w:val="24"/>
          <w:szCs w:val="24"/>
        </w:rPr>
        <w:t>: to what extent are teachers prepared to support students dealing with MPA, and might it be essential to implement targeted strategies to prepare them for a profession that is inherently prone to anxiety?</w:t>
      </w:r>
    </w:p>
    <w:p w14:paraId="2ADF42FE" w14:textId="77777777" w:rsidR="008458F2" w:rsidRDefault="008458F2" w:rsidP="008458F2">
      <w:pPr>
        <w:spacing w:line="360" w:lineRule="auto"/>
        <w:jc w:val="both"/>
        <w:rPr>
          <w:rFonts w:ascii="Arial" w:hAnsi="Arial" w:cs="Arial"/>
          <w:sz w:val="24"/>
          <w:szCs w:val="24"/>
        </w:rPr>
      </w:pPr>
      <w:r w:rsidRPr="00072D08">
        <w:rPr>
          <w:rFonts w:ascii="Arial" w:hAnsi="Arial" w:cs="Arial"/>
          <w:sz w:val="24"/>
          <w:szCs w:val="24"/>
        </w:rPr>
        <w:t>This study aims to investigate practical strategies for managing the symptoms of MPA and to evaluate the potential benefits of their implementation. In addition to symptom management, it seeks to explore the importance of cultivating supportive educational environments</w:t>
      </w:r>
      <w:r>
        <w:rPr>
          <w:rFonts w:ascii="Arial" w:hAnsi="Arial" w:cs="Arial"/>
          <w:sz w:val="24"/>
          <w:szCs w:val="24"/>
        </w:rPr>
        <w:t xml:space="preserve"> and</w:t>
      </w:r>
      <w:r w:rsidRPr="00072D08">
        <w:rPr>
          <w:rFonts w:ascii="Arial" w:hAnsi="Arial" w:cs="Arial"/>
          <w:sz w:val="24"/>
          <w:szCs w:val="24"/>
        </w:rPr>
        <w:t xml:space="preserve"> the role that singing teachers can play in fostering these environments effectively. </w:t>
      </w:r>
    </w:p>
    <w:p w14:paraId="5219DE44" w14:textId="77777777" w:rsidR="008458F2" w:rsidRDefault="008458F2" w:rsidP="008458F2">
      <w:pPr>
        <w:spacing w:line="360" w:lineRule="auto"/>
        <w:jc w:val="both"/>
        <w:rPr>
          <w:rFonts w:ascii="Arial" w:hAnsi="Arial" w:cs="Arial"/>
          <w:sz w:val="24"/>
          <w:szCs w:val="24"/>
        </w:rPr>
      </w:pPr>
      <w:r w:rsidRPr="00072D08">
        <w:rPr>
          <w:rFonts w:ascii="Arial" w:hAnsi="Arial" w:cs="Arial"/>
          <w:sz w:val="24"/>
          <w:szCs w:val="24"/>
        </w:rPr>
        <w:t xml:space="preserve">Furthermore, this research seeks to explore the potential correlation between </w:t>
      </w:r>
      <w:proofErr w:type="gramStart"/>
      <w:r w:rsidRPr="00072D08">
        <w:rPr>
          <w:rFonts w:ascii="Arial" w:hAnsi="Arial" w:cs="Arial"/>
          <w:sz w:val="24"/>
          <w:szCs w:val="24"/>
        </w:rPr>
        <w:t>MPA</w:t>
      </w:r>
      <w:proofErr w:type="gramEnd"/>
      <w:r w:rsidRPr="00072D08">
        <w:rPr>
          <w:rFonts w:ascii="Arial" w:hAnsi="Arial" w:cs="Arial"/>
          <w:sz w:val="24"/>
          <w:szCs w:val="24"/>
        </w:rPr>
        <w:t xml:space="preserve"> and the professional challenges encountered within Portugal’s </w:t>
      </w:r>
      <w:r>
        <w:rPr>
          <w:rFonts w:ascii="Arial" w:hAnsi="Arial" w:cs="Arial"/>
          <w:sz w:val="24"/>
          <w:szCs w:val="24"/>
        </w:rPr>
        <w:t>Performing Arts</w:t>
      </w:r>
      <w:r w:rsidRPr="00072D08">
        <w:rPr>
          <w:rFonts w:ascii="Arial" w:hAnsi="Arial" w:cs="Arial"/>
          <w:sz w:val="24"/>
          <w:szCs w:val="24"/>
        </w:rPr>
        <w:t xml:space="preserve"> industry. The precarious nature of the performing arts sector in Portugal, which I have personally experienced, has often contributed to heightened levels of anxiety throughout my career</w:t>
      </w:r>
      <w:r>
        <w:rPr>
          <w:rFonts w:ascii="Arial" w:hAnsi="Arial" w:cs="Arial"/>
          <w:sz w:val="24"/>
          <w:szCs w:val="24"/>
        </w:rPr>
        <w:t xml:space="preserve"> and other artists</w:t>
      </w:r>
      <w:r w:rsidRPr="00072D08">
        <w:rPr>
          <w:rFonts w:ascii="Arial" w:hAnsi="Arial" w:cs="Arial"/>
          <w:sz w:val="24"/>
          <w:szCs w:val="24"/>
        </w:rPr>
        <w:t>. I am therefore particularly interested in understanding how contextual factors</w:t>
      </w:r>
      <w:r>
        <w:rPr>
          <w:rFonts w:ascii="Arial" w:hAnsi="Arial" w:cs="Arial"/>
          <w:sz w:val="24"/>
          <w:szCs w:val="24"/>
        </w:rPr>
        <w:t xml:space="preserve">, </w:t>
      </w:r>
      <w:r w:rsidRPr="00072D08">
        <w:rPr>
          <w:rFonts w:ascii="Arial" w:hAnsi="Arial" w:cs="Arial"/>
          <w:sz w:val="24"/>
          <w:szCs w:val="24"/>
        </w:rPr>
        <w:t>such as economic instability, limited opportunities, and structural insecurity</w:t>
      </w:r>
      <w:r>
        <w:rPr>
          <w:rFonts w:ascii="Arial" w:hAnsi="Arial" w:cs="Arial"/>
          <w:sz w:val="24"/>
          <w:szCs w:val="24"/>
        </w:rPr>
        <w:t xml:space="preserve">, </w:t>
      </w:r>
      <w:r w:rsidRPr="00072D08">
        <w:rPr>
          <w:rFonts w:ascii="Arial" w:hAnsi="Arial" w:cs="Arial"/>
          <w:sz w:val="24"/>
          <w:szCs w:val="24"/>
        </w:rPr>
        <w:t>may influence the manifestation of MPA among aspiring performers. This inquiry is motivated not only by my own professional experience but also by a desire to support students who may face similar pressures. Recognizing that many performing arts students in Portugal may share these concerns, this study ultimately aims to inform the development of targeted, context-sensitive interventions that can better support their mental health and professional growth</w:t>
      </w:r>
      <w:r>
        <w:rPr>
          <w:rFonts w:ascii="Arial" w:hAnsi="Arial" w:cs="Arial"/>
          <w:sz w:val="24"/>
          <w:szCs w:val="24"/>
        </w:rPr>
        <w:t xml:space="preserve">. </w:t>
      </w:r>
      <w:r w:rsidRPr="00072D08">
        <w:rPr>
          <w:rFonts w:ascii="Arial" w:hAnsi="Arial" w:cs="Arial"/>
          <w:sz w:val="24"/>
          <w:szCs w:val="24"/>
        </w:rPr>
        <w:t>This focus is particularly relevant to my own teaching practice, which involves working with teenagers and students aspiring to pursue careers in the Performing Arts.</w:t>
      </w:r>
      <w:r>
        <w:rPr>
          <w:rFonts w:ascii="Arial" w:hAnsi="Arial" w:cs="Arial"/>
          <w:sz w:val="24"/>
          <w:szCs w:val="24"/>
        </w:rPr>
        <w:t xml:space="preserve"> </w:t>
      </w:r>
    </w:p>
    <w:p w14:paraId="4570C84B" w14:textId="77777777" w:rsidR="00637B6F" w:rsidRPr="00637B6F" w:rsidRDefault="00637B6F" w:rsidP="00637B6F">
      <w:pPr>
        <w:spacing w:line="360" w:lineRule="auto"/>
        <w:jc w:val="both"/>
        <w:rPr>
          <w:rFonts w:ascii="Arial" w:hAnsi="Arial" w:cs="Arial"/>
          <w:sz w:val="24"/>
          <w:szCs w:val="24"/>
        </w:rPr>
      </w:pPr>
    </w:p>
    <w:p w14:paraId="12C0CD2D" w14:textId="77777777" w:rsidR="00637B6F" w:rsidRPr="00637B6F" w:rsidRDefault="00637B6F" w:rsidP="00637B6F">
      <w:pPr>
        <w:spacing w:line="360" w:lineRule="auto"/>
        <w:jc w:val="both"/>
        <w:rPr>
          <w:rFonts w:ascii="Arial" w:hAnsi="Arial" w:cs="Arial"/>
          <w:sz w:val="24"/>
          <w:szCs w:val="24"/>
        </w:rPr>
      </w:pPr>
      <w:r w:rsidRPr="00637B6F">
        <w:rPr>
          <w:rFonts w:ascii="Arial" w:hAnsi="Arial" w:cs="Arial"/>
          <w:sz w:val="24"/>
          <w:szCs w:val="24"/>
        </w:rPr>
        <w:lastRenderedPageBreak/>
        <w:t>THEORE</w:t>
      </w:r>
      <w:r w:rsidR="00000617">
        <w:rPr>
          <w:rFonts w:ascii="Arial" w:hAnsi="Arial" w:cs="Arial"/>
          <w:sz w:val="24"/>
          <w:szCs w:val="24"/>
        </w:rPr>
        <w:t>T</w:t>
      </w:r>
      <w:r w:rsidRPr="00637B6F">
        <w:rPr>
          <w:rFonts w:ascii="Arial" w:hAnsi="Arial" w:cs="Arial"/>
          <w:sz w:val="24"/>
          <w:szCs w:val="24"/>
        </w:rPr>
        <w:t>ICAL INFLUENCES</w:t>
      </w:r>
    </w:p>
    <w:p w14:paraId="098BE85B" w14:textId="77777777" w:rsidR="00637B6F" w:rsidRDefault="00637B6F" w:rsidP="000C32E0">
      <w:pPr>
        <w:spacing w:line="360" w:lineRule="auto"/>
        <w:jc w:val="both"/>
        <w:rPr>
          <w:rFonts w:ascii="Arial" w:hAnsi="Arial" w:cs="Arial"/>
          <w:sz w:val="24"/>
          <w:szCs w:val="24"/>
        </w:rPr>
      </w:pPr>
    </w:p>
    <w:p w14:paraId="575D9697" w14:textId="77777777" w:rsidR="00AD394E" w:rsidRDefault="00AC3CE1" w:rsidP="000C32E0">
      <w:pPr>
        <w:spacing w:line="360" w:lineRule="auto"/>
        <w:jc w:val="both"/>
        <w:rPr>
          <w:rFonts w:ascii="Arial" w:hAnsi="Arial" w:cs="Arial"/>
          <w:sz w:val="24"/>
          <w:szCs w:val="24"/>
        </w:rPr>
      </w:pPr>
      <w:r w:rsidRPr="00AC3CE1">
        <w:rPr>
          <w:rFonts w:ascii="Arial" w:hAnsi="Arial" w:cs="Arial"/>
          <w:sz w:val="24"/>
          <w:szCs w:val="24"/>
        </w:rPr>
        <w:t>Recent research and statistical analyses</w:t>
      </w:r>
      <w:r>
        <w:rPr>
          <w:rFonts w:ascii="Arial" w:hAnsi="Arial" w:cs="Arial"/>
          <w:sz w:val="24"/>
          <w:szCs w:val="24"/>
        </w:rPr>
        <w:t xml:space="preserve"> by Conde (2009)</w:t>
      </w:r>
      <w:r w:rsidRPr="00AC3CE1">
        <w:rPr>
          <w:rFonts w:ascii="Arial" w:hAnsi="Arial" w:cs="Arial"/>
          <w:sz w:val="24"/>
          <w:szCs w:val="24"/>
        </w:rPr>
        <w:t xml:space="preserve"> resonate with m</w:t>
      </w:r>
      <w:r w:rsidR="00C33DA1">
        <w:rPr>
          <w:rFonts w:ascii="Arial" w:hAnsi="Arial" w:cs="Arial"/>
          <w:sz w:val="24"/>
          <w:szCs w:val="24"/>
        </w:rPr>
        <w:t>ine (and other artists colleagues)</w:t>
      </w:r>
      <w:r w:rsidRPr="00AC3CE1">
        <w:rPr>
          <w:rFonts w:ascii="Arial" w:hAnsi="Arial" w:cs="Arial"/>
          <w:sz w:val="24"/>
          <w:szCs w:val="24"/>
        </w:rPr>
        <w:t xml:space="preserve"> experience, highlighting the inherent vulnerabilities faced by artists in the labor market. </w:t>
      </w:r>
      <w:r w:rsidR="00C33DA1">
        <w:rPr>
          <w:rFonts w:ascii="Arial" w:hAnsi="Arial" w:cs="Arial"/>
          <w:sz w:val="24"/>
          <w:szCs w:val="24"/>
        </w:rPr>
        <w:t>Explaining that</w:t>
      </w:r>
      <w:r w:rsidRPr="00AC3CE1">
        <w:rPr>
          <w:rFonts w:ascii="Arial" w:hAnsi="Arial" w:cs="Arial"/>
          <w:sz w:val="24"/>
          <w:szCs w:val="24"/>
        </w:rPr>
        <w:t xml:space="preserve"> vulnerabilities stem not only from precarious working conditions</w:t>
      </w:r>
      <w:r>
        <w:rPr>
          <w:rFonts w:ascii="Arial" w:hAnsi="Arial" w:cs="Arial"/>
          <w:sz w:val="24"/>
          <w:szCs w:val="24"/>
        </w:rPr>
        <w:t xml:space="preserve"> (</w:t>
      </w:r>
      <w:r w:rsidRPr="00AC3CE1">
        <w:rPr>
          <w:rFonts w:ascii="Arial" w:hAnsi="Arial" w:cs="Arial"/>
          <w:sz w:val="24"/>
          <w:szCs w:val="24"/>
        </w:rPr>
        <w:t>such as underemployment, intermittent and multiple jobs, freelance arrangements, and low wages</w:t>
      </w:r>
      <w:r>
        <w:rPr>
          <w:rFonts w:ascii="Arial" w:hAnsi="Arial" w:cs="Arial"/>
          <w:sz w:val="24"/>
          <w:szCs w:val="24"/>
        </w:rPr>
        <w:t xml:space="preserve">) </w:t>
      </w:r>
      <w:r w:rsidRPr="00AC3CE1">
        <w:rPr>
          <w:rFonts w:ascii="Arial" w:hAnsi="Arial" w:cs="Arial"/>
          <w:sz w:val="24"/>
          <w:szCs w:val="24"/>
        </w:rPr>
        <w:t>but also from the structural dynamics of the field</w:t>
      </w:r>
      <w:r w:rsidR="008E497B">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{"citationID":"YAiXuuga","properties":{"formattedCitation":"(Conde, 2009)","plainCitation":"(Conde, 2009)","noteIndex":0},"citationItems":[{"id":978,"uris":["http://zotero.org/users/local/hN5mtYaY/items/GN8GGV2T"],"itemData":{"id":978,"type":"report","abstract":"Artists are vulnerable workers not only on account of professional contingencies\n(underemployment, intermittent and multiple jobs, freelance work, precarious\ncontracts, low salaries in certain categories), but also on account of their\ndependent identities, which are exposed to specific forms of symbolic power,\ninequality and gatekeeping processes if they wish to achieve recognition. This\npaper focuses on the two perspectives, making use of certain European and\nPortuguese references in order to portray ambivalent and diversified features in\nthe artistic condition. The research in Portugal combined statistical analysis with\nqualitative approaches to professional experiences and locations in various areas\n(in particular the visual arts, composers and musicians in the main orchestras),\nwith particular attention to gender issues.","genre":"workingPaper","language":"eng","license":"openAccess","note":"Accepted: 2009-06-29T11:59:33Z\nISSN: 1647-0893","publisher":"CIES-ISCTE","source":"repositorio.iscte-iul.pt","title":"Artists as vulnerable workers","URL":"https://repositorio.iscte-iul.pt/handle/10071/1502","author":[{"family":"Conde","given":"Idalina"}],"accessed":{"date-parts":[["2025",4,16]]},"issued":{"date-parts":[["2009"]]}}}],"schema":"https://github.com/citation-style-language/schema/raw/master/csl-citation.json"} </w:instrText>
      </w:r>
      <w:r>
        <w:rPr>
          <w:rFonts w:ascii="Arial" w:hAnsi="Arial" w:cs="Arial"/>
          <w:sz w:val="24"/>
          <w:szCs w:val="24"/>
        </w:rPr>
        <w:fldChar w:fldCharType="separate"/>
      </w:r>
      <w:r w:rsidRPr="00AC3CE1">
        <w:rPr>
          <w:rFonts w:ascii="Arial" w:hAnsi="Arial" w:cs="Arial"/>
          <w:sz w:val="24"/>
        </w:rPr>
        <w:t>(Conde, 2009)</w:t>
      </w:r>
      <w:r>
        <w:rPr>
          <w:rFonts w:ascii="Arial" w:hAnsi="Arial" w:cs="Arial"/>
          <w:sz w:val="24"/>
          <w:szCs w:val="24"/>
        </w:rPr>
        <w:fldChar w:fldCharType="end"/>
      </w:r>
      <w:r w:rsidRPr="00AC3CE1">
        <w:rPr>
          <w:rFonts w:ascii="Arial" w:hAnsi="Arial" w:cs="Arial"/>
          <w:sz w:val="24"/>
          <w:szCs w:val="24"/>
        </w:rPr>
        <w:t xml:space="preserve">. </w:t>
      </w:r>
      <w:r w:rsidR="00C33DA1">
        <w:rPr>
          <w:rFonts w:ascii="Arial" w:hAnsi="Arial" w:cs="Arial"/>
          <w:sz w:val="24"/>
          <w:szCs w:val="24"/>
        </w:rPr>
        <w:t>Conde’s research also concludes that a</w:t>
      </w:r>
      <w:r w:rsidRPr="00AC3CE1">
        <w:rPr>
          <w:rFonts w:ascii="Arial" w:hAnsi="Arial" w:cs="Arial"/>
          <w:sz w:val="24"/>
          <w:szCs w:val="24"/>
        </w:rPr>
        <w:t>rtists often rely on recognition from powerful institutions and individuals, rendering their professional identities dependent and exposed to symbolic power, systemic inequality, and gatekeeping processes</w:t>
      </w:r>
      <w:r w:rsidR="008E497B">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{"citationID":"kqSr3VCd","properties":{"formattedCitation":"(Conde, 2009)","plainCitation":"(Conde, 2009)","noteIndex":0},"citationItems":[{"id":978,"uris":["http://zotero.org/users/local/hN5mtYaY/items/GN8GGV2T"],"itemData":{"id":978,"type":"report","abstract":"Artists are vulnerable workers not only on account of professional contingencies\n(underemployment, intermittent and multiple jobs, freelance work, precarious\ncontracts, low salaries in certain categories), but also on account of their\ndependent identities, which are exposed to specific forms of symbolic power,\ninequality and gatekeeping processes if they wish to achieve recognition. This\npaper focuses on the two perspectives, making use of certain European and\nPortuguese references in order to portray ambivalent and diversified features in\nthe artistic condition. The research in Portugal combined statistical analysis with\nqualitative approaches to professional experiences and locations in various areas\n(in particular the visual arts, composers and musicians in the main orchestras),\nwith particular attention to gender issues.","genre":"workingPaper","language":"eng","license":"openAccess","note":"Accepted: 2009-06-29T11:59:33Z\nISSN: 1647-0893","publisher":"CIES-ISCTE","source":"repositorio.iscte-iul.pt","title":"Artists as vulnerable workers","URL":"https://repositorio.iscte-iul.pt/handle/10071/1502","author":[{"family":"Conde","given":"Idalina"}],"accessed":{"date-parts":[["2025",4,16]]},"issued":{"date-parts":[["2009"]]}}}],"schema":"https://github.com/citation-style-language/schema/raw/master/csl-citation.json"} </w:instrText>
      </w:r>
      <w:r>
        <w:rPr>
          <w:rFonts w:ascii="Arial" w:hAnsi="Arial" w:cs="Arial"/>
          <w:sz w:val="24"/>
          <w:szCs w:val="24"/>
        </w:rPr>
        <w:fldChar w:fldCharType="separate"/>
      </w:r>
      <w:r w:rsidRPr="00AC3CE1">
        <w:rPr>
          <w:rFonts w:ascii="Arial" w:hAnsi="Arial" w:cs="Arial"/>
          <w:sz w:val="24"/>
        </w:rPr>
        <w:t>(Conde, 2009)</w:t>
      </w:r>
      <w:r>
        <w:rPr>
          <w:rFonts w:ascii="Arial" w:hAnsi="Arial" w:cs="Arial"/>
          <w:sz w:val="24"/>
          <w:szCs w:val="24"/>
        </w:rPr>
        <w:fldChar w:fldCharType="end"/>
      </w:r>
      <w:r w:rsidRPr="00AC3CE1">
        <w:rPr>
          <w:rFonts w:ascii="Arial" w:hAnsi="Arial" w:cs="Arial"/>
          <w:sz w:val="24"/>
          <w:szCs w:val="24"/>
        </w:rPr>
        <w:t>.</w:t>
      </w:r>
    </w:p>
    <w:p w14:paraId="3C670D27" w14:textId="77777777" w:rsidR="002F5B2E" w:rsidRDefault="008E497B" w:rsidP="000C32E0">
      <w:pPr>
        <w:spacing w:line="360" w:lineRule="auto"/>
        <w:jc w:val="both"/>
        <w:rPr>
          <w:rFonts w:ascii="Arial" w:hAnsi="Arial" w:cs="Arial"/>
          <w:sz w:val="24"/>
          <w:szCs w:val="24"/>
        </w:rPr>
      </w:pPr>
      <w:r>
        <w:rPr>
          <w:rFonts w:ascii="Arial" w:hAnsi="Arial" w:cs="Arial"/>
          <w:sz w:val="24"/>
          <w:szCs w:val="24"/>
        </w:rPr>
        <w:t>Even more recent research</w:t>
      </w:r>
      <w:r w:rsidR="002F5B2E">
        <w:rPr>
          <w:rFonts w:ascii="Arial" w:hAnsi="Arial" w:cs="Arial"/>
          <w:sz w:val="24"/>
          <w:szCs w:val="24"/>
        </w:rPr>
        <w:t xml:space="preserve"> by </w:t>
      </w:r>
      <w:proofErr w:type="spellStart"/>
      <w:r w:rsidR="002F5B2E" w:rsidRPr="002F5B2E">
        <w:rPr>
          <w:rFonts w:ascii="Arial" w:hAnsi="Arial" w:cs="Arial"/>
          <w:sz w:val="24"/>
          <w:szCs w:val="24"/>
        </w:rPr>
        <w:t>Campanela</w:t>
      </w:r>
      <w:proofErr w:type="spellEnd"/>
      <w:r w:rsidR="002F5B2E" w:rsidRPr="002F5B2E">
        <w:rPr>
          <w:rFonts w:ascii="Arial" w:hAnsi="Arial" w:cs="Arial"/>
          <w:sz w:val="24"/>
          <w:szCs w:val="24"/>
        </w:rPr>
        <w:t xml:space="preserve"> (2023) </w:t>
      </w:r>
      <w:r w:rsidR="002F5B2E">
        <w:rPr>
          <w:rFonts w:ascii="Arial" w:hAnsi="Arial" w:cs="Arial"/>
          <w:sz w:val="24"/>
          <w:szCs w:val="24"/>
        </w:rPr>
        <w:t xml:space="preserve">also </w:t>
      </w:r>
      <w:r w:rsidR="002F5B2E" w:rsidRPr="002F5B2E">
        <w:rPr>
          <w:rFonts w:ascii="Arial" w:hAnsi="Arial" w:cs="Arial"/>
          <w:sz w:val="24"/>
          <w:szCs w:val="24"/>
        </w:rPr>
        <w:t xml:space="preserve">highlights the deepening precarity in the artistic sector, shaped by both economic pressures and structural shifts. </w:t>
      </w:r>
      <w:r w:rsidR="00C33DA1">
        <w:rPr>
          <w:rFonts w:ascii="Arial" w:hAnsi="Arial" w:cs="Arial"/>
          <w:sz w:val="24"/>
          <w:szCs w:val="24"/>
        </w:rPr>
        <w:t>Stating that a</w:t>
      </w:r>
      <w:r w:rsidR="002F5B2E" w:rsidRPr="002F5B2E">
        <w:rPr>
          <w:rFonts w:ascii="Arial" w:hAnsi="Arial" w:cs="Arial"/>
          <w:sz w:val="24"/>
          <w:szCs w:val="24"/>
        </w:rPr>
        <w:t>rtists face low wages, financial instability, and overwork, often under "</w:t>
      </w:r>
      <w:proofErr w:type="spellStart"/>
      <w:r w:rsidR="002F5B2E" w:rsidRPr="002F5B2E">
        <w:rPr>
          <w:rFonts w:ascii="Arial" w:hAnsi="Arial" w:cs="Arial"/>
          <w:sz w:val="24"/>
          <w:szCs w:val="24"/>
        </w:rPr>
        <w:t>recibo</w:t>
      </w:r>
      <w:proofErr w:type="spellEnd"/>
      <w:r w:rsidR="002F5B2E" w:rsidRPr="002F5B2E">
        <w:rPr>
          <w:rFonts w:ascii="Arial" w:hAnsi="Arial" w:cs="Arial"/>
          <w:sz w:val="24"/>
          <w:szCs w:val="24"/>
        </w:rPr>
        <w:t xml:space="preserve"> </w:t>
      </w:r>
      <w:proofErr w:type="spellStart"/>
      <w:r w:rsidR="002F5B2E" w:rsidRPr="002F5B2E">
        <w:rPr>
          <w:rFonts w:ascii="Arial" w:hAnsi="Arial" w:cs="Arial"/>
          <w:sz w:val="24"/>
          <w:szCs w:val="24"/>
        </w:rPr>
        <w:t>verde</w:t>
      </w:r>
      <w:proofErr w:type="spellEnd"/>
      <w:r w:rsidR="002F5B2E" w:rsidRPr="002F5B2E">
        <w:rPr>
          <w:rFonts w:ascii="Arial" w:hAnsi="Arial" w:cs="Arial"/>
          <w:sz w:val="24"/>
          <w:szCs w:val="24"/>
        </w:rPr>
        <w:t>" contracts</w:t>
      </w:r>
      <w:r>
        <w:rPr>
          <w:rFonts w:ascii="Arial" w:hAnsi="Arial" w:cs="Arial"/>
          <w:sz w:val="24"/>
          <w:szCs w:val="24"/>
        </w:rPr>
        <w:t xml:space="preserve"> </w:t>
      </w:r>
      <w:r w:rsidR="002F5B2E">
        <w:rPr>
          <w:rFonts w:ascii="Arial" w:hAnsi="Arial" w:cs="Arial"/>
          <w:sz w:val="24"/>
          <w:szCs w:val="24"/>
        </w:rPr>
        <w:t>(</w:t>
      </w:r>
      <w:r w:rsidR="002F5B2E" w:rsidRPr="002F5B2E">
        <w:rPr>
          <w:rFonts w:ascii="Arial" w:hAnsi="Arial" w:cs="Arial"/>
          <w:sz w:val="24"/>
          <w:szCs w:val="24"/>
        </w:rPr>
        <w:t>a form of self-employment</w:t>
      </w:r>
      <w:r w:rsidR="002F5B2E">
        <w:rPr>
          <w:rFonts w:ascii="Arial" w:hAnsi="Arial" w:cs="Arial"/>
          <w:sz w:val="24"/>
          <w:szCs w:val="24"/>
        </w:rPr>
        <w:t>)</w:t>
      </w:r>
      <w:r w:rsidR="002F5B2E" w:rsidRPr="002F5B2E">
        <w:rPr>
          <w:rFonts w:ascii="Arial" w:hAnsi="Arial" w:cs="Arial"/>
          <w:sz w:val="24"/>
          <w:szCs w:val="24"/>
        </w:rPr>
        <w:t xml:space="preserve"> that replace traditional labor agreements leading to unstable and unsustainable careers. </w:t>
      </w:r>
      <w:r w:rsidR="00C33DA1">
        <w:rPr>
          <w:rFonts w:ascii="Arial" w:hAnsi="Arial" w:cs="Arial"/>
          <w:sz w:val="24"/>
          <w:szCs w:val="24"/>
        </w:rPr>
        <w:t>And mentioning that P</w:t>
      </w:r>
      <w:r w:rsidR="002F5B2E" w:rsidRPr="002F5B2E">
        <w:rPr>
          <w:rFonts w:ascii="Arial" w:hAnsi="Arial" w:cs="Arial"/>
          <w:sz w:val="24"/>
          <w:szCs w:val="24"/>
        </w:rPr>
        <w:t>ublic funding mechanisms exacerbate this issue by prioritizing measurable outputs over artistic merit, making it harder for artists to secure meaningful support</w:t>
      </w:r>
      <w:r w:rsidR="00815E7E">
        <w:rPr>
          <w:rFonts w:ascii="Arial" w:hAnsi="Arial" w:cs="Arial"/>
          <w:sz w:val="24"/>
          <w:szCs w:val="24"/>
        </w:rPr>
        <w:t xml:space="preserve"> </w:t>
      </w:r>
      <w:r w:rsidR="00CC2ED2">
        <w:rPr>
          <w:rFonts w:ascii="Arial" w:hAnsi="Arial" w:cs="Arial"/>
          <w:sz w:val="24"/>
          <w:szCs w:val="24"/>
        </w:rPr>
        <w:fldChar w:fldCharType="begin"/>
      </w:r>
      <w:r w:rsidR="00CC2ED2">
        <w:rPr>
          <w:rFonts w:ascii="Arial" w:hAnsi="Arial" w:cs="Arial"/>
          <w:sz w:val="24"/>
          <w:szCs w:val="24"/>
        </w:rPr>
        <w:instrText xml:space="preserve"> ADDIN ZOTERO_ITEM CSL_CITATION {"citationID":"5AJpB9Ee","properties":{"formattedCitation":"(Campanela, 2023)","plainCitation":"(Campanela, 2023)","noteIndex":0},"citationItems":[{"id":999,"uris":["http://zotero.org/users/local/hN5mtYaY/items/YCRF6GPQ"],"itemData":{"id":999,"type":"article-journal","abstract":"This paper aims to examine the role that models of production related to work and contractual conditions play in the act of artistic creation and in the psyche of the workers involved. The status of the “independent” worker and the models for arts funding in Portugal are the background from which the topology of the artistic world emerges shaped by the hyperactive work to which its professional workers are subject.","container-title":"Sinais de Cena","DOI":"10.51427/cet.sdc.2023.0010","ISSN":"2184-9552","language":"pt","license":"Direitos de Autor (c) 2023 Carolina Campanela","page":"224-241","source":"revistas.rcaap.pt","title":"Da Dessacralização da Arte: topologia breve e inacabada do meio artístico","title-short":"Da Dessacralização da Arte","author":[{"family":"Campanela","given":"Carolina"}],"issued":{"date-parts":[["2023",12,28]]}}}],"schema":"https://github.com/citation-style-language/schema/raw/master/csl-citation.json"} </w:instrText>
      </w:r>
      <w:r w:rsidR="00CC2ED2">
        <w:rPr>
          <w:rFonts w:ascii="Arial" w:hAnsi="Arial" w:cs="Arial"/>
          <w:sz w:val="24"/>
          <w:szCs w:val="24"/>
        </w:rPr>
        <w:fldChar w:fldCharType="separate"/>
      </w:r>
      <w:r w:rsidR="00CC2ED2" w:rsidRPr="00CC2ED2">
        <w:rPr>
          <w:rFonts w:ascii="Arial" w:hAnsi="Arial" w:cs="Arial"/>
          <w:sz w:val="24"/>
        </w:rPr>
        <w:t>(Campanela, 2023)</w:t>
      </w:r>
      <w:r w:rsidR="00CC2ED2">
        <w:rPr>
          <w:rFonts w:ascii="Arial" w:hAnsi="Arial" w:cs="Arial"/>
          <w:sz w:val="24"/>
          <w:szCs w:val="24"/>
        </w:rPr>
        <w:fldChar w:fldCharType="end"/>
      </w:r>
      <w:r w:rsidR="002F5B2E" w:rsidRPr="002F5B2E">
        <w:rPr>
          <w:rFonts w:ascii="Arial" w:hAnsi="Arial" w:cs="Arial"/>
          <w:sz w:val="24"/>
          <w:szCs w:val="24"/>
        </w:rPr>
        <w:t xml:space="preserve">. This system fuels a culture of perpetual overwork and blurred boundaries between personal and professional life. </w:t>
      </w:r>
      <w:r w:rsidR="00AD394E" w:rsidRPr="002F5B2E">
        <w:rPr>
          <w:rFonts w:ascii="Arial" w:hAnsi="Arial" w:cs="Arial"/>
          <w:sz w:val="24"/>
          <w:szCs w:val="24"/>
        </w:rPr>
        <w:t>Additionally,</w:t>
      </w:r>
      <w:r w:rsidR="00AD394E">
        <w:rPr>
          <w:rFonts w:ascii="Arial" w:hAnsi="Arial" w:cs="Arial"/>
          <w:sz w:val="24"/>
          <w:szCs w:val="24"/>
        </w:rPr>
        <w:t xml:space="preserve"> </w:t>
      </w:r>
      <w:proofErr w:type="spellStart"/>
      <w:r w:rsidR="00AD394E">
        <w:rPr>
          <w:rFonts w:ascii="Arial" w:hAnsi="Arial" w:cs="Arial"/>
          <w:sz w:val="24"/>
          <w:szCs w:val="24"/>
        </w:rPr>
        <w:t>Campanela</w:t>
      </w:r>
      <w:proofErr w:type="spellEnd"/>
      <w:r w:rsidR="00AD394E">
        <w:rPr>
          <w:rFonts w:ascii="Arial" w:hAnsi="Arial" w:cs="Arial"/>
          <w:sz w:val="24"/>
          <w:szCs w:val="24"/>
        </w:rPr>
        <w:t xml:space="preserve"> (2023) </w:t>
      </w:r>
      <w:r w:rsidR="007B42D8">
        <w:rPr>
          <w:rFonts w:ascii="Arial" w:hAnsi="Arial" w:cs="Arial"/>
          <w:sz w:val="24"/>
          <w:szCs w:val="24"/>
        </w:rPr>
        <w:t>adds</w:t>
      </w:r>
      <w:r w:rsidR="00AD394E">
        <w:rPr>
          <w:rFonts w:ascii="Arial" w:hAnsi="Arial" w:cs="Arial"/>
          <w:sz w:val="24"/>
          <w:szCs w:val="24"/>
        </w:rPr>
        <w:t xml:space="preserve"> something very relevant which is</w:t>
      </w:r>
      <w:r w:rsidR="002F5B2E" w:rsidRPr="002F5B2E">
        <w:rPr>
          <w:rFonts w:ascii="Arial" w:hAnsi="Arial" w:cs="Arial"/>
          <w:sz w:val="24"/>
          <w:szCs w:val="24"/>
        </w:rPr>
        <w:t xml:space="preserve"> the normalization of the "</w:t>
      </w:r>
      <w:proofErr w:type="spellStart"/>
      <w:r w:rsidR="002F5B2E" w:rsidRPr="002F5B2E">
        <w:rPr>
          <w:rFonts w:ascii="Arial" w:hAnsi="Arial" w:cs="Arial"/>
          <w:sz w:val="24"/>
          <w:szCs w:val="24"/>
        </w:rPr>
        <w:t>cultura</w:t>
      </w:r>
      <w:proofErr w:type="spellEnd"/>
      <w:r w:rsidR="002F5B2E" w:rsidRPr="002F5B2E">
        <w:rPr>
          <w:rFonts w:ascii="Arial" w:hAnsi="Arial" w:cs="Arial"/>
          <w:sz w:val="24"/>
          <w:szCs w:val="24"/>
        </w:rPr>
        <w:t xml:space="preserve"> do </w:t>
      </w:r>
      <w:proofErr w:type="spellStart"/>
      <w:r w:rsidR="002F5B2E" w:rsidRPr="002F5B2E">
        <w:rPr>
          <w:rFonts w:ascii="Arial" w:hAnsi="Arial" w:cs="Arial"/>
          <w:sz w:val="24"/>
          <w:szCs w:val="24"/>
        </w:rPr>
        <w:t>sacrifício</w:t>
      </w:r>
      <w:proofErr w:type="spellEnd"/>
      <w:r w:rsidR="002F5B2E" w:rsidRPr="002F5B2E">
        <w:rPr>
          <w:rFonts w:ascii="Arial" w:hAnsi="Arial" w:cs="Arial"/>
          <w:sz w:val="24"/>
          <w:szCs w:val="24"/>
        </w:rPr>
        <w:t>"</w:t>
      </w:r>
      <w:r w:rsidR="00AD394E">
        <w:rPr>
          <w:rFonts w:ascii="Arial" w:hAnsi="Arial" w:cs="Arial"/>
          <w:sz w:val="24"/>
          <w:szCs w:val="24"/>
        </w:rPr>
        <w:t xml:space="preserve"> (</w:t>
      </w:r>
      <w:r w:rsidR="003635F6">
        <w:rPr>
          <w:rFonts w:ascii="Arial" w:hAnsi="Arial" w:cs="Arial"/>
          <w:sz w:val="24"/>
          <w:szCs w:val="24"/>
        </w:rPr>
        <w:t xml:space="preserve">culture of sacrifice - </w:t>
      </w:r>
      <w:r w:rsidR="002F5B2E" w:rsidRPr="002F5B2E">
        <w:rPr>
          <w:rFonts w:ascii="Arial" w:hAnsi="Arial" w:cs="Arial"/>
          <w:sz w:val="24"/>
          <w:szCs w:val="24"/>
        </w:rPr>
        <w:t>the expectation that artists work out of passion rather than for fair compensation</w:t>
      </w:r>
      <w:r w:rsidR="00AD394E">
        <w:rPr>
          <w:rFonts w:ascii="Arial" w:hAnsi="Arial" w:cs="Arial"/>
          <w:sz w:val="24"/>
          <w:szCs w:val="24"/>
        </w:rPr>
        <w:t>)</w:t>
      </w:r>
      <w:r w:rsidR="007B42D8">
        <w:rPr>
          <w:rFonts w:ascii="Arial" w:hAnsi="Arial" w:cs="Arial"/>
          <w:sz w:val="24"/>
          <w:szCs w:val="24"/>
        </w:rPr>
        <w:t xml:space="preserve"> which</w:t>
      </w:r>
      <w:r w:rsidR="00AD394E">
        <w:rPr>
          <w:rFonts w:ascii="Arial" w:hAnsi="Arial" w:cs="Arial"/>
          <w:sz w:val="24"/>
          <w:szCs w:val="24"/>
        </w:rPr>
        <w:t xml:space="preserve"> </w:t>
      </w:r>
      <w:r w:rsidR="002F5B2E" w:rsidRPr="002F5B2E">
        <w:rPr>
          <w:rFonts w:ascii="Arial" w:hAnsi="Arial" w:cs="Arial"/>
          <w:sz w:val="24"/>
          <w:szCs w:val="24"/>
        </w:rPr>
        <w:t>reflects a broader devaluation of artistic labor. Art itself is increasingly assimilated into market logic, where quantity and performance metrics overshadow quality and creative integrity</w:t>
      </w:r>
      <w:r w:rsidR="00FC12A3">
        <w:rPr>
          <w:rFonts w:ascii="Arial" w:hAnsi="Arial" w:cs="Arial"/>
          <w:sz w:val="24"/>
          <w:szCs w:val="24"/>
        </w:rPr>
        <w:t xml:space="preserve"> </w:t>
      </w:r>
      <w:r w:rsidR="00AD394E">
        <w:rPr>
          <w:rFonts w:ascii="Arial" w:hAnsi="Arial" w:cs="Arial"/>
          <w:sz w:val="24"/>
          <w:szCs w:val="24"/>
        </w:rPr>
        <w:fldChar w:fldCharType="begin"/>
      </w:r>
      <w:r w:rsidR="00AD394E">
        <w:rPr>
          <w:rFonts w:ascii="Arial" w:hAnsi="Arial" w:cs="Arial"/>
          <w:sz w:val="24"/>
          <w:szCs w:val="24"/>
        </w:rPr>
        <w:instrText xml:space="preserve"> ADDIN ZOTERO_ITEM CSL_CITATION {"citationID":"FoimxQmB","properties":{"formattedCitation":"(Campanela, 2023)","plainCitation":"(Campanela, 2023)","noteIndex":0},"citationItems":[{"id":999,"uris":["http://zotero.org/users/local/hN5mtYaY/items/YCRF6GPQ"],"itemData":{"id":999,"type":"article-journal","abstract":"This paper aims to examine the role that models of production related to work and contractual conditions play in the act of artistic creation and in the psyche of the workers involved. The status of the “independent” worker and the models for arts funding in Portugal are the background from which the topology of the artistic world emerges shaped by the hyperactive work to which its professional workers are subject.","container-title":"Sinais de Cena","DOI":"10.51427/cet.sdc.2023.0010","ISSN":"2184-9552","language":"pt","license":"Direitos de Autor (c) 2023 Carolina Campanela","page":"224-241","source":"revistas.rcaap.pt","title":"Da Dessacralização da Arte: topologia breve e inacabada do meio artístico","title-short":"Da Dessacralização da Arte","author":[{"family":"Campanela","given":"Carolina"}],"issued":{"date-parts":[["2023",12,28]]}}}],"schema":"https://github.com/citation-style-language/schema/raw/master/csl-citation.json"} </w:instrText>
      </w:r>
      <w:r w:rsidR="00AD394E">
        <w:rPr>
          <w:rFonts w:ascii="Arial" w:hAnsi="Arial" w:cs="Arial"/>
          <w:sz w:val="24"/>
          <w:szCs w:val="24"/>
        </w:rPr>
        <w:fldChar w:fldCharType="separate"/>
      </w:r>
      <w:r w:rsidR="00AD394E" w:rsidRPr="00AD394E">
        <w:rPr>
          <w:rFonts w:ascii="Arial" w:hAnsi="Arial" w:cs="Arial"/>
          <w:sz w:val="24"/>
        </w:rPr>
        <w:t>(Campanela, 2023)</w:t>
      </w:r>
      <w:r w:rsidR="00AD394E">
        <w:rPr>
          <w:rFonts w:ascii="Arial" w:hAnsi="Arial" w:cs="Arial"/>
          <w:sz w:val="24"/>
          <w:szCs w:val="24"/>
        </w:rPr>
        <w:fldChar w:fldCharType="end"/>
      </w:r>
      <w:r w:rsidR="002F5B2E" w:rsidRPr="002F5B2E">
        <w:rPr>
          <w:rFonts w:ascii="Arial" w:hAnsi="Arial" w:cs="Arial"/>
          <w:sz w:val="24"/>
          <w:szCs w:val="24"/>
        </w:rPr>
        <w:t>.</w:t>
      </w:r>
    </w:p>
    <w:p w14:paraId="58705307" w14:textId="77777777" w:rsidR="00DB2440" w:rsidRDefault="00024791" w:rsidP="000C32E0">
      <w:pPr>
        <w:spacing w:line="360" w:lineRule="auto"/>
        <w:jc w:val="both"/>
        <w:rPr>
          <w:rFonts w:ascii="Arial" w:hAnsi="Arial" w:cs="Arial"/>
          <w:sz w:val="24"/>
          <w:szCs w:val="24"/>
        </w:rPr>
      </w:pPr>
      <w:r w:rsidRPr="00024791">
        <w:rPr>
          <w:rFonts w:ascii="Arial" w:hAnsi="Arial" w:cs="Arial"/>
          <w:sz w:val="24"/>
          <w:szCs w:val="24"/>
        </w:rPr>
        <w:t xml:space="preserve">MPA is a well-documented psychological phenomenon that poses significant challenges for musicians of all ages and levels of experience. A growing body of research supports the use of evidence-based strategies to address MPA, with cognitive-behavioral therapy (CBT) consistently emerging as the most effective approach across both clinical and educational contexts. Interventions such as Braden et al.’s (2015) “Unleash Your Potential” program have demonstrated </w:t>
      </w:r>
      <w:r w:rsidRPr="00024791">
        <w:rPr>
          <w:rFonts w:ascii="Arial" w:hAnsi="Arial" w:cs="Arial"/>
          <w:sz w:val="24"/>
          <w:szCs w:val="24"/>
        </w:rPr>
        <w:lastRenderedPageBreak/>
        <w:t>substantial reductions in self-reported MPA among adolescents, with enduring benefits beyond the treatment period. Similarly, Kenny and Halls (2018) highlighted the effectiveness of CBT and Anxiety Sensitivity Reduction (ASR) techniques in community-based, low-intensity formats, reinforcing the value of accessible, multidimensional interventions. Beyond cognitive therapies, physiological strategies such as diaphragmatic breathing (Ramos, 2020) and combined cognitive-somatic approaches (Zhukov, 2019) offer scalable solutions that can be integrated into everyday music education. Central to the success of these interventions is the role of the teacher, particularly in pre-college settings, where pedagogical relationships significantly influence students’ emotional resilience and anxiety management (Boyett, 2020). Despite the growing international consensus on these strategies, their implementation remains uneven</w:t>
      </w:r>
      <w:r w:rsidR="00FE6C81">
        <w:rPr>
          <w:rFonts w:ascii="Arial" w:hAnsi="Arial" w:cs="Arial"/>
          <w:sz w:val="24"/>
          <w:szCs w:val="24"/>
        </w:rPr>
        <w:t xml:space="preserve">, </w:t>
      </w:r>
      <w:r w:rsidRPr="00024791">
        <w:rPr>
          <w:rFonts w:ascii="Arial" w:hAnsi="Arial" w:cs="Arial"/>
          <w:sz w:val="24"/>
          <w:szCs w:val="24"/>
        </w:rPr>
        <w:t xml:space="preserve">especially within contexts like Portugal’s artistic education sector, where research and infrastructure for psychological support in music training are limited. </w:t>
      </w:r>
    </w:p>
    <w:p w14:paraId="682E26C8" w14:textId="77777777" w:rsidR="009C1AA5" w:rsidRDefault="009C1AA5" w:rsidP="000C32E0">
      <w:pPr>
        <w:spacing w:line="360" w:lineRule="auto"/>
        <w:jc w:val="both"/>
        <w:rPr>
          <w:rFonts w:ascii="Arial" w:hAnsi="Arial" w:cs="Arial"/>
          <w:sz w:val="24"/>
          <w:szCs w:val="24"/>
        </w:rPr>
      </w:pPr>
    </w:p>
    <w:p w14:paraId="4D92AE6E" w14:textId="77777777" w:rsidR="009C1AA5" w:rsidRDefault="009C1AA5" w:rsidP="009C1AA5">
      <w:pPr>
        <w:spacing w:line="360" w:lineRule="auto"/>
        <w:jc w:val="both"/>
        <w:rPr>
          <w:rFonts w:ascii="Arial" w:hAnsi="Arial" w:cs="Arial"/>
          <w:sz w:val="24"/>
          <w:szCs w:val="24"/>
        </w:rPr>
      </w:pPr>
      <w:r w:rsidRPr="00E01B1E">
        <w:rPr>
          <w:rFonts w:ascii="Arial" w:hAnsi="Arial" w:cs="Arial"/>
          <w:sz w:val="24"/>
          <w:szCs w:val="24"/>
        </w:rPr>
        <w:t xml:space="preserve">PROGRAMME OF STUDY </w:t>
      </w:r>
    </w:p>
    <w:p w14:paraId="0F3AA1C2" w14:textId="77777777" w:rsidR="00A127A7" w:rsidRDefault="00A127A7" w:rsidP="000C32E0">
      <w:pPr>
        <w:spacing w:line="360" w:lineRule="auto"/>
        <w:jc w:val="both"/>
        <w:rPr>
          <w:rFonts w:ascii="Arial" w:hAnsi="Arial" w:cs="Arial"/>
          <w:sz w:val="24"/>
          <w:szCs w:val="24"/>
        </w:rPr>
      </w:pPr>
    </w:p>
    <w:p w14:paraId="575C4340" w14:textId="77777777" w:rsidR="009569D4" w:rsidRDefault="005B7B19" w:rsidP="009569D4">
      <w:pPr>
        <w:spacing w:line="360" w:lineRule="auto"/>
        <w:jc w:val="both"/>
        <w:rPr>
          <w:rFonts w:ascii="Arial" w:hAnsi="Arial" w:cs="Arial"/>
          <w:sz w:val="24"/>
          <w:szCs w:val="24"/>
        </w:rPr>
      </w:pPr>
      <w:r w:rsidRPr="00E01B1E">
        <w:rPr>
          <w:rFonts w:ascii="Arial" w:hAnsi="Arial" w:cs="Arial"/>
          <w:sz w:val="24"/>
          <w:szCs w:val="24"/>
        </w:rPr>
        <w:t xml:space="preserve">AIMS </w:t>
      </w:r>
    </w:p>
    <w:p w14:paraId="098CDBCC" w14:textId="77777777" w:rsidR="009C1AA5" w:rsidRDefault="009569D4" w:rsidP="009569D4">
      <w:pPr>
        <w:pStyle w:val="PargrafodaLista"/>
        <w:numPr>
          <w:ilvl w:val="0"/>
          <w:numId w:val="33"/>
        </w:numPr>
        <w:spacing w:line="360" w:lineRule="auto"/>
        <w:jc w:val="both"/>
        <w:rPr>
          <w:rFonts w:ascii="Arial" w:hAnsi="Arial" w:cs="Arial"/>
          <w:sz w:val="24"/>
          <w:szCs w:val="24"/>
        </w:rPr>
      </w:pPr>
      <w:r w:rsidRPr="009569D4">
        <w:rPr>
          <w:rFonts w:ascii="Arial" w:hAnsi="Arial" w:cs="Arial"/>
          <w:sz w:val="24"/>
          <w:szCs w:val="24"/>
        </w:rPr>
        <w:t xml:space="preserve">To explore the most recognized evidence-based strategies for managing MPA </w:t>
      </w:r>
    </w:p>
    <w:p w14:paraId="7BD8EA03" w14:textId="77777777" w:rsidR="009C1AA5" w:rsidRDefault="009C1AA5" w:rsidP="009C1AA5">
      <w:pPr>
        <w:numPr>
          <w:ilvl w:val="0"/>
          <w:numId w:val="33"/>
        </w:numPr>
        <w:tabs>
          <w:tab w:val="num" w:pos="720"/>
        </w:tabs>
        <w:spacing w:line="360" w:lineRule="auto"/>
        <w:rPr>
          <w:rFonts w:ascii="Arial" w:hAnsi="Arial" w:cs="Arial"/>
          <w:sz w:val="24"/>
          <w:szCs w:val="24"/>
        </w:rPr>
      </w:pPr>
      <w:r w:rsidRPr="006F7B9F">
        <w:rPr>
          <w:rFonts w:ascii="Arial" w:hAnsi="Arial" w:cs="Arial"/>
          <w:sz w:val="24"/>
          <w:szCs w:val="24"/>
        </w:rPr>
        <w:t>To investigate the</w:t>
      </w:r>
      <w:r>
        <w:rPr>
          <w:rFonts w:ascii="Arial" w:hAnsi="Arial" w:cs="Arial"/>
          <w:sz w:val="24"/>
          <w:szCs w:val="24"/>
        </w:rPr>
        <w:t xml:space="preserve"> role of educators in dealing with MPA </w:t>
      </w:r>
    </w:p>
    <w:p w14:paraId="4B966B2D" w14:textId="77777777" w:rsidR="009569D4" w:rsidRPr="009569D4" w:rsidRDefault="009569D4" w:rsidP="009569D4">
      <w:pPr>
        <w:pStyle w:val="PargrafodaLista"/>
        <w:numPr>
          <w:ilvl w:val="0"/>
          <w:numId w:val="33"/>
        </w:numPr>
        <w:spacing w:line="360" w:lineRule="auto"/>
        <w:jc w:val="both"/>
        <w:rPr>
          <w:rFonts w:ascii="Arial" w:hAnsi="Arial" w:cs="Arial"/>
          <w:sz w:val="24"/>
          <w:szCs w:val="24"/>
        </w:rPr>
      </w:pPr>
      <w:r w:rsidRPr="009569D4">
        <w:rPr>
          <w:rFonts w:ascii="Arial" w:hAnsi="Arial" w:cs="Arial"/>
          <w:sz w:val="24"/>
          <w:szCs w:val="24"/>
        </w:rPr>
        <w:t>To explore the potential correlation between the professional challenges encountered within Portugal’s Performing Arts industry and manifestation of MPA among aspiring performers.</w:t>
      </w:r>
    </w:p>
    <w:p w14:paraId="649A8160" w14:textId="77777777" w:rsidR="009569D4" w:rsidRPr="009569D4" w:rsidRDefault="009569D4" w:rsidP="009569D4">
      <w:pPr>
        <w:pStyle w:val="PargrafodaLista"/>
        <w:numPr>
          <w:ilvl w:val="0"/>
          <w:numId w:val="33"/>
        </w:numPr>
        <w:spacing w:line="360" w:lineRule="auto"/>
        <w:jc w:val="both"/>
        <w:rPr>
          <w:rFonts w:ascii="Arial" w:hAnsi="Arial" w:cs="Arial"/>
          <w:sz w:val="24"/>
          <w:szCs w:val="24"/>
        </w:rPr>
      </w:pPr>
      <w:r w:rsidRPr="009569D4">
        <w:rPr>
          <w:rFonts w:ascii="Arial" w:hAnsi="Arial" w:cs="Arial"/>
          <w:sz w:val="24"/>
          <w:szCs w:val="24"/>
        </w:rPr>
        <w:t>To investigate the significance of integrating MPA awareness and coping strategies into the curriculum of Performing Arts education.</w:t>
      </w:r>
    </w:p>
    <w:p w14:paraId="16622C86" w14:textId="77777777" w:rsidR="009569D4" w:rsidRPr="009569D4" w:rsidRDefault="009569D4" w:rsidP="009569D4">
      <w:pPr>
        <w:pStyle w:val="PargrafodaLista"/>
        <w:spacing w:line="360" w:lineRule="auto"/>
        <w:ind w:left="1440"/>
        <w:rPr>
          <w:rFonts w:ascii="Arial" w:hAnsi="Arial" w:cs="Arial"/>
          <w:sz w:val="24"/>
          <w:szCs w:val="24"/>
        </w:rPr>
      </w:pPr>
    </w:p>
    <w:p w14:paraId="4F52D2B1" w14:textId="77777777" w:rsidR="009569D4" w:rsidRDefault="009569D4" w:rsidP="009569D4">
      <w:pPr>
        <w:spacing w:line="360" w:lineRule="auto"/>
        <w:jc w:val="both"/>
        <w:rPr>
          <w:rFonts w:ascii="Arial" w:hAnsi="Arial" w:cs="Arial"/>
          <w:sz w:val="24"/>
          <w:szCs w:val="24"/>
        </w:rPr>
      </w:pPr>
      <w:r w:rsidRPr="00E01B1E">
        <w:rPr>
          <w:rFonts w:ascii="Arial" w:hAnsi="Arial" w:cs="Arial"/>
          <w:sz w:val="24"/>
          <w:szCs w:val="24"/>
        </w:rPr>
        <w:t>OBJECTIVES</w:t>
      </w:r>
    </w:p>
    <w:p w14:paraId="3769AB1D" w14:textId="77777777" w:rsidR="009569D4" w:rsidRDefault="009569D4" w:rsidP="009569D4">
      <w:pPr>
        <w:pStyle w:val="PargrafodaLista"/>
        <w:numPr>
          <w:ilvl w:val="0"/>
          <w:numId w:val="2"/>
        </w:numPr>
        <w:spacing w:line="360" w:lineRule="auto"/>
        <w:jc w:val="both"/>
        <w:rPr>
          <w:rFonts w:ascii="Arial" w:hAnsi="Arial" w:cs="Arial"/>
          <w:sz w:val="24"/>
          <w:szCs w:val="24"/>
        </w:rPr>
      </w:pPr>
      <w:r>
        <w:rPr>
          <w:rFonts w:ascii="Arial" w:hAnsi="Arial" w:cs="Arial"/>
          <w:sz w:val="24"/>
          <w:szCs w:val="24"/>
        </w:rPr>
        <w:t xml:space="preserve">To </w:t>
      </w:r>
      <w:r w:rsidRPr="00FA7A3C">
        <w:rPr>
          <w:rFonts w:ascii="Arial" w:hAnsi="Arial" w:cs="Arial"/>
          <w:sz w:val="24"/>
          <w:szCs w:val="24"/>
        </w:rPr>
        <w:t xml:space="preserve">gather evidence on the impact of </w:t>
      </w:r>
      <w:r>
        <w:rPr>
          <w:rFonts w:ascii="Arial" w:hAnsi="Arial" w:cs="Arial"/>
          <w:sz w:val="24"/>
          <w:szCs w:val="24"/>
        </w:rPr>
        <w:t>the precarious conditions and challenges faced by Portuguese artists</w:t>
      </w:r>
      <w:r w:rsidRPr="00FA7A3C">
        <w:rPr>
          <w:rFonts w:ascii="Arial" w:hAnsi="Arial" w:cs="Arial"/>
          <w:sz w:val="24"/>
          <w:szCs w:val="24"/>
        </w:rPr>
        <w:t>.</w:t>
      </w:r>
    </w:p>
    <w:p w14:paraId="6BD65711" w14:textId="77777777" w:rsidR="009569D4" w:rsidRDefault="009569D4" w:rsidP="009569D4">
      <w:pPr>
        <w:pStyle w:val="PargrafodaLista"/>
        <w:numPr>
          <w:ilvl w:val="0"/>
          <w:numId w:val="2"/>
        </w:numPr>
        <w:spacing w:line="360" w:lineRule="auto"/>
        <w:jc w:val="both"/>
        <w:rPr>
          <w:rFonts w:ascii="Arial" w:hAnsi="Arial" w:cs="Arial"/>
          <w:sz w:val="24"/>
          <w:szCs w:val="24"/>
        </w:rPr>
      </w:pPr>
      <w:r w:rsidRPr="00FA7A3C">
        <w:rPr>
          <w:rFonts w:ascii="Arial" w:hAnsi="Arial" w:cs="Arial"/>
          <w:sz w:val="24"/>
          <w:szCs w:val="24"/>
        </w:rPr>
        <w:lastRenderedPageBreak/>
        <w:t>To conduct a comprehensive review of the literature on MPA and its associated coping strategies and theoretical framework</w:t>
      </w:r>
    </w:p>
    <w:p w14:paraId="18D717B9" w14:textId="77777777" w:rsidR="009C1AA5" w:rsidRDefault="009C1AA5" w:rsidP="009C1AA5">
      <w:pPr>
        <w:pStyle w:val="PargrafodaLista"/>
        <w:numPr>
          <w:ilvl w:val="0"/>
          <w:numId w:val="2"/>
        </w:numPr>
        <w:spacing w:line="360" w:lineRule="auto"/>
        <w:jc w:val="both"/>
        <w:rPr>
          <w:rFonts w:ascii="Arial" w:hAnsi="Arial" w:cs="Arial"/>
          <w:sz w:val="24"/>
          <w:szCs w:val="24"/>
        </w:rPr>
      </w:pPr>
      <w:r w:rsidRPr="00FA7A3C">
        <w:rPr>
          <w:rFonts w:ascii="Arial" w:hAnsi="Arial" w:cs="Arial"/>
          <w:sz w:val="24"/>
          <w:szCs w:val="24"/>
        </w:rPr>
        <w:t>To identify various MPA coping strategies and critically reflect on their relevance and applicability within the classroom context.</w:t>
      </w:r>
    </w:p>
    <w:p w14:paraId="0EB5C118" w14:textId="77777777" w:rsidR="009C1AA5" w:rsidRPr="009C1AA5" w:rsidRDefault="009C1AA5" w:rsidP="009C1AA5">
      <w:pPr>
        <w:numPr>
          <w:ilvl w:val="0"/>
          <w:numId w:val="2"/>
        </w:numPr>
        <w:spacing w:line="360" w:lineRule="auto"/>
        <w:rPr>
          <w:rFonts w:ascii="Arial" w:hAnsi="Arial" w:cs="Arial"/>
          <w:sz w:val="24"/>
          <w:szCs w:val="24"/>
        </w:rPr>
      </w:pPr>
      <w:r>
        <w:rPr>
          <w:rFonts w:ascii="Arial" w:hAnsi="Arial" w:cs="Arial"/>
          <w:sz w:val="24"/>
          <w:szCs w:val="24"/>
        </w:rPr>
        <w:t xml:space="preserve">To review and </w:t>
      </w:r>
      <w:r w:rsidR="0019757C">
        <w:rPr>
          <w:rFonts w:ascii="Arial" w:hAnsi="Arial" w:cs="Arial"/>
          <w:sz w:val="24"/>
          <w:szCs w:val="24"/>
        </w:rPr>
        <w:t>analyze</w:t>
      </w:r>
      <w:r w:rsidRPr="006F7B9F">
        <w:rPr>
          <w:rFonts w:ascii="Arial" w:hAnsi="Arial" w:cs="Arial"/>
          <w:sz w:val="24"/>
          <w:szCs w:val="24"/>
        </w:rPr>
        <w:t xml:space="preserve"> current level of awareness, access, and use of MPA strategies among Portuguese performers and educators.</w:t>
      </w:r>
    </w:p>
    <w:p w14:paraId="6DBD61A0" w14:textId="77777777" w:rsidR="009569D4" w:rsidRDefault="009569D4" w:rsidP="009569D4">
      <w:pPr>
        <w:pStyle w:val="PargrafodaLista"/>
        <w:numPr>
          <w:ilvl w:val="0"/>
          <w:numId w:val="2"/>
        </w:numPr>
        <w:spacing w:line="360" w:lineRule="auto"/>
        <w:jc w:val="both"/>
        <w:rPr>
          <w:rFonts w:ascii="Arial" w:hAnsi="Arial" w:cs="Arial"/>
          <w:sz w:val="24"/>
          <w:szCs w:val="24"/>
        </w:rPr>
      </w:pPr>
      <w:r>
        <w:rPr>
          <w:rFonts w:ascii="Arial" w:hAnsi="Arial" w:cs="Arial"/>
          <w:sz w:val="24"/>
          <w:szCs w:val="24"/>
        </w:rPr>
        <w:t>To critically reflect on the influence of the Portuguese cultural sector challenges and symptoms of MPA.</w:t>
      </w:r>
    </w:p>
    <w:p w14:paraId="155721E7" w14:textId="77777777" w:rsidR="009569D4" w:rsidRDefault="009569D4" w:rsidP="009569D4">
      <w:pPr>
        <w:pStyle w:val="PargrafodaLista"/>
        <w:numPr>
          <w:ilvl w:val="0"/>
          <w:numId w:val="2"/>
        </w:numPr>
        <w:spacing w:line="360" w:lineRule="auto"/>
        <w:jc w:val="both"/>
        <w:rPr>
          <w:rFonts w:ascii="Arial" w:hAnsi="Arial" w:cs="Arial"/>
          <w:sz w:val="24"/>
          <w:szCs w:val="24"/>
        </w:rPr>
      </w:pPr>
      <w:r>
        <w:rPr>
          <w:rFonts w:ascii="Arial" w:hAnsi="Arial" w:cs="Arial"/>
          <w:sz w:val="24"/>
          <w:szCs w:val="24"/>
        </w:rPr>
        <w:t xml:space="preserve">To </w:t>
      </w:r>
      <w:r w:rsidRPr="00FA7A3C">
        <w:rPr>
          <w:rFonts w:ascii="Arial" w:hAnsi="Arial" w:cs="Arial"/>
          <w:sz w:val="24"/>
          <w:szCs w:val="24"/>
        </w:rPr>
        <w:t xml:space="preserve">gather evidence on the impact of </w:t>
      </w:r>
      <w:r>
        <w:rPr>
          <w:rFonts w:ascii="Arial" w:hAnsi="Arial" w:cs="Arial"/>
          <w:sz w:val="24"/>
          <w:szCs w:val="24"/>
        </w:rPr>
        <w:t>the precarious conditions and challenges faced by Portuguese artists</w:t>
      </w:r>
      <w:r w:rsidRPr="00FA7A3C">
        <w:rPr>
          <w:rFonts w:ascii="Arial" w:hAnsi="Arial" w:cs="Arial"/>
          <w:sz w:val="24"/>
          <w:szCs w:val="24"/>
        </w:rPr>
        <w:t>.</w:t>
      </w:r>
    </w:p>
    <w:p w14:paraId="4ABC4840" w14:textId="77777777" w:rsidR="009569D4" w:rsidRPr="009569D4" w:rsidRDefault="009569D4" w:rsidP="009569D4">
      <w:pPr>
        <w:pStyle w:val="PargrafodaLista"/>
        <w:numPr>
          <w:ilvl w:val="0"/>
          <w:numId w:val="2"/>
        </w:numPr>
        <w:spacing w:line="360" w:lineRule="auto"/>
        <w:jc w:val="both"/>
        <w:rPr>
          <w:rFonts w:ascii="Arial" w:hAnsi="Arial" w:cs="Arial"/>
          <w:sz w:val="24"/>
          <w:szCs w:val="24"/>
        </w:rPr>
      </w:pPr>
      <w:r w:rsidRPr="00FA7A3C">
        <w:rPr>
          <w:rFonts w:ascii="Arial" w:hAnsi="Arial" w:cs="Arial"/>
          <w:sz w:val="24"/>
          <w:szCs w:val="24"/>
        </w:rPr>
        <w:t xml:space="preserve">To gather evidence on the positive impact of </w:t>
      </w:r>
      <w:r>
        <w:rPr>
          <w:rFonts w:ascii="Arial" w:hAnsi="Arial" w:cs="Arial"/>
          <w:sz w:val="24"/>
          <w:szCs w:val="24"/>
        </w:rPr>
        <w:t xml:space="preserve">implementing MPA coping strategies in educational environments. </w:t>
      </w:r>
    </w:p>
    <w:p w14:paraId="342C94F8" w14:textId="77777777" w:rsidR="009569D4" w:rsidRDefault="009569D4" w:rsidP="009569D4">
      <w:pPr>
        <w:spacing w:line="360" w:lineRule="auto"/>
        <w:jc w:val="both"/>
        <w:rPr>
          <w:rFonts w:ascii="Arial" w:hAnsi="Arial" w:cs="Arial"/>
          <w:sz w:val="24"/>
          <w:szCs w:val="24"/>
        </w:rPr>
      </w:pPr>
    </w:p>
    <w:p w14:paraId="2D5BC024" w14:textId="77777777" w:rsidR="009569D4" w:rsidRDefault="009569D4" w:rsidP="005B7B19">
      <w:pPr>
        <w:spacing w:line="360" w:lineRule="auto"/>
        <w:jc w:val="both"/>
        <w:rPr>
          <w:rFonts w:ascii="Arial" w:hAnsi="Arial" w:cs="Arial"/>
          <w:sz w:val="24"/>
          <w:szCs w:val="24"/>
        </w:rPr>
      </w:pPr>
      <w:r w:rsidRPr="00E01B1E">
        <w:rPr>
          <w:rFonts w:ascii="Arial" w:hAnsi="Arial" w:cs="Arial"/>
          <w:sz w:val="24"/>
          <w:szCs w:val="24"/>
        </w:rPr>
        <w:t>LEARNING OUTCOMES</w:t>
      </w:r>
    </w:p>
    <w:p w14:paraId="33E6FAF2" w14:textId="77777777" w:rsidR="00FA7A3C" w:rsidRPr="00FA7A3C" w:rsidRDefault="009569D4" w:rsidP="00FA7A3C">
      <w:pPr>
        <w:pStyle w:val="PargrafodaLista"/>
        <w:numPr>
          <w:ilvl w:val="0"/>
          <w:numId w:val="4"/>
        </w:numPr>
        <w:spacing w:line="360" w:lineRule="auto"/>
        <w:jc w:val="both"/>
        <w:rPr>
          <w:rFonts w:ascii="Arial" w:hAnsi="Arial" w:cs="Arial"/>
          <w:sz w:val="24"/>
          <w:szCs w:val="24"/>
        </w:rPr>
      </w:pPr>
      <w:r>
        <w:rPr>
          <w:rFonts w:ascii="Arial" w:hAnsi="Arial" w:cs="Arial"/>
          <w:sz w:val="24"/>
          <w:szCs w:val="24"/>
        </w:rPr>
        <w:t>E</w:t>
      </w:r>
      <w:r w:rsidR="00FA7A3C" w:rsidRPr="00FA7A3C">
        <w:rPr>
          <w:rFonts w:ascii="Arial" w:hAnsi="Arial" w:cs="Arial"/>
          <w:sz w:val="24"/>
          <w:szCs w:val="24"/>
        </w:rPr>
        <w:t>nhance understanding of effective approaches for managing MPA in both individual and group performance contexts.</w:t>
      </w:r>
    </w:p>
    <w:p w14:paraId="3F35F5E6" w14:textId="77777777" w:rsidR="00FA7A3C" w:rsidRPr="00FA7A3C" w:rsidRDefault="009569D4" w:rsidP="00FA7A3C">
      <w:pPr>
        <w:pStyle w:val="PargrafodaLista"/>
        <w:numPr>
          <w:ilvl w:val="0"/>
          <w:numId w:val="4"/>
        </w:numPr>
        <w:spacing w:line="360" w:lineRule="auto"/>
        <w:jc w:val="both"/>
        <w:rPr>
          <w:rFonts w:ascii="Arial" w:hAnsi="Arial" w:cs="Arial"/>
          <w:sz w:val="24"/>
          <w:szCs w:val="24"/>
        </w:rPr>
      </w:pPr>
      <w:r>
        <w:rPr>
          <w:rFonts w:ascii="Arial" w:hAnsi="Arial" w:cs="Arial"/>
          <w:sz w:val="24"/>
          <w:szCs w:val="24"/>
        </w:rPr>
        <w:t>I</w:t>
      </w:r>
      <w:r w:rsidR="00FA7A3C" w:rsidRPr="00FA7A3C">
        <w:rPr>
          <w:rFonts w:ascii="Arial" w:hAnsi="Arial" w:cs="Arial"/>
          <w:sz w:val="24"/>
          <w:szCs w:val="24"/>
        </w:rPr>
        <w:t>nvestigate how singing teachers can integrate MPA management strategies into their pedagogical practice.</w:t>
      </w:r>
    </w:p>
    <w:p w14:paraId="1427462F" w14:textId="77777777" w:rsidR="005B7B19" w:rsidRDefault="00FA7A3C" w:rsidP="005B7B19">
      <w:pPr>
        <w:pStyle w:val="PargrafodaLista"/>
        <w:numPr>
          <w:ilvl w:val="0"/>
          <w:numId w:val="2"/>
        </w:numPr>
        <w:spacing w:line="360" w:lineRule="auto"/>
        <w:jc w:val="both"/>
        <w:rPr>
          <w:rFonts w:ascii="Arial" w:hAnsi="Arial" w:cs="Arial"/>
          <w:sz w:val="24"/>
          <w:szCs w:val="24"/>
        </w:rPr>
      </w:pPr>
      <w:proofErr w:type="gramStart"/>
      <w:r>
        <w:rPr>
          <w:rFonts w:ascii="Arial" w:hAnsi="Arial" w:cs="Arial"/>
          <w:sz w:val="24"/>
          <w:szCs w:val="24"/>
        </w:rPr>
        <w:t>Mov</w:t>
      </w:r>
      <w:r w:rsidR="00A61328">
        <w:rPr>
          <w:rFonts w:ascii="Arial" w:hAnsi="Arial" w:cs="Arial"/>
          <w:sz w:val="24"/>
          <w:szCs w:val="24"/>
        </w:rPr>
        <w:t>e</w:t>
      </w:r>
      <w:proofErr w:type="gramEnd"/>
      <w:r w:rsidR="005B7B19">
        <w:rPr>
          <w:rFonts w:ascii="Arial" w:hAnsi="Arial" w:cs="Arial"/>
          <w:sz w:val="24"/>
          <w:szCs w:val="24"/>
        </w:rPr>
        <w:t xml:space="preserve"> towards </w:t>
      </w:r>
      <w:r w:rsidR="005B7B19" w:rsidRPr="006C6ED0">
        <w:rPr>
          <w:rFonts w:ascii="Arial" w:hAnsi="Arial" w:cs="Arial"/>
          <w:sz w:val="24"/>
          <w:szCs w:val="24"/>
        </w:rPr>
        <w:t xml:space="preserve">becoming a more effective singing teacher and performance coach by deepening my </w:t>
      </w:r>
      <w:r w:rsidR="005B7B19">
        <w:rPr>
          <w:rFonts w:ascii="Arial" w:hAnsi="Arial" w:cs="Arial"/>
          <w:sz w:val="24"/>
          <w:szCs w:val="24"/>
        </w:rPr>
        <w:t>knowledge</w:t>
      </w:r>
      <w:r w:rsidR="00A91B92">
        <w:rPr>
          <w:rFonts w:ascii="Arial" w:hAnsi="Arial" w:cs="Arial"/>
          <w:sz w:val="24"/>
          <w:szCs w:val="24"/>
        </w:rPr>
        <w:t xml:space="preserve"> in</w:t>
      </w:r>
      <w:r w:rsidR="005B7B19" w:rsidRPr="006C6ED0">
        <w:rPr>
          <w:rFonts w:ascii="Arial" w:hAnsi="Arial" w:cs="Arial"/>
          <w:sz w:val="24"/>
          <w:szCs w:val="24"/>
        </w:rPr>
        <w:t xml:space="preserve"> </w:t>
      </w:r>
      <w:r w:rsidR="005B7B19">
        <w:rPr>
          <w:rFonts w:ascii="Arial" w:hAnsi="Arial" w:cs="Arial"/>
          <w:sz w:val="24"/>
          <w:szCs w:val="24"/>
        </w:rPr>
        <w:t xml:space="preserve">coping strategies and interventions of </w:t>
      </w:r>
      <w:r w:rsidR="005B7B19" w:rsidRPr="006C6ED0">
        <w:rPr>
          <w:rFonts w:ascii="Arial" w:hAnsi="Arial" w:cs="Arial"/>
          <w:sz w:val="24"/>
          <w:szCs w:val="24"/>
        </w:rPr>
        <w:t>MPA.</w:t>
      </w:r>
    </w:p>
    <w:p w14:paraId="41BC3372" w14:textId="77777777" w:rsidR="00FA7A3C" w:rsidRDefault="00FA7A3C" w:rsidP="00FA7A3C">
      <w:pPr>
        <w:pStyle w:val="PargrafodaLista"/>
        <w:numPr>
          <w:ilvl w:val="0"/>
          <w:numId w:val="2"/>
        </w:numPr>
        <w:spacing w:line="360" w:lineRule="auto"/>
        <w:jc w:val="both"/>
        <w:rPr>
          <w:rFonts w:ascii="Arial" w:hAnsi="Arial" w:cs="Arial"/>
          <w:sz w:val="24"/>
          <w:szCs w:val="24"/>
        </w:rPr>
      </w:pPr>
      <w:r w:rsidRPr="00FA7A3C">
        <w:rPr>
          <w:rFonts w:ascii="Arial" w:hAnsi="Arial" w:cs="Arial"/>
          <w:sz w:val="24"/>
          <w:szCs w:val="24"/>
        </w:rPr>
        <w:t>To critically reflect on the pedagogical implications of this research for my own teaching practice and ongoing professional development.</w:t>
      </w:r>
    </w:p>
    <w:p w14:paraId="6C0E62FF" w14:textId="77777777" w:rsidR="009C1AA5" w:rsidRPr="009C1AA5" w:rsidRDefault="009C1AA5" w:rsidP="009C1AA5">
      <w:pPr>
        <w:numPr>
          <w:ilvl w:val="0"/>
          <w:numId w:val="2"/>
        </w:numPr>
        <w:spacing w:line="360" w:lineRule="auto"/>
        <w:rPr>
          <w:rFonts w:ascii="Arial" w:hAnsi="Arial" w:cs="Arial"/>
          <w:sz w:val="24"/>
          <w:szCs w:val="24"/>
        </w:rPr>
      </w:pPr>
      <w:r w:rsidRPr="006F7B9F">
        <w:rPr>
          <w:rFonts w:ascii="Arial" w:hAnsi="Arial" w:cs="Arial"/>
          <w:sz w:val="24"/>
          <w:szCs w:val="24"/>
        </w:rPr>
        <w:t>To assess the potential for integrating MPA management strategies into performing arts education and professional training in Portugal.</w:t>
      </w:r>
    </w:p>
    <w:p w14:paraId="7EF8AE85" w14:textId="77777777" w:rsidR="00FA7A3C" w:rsidRDefault="00FA7A3C" w:rsidP="00FA7A3C">
      <w:pPr>
        <w:pStyle w:val="PargrafodaLista"/>
        <w:numPr>
          <w:ilvl w:val="0"/>
          <w:numId w:val="2"/>
        </w:numPr>
        <w:spacing w:line="360" w:lineRule="auto"/>
        <w:jc w:val="both"/>
        <w:rPr>
          <w:rFonts w:ascii="Arial" w:hAnsi="Arial" w:cs="Arial"/>
          <w:sz w:val="24"/>
          <w:szCs w:val="24"/>
        </w:rPr>
      </w:pPr>
      <w:r w:rsidRPr="00FA7A3C">
        <w:rPr>
          <w:rFonts w:ascii="Arial" w:hAnsi="Arial" w:cs="Arial"/>
          <w:sz w:val="24"/>
          <w:szCs w:val="24"/>
        </w:rPr>
        <w:t xml:space="preserve">To continue developing expertise in the field </w:t>
      </w:r>
      <w:r w:rsidR="00FC12A3" w:rsidRPr="00FA7A3C">
        <w:rPr>
          <w:rFonts w:ascii="Arial" w:hAnsi="Arial" w:cs="Arial"/>
          <w:sz w:val="24"/>
          <w:szCs w:val="24"/>
        </w:rPr>
        <w:t>to</w:t>
      </w:r>
      <w:r w:rsidRPr="00FA7A3C">
        <w:rPr>
          <w:rFonts w:ascii="Arial" w:hAnsi="Arial" w:cs="Arial"/>
          <w:sz w:val="24"/>
          <w:szCs w:val="24"/>
        </w:rPr>
        <w:t xml:space="preserve"> design a structured intervention plan that can be implemented in both one-to-one and group teaching contexts.</w:t>
      </w:r>
    </w:p>
    <w:p w14:paraId="254C1516" w14:textId="77777777" w:rsidR="009C1AA5" w:rsidRPr="006F7B9F" w:rsidRDefault="009C1AA5" w:rsidP="009C1AA5">
      <w:pPr>
        <w:numPr>
          <w:ilvl w:val="0"/>
          <w:numId w:val="2"/>
        </w:numPr>
        <w:spacing w:line="360" w:lineRule="auto"/>
        <w:rPr>
          <w:rFonts w:ascii="Arial" w:hAnsi="Arial" w:cs="Arial"/>
          <w:sz w:val="24"/>
          <w:szCs w:val="24"/>
        </w:rPr>
      </w:pPr>
      <w:r w:rsidRPr="009C1AA5">
        <w:rPr>
          <w:rFonts w:ascii="Arial" w:hAnsi="Arial" w:cs="Arial"/>
          <w:sz w:val="24"/>
          <w:szCs w:val="24"/>
        </w:rPr>
        <w:t>A</w:t>
      </w:r>
      <w:r w:rsidRPr="006F7B9F">
        <w:rPr>
          <w:rFonts w:ascii="Arial" w:hAnsi="Arial" w:cs="Arial"/>
          <w:sz w:val="24"/>
          <w:szCs w:val="24"/>
        </w:rPr>
        <w:t>dvocate for pedagogical and institutional change based on findings that demonstrate the value of proactive MPA support in artistic careers</w:t>
      </w:r>
    </w:p>
    <w:p w14:paraId="72D1AEB4" w14:textId="77777777" w:rsidR="009C1AA5" w:rsidRPr="009C1AA5" w:rsidRDefault="009C1AA5" w:rsidP="009C1AA5">
      <w:pPr>
        <w:spacing w:line="360" w:lineRule="auto"/>
        <w:ind w:left="360"/>
        <w:jc w:val="both"/>
        <w:rPr>
          <w:rFonts w:ascii="Arial" w:hAnsi="Arial" w:cs="Arial"/>
          <w:sz w:val="24"/>
          <w:szCs w:val="24"/>
        </w:rPr>
      </w:pPr>
    </w:p>
    <w:p w14:paraId="712814B1" w14:textId="77777777" w:rsidR="00FA7A3C" w:rsidRPr="00FA7A3C" w:rsidRDefault="00FA7A3C" w:rsidP="00FA7A3C">
      <w:pPr>
        <w:spacing w:line="360" w:lineRule="auto"/>
        <w:jc w:val="both"/>
        <w:rPr>
          <w:rFonts w:ascii="Arial" w:hAnsi="Arial" w:cs="Arial"/>
          <w:sz w:val="24"/>
          <w:szCs w:val="24"/>
        </w:rPr>
      </w:pPr>
    </w:p>
    <w:p w14:paraId="29AEBA52" w14:textId="77777777" w:rsidR="00EC37F6" w:rsidRPr="00EC37F6" w:rsidRDefault="00EC37F6" w:rsidP="00EC37F6">
      <w:pPr>
        <w:spacing w:line="360" w:lineRule="auto"/>
        <w:jc w:val="both"/>
        <w:rPr>
          <w:rFonts w:ascii="Arial" w:hAnsi="Arial" w:cs="Arial"/>
          <w:sz w:val="24"/>
          <w:szCs w:val="24"/>
        </w:rPr>
      </w:pPr>
      <w:r w:rsidRPr="00EC37F6">
        <w:rPr>
          <w:rFonts w:ascii="Arial" w:hAnsi="Arial" w:cs="Arial"/>
          <w:sz w:val="24"/>
          <w:szCs w:val="24"/>
        </w:rPr>
        <w:t>The following chart shows the proposed timeline for this research:</w:t>
      </w:r>
    </w:p>
    <w:tbl>
      <w:tblPr>
        <w:tblW w:w="10546" w:type="dxa"/>
        <w:jc w:val="center"/>
        <w:tblLayout w:type="fixed"/>
        <w:tblCellMar>
          <w:top w:w="11" w:type="dxa"/>
        </w:tblCellMar>
        <w:tblLook w:val="04A0" w:firstRow="1" w:lastRow="0" w:firstColumn="1" w:lastColumn="0" w:noHBand="0" w:noVBand="1"/>
      </w:tblPr>
      <w:tblGrid>
        <w:gridCol w:w="1838"/>
        <w:gridCol w:w="1276"/>
        <w:gridCol w:w="283"/>
        <w:gridCol w:w="1276"/>
        <w:gridCol w:w="284"/>
        <w:gridCol w:w="1275"/>
        <w:gridCol w:w="236"/>
        <w:gridCol w:w="1070"/>
        <w:gridCol w:w="360"/>
        <w:gridCol w:w="1324"/>
        <w:gridCol w:w="1324"/>
      </w:tblGrid>
      <w:tr w:rsidR="00EC37F6" w:rsidRPr="00CA6BF5" w14:paraId="17FE4A07" w14:textId="77777777" w:rsidTr="00EC37F6">
        <w:trPr>
          <w:trHeight w:val="1225"/>
          <w:jc w:val="center"/>
        </w:trPr>
        <w:tc>
          <w:tcPr>
            <w:tcW w:w="1838" w:type="dxa"/>
            <w:tcBorders>
              <w:top w:val="single" w:sz="4" w:space="0" w:color="000000"/>
              <w:left w:val="single" w:sz="4" w:space="0" w:color="000000"/>
              <w:bottom w:val="single" w:sz="4" w:space="0" w:color="000000"/>
              <w:right w:val="single" w:sz="4" w:space="0" w:color="000000"/>
            </w:tcBorders>
            <w:vAlign w:val="center"/>
            <w:hideMark/>
          </w:tcPr>
          <w:p w14:paraId="2F2EA48C" w14:textId="77777777" w:rsidR="00EC37F6" w:rsidRPr="00CA6BF5" w:rsidRDefault="00EC37F6" w:rsidP="00EC37F6">
            <w:pPr>
              <w:spacing w:line="360" w:lineRule="auto"/>
              <w:jc w:val="center"/>
              <w:rPr>
                <w:rFonts w:ascii="Arial" w:hAnsi="Arial" w:cs="Arial"/>
                <w:sz w:val="24"/>
                <w:szCs w:val="24"/>
                <w:lang w:val="pt-PT"/>
              </w:rPr>
            </w:pPr>
            <w:proofErr w:type="spellStart"/>
            <w:r w:rsidRPr="00CA6BF5">
              <w:rPr>
                <w:rFonts w:ascii="Arial" w:hAnsi="Arial" w:cs="Arial"/>
                <w:sz w:val="24"/>
                <w:szCs w:val="24"/>
                <w:lang w:val="pt-PT"/>
              </w:rPr>
              <w:t>Task</w:t>
            </w:r>
            <w:proofErr w:type="spellEnd"/>
          </w:p>
        </w:tc>
        <w:tc>
          <w:tcPr>
            <w:tcW w:w="1276" w:type="dxa"/>
            <w:tcBorders>
              <w:top w:val="single" w:sz="4" w:space="0" w:color="000000"/>
              <w:left w:val="single" w:sz="4" w:space="0" w:color="000000"/>
              <w:bottom w:val="single" w:sz="4" w:space="0" w:color="000000"/>
              <w:right w:val="nil"/>
            </w:tcBorders>
            <w:vAlign w:val="center"/>
            <w:hideMark/>
          </w:tcPr>
          <w:p w14:paraId="2B6B50A6" w14:textId="77777777" w:rsidR="00EC37F6" w:rsidRPr="00CA6BF5" w:rsidRDefault="00EC37F6" w:rsidP="00EC37F6">
            <w:pPr>
              <w:spacing w:line="360" w:lineRule="auto"/>
              <w:jc w:val="center"/>
              <w:rPr>
                <w:rFonts w:ascii="Arial" w:hAnsi="Arial" w:cs="Arial"/>
                <w:sz w:val="24"/>
                <w:szCs w:val="24"/>
                <w:lang w:val="pt-PT"/>
              </w:rPr>
            </w:pPr>
            <w:proofErr w:type="spellStart"/>
            <w:r>
              <w:rPr>
                <w:rFonts w:ascii="Arial" w:hAnsi="Arial" w:cs="Arial"/>
                <w:sz w:val="24"/>
                <w:szCs w:val="24"/>
                <w:lang w:val="pt-PT"/>
              </w:rPr>
              <w:t>January</w:t>
            </w:r>
            <w:proofErr w:type="spellEnd"/>
          </w:p>
        </w:tc>
        <w:tc>
          <w:tcPr>
            <w:tcW w:w="283" w:type="dxa"/>
            <w:tcBorders>
              <w:top w:val="single" w:sz="4" w:space="0" w:color="000000"/>
              <w:left w:val="nil"/>
              <w:bottom w:val="single" w:sz="4" w:space="0" w:color="000000"/>
              <w:right w:val="single" w:sz="4" w:space="0" w:color="000000"/>
            </w:tcBorders>
            <w:vAlign w:val="center"/>
          </w:tcPr>
          <w:p w14:paraId="4F01B636" w14:textId="77777777" w:rsidR="00EC37F6" w:rsidRPr="00CA6BF5" w:rsidRDefault="00EC37F6" w:rsidP="00EC37F6">
            <w:pPr>
              <w:spacing w:line="360" w:lineRule="auto"/>
              <w:jc w:val="center"/>
              <w:rPr>
                <w:rFonts w:ascii="Arial" w:hAnsi="Arial" w:cs="Arial"/>
                <w:sz w:val="24"/>
                <w:szCs w:val="24"/>
                <w:lang w:val="pt-PT"/>
              </w:rPr>
            </w:pPr>
          </w:p>
        </w:tc>
        <w:tc>
          <w:tcPr>
            <w:tcW w:w="1276" w:type="dxa"/>
            <w:tcBorders>
              <w:top w:val="single" w:sz="4" w:space="0" w:color="000000"/>
              <w:left w:val="single" w:sz="4" w:space="0" w:color="000000"/>
              <w:bottom w:val="single" w:sz="4" w:space="0" w:color="000000"/>
              <w:right w:val="nil"/>
            </w:tcBorders>
            <w:vAlign w:val="center"/>
            <w:hideMark/>
          </w:tcPr>
          <w:p w14:paraId="0FB82184" w14:textId="77777777" w:rsidR="00EC37F6" w:rsidRPr="00CA6BF5" w:rsidRDefault="00EC37F6" w:rsidP="00EC37F6">
            <w:pPr>
              <w:spacing w:line="360" w:lineRule="auto"/>
              <w:jc w:val="center"/>
              <w:rPr>
                <w:rFonts w:ascii="Arial" w:hAnsi="Arial" w:cs="Arial"/>
                <w:sz w:val="24"/>
                <w:szCs w:val="24"/>
                <w:lang w:val="pt-PT"/>
              </w:rPr>
            </w:pPr>
            <w:proofErr w:type="spellStart"/>
            <w:r>
              <w:rPr>
                <w:rFonts w:ascii="Arial" w:hAnsi="Arial" w:cs="Arial"/>
                <w:sz w:val="24"/>
                <w:szCs w:val="24"/>
                <w:lang w:val="pt-PT"/>
              </w:rPr>
              <w:t>February</w:t>
            </w:r>
            <w:proofErr w:type="spellEnd"/>
          </w:p>
        </w:tc>
        <w:tc>
          <w:tcPr>
            <w:tcW w:w="284" w:type="dxa"/>
            <w:tcBorders>
              <w:top w:val="single" w:sz="4" w:space="0" w:color="000000"/>
              <w:left w:val="nil"/>
              <w:bottom w:val="single" w:sz="4" w:space="0" w:color="000000"/>
              <w:right w:val="single" w:sz="4" w:space="0" w:color="000000"/>
            </w:tcBorders>
            <w:vAlign w:val="center"/>
          </w:tcPr>
          <w:p w14:paraId="25EA8E03" w14:textId="77777777" w:rsidR="00EC37F6" w:rsidRPr="00CA6BF5" w:rsidRDefault="00EC37F6" w:rsidP="00EC37F6">
            <w:pPr>
              <w:spacing w:line="360" w:lineRule="auto"/>
              <w:jc w:val="center"/>
              <w:rPr>
                <w:rFonts w:ascii="Arial" w:hAnsi="Arial" w:cs="Arial"/>
                <w:sz w:val="24"/>
                <w:szCs w:val="24"/>
                <w:lang w:val="pt-PT"/>
              </w:rPr>
            </w:pPr>
          </w:p>
        </w:tc>
        <w:tc>
          <w:tcPr>
            <w:tcW w:w="1275" w:type="dxa"/>
            <w:tcBorders>
              <w:top w:val="single" w:sz="4" w:space="0" w:color="000000"/>
              <w:left w:val="single" w:sz="4" w:space="0" w:color="000000"/>
              <w:bottom w:val="single" w:sz="4" w:space="0" w:color="000000"/>
              <w:right w:val="nil"/>
            </w:tcBorders>
            <w:vAlign w:val="center"/>
            <w:hideMark/>
          </w:tcPr>
          <w:p w14:paraId="3256C063" w14:textId="77777777" w:rsidR="00EC37F6" w:rsidRPr="00CA6BF5" w:rsidRDefault="00EC37F6" w:rsidP="00EC37F6">
            <w:pPr>
              <w:spacing w:line="360" w:lineRule="auto"/>
              <w:jc w:val="center"/>
              <w:rPr>
                <w:rFonts w:ascii="Arial" w:hAnsi="Arial" w:cs="Arial"/>
                <w:sz w:val="24"/>
                <w:szCs w:val="24"/>
                <w:lang w:val="pt-PT"/>
              </w:rPr>
            </w:pPr>
            <w:proofErr w:type="spellStart"/>
            <w:r>
              <w:rPr>
                <w:rFonts w:ascii="Arial" w:hAnsi="Arial" w:cs="Arial"/>
                <w:sz w:val="24"/>
                <w:szCs w:val="24"/>
                <w:lang w:val="pt-PT"/>
              </w:rPr>
              <w:t>March</w:t>
            </w:r>
            <w:proofErr w:type="spellEnd"/>
          </w:p>
        </w:tc>
        <w:tc>
          <w:tcPr>
            <w:tcW w:w="236" w:type="dxa"/>
            <w:tcBorders>
              <w:top w:val="single" w:sz="4" w:space="0" w:color="000000"/>
              <w:left w:val="nil"/>
              <w:bottom w:val="single" w:sz="4" w:space="0" w:color="000000"/>
              <w:right w:val="single" w:sz="4" w:space="0" w:color="000000"/>
            </w:tcBorders>
            <w:vAlign w:val="center"/>
          </w:tcPr>
          <w:p w14:paraId="451F71C1" w14:textId="77777777" w:rsidR="00EC37F6" w:rsidRPr="00CA6BF5" w:rsidRDefault="00EC37F6" w:rsidP="00EC37F6">
            <w:pPr>
              <w:spacing w:line="360" w:lineRule="auto"/>
              <w:jc w:val="center"/>
              <w:rPr>
                <w:rFonts w:ascii="Arial" w:hAnsi="Arial" w:cs="Arial"/>
                <w:sz w:val="24"/>
                <w:szCs w:val="24"/>
                <w:lang w:val="pt-PT"/>
              </w:rPr>
            </w:pPr>
          </w:p>
        </w:tc>
        <w:tc>
          <w:tcPr>
            <w:tcW w:w="1070" w:type="dxa"/>
            <w:tcBorders>
              <w:top w:val="single" w:sz="4" w:space="0" w:color="000000"/>
              <w:left w:val="single" w:sz="4" w:space="0" w:color="000000"/>
              <w:bottom w:val="single" w:sz="4" w:space="0" w:color="000000"/>
              <w:right w:val="nil"/>
            </w:tcBorders>
            <w:vAlign w:val="center"/>
            <w:hideMark/>
          </w:tcPr>
          <w:p w14:paraId="625BC025" w14:textId="77777777" w:rsidR="00EC37F6" w:rsidRPr="00CA6BF5" w:rsidRDefault="00EC37F6" w:rsidP="00EC37F6">
            <w:pPr>
              <w:spacing w:line="360" w:lineRule="auto"/>
              <w:jc w:val="center"/>
              <w:rPr>
                <w:rFonts w:ascii="Arial" w:hAnsi="Arial" w:cs="Arial"/>
                <w:sz w:val="24"/>
                <w:szCs w:val="24"/>
                <w:lang w:val="pt-PT"/>
              </w:rPr>
            </w:pPr>
            <w:proofErr w:type="spellStart"/>
            <w:r>
              <w:rPr>
                <w:rFonts w:ascii="Arial" w:hAnsi="Arial" w:cs="Arial"/>
                <w:sz w:val="24"/>
                <w:szCs w:val="24"/>
                <w:lang w:val="pt-PT"/>
              </w:rPr>
              <w:t>April</w:t>
            </w:r>
            <w:proofErr w:type="spellEnd"/>
          </w:p>
        </w:tc>
        <w:tc>
          <w:tcPr>
            <w:tcW w:w="360" w:type="dxa"/>
            <w:tcBorders>
              <w:top w:val="single" w:sz="4" w:space="0" w:color="000000"/>
              <w:left w:val="nil"/>
              <w:bottom w:val="single" w:sz="4" w:space="0" w:color="000000"/>
              <w:right w:val="single" w:sz="4" w:space="0" w:color="000000"/>
            </w:tcBorders>
            <w:vAlign w:val="center"/>
          </w:tcPr>
          <w:p w14:paraId="74E72CC5" w14:textId="77777777" w:rsidR="00EC37F6" w:rsidRPr="00CA6BF5" w:rsidRDefault="00EC37F6" w:rsidP="00EC37F6">
            <w:pPr>
              <w:spacing w:line="360" w:lineRule="auto"/>
              <w:jc w:val="center"/>
              <w:rPr>
                <w:rFonts w:ascii="Arial" w:hAnsi="Arial" w:cs="Arial"/>
                <w:sz w:val="24"/>
                <w:szCs w:val="24"/>
                <w:lang w:val="pt-PT"/>
              </w:rPr>
            </w:pPr>
          </w:p>
        </w:tc>
        <w:tc>
          <w:tcPr>
            <w:tcW w:w="1324" w:type="dxa"/>
            <w:tcBorders>
              <w:top w:val="single" w:sz="4" w:space="0" w:color="000000"/>
              <w:left w:val="single" w:sz="4" w:space="0" w:color="000000"/>
              <w:bottom w:val="single" w:sz="4" w:space="0" w:color="000000"/>
              <w:right w:val="single" w:sz="4" w:space="0" w:color="000000"/>
            </w:tcBorders>
            <w:vAlign w:val="center"/>
            <w:hideMark/>
          </w:tcPr>
          <w:p w14:paraId="63AD7FE5" w14:textId="77777777" w:rsidR="00EC37F6" w:rsidRPr="00CA6BF5" w:rsidRDefault="00EC37F6" w:rsidP="00EC37F6">
            <w:pPr>
              <w:spacing w:line="360" w:lineRule="auto"/>
              <w:jc w:val="center"/>
              <w:rPr>
                <w:rFonts w:ascii="Arial" w:hAnsi="Arial" w:cs="Arial"/>
                <w:sz w:val="24"/>
                <w:szCs w:val="24"/>
                <w:lang w:val="pt-PT"/>
              </w:rPr>
            </w:pPr>
            <w:proofErr w:type="spellStart"/>
            <w:r>
              <w:rPr>
                <w:rFonts w:ascii="Arial" w:hAnsi="Arial" w:cs="Arial"/>
                <w:sz w:val="24"/>
                <w:szCs w:val="24"/>
                <w:lang w:val="pt-PT"/>
              </w:rPr>
              <w:t>May</w:t>
            </w:r>
            <w:proofErr w:type="spellEnd"/>
          </w:p>
        </w:tc>
        <w:tc>
          <w:tcPr>
            <w:tcW w:w="1324" w:type="dxa"/>
            <w:tcBorders>
              <w:top w:val="single" w:sz="4" w:space="0" w:color="000000"/>
              <w:left w:val="single" w:sz="4" w:space="0" w:color="000000"/>
              <w:bottom w:val="single" w:sz="4" w:space="0" w:color="000000"/>
              <w:right w:val="single" w:sz="4" w:space="0" w:color="000000"/>
            </w:tcBorders>
            <w:vAlign w:val="center"/>
          </w:tcPr>
          <w:p w14:paraId="121057A0" w14:textId="77777777" w:rsidR="00EC37F6" w:rsidRPr="00CA6BF5" w:rsidRDefault="00EC37F6" w:rsidP="00EC37F6">
            <w:pPr>
              <w:spacing w:line="360" w:lineRule="auto"/>
              <w:jc w:val="center"/>
              <w:rPr>
                <w:rFonts w:ascii="Arial" w:hAnsi="Arial" w:cs="Arial"/>
                <w:sz w:val="24"/>
                <w:szCs w:val="24"/>
                <w:lang w:val="pt-PT"/>
              </w:rPr>
            </w:pPr>
            <w:proofErr w:type="spellStart"/>
            <w:r>
              <w:rPr>
                <w:rFonts w:ascii="Arial" w:hAnsi="Arial" w:cs="Arial"/>
                <w:sz w:val="24"/>
                <w:szCs w:val="24"/>
                <w:lang w:val="pt-PT"/>
              </w:rPr>
              <w:t>June</w:t>
            </w:r>
            <w:proofErr w:type="spellEnd"/>
          </w:p>
        </w:tc>
      </w:tr>
      <w:tr w:rsidR="00EC37F6" w:rsidRPr="00CA6BF5" w14:paraId="2D18DB1E" w14:textId="77777777" w:rsidTr="00EC37F6">
        <w:trPr>
          <w:trHeight w:val="1263"/>
          <w:jc w:val="center"/>
        </w:trPr>
        <w:tc>
          <w:tcPr>
            <w:tcW w:w="1838" w:type="dxa"/>
            <w:tcBorders>
              <w:top w:val="single" w:sz="4" w:space="0" w:color="000000"/>
              <w:left w:val="single" w:sz="4" w:space="0" w:color="000000"/>
              <w:bottom w:val="single" w:sz="4" w:space="0" w:color="000000"/>
              <w:right w:val="single" w:sz="4" w:space="0" w:color="000000"/>
            </w:tcBorders>
            <w:vAlign w:val="center"/>
          </w:tcPr>
          <w:p w14:paraId="116AAB2A" w14:textId="77777777" w:rsidR="00EC37F6" w:rsidRPr="00CA6BF5" w:rsidRDefault="00EC37F6" w:rsidP="00EC511A">
            <w:pPr>
              <w:spacing w:after="0" w:line="240" w:lineRule="auto"/>
              <w:rPr>
                <w:rFonts w:ascii="Arial" w:hAnsi="Arial" w:cs="Arial"/>
                <w:sz w:val="24"/>
                <w:szCs w:val="24"/>
              </w:rPr>
            </w:pPr>
            <w:r w:rsidRPr="00CA6BF5">
              <w:rPr>
                <w:rFonts w:ascii="Arial" w:hAnsi="Arial" w:cs="Arial"/>
                <w:sz w:val="24"/>
                <w:szCs w:val="24"/>
              </w:rPr>
              <w:t xml:space="preserve">Topic </w:t>
            </w:r>
            <w:r w:rsidRPr="00CA6BF5">
              <w:rPr>
                <w:rFonts w:ascii="Arial" w:hAnsi="Arial" w:cs="Arial"/>
                <w:sz w:val="24"/>
                <w:szCs w:val="24"/>
              </w:rPr>
              <w:tab/>
              <w:t>to</w:t>
            </w:r>
          </w:p>
          <w:p w14:paraId="44351BB6" w14:textId="77777777" w:rsidR="00EC37F6" w:rsidRPr="00CA6BF5" w:rsidRDefault="00EC37F6" w:rsidP="00EC511A">
            <w:pPr>
              <w:spacing w:after="0" w:line="240" w:lineRule="auto"/>
              <w:rPr>
                <w:rFonts w:ascii="Arial" w:hAnsi="Arial" w:cs="Arial"/>
                <w:sz w:val="24"/>
                <w:szCs w:val="24"/>
              </w:rPr>
            </w:pPr>
            <w:r w:rsidRPr="00CA6BF5">
              <w:rPr>
                <w:rFonts w:ascii="Arial" w:hAnsi="Arial" w:cs="Arial"/>
                <w:sz w:val="24"/>
                <w:szCs w:val="24"/>
              </w:rPr>
              <w:t>agree with</w:t>
            </w:r>
          </w:p>
          <w:p w14:paraId="4474EA76" w14:textId="77777777" w:rsidR="00EC37F6" w:rsidRPr="00CA6BF5" w:rsidRDefault="00EC37F6" w:rsidP="00EC511A">
            <w:pPr>
              <w:spacing w:after="0" w:line="240" w:lineRule="auto"/>
              <w:rPr>
                <w:rFonts w:ascii="Arial" w:hAnsi="Arial" w:cs="Arial"/>
                <w:sz w:val="24"/>
                <w:szCs w:val="24"/>
              </w:rPr>
            </w:pPr>
            <w:r w:rsidRPr="00CA6BF5">
              <w:rPr>
                <w:rFonts w:ascii="Arial" w:hAnsi="Arial" w:cs="Arial"/>
                <w:sz w:val="24"/>
                <w:szCs w:val="24"/>
              </w:rPr>
              <w:t>Tutor</w:t>
            </w:r>
          </w:p>
        </w:tc>
        <w:tc>
          <w:tcPr>
            <w:tcW w:w="1559"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5453866F" w14:textId="77777777" w:rsidR="00EC37F6" w:rsidRPr="00CA6BF5" w:rsidRDefault="00EC37F6" w:rsidP="00EC511A">
            <w:pPr>
              <w:spacing w:line="360" w:lineRule="auto"/>
              <w:rPr>
                <w:rFonts w:ascii="Arial" w:hAnsi="Arial" w:cs="Arial"/>
                <w:sz w:val="24"/>
                <w:szCs w:val="24"/>
              </w:rPr>
            </w:pPr>
          </w:p>
        </w:tc>
        <w:tc>
          <w:tcPr>
            <w:tcW w:w="156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23593ACD" w14:textId="77777777" w:rsidR="00EC37F6" w:rsidRPr="00CA6BF5" w:rsidRDefault="00EC37F6" w:rsidP="00EC511A">
            <w:pPr>
              <w:spacing w:line="360" w:lineRule="auto"/>
              <w:rPr>
                <w:rFonts w:ascii="Arial" w:hAnsi="Arial" w:cs="Arial"/>
                <w:sz w:val="24"/>
                <w:szCs w:val="24"/>
              </w:rPr>
            </w:pPr>
          </w:p>
        </w:tc>
        <w:tc>
          <w:tcPr>
            <w:tcW w:w="1511" w:type="dxa"/>
            <w:gridSpan w:val="2"/>
            <w:tcBorders>
              <w:top w:val="single" w:sz="4" w:space="0" w:color="000000"/>
              <w:left w:val="single" w:sz="4" w:space="0" w:color="000000"/>
              <w:bottom w:val="single" w:sz="4" w:space="0" w:color="000000"/>
              <w:right w:val="single" w:sz="4" w:space="0" w:color="000000"/>
            </w:tcBorders>
            <w:shd w:val="clear" w:color="auto" w:fill="4C94D8" w:themeFill="text2" w:themeFillTint="80"/>
          </w:tcPr>
          <w:p w14:paraId="31318238" w14:textId="77777777" w:rsidR="00EC37F6" w:rsidRPr="00CA6BF5" w:rsidRDefault="00EC37F6" w:rsidP="00EC511A">
            <w:pPr>
              <w:spacing w:line="360" w:lineRule="auto"/>
              <w:rPr>
                <w:rFonts w:ascii="Arial" w:hAnsi="Arial" w:cs="Arial"/>
                <w:sz w:val="24"/>
                <w:szCs w:val="24"/>
              </w:rPr>
            </w:pPr>
          </w:p>
        </w:tc>
        <w:tc>
          <w:tcPr>
            <w:tcW w:w="1430" w:type="dxa"/>
            <w:gridSpan w:val="2"/>
            <w:tcBorders>
              <w:top w:val="single" w:sz="4" w:space="0" w:color="000000"/>
              <w:left w:val="single" w:sz="4" w:space="0" w:color="000000"/>
              <w:bottom w:val="single" w:sz="4" w:space="0" w:color="000000"/>
              <w:right w:val="single" w:sz="4" w:space="0" w:color="000000"/>
            </w:tcBorders>
          </w:tcPr>
          <w:p w14:paraId="535D7D94" w14:textId="77777777" w:rsidR="00EC37F6" w:rsidRPr="00CA6BF5" w:rsidRDefault="00EC37F6" w:rsidP="00EC511A">
            <w:pPr>
              <w:spacing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tcPr>
          <w:p w14:paraId="44A76B6F" w14:textId="77777777" w:rsidR="00EC37F6" w:rsidRPr="00CA6BF5" w:rsidRDefault="00EC37F6" w:rsidP="00EC511A">
            <w:pPr>
              <w:spacing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tcPr>
          <w:p w14:paraId="65D164E7" w14:textId="77777777" w:rsidR="00EC37F6" w:rsidRPr="00CA6BF5" w:rsidRDefault="00EC37F6" w:rsidP="00EC511A">
            <w:pPr>
              <w:spacing w:line="360" w:lineRule="auto"/>
              <w:rPr>
                <w:rFonts w:ascii="Arial" w:hAnsi="Arial" w:cs="Arial"/>
                <w:sz w:val="24"/>
                <w:szCs w:val="24"/>
              </w:rPr>
            </w:pPr>
          </w:p>
        </w:tc>
      </w:tr>
      <w:tr w:rsidR="00EC37F6" w:rsidRPr="00CA6BF5" w14:paraId="56DBE942" w14:textId="77777777" w:rsidTr="00EC37F6">
        <w:trPr>
          <w:trHeight w:val="1114"/>
          <w:jc w:val="center"/>
        </w:trPr>
        <w:tc>
          <w:tcPr>
            <w:tcW w:w="1838" w:type="dxa"/>
            <w:tcBorders>
              <w:top w:val="single" w:sz="4" w:space="0" w:color="000000"/>
              <w:left w:val="single" w:sz="4" w:space="0" w:color="000000"/>
              <w:bottom w:val="single" w:sz="4" w:space="0" w:color="000000"/>
              <w:right w:val="single" w:sz="4" w:space="0" w:color="000000"/>
            </w:tcBorders>
            <w:vAlign w:val="center"/>
            <w:hideMark/>
          </w:tcPr>
          <w:p w14:paraId="2D9AE8A3" w14:textId="77777777" w:rsidR="00EC37F6" w:rsidRPr="00CA6BF5" w:rsidRDefault="00EC37F6" w:rsidP="00EC511A">
            <w:pPr>
              <w:spacing w:after="0" w:line="240" w:lineRule="auto"/>
              <w:rPr>
                <w:rFonts w:ascii="Arial" w:hAnsi="Arial" w:cs="Arial"/>
                <w:sz w:val="24"/>
                <w:szCs w:val="24"/>
              </w:rPr>
            </w:pPr>
            <w:r w:rsidRPr="00CA6BF5">
              <w:rPr>
                <w:rFonts w:ascii="Arial" w:hAnsi="Arial" w:cs="Arial"/>
                <w:sz w:val="24"/>
                <w:szCs w:val="24"/>
              </w:rPr>
              <w:t xml:space="preserve">Aims </w:t>
            </w:r>
            <w:r w:rsidRPr="00CA6BF5">
              <w:rPr>
                <w:rFonts w:ascii="Arial" w:hAnsi="Arial" w:cs="Arial"/>
                <w:sz w:val="24"/>
                <w:szCs w:val="24"/>
              </w:rPr>
              <w:tab/>
              <w:t>and</w:t>
            </w:r>
          </w:p>
          <w:p w14:paraId="2ADB8DC8" w14:textId="77777777" w:rsidR="00EC37F6" w:rsidRPr="00CA6BF5" w:rsidRDefault="00EC37F6" w:rsidP="00EC511A">
            <w:pPr>
              <w:spacing w:after="0" w:line="240" w:lineRule="auto"/>
              <w:rPr>
                <w:rFonts w:ascii="Arial" w:hAnsi="Arial" w:cs="Arial"/>
                <w:sz w:val="24"/>
                <w:szCs w:val="24"/>
              </w:rPr>
            </w:pPr>
            <w:r w:rsidRPr="00CA6BF5">
              <w:rPr>
                <w:rFonts w:ascii="Arial" w:hAnsi="Arial" w:cs="Arial"/>
                <w:sz w:val="24"/>
                <w:szCs w:val="24"/>
              </w:rPr>
              <w:t>objects to be agreed and written up</w:t>
            </w:r>
          </w:p>
        </w:tc>
        <w:tc>
          <w:tcPr>
            <w:tcW w:w="1559" w:type="dxa"/>
            <w:gridSpan w:val="2"/>
            <w:tcBorders>
              <w:top w:val="single" w:sz="4" w:space="0" w:color="000000"/>
              <w:left w:val="single" w:sz="4" w:space="0" w:color="000000"/>
              <w:bottom w:val="single" w:sz="4" w:space="0" w:color="000000"/>
              <w:right w:val="single" w:sz="4" w:space="0" w:color="000000"/>
            </w:tcBorders>
            <w:hideMark/>
          </w:tcPr>
          <w:p w14:paraId="43DAFFF5"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439A2CBA"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0CB2A36E"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3C346DDB"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tc>
        <w:tc>
          <w:tcPr>
            <w:tcW w:w="156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42673B8E"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0D649DFE"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680DBFDC"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728649AA"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tc>
        <w:tc>
          <w:tcPr>
            <w:tcW w:w="1511" w:type="dxa"/>
            <w:gridSpan w:val="2"/>
            <w:tcBorders>
              <w:top w:val="single" w:sz="4" w:space="0" w:color="000000"/>
              <w:left w:val="single" w:sz="4" w:space="0" w:color="000000"/>
              <w:bottom w:val="single" w:sz="4" w:space="0" w:color="000000"/>
              <w:right w:val="single" w:sz="4" w:space="0" w:color="000000"/>
            </w:tcBorders>
            <w:shd w:val="clear" w:color="auto" w:fill="A5C9EB" w:themeFill="text2" w:themeFillTint="40"/>
            <w:hideMark/>
          </w:tcPr>
          <w:p w14:paraId="24C4EA6F"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3162588D"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24EBE3DA"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0890F8BE"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tc>
        <w:tc>
          <w:tcPr>
            <w:tcW w:w="1430" w:type="dxa"/>
            <w:gridSpan w:val="2"/>
            <w:tcBorders>
              <w:top w:val="single" w:sz="4" w:space="0" w:color="000000"/>
              <w:left w:val="single" w:sz="4" w:space="0" w:color="000000"/>
              <w:bottom w:val="single" w:sz="4" w:space="0" w:color="000000"/>
              <w:right w:val="single" w:sz="4" w:space="0" w:color="000000"/>
            </w:tcBorders>
            <w:shd w:val="clear" w:color="auto" w:fill="4C94D8" w:themeFill="text2" w:themeFillTint="80"/>
            <w:hideMark/>
          </w:tcPr>
          <w:p w14:paraId="3CA33CA2"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5D59E1C0"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5C3666DA"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2E14ACD0"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tc>
        <w:tc>
          <w:tcPr>
            <w:tcW w:w="1324" w:type="dxa"/>
            <w:tcBorders>
              <w:top w:val="single" w:sz="4" w:space="0" w:color="000000"/>
              <w:left w:val="single" w:sz="4" w:space="0" w:color="000000"/>
              <w:bottom w:val="single" w:sz="4" w:space="0" w:color="000000"/>
              <w:right w:val="single" w:sz="4" w:space="0" w:color="000000"/>
            </w:tcBorders>
            <w:hideMark/>
          </w:tcPr>
          <w:p w14:paraId="6A366573"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43DEEE54"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5A69E887"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p w14:paraId="2C0A5EFB" w14:textId="77777777" w:rsidR="00EC37F6" w:rsidRPr="00CA6BF5" w:rsidRDefault="00EC37F6" w:rsidP="00EC511A">
            <w:pPr>
              <w:spacing w:after="0" w:line="360" w:lineRule="auto"/>
              <w:rPr>
                <w:rFonts w:ascii="Arial" w:hAnsi="Arial" w:cs="Arial"/>
                <w:sz w:val="24"/>
                <w:szCs w:val="24"/>
              </w:rPr>
            </w:pPr>
            <w:r w:rsidRPr="00CA6BF5">
              <w:rPr>
                <w:rFonts w:ascii="Arial" w:hAnsi="Arial" w:cs="Arial"/>
                <w:sz w:val="24"/>
                <w:szCs w:val="24"/>
              </w:rPr>
              <w:t xml:space="preserve"> </w:t>
            </w:r>
          </w:p>
        </w:tc>
        <w:tc>
          <w:tcPr>
            <w:tcW w:w="1324" w:type="dxa"/>
            <w:tcBorders>
              <w:top w:val="single" w:sz="4" w:space="0" w:color="000000"/>
              <w:left w:val="single" w:sz="4" w:space="0" w:color="000000"/>
              <w:bottom w:val="single" w:sz="4" w:space="0" w:color="000000"/>
              <w:right w:val="single" w:sz="4" w:space="0" w:color="000000"/>
            </w:tcBorders>
          </w:tcPr>
          <w:p w14:paraId="24EA9827" w14:textId="77777777" w:rsidR="00EC37F6" w:rsidRPr="00CA6BF5" w:rsidRDefault="00EC37F6" w:rsidP="00EC511A">
            <w:pPr>
              <w:spacing w:after="0" w:line="360" w:lineRule="auto"/>
              <w:rPr>
                <w:rFonts w:ascii="Arial" w:hAnsi="Arial" w:cs="Arial"/>
                <w:sz w:val="24"/>
                <w:szCs w:val="24"/>
              </w:rPr>
            </w:pPr>
          </w:p>
        </w:tc>
      </w:tr>
      <w:tr w:rsidR="00EC37F6" w:rsidRPr="00CA6BF5" w14:paraId="40DBBCB5" w14:textId="77777777" w:rsidTr="00EC37F6">
        <w:trPr>
          <w:trHeight w:val="1114"/>
          <w:jc w:val="center"/>
        </w:trPr>
        <w:tc>
          <w:tcPr>
            <w:tcW w:w="1838" w:type="dxa"/>
            <w:tcBorders>
              <w:top w:val="single" w:sz="4" w:space="0" w:color="000000"/>
              <w:left w:val="single" w:sz="4" w:space="0" w:color="000000"/>
              <w:bottom w:val="single" w:sz="4" w:space="0" w:color="000000"/>
              <w:right w:val="single" w:sz="4" w:space="0" w:color="000000"/>
            </w:tcBorders>
            <w:vAlign w:val="center"/>
          </w:tcPr>
          <w:p w14:paraId="4D9061B1" w14:textId="77777777" w:rsidR="00EC37F6" w:rsidRPr="00CA6BF5" w:rsidRDefault="00EC37F6" w:rsidP="00EC511A">
            <w:pPr>
              <w:spacing w:after="0" w:line="240" w:lineRule="auto"/>
              <w:rPr>
                <w:rFonts w:ascii="Arial" w:hAnsi="Arial" w:cs="Arial"/>
                <w:sz w:val="24"/>
                <w:szCs w:val="24"/>
              </w:rPr>
            </w:pPr>
            <w:r w:rsidRPr="00CA6BF5">
              <w:rPr>
                <w:rFonts w:ascii="Arial" w:hAnsi="Arial" w:cs="Arial"/>
                <w:sz w:val="24"/>
                <w:szCs w:val="24"/>
              </w:rPr>
              <w:t xml:space="preserve">Book search and </w:t>
            </w:r>
            <w:r w:rsidRPr="002B1454">
              <w:rPr>
                <w:rFonts w:ascii="Arial" w:hAnsi="Arial" w:cs="Arial"/>
                <w:sz w:val="24"/>
                <w:szCs w:val="24"/>
              </w:rPr>
              <w:t xml:space="preserve">literature </w:t>
            </w:r>
            <w:r w:rsidRPr="00CA6BF5">
              <w:rPr>
                <w:rFonts w:ascii="Arial" w:hAnsi="Arial" w:cs="Arial"/>
                <w:sz w:val="24"/>
                <w:szCs w:val="24"/>
              </w:rPr>
              <w:t>review</w:t>
            </w:r>
          </w:p>
        </w:tc>
        <w:tc>
          <w:tcPr>
            <w:tcW w:w="1559" w:type="dxa"/>
            <w:gridSpan w:val="2"/>
            <w:tcBorders>
              <w:top w:val="single" w:sz="4" w:space="0" w:color="000000"/>
              <w:left w:val="single" w:sz="4" w:space="0" w:color="000000"/>
              <w:bottom w:val="single" w:sz="4" w:space="0" w:color="000000"/>
              <w:right w:val="single" w:sz="4" w:space="0" w:color="000000"/>
            </w:tcBorders>
          </w:tcPr>
          <w:p w14:paraId="37009F8A" w14:textId="77777777" w:rsidR="00EC37F6" w:rsidRPr="00CA6BF5" w:rsidRDefault="00EC37F6" w:rsidP="00EC511A">
            <w:pPr>
              <w:spacing w:after="0" w:line="360" w:lineRule="auto"/>
              <w:rPr>
                <w:rFonts w:ascii="Arial" w:hAnsi="Arial" w:cs="Arial"/>
                <w:sz w:val="24"/>
                <w:szCs w:val="24"/>
              </w:rPr>
            </w:pPr>
          </w:p>
        </w:tc>
        <w:tc>
          <w:tcPr>
            <w:tcW w:w="1560" w:type="dxa"/>
            <w:gridSpan w:val="2"/>
            <w:tcBorders>
              <w:top w:val="single" w:sz="4" w:space="0" w:color="000000"/>
              <w:left w:val="single" w:sz="4" w:space="0" w:color="000000"/>
              <w:bottom w:val="single" w:sz="4" w:space="0" w:color="000000"/>
              <w:right w:val="single" w:sz="4" w:space="0" w:color="000000"/>
            </w:tcBorders>
            <w:shd w:val="clear" w:color="auto" w:fill="auto"/>
          </w:tcPr>
          <w:p w14:paraId="2DF53B9D" w14:textId="77777777" w:rsidR="00EC37F6" w:rsidRPr="00CA6BF5" w:rsidRDefault="00EC37F6" w:rsidP="00EC511A">
            <w:pPr>
              <w:spacing w:after="0" w:line="360" w:lineRule="auto"/>
              <w:rPr>
                <w:rFonts w:ascii="Arial" w:hAnsi="Arial" w:cs="Arial"/>
                <w:sz w:val="24"/>
                <w:szCs w:val="24"/>
              </w:rPr>
            </w:pPr>
          </w:p>
        </w:tc>
        <w:tc>
          <w:tcPr>
            <w:tcW w:w="1511"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33FCBEA4" w14:textId="77777777" w:rsidR="00EC37F6" w:rsidRPr="00CA6BF5" w:rsidRDefault="00EC37F6" w:rsidP="00EC511A">
            <w:pPr>
              <w:spacing w:after="0" w:line="360" w:lineRule="auto"/>
              <w:rPr>
                <w:rFonts w:ascii="Arial" w:hAnsi="Arial" w:cs="Arial"/>
                <w:sz w:val="24"/>
                <w:szCs w:val="24"/>
              </w:rPr>
            </w:pPr>
          </w:p>
        </w:tc>
        <w:tc>
          <w:tcPr>
            <w:tcW w:w="1430" w:type="dxa"/>
            <w:gridSpan w:val="2"/>
            <w:tcBorders>
              <w:top w:val="single" w:sz="4" w:space="0" w:color="000000"/>
              <w:left w:val="single" w:sz="4" w:space="0" w:color="000000"/>
              <w:bottom w:val="single" w:sz="4" w:space="0" w:color="000000"/>
              <w:right w:val="single" w:sz="4" w:space="0" w:color="000000"/>
            </w:tcBorders>
            <w:shd w:val="clear" w:color="auto" w:fill="45B0E1" w:themeFill="accent1" w:themeFillTint="99"/>
          </w:tcPr>
          <w:p w14:paraId="022A73CC"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tcPr>
          <w:p w14:paraId="31A900E6"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tcPr>
          <w:p w14:paraId="3B943C58" w14:textId="77777777" w:rsidR="00EC37F6" w:rsidRPr="00CA6BF5" w:rsidRDefault="00EC37F6" w:rsidP="00EC511A">
            <w:pPr>
              <w:spacing w:after="0" w:line="360" w:lineRule="auto"/>
              <w:rPr>
                <w:rFonts w:ascii="Arial" w:hAnsi="Arial" w:cs="Arial"/>
                <w:sz w:val="24"/>
                <w:szCs w:val="24"/>
              </w:rPr>
            </w:pPr>
          </w:p>
        </w:tc>
      </w:tr>
      <w:tr w:rsidR="00EC37F6" w:rsidRPr="00CA6BF5" w14:paraId="391EED14" w14:textId="77777777" w:rsidTr="00EC37F6">
        <w:trPr>
          <w:trHeight w:val="1114"/>
          <w:jc w:val="center"/>
        </w:trPr>
        <w:tc>
          <w:tcPr>
            <w:tcW w:w="1838" w:type="dxa"/>
            <w:tcBorders>
              <w:top w:val="single" w:sz="4" w:space="0" w:color="000000"/>
              <w:left w:val="single" w:sz="4" w:space="0" w:color="000000"/>
              <w:bottom w:val="single" w:sz="4" w:space="0" w:color="000000"/>
              <w:right w:val="single" w:sz="4" w:space="0" w:color="000000"/>
            </w:tcBorders>
            <w:vAlign w:val="center"/>
          </w:tcPr>
          <w:p w14:paraId="48E34332" w14:textId="77777777" w:rsidR="00EC37F6" w:rsidRPr="00CA6BF5" w:rsidRDefault="00EC37F6" w:rsidP="00EC511A">
            <w:pPr>
              <w:spacing w:after="0" w:line="240" w:lineRule="auto"/>
              <w:rPr>
                <w:rFonts w:ascii="Arial" w:hAnsi="Arial" w:cs="Arial"/>
                <w:sz w:val="24"/>
                <w:szCs w:val="24"/>
              </w:rPr>
            </w:pPr>
            <w:proofErr w:type="spellStart"/>
            <w:r>
              <w:rPr>
                <w:rFonts w:ascii="Arial" w:hAnsi="Arial" w:cs="Arial"/>
                <w:sz w:val="24"/>
                <w:szCs w:val="24"/>
                <w:lang w:val="pt-PT"/>
              </w:rPr>
              <w:t>R</w:t>
            </w:r>
            <w:r w:rsidRPr="00CA6BF5">
              <w:rPr>
                <w:rFonts w:ascii="Arial" w:hAnsi="Arial" w:cs="Arial"/>
                <w:sz w:val="24"/>
                <w:szCs w:val="24"/>
                <w:lang w:val="pt-PT"/>
              </w:rPr>
              <w:t>eview</w:t>
            </w:r>
            <w:proofErr w:type="spellEnd"/>
            <w:r>
              <w:rPr>
                <w:rFonts w:ascii="Arial" w:hAnsi="Arial" w:cs="Arial"/>
                <w:sz w:val="24"/>
                <w:szCs w:val="24"/>
                <w:lang w:val="pt-PT"/>
              </w:rPr>
              <w:t xml:space="preserve"> </w:t>
            </w:r>
            <w:proofErr w:type="spellStart"/>
            <w:r>
              <w:rPr>
                <w:rFonts w:ascii="Arial" w:hAnsi="Arial" w:cs="Arial"/>
                <w:sz w:val="24"/>
                <w:szCs w:val="24"/>
                <w:lang w:val="pt-PT"/>
              </w:rPr>
              <w:t>and</w:t>
            </w:r>
            <w:proofErr w:type="spellEnd"/>
            <w:r>
              <w:rPr>
                <w:rFonts w:ascii="Arial" w:hAnsi="Arial" w:cs="Arial"/>
                <w:sz w:val="24"/>
                <w:szCs w:val="24"/>
                <w:lang w:val="pt-PT"/>
              </w:rPr>
              <w:t xml:space="preserve"> </w:t>
            </w:r>
            <w:proofErr w:type="spellStart"/>
            <w:r>
              <w:rPr>
                <w:rFonts w:ascii="Arial" w:hAnsi="Arial" w:cs="Arial"/>
                <w:sz w:val="24"/>
                <w:szCs w:val="24"/>
                <w:lang w:val="pt-PT"/>
              </w:rPr>
              <w:t>writing</w:t>
            </w:r>
            <w:proofErr w:type="spellEnd"/>
          </w:p>
        </w:tc>
        <w:tc>
          <w:tcPr>
            <w:tcW w:w="1559" w:type="dxa"/>
            <w:gridSpan w:val="2"/>
            <w:tcBorders>
              <w:top w:val="single" w:sz="4" w:space="0" w:color="000000"/>
              <w:left w:val="single" w:sz="4" w:space="0" w:color="000000"/>
              <w:bottom w:val="single" w:sz="4" w:space="0" w:color="000000"/>
              <w:right w:val="single" w:sz="4" w:space="0" w:color="000000"/>
            </w:tcBorders>
          </w:tcPr>
          <w:p w14:paraId="5195AE07" w14:textId="77777777" w:rsidR="00EC37F6" w:rsidRPr="00CA6BF5" w:rsidRDefault="00EC37F6" w:rsidP="00EC511A">
            <w:pPr>
              <w:spacing w:after="0" w:line="360" w:lineRule="auto"/>
              <w:rPr>
                <w:rFonts w:ascii="Arial" w:hAnsi="Arial" w:cs="Arial"/>
                <w:sz w:val="24"/>
                <w:szCs w:val="24"/>
              </w:rPr>
            </w:pPr>
          </w:p>
        </w:tc>
        <w:tc>
          <w:tcPr>
            <w:tcW w:w="1560" w:type="dxa"/>
            <w:gridSpan w:val="2"/>
            <w:tcBorders>
              <w:top w:val="single" w:sz="4" w:space="0" w:color="000000"/>
              <w:left w:val="single" w:sz="4" w:space="0" w:color="000000"/>
              <w:bottom w:val="single" w:sz="4" w:space="0" w:color="000000"/>
              <w:right w:val="single" w:sz="4" w:space="0" w:color="000000"/>
            </w:tcBorders>
            <w:shd w:val="clear" w:color="auto" w:fill="auto"/>
          </w:tcPr>
          <w:p w14:paraId="76422CB7" w14:textId="77777777" w:rsidR="00EC37F6" w:rsidRPr="00CA6BF5" w:rsidRDefault="00EC37F6" w:rsidP="00EC511A">
            <w:pPr>
              <w:spacing w:after="0" w:line="360" w:lineRule="auto"/>
              <w:rPr>
                <w:rFonts w:ascii="Arial" w:hAnsi="Arial" w:cs="Arial"/>
                <w:sz w:val="24"/>
                <w:szCs w:val="24"/>
              </w:rPr>
            </w:pPr>
          </w:p>
        </w:tc>
        <w:tc>
          <w:tcPr>
            <w:tcW w:w="1511"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63BA5114" w14:textId="77777777" w:rsidR="00EC37F6" w:rsidRPr="00CA6BF5" w:rsidRDefault="00EC37F6" w:rsidP="00EC511A">
            <w:pPr>
              <w:spacing w:after="0" w:line="360" w:lineRule="auto"/>
              <w:rPr>
                <w:rFonts w:ascii="Arial" w:hAnsi="Arial" w:cs="Arial"/>
                <w:sz w:val="24"/>
                <w:szCs w:val="24"/>
              </w:rPr>
            </w:pPr>
          </w:p>
        </w:tc>
        <w:tc>
          <w:tcPr>
            <w:tcW w:w="1430" w:type="dxa"/>
            <w:gridSpan w:val="2"/>
            <w:tcBorders>
              <w:top w:val="single" w:sz="4" w:space="0" w:color="000000"/>
              <w:left w:val="single" w:sz="4" w:space="0" w:color="000000"/>
              <w:bottom w:val="single" w:sz="4" w:space="0" w:color="000000"/>
              <w:right w:val="single" w:sz="4" w:space="0" w:color="000000"/>
            </w:tcBorders>
            <w:shd w:val="clear" w:color="auto" w:fill="45B0E1" w:themeFill="accent1" w:themeFillTint="99"/>
          </w:tcPr>
          <w:p w14:paraId="7DC55BFB"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shd w:val="clear" w:color="auto" w:fill="4C94D8" w:themeFill="text2" w:themeFillTint="80"/>
          </w:tcPr>
          <w:p w14:paraId="1766A5B8"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tcPr>
          <w:p w14:paraId="57F04F4C" w14:textId="77777777" w:rsidR="00EC37F6" w:rsidRPr="00CA6BF5" w:rsidRDefault="00EC37F6" w:rsidP="00EC511A">
            <w:pPr>
              <w:spacing w:after="0" w:line="360" w:lineRule="auto"/>
              <w:rPr>
                <w:rFonts w:ascii="Arial" w:hAnsi="Arial" w:cs="Arial"/>
                <w:sz w:val="24"/>
                <w:szCs w:val="24"/>
              </w:rPr>
            </w:pPr>
          </w:p>
        </w:tc>
      </w:tr>
      <w:tr w:rsidR="00EC37F6" w:rsidRPr="00CA6BF5" w14:paraId="32079FD9" w14:textId="77777777" w:rsidTr="00EC37F6">
        <w:trPr>
          <w:trHeight w:val="1114"/>
          <w:jc w:val="center"/>
        </w:trPr>
        <w:tc>
          <w:tcPr>
            <w:tcW w:w="1838" w:type="dxa"/>
            <w:tcBorders>
              <w:top w:val="single" w:sz="4" w:space="0" w:color="000000"/>
              <w:left w:val="single" w:sz="4" w:space="0" w:color="000000"/>
              <w:bottom w:val="single" w:sz="4" w:space="0" w:color="000000"/>
              <w:right w:val="single" w:sz="4" w:space="0" w:color="000000"/>
            </w:tcBorders>
            <w:vAlign w:val="center"/>
          </w:tcPr>
          <w:p w14:paraId="7279E344" w14:textId="77777777" w:rsidR="00EC37F6" w:rsidRPr="00CA6BF5" w:rsidRDefault="00EC37F6" w:rsidP="00EC511A">
            <w:pPr>
              <w:spacing w:after="0" w:line="240" w:lineRule="auto"/>
              <w:rPr>
                <w:rFonts w:ascii="Arial" w:hAnsi="Arial" w:cs="Arial"/>
                <w:sz w:val="24"/>
                <w:szCs w:val="24"/>
              </w:rPr>
            </w:pPr>
            <w:proofErr w:type="spellStart"/>
            <w:r w:rsidRPr="00CA6BF5">
              <w:rPr>
                <w:rFonts w:ascii="Arial" w:hAnsi="Arial" w:cs="Arial"/>
                <w:sz w:val="24"/>
                <w:szCs w:val="24"/>
                <w:lang w:val="pt-PT"/>
              </w:rPr>
              <w:t>Draft</w:t>
            </w:r>
            <w:proofErr w:type="spellEnd"/>
            <w:r w:rsidRPr="00CA6BF5">
              <w:rPr>
                <w:rFonts w:ascii="Arial" w:hAnsi="Arial" w:cs="Arial"/>
                <w:sz w:val="24"/>
                <w:szCs w:val="24"/>
                <w:lang w:val="pt-PT"/>
              </w:rPr>
              <w:t xml:space="preserve"> </w:t>
            </w:r>
            <w:proofErr w:type="spellStart"/>
            <w:r w:rsidRPr="00CA6BF5">
              <w:rPr>
                <w:rFonts w:ascii="Arial" w:hAnsi="Arial" w:cs="Arial"/>
                <w:sz w:val="24"/>
                <w:szCs w:val="24"/>
                <w:lang w:val="pt-PT"/>
              </w:rPr>
              <w:t>Study</w:t>
            </w:r>
            <w:proofErr w:type="spellEnd"/>
            <w:r w:rsidRPr="00CA6BF5">
              <w:rPr>
                <w:rFonts w:ascii="Arial" w:hAnsi="Arial" w:cs="Arial"/>
                <w:sz w:val="24"/>
                <w:szCs w:val="24"/>
                <w:lang w:val="pt-PT"/>
              </w:rPr>
              <w:t xml:space="preserve"> </w:t>
            </w:r>
            <w:proofErr w:type="spellStart"/>
            <w:r w:rsidRPr="00CA6BF5">
              <w:rPr>
                <w:rFonts w:ascii="Arial" w:hAnsi="Arial" w:cs="Arial"/>
                <w:sz w:val="24"/>
                <w:szCs w:val="24"/>
                <w:lang w:val="pt-PT"/>
              </w:rPr>
              <w:t>submission</w:t>
            </w:r>
            <w:proofErr w:type="spellEnd"/>
          </w:p>
        </w:tc>
        <w:tc>
          <w:tcPr>
            <w:tcW w:w="1559" w:type="dxa"/>
            <w:gridSpan w:val="2"/>
            <w:tcBorders>
              <w:top w:val="single" w:sz="4" w:space="0" w:color="000000"/>
              <w:left w:val="single" w:sz="4" w:space="0" w:color="000000"/>
              <w:bottom w:val="single" w:sz="4" w:space="0" w:color="000000"/>
              <w:right w:val="single" w:sz="4" w:space="0" w:color="000000"/>
            </w:tcBorders>
          </w:tcPr>
          <w:p w14:paraId="4910A116" w14:textId="77777777" w:rsidR="00EC37F6" w:rsidRPr="00CA6BF5" w:rsidRDefault="00EC37F6" w:rsidP="00EC511A">
            <w:pPr>
              <w:spacing w:after="0" w:line="360" w:lineRule="auto"/>
              <w:rPr>
                <w:rFonts w:ascii="Arial" w:hAnsi="Arial" w:cs="Arial"/>
                <w:sz w:val="24"/>
                <w:szCs w:val="24"/>
              </w:rPr>
            </w:pPr>
          </w:p>
        </w:tc>
        <w:tc>
          <w:tcPr>
            <w:tcW w:w="1560" w:type="dxa"/>
            <w:gridSpan w:val="2"/>
            <w:tcBorders>
              <w:top w:val="single" w:sz="4" w:space="0" w:color="000000"/>
              <w:left w:val="single" w:sz="4" w:space="0" w:color="000000"/>
              <w:bottom w:val="single" w:sz="4" w:space="0" w:color="000000"/>
              <w:right w:val="single" w:sz="4" w:space="0" w:color="000000"/>
            </w:tcBorders>
            <w:shd w:val="clear" w:color="auto" w:fill="auto"/>
          </w:tcPr>
          <w:p w14:paraId="1E00ACB9" w14:textId="77777777" w:rsidR="00EC37F6" w:rsidRPr="00CA6BF5" w:rsidRDefault="00EC37F6" w:rsidP="00EC511A">
            <w:pPr>
              <w:spacing w:after="0" w:line="360" w:lineRule="auto"/>
              <w:rPr>
                <w:rFonts w:ascii="Arial" w:hAnsi="Arial" w:cs="Arial"/>
                <w:sz w:val="24"/>
                <w:szCs w:val="24"/>
              </w:rPr>
            </w:pPr>
          </w:p>
        </w:tc>
        <w:tc>
          <w:tcPr>
            <w:tcW w:w="1511"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1AEF05FB" w14:textId="77777777" w:rsidR="00EC37F6" w:rsidRPr="00CA6BF5" w:rsidRDefault="00EC37F6" w:rsidP="00EC511A">
            <w:pPr>
              <w:spacing w:after="0" w:line="360" w:lineRule="auto"/>
              <w:rPr>
                <w:rFonts w:ascii="Arial" w:hAnsi="Arial" w:cs="Arial"/>
                <w:sz w:val="24"/>
                <w:szCs w:val="24"/>
              </w:rPr>
            </w:pPr>
          </w:p>
        </w:tc>
        <w:tc>
          <w:tcPr>
            <w:tcW w:w="1430" w:type="dxa"/>
            <w:gridSpan w:val="2"/>
            <w:tcBorders>
              <w:top w:val="single" w:sz="4" w:space="0" w:color="000000"/>
              <w:left w:val="single" w:sz="4" w:space="0" w:color="000000"/>
              <w:bottom w:val="single" w:sz="4" w:space="0" w:color="000000"/>
              <w:right w:val="single" w:sz="4" w:space="0" w:color="000000"/>
            </w:tcBorders>
          </w:tcPr>
          <w:p w14:paraId="5EC540AE"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shd w:val="clear" w:color="auto" w:fill="215E99" w:themeFill="text2" w:themeFillTint="BF"/>
          </w:tcPr>
          <w:p w14:paraId="504F2C86"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86BFE4E" w14:textId="77777777" w:rsidR="00EC37F6" w:rsidRPr="00CA6BF5" w:rsidRDefault="00EC37F6" w:rsidP="00EC511A">
            <w:pPr>
              <w:spacing w:after="0" w:line="360" w:lineRule="auto"/>
              <w:rPr>
                <w:rFonts w:ascii="Arial" w:hAnsi="Arial" w:cs="Arial"/>
                <w:sz w:val="24"/>
                <w:szCs w:val="24"/>
              </w:rPr>
            </w:pPr>
          </w:p>
        </w:tc>
      </w:tr>
      <w:tr w:rsidR="00EC37F6" w:rsidRPr="00CA6BF5" w14:paraId="6D30AD20" w14:textId="77777777" w:rsidTr="00EC37F6">
        <w:trPr>
          <w:trHeight w:val="1114"/>
          <w:jc w:val="center"/>
        </w:trPr>
        <w:tc>
          <w:tcPr>
            <w:tcW w:w="1838" w:type="dxa"/>
            <w:tcBorders>
              <w:top w:val="single" w:sz="4" w:space="0" w:color="000000"/>
              <w:left w:val="single" w:sz="4" w:space="0" w:color="000000"/>
              <w:bottom w:val="single" w:sz="4" w:space="0" w:color="000000"/>
              <w:right w:val="single" w:sz="4" w:space="0" w:color="000000"/>
            </w:tcBorders>
            <w:vAlign w:val="center"/>
          </w:tcPr>
          <w:p w14:paraId="698C136F" w14:textId="77777777" w:rsidR="00EC37F6" w:rsidRPr="00CA6BF5" w:rsidRDefault="00EC37F6" w:rsidP="00EC511A">
            <w:pPr>
              <w:spacing w:after="0" w:line="240" w:lineRule="auto"/>
              <w:rPr>
                <w:rFonts w:ascii="Arial" w:hAnsi="Arial" w:cs="Arial"/>
                <w:sz w:val="24"/>
                <w:szCs w:val="24"/>
                <w:lang w:val="pt-PT"/>
              </w:rPr>
            </w:pPr>
            <w:proofErr w:type="spellStart"/>
            <w:r w:rsidRPr="00CA6BF5">
              <w:rPr>
                <w:rFonts w:ascii="Arial" w:hAnsi="Arial" w:cs="Arial"/>
                <w:sz w:val="24"/>
                <w:szCs w:val="24"/>
                <w:lang w:val="pt-PT"/>
              </w:rPr>
              <w:t>Re-writes</w:t>
            </w:r>
            <w:proofErr w:type="spellEnd"/>
          </w:p>
        </w:tc>
        <w:tc>
          <w:tcPr>
            <w:tcW w:w="1559" w:type="dxa"/>
            <w:gridSpan w:val="2"/>
            <w:tcBorders>
              <w:top w:val="single" w:sz="4" w:space="0" w:color="000000"/>
              <w:left w:val="single" w:sz="4" w:space="0" w:color="000000"/>
              <w:bottom w:val="single" w:sz="4" w:space="0" w:color="000000"/>
              <w:right w:val="single" w:sz="4" w:space="0" w:color="000000"/>
            </w:tcBorders>
          </w:tcPr>
          <w:p w14:paraId="3DD26DBB" w14:textId="77777777" w:rsidR="00EC37F6" w:rsidRPr="00CA6BF5" w:rsidRDefault="00EC37F6" w:rsidP="00EC511A">
            <w:pPr>
              <w:spacing w:after="0" w:line="360" w:lineRule="auto"/>
              <w:rPr>
                <w:rFonts w:ascii="Arial" w:hAnsi="Arial" w:cs="Arial"/>
                <w:sz w:val="24"/>
                <w:szCs w:val="24"/>
              </w:rPr>
            </w:pPr>
          </w:p>
        </w:tc>
        <w:tc>
          <w:tcPr>
            <w:tcW w:w="1560" w:type="dxa"/>
            <w:gridSpan w:val="2"/>
            <w:tcBorders>
              <w:top w:val="single" w:sz="4" w:space="0" w:color="000000"/>
              <w:left w:val="single" w:sz="4" w:space="0" w:color="000000"/>
              <w:bottom w:val="single" w:sz="4" w:space="0" w:color="000000"/>
              <w:right w:val="single" w:sz="4" w:space="0" w:color="000000"/>
            </w:tcBorders>
            <w:shd w:val="clear" w:color="auto" w:fill="auto"/>
          </w:tcPr>
          <w:p w14:paraId="4CC861B2" w14:textId="77777777" w:rsidR="00EC37F6" w:rsidRPr="00CA6BF5" w:rsidRDefault="00EC37F6" w:rsidP="00EC511A">
            <w:pPr>
              <w:spacing w:after="0" w:line="360" w:lineRule="auto"/>
              <w:rPr>
                <w:rFonts w:ascii="Arial" w:hAnsi="Arial" w:cs="Arial"/>
                <w:sz w:val="24"/>
                <w:szCs w:val="24"/>
              </w:rPr>
            </w:pPr>
          </w:p>
        </w:tc>
        <w:tc>
          <w:tcPr>
            <w:tcW w:w="1511"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3E58BD6F" w14:textId="77777777" w:rsidR="00EC37F6" w:rsidRPr="00CA6BF5" w:rsidRDefault="00EC37F6" w:rsidP="00EC511A">
            <w:pPr>
              <w:spacing w:after="0" w:line="360" w:lineRule="auto"/>
              <w:rPr>
                <w:rFonts w:ascii="Arial" w:hAnsi="Arial" w:cs="Arial"/>
                <w:sz w:val="24"/>
                <w:szCs w:val="24"/>
              </w:rPr>
            </w:pPr>
          </w:p>
        </w:tc>
        <w:tc>
          <w:tcPr>
            <w:tcW w:w="1430" w:type="dxa"/>
            <w:gridSpan w:val="2"/>
            <w:tcBorders>
              <w:top w:val="single" w:sz="4" w:space="0" w:color="000000"/>
              <w:left w:val="single" w:sz="4" w:space="0" w:color="000000"/>
              <w:bottom w:val="single" w:sz="4" w:space="0" w:color="000000"/>
              <w:right w:val="single" w:sz="4" w:space="0" w:color="000000"/>
            </w:tcBorders>
          </w:tcPr>
          <w:p w14:paraId="6D682802"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tcPr>
          <w:p w14:paraId="4FD3C904"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shd w:val="clear" w:color="auto" w:fill="153D63" w:themeFill="text2" w:themeFillTint="E6"/>
          </w:tcPr>
          <w:p w14:paraId="0AD374B3" w14:textId="77777777" w:rsidR="00EC37F6" w:rsidRPr="00CA6BF5" w:rsidRDefault="00EC37F6" w:rsidP="00EC511A">
            <w:pPr>
              <w:spacing w:after="0" w:line="360" w:lineRule="auto"/>
              <w:rPr>
                <w:rFonts w:ascii="Arial" w:hAnsi="Arial" w:cs="Arial"/>
                <w:sz w:val="24"/>
                <w:szCs w:val="24"/>
              </w:rPr>
            </w:pPr>
          </w:p>
        </w:tc>
      </w:tr>
      <w:tr w:rsidR="00EC37F6" w:rsidRPr="00CA6BF5" w14:paraId="278A458A" w14:textId="77777777" w:rsidTr="00EC37F6">
        <w:trPr>
          <w:trHeight w:val="1114"/>
          <w:jc w:val="center"/>
        </w:trPr>
        <w:tc>
          <w:tcPr>
            <w:tcW w:w="1838" w:type="dxa"/>
            <w:tcBorders>
              <w:top w:val="single" w:sz="4" w:space="0" w:color="000000"/>
              <w:left w:val="single" w:sz="4" w:space="0" w:color="000000"/>
              <w:bottom w:val="single" w:sz="4" w:space="0" w:color="000000"/>
              <w:right w:val="single" w:sz="4" w:space="0" w:color="000000"/>
            </w:tcBorders>
            <w:vAlign w:val="center"/>
          </w:tcPr>
          <w:p w14:paraId="7F6E8401" w14:textId="77777777" w:rsidR="00EC37F6" w:rsidRPr="00CA6BF5" w:rsidRDefault="00EC37F6" w:rsidP="00EC511A">
            <w:pPr>
              <w:spacing w:after="0" w:line="240" w:lineRule="auto"/>
              <w:rPr>
                <w:rFonts w:ascii="Arial" w:hAnsi="Arial" w:cs="Arial"/>
                <w:sz w:val="24"/>
                <w:szCs w:val="24"/>
                <w:lang w:val="pt-PT"/>
              </w:rPr>
            </w:pPr>
            <w:proofErr w:type="spellStart"/>
            <w:r w:rsidRPr="00CA6BF5">
              <w:rPr>
                <w:rFonts w:ascii="Arial" w:hAnsi="Arial" w:cs="Arial"/>
                <w:sz w:val="24"/>
                <w:szCs w:val="24"/>
                <w:lang w:val="pt-PT"/>
              </w:rPr>
              <w:t>Submission</w:t>
            </w:r>
            <w:proofErr w:type="spellEnd"/>
          </w:p>
        </w:tc>
        <w:tc>
          <w:tcPr>
            <w:tcW w:w="1559" w:type="dxa"/>
            <w:gridSpan w:val="2"/>
            <w:tcBorders>
              <w:top w:val="single" w:sz="4" w:space="0" w:color="000000"/>
              <w:left w:val="single" w:sz="4" w:space="0" w:color="000000"/>
              <w:bottom w:val="single" w:sz="4" w:space="0" w:color="000000"/>
              <w:right w:val="single" w:sz="4" w:space="0" w:color="000000"/>
            </w:tcBorders>
          </w:tcPr>
          <w:p w14:paraId="4DCB2368" w14:textId="77777777" w:rsidR="00EC37F6" w:rsidRPr="00CA6BF5" w:rsidRDefault="00EC37F6" w:rsidP="00EC511A">
            <w:pPr>
              <w:spacing w:after="0" w:line="360" w:lineRule="auto"/>
              <w:rPr>
                <w:rFonts w:ascii="Arial" w:hAnsi="Arial" w:cs="Arial"/>
                <w:sz w:val="24"/>
                <w:szCs w:val="24"/>
              </w:rPr>
            </w:pPr>
          </w:p>
        </w:tc>
        <w:tc>
          <w:tcPr>
            <w:tcW w:w="1560" w:type="dxa"/>
            <w:gridSpan w:val="2"/>
            <w:tcBorders>
              <w:top w:val="single" w:sz="4" w:space="0" w:color="000000"/>
              <w:left w:val="single" w:sz="4" w:space="0" w:color="000000"/>
              <w:bottom w:val="single" w:sz="4" w:space="0" w:color="000000"/>
              <w:right w:val="single" w:sz="4" w:space="0" w:color="000000"/>
            </w:tcBorders>
            <w:shd w:val="clear" w:color="auto" w:fill="auto"/>
          </w:tcPr>
          <w:p w14:paraId="051A2F2B" w14:textId="77777777" w:rsidR="00EC37F6" w:rsidRPr="00CA6BF5" w:rsidRDefault="00EC37F6" w:rsidP="00EC511A">
            <w:pPr>
              <w:spacing w:after="0" w:line="360" w:lineRule="auto"/>
              <w:rPr>
                <w:rFonts w:ascii="Arial" w:hAnsi="Arial" w:cs="Arial"/>
                <w:sz w:val="24"/>
                <w:szCs w:val="24"/>
              </w:rPr>
            </w:pPr>
          </w:p>
        </w:tc>
        <w:tc>
          <w:tcPr>
            <w:tcW w:w="1511"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589024B0" w14:textId="77777777" w:rsidR="00EC37F6" w:rsidRPr="00CA6BF5" w:rsidRDefault="00EC37F6" w:rsidP="00EC511A">
            <w:pPr>
              <w:spacing w:after="0" w:line="360" w:lineRule="auto"/>
              <w:rPr>
                <w:rFonts w:ascii="Arial" w:hAnsi="Arial" w:cs="Arial"/>
                <w:sz w:val="24"/>
                <w:szCs w:val="24"/>
              </w:rPr>
            </w:pPr>
          </w:p>
        </w:tc>
        <w:tc>
          <w:tcPr>
            <w:tcW w:w="1430" w:type="dxa"/>
            <w:gridSpan w:val="2"/>
            <w:tcBorders>
              <w:top w:val="single" w:sz="4" w:space="0" w:color="000000"/>
              <w:left w:val="single" w:sz="4" w:space="0" w:color="000000"/>
              <w:bottom w:val="single" w:sz="4" w:space="0" w:color="000000"/>
              <w:right w:val="single" w:sz="4" w:space="0" w:color="000000"/>
            </w:tcBorders>
          </w:tcPr>
          <w:p w14:paraId="2CDC6A40"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tcPr>
          <w:p w14:paraId="1EE4EBD3" w14:textId="77777777" w:rsidR="00EC37F6" w:rsidRPr="00CA6BF5" w:rsidRDefault="00EC37F6" w:rsidP="00EC511A">
            <w:pPr>
              <w:spacing w:after="0" w:line="360" w:lineRule="auto"/>
              <w:rPr>
                <w:rFonts w:ascii="Arial" w:hAnsi="Arial" w:cs="Arial"/>
                <w:sz w:val="24"/>
                <w:szCs w:val="24"/>
              </w:rPr>
            </w:pPr>
          </w:p>
        </w:tc>
        <w:tc>
          <w:tcPr>
            <w:tcW w:w="1324" w:type="dxa"/>
            <w:tcBorders>
              <w:top w:val="single" w:sz="4" w:space="0" w:color="000000"/>
              <w:left w:val="single" w:sz="4" w:space="0" w:color="000000"/>
              <w:bottom w:val="single" w:sz="4" w:space="0" w:color="000000"/>
              <w:right w:val="single" w:sz="4" w:space="0" w:color="000000"/>
            </w:tcBorders>
            <w:shd w:val="clear" w:color="auto" w:fill="215E99" w:themeFill="text2" w:themeFillTint="BF"/>
          </w:tcPr>
          <w:p w14:paraId="4F37B792" w14:textId="77777777" w:rsidR="00EC37F6" w:rsidRPr="00CA6BF5" w:rsidRDefault="00EC37F6" w:rsidP="00EC511A">
            <w:pPr>
              <w:spacing w:after="0" w:line="360" w:lineRule="auto"/>
              <w:rPr>
                <w:rFonts w:ascii="Arial" w:hAnsi="Arial" w:cs="Arial"/>
                <w:sz w:val="24"/>
                <w:szCs w:val="24"/>
              </w:rPr>
            </w:pPr>
          </w:p>
        </w:tc>
      </w:tr>
    </w:tbl>
    <w:p w14:paraId="7E9A8F61" w14:textId="77777777" w:rsidR="00A127A7" w:rsidRDefault="00A127A7" w:rsidP="000C32E0">
      <w:pPr>
        <w:spacing w:line="360" w:lineRule="auto"/>
        <w:jc w:val="both"/>
        <w:rPr>
          <w:rFonts w:ascii="Arial" w:hAnsi="Arial" w:cs="Arial"/>
          <w:sz w:val="24"/>
          <w:szCs w:val="24"/>
        </w:rPr>
      </w:pPr>
    </w:p>
    <w:bookmarkEnd w:id="0"/>
    <w:p w14:paraId="0A7B6AB0" w14:textId="77777777" w:rsidR="00FE6C81" w:rsidRDefault="00FE6C81" w:rsidP="00360246">
      <w:pPr>
        <w:spacing w:line="360" w:lineRule="auto"/>
        <w:jc w:val="both"/>
        <w:rPr>
          <w:rFonts w:ascii="Arial" w:hAnsi="Arial" w:cs="Arial"/>
          <w:sz w:val="24"/>
          <w:szCs w:val="24"/>
        </w:rPr>
      </w:pPr>
    </w:p>
    <w:p w14:paraId="3BB88B86" w14:textId="77777777" w:rsidR="00244A1E" w:rsidRDefault="00244A1E" w:rsidP="00360246">
      <w:pPr>
        <w:spacing w:line="360" w:lineRule="auto"/>
        <w:jc w:val="both"/>
        <w:rPr>
          <w:rFonts w:ascii="Arial" w:hAnsi="Arial" w:cs="Arial"/>
          <w:sz w:val="24"/>
          <w:szCs w:val="24"/>
        </w:rPr>
      </w:pPr>
    </w:p>
    <w:p w14:paraId="31CD6640" w14:textId="77777777" w:rsidR="00244A1E" w:rsidRDefault="00244A1E" w:rsidP="00360246">
      <w:pPr>
        <w:spacing w:line="360" w:lineRule="auto"/>
        <w:jc w:val="both"/>
        <w:rPr>
          <w:rFonts w:ascii="Arial" w:hAnsi="Arial" w:cs="Arial"/>
          <w:sz w:val="24"/>
          <w:szCs w:val="24"/>
        </w:rPr>
      </w:pPr>
    </w:p>
    <w:p w14:paraId="2FD88589" w14:textId="77777777" w:rsidR="00360246" w:rsidRDefault="00360246" w:rsidP="00360246">
      <w:pPr>
        <w:spacing w:line="360" w:lineRule="auto"/>
        <w:jc w:val="both"/>
        <w:rPr>
          <w:rFonts w:ascii="Arial" w:hAnsi="Arial" w:cs="Arial"/>
          <w:sz w:val="24"/>
          <w:szCs w:val="24"/>
        </w:rPr>
      </w:pPr>
      <w:r w:rsidRPr="00E01B1E">
        <w:rPr>
          <w:rFonts w:ascii="Arial" w:hAnsi="Arial" w:cs="Arial"/>
          <w:sz w:val="24"/>
          <w:szCs w:val="24"/>
        </w:rPr>
        <w:lastRenderedPageBreak/>
        <w:t>LITERATURE REVIEW METHODOLOGY</w:t>
      </w:r>
    </w:p>
    <w:p w14:paraId="20879BE8" w14:textId="77777777" w:rsidR="00F17607" w:rsidRDefault="00F17607" w:rsidP="00C0719C">
      <w:pPr>
        <w:spacing w:line="360" w:lineRule="auto"/>
        <w:jc w:val="both"/>
        <w:rPr>
          <w:rFonts w:ascii="Arial" w:hAnsi="Arial" w:cs="Arial"/>
          <w:sz w:val="24"/>
          <w:szCs w:val="24"/>
        </w:rPr>
      </w:pPr>
      <w:r w:rsidRPr="00F17607">
        <w:rPr>
          <w:rFonts w:ascii="Arial" w:hAnsi="Arial" w:cs="Arial"/>
          <w:sz w:val="24"/>
          <w:szCs w:val="24"/>
        </w:rPr>
        <w:t>The aim of this research is to explore the most evidence-based strategies for managing MPA</w:t>
      </w:r>
      <w:r>
        <w:rPr>
          <w:rFonts w:ascii="Arial" w:hAnsi="Arial" w:cs="Arial"/>
          <w:sz w:val="24"/>
          <w:szCs w:val="24"/>
        </w:rPr>
        <w:t xml:space="preserve"> </w:t>
      </w:r>
      <w:r w:rsidRPr="00F17607">
        <w:rPr>
          <w:rFonts w:ascii="Arial" w:hAnsi="Arial" w:cs="Arial"/>
          <w:sz w:val="24"/>
          <w:szCs w:val="24"/>
        </w:rPr>
        <w:t>in educational contexts, as well as the potential correlation between MPA and the precarious labor conditions faced by Portuguese performers. To achieve this, the study is structured around two distinct but interrelated research</w:t>
      </w:r>
      <w:r>
        <w:rPr>
          <w:rFonts w:ascii="Arial" w:hAnsi="Arial" w:cs="Arial"/>
          <w:sz w:val="24"/>
          <w:szCs w:val="24"/>
        </w:rPr>
        <w:t xml:space="preserve"> </w:t>
      </w:r>
      <w:r w:rsidRPr="00F17607">
        <w:rPr>
          <w:rFonts w:ascii="Arial" w:hAnsi="Arial" w:cs="Arial"/>
          <w:sz w:val="24"/>
          <w:szCs w:val="24"/>
        </w:rPr>
        <w:t>questions.</w:t>
      </w:r>
      <w:r>
        <w:rPr>
          <w:rFonts w:ascii="Arial" w:hAnsi="Arial" w:cs="Arial"/>
          <w:sz w:val="24"/>
          <w:szCs w:val="24"/>
        </w:rPr>
        <w:t xml:space="preserve"> </w:t>
      </w:r>
    </w:p>
    <w:p w14:paraId="0D74E388" w14:textId="77777777" w:rsidR="00F17607" w:rsidRDefault="00F17607" w:rsidP="00F17607">
      <w:pPr>
        <w:pStyle w:val="PargrafodaLista"/>
        <w:numPr>
          <w:ilvl w:val="0"/>
          <w:numId w:val="34"/>
        </w:numPr>
        <w:spacing w:line="360" w:lineRule="auto"/>
        <w:rPr>
          <w:rFonts w:ascii="Arial" w:hAnsi="Arial" w:cs="Arial"/>
          <w:sz w:val="24"/>
          <w:szCs w:val="24"/>
        </w:rPr>
      </w:pPr>
      <w:r>
        <w:rPr>
          <w:rFonts w:ascii="Arial" w:hAnsi="Arial" w:cs="Arial"/>
          <w:sz w:val="24"/>
          <w:szCs w:val="24"/>
        </w:rPr>
        <w:t xml:space="preserve">What </w:t>
      </w:r>
      <w:proofErr w:type="gramStart"/>
      <w:r>
        <w:rPr>
          <w:rFonts w:ascii="Arial" w:hAnsi="Arial" w:cs="Arial"/>
          <w:sz w:val="24"/>
          <w:szCs w:val="24"/>
        </w:rPr>
        <w:t>are</w:t>
      </w:r>
      <w:proofErr w:type="gramEnd"/>
      <w:r>
        <w:rPr>
          <w:rFonts w:ascii="Arial" w:hAnsi="Arial" w:cs="Arial"/>
          <w:sz w:val="24"/>
          <w:szCs w:val="24"/>
        </w:rPr>
        <w:t xml:space="preserve"> </w:t>
      </w:r>
      <w:r w:rsidRPr="00F17607">
        <w:rPr>
          <w:rFonts w:ascii="Arial" w:hAnsi="Arial" w:cs="Arial"/>
          <w:sz w:val="24"/>
          <w:szCs w:val="24"/>
        </w:rPr>
        <w:t>the most evidence-based strategies for managing MPA</w:t>
      </w:r>
      <w:r>
        <w:rPr>
          <w:rFonts w:ascii="Arial" w:hAnsi="Arial" w:cs="Arial"/>
          <w:sz w:val="24"/>
          <w:szCs w:val="24"/>
        </w:rPr>
        <w:t xml:space="preserve"> </w:t>
      </w:r>
      <w:r w:rsidRPr="00F17607">
        <w:rPr>
          <w:rFonts w:ascii="Arial" w:hAnsi="Arial" w:cs="Arial"/>
          <w:sz w:val="24"/>
          <w:szCs w:val="24"/>
        </w:rPr>
        <w:t>in educational contexts</w:t>
      </w:r>
      <w:r>
        <w:rPr>
          <w:rFonts w:ascii="Arial" w:hAnsi="Arial" w:cs="Arial"/>
          <w:sz w:val="24"/>
          <w:szCs w:val="24"/>
        </w:rPr>
        <w:t>?</w:t>
      </w:r>
    </w:p>
    <w:p w14:paraId="5849A07C" w14:textId="77777777" w:rsidR="00F17607" w:rsidRDefault="00F17607" w:rsidP="00F17607">
      <w:pPr>
        <w:pStyle w:val="PargrafodaLista"/>
        <w:numPr>
          <w:ilvl w:val="0"/>
          <w:numId w:val="34"/>
        </w:numPr>
        <w:spacing w:line="360" w:lineRule="auto"/>
        <w:rPr>
          <w:rFonts w:ascii="Arial" w:hAnsi="Arial" w:cs="Arial"/>
          <w:sz w:val="24"/>
          <w:szCs w:val="24"/>
        </w:rPr>
      </w:pPr>
      <w:r>
        <w:rPr>
          <w:rFonts w:ascii="Arial" w:hAnsi="Arial" w:cs="Arial"/>
          <w:sz w:val="24"/>
          <w:szCs w:val="24"/>
        </w:rPr>
        <w:t xml:space="preserve">What is </w:t>
      </w:r>
      <w:r w:rsidRPr="00F17607">
        <w:rPr>
          <w:rFonts w:ascii="Arial" w:hAnsi="Arial" w:cs="Arial"/>
          <w:sz w:val="24"/>
          <w:szCs w:val="24"/>
        </w:rPr>
        <w:t xml:space="preserve">the potential correlation between </w:t>
      </w:r>
      <w:proofErr w:type="gramStart"/>
      <w:r w:rsidRPr="00F17607">
        <w:rPr>
          <w:rFonts w:ascii="Arial" w:hAnsi="Arial" w:cs="Arial"/>
          <w:sz w:val="24"/>
          <w:szCs w:val="24"/>
        </w:rPr>
        <w:t>MPA</w:t>
      </w:r>
      <w:proofErr w:type="gramEnd"/>
      <w:r w:rsidRPr="00F17607">
        <w:rPr>
          <w:rFonts w:ascii="Arial" w:hAnsi="Arial" w:cs="Arial"/>
          <w:sz w:val="24"/>
          <w:szCs w:val="24"/>
        </w:rPr>
        <w:t xml:space="preserve"> and the precarious labor conditions faced by Portuguese performers</w:t>
      </w:r>
      <w:r>
        <w:rPr>
          <w:rFonts w:ascii="Arial" w:hAnsi="Arial" w:cs="Arial"/>
          <w:sz w:val="24"/>
          <w:szCs w:val="24"/>
        </w:rPr>
        <w:t>?</w:t>
      </w:r>
    </w:p>
    <w:p w14:paraId="1B9EAB36" w14:textId="77777777" w:rsidR="00F17607" w:rsidRDefault="00F17607" w:rsidP="00F17607">
      <w:pPr>
        <w:spacing w:line="360" w:lineRule="auto"/>
        <w:jc w:val="both"/>
        <w:rPr>
          <w:rFonts w:ascii="Arial" w:hAnsi="Arial" w:cs="Arial"/>
          <w:sz w:val="24"/>
          <w:szCs w:val="24"/>
        </w:rPr>
      </w:pPr>
    </w:p>
    <w:p w14:paraId="311AFB41" w14:textId="77777777" w:rsidR="00F17607" w:rsidRPr="00407050" w:rsidRDefault="00407050" w:rsidP="00F17607">
      <w:pPr>
        <w:spacing w:line="360" w:lineRule="auto"/>
        <w:jc w:val="both"/>
        <w:rPr>
          <w:rFonts w:ascii="Arial" w:hAnsi="Arial" w:cs="Arial"/>
          <w:sz w:val="24"/>
          <w:szCs w:val="24"/>
          <w:u w:val="single"/>
        </w:rPr>
      </w:pPr>
      <w:r>
        <w:rPr>
          <w:rFonts w:ascii="Arial" w:hAnsi="Arial" w:cs="Arial"/>
          <w:sz w:val="24"/>
          <w:szCs w:val="24"/>
          <w:u w:val="single"/>
        </w:rPr>
        <w:t>Approach to q</w:t>
      </w:r>
      <w:r w:rsidR="00F17607" w:rsidRPr="00407050">
        <w:rPr>
          <w:rFonts w:ascii="Arial" w:hAnsi="Arial" w:cs="Arial"/>
          <w:sz w:val="24"/>
          <w:szCs w:val="24"/>
          <w:u w:val="single"/>
        </w:rPr>
        <w:t xml:space="preserve">uestion 1 </w:t>
      </w:r>
    </w:p>
    <w:p w14:paraId="7325AEC6" w14:textId="77777777" w:rsidR="00153925" w:rsidRPr="00F17607" w:rsidRDefault="00153925" w:rsidP="00F17607">
      <w:pPr>
        <w:spacing w:line="360" w:lineRule="auto"/>
        <w:jc w:val="both"/>
        <w:rPr>
          <w:rFonts w:ascii="Arial" w:hAnsi="Arial" w:cs="Arial"/>
          <w:sz w:val="24"/>
          <w:szCs w:val="24"/>
        </w:rPr>
      </w:pPr>
      <w:r w:rsidRPr="00F17607">
        <w:rPr>
          <w:rFonts w:ascii="Arial" w:hAnsi="Arial" w:cs="Arial"/>
          <w:sz w:val="24"/>
          <w:szCs w:val="24"/>
        </w:rPr>
        <w:t xml:space="preserve">With my wanting and desire to </w:t>
      </w:r>
      <w:r w:rsidR="00432AF0" w:rsidRPr="00F17607">
        <w:rPr>
          <w:rFonts w:ascii="Arial" w:hAnsi="Arial" w:cs="Arial"/>
          <w:sz w:val="24"/>
          <w:szCs w:val="24"/>
        </w:rPr>
        <w:t>increase my knowledge and become a more informed singing teacher</w:t>
      </w:r>
      <w:r w:rsidRPr="00F17607">
        <w:rPr>
          <w:rFonts w:ascii="Arial" w:hAnsi="Arial" w:cs="Arial"/>
          <w:sz w:val="24"/>
          <w:szCs w:val="24"/>
        </w:rPr>
        <w:t xml:space="preserve"> and understand how I can help students with MPA I have started by searching published and peer-reviewed studies </w:t>
      </w:r>
      <w:proofErr w:type="gramStart"/>
      <w:r w:rsidRPr="00F17607">
        <w:rPr>
          <w:rFonts w:ascii="Arial" w:hAnsi="Arial" w:cs="Arial"/>
          <w:sz w:val="24"/>
          <w:szCs w:val="24"/>
        </w:rPr>
        <w:t>in the area of</w:t>
      </w:r>
      <w:proofErr w:type="gramEnd"/>
      <w:r w:rsidRPr="00F17607">
        <w:rPr>
          <w:rFonts w:ascii="Arial" w:hAnsi="Arial" w:cs="Arial"/>
          <w:sz w:val="24"/>
          <w:szCs w:val="24"/>
        </w:rPr>
        <w:t xml:space="preserve"> MPA</w:t>
      </w:r>
      <w:r w:rsidR="00432AF0" w:rsidRPr="00F17607">
        <w:rPr>
          <w:rFonts w:ascii="Arial" w:hAnsi="Arial" w:cs="Arial"/>
          <w:sz w:val="24"/>
          <w:szCs w:val="24"/>
        </w:rPr>
        <w:t xml:space="preserve"> strategies</w:t>
      </w:r>
      <w:r w:rsidR="00B958DE" w:rsidRPr="00F17607">
        <w:rPr>
          <w:rFonts w:ascii="Arial" w:hAnsi="Arial" w:cs="Arial"/>
          <w:sz w:val="24"/>
          <w:szCs w:val="24"/>
        </w:rPr>
        <w:t xml:space="preserve"> and coping mechanisms</w:t>
      </w:r>
      <w:r w:rsidRPr="00F17607">
        <w:rPr>
          <w:rFonts w:ascii="Arial" w:hAnsi="Arial" w:cs="Arial"/>
          <w:sz w:val="24"/>
          <w:szCs w:val="24"/>
        </w:rPr>
        <w:t xml:space="preserve">. </w:t>
      </w:r>
    </w:p>
    <w:p w14:paraId="07AECAAF" w14:textId="77777777" w:rsidR="00B958DE" w:rsidRDefault="00B958DE" w:rsidP="00153925">
      <w:pPr>
        <w:spacing w:line="360" w:lineRule="auto"/>
        <w:jc w:val="both"/>
        <w:rPr>
          <w:rFonts w:ascii="Arial" w:hAnsi="Arial" w:cs="Arial"/>
          <w:sz w:val="24"/>
          <w:szCs w:val="24"/>
        </w:rPr>
      </w:pPr>
      <w:r w:rsidRPr="00B958DE">
        <w:rPr>
          <w:rFonts w:ascii="Arial" w:hAnsi="Arial" w:cs="Arial"/>
          <w:sz w:val="24"/>
          <w:szCs w:val="24"/>
        </w:rPr>
        <w:t xml:space="preserve">At the outset of my research, I recognized the need to narrow the scope of my inquiry to focus specifically on the most effective strategies for managing MPA within educational contexts. This decision allows the study to align more closely with my own teaching practice. Consequently, I have chosen to exclude research involving pharmacological and other medical treatments for MPA, as these approaches fall outside the pedagogical framework of my investigation. Moreover, such interventions are neither feasible to implement within the initial phase of this study </w:t>
      </w:r>
      <w:proofErr w:type="gramStart"/>
      <w:r>
        <w:rPr>
          <w:rFonts w:ascii="Arial" w:hAnsi="Arial" w:cs="Arial"/>
          <w:sz w:val="24"/>
          <w:szCs w:val="24"/>
        </w:rPr>
        <w:t>and</w:t>
      </w:r>
      <w:proofErr w:type="gramEnd"/>
      <w:r>
        <w:rPr>
          <w:rFonts w:ascii="Arial" w:hAnsi="Arial" w:cs="Arial"/>
          <w:sz w:val="24"/>
          <w:szCs w:val="24"/>
        </w:rPr>
        <w:t xml:space="preserve"> revealed to be </w:t>
      </w:r>
      <w:r w:rsidR="00407050">
        <w:rPr>
          <w:rFonts w:ascii="Arial" w:hAnsi="Arial" w:cs="Arial"/>
          <w:sz w:val="24"/>
          <w:szCs w:val="24"/>
        </w:rPr>
        <w:t>not applicable</w:t>
      </w:r>
      <w:r w:rsidRPr="00B958DE">
        <w:rPr>
          <w:rFonts w:ascii="Arial" w:hAnsi="Arial" w:cs="Arial"/>
          <w:sz w:val="24"/>
          <w:szCs w:val="24"/>
        </w:rPr>
        <w:t xml:space="preserve"> </w:t>
      </w:r>
      <w:r>
        <w:rPr>
          <w:rFonts w:ascii="Arial" w:hAnsi="Arial" w:cs="Arial"/>
          <w:sz w:val="24"/>
          <w:szCs w:val="24"/>
        </w:rPr>
        <w:t xml:space="preserve">and pertinent </w:t>
      </w:r>
      <w:r w:rsidRPr="00B958DE">
        <w:rPr>
          <w:rFonts w:ascii="Arial" w:hAnsi="Arial" w:cs="Arial"/>
          <w:sz w:val="24"/>
          <w:szCs w:val="24"/>
        </w:rPr>
        <w:t>to my role as a voice teacher.</w:t>
      </w:r>
      <w:r w:rsidR="00A90D66">
        <w:rPr>
          <w:rFonts w:ascii="Arial" w:hAnsi="Arial" w:cs="Arial"/>
          <w:sz w:val="24"/>
          <w:szCs w:val="24"/>
        </w:rPr>
        <w:t xml:space="preserve"> </w:t>
      </w:r>
      <w:r w:rsidR="00A90D66" w:rsidRPr="00A90D66">
        <w:rPr>
          <w:rFonts w:ascii="Arial" w:hAnsi="Arial" w:cs="Arial"/>
          <w:sz w:val="24"/>
          <w:szCs w:val="24"/>
        </w:rPr>
        <w:t>Due to the time constraints and the scope of this study, the research will primarily focus on contemporary strategies, specifically those examined in studies conducted over the past two decades</w:t>
      </w:r>
      <w:r w:rsidR="00A90D66">
        <w:rPr>
          <w:rFonts w:ascii="Arial" w:hAnsi="Arial" w:cs="Arial"/>
          <w:sz w:val="24"/>
          <w:szCs w:val="24"/>
        </w:rPr>
        <w:t xml:space="preserve">. </w:t>
      </w:r>
      <w:r w:rsidR="00153925" w:rsidRPr="000800B8">
        <w:rPr>
          <w:rFonts w:ascii="Arial" w:hAnsi="Arial" w:cs="Arial"/>
          <w:sz w:val="24"/>
          <w:szCs w:val="24"/>
        </w:rPr>
        <w:t xml:space="preserve">Having determined that my research will </w:t>
      </w:r>
      <w:r>
        <w:rPr>
          <w:rFonts w:ascii="Arial" w:hAnsi="Arial" w:cs="Arial"/>
          <w:sz w:val="24"/>
          <w:szCs w:val="24"/>
        </w:rPr>
        <w:t xml:space="preserve">center on </w:t>
      </w:r>
      <w:r w:rsidR="00FF3BD1">
        <w:rPr>
          <w:rFonts w:ascii="Arial" w:hAnsi="Arial" w:cs="Arial"/>
          <w:sz w:val="24"/>
          <w:szCs w:val="24"/>
        </w:rPr>
        <w:t xml:space="preserve">a specific question I will be conducting a systematic review since is my objective to </w:t>
      </w:r>
      <w:r w:rsidR="00FF3BD1" w:rsidRPr="000800B8">
        <w:rPr>
          <w:rFonts w:ascii="Arial" w:hAnsi="Arial" w:cs="Arial"/>
          <w:sz w:val="24"/>
          <w:szCs w:val="24"/>
        </w:rPr>
        <w:t xml:space="preserve">critically </w:t>
      </w:r>
      <w:r w:rsidR="00A90D66" w:rsidRPr="000800B8">
        <w:rPr>
          <w:rFonts w:ascii="Arial" w:hAnsi="Arial" w:cs="Arial"/>
          <w:sz w:val="24"/>
          <w:szCs w:val="24"/>
        </w:rPr>
        <w:t>appraise</w:t>
      </w:r>
      <w:r w:rsidR="00FF3BD1" w:rsidRPr="000800B8">
        <w:rPr>
          <w:rFonts w:ascii="Arial" w:hAnsi="Arial" w:cs="Arial"/>
          <w:sz w:val="24"/>
          <w:szCs w:val="24"/>
        </w:rPr>
        <w:t xml:space="preserve"> or </w:t>
      </w:r>
      <w:r w:rsidR="00A90D66" w:rsidRPr="000800B8">
        <w:rPr>
          <w:rFonts w:ascii="Arial" w:hAnsi="Arial" w:cs="Arial"/>
          <w:sz w:val="24"/>
          <w:szCs w:val="24"/>
        </w:rPr>
        <w:t>synthesis</w:t>
      </w:r>
      <w:r w:rsidR="00FF3BD1" w:rsidRPr="000800B8">
        <w:rPr>
          <w:rFonts w:ascii="Arial" w:hAnsi="Arial" w:cs="Arial"/>
          <w:sz w:val="24"/>
          <w:szCs w:val="24"/>
        </w:rPr>
        <w:t xml:space="preserve"> answer to a narrowly focused question</w:t>
      </w:r>
      <w:r w:rsidR="00FF3BD1">
        <w:rPr>
          <w:rFonts w:ascii="Arial" w:hAnsi="Arial" w:cs="Arial"/>
          <w:sz w:val="24"/>
          <w:szCs w:val="24"/>
        </w:rPr>
        <w:t xml:space="preserve">, which is the </w:t>
      </w:r>
      <w:r w:rsidR="00407050">
        <w:rPr>
          <w:rFonts w:ascii="Arial" w:hAnsi="Arial" w:cs="Arial"/>
          <w:sz w:val="24"/>
          <w:szCs w:val="24"/>
        </w:rPr>
        <w:t>objective of the type of literature</w:t>
      </w:r>
      <w:r w:rsidR="00FF3BD1">
        <w:rPr>
          <w:rFonts w:ascii="Arial" w:hAnsi="Arial" w:cs="Arial"/>
          <w:sz w:val="24"/>
          <w:szCs w:val="24"/>
        </w:rPr>
        <w:t xml:space="preserve"> review </w:t>
      </w:r>
      <w:r w:rsidR="00FF3BD1">
        <w:rPr>
          <w:rFonts w:ascii="Arial" w:hAnsi="Arial" w:cs="Arial"/>
          <w:sz w:val="24"/>
          <w:szCs w:val="24"/>
        </w:rPr>
        <w:fldChar w:fldCharType="begin"/>
      </w:r>
      <w:r w:rsidR="00FF3BD1">
        <w:rPr>
          <w:rFonts w:ascii="Arial" w:hAnsi="Arial" w:cs="Arial"/>
          <w:sz w:val="24"/>
          <w:szCs w:val="24"/>
        </w:rPr>
        <w:instrText xml:space="preserve"> ADDIN ZOTERO_ITEM CSL_CITATION {"citationID":"ZPvPqYOc","properties":{"formattedCitation":"(Peters {\\i{}et al.}, 2015; Munn {\\i{}et al.}, 2018)","plainCitation":"(Peters et al., 2015; Munn et al., 2018)","noteIndex":0},"citationItems":[{"id":874,"uris":["http://zotero.org/users/local/hN5mtYaY/items/3ZIWN7HB"],"itemData":{"id":874,"type":"article-journal","abstract":"Reviews of primary research are becoming more common as evidence-based practice gains recognition as the benchmark for care, and the number of, and access to, primary research sources has grown. One of the newer review types is the 'scoping review'. In general, scoping reviews are commonly used for 'reconnaissance' - to clarify working definitions and conceptual boundaries of a topic or field. Scoping reviews are therefore particularly useful when a body of literature has not yet been comprehensively reviewed, or exhibits a complex or heterogeneous nature not amenable to a more precise systematic review of the evidence. While scoping reviews may be conducted to determine the value and probable scope of a full systematic review, they may also be undertaken as exercises in and of themselves to summarize and disseminate research findings, to identify research gaps, and to make recommendations for the future research. This article briefly introduces the reader to scoping reviews, how they are different to systematic reviews, and why they might be conducted. The methodology and guidance for the conduct of systematic scoping reviews outlined below was developed by members of the Joanna Briggs Institute and members of five Joanna Briggs Collaborating Centres.","container-title":"International Journal of Evidence-Based Healthcare","DOI":"10.1097/XEB.0000000000000050","ISSN":"1744-1609","issue":"3","journalAbbreviation":"Int J Evid Based Healthc","language":"eng","note":"PMID: 26134548","page":"141-146","source":"PubMed","title":"Guidance for conducting systematic scoping reviews","volume":"13","author":[{"family":"Peters","given":"Micah D. J."},{"family":"Godfrey","given":"Christina M."},{"family":"Khalil","given":"Hanan"},{"family":"McInerney","given":"Patricia"},{"family":"Parker","given":"Deborah"},{"family":"Soares","given":"Cassia Baldini"}],"issued":{"date-parts":[["2015",9]]}}},{"id":611,"uris":["http://zotero.org/users/local/hN5mtYaY/items/5DCCKZCT"],"itemData":{"id":611,"type":"article-journal","container-title":"BMC Medical Research Methodology","DOI":"10.1186/s12874-018-0611-x","ISSN":"1471-2288","issue":"1","journalAbbreviation":"BMC Med Res Methodol","language":"en","page":"143","source":"DOI.org (Crossref)","title":"Systematic review or scoping review? Guidance for authors when choosing between a systematic or scoping review approach","title-short":"Systematic review or scoping review?","volume":"18","author":[{"family":"Munn","given":"Zachary"},{"family":"Peters","given":"Micah D. J."},{"family":"Stern","given":"Cindy"},{"family":"Tufanaru","given":"Catalin"},{"family":"McArthur","given":"Alexa"},{"family":"Aromataris","given":"Edoardo"}],"issued":{"date-parts":[["2018",12]]}}}],"schema":"https://github.com/citation-style-language/schema/raw/master/csl-citation.json"} </w:instrText>
      </w:r>
      <w:r w:rsidR="00FF3BD1">
        <w:rPr>
          <w:rFonts w:ascii="Arial" w:hAnsi="Arial" w:cs="Arial"/>
          <w:sz w:val="24"/>
          <w:szCs w:val="24"/>
        </w:rPr>
        <w:fldChar w:fldCharType="separate"/>
      </w:r>
      <w:r w:rsidR="00FF3BD1" w:rsidRPr="009F3290">
        <w:rPr>
          <w:rFonts w:ascii="Arial" w:hAnsi="Arial" w:cs="Arial"/>
          <w:sz w:val="24"/>
        </w:rPr>
        <w:t xml:space="preserve">(Peters </w:t>
      </w:r>
      <w:r w:rsidR="00FF3BD1" w:rsidRPr="009F3290">
        <w:rPr>
          <w:rFonts w:ascii="Arial" w:hAnsi="Arial" w:cs="Arial"/>
          <w:i/>
          <w:iCs/>
          <w:sz w:val="24"/>
        </w:rPr>
        <w:t>et al.</w:t>
      </w:r>
      <w:r w:rsidR="00FF3BD1" w:rsidRPr="009F3290">
        <w:rPr>
          <w:rFonts w:ascii="Arial" w:hAnsi="Arial" w:cs="Arial"/>
          <w:sz w:val="24"/>
        </w:rPr>
        <w:t xml:space="preserve">, 2015; Munn </w:t>
      </w:r>
      <w:r w:rsidR="00FF3BD1" w:rsidRPr="009F3290">
        <w:rPr>
          <w:rFonts w:ascii="Arial" w:hAnsi="Arial" w:cs="Arial"/>
          <w:i/>
          <w:iCs/>
          <w:sz w:val="24"/>
        </w:rPr>
        <w:t>et al.</w:t>
      </w:r>
      <w:r w:rsidR="00FF3BD1" w:rsidRPr="009F3290">
        <w:rPr>
          <w:rFonts w:ascii="Arial" w:hAnsi="Arial" w:cs="Arial"/>
          <w:sz w:val="24"/>
        </w:rPr>
        <w:t>, 2018)</w:t>
      </w:r>
      <w:r w:rsidR="00FF3BD1">
        <w:rPr>
          <w:rFonts w:ascii="Arial" w:hAnsi="Arial" w:cs="Arial"/>
          <w:sz w:val="24"/>
          <w:szCs w:val="24"/>
        </w:rPr>
        <w:fldChar w:fldCharType="end"/>
      </w:r>
      <w:r w:rsidR="00FF3BD1" w:rsidRPr="000800B8">
        <w:rPr>
          <w:rFonts w:ascii="Arial" w:hAnsi="Arial" w:cs="Arial"/>
          <w:sz w:val="24"/>
          <w:szCs w:val="24"/>
        </w:rPr>
        <w:t xml:space="preserve">. </w:t>
      </w:r>
      <w:r w:rsidR="00244A1E">
        <w:rPr>
          <w:rFonts w:ascii="Arial" w:hAnsi="Arial" w:cs="Arial"/>
          <w:sz w:val="24"/>
          <w:szCs w:val="24"/>
        </w:rPr>
        <w:t>Therefore,</w:t>
      </w:r>
      <w:r w:rsidR="00B53632">
        <w:rPr>
          <w:rFonts w:ascii="Arial" w:hAnsi="Arial" w:cs="Arial"/>
          <w:sz w:val="24"/>
          <w:szCs w:val="24"/>
        </w:rPr>
        <w:t xml:space="preserve"> studies that show </w:t>
      </w:r>
      <w:r w:rsidR="00B53632">
        <w:rPr>
          <w:rFonts w:ascii="Arial" w:hAnsi="Arial" w:cs="Arial"/>
          <w:sz w:val="24"/>
          <w:szCs w:val="24"/>
        </w:rPr>
        <w:lastRenderedPageBreak/>
        <w:t>empirical evidence of non-pharmacological MPA coping strategies</w:t>
      </w:r>
      <w:r w:rsidR="00DF729C">
        <w:rPr>
          <w:rFonts w:ascii="Arial" w:hAnsi="Arial" w:cs="Arial"/>
          <w:sz w:val="24"/>
          <w:szCs w:val="24"/>
        </w:rPr>
        <w:t xml:space="preserve">, systematic reviews of MPA coping strategies, and peer-reviewed studies that show evidence </w:t>
      </w:r>
      <w:proofErr w:type="gramStart"/>
      <w:r w:rsidR="00DF729C">
        <w:rPr>
          <w:rFonts w:ascii="Arial" w:hAnsi="Arial" w:cs="Arial"/>
          <w:sz w:val="24"/>
          <w:szCs w:val="24"/>
        </w:rPr>
        <w:t>In</w:t>
      </w:r>
      <w:proofErr w:type="gramEnd"/>
      <w:r w:rsidR="00DF729C">
        <w:rPr>
          <w:rFonts w:ascii="Arial" w:hAnsi="Arial" w:cs="Arial"/>
          <w:sz w:val="24"/>
          <w:szCs w:val="24"/>
        </w:rPr>
        <w:t xml:space="preserve"> practical teaching environments</w:t>
      </w:r>
      <w:r w:rsidR="00B53632">
        <w:rPr>
          <w:rFonts w:ascii="Arial" w:hAnsi="Arial" w:cs="Arial"/>
          <w:sz w:val="24"/>
          <w:szCs w:val="24"/>
        </w:rPr>
        <w:t xml:space="preserve"> will be included</w:t>
      </w:r>
      <w:r w:rsidR="00DF729C">
        <w:rPr>
          <w:rFonts w:ascii="Arial" w:hAnsi="Arial" w:cs="Arial"/>
          <w:sz w:val="24"/>
          <w:szCs w:val="24"/>
        </w:rPr>
        <w:t xml:space="preserve">. </w:t>
      </w:r>
    </w:p>
    <w:p w14:paraId="57A24CA7" w14:textId="77777777" w:rsidR="00407050" w:rsidRDefault="00407050" w:rsidP="00153925">
      <w:pPr>
        <w:spacing w:line="360" w:lineRule="auto"/>
        <w:jc w:val="both"/>
        <w:rPr>
          <w:rFonts w:ascii="Arial" w:hAnsi="Arial" w:cs="Arial"/>
          <w:sz w:val="24"/>
          <w:szCs w:val="24"/>
          <w:u w:val="single"/>
        </w:rPr>
      </w:pPr>
    </w:p>
    <w:p w14:paraId="08637B89" w14:textId="77777777" w:rsidR="00F17607" w:rsidRPr="00407050" w:rsidRDefault="00407050" w:rsidP="00153925">
      <w:pPr>
        <w:spacing w:line="360" w:lineRule="auto"/>
        <w:jc w:val="both"/>
        <w:rPr>
          <w:rFonts w:ascii="Arial" w:hAnsi="Arial" w:cs="Arial"/>
          <w:sz w:val="24"/>
          <w:szCs w:val="24"/>
          <w:u w:val="single"/>
        </w:rPr>
      </w:pPr>
      <w:r>
        <w:rPr>
          <w:rFonts w:ascii="Arial" w:hAnsi="Arial" w:cs="Arial"/>
          <w:sz w:val="24"/>
          <w:szCs w:val="24"/>
          <w:u w:val="single"/>
        </w:rPr>
        <w:t>Approach to q</w:t>
      </w:r>
      <w:r w:rsidR="00F17607" w:rsidRPr="00407050">
        <w:rPr>
          <w:rFonts w:ascii="Arial" w:hAnsi="Arial" w:cs="Arial"/>
          <w:sz w:val="24"/>
          <w:szCs w:val="24"/>
          <w:u w:val="single"/>
        </w:rPr>
        <w:t>uestion 2</w:t>
      </w:r>
    </w:p>
    <w:p w14:paraId="6B86FA94" w14:textId="77777777" w:rsidR="00B958DE" w:rsidRPr="00E527ED" w:rsidRDefault="00A90D66" w:rsidP="00153925">
      <w:pPr>
        <w:spacing w:line="360" w:lineRule="auto"/>
        <w:jc w:val="both"/>
        <w:rPr>
          <w:rFonts w:ascii="Arial" w:hAnsi="Arial" w:cs="Arial"/>
          <w:b/>
          <w:bCs/>
          <w:sz w:val="24"/>
          <w:szCs w:val="24"/>
        </w:rPr>
      </w:pPr>
      <w:r w:rsidRPr="00F86FA9">
        <w:rPr>
          <w:rFonts w:ascii="Arial" w:hAnsi="Arial" w:cs="Arial"/>
          <w:sz w:val="24"/>
          <w:szCs w:val="24"/>
        </w:rPr>
        <w:t xml:space="preserve">Since this study also aims to explore the possible correlation between MPA and the precarious labor challenges faced by Portuguese performers I also </w:t>
      </w:r>
      <w:r w:rsidR="00407050">
        <w:rPr>
          <w:rFonts w:ascii="Arial" w:hAnsi="Arial" w:cs="Arial"/>
          <w:sz w:val="24"/>
          <w:szCs w:val="24"/>
        </w:rPr>
        <w:t>intend</w:t>
      </w:r>
      <w:r w:rsidRPr="00F86FA9">
        <w:rPr>
          <w:rFonts w:ascii="Arial" w:hAnsi="Arial" w:cs="Arial"/>
          <w:sz w:val="24"/>
          <w:szCs w:val="24"/>
        </w:rPr>
        <w:t xml:space="preserve"> to </w:t>
      </w:r>
      <w:r w:rsidR="00F86FA9" w:rsidRPr="00F86FA9">
        <w:rPr>
          <w:rFonts w:ascii="Arial" w:hAnsi="Arial" w:cs="Arial"/>
          <w:sz w:val="24"/>
          <w:szCs w:val="24"/>
        </w:rPr>
        <w:t xml:space="preserve">assess the relevance and implementation of MPA strategies in Portuguese artistic and educational contexts. For that I will incorporate a </w:t>
      </w:r>
      <w:r w:rsidR="00061A50">
        <w:rPr>
          <w:rFonts w:ascii="Arial" w:hAnsi="Arial" w:cs="Arial"/>
          <w:sz w:val="24"/>
          <w:szCs w:val="24"/>
        </w:rPr>
        <w:t xml:space="preserve">scoping </w:t>
      </w:r>
      <w:r w:rsidR="00F86FA9" w:rsidRPr="00F86FA9">
        <w:rPr>
          <w:rFonts w:ascii="Arial" w:hAnsi="Arial" w:cs="Arial"/>
          <w:sz w:val="24"/>
          <w:szCs w:val="24"/>
        </w:rPr>
        <w:t xml:space="preserve">review </w:t>
      </w:r>
      <w:r w:rsidR="00061A50">
        <w:rPr>
          <w:rFonts w:ascii="Arial" w:hAnsi="Arial" w:cs="Arial"/>
          <w:sz w:val="24"/>
          <w:szCs w:val="24"/>
        </w:rPr>
        <w:t>in</w:t>
      </w:r>
      <w:r w:rsidR="00F86FA9" w:rsidRPr="00F86FA9">
        <w:rPr>
          <w:rFonts w:ascii="Arial" w:hAnsi="Arial" w:cs="Arial"/>
          <w:sz w:val="24"/>
          <w:szCs w:val="24"/>
        </w:rPr>
        <w:t xml:space="preserve"> the </w:t>
      </w:r>
      <w:r w:rsidR="00061A50" w:rsidRPr="00061A50">
        <w:rPr>
          <w:rFonts w:ascii="Arial" w:hAnsi="Arial" w:cs="Arial"/>
          <w:sz w:val="24"/>
          <w:szCs w:val="24"/>
        </w:rPr>
        <w:t>i</w:t>
      </w:r>
      <w:r w:rsidR="00061A50" w:rsidRPr="00891CDF">
        <w:rPr>
          <w:rFonts w:ascii="Arial" w:hAnsi="Arial" w:cs="Arial"/>
          <w:sz w:val="24"/>
          <w:szCs w:val="24"/>
        </w:rPr>
        <w:t>nstitutional and Pedagogical Approaches to Music Performance Anxiety in Portugal</w:t>
      </w:r>
      <w:r w:rsidR="00061A50">
        <w:rPr>
          <w:rFonts w:ascii="Arial" w:hAnsi="Arial" w:cs="Arial"/>
          <w:b/>
          <w:bCs/>
          <w:sz w:val="24"/>
          <w:szCs w:val="24"/>
        </w:rPr>
        <w:t xml:space="preserve"> </w:t>
      </w:r>
      <w:proofErr w:type="gramStart"/>
      <w:r w:rsidR="00061A50" w:rsidRPr="00061A50">
        <w:rPr>
          <w:rFonts w:ascii="Arial" w:hAnsi="Arial" w:cs="Arial"/>
          <w:sz w:val="24"/>
          <w:szCs w:val="24"/>
        </w:rPr>
        <w:t>and also</w:t>
      </w:r>
      <w:proofErr w:type="gramEnd"/>
      <w:r w:rsidR="00061A50" w:rsidRPr="00061A50">
        <w:rPr>
          <w:rFonts w:ascii="Arial" w:hAnsi="Arial" w:cs="Arial"/>
          <w:sz w:val="24"/>
          <w:szCs w:val="24"/>
        </w:rPr>
        <w:t xml:space="preserve"> review the literature available on the</w:t>
      </w:r>
      <w:r w:rsidR="00061A50">
        <w:rPr>
          <w:rFonts w:ascii="Arial" w:hAnsi="Arial" w:cs="Arial"/>
          <w:b/>
          <w:bCs/>
          <w:sz w:val="24"/>
          <w:szCs w:val="24"/>
        </w:rPr>
        <w:t xml:space="preserve"> </w:t>
      </w:r>
      <w:r w:rsidR="00F86FA9" w:rsidRPr="00F86FA9">
        <w:rPr>
          <w:rFonts w:ascii="Arial" w:hAnsi="Arial" w:cs="Arial"/>
          <w:sz w:val="24"/>
          <w:szCs w:val="24"/>
        </w:rPr>
        <w:t xml:space="preserve">structural and </w:t>
      </w:r>
      <w:r w:rsidR="00E527ED" w:rsidRPr="00F86FA9">
        <w:rPr>
          <w:rFonts w:ascii="Arial" w:hAnsi="Arial" w:cs="Arial"/>
          <w:sz w:val="24"/>
          <w:szCs w:val="24"/>
        </w:rPr>
        <w:t>socio</w:t>
      </w:r>
      <w:r w:rsidR="00E527ED">
        <w:rPr>
          <w:rFonts w:ascii="Arial" w:hAnsi="Arial" w:cs="Arial"/>
          <w:sz w:val="24"/>
          <w:szCs w:val="24"/>
        </w:rPr>
        <w:t>-economic</w:t>
      </w:r>
      <w:r w:rsidR="00F86FA9" w:rsidRPr="00F86FA9">
        <w:rPr>
          <w:rFonts w:ascii="Arial" w:hAnsi="Arial" w:cs="Arial"/>
          <w:sz w:val="24"/>
          <w:szCs w:val="24"/>
        </w:rPr>
        <w:t xml:space="preserve"> challenges faced by performers in Portugal that may exacerbate MPA symptoms</w:t>
      </w:r>
      <w:r w:rsidR="00061A50">
        <w:rPr>
          <w:rFonts w:ascii="Arial" w:hAnsi="Arial" w:cs="Arial"/>
          <w:sz w:val="24"/>
          <w:szCs w:val="24"/>
        </w:rPr>
        <w:t xml:space="preserve">. </w:t>
      </w:r>
    </w:p>
    <w:p w14:paraId="3447E85E" w14:textId="77777777" w:rsidR="00153925" w:rsidRPr="000800B8" w:rsidRDefault="00061A50" w:rsidP="00153925">
      <w:pPr>
        <w:spacing w:line="360" w:lineRule="auto"/>
        <w:jc w:val="both"/>
        <w:rPr>
          <w:rFonts w:ascii="Arial" w:hAnsi="Arial" w:cs="Arial"/>
          <w:sz w:val="24"/>
          <w:szCs w:val="24"/>
        </w:rPr>
      </w:pPr>
      <w:r>
        <w:rPr>
          <w:rFonts w:ascii="Arial" w:hAnsi="Arial" w:cs="Arial"/>
          <w:sz w:val="24"/>
          <w:szCs w:val="24"/>
        </w:rPr>
        <w:t>Since a</w:t>
      </w:r>
      <w:r w:rsidR="00153925" w:rsidRPr="000800B8">
        <w:rPr>
          <w:rFonts w:ascii="Arial" w:hAnsi="Arial" w:cs="Arial"/>
          <w:sz w:val="24"/>
          <w:szCs w:val="24"/>
        </w:rPr>
        <w:t xml:space="preserve"> scoping review is designed to provide a comprehensive overview and mapping of the literature </w:t>
      </w:r>
      <w:r w:rsidR="00153925">
        <w:rPr>
          <w:rFonts w:ascii="Arial" w:hAnsi="Arial" w:cs="Arial"/>
          <w:sz w:val="24"/>
          <w:szCs w:val="24"/>
        </w:rPr>
        <w:fldChar w:fldCharType="begin"/>
      </w:r>
      <w:r w:rsidR="00E134AA">
        <w:rPr>
          <w:rFonts w:ascii="Arial" w:hAnsi="Arial" w:cs="Arial"/>
          <w:sz w:val="24"/>
          <w:szCs w:val="24"/>
        </w:rPr>
        <w:instrText xml:space="preserve"> ADDIN ZOTERO_ITEM CSL_CITATION {"citationID":"W42MuY9R","properties":{"formattedCitation":"(Peters {\\i{}et al.}, 2015; Munn {\\i{}et al.}, 2018)","plainCitation":"(Peters et al., 2015; Munn et al., 2018)","noteIndex":0},"citationItems":[{"id":874,"uris":["http://zotero.org/users/local/hN5mtYaY/items/3ZIWN7HB"],"itemData":{"id":874,"type":"article-journal","abstract":"Reviews of primary research are becoming more common as evidence-based practice gains recognition as the benchmark for care, and the number of, and access to, primary research sources has grown. One of the newer review types is the 'scoping review'. In general, scoping reviews are commonly used for 'reconnaissance' - to clarify working definitions and conceptual boundaries of a topic or field. Scoping reviews are therefore particularly useful when a body of literature has not yet been comprehensively reviewed, or exhibits a complex or heterogeneous nature not amenable to a more precise systematic review of the evidence. While scoping reviews may be conducted to determine the value and probable scope of a full systematic review, they may also be undertaken as exercises in and of themselves to summarize and disseminate research findings, to identify research gaps, and to make recommendations for the future research. This article briefly introduces the reader to scoping reviews, how they are different to systematic reviews, and why they might be conducted. The methodology and guidance for the conduct of systematic scoping reviews outlined below was developed by members of the Joanna Briggs Institute and members of five Joanna Briggs Collaborating Centres.","container-title":"International Journal of Evidence-Based Healthcare","DOI":"10.1097/XEB.0000000000000050","ISSN":"1744-1609","issue":"3","journalAbbreviation":"Int J Evid Based Healthc","language":"eng","note":"PMID: 26134548","page":"141-146","source":"PubMed","title":"Guidance for conducting systematic scoping reviews","volume":"13","author":[{"family":"Peters","given":"Micah D. J."},{"family":"Godfrey","given":"Christina M."},{"family":"Khalil","given":"Hanan"},{"family":"McInerney","given":"Patricia"},{"family":"Parker","given":"Deborah"},{"family":"Soares","given":"Cassia Baldini"}],"issued":{"date-parts":[["2015",9]]}}},{"id":611,"uris":["http://zotero.org/users/local/hN5mtYaY/items/5DCCKZCT"],"itemData":{"id":611,"type":"article-journal","container-title":"BMC Medical Research Methodology","DOI":"10.1186/s12874-018-0611-x","ISSN":"1471-2288","issue":"1","journalAbbreviation":"BMC Med Res Methodol","language":"en","page":"143","source":"DOI.org (Crossref)","title":"Systematic review or scoping review? Guidance for authors when choosing between a systematic or scoping review approach","title-short":"Systematic review or scoping review?","volume":"18","author":[{"family":"Munn","given":"Zachary"},{"family":"Peters","given":"Micah D. J."},{"family":"Stern","given":"Cindy"},{"family":"Tufanaru","given":"Catalin"},{"family":"McArthur","given":"Alexa"},{"family":"Aromataris","given":"Edoardo"}],"issued":{"date-parts":[["2018",12]]}}}],"schema":"https://github.com/citation-style-language/schema/raw/master/csl-citation.json"} </w:instrText>
      </w:r>
      <w:r w:rsidR="00153925">
        <w:rPr>
          <w:rFonts w:ascii="Arial" w:hAnsi="Arial" w:cs="Arial"/>
          <w:sz w:val="24"/>
          <w:szCs w:val="24"/>
        </w:rPr>
        <w:fldChar w:fldCharType="separate"/>
      </w:r>
      <w:r w:rsidR="00153925" w:rsidRPr="009F3290">
        <w:rPr>
          <w:rFonts w:ascii="Arial" w:hAnsi="Arial" w:cs="Arial"/>
          <w:sz w:val="24"/>
        </w:rPr>
        <w:t xml:space="preserve">(Peters </w:t>
      </w:r>
      <w:r w:rsidR="00153925" w:rsidRPr="009F3290">
        <w:rPr>
          <w:rFonts w:ascii="Arial" w:hAnsi="Arial" w:cs="Arial"/>
          <w:i/>
          <w:iCs/>
          <w:sz w:val="24"/>
        </w:rPr>
        <w:t>et al.</w:t>
      </w:r>
      <w:r w:rsidR="00153925" w:rsidRPr="009F3290">
        <w:rPr>
          <w:rFonts w:ascii="Arial" w:hAnsi="Arial" w:cs="Arial"/>
          <w:sz w:val="24"/>
        </w:rPr>
        <w:t xml:space="preserve">, 2015; Munn </w:t>
      </w:r>
      <w:r w:rsidR="00153925" w:rsidRPr="009F3290">
        <w:rPr>
          <w:rFonts w:ascii="Arial" w:hAnsi="Arial" w:cs="Arial"/>
          <w:i/>
          <w:iCs/>
          <w:sz w:val="24"/>
        </w:rPr>
        <w:t>et al.</w:t>
      </w:r>
      <w:r w:rsidR="00153925" w:rsidRPr="009F3290">
        <w:rPr>
          <w:rFonts w:ascii="Arial" w:hAnsi="Arial" w:cs="Arial"/>
          <w:sz w:val="24"/>
        </w:rPr>
        <w:t>, 2018)</w:t>
      </w:r>
      <w:r w:rsidR="00153925">
        <w:rPr>
          <w:rFonts w:ascii="Arial" w:hAnsi="Arial" w:cs="Arial"/>
          <w:sz w:val="24"/>
          <w:szCs w:val="24"/>
        </w:rPr>
        <w:fldChar w:fldCharType="end"/>
      </w:r>
      <w:r w:rsidR="00E527ED">
        <w:rPr>
          <w:rFonts w:ascii="Arial" w:hAnsi="Arial" w:cs="Arial"/>
          <w:sz w:val="24"/>
          <w:szCs w:val="24"/>
        </w:rPr>
        <w:t xml:space="preserve"> it seems to </w:t>
      </w:r>
      <w:r w:rsidR="00153925" w:rsidRPr="000800B8">
        <w:rPr>
          <w:rFonts w:ascii="Arial" w:hAnsi="Arial" w:cs="Arial"/>
          <w:sz w:val="24"/>
          <w:szCs w:val="24"/>
        </w:rPr>
        <w:t>represents the most suitable methodological choice for this</w:t>
      </w:r>
      <w:r w:rsidR="00E527ED">
        <w:rPr>
          <w:rFonts w:ascii="Arial" w:hAnsi="Arial" w:cs="Arial"/>
          <w:sz w:val="24"/>
          <w:szCs w:val="24"/>
        </w:rPr>
        <w:t xml:space="preserve"> part of my</w:t>
      </w:r>
      <w:r w:rsidR="00153925" w:rsidRPr="000800B8">
        <w:rPr>
          <w:rFonts w:ascii="Arial" w:hAnsi="Arial" w:cs="Arial"/>
          <w:sz w:val="24"/>
          <w:szCs w:val="24"/>
        </w:rPr>
        <w:t xml:space="preserve"> study.</w:t>
      </w:r>
    </w:p>
    <w:p w14:paraId="45AA2781" w14:textId="77777777" w:rsidR="00153925" w:rsidRPr="004B2AA0" w:rsidRDefault="00153925" w:rsidP="00153925">
      <w:pPr>
        <w:spacing w:line="360" w:lineRule="auto"/>
        <w:jc w:val="both"/>
        <w:rPr>
          <w:rFonts w:ascii="Arial" w:hAnsi="Arial" w:cs="Arial"/>
          <w:sz w:val="24"/>
          <w:szCs w:val="24"/>
        </w:rPr>
      </w:pPr>
      <w:r w:rsidRPr="000A6237">
        <w:rPr>
          <w:rFonts w:ascii="Arial" w:hAnsi="Arial" w:cs="Arial"/>
          <w:sz w:val="24"/>
          <w:szCs w:val="24"/>
        </w:rPr>
        <w:t>I</w:t>
      </w:r>
      <w:r>
        <w:rPr>
          <w:rFonts w:ascii="Arial" w:hAnsi="Arial" w:cs="Arial"/>
          <w:sz w:val="24"/>
          <w:szCs w:val="24"/>
        </w:rPr>
        <w:t xml:space="preserve"> have</w:t>
      </w:r>
      <w:r w:rsidRPr="000A6237">
        <w:rPr>
          <w:rFonts w:ascii="Arial" w:hAnsi="Arial" w:cs="Arial"/>
          <w:sz w:val="24"/>
          <w:szCs w:val="24"/>
        </w:rPr>
        <w:t xml:space="preserve"> begun to systematically map the extent, range, and nature of existing literature on the topic</w:t>
      </w:r>
      <w:r w:rsidR="00E527ED">
        <w:rPr>
          <w:rFonts w:ascii="Arial" w:hAnsi="Arial" w:cs="Arial"/>
          <w:sz w:val="24"/>
          <w:szCs w:val="24"/>
        </w:rPr>
        <w:t>s</w:t>
      </w:r>
      <w:r w:rsidRPr="000A6237">
        <w:rPr>
          <w:rFonts w:ascii="Arial" w:hAnsi="Arial" w:cs="Arial"/>
          <w:sz w:val="24"/>
          <w:szCs w:val="24"/>
        </w:rPr>
        <w:t xml:space="preserve">. This process </w:t>
      </w:r>
      <w:r>
        <w:rPr>
          <w:rFonts w:ascii="Arial" w:hAnsi="Arial" w:cs="Arial"/>
          <w:sz w:val="24"/>
          <w:szCs w:val="24"/>
        </w:rPr>
        <w:t xml:space="preserve">will </w:t>
      </w:r>
      <w:r w:rsidRPr="000A6237">
        <w:rPr>
          <w:rFonts w:ascii="Arial" w:hAnsi="Arial" w:cs="Arial"/>
          <w:sz w:val="24"/>
          <w:szCs w:val="24"/>
        </w:rPr>
        <w:t>also involve identifying potential gaps in the current research, thereby contributing to a more nuanced understanding of the subject matter</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{"citationID":"4Mskw294","properties":{"formattedCitation":"(Peters {\\i{}et al.}, 2015)","plainCitation":"(Peters et al., 2015)","noteIndex":0},"citationItems":[{"id":874,"uris":["http://zotero.org/users/local/hN5mtYaY/items/3ZIWN7HB"],"itemData":{"id":874,"type":"article-journal","abstract":"Reviews of primary research are becoming more common as evidence-based practice gains recognition as the benchmark for care, and the number of, and access to, primary research sources has grown. One of the newer review types is the 'scoping review'. In general, scoping reviews are commonly used for 'reconnaissance' - to clarify working definitions and conceptual boundaries of a topic or field. Scoping reviews are therefore particularly useful when a body of literature has not yet been comprehensively reviewed, or exhibits a complex or heterogeneous nature not amenable to a more precise systematic review of the evidence. While scoping reviews may be conducted to determine the value and probable scope of a full systematic review, they may also be undertaken as exercises in and of themselves to summarize and disseminate research findings, to identify research gaps, and to make recommendations for the future research. This article briefly introduces the reader to scoping reviews, how they are different to systematic reviews, and why they might be conducted. The methodology and guidance for the conduct of systematic scoping reviews outlined below was developed by members of the Joanna Briggs Institute and members of five Joanna Briggs Collaborating Centres.","container-title":"International Journal of Evidence-Based Healthcare","DOI":"10.1097/XEB.0000000000000050","ISSN":"1744-1609","issue":"3","journalAbbreviation":"Int J Evid Based Healthc","language":"eng","note":"PMID: 26134548","page":"141-146","source":"PubMed","title":"Guidance for conducting systematic scoping reviews","volume":"13","author":[{"family":"Peters","given":"Micah D. J."},{"family":"Godfrey","given":"Christina M."},{"family":"Khalil","given":"Hanan"},{"family":"McInerney","given":"Patricia"},{"family":"Parker","given":"Deborah"},{"family":"Soares","given":"Cassia Baldini"}],"issued":{"date-parts":[["2015",9]]}}}],"schema":"https://github.com/citation-style-language/schema/raw/master/csl-citation.json"} </w:instrText>
      </w:r>
      <w:r>
        <w:rPr>
          <w:rFonts w:ascii="Arial" w:hAnsi="Arial" w:cs="Arial"/>
          <w:sz w:val="24"/>
          <w:szCs w:val="24"/>
        </w:rPr>
        <w:fldChar w:fldCharType="separate"/>
      </w:r>
      <w:r w:rsidRPr="00263B68">
        <w:rPr>
          <w:rFonts w:ascii="Arial" w:hAnsi="Arial" w:cs="Arial"/>
          <w:sz w:val="24"/>
          <w:szCs w:val="24"/>
        </w:rPr>
        <w:t xml:space="preserve">(Peters </w:t>
      </w:r>
      <w:r w:rsidRPr="00263B68">
        <w:rPr>
          <w:rFonts w:ascii="Arial" w:hAnsi="Arial" w:cs="Arial"/>
          <w:i/>
          <w:iCs/>
          <w:sz w:val="24"/>
          <w:szCs w:val="24"/>
        </w:rPr>
        <w:t>et al.</w:t>
      </w:r>
      <w:r w:rsidRPr="00263B68">
        <w:rPr>
          <w:rFonts w:ascii="Arial" w:hAnsi="Arial" w:cs="Arial"/>
          <w:sz w:val="24"/>
          <w:szCs w:val="24"/>
        </w:rPr>
        <w:t>, 2015)</w:t>
      </w:r>
      <w:r>
        <w:rPr>
          <w:rFonts w:ascii="Arial" w:hAnsi="Arial" w:cs="Arial"/>
          <w:sz w:val="24"/>
          <w:szCs w:val="24"/>
        </w:rPr>
        <w:fldChar w:fldCharType="end"/>
      </w:r>
      <w:r>
        <w:rPr>
          <w:rFonts w:ascii="Arial" w:hAnsi="Arial" w:cs="Arial"/>
          <w:sz w:val="24"/>
          <w:szCs w:val="24"/>
        </w:rPr>
        <w:t>.</w:t>
      </w:r>
    </w:p>
    <w:p w14:paraId="2BBA5309" w14:textId="77777777" w:rsidR="00153925" w:rsidRPr="00333158" w:rsidRDefault="00153925" w:rsidP="00153925">
      <w:pPr>
        <w:spacing w:line="360" w:lineRule="auto"/>
        <w:jc w:val="both"/>
        <w:rPr>
          <w:rFonts w:ascii="Arial" w:hAnsi="Arial" w:cs="Arial"/>
          <w:color w:val="FF0000"/>
          <w:sz w:val="24"/>
          <w:szCs w:val="24"/>
        </w:rPr>
      </w:pPr>
    </w:p>
    <w:p w14:paraId="26104B93" w14:textId="77777777" w:rsidR="00153925" w:rsidRPr="001B360A" w:rsidRDefault="00153925" w:rsidP="00153925">
      <w:pPr>
        <w:spacing w:line="360" w:lineRule="auto"/>
        <w:jc w:val="both"/>
        <w:rPr>
          <w:rFonts w:ascii="Arial" w:hAnsi="Arial" w:cs="Arial"/>
          <w:sz w:val="24"/>
          <w:szCs w:val="24"/>
          <w:u w:val="single"/>
        </w:rPr>
      </w:pPr>
      <w:r w:rsidRPr="001B360A">
        <w:rPr>
          <w:rFonts w:ascii="Arial" w:hAnsi="Arial" w:cs="Arial"/>
          <w:sz w:val="24"/>
          <w:szCs w:val="24"/>
          <w:u w:val="single"/>
        </w:rPr>
        <w:t>Literature identification</w:t>
      </w:r>
    </w:p>
    <w:p w14:paraId="5A300EEF" w14:textId="77777777" w:rsidR="00153925" w:rsidRDefault="00153925" w:rsidP="00153925">
      <w:pPr>
        <w:spacing w:line="360" w:lineRule="auto"/>
        <w:jc w:val="both"/>
        <w:rPr>
          <w:rFonts w:ascii="Arial" w:hAnsi="Arial" w:cs="Arial"/>
          <w:sz w:val="24"/>
          <w:szCs w:val="24"/>
        </w:rPr>
      </w:pPr>
      <w:r w:rsidRPr="00FF3161">
        <w:rPr>
          <w:rFonts w:ascii="Arial" w:hAnsi="Arial" w:cs="Arial"/>
          <w:sz w:val="24"/>
          <w:szCs w:val="24"/>
        </w:rPr>
        <w:t>Using</w:t>
      </w:r>
      <w:r w:rsidRPr="00C476C1">
        <w:rPr>
          <w:rFonts w:ascii="Arial" w:hAnsi="Arial" w:cs="Arial"/>
          <w:sz w:val="24"/>
          <w:szCs w:val="24"/>
        </w:rPr>
        <w:t xml:space="preserve"> the online library of University of Wales Trinity St. David (UWTSD)</w:t>
      </w:r>
      <w:r>
        <w:rPr>
          <w:rFonts w:ascii="Arial" w:hAnsi="Arial" w:cs="Arial"/>
          <w:sz w:val="24"/>
          <w:szCs w:val="24"/>
        </w:rPr>
        <w:t>, I have searched “Music Performance Anxiety</w:t>
      </w:r>
      <w:r w:rsidR="00E527ED">
        <w:rPr>
          <w:rFonts w:ascii="Arial" w:hAnsi="Arial" w:cs="Arial"/>
          <w:sz w:val="24"/>
          <w:szCs w:val="24"/>
        </w:rPr>
        <w:t xml:space="preserve"> Coping Strategies</w:t>
      </w:r>
      <w:r>
        <w:rPr>
          <w:rFonts w:ascii="Arial" w:hAnsi="Arial" w:cs="Arial"/>
          <w:sz w:val="24"/>
          <w:szCs w:val="24"/>
        </w:rPr>
        <w:t xml:space="preserve">” with </w:t>
      </w:r>
      <w:r w:rsidR="00F17607">
        <w:rPr>
          <w:rFonts w:ascii="Arial" w:hAnsi="Arial" w:cs="Arial"/>
          <w:sz w:val="24"/>
          <w:szCs w:val="24"/>
        </w:rPr>
        <w:t>73</w:t>
      </w:r>
      <w:r>
        <w:rPr>
          <w:rFonts w:ascii="Arial" w:hAnsi="Arial" w:cs="Arial"/>
          <w:sz w:val="24"/>
          <w:szCs w:val="24"/>
        </w:rPr>
        <w:t xml:space="preserve"> results </w:t>
      </w:r>
      <w:r w:rsidRPr="00E60FB1">
        <w:rPr>
          <w:rFonts w:ascii="Arial" w:hAnsi="Arial" w:cs="Arial"/>
          <w:sz w:val="24"/>
          <w:szCs w:val="24"/>
        </w:rPr>
        <w:t xml:space="preserve">reduced to </w:t>
      </w:r>
      <w:r w:rsidR="00F17607">
        <w:rPr>
          <w:rFonts w:ascii="Arial" w:hAnsi="Arial" w:cs="Arial"/>
          <w:sz w:val="24"/>
          <w:szCs w:val="24"/>
        </w:rPr>
        <w:t>66</w:t>
      </w:r>
      <w:r>
        <w:rPr>
          <w:rFonts w:ascii="Arial" w:hAnsi="Arial" w:cs="Arial"/>
          <w:sz w:val="24"/>
          <w:szCs w:val="24"/>
        </w:rPr>
        <w:t xml:space="preserve"> </w:t>
      </w:r>
      <w:r w:rsidRPr="00E60FB1">
        <w:rPr>
          <w:rFonts w:ascii="Arial" w:hAnsi="Arial" w:cs="Arial"/>
          <w:sz w:val="24"/>
          <w:szCs w:val="24"/>
        </w:rPr>
        <w:t>by filtering for only peer-reviewed articles</w:t>
      </w:r>
      <w:r>
        <w:rPr>
          <w:rFonts w:ascii="Arial" w:hAnsi="Arial" w:cs="Arial"/>
          <w:sz w:val="24"/>
          <w:szCs w:val="24"/>
        </w:rPr>
        <w:t xml:space="preserve">. </w:t>
      </w:r>
      <w:r w:rsidRPr="00BA4873">
        <w:rPr>
          <w:rFonts w:ascii="Arial" w:hAnsi="Arial" w:cs="Arial"/>
          <w:sz w:val="24"/>
          <w:szCs w:val="24"/>
        </w:rPr>
        <w:t xml:space="preserve">I </w:t>
      </w:r>
      <w:r>
        <w:rPr>
          <w:rFonts w:ascii="Arial" w:hAnsi="Arial" w:cs="Arial"/>
          <w:sz w:val="24"/>
          <w:szCs w:val="24"/>
        </w:rPr>
        <w:t xml:space="preserve">have </w:t>
      </w:r>
      <w:r w:rsidRPr="00BA4873">
        <w:rPr>
          <w:rFonts w:ascii="Arial" w:hAnsi="Arial" w:cs="Arial"/>
          <w:sz w:val="24"/>
          <w:szCs w:val="24"/>
        </w:rPr>
        <w:t>reviewed the titles of each one to assess their relevance to the research topic</w:t>
      </w:r>
      <w:r w:rsidR="00006CA9">
        <w:rPr>
          <w:rFonts w:ascii="Arial" w:hAnsi="Arial" w:cs="Arial"/>
          <w:sz w:val="24"/>
          <w:szCs w:val="24"/>
        </w:rPr>
        <w:t xml:space="preserve"> of my first question</w:t>
      </w:r>
      <w:r>
        <w:rPr>
          <w:rFonts w:ascii="Arial" w:hAnsi="Arial" w:cs="Arial"/>
          <w:sz w:val="24"/>
          <w:szCs w:val="24"/>
        </w:rPr>
        <w:t xml:space="preserve">. </w:t>
      </w:r>
    </w:p>
    <w:p w14:paraId="00B9BA13" w14:textId="77777777" w:rsidR="00153925" w:rsidRDefault="00153925" w:rsidP="00153925">
      <w:pPr>
        <w:spacing w:line="360" w:lineRule="auto"/>
        <w:jc w:val="both"/>
        <w:rPr>
          <w:rFonts w:ascii="Arial" w:hAnsi="Arial" w:cs="Arial"/>
          <w:sz w:val="24"/>
          <w:szCs w:val="24"/>
        </w:rPr>
      </w:pPr>
      <w:r w:rsidRPr="004823C5">
        <w:rPr>
          <w:rFonts w:ascii="Arial" w:hAnsi="Arial" w:cs="Arial"/>
          <w:sz w:val="24"/>
          <w:szCs w:val="24"/>
        </w:rPr>
        <w:t xml:space="preserve">To enhance the efficiency and accuracy of the search process and minimize irrelevant results, Boolean filters </w:t>
      </w:r>
      <w:r>
        <w:rPr>
          <w:rFonts w:ascii="Arial" w:hAnsi="Arial" w:cs="Arial"/>
          <w:sz w:val="24"/>
          <w:szCs w:val="24"/>
        </w:rPr>
        <w:t>have been</w:t>
      </w:r>
      <w:r w:rsidRPr="004823C5">
        <w:rPr>
          <w:rFonts w:ascii="Arial" w:hAnsi="Arial" w:cs="Arial"/>
          <w:sz w:val="24"/>
          <w:szCs w:val="24"/>
        </w:rPr>
        <w:t xml:space="preserve"> applied </w:t>
      </w:r>
      <w:r>
        <w:rPr>
          <w:rFonts w:ascii="Arial" w:hAnsi="Arial" w:cs="Arial"/>
          <w:sz w:val="24"/>
          <w:szCs w:val="24"/>
        </w:rPr>
        <w:fldChar w:fldCharType="begin"/>
      </w:r>
      <w:r>
        <w:rPr>
          <w:rFonts w:ascii="Arial" w:hAnsi="Arial" w:cs="Arial"/>
          <w:sz w:val="24"/>
          <w:szCs w:val="24"/>
        </w:rPr>
        <w:instrText xml:space="preserve"> ADDIN ZOTERO_ITEM CSL_CITATION {"citationID":"NSuHWEes","properties":{"formattedCitation":"(MacFarlane, Russell-Rose and Shokraneh, 2022)","plainCitation":"(MacFarlane, Russell-Rose and Shokraneh, 2022)","noteIndex":0},"citationItems":[{"id":902,"uris":["http://zotero.org/users/local/hN5mtYaY/items/TGN4U9UB"],"itemData":{"id":902,"type":"article-journal","abstract":"Systematic literature reviews play a vital role in identifying the best available evidence for health and social care research, policy, and practice. The resources required to produce systematic reviews can be significant, and a key to the success of any review is the search strategy used to identify relevant literature. However, the methods used to construct search strategies can be complex, time consuming, resource intensive and error prone. In this review, we examine the state of the art in resolving complex structured information needs, focusing primarily on the healthcare context. We analyse the literature to identify key challenges and issues and explore appropriate solutions and workarounds. From this analysis we propose a way forward to facilitate trust and to aid explainability and transparency, reproducibility and replicability through a set of key design principles for tools to support the development of search strategies in systematic literature reviews.","container-title":"Intelligent Systems with Applications","DOI":"10.1016/j.iswa.2022.200091","ISSN":"2667-3053","journalAbbreviation":"Intelligent Systems with Applications","page":"200091","source":"ScienceDirect","title":"Search strategy formulation for systematic reviews: Issues, challenges and opportunities","title-short":"Search strategy formulation for systematic reviews","volume":"15","author":[{"family":"MacFarlane","given":"Andrew"},{"family":"Russell-Rose","given":"Tony"},{"family":"Shokraneh","given":"Farhad"}],"issued":{"date-parts":[["2022",9,1]]}}}],"schema":"https://github.com/citation-style-language/schema/raw/master/csl-citation.json"} </w:instrText>
      </w:r>
      <w:r>
        <w:rPr>
          <w:rFonts w:ascii="Arial" w:hAnsi="Arial" w:cs="Arial"/>
          <w:sz w:val="24"/>
          <w:szCs w:val="24"/>
        </w:rPr>
        <w:fldChar w:fldCharType="separate"/>
      </w:r>
      <w:r w:rsidRPr="004823C5">
        <w:rPr>
          <w:rFonts w:ascii="Arial" w:hAnsi="Arial" w:cs="Arial"/>
          <w:sz w:val="24"/>
        </w:rPr>
        <w:t>(MacFarlane, Russell-Rose and Shokraneh, 2022)</w:t>
      </w:r>
      <w:r>
        <w:rPr>
          <w:rFonts w:ascii="Arial" w:hAnsi="Arial" w:cs="Arial"/>
          <w:sz w:val="24"/>
          <w:szCs w:val="24"/>
        </w:rPr>
        <w:fldChar w:fldCharType="end"/>
      </w:r>
      <w:r w:rsidRPr="004823C5">
        <w:rPr>
          <w:rFonts w:ascii="Arial" w:hAnsi="Arial" w:cs="Arial"/>
          <w:sz w:val="24"/>
          <w:szCs w:val="24"/>
        </w:rPr>
        <w:t xml:space="preserve">. To narrow the scope of my research, I initially </w:t>
      </w:r>
      <w:r>
        <w:rPr>
          <w:rFonts w:ascii="Arial" w:hAnsi="Arial" w:cs="Arial"/>
          <w:sz w:val="24"/>
          <w:szCs w:val="24"/>
        </w:rPr>
        <w:t xml:space="preserve">have </w:t>
      </w:r>
      <w:r w:rsidRPr="004823C5">
        <w:rPr>
          <w:rFonts w:ascii="Arial" w:hAnsi="Arial" w:cs="Arial"/>
          <w:sz w:val="24"/>
          <w:szCs w:val="24"/>
        </w:rPr>
        <w:t>incorporated the Boolean filter</w:t>
      </w:r>
      <w:r w:rsidR="00860228">
        <w:rPr>
          <w:rFonts w:ascii="Arial" w:hAnsi="Arial" w:cs="Arial"/>
          <w:sz w:val="24"/>
          <w:szCs w:val="24"/>
        </w:rPr>
        <w:t xml:space="preserve"> “in education” (41 results) </w:t>
      </w:r>
      <w:proofErr w:type="gramStart"/>
      <w:r w:rsidR="00860228">
        <w:rPr>
          <w:rFonts w:ascii="Arial" w:hAnsi="Arial" w:cs="Arial"/>
          <w:sz w:val="24"/>
          <w:szCs w:val="24"/>
        </w:rPr>
        <w:t>and also</w:t>
      </w:r>
      <w:proofErr w:type="gramEnd"/>
      <w:r w:rsidRPr="004823C5">
        <w:rPr>
          <w:rFonts w:ascii="Arial" w:hAnsi="Arial" w:cs="Arial"/>
          <w:sz w:val="24"/>
          <w:szCs w:val="24"/>
        </w:rPr>
        <w:t xml:space="preserve"> "</w:t>
      </w:r>
      <w:r w:rsidR="00860228">
        <w:rPr>
          <w:rFonts w:ascii="Arial" w:hAnsi="Arial" w:cs="Arial"/>
          <w:sz w:val="24"/>
          <w:szCs w:val="24"/>
        </w:rPr>
        <w:t>by teachers</w:t>
      </w:r>
      <w:r w:rsidRPr="004823C5">
        <w:rPr>
          <w:rFonts w:ascii="Arial" w:hAnsi="Arial" w:cs="Arial"/>
          <w:sz w:val="24"/>
          <w:szCs w:val="24"/>
        </w:rPr>
        <w:t xml:space="preserve">" </w:t>
      </w:r>
      <w:r w:rsidR="00860228">
        <w:rPr>
          <w:rFonts w:ascii="Arial" w:hAnsi="Arial" w:cs="Arial"/>
          <w:sz w:val="24"/>
          <w:szCs w:val="24"/>
        </w:rPr>
        <w:lastRenderedPageBreak/>
        <w:t xml:space="preserve">(21 results) </w:t>
      </w:r>
      <w:r w:rsidRPr="004823C5">
        <w:rPr>
          <w:rFonts w:ascii="Arial" w:hAnsi="Arial" w:cs="Arial"/>
          <w:sz w:val="24"/>
          <w:szCs w:val="24"/>
        </w:rPr>
        <w:t>into my search</w:t>
      </w:r>
      <w:r>
        <w:rPr>
          <w:rFonts w:ascii="Arial" w:hAnsi="Arial" w:cs="Arial"/>
          <w:sz w:val="24"/>
          <w:szCs w:val="24"/>
        </w:rPr>
        <w:t xml:space="preserve">, </w:t>
      </w:r>
      <w:r w:rsidRPr="004823C5">
        <w:rPr>
          <w:rFonts w:ascii="Arial" w:hAnsi="Arial" w:cs="Arial"/>
          <w:sz w:val="24"/>
          <w:szCs w:val="24"/>
        </w:rPr>
        <w:t xml:space="preserve">which proved more effective, producing peer-reviewed articles directly relating </w:t>
      </w:r>
      <w:r w:rsidR="00860228">
        <w:rPr>
          <w:rFonts w:ascii="Arial" w:hAnsi="Arial" w:cs="Arial"/>
          <w:sz w:val="24"/>
          <w:szCs w:val="24"/>
        </w:rPr>
        <w:t>MPA Coping Strategies in educational environments</w:t>
      </w:r>
      <w:r w:rsidRPr="004823C5">
        <w:rPr>
          <w:rFonts w:ascii="Arial" w:hAnsi="Arial" w:cs="Arial"/>
          <w:sz w:val="24"/>
          <w:szCs w:val="24"/>
        </w:rPr>
        <w:t xml:space="preserve">. From these results, only the most relevant articles </w:t>
      </w:r>
      <w:r>
        <w:rPr>
          <w:rFonts w:ascii="Arial" w:hAnsi="Arial" w:cs="Arial"/>
          <w:sz w:val="24"/>
          <w:szCs w:val="24"/>
        </w:rPr>
        <w:t>have been</w:t>
      </w:r>
      <w:r w:rsidRPr="004823C5">
        <w:rPr>
          <w:rFonts w:ascii="Arial" w:hAnsi="Arial" w:cs="Arial"/>
          <w:sz w:val="24"/>
          <w:szCs w:val="24"/>
        </w:rPr>
        <w:t xml:space="preserve"> selected based on a review of their titles and abstracts.</w:t>
      </w:r>
      <w:r w:rsidR="00860228">
        <w:rPr>
          <w:rFonts w:ascii="Arial" w:hAnsi="Arial" w:cs="Arial"/>
          <w:sz w:val="24"/>
          <w:szCs w:val="24"/>
        </w:rPr>
        <w:t xml:space="preserve"> </w:t>
      </w:r>
    </w:p>
    <w:p w14:paraId="702416CF" w14:textId="77777777" w:rsidR="007913D8" w:rsidRDefault="00153925" w:rsidP="00153925">
      <w:pPr>
        <w:spacing w:line="360" w:lineRule="auto"/>
        <w:jc w:val="both"/>
        <w:rPr>
          <w:rFonts w:ascii="Arial" w:hAnsi="Arial" w:cs="Arial"/>
          <w:sz w:val="24"/>
          <w:szCs w:val="24"/>
        </w:rPr>
      </w:pPr>
      <w:r>
        <w:rPr>
          <w:rFonts w:ascii="Arial" w:hAnsi="Arial" w:cs="Arial"/>
          <w:sz w:val="24"/>
          <w:szCs w:val="24"/>
        </w:rPr>
        <w:t>Google Scholar</w:t>
      </w:r>
      <w:r w:rsidR="00E527ED">
        <w:rPr>
          <w:rFonts w:ascii="Arial" w:hAnsi="Arial" w:cs="Arial"/>
          <w:sz w:val="24"/>
          <w:szCs w:val="24"/>
        </w:rPr>
        <w:t xml:space="preserve"> and the platform Elicit</w:t>
      </w:r>
      <w:r>
        <w:rPr>
          <w:rFonts w:ascii="Arial" w:hAnsi="Arial" w:cs="Arial"/>
          <w:sz w:val="24"/>
          <w:szCs w:val="24"/>
        </w:rPr>
        <w:t xml:space="preserve"> has also been used to search </w:t>
      </w:r>
      <w:r w:rsidR="00E527ED">
        <w:rPr>
          <w:rFonts w:ascii="Arial" w:hAnsi="Arial" w:cs="Arial"/>
          <w:sz w:val="24"/>
          <w:szCs w:val="24"/>
        </w:rPr>
        <w:t>my questions and gather more relevant studies</w:t>
      </w:r>
      <w:r>
        <w:rPr>
          <w:rFonts w:ascii="Arial" w:hAnsi="Arial" w:cs="Arial"/>
          <w:sz w:val="24"/>
          <w:szCs w:val="24"/>
        </w:rPr>
        <w:t xml:space="preserve"> which has led me to some more useful articles</w:t>
      </w:r>
      <w:r w:rsidR="006B4172">
        <w:rPr>
          <w:rFonts w:ascii="Arial" w:hAnsi="Arial" w:cs="Arial"/>
          <w:sz w:val="24"/>
          <w:szCs w:val="24"/>
        </w:rPr>
        <w:t xml:space="preserve">, </w:t>
      </w:r>
      <w:r>
        <w:rPr>
          <w:rFonts w:ascii="Arial" w:hAnsi="Arial" w:cs="Arial"/>
          <w:sz w:val="24"/>
          <w:szCs w:val="24"/>
        </w:rPr>
        <w:t xml:space="preserve">books and other online libraries such as </w:t>
      </w:r>
      <w:proofErr w:type="spellStart"/>
      <w:r>
        <w:rPr>
          <w:rFonts w:ascii="Arial" w:hAnsi="Arial" w:cs="Arial"/>
          <w:sz w:val="24"/>
          <w:szCs w:val="24"/>
        </w:rPr>
        <w:t>Jstor</w:t>
      </w:r>
      <w:proofErr w:type="spellEnd"/>
      <w:r>
        <w:rPr>
          <w:rFonts w:ascii="Arial" w:hAnsi="Arial" w:cs="Arial"/>
          <w:sz w:val="24"/>
          <w:szCs w:val="24"/>
        </w:rPr>
        <w:t xml:space="preserve">, PubMed, ScienceDirect, ResearchGate and Sage </w:t>
      </w:r>
      <w:r w:rsidR="00FE6C81">
        <w:rPr>
          <w:rFonts w:ascii="Arial" w:hAnsi="Arial" w:cs="Arial"/>
          <w:sz w:val="24"/>
          <w:szCs w:val="24"/>
        </w:rPr>
        <w:t>Journals</w:t>
      </w:r>
      <w:r>
        <w:rPr>
          <w:rFonts w:ascii="Arial" w:hAnsi="Arial" w:cs="Arial"/>
          <w:sz w:val="24"/>
          <w:szCs w:val="24"/>
        </w:rPr>
        <w:t>.</w:t>
      </w:r>
    </w:p>
    <w:p w14:paraId="338BEDF9" w14:textId="77777777" w:rsidR="007913D8" w:rsidRDefault="007913D8" w:rsidP="00153925">
      <w:pPr>
        <w:spacing w:line="360" w:lineRule="auto"/>
        <w:jc w:val="both"/>
        <w:rPr>
          <w:rFonts w:ascii="Arial" w:hAnsi="Arial" w:cs="Arial"/>
          <w:sz w:val="24"/>
          <w:szCs w:val="24"/>
        </w:rPr>
      </w:pPr>
      <w:r>
        <w:rPr>
          <w:rFonts w:ascii="Arial" w:hAnsi="Arial" w:cs="Arial"/>
          <w:sz w:val="24"/>
          <w:szCs w:val="24"/>
        </w:rPr>
        <w:t xml:space="preserve">To explore my second question, the results were more scars. Google Scholar and Elicit were fundamental to encounter research articles that were aligned with my question. </w:t>
      </w:r>
    </w:p>
    <w:p w14:paraId="1A3548B2" w14:textId="77777777" w:rsidR="00102513" w:rsidRPr="00102513" w:rsidRDefault="00DB032D" w:rsidP="00C0719C">
      <w:pPr>
        <w:spacing w:line="360" w:lineRule="auto"/>
        <w:jc w:val="both"/>
        <w:rPr>
          <w:rFonts w:ascii="Arial" w:hAnsi="Arial" w:cs="Arial"/>
          <w:sz w:val="24"/>
          <w:szCs w:val="24"/>
        </w:rPr>
      </w:pPr>
      <w:r w:rsidRPr="00DB032D">
        <w:rPr>
          <w:rFonts w:ascii="Arial" w:hAnsi="Arial" w:cs="Arial"/>
          <w:sz w:val="24"/>
          <w:szCs w:val="24"/>
        </w:rPr>
        <w:t>Utilizing Elicit to formulate my research question facilitated the identification and retrieval of scholarly articles that are directly relevant to the focus of my study.</w:t>
      </w:r>
      <w:r w:rsidR="00006CA9">
        <w:rPr>
          <w:rFonts w:ascii="Arial" w:hAnsi="Arial" w:cs="Arial"/>
          <w:sz w:val="24"/>
          <w:szCs w:val="24"/>
        </w:rPr>
        <w:t xml:space="preserve"> </w:t>
      </w:r>
      <w:r>
        <w:rPr>
          <w:rFonts w:ascii="Arial" w:hAnsi="Arial" w:cs="Arial"/>
          <w:sz w:val="24"/>
          <w:szCs w:val="24"/>
        </w:rPr>
        <w:t>The questions “</w:t>
      </w:r>
      <w:r w:rsidR="00102513" w:rsidRPr="00006CA9">
        <w:rPr>
          <w:rFonts w:ascii="Arial" w:hAnsi="Arial" w:cs="Arial"/>
          <w:i/>
          <w:iCs/>
          <w:sz w:val="24"/>
          <w:szCs w:val="24"/>
        </w:rPr>
        <w:t xml:space="preserve">How do funding structures and economic conditions impact the sustainability </w:t>
      </w:r>
      <w:r w:rsidR="00006CA9" w:rsidRPr="00006CA9">
        <w:rPr>
          <w:rFonts w:ascii="Arial" w:hAnsi="Arial" w:cs="Arial"/>
          <w:i/>
          <w:iCs/>
          <w:sz w:val="24"/>
          <w:szCs w:val="24"/>
        </w:rPr>
        <w:t>of</w:t>
      </w:r>
      <w:r w:rsidR="00102513" w:rsidRPr="00006CA9">
        <w:rPr>
          <w:rFonts w:ascii="Arial" w:hAnsi="Arial" w:cs="Arial"/>
          <w:i/>
          <w:iCs/>
          <w:sz w:val="24"/>
          <w:szCs w:val="24"/>
        </w:rPr>
        <w:t xml:space="preserve"> performing arts and musical theatre in Portugal?</w:t>
      </w:r>
      <w:r w:rsidRPr="00006CA9">
        <w:rPr>
          <w:rFonts w:ascii="Arial" w:hAnsi="Arial" w:cs="Arial"/>
          <w:i/>
          <w:iCs/>
          <w:sz w:val="24"/>
          <w:szCs w:val="24"/>
        </w:rPr>
        <w:t>”</w:t>
      </w:r>
      <w:r>
        <w:rPr>
          <w:rFonts w:ascii="Arial" w:hAnsi="Arial" w:cs="Arial"/>
          <w:sz w:val="24"/>
          <w:szCs w:val="24"/>
        </w:rPr>
        <w:t xml:space="preserve"> and “</w:t>
      </w:r>
      <w:r w:rsidR="00102513" w:rsidRPr="00006CA9">
        <w:rPr>
          <w:rFonts w:ascii="Arial" w:hAnsi="Arial" w:cs="Arial"/>
          <w:i/>
          <w:iCs/>
          <w:sz w:val="24"/>
          <w:szCs w:val="24"/>
        </w:rPr>
        <w:t>How do different artistic disciplines in Portugal experience professional precarity and economic constraints in the contemporary cultural landscape?</w:t>
      </w:r>
      <w:r>
        <w:rPr>
          <w:rFonts w:ascii="Arial" w:hAnsi="Arial" w:cs="Arial"/>
          <w:sz w:val="24"/>
          <w:szCs w:val="24"/>
        </w:rPr>
        <w:t>”</w:t>
      </w:r>
      <w:r w:rsidR="00006CA9">
        <w:rPr>
          <w:rFonts w:ascii="Arial" w:hAnsi="Arial" w:cs="Arial"/>
          <w:sz w:val="24"/>
          <w:szCs w:val="24"/>
        </w:rPr>
        <w:t xml:space="preserve"> revealed</w:t>
      </w:r>
      <w:r w:rsidR="00102513" w:rsidRPr="00102513">
        <w:rPr>
          <w:rFonts w:ascii="Arial" w:hAnsi="Arial" w:cs="Arial"/>
          <w:sz w:val="24"/>
          <w:szCs w:val="24"/>
        </w:rPr>
        <w:t xml:space="preserve"> 6 relevant articles</w:t>
      </w:r>
      <w:r w:rsidR="000F6D78">
        <w:rPr>
          <w:rFonts w:ascii="Arial" w:hAnsi="Arial" w:cs="Arial"/>
          <w:sz w:val="24"/>
          <w:szCs w:val="24"/>
        </w:rPr>
        <w:t>.</w:t>
      </w:r>
      <w:r w:rsidR="00102513" w:rsidRPr="00102513">
        <w:rPr>
          <w:rFonts w:ascii="Arial" w:hAnsi="Arial" w:cs="Arial"/>
          <w:sz w:val="24"/>
          <w:szCs w:val="24"/>
        </w:rPr>
        <w:t xml:space="preserve"> </w:t>
      </w:r>
    </w:p>
    <w:p w14:paraId="093282F9" w14:textId="77777777" w:rsidR="00102513" w:rsidRDefault="00102513" w:rsidP="00C0719C">
      <w:pPr>
        <w:spacing w:line="360" w:lineRule="auto"/>
        <w:jc w:val="both"/>
        <w:rPr>
          <w:rFonts w:ascii="Arial" w:hAnsi="Arial" w:cs="Arial"/>
          <w:sz w:val="24"/>
          <w:szCs w:val="24"/>
        </w:rPr>
      </w:pPr>
      <w:r w:rsidRPr="00102513">
        <w:rPr>
          <w:rFonts w:ascii="Arial" w:hAnsi="Arial" w:cs="Arial"/>
          <w:sz w:val="24"/>
          <w:szCs w:val="24"/>
        </w:rPr>
        <w:t>When searching the question “</w:t>
      </w:r>
      <w:r w:rsidRPr="00006CA9">
        <w:rPr>
          <w:rFonts w:ascii="Arial" w:hAnsi="Arial" w:cs="Arial"/>
          <w:i/>
          <w:iCs/>
          <w:sz w:val="24"/>
          <w:szCs w:val="24"/>
        </w:rPr>
        <w:t>What is the correlation between mental health problems and precarious working conditions among Portuguese performing artists?</w:t>
      </w:r>
      <w:r w:rsidRPr="00102513">
        <w:rPr>
          <w:rFonts w:ascii="Arial" w:hAnsi="Arial" w:cs="Arial"/>
          <w:sz w:val="24"/>
          <w:szCs w:val="24"/>
        </w:rPr>
        <w:t>” only 2 new relevant articles were found related to the topic of research.</w:t>
      </w:r>
    </w:p>
    <w:p w14:paraId="71D747AC" w14:textId="77777777" w:rsidR="000F6D78" w:rsidRDefault="000F6D78" w:rsidP="00C0719C">
      <w:pPr>
        <w:spacing w:line="360" w:lineRule="auto"/>
        <w:jc w:val="both"/>
        <w:rPr>
          <w:rFonts w:ascii="Arial" w:hAnsi="Arial" w:cs="Arial"/>
          <w:sz w:val="24"/>
          <w:szCs w:val="24"/>
        </w:rPr>
      </w:pPr>
      <w:r>
        <w:rPr>
          <w:rFonts w:ascii="Arial" w:hAnsi="Arial" w:cs="Arial"/>
          <w:sz w:val="24"/>
          <w:szCs w:val="24"/>
        </w:rPr>
        <w:t>And finally when researching</w:t>
      </w:r>
      <w:r w:rsidR="00102513">
        <w:rPr>
          <w:rFonts w:ascii="Arial" w:hAnsi="Arial" w:cs="Arial"/>
          <w:sz w:val="24"/>
          <w:szCs w:val="24"/>
        </w:rPr>
        <w:t xml:space="preserve"> question</w:t>
      </w:r>
      <w:r>
        <w:rPr>
          <w:rFonts w:ascii="Arial" w:hAnsi="Arial" w:cs="Arial"/>
          <w:sz w:val="24"/>
          <w:szCs w:val="24"/>
        </w:rPr>
        <w:t>s</w:t>
      </w:r>
      <w:r w:rsidR="00102513">
        <w:rPr>
          <w:rFonts w:ascii="Arial" w:hAnsi="Arial" w:cs="Arial"/>
          <w:sz w:val="24"/>
          <w:szCs w:val="24"/>
        </w:rPr>
        <w:t xml:space="preserve"> “</w:t>
      </w:r>
      <w:r w:rsidR="00102513" w:rsidRPr="00006CA9">
        <w:rPr>
          <w:rFonts w:ascii="Arial" w:hAnsi="Arial" w:cs="Arial"/>
          <w:i/>
          <w:iCs/>
          <w:sz w:val="24"/>
          <w:szCs w:val="24"/>
        </w:rPr>
        <w:t>How do Portuguese performers and singers manage music performance anxiety (MPA) in professional settings?</w:t>
      </w:r>
      <w:r w:rsidR="00102513">
        <w:rPr>
          <w:rFonts w:ascii="Arial" w:hAnsi="Arial" w:cs="Arial"/>
          <w:sz w:val="24"/>
          <w:szCs w:val="24"/>
        </w:rPr>
        <w:t>”</w:t>
      </w:r>
      <w:r>
        <w:rPr>
          <w:rFonts w:ascii="Arial" w:hAnsi="Arial" w:cs="Arial"/>
          <w:sz w:val="24"/>
          <w:szCs w:val="24"/>
        </w:rPr>
        <w:t>, “</w:t>
      </w:r>
      <w:r w:rsidRPr="00006CA9">
        <w:rPr>
          <w:rFonts w:ascii="Arial" w:hAnsi="Arial" w:cs="Arial"/>
          <w:i/>
          <w:iCs/>
          <w:sz w:val="24"/>
          <w:szCs w:val="24"/>
        </w:rPr>
        <w:t>To what extent do MPA coping strategies differ between Portuguese artistic education programs and international best practices in managing performance-related stress?”</w:t>
      </w:r>
      <w:r>
        <w:rPr>
          <w:rFonts w:ascii="Arial" w:hAnsi="Arial" w:cs="Arial"/>
          <w:sz w:val="24"/>
          <w:szCs w:val="24"/>
        </w:rPr>
        <w:t xml:space="preserve"> and “</w:t>
      </w:r>
      <w:r w:rsidRPr="00006CA9">
        <w:rPr>
          <w:rFonts w:ascii="Arial" w:hAnsi="Arial" w:cs="Arial"/>
          <w:i/>
          <w:iCs/>
          <w:sz w:val="24"/>
          <w:szCs w:val="24"/>
        </w:rPr>
        <w:t>How do MPA management strategies impact student performance, psychological well-being, and professional preparedness in performing arts education in Portugal?”</w:t>
      </w:r>
      <w:r>
        <w:rPr>
          <w:rFonts w:ascii="Arial" w:hAnsi="Arial" w:cs="Arial"/>
          <w:sz w:val="24"/>
          <w:szCs w:val="24"/>
        </w:rPr>
        <w:t xml:space="preserve"> revealed very useful resulting in finding 5 relevant articles.</w:t>
      </w:r>
    </w:p>
    <w:p w14:paraId="6AE57AAE" w14:textId="77777777" w:rsidR="000F6D78" w:rsidRPr="00102513" w:rsidRDefault="000F6D78" w:rsidP="00501A66">
      <w:pPr>
        <w:spacing w:line="360" w:lineRule="auto"/>
        <w:rPr>
          <w:rFonts w:ascii="Arial" w:hAnsi="Arial" w:cs="Arial"/>
          <w:sz w:val="24"/>
          <w:szCs w:val="24"/>
        </w:rPr>
      </w:pPr>
    </w:p>
    <w:p w14:paraId="00A06651" w14:textId="77777777" w:rsidR="00102513" w:rsidRPr="00014D08" w:rsidRDefault="00102513" w:rsidP="00501A66">
      <w:pPr>
        <w:spacing w:line="360" w:lineRule="auto"/>
        <w:rPr>
          <w:rFonts w:ascii="Arial" w:hAnsi="Arial" w:cs="Arial"/>
          <w:color w:val="FF0000"/>
          <w:sz w:val="24"/>
          <w:szCs w:val="24"/>
        </w:rPr>
      </w:pPr>
    </w:p>
    <w:p w14:paraId="2481E3B4" w14:textId="77777777" w:rsidR="00153925" w:rsidRDefault="00153925" w:rsidP="00153925">
      <w:pPr>
        <w:spacing w:line="360" w:lineRule="auto"/>
        <w:jc w:val="both"/>
        <w:rPr>
          <w:rFonts w:ascii="Arial" w:hAnsi="Arial" w:cs="Arial"/>
          <w:sz w:val="24"/>
          <w:szCs w:val="24"/>
          <w:u w:val="single"/>
        </w:rPr>
      </w:pPr>
    </w:p>
    <w:p w14:paraId="260945A9" w14:textId="77777777" w:rsidR="00153925" w:rsidRPr="00F72B32" w:rsidRDefault="00153925" w:rsidP="00153925">
      <w:pPr>
        <w:spacing w:line="360" w:lineRule="auto"/>
        <w:jc w:val="both"/>
        <w:rPr>
          <w:rFonts w:ascii="Arial" w:hAnsi="Arial" w:cs="Arial"/>
          <w:sz w:val="24"/>
          <w:szCs w:val="24"/>
          <w:u w:val="single"/>
        </w:rPr>
      </w:pPr>
      <w:r w:rsidRPr="00F72B32">
        <w:rPr>
          <w:rFonts w:ascii="Arial" w:hAnsi="Arial" w:cs="Arial"/>
          <w:sz w:val="24"/>
          <w:szCs w:val="24"/>
          <w:u w:val="single"/>
        </w:rPr>
        <w:t>Inclusion Criteria</w:t>
      </w:r>
      <w:r>
        <w:rPr>
          <w:rFonts w:ascii="Arial" w:hAnsi="Arial" w:cs="Arial"/>
          <w:sz w:val="24"/>
          <w:szCs w:val="24"/>
          <w:u w:val="single"/>
        </w:rPr>
        <w:t>, Document analysis and Chaining</w:t>
      </w:r>
    </w:p>
    <w:p w14:paraId="4CC23E7F" w14:textId="77777777" w:rsidR="00E134AA" w:rsidRPr="00E134AA" w:rsidRDefault="00E134AA" w:rsidP="00C0719C">
      <w:pPr>
        <w:spacing w:line="360" w:lineRule="auto"/>
        <w:jc w:val="both"/>
        <w:rPr>
          <w:rFonts w:ascii="Arial" w:hAnsi="Arial" w:cs="Arial"/>
          <w:sz w:val="24"/>
          <w:szCs w:val="24"/>
        </w:rPr>
      </w:pPr>
      <w:r w:rsidRPr="00E134AA">
        <w:rPr>
          <w:rFonts w:ascii="Arial" w:hAnsi="Arial" w:cs="Arial"/>
          <w:sz w:val="24"/>
          <w:szCs w:val="24"/>
        </w:rPr>
        <w:t>Establishing clear criteria for the inclusion of sources in a literature review is essential for ensuring methodological rigor</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{"citationID":"wwo50IJy","properties":{"formattedCitation":"(Micah D. J {\\i{}et al.}, 2015)","plainCitation":"(Micah D. J et al., 2015)","noteIndex":0},"citationItems":[{"id":618,"uris":["http://zotero.org/users/local/hN5mtYaY/items/IPPM5S4L"],"itemData":{"id":618,"type":"book","archive_location":"Australia","publisher":"The Joanna Briggs Institute","title":"Joanna Briggs Institute Reviewers’ Manual: 2015 edition / Supplement","author":[{"family":"Micah D. J","given":"Peters","suffix":""},{"family":"Godfrey","given":"Christina M"},{"family":"McInerney","given":"Patricia"},{"family":"Soares","given":"Cassia Baldini"},{"family":"Khalil","given":"Hanan"},{"family":"Parker","given":"Deborah"}],"issued":{"date-parts":[["2015"]]}}}],"schema":"https://github.com/citation-style-language/schema/raw/master/csl-citation.json"} </w:instrText>
      </w:r>
      <w:r>
        <w:rPr>
          <w:rFonts w:ascii="Arial" w:hAnsi="Arial" w:cs="Arial"/>
          <w:sz w:val="24"/>
          <w:szCs w:val="24"/>
        </w:rPr>
        <w:fldChar w:fldCharType="separate"/>
      </w:r>
      <w:r w:rsidRPr="00E134AA">
        <w:rPr>
          <w:rFonts w:ascii="Arial" w:hAnsi="Arial" w:cs="Arial"/>
          <w:sz w:val="24"/>
        </w:rPr>
        <w:t xml:space="preserve">(Micah D. J </w:t>
      </w:r>
      <w:r w:rsidRPr="00E134AA">
        <w:rPr>
          <w:rFonts w:ascii="Arial" w:hAnsi="Arial" w:cs="Arial"/>
          <w:i/>
          <w:iCs/>
          <w:sz w:val="24"/>
        </w:rPr>
        <w:t>et al.</w:t>
      </w:r>
      <w:r w:rsidRPr="00E134AA">
        <w:rPr>
          <w:rFonts w:ascii="Arial" w:hAnsi="Arial" w:cs="Arial"/>
          <w:sz w:val="24"/>
        </w:rPr>
        <w:t>, 2015)</w:t>
      </w:r>
      <w:r>
        <w:rPr>
          <w:rFonts w:ascii="Arial" w:hAnsi="Arial" w:cs="Arial"/>
          <w:sz w:val="24"/>
          <w:szCs w:val="24"/>
        </w:rPr>
        <w:fldChar w:fldCharType="end"/>
      </w:r>
      <w:r w:rsidRPr="00E134AA">
        <w:rPr>
          <w:rFonts w:ascii="Arial" w:hAnsi="Arial" w:cs="Arial"/>
          <w:sz w:val="24"/>
          <w:szCs w:val="24"/>
        </w:rPr>
        <w:t xml:space="preserve">. In this study, </w:t>
      </w:r>
      <w:r w:rsidR="009302AD">
        <w:rPr>
          <w:rFonts w:ascii="Arial" w:hAnsi="Arial" w:cs="Arial"/>
          <w:sz w:val="24"/>
          <w:szCs w:val="24"/>
        </w:rPr>
        <w:t>documents will be analyzed to clarify their relevance to the study</w:t>
      </w:r>
      <w:r w:rsidRPr="00E134AA">
        <w:rPr>
          <w:rFonts w:ascii="Arial" w:hAnsi="Arial" w:cs="Arial"/>
          <w:sz w:val="24"/>
          <w:szCs w:val="24"/>
        </w:rPr>
        <w:t>, as documents constitute the sole source of data. While relying exclusively on documentary sources can be limiting, it is often justified in interpretive research paradigms</w:t>
      </w:r>
      <w:r>
        <w:rPr>
          <w:rFonts w:ascii="Arial" w:hAnsi="Arial" w:cs="Arial"/>
          <w:sz w:val="24"/>
          <w:szCs w:val="24"/>
        </w:rPr>
        <w:t xml:space="preserve">, </w:t>
      </w:r>
      <w:r w:rsidRPr="00E134AA">
        <w:rPr>
          <w:rFonts w:ascii="Arial" w:hAnsi="Arial" w:cs="Arial"/>
          <w:sz w:val="24"/>
          <w:szCs w:val="24"/>
        </w:rPr>
        <w:t>such as hermeneutics</w:t>
      </w:r>
      <w:r>
        <w:rPr>
          <w:rFonts w:ascii="Arial" w:hAnsi="Arial" w:cs="Arial"/>
          <w:sz w:val="24"/>
          <w:szCs w:val="24"/>
        </w:rPr>
        <w:t xml:space="preserve">, </w:t>
      </w:r>
      <w:r w:rsidRPr="00E134AA">
        <w:rPr>
          <w:rFonts w:ascii="Arial" w:hAnsi="Arial" w:cs="Arial"/>
          <w:sz w:val="24"/>
          <w:szCs w:val="24"/>
        </w:rPr>
        <w:t>where the depth of textual interpretation is prioritized</w:t>
      </w:r>
      <w:r w:rsidR="00006CA9">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{"citationID":"SJRrAwfj","properties":{"formattedCitation":"(Bowen, 2009)","plainCitation":"(Bowen, 2009)","noteIndex":0},"citationItems":[{"id":601,"uris":["http://zotero.org/users/local/hN5mtYaY/items/SDJC9WTS"],"itemData":{"id":601,"type":"article-journal","abstract":"This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illustrated.","container-title":"Qualitative Research Journal","DOI":"10.3316/QRJ0902027","ISSN":"1443-9883","issue":"2","language":"en","license":"https://www.emerald.com/insight/site-policies","page":"27-40","source":"DOI.org (Crossref)","title":"Document Analysis as a Qualitative Research Method","volume":"9","author":[{"family":"Bowen","given":"Glenn A."}],"issued":{"date-parts":[["2009",8,3]]}}}],"schema":"https://github.com/citation-style-language/schema/raw/master/csl-citation.json"} </w:instrText>
      </w:r>
      <w:r>
        <w:rPr>
          <w:rFonts w:ascii="Arial" w:hAnsi="Arial" w:cs="Arial"/>
          <w:sz w:val="24"/>
          <w:szCs w:val="24"/>
        </w:rPr>
        <w:fldChar w:fldCharType="separate"/>
      </w:r>
      <w:r w:rsidRPr="00E134AA">
        <w:rPr>
          <w:rFonts w:ascii="Arial" w:hAnsi="Arial" w:cs="Arial"/>
          <w:sz w:val="24"/>
        </w:rPr>
        <w:t>(Bowen, 2009)</w:t>
      </w:r>
      <w:r>
        <w:rPr>
          <w:rFonts w:ascii="Arial" w:hAnsi="Arial" w:cs="Arial"/>
          <w:sz w:val="24"/>
          <w:szCs w:val="24"/>
        </w:rPr>
        <w:fldChar w:fldCharType="end"/>
      </w:r>
      <w:r>
        <w:rPr>
          <w:rFonts w:ascii="Arial" w:hAnsi="Arial" w:cs="Arial"/>
          <w:sz w:val="24"/>
          <w:szCs w:val="24"/>
        </w:rPr>
        <w:t>.</w:t>
      </w:r>
      <w:r w:rsidR="009302AD">
        <w:rPr>
          <w:rFonts w:ascii="Arial" w:hAnsi="Arial" w:cs="Arial"/>
          <w:sz w:val="24"/>
          <w:szCs w:val="24"/>
        </w:rPr>
        <w:t xml:space="preserve"> The</w:t>
      </w:r>
      <w:r w:rsidRPr="00E134AA">
        <w:rPr>
          <w:rFonts w:ascii="Arial" w:hAnsi="Arial" w:cs="Arial"/>
          <w:sz w:val="24"/>
          <w:szCs w:val="24"/>
        </w:rPr>
        <w:t xml:space="preserve"> literature review process has followed a "berry-picking" search strategy, employing techniques such as citation tracking and footnote chasing to uncover additional relevant sources</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{"citationID":"IJZn00js","properties":{"formattedCitation":"(Bates, 1989)","plainCitation":"(Bates, 1989)","noteIndex":0},"citationItems":[{"id":602,"uris":["http://zotero.org/users/local/hN5mtYaY/items/IV9PQQXS"],"itemData":{"id":602,"type":"webpage","title":"The Design of Browsing and Berrypicking Techniques","URL":"https://pages.gseis.ucla.edu/faculty/bates/berrypicking.html","author":[{"family":"Bates","given":"Marcia J."}],"accessed":{"date-parts":[["2024",9,12]]},"issued":{"date-parts":[["1989"]]}}}],"schema":"https://github.com/citation-style-language/schema/raw/master/csl-citation.json"} </w:instrText>
      </w:r>
      <w:r>
        <w:rPr>
          <w:rFonts w:ascii="Arial" w:hAnsi="Arial" w:cs="Arial"/>
          <w:sz w:val="24"/>
          <w:szCs w:val="24"/>
        </w:rPr>
        <w:fldChar w:fldCharType="separate"/>
      </w:r>
      <w:r w:rsidRPr="00E134AA">
        <w:rPr>
          <w:rFonts w:ascii="Arial" w:hAnsi="Arial" w:cs="Arial"/>
          <w:sz w:val="24"/>
        </w:rPr>
        <w:t>(Bates, 1989)</w:t>
      </w:r>
      <w:r>
        <w:rPr>
          <w:rFonts w:ascii="Arial" w:hAnsi="Arial" w:cs="Arial"/>
          <w:sz w:val="24"/>
          <w:szCs w:val="24"/>
        </w:rPr>
        <w:fldChar w:fldCharType="end"/>
      </w:r>
      <w:r>
        <w:rPr>
          <w:rFonts w:ascii="Arial" w:hAnsi="Arial" w:cs="Arial"/>
          <w:sz w:val="24"/>
          <w:szCs w:val="24"/>
        </w:rPr>
        <w:t xml:space="preserve"> </w:t>
      </w:r>
      <w:r w:rsidRPr="00E134AA">
        <w:rPr>
          <w:rFonts w:ascii="Arial" w:hAnsi="Arial" w:cs="Arial"/>
          <w:sz w:val="24"/>
          <w:szCs w:val="24"/>
        </w:rPr>
        <w:t>. The research was conducted within an iterative hermeneutic framework, involving a cyclical process of data interpretation and reflection</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{"citationID":"vcVxOB3I","properties":{"formattedCitation":"(Boell and Cecez-Kecmanovic, 2014)","plainCitation":"(Boell and Cecez-Kecmanovic, 2014)","noteIndex":0},"citationItems":[{"id":899,"uris":["http://zotero.org/users/local/hN5mtYaY/items/P24UQ3NA"],"itemData":{"id":899,"type":"article-journal","container-title":"Communications of the Association for Information Systems","DOI":"10.17705/1CAIS.03412","ISSN":"1529-3181","issue":"1","source":"COinS","title":"A Hermeneutic Approach for Conducting Literature Reviews and Literature Searches","URL":"https://aisel.aisnet.org/cais/vol34/iss1/12","volume":"34","author":[{"family":"Boell","given":"Sebastian"},{"family":"Cecez-Kecmanovic","given":"Dubravka"}],"issued":{"date-parts":[["2014",1,1]]}}}],"schema":"https://github.com/citation-style-language/schema/raw/master/csl-citation.json"} </w:instrText>
      </w:r>
      <w:r>
        <w:rPr>
          <w:rFonts w:ascii="Arial" w:hAnsi="Arial" w:cs="Arial"/>
          <w:sz w:val="24"/>
          <w:szCs w:val="24"/>
        </w:rPr>
        <w:fldChar w:fldCharType="separate"/>
      </w:r>
      <w:r w:rsidRPr="00E134AA">
        <w:rPr>
          <w:rFonts w:ascii="Arial" w:hAnsi="Arial" w:cs="Arial"/>
          <w:sz w:val="24"/>
        </w:rPr>
        <w:t>(Boell and Cecez-Kecmanovic, 2014)</w:t>
      </w:r>
      <w:r>
        <w:rPr>
          <w:rFonts w:ascii="Arial" w:hAnsi="Arial" w:cs="Arial"/>
          <w:sz w:val="24"/>
          <w:szCs w:val="24"/>
        </w:rPr>
        <w:fldChar w:fldCharType="end"/>
      </w:r>
      <w:r>
        <w:rPr>
          <w:rFonts w:ascii="Arial" w:hAnsi="Arial" w:cs="Arial"/>
          <w:sz w:val="24"/>
          <w:szCs w:val="24"/>
        </w:rPr>
        <w:t xml:space="preserve">. </w:t>
      </w:r>
      <w:r w:rsidRPr="00E134AA">
        <w:rPr>
          <w:rFonts w:ascii="Arial" w:hAnsi="Arial" w:cs="Arial"/>
          <w:sz w:val="24"/>
          <w:szCs w:val="24"/>
        </w:rPr>
        <w:t>Each time new evidence was uncovered, it was re-evaluated against the original research objectives to assess its relevance and contribution to the study’s focus</w:t>
      </w:r>
      <w:r w:rsidR="00006CA9">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{"citationID":"FOyqFqP3","properties":{"formattedCitation":"(Xiao and Watson, 2019)","plainCitation":"(Xiao and Watson, 2019)","noteIndex":0},"citationItems":[{"id":633,"uris":["http://zotero.org/users/local/hN5mtYaY/items/AVIMLYBZ"],"itemData":{"id":633,"type":"webpage","language":"en","note":"DOI: 10.1177/0739456X17723971","title":"Guidance on Conducting a Systematic Literature Review","URL":"https://journals.sagepub.com/doi/epub/10.1177/0739456X17723971","author":[{"family":"Xiao and Watson","given":"Yu and Maria"}],"accessed":{"date-parts":[["2024",9,15]]},"issued":{"date-parts":[["2019"]]}}}],"schema":"https://github.com/citation-style-language/schema/raw/master/csl-citation.json"} </w:instrText>
      </w:r>
      <w:r>
        <w:rPr>
          <w:rFonts w:ascii="Arial" w:hAnsi="Arial" w:cs="Arial"/>
          <w:sz w:val="24"/>
          <w:szCs w:val="24"/>
        </w:rPr>
        <w:fldChar w:fldCharType="separate"/>
      </w:r>
      <w:r w:rsidRPr="00E134AA">
        <w:rPr>
          <w:rFonts w:ascii="Arial" w:hAnsi="Arial" w:cs="Arial"/>
          <w:sz w:val="24"/>
        </w:rPr>
        <w:t>(Xiao and Watson, 2019)</w:t>
      </w:r>
      <w:r>
        <w:rPr>
          <w:rFonts w:ascii="Arial" w:hAnsi="Arial" w:cs="Arial"/>
          <w:sz w:val="24"/>
          <w:szCs w:val="24"/>
        </w:rPr>
        <w:fldChar w:fldCharType="end"/>
      </w:r>
      <w:r w:rsidRPr="00E134AA">
        <w:rPr>
          <w:rFonts w:ascii="Arial" w:hAnsi="Arial" w:cs="Arial"/>
          <w:sz w:val="24"/>
          <w:szCs w:val="24"/>
        </w:rPr>
        <w:t>. This iterative approach has ensured a coherent integration of findings and maintained alignment with the overarching research questions</w:t>
      </w:r>
      <w:r w:rsidR="00006CA9">
        <w:rPr>
          <w:rFonts w:ascii="Arial" w:hAnsi="Arial" w:cs="Arial"/>
          <w:sz w:val="24"/>
          <w:szCs w:val="24"/>
        </w:rPr>
        <w:t>.</w:t>
      </w:r>
    </w:p>
    <w:p w14:paraId="52E46504" w14:textId="77777777" w:rsidR="009C1AA5" w:rsidRDefault="00E134AA" w:rsidP="00C0719C">
      <w:pPr>
        <w:spacing w:line="360" w:lineRule="auto"/>
        <w:jc w:val="both"/>
        <w:rPr>
          <w:rFonts w:ascii="Arial" w:hAnsi="Arial" w:cs="Arial"/>
          <w:sz w:val="24"/>
          <w:szCs w:val="24"/>
        </w:rPr>
      </w:pPr>
      <w:r w:rsidRPr="00E134AA">
        <w:rPr>
          <w:rFonts w:ascii="Arial" w:hAnsi="Arial" w:cs="Arial"/>
          <w:sz w:val="24"/>
          <w:szCs w:val="24"/>
        </w:rPr>
        <w:t>The existing body of research appears limited with respect to peer-reviewed studies</w:t>
      </w:r>
      <w:r w:rsidR="00006CA9">
        <w:rPr>
          <w:rFonts w:ascii="Arial" w:hAnsi="Arial" w:cs="Arial"/>
          <w:sz w:val="24"/>
          <w:szCs w:val="24"/>
        </w:rPr>
        <w:t xml:space="preserve"> in</w:t>
      </w:r>
      <w:r w:rsidRPr="00E134AA">
        <w:rPr>
          <w:rFonts w:ascii="Arial" w:hAnsi="Arial" w:cs="Arial"/>
          <w:sz w:val="24"/>
          <w:szCs w:val="24"/>
        </w:rPr>
        <w:t xml:space="preserve"> MPA</w:t>
      </w:r>
      <w:r w:rsidR="00006CA9">
        <w:rPr>
          <w:rFonts w:ascii="Arial" w:hAnsi="Arial" w:cs="Arial"/>
          <w:sz w:val="24"/>
          <w:szCs w:val="24"/>
        </w:rPr>
        <w:t xml:space="preserve"> </w:t>
      </w:r>
      <w:r w:rsidRPr="00E134AA">
        <w:rPr>
          <w:rFonts w:ascii="Arial" w:hAnsi="Arial" w:cs="Arial"/>
          <w:sz w:val="24"/>
          <w:szCs w:val="24"/>
        </w:rPr>
        <w:t xml:space="preserve">within the Portuguese context, and no studies were identified that explicitly examine the correlation between MPA and precarity in the </w:t>
      </w:r>
      <w:r w:rsidR="00006CA9">
        <w:rPr>
          <w:rFonts w:ascii="Arial" w:hAnsi="Arial" w:cs="Arial"/>
          <w:sz w:val="24"/>
          <w:szCs w:val="24"/>
        </w:rPr>
        <w:t xml:space="preserve">Portuguese </w:t>
      </w:r>
      <w:r w:rsidRPr="00E134AA">
        <w:rPr>
          <w:rFonts w:ascii="Arial" w:hAnsi="Arial" w:cs="Arial"/>
          <w:sz w:val="24"/>
          <w:szCs w:val="24"/>
        </w:rPr>
        <w:t>arts sector. This gap highlights the relevance and significance of the present research inquiry.</w:t>
      </w:r>
    </w:p>
    <w:p w14:paraId="1F042891" w14:textId="77777777" w:rsidR="009C1AA5" w:rsidRDefault="009C1AA5" w:rsidP="003B46EF">
      <w:pPr>
        <w:rPr>
          <w:rFonts w:ascii="Arial" w:hAnsi="Arial" w:cs="Arial"/>
          <w:sz w:val="24"/>
          <w:szCs w:val="24"/>
        </w:rPr>
      </w:pPr>
    </w:p>
    <w:p w14:paraId="7D94FB8B" w14:textId="77777777" w:rsidR="006B4172" w:rsidRDefault="006B4172" w:rsidP="003B46EF">
      <w:pPr>
        <w:rPr>
          <w:rFonts w:ascii="Arial" w:hAnsi="Arial" w:cs="Arial"/>
          <w:sz w:val="24"/>
          <w:szCs w:val="24"/>
        </w:rPr>
      </w:pPr>
    </w:p>
    <w:p w14:paraId="5782FE87" w14:textId="77777777" w:rsidR="006B4172" w:rsidRDefault="006B4172" w:rsidP="003B46EF">
      <w:pPr>
        <w:rPr>
          <w:rFonts w:ascii="Arial" w:hAnsi="Arial" w:cs="Arial"/>
          <w:sz w:val="24"/>
          <w:szCs w:val="24"/>
        </w:rPr>
      </w:pPr>
    </w:p>
    <w:p w14:paraId="576B64C5" w14:textId="77777777" w:rsidR="006B4172" w:rsidRDefault="006B4172" w:rsidP="003B46EF">
      <w:pPr>
        <w:rPr>
          <w:rFonts w:ascii="Arial" w:hAnsi="Arial" w:cs="Arial"/>
          <w:sz w:val="24"/>
          <w:szCs w:val="24"/>
        </w:rPr>
      </w:pPr>
    </w:p>
    <w:p w14:paraId="4E05D0B4" w14:textId="77777777" w:rsidR="006B4172" w:rsidRDefault="006B4172" w:rsidP="003B46EF">
      <w:pPr>
        <w:rPr>
          <w:rFonts w:ascii="Arial" w:hAnsi="Arial" w:cs="Arial"/>
          <w:sz w:val="24"/>
          <w:szCs w:val="24"/>
        </w:rPr>
      </w:pPr>
    </w:p>
    <w:p w14:paraId="50245BE3" w14:textId="77777777" w:rsidR="006B4172" w:rsidRDefault="006B4172" w:rsidP="003B46EF">
      <w:pPr>
        <w:rPr>
          <w:rFonts w:ascii="Arial" w:hAnsi="Arial" w:cs="Arial"/>
          <w:sz w:val="24"/>
          <w:szCs w:val="24"/>
        </w:rPr>
      </w:pPr>
    </w:p>
    <w:p w14:paraId="1DE5ECC8" w14:textId="77777777" w:rsidR="006B4172" w:rsidRDefault="006B4172" w:rsidP="003B46EF">
      <w:pPr>
        <w:rPr>
          <w:rFonts w:ascii="Arial" w:hAnsi="Arial" w:cs="Arial"/>
          <w:sz w:val="24"/>
          <w:szCs w:val="24"/>
        </w:rPr>
      </w:pPr>
    </w:p>
    <w:p w14:paraId="18B97BEA" w14:textId="77777777" w:rsidR="00E134AA" w:rsidRDefault="00637B6F" w:rsidP="00E134AA">
      <w:pPr>
        <w:spacing w:line="360" w:lineRule="auto"/>
        <w:rPr>
          <w:rFonts w:ascii="Arial" w:hAnsi="Arial" w:cs="Arial"/>
          <w:sz w:val="24"/>
          <w:szCs w:val="24"/>
        </w:rPr>
      </w:pPr>
      <w:r>
        <w:rPr>
          <w:rFonts w:ascii="Arial" w:hAnsi="Arial" w:cs="Arial"/>
          <w:sz w:val="24"/>
          <w:szCs w:val="24"/>
        </w:rPr>
        <w:lastRenderedPageBreak/>
        <w:t xml:space="preserve">CRITICAL </w:t>
      </w:r>
      <w:r w:rsidR="00360246">
        <w:rPr>
          <w:rFonts w:ascii="Arial" w:hAnsi="Arial" w:cs="Arial"/>
          <w:sz w:val="24"/>
          <w:szCs w:val="24"/>
        </w:rPr>
        <w:t>REFLECTION</w:t>
      </w:r>
      <w:r w:rsidR="00E134AA">
        <w:rPr>
          <w:rFonts w:ascii="Arial" w:hAnsi="Arial" w:cs="Arial"/>
          <w:sz w:val="24"/>
          <w:szCs w:val="24"/>
        </w:rPr>
        <w:br/>
      </w:r>
    </w:p>
    <w:p w14:paraId="1ED38FE2" w14:textId="77777777" w:rsidR="00E134AA" w:rsidRDefault="00E134AA" w:rsidP="00E134AA">
      <w:pPr>
        <w:spacing w:line="360" w:lineRule="auto"/>
        <w:jc w:val="both"/>
        <w:rPr>
          <w:rFonts w:ascii="Arial" w:hAnsi="Arial" w:cs="Arial"/>
          <w:sz w:val="24"/>
          <w:szCs w:val="24"/>
        </w:rPr>
      </w:pPr>
      <w:r w:rsidRPr="00C1220E">
        <w:rPr>
          <w:rFonts w:ascii="Arial" w:hAnsi="Arial" w:cs="Arial"/>
          <w:sz w:val="24"/>
          <w:szCs w:val="24"/>
        </w:rPr>
        <w:t xml:space="preserve">To reflect on my learning process, I have used the </w:t>
      </w:r>
      <w:proofErr w:type="spellStart"/>
      <w:r>
        <w:rPr>
          <w:rFonts w:ascii="Arial" w:hAnsi="Arial" w:cs="Arial"/>
          <w:sz w:val="24"/>
          <w:szCs w:val="24"/>
        </w:rPr>
        <w:t>Kolbs</w:t>
      </w:r>
      <w:proofErr w:type="spellEnd"/>
      <w:r w:rsidRPr="00C1220E">
        <w:rPr>
          <w:rFonts w:ascii="Arial" w:hAnsi="Arial" w:cs="Arial"/>
          <w:sz w:val="24"/>
          <w:szCs w:val="24"/>
        </w:rPr>
        <w:t xml:space="preserve"> reflective </w:t>
      </w:r>
      <w:r>
        <w:rPr>
          <w:rFonts w:ascii="Arial" w:hAnsi="Arial" w:cs="Arial"/>
          <w:sz w:val="24"/>
          <w:szCs w:val="24"/>
        </w:rPr>
        <w:t>model</w:t>
      </w:r>
      <w:r w:rsidRPr="00C1220E">
        <w:rPr>
          <w:rFonts w:ascii="Arial" w:hAnsi="Arial" w:cs="Arial"/>
          <w:sz w:val="24"/>
          <w:szCs w:val="24"/>
        </w:rPr>
        <w:t xml:space="preserve"> which include</w:t>
      </w:r>
      <w:r>
        <w:rPr>
          <w:rFonts w:ascii="Arial" w:hAnsi="Arial" w:cs="Arial"/>
          <w:sz w:val="24"/>
          <w:szCs w:val="24"/>
        </w:rPr>
        <w:t>:</w:t>
      </w:r>
      <w:r w:rsidR="007336FA">
        <w:rPr>
          <w:rFonts w:ascii="Arial" w:hAnsi="Arial" w:cs="Arial"/>
          <w:sz w:val="24"/>
          <w:szCs w:val="24"/>
        </w:rPr>
        <w:t xml:space="preserve"> </w:t>
      </w:r>
      <w:r w:rsidR="00006CA9" w:rsidRPr="007336FA">
        <w:rPr>
          <w:rFonts w:ascii="Arial" w:hAnsi="Arial" w:cs="Arial"/>
          <w:sz w:val="24"/>
          <w:szCs w:val="24"/>
        </w:rPr>
        <w:t xml:space="preserve">Concrete experience, </w:t>
      </w:r>
      <w:r w:rsidR="007336FA" w:rsidRPr="007336FA">
        <w:rPr>
          <w:rFonts w:ascii="Arial" w:hAnsi="Arial" w:cs="Arial"/>
          <w:sz w:val="24"/>
          <w:szCs w:val="24"/>
        </w:rPr>
        <w:t>Reflective Observation, Abstract Conceptualization and Active Experimentation</w:t>
      </w:r>
      <w:r w:rsidR="00EE55BC">
        <w:rPr>
          <w:rFonts w:ascii="Arial" w:hAnsi="Arial" w:cs="Arial"/>
          <w:sz w:val="24"/>
          <w:szCs w:val="24"/>
        </w:rPr>
        <w:t xml:space="preserve"> </w:t>
      </w:r>
      <w:r w:rsidR="00EE55BC">
        <w:rPr>
          <w:rFonts w:ascii="Arial" w:hAnsi="Arial" w:cs="Arial"/>
          <w:sz w:val="24"/>
          <w:szCs w:val="24"/>
        </w:rPr>
        <w:fldChar w:fldCharType="begin"/>
      </w:r>
      <w:r w:rsidR="00F10989">
        <w:rPr>
          <w:rFonts w:ascii="Arial" w:hAnsi="Arial" w:cs="Arial"/>
          <w:sz w:val="24"/>
          <w:szCs w:val="24"/>
        </w:rPr>
        <w:instrText xml:space="preserve"> ADDIN ZOTERO_ITEM CSL_CITATION {"citationID":"A2bOVc0Y","properties":{"formattedCitation":"(Kolb, 1984)","plainCitation":"(Kolb, 1984)","noteIndex":0},"citationItems":[{"id":1122,"uris":["http://zotero.org/users/local/hN5mtYaY/items/CMR2C67W"],"itemData":{"id":1122,"type":"article-journal","container-title":"Prentice Hall","language":"en","title":"Experiential Learning: Experience As The Source Of Learning And Development","author":[{"family":"Kolb","given":"David A."}],"accessed":{"date-parts":[["2025",5,12]]},"issued":{"date-parts":[["1984"]]}}}],"schema":"https://github.com/citation-style-language/schema/raw/master/csl-citation.json"} </w:instrText>
      </w:r>
      <w:r w:rsidR="00EE55BC">
        <w:rPr>
          <w:rFonts w:ascii="Arial" w:hAnsi="Arial" w:cs="Arial"/>
          <w:sz w:val="24"/>
          <w:szCs w:val="24"/>
        </w:rPr>
        <w:fldChar w:fldCharType="separate"/>
      </w:r>
      <w:r w:rsidR="00EE55BC" w:rsidRPr="00EE55BC">
        <w:rPr>
          <w:rFonts w:ascii="Arial" w:hAnsi="Arial" w:cs="Arial"/>
          <w:sz w:val="24"/>
        </w:rPr>
        <w:t>(Kolb, 1984)</w:t>
      </w:r>
      <w:r w:rsidR="00EE55BC">
        <w:rPr>
          <w:rFonts w:ascii="Arial" w:hAnsi="Arial" w:cs="Arial"/>
          <w:sz w:val="24"/>
          <w:szCs w:val="24"/>
        </w:rPr>
        <w:fldChar w:fldCharType="end"/>
      </w:r>
      <w:r w:rsidR="007336FA">
        <w:rPr>
          <w:rFonts w:ascii="Arial" w:hAnsi="Arial" w:cs="Arial"/>
          <w:sz w:val="24"/>
          <w:szCs w:val="24"/>
        </w:rPr>
        <w:t xml:space="preserve">. </w:t>
      </w:r>
    </w:p>
    <w:p w14:paraId="35439CB5" w14:textId="77777777" w:rsidR="003B46EF" w:rsidRPr="00006CA9" w:rsidRDefault="00637B6F" w:rsidP="00145D49">
      <w:pPr>
        <w:spacing w:line="360" w:lineRule="auto"/>
        <w:rPr>
          <w:b/>
          <w:bCs/>
          <w:sz w:val="24"/>
          <w:szCs w:val="24"/>
        </w:rPr>
      </w:pPr>
      <w:r>
        <w:rPr>
          <w:rFonts w:ascii="Arial" w:hAnsi="Arial" w:cs="Arial"/>
          <w:sz w:val="24"/>
          <w:szCs w:val="24"/>
        </w:rPr>
        <w:br/>
      </w:r>
      <w:r w:rsidR="003B46EF" w:rsidRPr="00006CA9">
        <w:rPr>
          <w:rFonts w:ascii="Arial" w:hAnsi="Arial" w:cs="Arial"/>
          <w:b/>
          <w:bCs/>
          <w:sz w:val="24"/>
          <w:szCs w:val="24"/>
        </w:rPr>
        <w:t>Phase 1: Concrete experience</w:t>
      </w:r>
      <w:r w:rsidR="003B46EF" w:rsidRPr="00006CA9">
        <w:rPr>
          <w:b/>
          <w:bCs/>
          <w:sz w:val="24"/>
          <w:szCs w:val="24"/>
        </w:rPr>
        <w:t xml:space="preserve"> </w:t>
      </w:r>
    </w:p>
    <w:p w14:paraId="7DDF89CB" w14:textId="77777777" w:rsidR="00637B6F" w:rsidRDefault="00116CC9" w:rsidP="00145D49">
      <w:pPr>
        <w:spacing w:line="360" w:lineRule="auto"/>
        <w:jc w:val="both"/>
        <w:rPr>
          <w:rFonts w:ascii="Arial" w:hAnsi="Arial" w:cs="Arial"/>
          <w:sz w:val="24"/>
          <w:szCs w:val="24"/>
        </w:rPr>
      </w:pPr>
      <w:r w:rsidRPr="00905675">
        <w:rPr>
          <w:rFonts w:ascii="Arial" w:hAnsi="Arial" w:cs="Arial"/>
          <w:sz w:val="24"/>
          <w:szCs w:val="24"/>
        </w:rPr>
        <w:t xml:space="preserve">As mentioned in my early </w:t>
      </w:r>
      <w:proofErr w:type="gramStart"/>
      <w:r w:rsidRPr="00905675">
        <w:rPr>
          <w:rFonts w:ascii="Arial" w:hAnsi="Arial" w:cs="Arial"/>
          <w:sz w:val="24"/>
          <w:szCs w:val="24"/>
        </w:rPr>
        <w:t>study</w:t>
      </w:r>
      <w:proofErr w:type="gramEnd"/>
      <w:r w:rsidRPr="00905675">
        <w:rPr>
          <w:rFonts w:ascii="Arial" w:hAnsi="Arial" w:cs="Arial"/>
          <w:sz w:val="24"/>
          <w:szCs w:val="24"/>
        </w:rPr>
        <w:t xml:space="preserve"> growing up with a mother who is a </w:t>
      </w:r>
      <w:proofErr w:type="gramStart"/>
      <w:r w:rsidRPr="00905675">
        <w:rPr>
          <w:rFonts w:ascii="Arial" w:hAnsi="Arial" w:cs="Arial"/>
          <w:sz w:val="24"/>
          <w:szCs w:val="24"/>
        </w:rPr>
        <w:t>psychotherapist</w:t>
      </w:r>
      <w:proofErr w:type="gramEnd"/>
      <w:r w:rsidRPr="00905675">
        <w:rPr>
          <w:rFonts w:ascii="Arial" w:hAnsi="Arial" w:cs="Arial"/>
          <w:sz w:val="24"/>
          <w:szCs w:val="24"/>
        </w:rPr>
        <w:t xml:space="preserve"> has had a profound influence on my sense of self and my understanding of interpersonal relationships and emotional dynamics. Although my professional focus does not </w:t>
      </w:r>
      <w:proofErr w:type="gramStart"/>
      <w:r w:rsidRPr="00905675">
        <w:rPr>
          <w:rFonts w:ascii="Arial" w:hAnsi="Arial" w:cs="Arial"/>
          <w:sz w:val="24"/>
          <w:szCs w:val="24"/>
        </w:rPr>
        <w:t>center</w:t>
      </w:r>
      <w:proofErr w:type="gramEnd"/>
      <w:r w:rsidRPr="00905675">
        <w:rPr>
          <w:rFonts w:ascii="Arial" w:hAnsi="Arial" w:cs="Arial"/>
          <w:sz w:val="24"/>
          <w:szCs w:val="24"/>
        </w:rPr>
        <w:t xml:space="preserve"> on psychology, I have developed a strong interest in human behavior. This upbringing has heightened my sensitivity to the emotional needs of those around me, particularly in my role as a teacher. I feel a deep sense of responsibility for the well-being of my students, driven by both my empathetic disposition and my awareness of the significant role emotional health plays in their development. This understanding shapes my teaching approach and reinforces the importance of creating a supportive and nurturing classroom environment</w:t>
      </w:r>
      <w:r w:rsidR="007C2590">
        <w:rPr>
          <w:rFonts w:ascii="Arial" w:hAnsi="Arial" w:cs="Arial"/>
          <w:sz w:val="24"/>
          <w:szCs w:val="24"/>
        </w:rPr>
        <w:t>.</w:t>
      </w:r>
      <w:r w:rsidR="00637B6F">
        <w:rPr>
          <w:rFonts w:ascii="Arial" w:hAnsi="Arial" w:cs="Arial"/>
          <w:sz w:val="24"/>
          <w:szCs w:val="24"/>
        </w:rPr>
        <w:br/>
      </w:r>
      <w:r w:rsidR="00637B6F" w:rsidRPr="00374AC8">
        <w:rPr>
          <w:rFonts w:ascii="Arial" w:hAnsi="Arial" w:cs="Arial"/>
          <w:sz w:val="24"/>
          <w:szCs w:val="24"/>
        </w:rPr>
        <w:t>As someone who, from a young age, harbored concerns about pursuing a career in performance due to the economic hardships commonly faced by artists</w:t>
      </w:r>
      <w:r w:rsidR="00637B6F">
        <w:rPr>
          <w:rFonts w:ascii="Arial" w:hAnsi="Arial" w:cs="Arial"/>
          <w:sz w:val="24"/>
          <w:szCs w:val="24"/>
        </w:rPr>
        <w:t xml:space="preserve"> and the lack of Musical Theatre education</w:t>
      </w:r>
      <w:r w:rsidR="00637B6F" w:rsidRPr="00374AC8">
        <w:rPr>
          <w:rFonts w:ascii="Arial" w:hAnsi="Arial" w:cs="Arial"/>
          <w:sz w:val="24"/>
          <w:szCs w:val="24"/>
        </w:rPr>
        <w:t>, I ultimately chose to study abroad and seek professional opportunities outside of Portugal. Through personal reflection and therapeutic work</w:t>
      </w:r>
      <w:r w:rsidR="00637B6F">
        <w:rPr>
          <w:rFonts w:ascii="Arial" w:hAnsi="Arial" w:cs="Arial"/>
          <w:sz w:val="24"/>
          <w:szCs w:val="24"/>
        </w:rPr>
        <w:t xml:space="preserve"> (psychotherapy)</w:t>
      </w:r>
      <w:r w:rsidR="00637B6F" w:rsidRPr="00374AC8">
        <w:rPr>
          <w:rFonts w:ascii="Arial" w:hAnsi="Arial" w:cs="Arial"/>
          <w:sz w:val="24"/>
          <w:szCs w:val="24"/>
        </w:rPr>
        <w:t>, I have come to recognize a strong correlation between my anxiety and the uncertainties associated with the artistic profession in my home country. My experiences suggest that trait anxiety, influenced by these contextual pressures, has significantly contributed to the manifestation of MPA symptoms</w:t>
      </w:r>
      <w:r w:rsidR="00637B6F">
        <w:rPr>
          <w:rFonts w:ascii="Arial" w:hAnsi="Arial" w:cs="Arial"/>
          <w:sz w:val="24"/>
          <w:szCs w:val="24"/>
        </w:rPr>
        <w:t xml:space="preserve">, </w:t>
      </w:r>
      <w:r w:rsidR="00637B6F" w:rsidRPr="00374AC8">
        <w:rPr>
          <w:rFonts w:ascii="Arial" w:hAnsi="Arial" w:cs="Arial"/>
          <w:sz w:val="24"/>
          <w:szCs w:val="24"/>
        </w:rPr>
        <w:t xml:space="preserve">particularly during auditions, high-pressure performance situations, and even while performing in Portugal, where opportunities in musical theatre remain scarce. This scarcity </w:t>
      </w:r>
      <w:r w:rsidR="00637B6F">
        <w:rPr>
          <w:rFonts w:ascii="Arial" w:hAnsi="Arial" w:cs="Arial"/>
          <w:sz w:val="24"/>
          <w:szCs w:val="24"/>
        </w:rPr>
        <w:t>did</w:t>
      </w:r>
      <w:r w:rsidR="00637B6F" w:rsidRPr="00374AC8">
        <w:rPr>
          <w:rFonts w:ascii="Arial" w:hAnsi="Arial" w:cs="Arial"/>
          <w:sz w:val="24"/>
          <w:szCs w:val="24"/>
        </w:rPr>
        <w:t xml:space="preserve"> intensify the sense of external pressure and the need for validation, further aggravating performance-related anxiety.</w:t>
      </w:r>
      <w:r w:rsidR="00637B6F">
        <w:rPr>
          <w:rFonts w:ascii="Arial" w:hAnsi="Arial" w:cs="Arial"/>
          <w:sz w:val="24"/>
          <w:szCs w:val="24"/>
        </w:rPr>
        <w:t xml:space="preserve"> </w:t>
      </w:r>
    </w:p>
    <w:p w14:paraId="03B619E0" w14:textId="77777777" w:rsidR="007C2590" w:rsidRPr="007C2590" w:rsidRDefault="007C2590" w:rsidP="00145D49">
      <w:pPr>
        <w:spacing w:line="360" w:lineRule="auto"/>
        <w:jc w:val="both"/>
        <w:rPr>
          <w:rFonts w:ascii="Arial" w:hAnsi="Arial" w:cs="Arial"/>
          <w:sz w:val="24"/>
          <w:szCs w:val="24"/>
        </w:rPr>
      </w:pPr>
      <w:r w:rsidRPr="007C2590">
        <w:rPr>
          <w:rFonts w:ascii="Arial" w:hAnsi="Arial" w:cs="Arial"/>
          <w:sz w:val="24"/>
          <w:szCs w:val="24"/>
        </w:rPr>
        <w:t>Through my experience teaching students</w:t>
      </w:r>
      <w:r w:rsidR="009A212D">
        <w:rPr>
          <w:rFonts w:ascii="Arial" w:hAnsi="Arial" w:cs="Arial"/>
          <w:sz w:val="24"/>
          <w:szCs w:val="24"/>
        </w:rPr>
        <w:t xml:space="preserve">, </w:t>
      </w:r>
      <w:r w:rsidRPr="007C2590">
        <w:rPr>
          <w:rFonts w:ascii="Arial" w:hAnsi="Arial" w:cs="Arial"/>
          <w:sz w:val="24"/>
          <w:szCs w:val="24"/>
        </w:rPr>
        <w:t>both teenagers and aspiring performers seeking to pursue artistic careers</w:t>
      </w:r>
      <w:r w:rsidR="009A212D">
        <w:rPr>
          <w:rFonts w:ascii="Arial" w:hAnsi="Arial" w:cs="Arial"/>
          <w:sz w:val="24"/>
          <w:szCs w:val="24"/>
        </w:rPr>
        <w:t xml:space="preserve">, </w:t>
      </w:r>
      <w:r w:rsidRPr="007C2590">
        <w:rPr>
          <w:rFonts w:ascii="Arial" w:hAnsi="Arial" w:cs="Arial"/>
          <w:sz w:val="24"/>
          <w:szCs w:val="24"/>
        </w:rPr>
        <w:t xml:space="preserve">I have frequently observed </w:t>
      </w:r>
      <w:r w:rsidRPr="007C2590">
        <w:rPr>
          <w:rFonts w:ascii="Arial" w:hAnsi="Arial" w:cs="Arial"/>
          <w:sz w:val="24"/>
          <w:szCs w:val="24"/>
        </w:rPr>
        <w:lastRenderedPageBreak/>
        <w:t>instances of anxiety and tension, particularly in preparation for performances or auditions. In Module 4, I focused my research on the causes and effects of MPA, which has deepened my understanding of the condition and made it easier to recognize symptoms in my students. However, despite this growing awareness, I continue to find it challenging to determine the most effective and supportive ways to respond when such symptoms arise.</w:t>
      </w:r>
    </w:p>
    <w:p w14:paraId="7C0B53DA" w14:textId="77777777" w:rsidR="007C2590" w:rsidRDefault="007C2590" w:rsidP="00C0719C">
      <w:pPr>
        <w:spacing w:line="360" w:lineRule="auto"/>
        <w:jc w:val="both"/>
        <w:rPr>
          <w:rFonts w:ascii="Arial" w:hAnsi="Arial" w:cs="Arial"/>
          <w:sz w:val="24"/>
          <w:szCs w:val="24"/>
        </w:rPr>
      </w:pPr>
      <w:r w:rsidRPr="007C2590">
        <w:rPr>
          <w:rFonts w:ascii="Arial" w:hAnsi="Arial" w:cs="Arial"/>
          <w:sz w:val="24"/>
          <w:szCs w:val="24"/>
        </w:rPr>
        <w:t xml:space="preserve">A recent one-to-one lesson brought this issue into sharper focus. The student clearly exhibited signs of MPA and was open to discussing her experiences. Drawing on my current knowledge, I was able to explain potential causes and help her make sense of what she was feeling. This appeared to offer her some reassurance and a sense of not being alone in her struggle. However, I became acutely aware of the limitations of my intervention: I could not offer a concrete, evidence-based strategy to support her more fully </w:t>
      </w:r>
      <w:proofErr w:type="gramStart"/>
      <w:r w:rsidRPr="007C2590">
        <w:rPr>
          <w:rFonts w:ascii="Arial" w:hAnsi="Arial" w:cs="Arial"/>
          <w:sz w:val="24"/>
          <w:szCs w:val="24"/>
        </w:rPr>
        <w:t>in</w:t>
      </w:r>
      <w:proofErr w:type="gramEnd"/>
      <w:r w:rsidRPr="007C2590">
        <w:rPr>
          <w:rFonts w:ascii="Arial" w:hAnsi="Arial" w:cs="Arial"/>
          <w:sz w:val="24"/>
          <w:szCs w:val="24"/>
        </w:rPr>
        <w:t xml:space="preserve"> that moment.</w:t>
      </w:r>
    </w:p>
    <w:p w14:paraId="599CDC36" w14:textId="77777777" w:rsidR="00145D49" w:rsidRPr="007C2590" w:rsidRDefault="00145D49" w:rsidP="00C0719C">
      <w:pPr>
        <w:spacing w:line="360" w:lineRule="auto"/>
        <w:jc w:val="both"/>
        <w:rPr>
          <w:rFonts w:ascii="Arial" w:hAnsi="Arial" w:cs="Arial"/>
          <w:sz w:val="24"/>
          <w:szCs w:val="24"/>
        </w:rPr>
      </w:pPr>
      <w:r w:rsidRPr="007C2590">
        <w:rPr>
          <w:rFonts w:ascii="Arial" w:hAnsi="Arial" w:cs="Arial"/>
          <w:sz w:val="24"/>
          <w:szCs w:val="24"/>
        </w:rPr>
        <w:t>This experience underscored a growing need in my teaching practice</w:t>
      </w:r>
      <w:r w:rsidR="009A212D">
        <w:rPr>
          <w:rFonts w:ascii="Arial" w:hAnsi="Arial" w:cs="Arial"/>
          <w:sz w:val="24"/>
          <w:szCs w:val="24"/>
        </w:rPr>
        <w:t xml:space="preserve">, </w:t>
      </w:r>
      <w:r w:rsidRPr="007C2590">
        <w:rPr>
          <w:rFonts w:ascii="Arial" w:hAnsi="Arial" w:cs="Arial"/>
          <w:sz w:val="24"/>
          <w:szCs w:val="24"/>
        </w:rPr>
        <w:t>to move beyond recognition and empathy toward the application of specific, effective strategies for managing MPA in the studio setting. As someone who values mental health and has been personally influenced by my mother, a psychologist, I took the step of consulting her and suggesting the student seek professional support. While this was a meaningful action, I remain aware that, as a teacher, there is much more I could do within my scope to support students facing MPA.</w:t>
      </w:r>
    </w:p>
    <w:p w14:paraId="71B8F3EF" w14:textId="77777777" w:rsidR="00637B6F" w:rsidRDefault="00637B6F" w:rsidP="00637B6F">
      <w:pPr>
        <w:spacing w:line="360" w:lineRule="auto"/>
        <w:jc w:val="both"/>
        <w:rPr>
          <w:rFonts w:ascii="Arial" w:hAnsi="Arial" w:cs="Arial"/>
          <w:sz w:val="24"/>
          <w:szCs w:val="24"/>
        </w:rPr>
      </w:pPr>
    </w:p>
    <w:p w14:paraId="5F72FC60" w14:textId="77777777" w:rsidR="00145D49" w:rsidRPr="007336FA" w:rsidRDefault="00637B6F" w:rsidP="00145D49">
      <w:pPr>
        <w:rPr>
          <w:rFonts w:ascii="Arial" w:hAnsi="Arial" w:cs="Arial"/>
          <w:b/>
          <w:bCs/>
          <w:sz w:val="24"/>
          <w:szCs w:val="24"/>
        </w:rPr>
      </w:pPr>
      <w:r w:rsidRPr="007336FA">
        <w:rPr>
          <w:rFonts w:ascii="Arial" w:hAnsi="Arial" w:cs="Arial"/>
          <w:b/>
          <w:bCs/>
          <w:sz w:val="24"/>
          <w:szCs w:val="24"/>
        </w:rPr>
        <w:t xml:space="preserve">Phase 2: Reflective Observation </w:t>
      </w:r>
      <w:r w:rsidR="007C2590" w:rsidRPr="007336FA">
        <w:rPr>
          <w:rFonts w:ascii="Arial" w:hAnsi="Arial" w:cs="Arial"/>
          <w:b/>
          <w:bCs/>
          <w:sz w:val="24"/>
          <w:szCs w:val="24"/>
        </w:rPr>
        <w:br/>
      </w:r>
    </w:p>
    <w:p w14:paraId="5948E616" w14:textId="77777777" w:rsidR="007C2590" w:rsidRPr="007C2590" w:rsidRDefault="00145D49" w:rsidP="00C0719C">
      <w:pPr>
        <w:spacing w:line="360" w:lineRule="auto"/>
        <w:jc w:val="both"/>
        <w:rPr>
          <w:rFonts w:ascii="Arial" w:hAnsi="Arial" w:cs="Arial"/>
          <w:color w:val="000000" w:themeColor="text1"/>
          <w:sz w:val="24"/>
          <w:szCs w:val="24"/>
        </w:rPr>
      </w:pPr>
      <w:r w:rsidRPr="007C2590">
        <w:rPr>
          <w:rFonts w:ascii="Arial" w:hAnsi="Arial" w:cs="Arial"/>
          <w:color w:val="000000" w:themeColor="text1"/>
          <w:sz w:val="24"/>
          <w:szCs w:val="24"/>
        </w:rPr>
        <w:t>This experience led me to reflect more broadly on the role of educators in supporting students with MPA and the institutional frameworks that surround us. While I have observed MPA in several students</w:t>
      </w:r>
      <w:r w:rsidR="000B49F0">
        <w:rPr>
          <w:rFonts w:ascii="Arial" w:hAnsi="Arial" w:cs="Arial"/>
          <w:color w:val="000000" w:themeColor="text1"/>
          <w:sz w:val="24"/>
          <w:szCs w:val="24"/>
        </w:rPr>
        <w:t xml:space="preserve">, </w:t>
      </w:r>
      <w:r w:rsidRPr="007C2590">
        <w:rPr>
          <w:rFonts w:ascii="Arial" w:hAnsi="Arial" w:cs="Arial"/>
          <w:color w:val="000000" w:themeColor="text1"/>
          <w:sz w:val="24"/>
          <w:szCs w:val="24"/>
        </w:rPr>
        <w:t>particularly during performance and audition scenarios</w:t>
      </w:r>
      <w:r w:rsidR="000B49F0">
        <w:rPr>
          <w:rFonts w:ascii="Arial" w:hAnsi="Arial" w:cs="Arial"/>
          <w:color w:val="000000" w:themeColor="text1"/>
          <w:sz w:val="24"/>
          <w:szCs w:val="24"/>
        </w:rPr>
        <w:t xml:space="preserve">, </w:t>
      </w:r>
      <w:r w:rsidRPr="007C2590">
        <w:rPr>
          <w:rFonts w:ascii="Arial" w:hAnsi="Arial" w:cs="Arial"/>
          <w:color w:val="000000" w:themeColor="text1"/>
          <w:sz w:val="24"/>
          <w:szCs w:val="24"/>
        </w:rPr>
        <w:t xml:space="preserve">I have also noticed that performing arts schools rarely provide educators with training, resources, or structured guidance on addressing MPA in the classroom. This gap is not only a missed opportunity but, in my view, a significant oversight. My reflection thus questions the extent to which educational institutions acknowledge the psychological demands placed on student performers. It also reinforces the importance of investing in teacher </w:t>
      </w:r>
      <w:r w:rsidRPr="007C2590">
        <w:rPr>
          <w:rFonts w:ascii="Arial" w:hAnsi="Arial" w:cs="Arial"/>
          <w:color w:val="000000" w:themeColor="text1"/>
          <w:sz w:val="24"/>
          <w:szCs w:val="24"/>
        </w:rPr>
        <w:lastRenderedPageBreak/>
        <w:t xml:space="preserve">education that includes </w:t>
      </w:r>
      <w:r w:rsidRPr="007336FA">
        <w:rPr>
          <w:rFonts w:ascii="Arial" w:hAnsi="Arial" w:cs="Arial"/>
          <w:color w:val="000000" w:themeColor="text1"/>
          <w:sz w:val="24"/>
          <w:szCs w:val="24"/>
        </w:rPr>
        <w:t>coping strategies for MPA</w:t>
      </w:r>
      <w:r w:rsidRPr="007C2590">
        <w:rPr>
          <w:rFonts w:ascii="Arial" w:hAnsi="Arial" w:cs="Arial"/>
          <w:color w:val="000000" w:themeColor="text1"/>
          <w:sz w:val="24"/>
          <w:szCs w:val="24"/>
        </w:rPr>
        <w:t xml:space="preserve"> as an integral part of curriculum planning and professional development. I believe that equipping teachers with this knowledge could make a meaningful difference in students’ well-being and artistic growth.</w:t>
      </w:r>
    </w:p>
    <w:p w14:paraId="5CAFB375" w14:textId="77777777" w:rsidR="00C0719C" w:rsidRDefault="00145D49" w:rsidP="00C0719C">
      <w:pPr>
        <w:spacing w:line="360" w:lineRule="auto"/>
        <w:jc w:val="both"/>
        <w:rPr>
          <w:rFonts w:ascii="Arial" w:hAnsi="Arial" w:cs="Arial"/>
          <w:color w:val="000000" w:themeColor="text1"/>
          <w:sz w:val="24"/>
          <w:szCs w:val="24"/>
        </w:rPr>
      </w:pPr>
      <w:r w:rsidRPr="00145D49">
        <w:rPr>
          <w:rFonts w:ascii="Arial" w:hAnsi="Arial" w:cs="Arial"/>
          <w:color w:val="000000" w:themeColor="text1"/>
          <w:sz w:val="24"/>
          <w:szCs w:val="24"/>
        </w:rPr>
        <w:t xml:space="preserve">When starting to </w:t>
      </w:r>
      <w:r w:rsidR="009A212D" w:rsidRPr="00145D49">
        <w:rPr>
          <w:rFonts w:ascii="Arial" w:hAnsi="Arial" w:cs="Arial"/>
          <w:color w:val="000000" w:themeColor="text1"/>
          <w:sz w:val="24"/>
          <w:szCs w:val="24"/>
        </w:rPr>
        <w:t>explore</w:t>
      </w:r>
      <w:r w:rsidRPr="00145D49">
        <w:rPr>
          <w:rFonts w:ascii="Arial" w:hAnsi="Arial" w:cs="Arial"/>
          <w:color w:val="000000" w:themeColor="text1"/>
          <w:sz w:val="24"/>
          <w:szCs w:val="24"/>
        </w:rPr>
        <w:t xml:space="preserve"> the correlation between the precarious conditions faced by Portuguese performers and the incidence of</w:t>
      </w:r>
      <w:r w:rsidR="009A212D">
        <w:rPr>
          <w:rFonts w:ascii="Arial" w:hAnsi="Arial" w:cs="Arial"/>
          <w:color w:val="000000" w:themeColor="text1"/>
          <w:sz w:val="24"/>
          <w:szCs w:val="24"/>
        </w:rPr>
        <w:t xml:space="preserve"> </w:t>
      </w:r>
      <w:r w:rsidRPr="00145D49">
        <w:rPr>
          <w:rFonts w:ascii="Arial" w:hAnsi="Arial" w:cs="Arial"/>
          <w:color w:val="000000" w:themeColor="text1"/>
          <w:sz w:val="24"/>
          <w:szCs w:val="24"/>
        </w:rPr>
        <w:t>MPA, I encountered research by Conde (2009) that closely aligns with both my own experiences and those of many colleagues in the artistic community. Conde’s statistical and sociological analyses reveal that the vulnerabilities experienced by artists are not solely the result of unstable working conditions but are deeply embedded within the structural dynamics of the cultural sector. His work highlights how artists often depend on validation from powerful institutions and individuals, making their professional identities highly susceptible to symbolic power, systemic inequality, and gatekeeping mechanisms. This dependency fosters a professional climate marked by uncertainty and psychological strain</w:t>
      </w:r>
      <w:r w:rsidR="000B49F0">
        <w:rPr>
          <w:rFonts w:ascii="Arial" w:hAnsi="Arial" w:cs="Arial"/>
          <w:color w:val="000000" w:themeColor="text1"/>
          <w:sz w:val="24"/>
          <w:szCs w:val="24"/>
        </w:rPr>
        <w:t xml:space="preserve">, </w:t>
      </w:r>
      <w:r w:rsidRPr="00145D49">
        <w:rPr>
          <w:rFonts w:ascii="Arial" w:hAnsi="Arial" w:cs="Arial"/>
          <w:color w:val="000000" w:themeColor="text1"/>
          <w:sz w:val="24"/>
          <w:szCs w:val="24"/>
        </w:rPr>
        <w:t>factors that may significantly contribute to the onset or exacerbation of MPA.</w:t>
      </w:r>
    </w:p>
    <w:p w14:paraId="5B8464B2" w14:textId="77777777" w:rsidR="00123B83" w:rsidRDefault="00145D49" w:rsidP="00C0719C">
      <w:pPr>
        <w:spacing w:line="360" w:lineRule="auto"/>
        <w:jc w:val="both"/>
        <w:rPr>
          <w:rFonts w:ascii="Arial" w:hAnsi="Arial" w:cs="Arial"/>
          <w:color w:val="000000" w:themeColor="text1"/>
          <w:sz w:val="24"/>
          <w:szCs w:val="24"/>
        </w:rPr>
      </w:pPr>
      <w:r w:rsidRPr="00145D49">
        <w:rPr>
          <w:rFonts w:ascii="Arial" w:hAnsi="Arial" w:cs="Arial"/>
          <w:color w:val="000000" w:themeColor="text1"/>
          <w:sz w:val="24"/>
          <w:szCs w:val="24"/>
        </w:rPr>
        <w:br/>
      </w:r>
      <w:r w:rsidR="00637B6F" w:rsidRPr="00145D49">
        <w:rPr>
          <w:rFonts w:ascii="Arial" w:hAnsi="Arial" w:cs="Arial"/>
          <w:color w:val="000000" w:themeColor="text1"/>
          <w:sz w:val="24"/>
          <w:szCs w:val="24"/>
        </w:rPr>
        <w:t>This ma</w:t>
      </w:r>
      <w:r w:rsidR="000B49F0">
        <w:rPr>
          <w:rFonts w:ascii="Arial" w:hAnsi="Arial" w:cs="Arial"/>
          <w:color w:val="000000" w:themeColor="text1"/>
          <w:sz w:val="24"/>
          <w:szCs w:val="24"/>
        </w:rPr>
        <w:t>de</w:t>
      </w:r>
      <w:r w:rsidR="00637B6F" w:rsidRPr="00145D49">
        <w:rPr>
          <w:rFonts w:ascii="Arial" w:hAnsi="Arial" w:cs="Arial"/>
          <w:color w:val="000000" w:themeColor="text1"/>
          <w:sz w:val="24"/>
          <w:szCs w:val="24"/>
        </w:rPr>
        <w:t xml:space="preserve"> me reflect </w:t>
      </w:r>
      <w:proofErr w:type="gramStart"/>
      <w:r w:rsidR="00637B6F" w:rsidRPr="00145D49">
        <w:rPr>
          <w:rFonts w:ascii="Arial" w:hAnsi="Arial" w:cs="Arial"/>
          <w:color w:val="000000" w:themeColor="text1"/>
          <w:sz w:val="24"/>
          <w:szCs w:val="24"/>
        </w:rPr>
        <w:t>of</w:t>
      </w:r>
      <w:proofErr w:type="gramEnd"/>
      <w:r w:rsidR="00637B6F" w:rsidRPr="00145D49">
        <w:rPr>
          <w:rFonts w:ascii="Arial" w:hAnsi="Arial" w:cs="Arial"/>
          <w:color w:val="000000" w:themeColor="text1"/>
          <w:sz w:val="24"/>
          <w:szCs w:val="24"/>
        </w:rPr>
        <w:t xml:space="preserve"> how the constant need for validation from influential figures or institutions can significantly contribute to stress and anxiety among artists. Because their professional success often depends on being recognized or accepted by those in power, artists may feel a continuous pressure to meet external expectations rather than focus on their own creative expression. This reliance on others' opinions can foster self-doubt and a fear of failure, especially in environments where favoritism, bias, or gatekeeping are present. When opportunities are scarce and not distributed fairly, artists may experience feelings of exclusion, insecurity, and instability, which can deeply affect their mental health and overall well-being. This emotional toll can ultimately impact not only their confidence but also their ability to create and perform and therefore the prevalence of MPA symptoms. </w:t>
      </w:r>
    </w:p>
    <w:p w14:paraId="0117EEAA" w14:textId="77777777" w:rsidR="00C0719C" w:rsidRDefault="00C0719C" w:rsidP="00145D49">
      <w:pPr>
        <w:spacing w:line="360" w:lineRule="auto"/>
        <w:rPr>
          <w:rFonts w:ascii="Arial" w:hAnsi="Arial" w:cs="Arial"/>
          <w:color w:val="000000" w:themeColor="text1"/>
          <w:sz w:val="24"/>
          <w:szCs w:val="24"/>
        </w:rPr>
      </w:pPr>
    </w:p>
    <w:p w14:paraId="0E2B95C0" w14:textId="77777777" w:rsidR="00506409" w:rsidRPr="00145D49" w:rsidRDefault="00506409" w:rsidP="00145D49">
      <w:pPr>
        <w:spacing w:line="360" w:lineRule="auto"/>
        <w:rPr>
          <w:rFonts w:ascii="Arial" w:hAnsi="Arial" w:cs="Arial"/>
          <w:color w:val="000000" w:themeColor="text1"/>
          <w:sz w:val="24"/>
          <w:szCs w:val="24"/>
        </w:rPr>
      </w:pPr>
    </w:p>
    <w:p w14:paraId="391C9DC0" w14:textId="77777777" w:rsidR="00637B6F" w:rsidRDefault="00637B6F" w:rsidP="00637B6F">
      <w:pPr>
        <w:rPr>
          <w:rFonts w:ascii="Arial" w:hAnsi="Arial" w:cs="Arial"/>
          <w:color w:val="FF0000"/>
          <w:sz w:val="24"/>
          <w:szCs w:val="24"/>
        </w:rPr>
      </w:pPr>
    </w:p>
    <w:p w14:paraId="19DC9A2B" w14:textId="77777777" w:rsidR="00637B6F" w:rsidRPr="007336FA" w:rsidRDefault="00637B6F" w:rsidP="007336FA">
      <w:pPr>
        <w:spacing w:line="360" w:lineRule="auto"/>
        <w:rPr>
          <w:rFonts w:ascii="Arial" w:hAnsi="Arial" w:cs="Arial"/>
          <w:b/>
          <w:bCs/>
          <w:sz w:val="24"/>
          <w:szCs w:val="24"/>
        </w:rPr>
      </w:pPr>
      <w:r w:rsidRPr="007336FA">
        <w:rPr>
          <w:rFonts w:ascii="Arial" w:hAnsi="Arial" w:cs="Arial"/>
          <w:b/>
          <w:bCs/>
          <w:sz w:val="24"/>
          <w:szCs w:val="24"/>
        </w:rPr>
        <w:lastRenderedPageBreak/>
        <w:t xml:space="preserve">Phase 3: </w:t>
      </w:r>
      <w:r w:rsidR="007336FA" w:rsidRPr="007336FA">
        <w:rPr>
          <w:rFonts w:ascii="Arial" w:hAnsi="Arial" w:cs="Arial"/>
          <w:b/>
          <w:bCs/>
          <w:sz w:val="24"/>
          <w:szCs w:val="24"/>
        </w:rPr>
        <w:t>Abstract</w:t>
      </w:r>
      <w:r w:rsidRPr="007336FA">
        <w:rPr>
          <w:rFonts w:ascii="Arial" w:hAnsi="Arial" w:cs="Arial"/>
          <w:b/>
          <w:bCs/>
          <w:sz w:val="24"/>
          <w:szCs w:val="24"/>
        </w:rPr>
        <w:t xml:space="preserve"> </w:t>
      </w:r>
      <w:r w:rsidR="007336FA" w:rsidRPr="007336FA">
        <w:rPr>
          <w:rFonts w:ascii="Arial" w:hAnsi="Arial" w:cs="Arial"/>
          <w:b/>
          <w:bCs/>
          <w:sz w:val="24"/>
          <w:szCs w:val="24"/>
        </w:rPr>
        <w:t>Conceptualization</w:t>
      </w:r>
      <w:r w:rsidRPr="007336FA">
        <w:rPr>
          <w:rFonts w:ascii="Arial" w:hAnsi="Arial" w:cs="Arial"/>
          <w:b/>
          <w:bCs/>
          <w:sz w:val="24"/>
          <w:szCs w:val="24"/>
        </w:rPr>
        <w:t xml:space="preserve"> </w:t>
      </w:r>
    </w:p>
    <w:p w14:paraId="3F132376" w14:textId="77777777" w:rsidR="00812D96" w:rsidRDefault="00812D96" w:rsidP="00B92F47">
      <w:pPr>
        <w:spacing w:line="360" w:lineRule="auto"/>
        <w:jc w:val="both"/>
        <w:rPr>
          <w:rFonts w:ascii="Arial" w:hAnsi="Arial" w:cs="Arial"/>
          <w:sz w:val="24"/>
          <w:szCs w:val="24"/>
        </w:rPr>
      </w:pPr>
      <w:r w:rsidRPr="00B53254">
        <w:rPr>
          <w:rFonts w:ascii="Arial" w:hAnsi="Arial" w:cs="Arial"/>
          <w:sz w:val="24"/>
          <w:szCs w:val="24"/>
        </w:rPr>
        <w:t>Reflecting on both my personal experiences and classroom observations has led me to consider MPA not merely as an individual psychological issue, but as a phenomenon deeply influenced by structural and pedagogical factors. Drawing from Kolb’s learning cycle, this phase involves stepping back from immediate experience to make sense of it in light of established theory and research</w:t>
      </w:r>
      <w:r w:rsidR="005944C9">
        <w:rPr>
          <w:rFonts w:ascii="Arial" w:hAnsi="Arial" w:cs="Arial"/>
          <w:sz w:val="24"/>
          <w:szCs w:val="24"/>
        </w:rPr>
        <w:t xml:space="preserve"> </w:t>
      </w:r>
      <w:r w:rsidR="005944C9">
        <w:rPr>
          <w:rFonts w:ascii="Arial" w:hAnsi="Arial" w:cs="Arial"/>
          <w:sz w:val="24"/>
          <w:szCs w:val="24"/>
        </w:rPr>
        <w:fldChar w:fldCharType="begin"/>
      </w:r>
      <w:r w:rsidR="00F10989">
        <w:rPr>
          <w:rFonts w:ascii="Arial" w:hAnsi="Arial" w:cs="Arial"/>
          <w:sz w:val="24"/>
          <w:szCs w:val="24"/>
        </w:rPr>
        <w:instrText xml:space="preserve"> ADDIN ZOTERO_ITEM CSL_CITATION {"citationID":"I7roC4yR","properties":{"formattedCitation":"(Kolb, 1984)","plainCitation":"(Kolb, 1984)","noteIndex":0},"citationItems":[{"id":1122,"uris":["http://zotero.org/users/local/hN5mtYaY/items/CMR2C67W"],"itemData":{"id":1122,"type":"article-journal","container-title":"Prentice Hall","language":"en","title":"Experiential Learning: Experience As The Source Of Learning And Development","author":[{"family":"Kolb","given":"David A."}],"accessed":{"date-parts":[["2025",5,12]]},"issued":{"date-parts":[["1984"]]}}}],"schema":"https://github.com/citation-style-language/schema/raw/master/csl-citation.json"} </w:instrText>
      </w:r>
      <w:r w:rsidR="005944C9">
        <w:rPr>
          <w:rFonts w:ascii="Arial" w:hAnsi="Arial" w:cs="Arial"/>
          <w:sz w:val="24"/>
          <w:szCs w:val="24"/>
        </w:rPr>
        <w:fldChar w:fldCharType="separate"/>
      </w:r>
      <w:r w:rsidR="005944C9" w:rsidRPr="005944C9">
        <w:rPr>
          <w:rFonts w:ascii="Arial" w:hAnsi="Arial" w:cs="Arial"/>
          <w:sz w:val="24"/>
        </w:rPr>
        <w:t>(Kolb, 1984)</w:t>
      </w:r>
      <w:r w:rsidR="005944C9">
        <w:rPr>
          <w:rFonts w:ascii="Arial" w:hAnsi="Arial" w:cs="Arial"/>
          <w:sz w:val="24"/>
          <w:szCs w:val="24"/>
        </w:rPr>
        <w:fldChar w:fldCharType="end"/>
      </w:r>
      <w:r w:rsidRPr="00B53254">
        <w:rPr>
          <w:rFonts w:ascii="Arial" w:hAnsi="Arial" w:cs="Arial"/>
          <w:sz w:val="24"/>
          <w:szCs w:val="24"/>
        </w:rPr>
        <w:t>. The literature I have engaged with</w:t>
      </w:r>
      <w:r w:rsidR="002675A1" w:rsidRPr="00B53254">
        <w:rPr>
          <w:rFonts w:ascii="Arial" w:hAnsi="Arial" w:cs="Arial"/>
          <w:sz w:val="24"/>
          <w:szCs w:val="24"/>
        </w:rPr>
        <w:t xml:space="preserve">, </w:t>
      </w:r>
      <w:r w:rsidRPr="00B53254">
        <w:rPr>
          <w:rFonts w:ascii="Arial" w:hAnsi="Arial" w:cs="Arial"/>
          <w:sz w:val="24"/>
          <w:szCs w:val="24"/>
        </w:rPr>
        <w:t>particularly the work of Kenny (2005), Boyett (2020), and Blair &amp; van der Sluis (2022)</w:t>
      </w:r>
      <w:r w:rsidR="002675A1" w:rsidRPr="00B53254">
        <w:rPr>
          <w:rFonts w:ascii="Arial" w:hAnsi="Arial" w:cs="Arial"/>
          <w:sz w:val="24"/>
          <w:szCs w:val="24"/>
        </w:rPr>
        <w:t xml:space="preserve">, </w:t>
      </w:r>
      <w:r w:rsidRPr="00B53254">
        <w:rPr>
          <w:rFonts w:ascii="Arial" w:hAnsi="Arial" w:cs="Arial"/>
          <w:sz w:val="24"/>
          <w:szCs w:val="24"/>
        </w:rPr>
        <w:t>suggests that while a range of evidence-based strategies exist to address MPA (e.g., cognitive-behavioral techniques, mindfulness, and performance simulation), there is a significant gap between what is theoretically known and what is practically implemented in educational contexts</w:t>
      </w:r>
      <w:r w:rsidR="002675A1" w:rsidRPr="00B53254">
        <w:rPr>
          <w:rFonts w:ascii="Arial" w:hAnsi="Arial" w:cs="Arial"/>
          <w:sz w:val="24"/>
          <w:szCs w:val="24"/>
        </w:rPr>
        <w:t xml:space="preserve">. </w:t>
      </w:r>
    </w:p>
    <w:p w14:paraId="5C44366A" w14:textId="77777777" w:rsidR="00107338" w:rsidRDefault="00107338" w:rsidP="00B92F47">
      <w:pPr>
        <w:spacing w:line="360" w:lineRule="auto"/>
        <w:jc w:val="both"/>
        <w:rPr>
          <w:rFonts w:ascii="Arial" w:hAnsi="Arial" w:cs="Arial"/>
          <w:sz w:val="24"/>
          <w:szCs w:val="24"/>
        </w:rPr>
      </w:pPr>
      <w:r w:rsidRPr="00107338">
        <w:rPr>
          <w:rFonts w:ascii="Arial" w:hAnsi="Arial" w:cs="Arial"/>
          <w:sz w:val="24"/>
          <w:szCs w:val="24"/>
        </w:rPr>
        <w:t>In Portugal, Conde’s (2009) research reveals how systemic precarity and reliance on institutional recognition create pressure and emotional vulnerability</w:t>
      </w:r>
      <w:r>
        <w:rPr>
          <w:rFonts w:ascii="Arial" w:hAnsi="Arial" w:cs="Arial"/>
          <w:sz w:val="24"/>
          <w:szCs w:val="24"/>
        </w:rPr>
        <w:t xml:space="preserve">. </w:t>
      </w:r>
      <w:proofErr w:type="gramStart"/>
      <w:r>
        <w:rPr>
          <w:rFonts w:ascii="Arial" w:hAnsi="Arial" w:cs="Arial"/>
          <w:sz w:val="24"/>
          <w:szCs w:val="24"/>
        </w:rPr>
        <w:t>A r</w:t>
      </w:r>
      <w:r w:rsidR="00B53254" w:rsidRPr="00B53254">
        <w:rPr>
          <w:rFonts w:ascii="Arial" w:hAnsi="Arial" w:cs="Arial"/>
          <w:sz w:val="24"/>
          <w:szCs w:val="24"/>
        </w:rPr>
        <w:t>ecent research</w:t>
      </w:r>
      <w:proofErr w:type="gramEnd"/>
      <w:r w:rsidR="00B53254" w:rsidRPr="00B53254">
        <w:rPr>
          <w:rFonts w:ascii="Arial" w:hAnsi="Arial" w:cs="Arial"/>
          <w:sz w:val="24"/>
          <w:szCs w:val="24"/>
        </w:rPr>
        <w:t xml:space="preserve"> by </w:t>
      </w:r>
      <w:proofErr w:type="spellStart"/>
      <w:r w:rsidR="00B53254" w:rsidRPr="00B53254">
        <w:rPr>
          <w:rFonts w:ascii="Arial" w:hAnsi="Arial" w:cs="Arial"/>
          <w:sz w:val="24"/>
          <w:szCs w:val="24"/>
        </w:rPr>
        <w:t>Campanela</w:t>
      </w:r>
      <w:proofErr w:type="spellEnd"/>
      <w:r w:rsidR="00B53254" w:rsidRPr="00B53254">
        <w:rPr>
          <w:rFonts w:ascii="Arial" w:hAnsi="Arial" w:cs="Arial"/>
          <w:sz w:val="24"/>
          <w:szCs w:val="24"/>
        </w:rPr>
        <w:t xml:space="preserve"> (2023) highlights how structural and economic instability in Portugal's artistic sector</w:t>
      </w:r>
      <w:r w:rsidR="005944C9">
        <w:rPr>
          <w:rFonts w:ascii="Arial" w:hAnsi="Arial" w:cs="Arial"/>
          <w:sz w:val="24"/>
          <w:szCs w:val="24"/>
        </w:rPr>
        <w:t xml:space="preserve">, </w:t>
      </w:r>
      <w:r w:rsidR="00B53254" w:rsidRPr="00B53254">
        <w:rPr>
          <w:rFonts w:ascii="Arial" w:hAnsi="Arial" w:cs="Arial"/>
          <w:sz w:val="24"/>
          <w:szCs w:val="24"/>
        </w:rPr>
        <w:t>characterized by low pay, precarious “</w:t>
      </w:r>
      <w:proofErr w:type="spellStart"/>
      <w:r w:rsidR="00B53254" w:rsidRPr="00B53254">
        <w:rPr>
          <w:rFonts w:ascii="Arial" w:hAnsi="Arial" w:cs="Arial"/>
          <w:sz w:val="24"/>
          <w:szCs w:val="24"/>
        </w:rPr>
        <w:t>recibo</w:t>
      </w:r>
      <w:proofErr w:type="spellEnd"/>
      <w:r w:rsidR="00B53254" w:rsidRPr="00B53254">
        <w:rPr>
          <w:rFonts w:ascii="Arial" w:hAnsi="Arial" w:cs="Arial"/>
          <w:sz w:val="24"/>
          <w:szCs w:val="24"/>
        </w:rPr>
        <w:t xml:space="preserve"> </w:t>
      </w:r>
      <w:proofErr w:type="spellStart"/>
      <w:r w:rsidR="00B53254" w:rsidRPr="00B53254">
        <w:rPr>
          <w:rFonts w:ascii="Arial" w:hAnsi="Arial" w:cs="Arial"/>
          <w:sz w:val="24"/>
          <w:szCs w:val="24"/>
        </w:rPr>
        <w:t>verde</w:t>
      </w:r>
      <w:proofErr w:type="spellEnd"/>
      <w:r w:rsidR="00B53254" w:rsidRPr="00B53254">
        <w:rPr>
          <w:rFonts w:ascii="Arial" w:hAnsi="Arial" w:cs="Arial"/>
          <w:sz w:val="24"/>
          <w:szCs w:val="24"/>
        </w:rPr>
        <w:t>” contracts, and output-driven funding</w:t>
      </w:r>
      <w:r w:rsidR="005944C9">
        <w:rPr>
          <w:rFonts w:ascii="Arial" w:hAnsi="Arial" w:cs="Arial"/>
          <w:sz w:val="24"/>
          <w:szCs w:val="24"/>
        </w:rPr>
        <w:t xml:space="preserve">, </w:t>
      </w:r>
      <w:r w:rsidR="00B53254" w:rsidRPr="00B53254">
        <w:rPr>
          <w:rFonts w:ascii="Arial" w:hAnsi="Arial" w:cs="Arial"/>
          <w:sz w:val="24"/>
          <w:szCs w:val="24"/>
        </w:rPr>
        <w:t xml:space="preserve">creates chronic stress and professional insecurity. The normalization of the </w:t>
      </w:r>
      <w:r w:rsidR="00B53254" w:rsidRPr="00B53254">
        <w:rPr>
          <w:rFonts w:ascii="Arial" w:hAnsi="Arial" w:cs="Arial"/>
          <w:i/>
          <w:iCs/>
          <w:sz w:val="24"/>
          <w:szCs w:val="24"/>
        </w:rPr>
        <w:t>“</w:t>
      </w:r>
      <w:proofErr w:type="spellStart"/>
      <w:r w:rsidR="00B53254" w:rsidRPr="00B53254">
        <w:rPr>
          <w:rFonts w:ascii="Arial" w:hAnsi="Arial" w:cs="Arial"/>
          <w:i/>
          <w:iCs/>
          <w:sz w:val="24"/>
          <w:szCs w:val="24"/>
        </w:rPr>
        <w:t>cultura</w:t>
      </w:r>
      <w:proofErr w:type="spellEnd"/>
      <w:r w:rsidR="00B53254" w:rsidRPr="00B53254">
        <w:rPr>
          <w:rFonts w:ascii="Arial" w:hAnsi="Arial" w:cs="Arial"/>
          <w:i/>
          <w:iCs/>
          <w:sz w:val="24"/>
          <w:szCs w:val="24"/>
        </w:rPr>
        <w:t xml:space="preserve"> do </w:t>
      </w:r>
      <w:proofErr w:type="spellStart"/>
      <w:r w:rsidR="00B53254" w:rsidRPr="00B53254">
        <w:rPr>
          <w:rFonts w:ascii="Arial" w:hAnsi="Arial" w:cs="Arial"/>
          <w:i/>
          <w:iCs/>
          <w:sz w:val="24"/>
          <w:szCs w:val="24"/>
        </w:rPr>
        <w:t>sacrifício</w:t>
      </w:r>
      <w:proofErr w:type="spellEnd"/>
      <w:r w:rsidR="00B53254" w:rsidRPr="00B53254">
        <w:rPr>
          <w:rFonts w:ascii="Arial" w:hAnsi="Arial" w:cs="Arial"/>
          <w:i/>
          <w:iCs/>
          <w:sz w:val="24"/>
          <w:szCs w:val="24"/>
        </w:rPr>
        <w:t>”</w:t>
      </w:r>
      <w:r w:rsidR="00B53254" w:rsidRPr="00B53254">
        <w:rPr>
          <w:rFonts w:ascii="Arial" w:hAnsi="Arial" w:cs="Arial"/>
          <w:sz w:val="24"/>
          <w:szCs w:val="24"/>
        </w:rPr>
        <w:t xml:space="preserve"> (culture of sacrifice), where artists are expected to endure poor conditions out of passion, further exacerbates vulnerability to</w:t>
      </w:r>
      <w:r>
        <w:rPr>
          <w:rFonts w:ascii="Arial" w:hAnsi="Arial" w:cs="Arial"/>
          <w:sz w:val="24"/>
          <w:szCs w:val="24"/>
        </w:rPr>
        <w:t xml:space="preserve"> the mental health of performers</w:t>
      </w:r>
      <w:r w:rsidR="005944C9">
        <w:rPr>
          <w:rFonts w:ascii="Arial" w:hAnsi="Arial" w:cs="Arial"/>
          <w:sz w:val="24"/>
          <w:szCs w:val="24"/>
        </w:rPr>
        <w:fldChar w:fldCharType="begin"/>
      </w:r>
      <w:r w:rsidR="005944C9">
        <w:rPr>
          <w:rFonts w:ascii="Arial" w:hAnsi="Arial" w:cs="Arial"/>
          <w:sz w:val="24"/>
          <w:szCs w:val="24"/>
        </w:rPr>
        <w:instrText xml:space="preserve"> ADDIN ZOTERO_ITEM CSL_CITATION {"citationID":"jVI9Z5Nr","properties":{"formattedCitation":"(Campanela, 2023)","plainCitation":"(Campanela, 2023)","noteIndex":0},"citationItems":[{"id":999,"uris":["http://zotero.org/users/local/hN5mtYaY/items/YCRF6GPQ"],"itemData":{"id":999,"type":"article-journal","abstract":"This paper aims to examine the role that models of production related to work and contractual conditions play in the act of artistic creation and in the psyche of the workers involved. The status of the “independent” worker and the models for arts funding in Portugal are the background from which the topology of the artistic world emerges shaped by the hyperactive work to which its professional workers are subject.","container-title":"Sinais de Cena","DOI":"10.51427/cet.sdc.2023.0010","ISSN":"2184-9552","language":"pt","license":"Direitos de Autor (c) 2023 Carolina Campanela","page":"224-241","source":"revistas.rcaap.pt","title":"Da Dessacralização da Arte: topologia breve e inacabada do meio artístico","title-short":"Da Dessacralização da Arte","author":[{"family":"Campanela","given":"Carolina"}],"issued":{"date-parts":[["2023",12,28]]}}}],"schema":"https://github.com/citation-style-language/schema/raw/master/csl-citation.json"} </w:instrText>
      </w:r>
      <w:r w:rsidR="005944C9">
        <w:rPr>
          <w:rFonts w:ascii="Arial" w:hAnsi="Arial" w:cs="Arial"/>
          <w:sz w:val="24"/>
          <w:szCs w:val="24"/>
        </w:rPr>
        <w:fldChar w:fldCharType="separate"/>
      </w:r>
      <w:r w:rsidR="005944C9" w:rsidRPr="005944C9">
        <w:rPr>
          <w:rFonts w:ascii="Arial" w:hAnsi="Arial" w:cs="Arial"/>
          <w:sz w:val="24"/>
        </w:rPr>
        <w:t>(Campanela, 2023)</w:t>
      </w:r>
      <w:r w:rsidR="005944C9">
        <w:rPr>
          <w:rFonts w:ascii="Arial" w:hAnsi="Arial" w:cs="Arial"/>
          <w:sz w:val="24"/>
          <w:szCs w:val="24"/>
        </w:rPr>
        <w:fldChar w:fldCharType="end"/>
      </w:r>
      <w:r>
        <w:rPr>
          <w:rFonts w:ascii="Arial" w:hAnsi="Arial" w:cs="Arial"/>
          <w:sz w:val="24"/>
          <w:szCs w:val="24"/>
        </w:rPr>
        <w:t xml:space="preserve">. </w:t>
      </w:r>
      <w:r w:rsidR="00B53254" w:rsidRPr="00B53254">
        <w:rPr>
          <w:rFonts w:ascii="Arial" w:hAnsi="Arial" w:cs="Arial"/>
          <w:sz w:val="24"/>
          <w:szCs w:val="24"/>
        </w:rPr>
        <w:t xml:space="preserve"> </w:t>
      </w:r>
    </w:p>
    <w:p w14:paraId="3FE86476" w14:textId="77777777" w:rsidR="001A6EAE" w:rsidRDefault="001A6EAE" w:rsidP="00B92F47">
      <w:pPr>
        <w:spacing w:line="360" w:lineRule="auto"/>
        <w:jc w:val="both"/>
        <w:rPr>
          <w:rFonts w:ascii="Arial" w:hAnsi="Arial" w:cs="Arial"/>
          <w:sz w:val="24"/>
          <w:szCs w:val="24"/>
        </w:rPr>
      </w:pPr>
      <w:r w:rsidRPr="001A6EAE">
        <w:rPr>
          <w:rFonts w:ascii="Arial" w:hAnsi="Arial" w:cs="Arial"/>
          <w:sz w:val="24"/>
          <w:szCs w:val="24"/>
        </w:rPr>
        <w:t xml:space="preserve">From my perspective, this highlights the </w:t>
      </w:r>
      <w:r>
        <w:rPr>
          <w:rFonts w:ascii="Arial" w:hAnsi="Arial" w:cs="Arial"/>
          <w:sz w:val="24"/>
          <w:szCs w:val="24"/>
        </w:rPr>
        <w:t>importance</w:t>
      </w:r>
      <w:r w:rsidRPr="001A6EAE">
        <w:rPr>
          <w:rFonts w:ascii="Arial" w:hAnsi="Arial" w:cs="Arial"/>
          <w:sz w:val="24"/>
          <w:szCs w:val="24"/>
        </w:rPr>
        <w:t xml:space="preserve"> </w:t>
      </w:r>
      <w:r>
        <w:rPr>
          <w:rFonts w:ascii="Arial" w:hAnsi="Arial" w:cs="Arial"/>
          <w:sz w:val="24"/>
          <w:szCs w:val="24"/>
        </w:rPr>
        <w:t>of</w:t>
      </w:r>
      <w:r w:rsidRPr="001A6EAE">
        <w:rPr>
          <w:rFonts w:ascii="Arial" w:hAnsi="Arial" w:cs="Arial"/>
          <w:sz w:val="24"/>
          <w:szCs w:val="24"/>
        </w:rPr>
        <w:t xml:space="preserve"> equip</w:t>
      </w:r>
      <w:r>
        <w:rPr>
          <w:rFonts w:ascii="Arial" w:hAnsi="Arial" w:cs="Arial"/>
          <w:sz w:val="24"/>
          <w:szCs w:val="24"/>
        </w:rPr>
        <w:t>ping</w:t>
      </w:r>
      <w:r w:rsidRPr="001A6EAE">
        <w:rPr>
          <w:rFonts w:ascii="Arial" w:hAnsi="Arial" w:cs="Arial"/>
          <w:sz w:val="24"/>
          <w:szCs w:val="24"/>
        </w:rPr>
        <w:t xml:space="preserve"> performing arts educators with evidence-based strategies for managing MPA. Integrating this understanding into my research is essential, as it positions MPA not merely as an individual concern, but as a condition closely tied to the wider structural challenges within Portugal’s artistic sector</w:t>
      </w:r>
    </w:p>
    <w:p w14:paraId="5162E88B" w14:textId="77777777" w:rsidR="002675A1" w:rsidRDefault="001A6EAE" w:rsidP="00C0719C">
      <w:pPr>
        <w:spacing w:line="360" w:lineRule="auto"/>
        <w:jc w:val="both"/>
        <w:rPr>
          <w:rFonts w:ascii="Arial" w:hAnsi="Arial" w:cs="Arial"/>
          <w:sz w:val="24"/>
          <w:szCs w:val="24"/>
        </w:rPr>
      </w:pPr>
      <w:r w:rsidRPr="001A6EAE">
        <w:rPr>
          <w:rFonts w:ascii="Arial" w:hAnsi="Arial" w:cs="Arial"/>
          <w:sz w:val="24"/>
          <w:szCs w:val="24"/>
        </w:rPr>
        <w:t>Therefore, in this study, I aim to investigate the most effective evidence-based strategies for coping with MPA in educational contexts. Additionally, I intend to explore the relevance of implementing these strategies within the specific context of Portugal.</w:t>
      </w:r>
      <w:r w:rsidR="00C0719C">
        <w:rPr>
          <w:rFonts w:ascii="Arial" w:hAnsi="Arial" w:cs="Arial"/>
          <w:sz w:val="24"/>
          <w:szCs w:val="24"/>
        </w:rPr>
        <w:t xml:space="preserve"> </w:t>
      </w:r>
      <w:r w:rsidR="002675A1">
        <w:rPr>
          <w:rFonts w:ascii="Arial" w:hAnsi="Arial" w:cs="Arial"/>
          <w:sz w:val="24"/>
          <w:szCs w:val="24"/>
        </w:rPr>
        <w:t>A</w:t>
      </w:r>
      <w:r w:rsidR="002675A1" w:rsidRPr="00812D96">
        <w:rPr>
          <w:rFonts w:ascii="Arial" w:hAnsi="Arial" w:cs="Arial"/>
          <w:sz w:val="24"/>
          <w:szCs w:val="24"/>
        </w:rPr>
        <w:t xml:space="preserve"> more robust theoretical understanding of MPA must consider not only its psychological dimensions but also its social and institutional contexts. Addressing MPA in Portugal, therefore, requires moving beyond individual-level solutions and toward pedagogical frameworks that empower teachers to </w:t>
      </w:r>
      <w:r w:rsidR="002675A1" w:rsidRPr="00812D96">
        <w:rPr>
          <w:rFonts w:ascii="Arial" w:hAnsi="Arial" w:cs="Arial"/>
          <w:sz w:val="24"/>
          <w:szCs w:val="24"/>
        </w:rPr>
        <w:lastRenderedPageBreak/>
        <w:t>recognize, understand, and implement evidence-based coping strategies within realistic, resource-constrained environments. This reframing of MPA as both a mental health and an educational access issue is central to the direction of my research.</w:t>
      </w:r>
    </w:p>
    <w:p w14:paraId="5A8008FE" w14:textId="77777777" w:rsidR="00C52BAF" w:rsidRDefault="00B92F47" w:rsidP="00C0719C">
      <w:pPr>
        <w:spacing w:line="360" w:lineRule="auto"/>
        <w:jc w:val="both"/>
        <w:rPr>
          <w:rFonts w:ascii="Arial" w:hAnsi="Arial" w:cs="Arial"/>
          <w:b/>
          <w:bCs/>
          <w:color w:val="000000" w:themeColor="text1"/>
          <w:sz w:val="24"/>
          <w:szCs w:val="24"/>
        </w:rPr>
      </w:pPr>
      <w:r>
        <w:rPr>
          <w:rFonts w:ascii="Arial" w:hAnsi="Arial" w:cs="Arial"/>
          <w:sz w:val="24"/>
          <w:szCs w:val="24"/>
        </w:rPr>
        <w:t>This study</w:t>
      </w:r>
      <w:r w:rsidR="005944C9">
        <w:rPr>
          <w:rFonts w:ascii="Arial" w:hAnsi="Arial" w:cs="Arial"/>
          <w:sz w:val="24"/>
          <w:szCs w:val="24"/>
        </w:rPr>
        <w:t xml:space="preserve"> therefore</w:t>
      </w:r>
      <w:r>
        <w:rPr>
          <w:rFonts w:ascii="Arial" w:hAnsi="Arial" w:cs="Arial"/>
          <w:sz w:val="24"/>
          <w:szCs w:val="24"/>
        </w:rPr>
        <w:t xml:space="preserve"> aims to answer</w:t>
      </w:r>
      <w:r w:rsidR="00B53254">
        <w:rPr>
          <w:rFonts w:ascii="Arial" w:hAnsi="Arial" w:cs="Arial"/>
          <w:sz w:val="24"/>
          <w:szCs w:val="24"/>
        </w:rPr>
        <w:t xml:space="preserve"> the question - </w:t>
      </w:r>
      <w:r w:rsidR="00C52BAF" w:rsidRPr="006F7B9F">
        <w:rPr>
          <w:rFonts w:ascii="Arial" w:hAnsi="Arial" w:cs="Arial"/>
          <w:b/>
          <w:bCs/>
          <w:color w:val="000000" w:themeColor="text1"/>
          <w:sz w:val="24"/>
          <w:szCs w:val="24"/>
        </w:rPr>
        <w:t xml:space="preserve">Which evidence-based strategies are most effective in managing Music Performance Anxiety (MPA), and </w:t>
      </w:r>
      <w:r w:rsidR="00C52BAF" w:rsidRPr="00B53632">
        <w:rPr>
          <w:rFonts w:ascii="Arial" w:hAnsi="Arial" w:cs="Arial"/>
          <w:b/>
          <w:bCs/>
          <w:color w:val="000000" w:themeColor="text1"/>
          <w:sz w:val="24"/>
          <w:szCs w:val="24"/>
        </w:rPr>
        <w:t>how can they be meaningfully implemented</w:t>
      </w:r>
      <w:r w:rsidR="00C52BAF" w:rsidRPr="006F7B9F">
        <w:rPr>
          <w:rFonts w:ascii="Arial" w:hAnsi="Arial" w:cs="Arial"/>
          <w:b/>
          <w:bCs/>
          <w:color w:val="000000" w:themeColor="text1"/>
          <w:sz w:val="24"/>
          <w:szCs w:val="24"/>
        </w:rPr>
        <w:t xml:space="preserve"> within the context of Portugal’s </w:t>
      </w:r>
      <w:r w:rsidR="00C52BAF">
        <w:rPr>
          <w:rFonts w:ascii="Arial" w:hAnsi="Arial" w:cs="Arial"/>
          <w:b/>
          <w:bCs/>
          <w:color w:val="000000" w:themeColor="text1"/>
          <w:sz w:val="24"/>
          <w:szCs w:val="24"/>
        </w:rPr>
        <w:t>educational</w:t>
      </w:r>
      <w:r w:rsidR="00C52BAF" w:rsidRPr="006F7B9F">
        <w:rPr>
          <w:rFonts w:ascii="Arial" w:hAnsi="Arial" w:cs="Arial"/>
          <w:b/>
          <w:bCs/>
          <w:color w:val="000000" w:themeColor="text1"/>
          <w:sz w:val="24"/>
          <w:szCs w:val="24"/>
        </w:rPr>
        <w:t xml:space="preserve"> artistic sector?</w:t>
      </w:r>
    </w:p>
    <w:p w14:paraId="7CE5D2B5" w14:textId="77777777" w:rsidR="00B53254" w:rsidRDefault="00B53254" w:rsidP="00B92F47">
      <w:pPr>
        <w:spacing w:line="360" w:lineRule="auto"/>
        <w:jc w:val="both"/>
        <w:rPr>
          <w:rFonts w:ascii="Arial" w:hAnsi="Arial" w:cs="Arial"/>
          <w:b/>
          <w:bCs/>
          <w:color w:val="000000" w:themeColor="text1"/>
          <w:sz w:val="24"/>
          <w:szCs w:val="24"/>
        </w:rPr>
      </w:pPr>
    </w:p>
    <w:p w14:paraId="17D1732D" w14:textId="77777777" w:rsidR="00637B6F" w:rsidRDefault="00637B6F" w:rsidP="00637B6F">
      <w:pPr>
        <w:rPr>
          <w:b/>
          <w:bCs/>
        </w:rPr>
      </w:pPr>
    </w:p>
    <w:p w14:paraId="593C3DEB" w14:textId="77777777" w:rsidR="00B92F47" w:rsidRPr="007336FA" w:rsidRDefault="00637B6F" w:rsidP="007336FA">
      <w:pPr>
        <w:spacing w:line="360" w:lineRule="auto"/>
        <w:rPr>
          <w:rFonts w:ascii="Arial" w:hAnsi="Arial" w:cs="Arial"/>
          <w:b/>
          <w:bCs/>
          <w:sz w:val="24"/>
          <w:szCs w:val="24"/>
        </w:rPr>
      </w:pPr>
      <w:r w:rsidRPr="007336FA">
        <w:rPr>
          <w:rFonts w:ascii="Arial" w:hAnsi="Arial" w:cs="Arial"/>
          <w:b/>
          <w:bCs/>
          <w:sz w:val="24"/>
          <w:szCs w:val="24"/>
        </w:rPr>
        <w:t xml:space="preserve">Phase 4: Active Experimentation </w:t>
      </w:r>
    </w:p>
    <w:p w14:paraId="77203F87" w14:textId="77777777" w:rsidR="00B92F47" w:rsidRDefault="00B92F47" w:rsidP="00C0719C">
      <w:pPr>
        <w:spacing w:line="360" w:lineRule="auto"/>
        <w:jc w:val="both"/>
        <w:rPr>
          <w:rFonts w:ascii="Arial" w:hAnsi="Arial" w:cs="Arial"/>
          <w:sz w:val="24"/>
          <w:szCs w:val="24"/>
        </w:rPr>
      </w:pPr>
      <w:r w:rsidRPr="006F7B9F">
        <w:rPr>
          <w:rFonts w:ascii="Arial" w:hAnsi="Arial" w:cs="Arial"/>
          <w:sz w:val="24"/>
          <w:szCs w:val="24"/>
        </w:rPr>
        <w:t>To identify the most effective evidence-based strategies for MPA and to explore the significance of implementing these strategies within the context of Portugal’s structurally precarious artistic sector.</w:t>
      </w:r>
      <w:r>
        <w:rPr>
          <w:rFonts w:ascii="Arial" w:hAnsi="Arial" w:cs="Arial"/>
          <w:sz w:val="24"/>
          <w:szCs w:val="24"/>
        </w:rPr>
        <w:t xml:space="preserve"> I </w:t>
      </w:r>
      <w:r w:rsidR="005944C9">
        <w:rPr>
          <w:rFonts w:ascii="Arial" w:hAnsi="Arial" w:cs="Arial"/>
          <w:sz w:val="24"/>
          <w:szCs w:val="24"/>
        </w:rPr>
        <w:t>intend</w:t>
      </w:r>
      <w:r>
        <w:rPr>
          <w:rFonts w:ascii="Arial" w:hAnsi="Arial" w:cs="Arial"/>
          <w:sz w:val="24"/>
          <w:szCs w:val="24"/>
        </w:rPr>
        <w:t xml:space="preserve"> to answer some sub questions important to focus my research:</w:t>
      </w:r>
    </w:p>
    <w:p w14:paraId="2B32121C" w14:textId="77777777" w:rsidR="00B92F47" w:rsidRPr="006F7B9F" w:rsidRDefault="00B92F47" w:rsidP="00B92F47">
      <w:pPr>
        <w:numPr>
          <w:ilvl w:val="0"/>
          <w:numId w:val="30"/>
        </w:numPr>
        <w:spacing w:line="360" w:lineRule="auto"/>
        <w:rPr>
          <w:rFonts w:ascii="Arial" w:hAnsi="Arial" w:cs="Arial"/>
          <w:sz w:val="24"/>
          <w:szCs w:val="24"/>
        </w:rPr>
      </w:pPr>
      <w:r w:rsidRPr="006F7B9F">
        <w:rPr>
          <w:rFonts w:ascii="Arial" w:hAnsi="Arial" w:cs="Arial"/>
          <w:sz w:val="24"/>
          <w:szCs w:val="24"/>
        </w:rPr>
        <w:t xml:space="preserve">What </w:t>
      </w:r>
      <w:proofErr w:type="gramStart"/>
      <w:r w:rsidRPr="006F7B9F">
        <w:rPr>
          <w:rFonts w:ascii="Arial" w:hAnsi="Arial" w:cs="Arial"/>
          <w:sz w:val="24"/>
          <w:szCs w:val="24"/>
        </w:rPr>
        <w:t>are</w:t>
      </w:r>
      <w:proofErr w:type="gramEnd"/>
      <w:r w:rsidRPr="006F7B9F">
        <w:rPr>
          <w:rFonts w:ascii="Arial" w:hAnsi="Arial" w:cs="Arial"/>
          <w:sz w:val="24"/>
          <w:szCs w:val="24"/>
        </w:rPr>
        <w:t xml:space="preserve"> the </w:t>
      </w:r>
      <w:r w:rsidR="00A4040E" w:rsidRPr="006F7B9F">
        <w:rPr>
          <w:rFonts w:ascii="Arial" w:hAnsi="Arial" w:cs="Arial"/>
          <w:sz w:val="24"/>
          <w:szCs w:val="24"/>
        </w:rPr>
        <w:t>most recognized</w:t>
      </w:r>
      <w:r w:rsidRPr="006F7B9F">
        <w:rPr>
          <w:rFonts w:ascii="Arial" w:hAnsi="Arial" w:cs="Arial"/>
          <w:sz w:val="24"/>
          <w:szCs w:val="24"/>
        </w:rPr>
        <w:t xml:space="preserve"> evidence-based strategies for managing MPA</w:t>
      </w:r>
      <w:r w:rsidR="00A4040E">
        <w:rPr>
          <w:rFonts w:ascii="Arial" w:hAnsi="Arial" w:cs="Arial"/>
          <w:sz w:val="24"/>
          <w:szCs w:val="24"/>
        </w:rPr>
        <w:t xml:space="preserve"> and what are the </w:t>
      </w:r>
      <w:r w:rsidR="005944C9">
        <w:rPr>
          <w:rFonts w:ascii="Arial" w:hAnsi="Arial" w:cs="Arial"/>
          <w:sz w:val="24"/>
          <w:szCs w:val="24"/>
        </w:rPr>
        <w:t>most</w:t>
      </w:r>
      <w:r w:rsidR="00A4040E">
        <w:rPr>
          <w:rFonts w:ascii="Arial" w:hAnsi="Arial" w:cs="Arial"/>
          <w:sz w:val="24"/>
          <w:szCs w:val="24"/>
        </w:rPr>
        <w:t xml:space="preserve"> effective in education context</w:t>
      </w:r>
      <w:r w:rsidRPr="006F7B9F">
        <w:rPr>
          <w:rFonts w:ascii="Arial" w:hAnsi="Arial" w:cs="Arial"/>
          <w:sz w:val="24"/>
          <w:szCs w:val="24"/>
        </w:rPr>
        <w:t>?</w:t>
      </w:r>
    </w:p>
    <w:p w14:paraId="3AED7D96" w14:textId="77777777" w:rsidR="00B92F47" w:rsidRPr="006F7B9F" w:rsidRDefault="00B92F47" w:rsidP="00B92F47">
      <w:pPr>
        <w:numPr>
          <w:ilvl w:val="0"/>
          <w:numId w:val="30"/>
        </w:numPr>
        <w:spacing w:line="360" w:lineRule="auto"/>
        <w:rPr>
          <w:rFonts w:ascii="Arial" w:hAnsi="Arial" w:cs="Arial"/>
          <w:sz w:val="24"/>
          <w:szCs w:val="24"/>
        </w:rPr>
      </w:pPr>
      <w:r w:rsidRPr="006F7B9F">
        <w:rPr>
          <w:rFonts w:ascii="Arial" w:hAnsi="Arial" w:cs="Arial"/>
          <w:sz w:val="24"/>
          <w:szCs w:val="24"/>
        </w:rPr>
        <w:t>What structural and professional challenges in Portugal contribute to or intensify MPA among performers?</w:t>
      </w:r>
    </w:p>
    <w:p w14:paraId="43F7ACEC" w14:textId="77777777" w:rsidR="00B92F47" w:rsidRPr="006F7B9F" w:rsidRDefault="00B92F47" w:rsidP="00B92F47">
      <w:pPr>
        <w:numPr>
          <w:ilvl w:val="0"/>
          <w:numId w:val="30"/>
        </w:numPr>
        <w:spacing w:line="360" w:lineRule="auto"/>
        <w:rPr>
          <w:rFonts w:ascii="Arial" w:hAnsi="Arial" w:cs="Arial"/>
          <w:sz w:val="24"/>
          <w:szCs w:val="24"/>
        </w:rPr>
      </w:pPr>
      <w:r w:rsidRPr="006F7B9F">
        <w:rPr>
          <w:rFonts w:ascii="Arial" w:hAnsi="Arial" w:cs="Arial"/>
          <w:sz w:val="24"/>
          <w:szCs w:val="24"/>
        </w:rPr>
        <w:t>To what extent are these strategies currently implemented or understood in Portuguese artistic and educational contexts?</w:t>
      </w:r>
    </w:p>
    <w:p w14:paraId="0FB1B3E0" w14:textId="77777777" w:rsidR="00B92F47" w:rsidRDefault="00B92F47" w:rsidP="00B92F47">
      <w:pPr>
        <w:numPr>
          <w:ilvl w:val="0"/>
          <w:numId w:val="30"/>
        </w:numPr>
        <w:spacing w:line="360" w:lineRule="auto"/>
        <w:rPr>
          <w:rFonts w:ascii="Arial" w:hAnsi="Arial" w:cs="Arial"/>
          <w:sz w:val="24"/>
          <w:szCs w:val="24"/>
        </w:rPr>
      </w:pPr>
      <w:r w:rsidRPr="006F7B9F">
        <w:rPr>
          <w:rFonts w:ascii="Arial" w:hAnsi="Arial" w:cs="Arial"/>
          <w:sz w:val="24"/>
          <w:szCs w:val="24"/>
        </w:rPr>
        <w:t>How could the integration of MPA interventions improve student and professional outcomes in Portugal’s performing arts sector?</w:t>
      </w:r>
    </w:p>
    <w:p w14:paraId="2F4E5F8F" w14:textId="77777777" w:rsidR="005944C9" w:rsidRPr="00CD7978" w:rsidRDefault="005944C9" w:rsidP="00CD7978">
      <w:pPr>
        <w:spacing w:line="360" w:lineRule="auto"/>
        <w:ind w:left="720"/>
        <w:rPr>
          <w:rFonts w:ascii="Arial" w:hAnsi="Arial" w:cs="Arial"/>
          <w:sz w:val="24"/>
          <w:szCs w:val="24"/>
        </w:rPr>
      </w:pPr>
    </w:p>
    <w:p w14:paraId="6CB4B9DA" w14:textId="77777777" w:rsidR="00134D95" w:rsidRPr="00134D95" w:rsidRDefault="00134D95" w:rsidP="00134D95">
      <w:pPr>
        <w:tabs>
          <w:tab w:val="num" w:pos="720"/>
        </w:tabs>
        <w:spacing w:line="360" w:lineRule="auto"/>
        <w:rPr>
          <w:rFonts w:ascii="Arial" w:hAnsi="Arial" w:cs="Arial"/>
          <w:sz w:val="24"/>
          <w:szCs w:val="24"/>
        </w:rPr>
      </w:pPr>
      <w:r w:rsidRPr="00134D95">
        <w:rPr>
          <w:rFonts w:ascii="Arial" w:hAnsi="Arial" w:cs="Arial"/>
          <w:sz w:val="24"/>
          <w:szCs w:val="24"/>
        </w:rPr>
        <w:t>To address these questions, the following actions will be undertaken:</w:t>
      </w:r>
    </w:p>
    <w:p w14:paraId="6C4AD648" w14:textId="77777777" w:rsidR="00134D95" w:rsidRPr="00134D95" w:rsidRDefault="00134D95" w:rsidP="00C0719C">
      <w:pPr>
        <w:numPr>
          <w:ilvl w:val="0"/>
          <w:numId w:val="38"/>
        </w:numPr>
        <w:spacing w:line="360" w:lineRule="auto"/>
        <w:jc w:val="both"/>
        <w:rPr>
          <w:rFonts w:ascii="Arial" w:hAnsi="Arial" w:cs="Arial"/>
          <w:sz w:val="24"/>
          <w:szCs w:val="24"/>
        </w:rPr>
      </w:pPr>
      <w:r w:rsidRPr="00134D95">
        <w:rPr>
          <w:rFonts w:ascii="Arial" w:hAnsi="Arial" w:cs="Arial"/>
          <w:b/>
          <w:bCs/>
          <w:sz w:val="24"/>
          <w:szCs w:val="24"/>
        </w:rPr>
        <w:t>Systematic Literature Review of International Evidence-Based Interventions</w:t>
      </w:r>
      <w:r w:rsidRPr="00134D95">
        <w:rPr>
          <w:rFonts w:ascii="Arial" w:hAnsi="Arial" w:cs="Arial"/>
          <w:sz w:val="24"/>
          <w:szCs w:val="24"/>
        </w:rPr>
        <w:br/>
        <w:t xml:space="preserve">A comprehensive review and critical evaluation of existing evidence-based coping strategies for MPA will be conducted, encompassing psychological </w:t>
      </w:r>
      <w:r w:rsidRPr="00134D95">
        <w:rPr>
          <w:rFonts w:ascii="Arial" w:hAnsi="Arial" w:cs="Arial"/>
          <w:sz w:val="24"/>
          <w:szCs w:val="24"/>
        </w:rPr>
        <w:lastRenderedPageBreak/>
        <w:t>(e.g., cognitive-behavioral therapy, mindfulness), behavioral (e.g., exposure training, relaxation techniques), and pedagogical (e.g., curriculum integration, supportive teaching practices) interventions. This review will focus specifically on their applicability in educational contexts. The databases consulted will include Google Scholar, Elicit, JSTOR, PubMed, ScienceDirect, ResearchGate, and SAGE Journals. Only peer-reviewed articles published within the past decade will be considered, and studies unrelated to educational settings or lacking empirical grounding in coping strategies for MPA will be excluded.</w:t>
      </w:r>
    </w:p>
    <w:p w14:paraId="0E0B6C30" w14:textId="77777777" w:rsidR="00134D95" w:rsidRPr="00134D95" w:rsidRDefault="00134D95" w:rsidP="00134D95">
      <w:pPr>
        <w:numPr>
          <w:ilvl w:val="0"/>
          <w:numId w:val="38"/>
        </w:numPr>
        <w:spacing w:line="360" w:lineRule="auto"/>
        <w:rPr>
          <w:rFonts w:ascii="Arial" w:hAnsi="Arial" w:cs="Arial"/>
          <w:sz w:val="24"/>
          <w:szCs w:val="24"/>
        </w:rPr>
      </w:pPr>
      <w:r w:rsidRPr="00134D95">
        <w:rPr>
          <w:rFonts w:ascii="Arial" w:hAnsi="Arial" w:cs="Arial"/>
          <w:b/>
          <w:bCs/>
          <w:sz w:val="24"/>
          <w:szCs w:val="24"/>
        </w:rPr>
        <w:t>Contextual Analysis of Structural Challenges in Portugal</w:t>
      </w:r>
      <w:r w:rsidRPr="00134D95">
        <w:rPr>
          <w:rFonts w:ascii="Arial" w:hAnsi="Arial" w:cs="Arial"/>
          <w:sz w:val="24"/>
          <w:szCs w:val="24"/>
        </w:rPr>
        <w:br/>
        <w:t>This part of the research aims to explore the broader systemic, economic, and institutional conditions in Portugal that may exacerbate or sustain MPA among performers. It will examine precarious working conditions, lack of institutional mental health support, and professional uncertainties that characterize the performing arts sector. The same academic databases will be used to gather literature and policy analyses relevant to the Portuguese context.</w:t>
      </w:r>
    </w:p>
    <w:p w14:paraId="674233CB" w14:textId="77777777" w:rsidR="00134D95" w:rsidRPr="00134D95" w:rsidRDefault="00134D95" w:rsidP="00134D95">
      <w:pPr>
        <w:numPr>
          <w:ilvl w:val="0"/>
          <w:numId w:val="38"/>
        </w:numPr>
        <w:spacing w:line="360" w:lineRule="auto"/>
        <w:rPr>
          <w:rFonts w:ascii="Arial" w:hAnsi="Arial" w:cs="Arial"/>
          <w:sz w:val="24"/>
          <w:szCs w:val="24"/>
        </w:rPr>
      </w:pPr>
      <w:r w:rsidRPr="00134D95">
        <w:rPr>
          <w:rFonts w:ascii="Arial" w:hAnsi="Arial" w:cs="Arial"/>
          <w:b/>
          <w:bCs/>
          <w:sz w:val="24"/>
          <w:szCs w:val="24"/>
        </w:rPr>
        <w:t>Scoping Review on the Awareness and Implementation of MPA Strategies in Portugal</w:t>
      </w:r>
      <w:r w:rsidRPr="00134D95">
        <w:rPr>
          <w:rFonts w:ascii="Arial" w:hAnsi="Arial" w:cs="Arial"/>
          <w:sz w:val="24"/>
          <w:szCs w:val="24"/>
        </w:rPr>
        <w:br/>
        <w:t>A focused scoping review will be undertaken to examine the current state of awareness, access, and implementation of MPA-related interventions among Portuguese educators and performers. This review will use the same methodological criteria as outlined in the first step, but will be limited to studies, reports, and academic publications that specifically address the Portuguese educational and artistic landscape.</w:t>
      </w:r>
    </w:p>
    <w:p w14:paraId="71C9E216" w14:textId="77777777" w:rsidR="002919E5" w:rsidRDefault="002919E5" w:rsidP="00CD7978">
      <w:pPr>
        <w:tabs>
          <w:tab w:val="num" w:pos="720"/>
        </w:tabs>
        <w:spacing w:line="360" w:lineRule="auto"/>
        <w:rPr>
          <w:rFonts w:ascii="Arial" w:hAnsi="Arial" w:cs="Arial"/>
          <w:sz w:val="24"/>
          <w:szCs w:val="24"/>
        </w:rPr>
      </w:pPr>
    </w:p>
    <w:p w14:paraId="68F3630C" w14:textId="77777777" w:rsidR="00134D95" w:rsidRDefault="00134D95" w:rsidP="00CD7978">
      <w:pPr>
        <w:tabs>
          <w:tab w:val="num" w:pos="720"/>
        </w:tabs>
        <w:spacing w:line="360" w:lineRule="auto"/>
        <w:rPr>
          <w:rFonts w:ascii="Arial" w:hAnsi="Arial" w:cs="Arial"/>
          <w:sz w:val="24"/>
          <w:szCs w:val="24"/>
        </w:rPr>
      </w:pPr>
      <w:r w:rsidRPr="00134D95">
        <w:rPr>
          <w:rFonts w:ascii="Arial" w:hAnsi="Arial" w:cs="Arial"/>
          <w:sz w:val="24"/>
          <w:szCs w:val="24"/>
        </w:rPr>
        <w:t xml:space="preserve">These actions are designed not only to inform the current stage of inquiry but also to lay the groundwork for future directions in research and practice. The ultimate long-term objectives of this work are twofold: </w:t>
      </w:r>
    </w:p>
    <w:p w14:paraId="5C2BA357" w14:textId="77777777" w:rsidR="00134D95" w:rsidRDefault="00134D95" w:rsidP="00134D95">
      <w:pPr>
        <w:pStyle w:val="PargrafodaLista"/>
        <w:numPr>
          <w:ilvl w:val="0"/>
          <w:numId w:val="39"/>
        </w:numPr>
        <w:tabs>
          <w:tab w:val="num" w:pos="720"/>
        </w:tabs>
        <w:spacing w:line="360" w:lineRule="auto"/>
        <w:rPr>
          <w:rFonts w:ascii="Arial" w:hAnsi="Arial" w:cs="Arial"/>
          <w:sz w:val="24"/>
          <w:szCs w:val="24"/>
        </w:rPr>
      </w:pPr>
      <w:r>
        <w:rPr>
          <w:rFonts w:ascii="Arial" w:hAnsi="Arial" w:cs="Arial"/>
          <w:sz w:val="24"/>
          <w:szCs w:val="24"/>
        </w:rPr>
        <w:t>T</w:t>
      </w:r>
      <w:r w:rsidRPr="00134D95">
        <w:rPr>
          <w:rFonts w:ascii="Arial" w:hAnsi="Arial" w:cs="Arial"/>
          <w:sz w:val="24"/>
          <w:szCs w:val="24"/>
        </w:rPr>
        <w:t xml:space="preserve">o assess the potential for integrating MPA management strategies into performing arts education and professional training in </w:t>
      </w:r>
      <w:proofErr w:type="gramStart"/>
      <w:r w:rsidRPr="00134D95">
        <w:rPr>
          <w:rFonts w:ascii="Arial" w:hAnsi="Arial" w:cs="Arial"/>
          <w:sz w:val="24"/>
          <w:szCs w:val="24"/>
        </w:rPr>
        <w:t>Portugal;</w:t>
      </w:r>
      <w:proofErr w:type="gramEnd"/>
      <w:r w:rsidRPr="00134D95">
        <w:rPr>
          <w:rFonts w:ascii="Arial" w:hAnsi="Arial" w:cs="Arial"/>
          <w:sz w:val="24"/>
          <w:szCs w:val="24"/>
        </w:rPr>
        <w:t xml:space="preserve"> </w:t>
      </w:r>
    </w:p>
    <w:p w14:paraId="11263499" w14:textId="77777777" w:rsidR="00134D95" w:rsidRDefault="00134D95" w:rsidP="00134D95">
      <w:pPr>
        <w:pStyle w:val="PargrafodaLista"/>
        <w:numPr>
          <w:ilvl w:val="0"/>
          <w:numId w:val="39"/>
        </w:numPr>
        <w:tabs>
          <w:tab w:val="num" w:pos="720"/>
        </w:tabs>
        <w:spacing w:line="360" w:lineRule="auto"/>
        <w:rPr>
          <w:rFonts w:ascii="Arial" w:hAnsi="Arial" w:cs="Arial"/>
          <w:sz w:val="24"/>
          <w:szCs w:val="24"/>
        </w:rPr>
      </w:pPr>
      <w:r>
        <w:rPr>
          <w:rFonts w:ascii="Arial" w:hAnsi="Arial" w:cs="Arial"/>
          <w:sz w:val="24"/>
          <w:szCs w:val="24"/>
        </w:rPr>
        <w:lastRenderedPageBreak/>
        <w:t>T</w:t>
      </w:r>
      <w:r w:rsidRPr="00134D95">
        <w:rPr>
          <w:rFonts w:ascii="Arial" w:hAnsi="Arial" w:cs="Arial"/>
          <w:sz w:val="24"/>
          <w:szCs w:val="24"/>
        </w:rPr>
        <w:t xml:space="preserve">o advocate for pedagogical and institutional change based on findings that demonstrate the value of proactive MPA support in sustaining artistic careers. </w:t>
      </w:r>
    </w:p>
    <w:p w14:paraId="01BC8BF5" w14:textId="77777777" w:rsidR="00134D95" w:rsidRPr="00134D95" w:rsidRDefault="00134D95" w:rsidP="00134D95">
      <w:pPr>
        <w:tabs>
          <w:tab w:val="num" w:pos="720"/>
        </w:tabs>
        <w:spacing w:line="360" w:lineRule="auto"/>
        <w:rPr>
          <w:rFonts w:ascii="Arial" w:hAnsi="Arial" w:cs="Arial"/>
          <w:sz w:val="24"/>
          <w:szCs w:val="24"/>
        </w:rPr>
      </w:pPr>
      <w:r w:rsidRPr="00134D95">
        <w:rPr>
          <w:rFonts w:ascii="Arial" w:hAnsi="Arial" w:cs="Arial"/>
          <w:sz w:val="24"/>
          <w:szCs w:val="24"/>
        </w:rPr>
        <w:t>These objectives are envisioned as forward-looking outcomes that may guide future investigations, policy development, and curricular innovation. While not the immediate goals of the present study, they provide a strategic framework for its practical and scholarly relevance.</w:t>
      </w:r>
    </w:p>
    <w:p w14:paraId="13942699" w14:textId="77777777" w:rsidR="002919E5" w:rsidRDefault="002919E5" w:rsidP="000C32E0">
      <w:pPr>
        <w:spacing w:line="360" w:lineRule="auto"/>
        <w:jc w:val="both"/>
        <w:rPr>
          <w:rFonts w:ascii="Arial" w:hAnsi="Arial" w:cs="Arial"/>
          <w:sz w:val="24"/>
          <w:szCs w:val="24"/>
        </w:rPr>
      </w:pPr>
    </w:p>
    <w:p w14:paraId="3599768D" w14:textId="77777777" w:rsidR="002919E5" w:rsidRDefault="002919E5" w:rsidP="000C32E0">
      <w:pPr>
        <w:spacing w:line="360" w:lineRule="auto"/>
        <w:jc w:val="both"/>
        <w:rPr>
          <w:rFonts w:ascii="Arial" w:hAnsi="Arial" w:cs="Arial"/>
          <w:sz w:val="24"/>
          <w:szCs w:val="24"/>
        </w:rPr>
      </w:pPr>
    </w:p>
    <w:p w14:paraId="5B65D730" w14:textId="77777777" w:rsidR="002A2067" w:rsidRDefault="002A2067" w:rsidP="002A2067">
      <w:pPr>
        <w:pStyle w:val="PargrafodaLista"/>
        <w:numPr>
          <w:ilvl w:val="0"/>
          <w:numId w:val="3"/>
        </w:numPr>
        <w:spacing w:after="0" w:line="360" w:lineRule="auto"/>
        <w:jc w:val="both"/>
        <w:rPr>
          <w:rFonts w:ascii="Arial" w:hAnsi="Arial" w:cs="Arial"/>
          <w:sz w:val="24"/>
          <w:szCs w:val="24"/>
        </w:rPr>
      </w:pPr>
      <w:bookmarkStart w:id="1" w:name="_Hlk199769758"/>
      <w:r w:rsidRPr="00AA5573">
        <w:rPr>
          <w:rFonts w:ascii="Arial" w:hAnsi="Arial" w:cs="Arial"/>
          <w:sz w:val="24"/>
          <w:szCs w:val="24"/>
        </w:rPr>
        <w:t>WRITTEN ASSIGNMENT</w:t>
      </w:r>
    </w:p>
    <w:p w14:paraId="6CFD2FB7" w14:textId="77777777" w:rsidR="00364868" w:rsidRPr="00AA5573" w:rsidRDefault="00364868" w:rsidP="00364868">
      <w:pPr>
        <w:pStyle w:val="PargrafodaLista"/>
        <w:spacing w:after="0" w:line="360" w:lineRule="auto"/>
        <w:jc w:val="both"/>
        <w:rPr>
          <w:rFonts w:ascii="Arial" w:hAnsi="Arial" w:cs="Arial"/>
          <w:sz w:val="24"/>
          <w:szCs w:val="24"/>
        </w:rPr>
      </w:pPr>
    </w:p>
    <w:p w14:paraId="481C732B" w14:textId="77777777" w:rsidR="002A2067" w:rsidRDefault="002A2067" w:rsidP="000C32E0">
      <w:pPr>
        <w:spacing w:line="360" w:lineRule="auto"/>
        <w:jc w:val="both"/>
        <w:rPr>
          <w:rFonts w:ascii="Arial" w:hAnsi="Arial" w:cs="Arial"/>
          <w:sz w:val="24"/>
          <w:szCs w:val="24"/>
        </w:rPr>
      </w:pPr>
    </w:p>
    <w:p w14:paraId="067B23D9" w14:textId="77777777" w:rsidR="00032AFC" w:rsidRDefault="00032AFC" w:rsidP="000C32E0">
      <w:pPr>
        <w:spacing w:line="360" w:lineRule="auto"/>
        <w:jc w:val="both"/>
        <w:rPr>
          <w:rFonts w:ascii="Arial" w:hAnsi="Arial" w:cs="Arial"/>
          <w:sz w:val="24"/>
          <w:szCs w:val="24"/>
        </w:rPr>
      </w:pPr>
      <w:r>
        <w:rPr>
          <w:rFonts w:ascii="Arial" w:hAnsi="Arial" w:cs="Arial"/>
          <w:sz w:val="24"/>
          <w:szCs w:val="24"/>
        </w:rPr>
        <w:t xml:space="preserve">INTRODUCTION </w:t>
      </w:r>
      <w:r w:rsidR="00945D07">
        <w:rPr>
          <w:rFonts w:ascii="Arial" w:hAnsi="Arial" w:cs="Arial"/>
          <w:sz w:val="24"/>
          <w:szCs w:val="24"/>
        </w:rPr>
        <w:t xml:space="preserve">  </w:t>
      </w:r>
    </w:p>
    <w:p w14:paraId="3D1AEC89" w14:textId="77777777" w:rsidR="002919E5" w:rsidRDefault="002919E5" w:rsidP="000C32E0">
      <w:pPr>
        <w:spacing w:line="360" w:lineRule="auto"/>
        <w:jc w:val="both"/>
        <w:rPr>
          <w:rFonts w:ascii="Arial" w:hAnsi="Arial" w:cs="Arial"/>
          <w:sz w:val="24"/>
          <w:szCs w:val="24"/>
        </w:rPr>
      </w:pPr>
    </w:p>
    <w:p w14:paraId="4CF12028" w14:textId="77777777" w:rsidR="002919E5" w:rsidRDefault="00360246" w:rsidP="002919E5">
      <w:pPr>
        <w:spacing w:line="360" w:lineRule="auto"/>
        <w:jc w:val="both"/>
        <w:rPr>
          <w:rFonts w:ascii="Arial" w:hAnsi="Arial" w:cs="Arial"/>
          <w:sz w:val="24"/>
          <w:szCs w:val="24"/>
        </w:rPr>
      </w:pPr>
      <w:r w:rsidRPr="00360246">
        <w:rPr>
          <w:rFonts w:ascii="Arial" w:hAnsi="Arial" w:cs="Arial"/>
          <w:sz w:val="24"/>
          <w:szCs w:val="24"/>
        </w:rPr>
        <w:t>Music Performance Anxiety (MPA) is a widespread and multifaceted psychological phenomenon that affects musicians across all stages of development</w:t>
      </w:r>
      <w:r w:rsidR="004D7886">
        <w:rPr>
          <w:rFonts w:ascii="Arial" w:hAnsi="Arial" w:cs="Arial"/>
          <w:sz w:val="24"/>
          <w:szCs w:val="24"/>
        </w:rPr>
        <w:t xml:space="preserve">, </w:t>
      </w:r>
      <w:r w:rsidRPr="00360246">
        <w:rPr>
          <w:rFonts w:ascii="Arial" w:hAnsi="Arial" w:cs="Arial"/>
          <w:sz w:val="24"/>
          <w:szCs w:val="24"/>
        </w:rPr>
        <w:t xml:space="preserve">from </w:t>
      </w:r>
      <w:r w:rsidR="004D7886" w:rsidRPr="00360246">
        <w:rPr>
          <w:rFonts w:ascii="Arial" w:hAnsi="Arial" w:cs="Arial"/>
          <w:sz w:val="24"/>
          <w:szCs w:val="24"/>
        </w:rPr>
        <w:t>apprentice</w:t>
      </w:r>
      <w:r w:rsidRPr="00360246">
        <w:rPr>
          <w:rFonts w:ascii="Arial" w:hAnsi="Arial" w:cs="Arial"/>
          <w:sz w:val="24"/>
          <w:szCs w:val="24"/>
        </w:rPr>
        <w:t xml:space="preserve"> learners to </w:t>
      </w:r>
      <w:r w:rsidR="004D7886" w:rsidRPr="00360246">
        <w:rPr>
          <w:rFonts w:ascii="Arial" w:hAnsi="Arial" w:cs="Arial"/>
          <w:sz w:val="24"/>
          <w:szCs w:val="24"/>
        </w:rPr>
        <w:t>experienced</w:t>
      </w:r>
      <w:r w:rsidRPr="00360246">
        <w:rPr>
          <w:rFonts w:ascii="Arial" w:hAnsi="Arial" w:cs="Arial"/>
          <w:sz w:val="24"/>
          <w:szCs w:val="24"/>
        </w:rPr>
        <w:t xml:space="preserve"> professionals. Characterized by a range of cognitive, physiological, and behavioral symptoms, MPA can significantly hinder both the psychological well-being and performance capabilities of musicians. Over the past two decades, research has increasingly emphasized the need for comprehensive, evidence-based strategies to manage this condition, highlighting the efficacy of cognitive-behavioral interventions (CBT), physiological regulation techniques, and pedagogical support frameworks</w:t>
      </w:r>
      <w:r w:rsidR="0082576E">
        <w:rPr>
          <w:rFonts w:ascii="Arial" w:hAnsi="Arial" w:cs="Arial"/>
          <w:sz w:val="24"/>
          <w:szCs w:val="24"/>
        </w:rPr>
        <w:t xml:space="preserve"> </w:t>
      </w:r>
      <w:r w:rsidR="004D7886">
        <w:rPr>
          <w:rFonts w:ascii="Arial" w:hAnsi="Arial" w:cs="Arial"/>
          <w:sz w:val="24"/>
          <w:szCs w:val="24"/>
        </w:rPr>
        <w:fldChar w:fldCharType="begin"/>
      </w:r>
      <w:r w:rsidR="004D7886">
        <w:rPr>
          <w:rFonts w:ascii="Arial" w:hAnsi="Arial" w:cs="Arial"/>
          <w:sz w:val="24"/>
          <w:szCs w:val="24"/>
        </w:rPr>
        <w:instrText xml:space="preserve"> ADDIN ZOTERO_ITEM CSL_CITATION {"citationID":"ob69wJ1Z","properties":{"formattedCitation":"(Kenny, 2005; Zhukov, 2019; Boyett, 2020; Blair and Sluis, 2022)","plainCitation":"(Kenny, 2005; Zhukov, 2019; Boyett, 2020; Blair and Sluis, 2022)","noteIndex":0},"citationItems":[{"id":909,"uris":["http://zotero.org/users/local/hN5mtYaY/items/Z4Y4VJ2N"],"itemData":{"id":909,"type":"article-journal","abstract":"A systematic review of all available treatment studies for music performance anxiety was undertaken. Interventions were categorised into psychological treatments and pharmacological treatments. Psychological treatments included behavioral, cognitive, cognitive-behavioral, combined treatments and other therapies. Issues such as the number of studies in each treatment modality, their sample sizes and the methodological quality of most of the studies reviewed precluded firm conclusions about the effectiveness of any of the treatments assessed for music performance anxiety. The field is in urgent need of larger scale, methodologically rigorous studies to assist the large minority of musicians who suffer from performance impairing music performance anxiety. (PsycINFO Database Record (c) 2009 APA, all rights reserved) (journal abstract).","container-title":"Anxiety, Stress &amp; Coping: An International Journal","DOI":"10.1080/10615800500167258","ISSN":"1061-5806 1477-2205","journalAbbreviation":"Anxiety, Stress &amp; Coping: An International Journal","page":"183-208","source":"ResearchGate","title":"A Systematic Review of Treatments for Music Performance Anxiety","volume":"18","author":[{"family":"Kenny","given":"Dianna"}],"issued":{"date-parts":[["2005",9,1]]}}},{"id":819,"uris":["http://zotero.org/users/local/hN5mtYaY/items/TUTS5QIY"],"itemData":{"id":819,"type":"article-journal","abstract":"Music performance anxiety (MPA) is a complex area with many individual factors contributing to the level of anxiety experienced by musicians during live performances. This paper provides an overview of research literature on performance anxiety, intended for music teachers, students,\nand professional musicians, to highlight strategies that have been suggested to manage the accompanying physical and cognitive symptoms. Treatment of MPA includes mindfulness-based approaches, physiological/physically-based therapies, cognitive/behavioural therapies, prescribed medication,\nmusic therapy, and psychotherapy. The most popular approaches for managing the physical symptoms are relaxation techniques, in particular, deep breathing exercises, yoga, and meditation. Other strategies include Alexander technique, bio- and neuro-feedback, healthy lifestyle, and prescription\ndrugs. Self-handicapping and perfectionism are some of the examples of negative behaviours in musicians. Management of cognitive symptoms of MPA includes cognitive restructuring, realistic goal-setting, systematic desensitisation, music therapy, and/or psychotherapy. Combining behavioural\ntechniques with cognitive therapy strategies appears to be the most promising approach among interventions aimed at reducing MPA and improving the quality of music performance. Cautious interpretation of the efficacy of interventions is needed due to methodological weaknesses of some research,\nand this overview of current approaches is intended to facilitate understanding for those less familiar with this topic.","container-title":"Medical Problems of Performing Artists","DOI":"10.21091/mppa.2019.1008","issue":"1","journalAbbreviation":"Medical Problems of Performing Artists","page":"53-60","source":"IngentaConnect","title":"Current Approaches for Management of Music Performance Anxiety: An Introductory Overview","title-short":"Current Approaches for Management of Music Performance Anxiety","volume":"34","author":[{"family":"Zhukov","given":"Katie"}],"issued":{"date-parts":[["2019",3,1]]}}},{"id":851,"uris":["http://zotero.org/users/local/hN5mtYaY/items/2RC7823L"],"itemData":{"id":851,"type":"article-journal","container-title":"MTNA e-Journal","title":"“Music Performance Anxiety, The Role Of Teachers In Addressing Anxiety,”","author":[{"family":"Boyett","given":"Clara"}],"issued":{"date-parts":[["2020"]]}}},{"id":1018,"uris":["http://zotero.org/users/local/hN5mtYaY/items/8S65QRU2"],"itemData":{"id":1018,"type":"article-journal","abstract":"This systematic review includes a search of the literature covering the period 2005-2021 to understand what preventative teaching approaches and interventions have been developed in higher education to reduce music performance anxiety (MPA). The focus here is on identifying interventions that are applicable to higher education teaching practice, in an attempt to support music educators to reduce the negative effects of MPA, and, by so doing, support better learning outcomes. A systematic review of the literature on MPA (2005-2021) was undertaken to explore the teaching strategies that are used to help students in higher education. The researchers performed independent assessments of the literature based on the inclusion criteria. Discrepancies between the two reviewers were resolved through discussion. Each of the articles that met the research conditions was classified using four treatment modalities: cognitive interventions, behavioural interventions, pharmacological treatment and complementary. The initial scoping resulted in a total of 116 research articles. This was reduced to 18 articles that fully met the inclusion criteria. There is a wealth of literature exploring MPA; however, very few teaching approaches or interventions have been found that can easily be embedded in music education. The findings indicate that interventions deriving from promising reactive treatment have been developed, but that these are rarely generalisable to typical teaching practice.","container-title":"Journal of University Teaching and Learning Practice","DOI":"10.53761/1.19.3.05","ISSN":"1449-9789","issue":"3","language":"en","license":"Copyright (c) 2022 Erik Blair, Hendrik van der Sluis","note":"number: 3","source":"open-publishing.org","title":"Music performance anxiety and higher education teaching: A systematic literature review","title-short":"Music performance anxiety and higher education teaching","URL":"https://open-publishing.org/journals/index.php/jutlp/article/view/570","volume":"19","author":[{"family":"Blair","given":"Erik"},{"family":"Sluis","given":"Hendrik","dropping-particle":"van der"}],"accessed":{"date-parts":[["2025",4,29]]},"issued":{"date-parts":[["2022",2,1]]}}}],"schema":"https://github.com/citation-style-language/schema/raw/master/csl-citation.json"} </w:instrText>
      </w:r>
      <w:r w:rsidR="004D7886">
        <w:rPr>
          <w:rFonts w:ascii="Arial" w:hAnsi="Arial" w:cs="Arial"/>
          <w:sz w:val="24"/>
          <w:szCs w:val="24"/>
        </w:rPr>
        <w:fldChar w:fldCharType="separate"/>
      </w:r>
      <w:r w:rsidR="004D7886" w:rsidRPr="004D7886">
        <w:rPr>
          <w:rFonts w:ascii="Arial" w:hAnsi="Arial" w:cs="Arial"/>
          <w:sz w:val="24"/>
        </w:rPr>
        <w:t>(Kenny, 2005; Zhukov, 2019; Boyett, 2020; Blair and Sluis, 2022)</w:t>
      </w:r>
      <w:r w:rsidR="004D7886">
        <w:rPr>
          <w:rFonts w:ascii="Arial" w:hAnsi="Arial" w:cs="Arial"/>
          <w:sz w:val="24"/>
          <w:szCs w:val="24"/>
        </w:rPr>
        <w:fldChar w:fldCharType="end"/>
      </w:r>
      <w:r w:rsidRPr="00360246">
        <w:rPr>
          <w:rFonts w:ascii="Arial" w:hAnsi="Arial" w:cs="Arial"/>
          <w:sz w:val="24"/>
          <w:szCs w:val="24"/>
        </w:rPr>
        <w:t>. Notably, music educators have emerged as critical agents in the early identification and informal management of MPA, particularly in youth and pre-professional training contexts</w:t>
      </w:r>
      <w:r w:rsidR="0082576E">
        <w:rPr>
          <w:rFonts w:ascii="Arial" w:hAnsi="Arial" w:cs="Arial"/>
          <w:sz w:val="24"/>
          <w:szCs w:val="24"/>
        </w:rPr>
        <w:t xml:space="preserve"> </w:t>
      </w:r>
      <w:r w:rsidR="004D7886">
        <w:rPr>
          <w:rFonts w:ascii="Arial" w:hAnsi="Arial" w:cs="Arial"/>
          <w:sz w:val="24"/>
          <w:szCs w:val="24"/>
        </w:rPr>
        <w:fldChar w:fldCharType="begin"/>
      </w:r>
      <w:r w:rsidR="004D7886">
        <w:rPr>
          <w:rFonts w:ascii="Arial" w:hAnsi="Arial" w:cs="Arial"/>
          <w:sz w:val="24"/>
          <w:szCs w:val="24"/>
        </w:rPr>
        <w:instrText xml:space="preserve"> ADDIN ZOTERO_ITEM CSL_CITATION {"citationID":"pckLFbGi","properties":{"formattedCitation":"(Boyett, 2020; MacAfee and Comeau, 2023)","plainCitation":"(Boyett, 2020; MacAfee and Comeau, 2023)","noteIndex":0},"citationItems":[{"id":851,"uris":["http://zotero.org/users/local/hN5mtYaY/items/2RC7823L"],"itemData":{"id":851,"type":"article-journal","container-title":"MTNA e-Journal","title":"“Music Performance Anxiety, The Role Of Teachers In Addressing Anxiety,”","author":[{"family":"Boyett","given":"Clara"}],"issued":{"date-parts":[["2020"]]}}},{"id":921,"uris":["http://zotero.org/users/local/hN5mtYaY/items/7Q9BR96A"],"itemData":{"id":921,"type":"article-journal","abstract":"The purpose of this study was to explore music performance anxiety (MPA) from music teachers’ perspectives by identifying and describing common coping strategies teachers use to support students with MPA. A quantitative content analysis of scientific and non-scientific MPA literature identified preparation, open communication, realistic expectations, exposure therapy and deep breathing as the five most common coping strategies mentioned in the literature. Qualitative thematic analyses of existing literature and interview transcripts from five piano teacher participants provided descriptions of the five commonly identified coping strategies. A comparison of literature and interview results suggests a gap between research knowledge of MPA and practical teaching application. While music teachers employ a variety of strategies to help students cope with MPA, they may also benefit from formal MPA training opportunities grounded in research to provide additional resources for effectively managing students with MPA.","container-title":"British Journal of Music Education","DOI":"10.1017/S0265051722000146","ISSN":"02650517","issue":"1","language":"English","license":"© The Author(s), 2022. Published by Cambridge University Press","note":"number-of-pages: 34-53\npublisher-place: Cambridge, United Kingdom\npublisher: Cambridge University Press\nsection: Article","page":"34-53","source":"ProQuest","title":"Teacher perspective on music performance anxiety: an exploration of coping strategies used by music teachers","title-short":"Teacher perspective on music performance anxiety","volume":"40","author":[{"family":"MacAfee","given":"Erin"},{"family":"Comeau","given":"Gilles"}],"issued":{"date-parts":[["2023",3]]}}}],"schema":"https://github.com/citation-style-language/schema/raw/master/csl-citation.json"} </w:instrText>
      </w:r>
      <w:r w:rsidR="004D7886">
        <w:rPr>
          <w:rFonts w:ascii="Arial" w:hAnsi="Arial" w:cs="Arial"/>
          <w:sz w:val="24"/>
          <w:szCs w:val="24"/>
        </w:rPr>
        <w:fldChar w:fldCharType="separate"/>
      </w:r>
      <w:r w:rsidR="004D7886" w:rsidRPr="004D7886">
        <w:rPr>
          <w:rFonts w:ascii="Arial" w:hAnsi="Arial" w:cs="Arial"/>
          <w:sz w:val="24"/>
        </w:rPr>
        <w:t>(Boyett, 2020; MacAfee and Comeau, 2023)</w:t>
      </w:r>
      <w:r w:rsidR="004D7886">
        <w:rPr>
          <w:rFonts w:ascii="Arial" w:hAnsi="Arial" w:cs="Arial"/>
          <w:sz w:val="24"/>
          <w:szCs w:val="24"/>
        </w:rPr>
        <w:fldChar w:fldCharType="end"/>
      </w:r>
      <w:r w:rsidRPr="00360246">
        <w:rPr>
          <w:rFonts w:ascii="Arial" w:hAnsi="Arial" w:cs="Arial"/>
          <w:sz w:val="24"/>
          <w:szCs w:val="24"/>
        </w:rPr>
        <w:t>. Despite the growing global recognition of MPA as an educational and psychological concern, there remains a limited understanding of how such strategies are implemented</w:t>
      </w:r>
      <w:r w:rsidR="004D7886">
        <w:rPr>
          <w:rFonts w:ascii="Arial" w:hAnsi="Arial" w:cs="Arial"/>
          <w:sz w:val="24"/>
          <w:szCs w:val="24"/>
        </w:rPr>
        <w:t xml:space="preserve">, </w:t>
      </w:r>
      <w:r w:rsidRPr="00360246">
        <w:rPr>
          <w:rFonts w:ascii="Arial" w:hAnsi="Arial" w:cs="Arial"/>
          <w:sz w:val="24"/>
          <w:szCs w:val="24"/>
        </w:rPr>
        <w:t>or could be adapted</w:t>
      </w:r>
      <w:r w:rsidR="004D7886">
        <w:rPr>
          <w:rFonts w:ascii="Arial" w:hAnsi="Arial" w:cs="Arial"/>
          <w:sz w:val="24"/>
          <w:szCs w:val="24"/>
        </w:rPr>
        <w:t xml:space="preserve">, </w:t>
      </w:r>
      <w:r w:rsidRPr="00360246">
        <w:rPr>
          <w:rFonts w:ascii="Arial" w:hAnsi="Arial" w:cs="Arial"/>
          <w:sz w:val="24"/>
          <w:szCs w:val="24"/>
        </w:rPr>
        <w:t>within specific national systems</w:t>
      </w:r>
      <w:r w:rsidR="004D7886">
        <w:rPr>
          <w:rFonts w:ascii="Arial" w:hAnsi="Arial" w:cs="Arial"/>
          <w:sz w:val="24"/>
          <w:szCs w:val="24"/>
        </w:rPr>
        <w:t xml:space="preserve"> </w:t>
      </w:r>
      <w:r w:rsidR="00071FA8">
        <w:rPr>
          <w:rFonts w:ascii="Arial" w:hAnsi="Arial" w:cs="Arial"/>
          <w:color w:val="C00000"/>
          <w:sz w:val="24"/>
          <w:szCs w:val="24"/>
        </w:rPr>
        <w:fldChar w:fldCharType="begin"/>
      </w:r>
      <w:r w:rsidR="00071FA8">
        <w:rPr>
          <w:rFonts w:ascii="Arial" w:hAnsi="Arial" w:cs="Arial"/>
          <w:color w:val="C00000"/>
          <w:sz w:val="24"/>
          <w:szCs w:val="24"/>
        </w:rPr>
        <w:instrText xml:space="preserve"> ADDIN ZOTERO_ITEM CSL_CITATION {"citationID":"RroixEB0","properties":{"formattedCitation":"(Barros {\\i{}et al.}, 2022)","plainCitation":"(Barros et al., 2022)","noteIndex":0},"citationItems":[{"id":695,"uris":["http://zotero.org/users/local/hN5mtYaY/items/RFYS8HQR"],"itemData":{"id":695,"type":"article-journal","abstract":"Music performance anxiety (MPA) is described as a persistent apprehension that compromises performative skills both in solo and group performances. The aim of this systematic review was to discuss an overview of research articles addressing the characteristics of MPA as experienced by undergraduate music students. The search was undertaken in the databases Web of Science, PubMed, Scopus and Eric; of 1526 articles identified by the search keywords, 43 were selected for review through the PRISMA protocol. The study types included cross-sectional, experimental, longitudinal, descriptive, questionnaire survey, qualitative study, exploratory and retrospective follow-up designs. This review evidences the diversity of the contexts and topics addressed by current research, namely issues of prevalence, predictors of anxiety/risk factors, relationship between flow experience (FE) and MPA, and coping with MPA, adopting psychological, cognitive, physiological and behavioral perspectives. Notwithstanding, the review has also identified a lack of qualitative and longitudinal studies, studies on institutional teaching contexts, and of larger and more representative participant samples, which could promote a better understanding of the etiology of MPA among students attending higher education.","container-title":"Psychology of Music","DOI":"10.1177/03057356211066967","ISSN":"0305-7356","issue":"6","language":"en","note":"publisher: SAGE Publications Ltd","page":"2021-2043","source":"SAGE Journals","title":"Characteristics of music performance anxiety among undergraduate music students: A systematic review","title-short":"Characteristics of music performance anxiety among undergraduate music students","volume":"50","author":[{"family":"Barros","given":"Samuel"},{"family":"Marinho","given":"Helena"},{"family":"Borges","given":"Nery"},{"family":"Pereira","given":"Anabela"}],"issued":{"date-parts":[["2022",11,1]]}}}],"schema":"https://github.com/citation-style-language/schema/raw/master/csl-citation.json"} </w:instrText>
      </w:r>
      <w:r w:rsidR="00071FA8">
        <w:rPr>
          <w:rFonts w:ascii="Arial" w:hAnsi="Arial" w:cs="Arial"/>
          <w:color w:val="C00000"/>
          <w:sz w:val="24"/>
          <w:szCs w:val="24"/>
        </w:rPr>
        <w:fldChar w:fldCharType="separate"/>
      </w:r>
      <w:r w:rsidR="00071FA8" w:rsidRPr="00071FA8">
        <w:rPr>
          <w:rFonts w:ascii="Arial" w:hAnsi="Arial" w:cs="Arial"/>
          <w:sz w:val="24"/>
        </w:rPr>
        <w:t xml:space="preserve">(Barros </w:t>
      </w:r>
      <w:r w:rsidR="00071FA8" w:rsidRPr="00071FA8">
        <w:rPr>
          <w:rFonts w:ascii="Arial" w:hAnsi="Arial" w:cs="Arial"/>
          <w:i/>
          <w:iCs/>
          <w:sz w:val="24"/>
        </w:rPr>
        <w:t>et al.</w:t>
      </w:r>
      <w:r w:rsidR="00071FA8" w:rsidRPr="00071FA8">
        <w:rPr>
          <w:rFonts w:ascii="Arial" w:hAnsi="Arial" w:cs="Arial"/>
          <w:sz w:val="24"/>
        </w:rPr>
        <w:t>, 2022)</w:t>
      </w:r>
      <w:r w:rsidR="00071FA8">
        <w:rPr>
          <w:rFonts w:ascii="Arial" w:hAnsi="Arial" w:cs="Arial"/>
          <w:color w:val="C00000"/>
          <w:sz w:val="24"/>
          <w:szCs w:val="24"/>
        </w:rPr>
        <w:fldChar w:fldCharType="end"/>
      </w:r>
      <w:r w:rsidRPr="00360246">
        <w:rPr>
          <w:rFonts w:ascii="Arial" w:hAnsi="Arial" w:cs="Arial"/>
          <w:sz w:val="24"/>
          <w:szCs w:val="24"/>
        </w:rPr>
        <w:t xml:space="preserve">. This study aims to investigate the most effective evidence-based approaches to MPA management </w:t>
      </w:r>
      <w:r w:rsidRPr="00360246">
        <w:rPr>
          <w:rFonts w:ascii="Arial" w:hAnsi="Arial" w:cs="Arial"/>
          <w:sz w:val="24"/>
          <w:szCs w:val="24"/>
        </w:rPr>
        <w:lastRenderedPageBreak/>
        <w:t>and explore their relevance and potential application in the context of Portuguese artistic education, where the topic remains underexplored and pedagogical tools are often underdeveloped.</w:t>
      </w:r>
      <w:r w:rsidR="002919E5">
        <w:rPr>
          <w:rFonts w:ascii="Arial" w:hAnsi="Arial" w:cs="Arial"/>
          <w:sz w:val="24"/>
          <w:szCs w:val="24"/>
        </w:rPr>
        <w:t xml:space="preserve"> </w:t>
      </w:r>
    </w:p>
    <w:p w14:paraId="596B76F2" w14:textId="77777777" w:rsidR="00360246" w:rsidRDefault="00F744B9" w:rsidP="002919E5">
      <w:pPr>
        <w:spacing w:line="360" w:lineRule="auto"/>
        <w:jc w:val="both"/>
        <w:rPr>
          <w:rFonts w:ascii="Arial" w:hAnsi="Arial" w:cs="Arial"/>
          <w:sz w:val="24"/>
          <w:szCs w:val="24"/>
        </w:rPr>
      </w:pPr>
      <w:r w:rsidRPr="00F744B9">
        <w:rPr>
          <w:rFonts w:ascii="Arial" w:hAnsi="Arial" w:cs="Arial"/>
          <w:sz w:val="24"/>
          <w:szCs w:val="24"/>
        </w:rPr>
        <w:t>Over the past two decades, Portuguese artists have faced mounting socio-economic pressures that have deeply affected their professional and personal well-being</w:t>
      </w:r>
      <w:r w:rsidR="0082576E">
        <w:rPr>
          <w:rFonts w:ascii="Arial" w:hAnsi="Arial" w:cs="Arial"/>
          <w:sz w:val="24"/>
          <w:szCs w:val="24"/>
        </w:rPr>
        <w:t xml:space="preserve"> </w:t>
      </w:r>
      <w:r w:rsidR="00CD4DC5">
        <w:rPr>
          <w:rFonts w:ascii="Arial" w:hAnsi="Arial" w:cs="Arial"/>
          <w:sz w:val="24"/>
          <w:szCs w:val="24"/>
        </w:rPr>
        <w:fldChar w:fldCharType="begin"/>
      </w:r>
      <w:r w:rsidR="00CD4DC5">
        <w:rPr>
          <w:rFonts w:ascii="Arial" w:hAnsi="Arial" w:cs="Arial"/>
          <w:sz w:val="24"/>
          <w:szCs w:val="24"/>
        </w:rPr>
        <w:instrText xml:space="preserve"> ADDIN ZOTERO_ITEM CSL_CITATION {"citationID":"yJiKkdkP","properties":{"formattedCitation":"(Conde, 2009)","plainCitation":"(Conde, 2009)","noteIndex":0},"citationItems":[{"id":978,"uris":["http://zotero.org/users/local/hN5mtYaY/items/GN8GGV2T"],"itemData":{"id":978,"type":"report","abstract":"Artists are vulnerable workers not only on account of professional contingencies\n(underemployment, intermittent and multiple jobs, freelance work, precarious\ncontracts, low salaries in certain categories), but also on account of their\ndependent identities, which are exposed to specific forms of symbolic power,\ninequality and gatekeeping processes if they wish to achieve recognition. This\npaper focuses on the two perspectives, making use of certain European and\nPortuguese references in order to portray ambivalent and diversified features in\nthe artistic condition. The research in Portugal combined statistical analysis with\nqualitative approaches to professional experiences and locations in various areas\n(in particular the visual arts, composers and musicians in the main orchestras),\nwith particular attention to gender issues.","genre":"workingPaper","language":"eng","license":"openAccess","note":"Accepted: 2009-06-29T11:59:33Z\nISSN: 1647-0893","publisher":"CIES-ISCTE","source":"repositorio.iscte-iul.pt","title":"Artists as vulnerable workers","URL":"https://repositorio.iscte-iul.pt/handle/10071/1502","author":[{"family":"Conde","given":"Idalina"}],"accessed":{"date-parts":[["2025",4,16]]},"issued":{"date-parts":[["2009"]]}}}],"schema":"https://github.com/citation-style-language/schema/raw/master/csl-citation.json"} </w:instrText>
      </w:r>
      <w:r w:rsidR="00CD4DC5">
        <w:rPr>
          <w:rFonts w:ascii="Arial" w:hAnsi="Arial" w:cs="Arial"/>
          <w:sz w:val="24"/>
          <w:szCs w:val="24"/>
        </w:rPr>
        <w:fldChar w:fldCharType="separate"/>
      </w:r>
      <w:r w:rsidR="00CD4DC5" w:rsidRPr="00CD4DC5">
        <w:rPr>
          <w:rFonts w:ascii="Arial" w:hAnsi="Arial" w:cs="Arial"/>
          <w:sz w:val="24"/>
        </w:rPr>
        <w:t>(Conde, 2009)</w:t>
      </w:r>
      <w:r w:rsidR="00CD4DC5">
        <w:rPr>
          <w:rFonts w:ascii="Arial" w:hAnsi="Arial" w:cs="Arial"/>
          <w:sz w:val="24"/>
          <w:szCs w:val="24"/>
        </w:rPr>
        <w:fldChar w:fldCharType="end"/>
      </w:r>
      <w:r w:rsidRPr="00F744B9">
        <w:rPr>
          <w:rFonts w:ascii="Arial" w:hAnsi="Arial" w:cs="Arial"/>
          <w:sz w:val="24"/>
          <w:szCs w:val="24"/>
        </w:rPr>
        <w:t>. While the early 2000s were marked by cultural optimism, successive economic crises</w:t>
      </w:r>
      <w:r>
        <w:rPr>
          <w:rFonts w:ascii="Arial" w:hAnsi="Arial" w:cs="Arial"/>
          <w:sz w:val="24"/>
          <w:szCs w:val="24"/>
        </w:rPr>
        <w:t xml:space="preserve">, </w:t>
      </w:r>
      <w:r w:rsidRPr="00F744B9">
        <w:rPr>
          <w:rFonts w:ascii="Arial" w:hAnsi="Arial" w:cs="Arial"/>
          <w:sz w:val="24"/>
          <w:szCs w:val="24"/>
        </w:rPr>
        <w:t>most notably the 2008 financial downturn and the COVID-19 pandemic</w:t>
      </w:r>
      <w:r>
        <w:rPr>
          <w:rFonts w:ascii="Arial" w:hAnsi="Arial" w:cs="Arial"/>
          <w:sz w:val="24"/>
          <w:szCs w:val="24"/>
        </w:rPr>
        <w:t xml:space="preserve">, </w:t>
      </w:r>
      <w:r w:rsidRPr="00F744B9">
        <w:rPr>
          <w:rFonts w:ascii="Arial" w:hAnsi="Arial" w:cs="Arial"/>
          <w:sz w:val="24"/>
          <w:szCs w:val="24"/>
        </w:rPr>
        <w:t>have exacerbated longstanding issues of underemployment, precarious income, and systemic instability within the cultural sector (</w:t>
      </w:r>
      <w:proofErr w:type="spellStart"/>
      <w:r w:rsidRPr="00F744B9">
        <w:rPr>
          <w:rFonts w:ascii="Arial" w:hAnsi="Arial" w:cs="Arial"/>
          <w:sz w:val="24"/>
          <w:szCs w:val="24"/>
        </w:rPr>
        <w:t>Guardão</w:t>
      </w:r>
      <w:proofErr w:type="spellEnd"/>
      <w:r w:rsidRPr="00F744B9">
        <w:rPr>
          <w:rFonts w:ascii="Arial" w:hAnsi="Arial" w:cs="Arial"/>
          <w:sz w:val="24"/>
          <w:szCs w:val="24"/>
        </w:rPr>
        <w:t xml:space="preserve">, 2018; Conde, 2009; </w:t>
      </w:r>
      <w:proofErr w:type="spellStart"/>
      <w:r w:rsidRPr="00F744B9">
        <w:rPr>
          <w:rFonts w:ascii="Arial" w:hAnsi="Arial" w:cs="Arial"/>
          <w:sz w:val="24"/>
          <w:szCs w:val="24"/>
        </w:rPr>
        <w:t>Ermida</w:t>
      </w:r>
      <w:proofErr w:type="spellEnd"/>
      <w:r w:rsidRPr="00F744B9">
        <w:rPr>
          <w:rFonts w:ascii="Arial" w:hAnsi="Arial" w:cs="Arial"/>
          <w:sz w:val="24"/>
          <w:szCs w:val="24"/>
        </w:rPr>
        <w:t xml:space="preserve"> &amp; Pratas-Cruzeiro, 2024). Artists often operate under the “</w:t>
      </w:r>
      <w:proofErr w:type="spellStart"/>
      <w:r w:rsidRPr="00F744B9">
        <w:rPr>
          <w:rFonts w:ascii="Arial" w:hAnsi="Arial" w:cs="Arial"/>
          <w:sz w:val="24"/>
          <w:szCs w:val="24"/>
        </w:rPr>
        <w:t>recibo</w:t>
      </w:r>
      <w:proofErr w:type="spellEnd"/>
      <w:r w:rsidRPr="00F744B9">
        <w:rPr>
          <w:rFonts w:ascii="Arial" w:hAnsi="Arial" w:cs="Arial"/>
          <w:sz w:val="24"/>
          <w:szCs w:val="24"/>
        </w:rPr>
        <w:t xml:space="preserve"> </w:t>
      </w:r>
      <w:proofErr w:type="spellStart"/>
      <w:r w:rsidRPr="00F744B9">
        <w:rPr>
          <w:rFonts w:ascii="Arial" w:hAnsi="Arial" w:cs="Arial"/>
          <w:sz w:val="24"/>
          <w:szCs w:val="24"/>
        </w:rPr>
        <w:t>verde</w:t>
      </w:r>
      <w:proofErr w:type="spellEnd"/>
      <w:r w:rsidRPr="00F744B9">
        <w:rPr>
          <w:rFonts w:ascii="Arial" w:hAnsi="Arial" w:cs="Arial"/>
          <w:sz w:val="24"/>
          <w:szCs w:val="24"/>
        </w:rPr>
        <w:t>” system and must navigate fragmented labor markets, shifting between multiple roles and income streams in a cycle of professional insecurity (</w:t>
      </w:r>
      <w:proofErr w:type="spellStart"/>
      <w:r w:rsidRPr="00F744B9">
        <w:rPr>
          <w:rFonts w:ascii="Arial" w:hAnsi="Arial" w:cs="Arial"/>
          <w:sz w:val="24"/>
          <w:szCs w:val="24"/>
        </w:rPr>
        <w:t>Campanela</w:t>
      </w:r>
      <w:proofErr w:type="spellEnd"/>
      <w:r w:rsidRPr="00F744B9">
        <w:rPr>
          <w:rFonts w:ascii="Arial" w:hAnsi="Arial" w:cs="Arial"/>
          <w:sz w:val="24"/>
          <w:szCs w:val="24"/>
        </w:rPr>
        <w:t xml:space="preserve">, 2023; Oliveira, 2019). These conditions foster not only economic vulnerability but also heightened emotional and psychological strain, frequently overlooked by institutions and policy frameworks (Hrvatin, Buh, &amp; Ribič, 2021). </w:t>
      </w:r>
      <w:r w:rsidR="00E4768C" w:rsidRPr="00E4768C">
        <w:rPr>
          <w:rFonts w:ascii="Arial" w:hAnsi="Arial" w:cs="Arial"/>
          <w:sz w:val="24"/>
          <w:szCs w:val="24"/>
        </w:rPr>
        <w:t xml:space="preserve">Against this backdrop, the present study </w:t>
      </w:r>
      <w:r w:rsidR="00E4768C">
        <w:rPr>
          <w:rFonts w:ascii="Arial" w:hAnsi="Arial" w:cs="Arial"/>
          <w:sz w:val="24"/>
          <w:szCs w:val="24"/>
        </w:rPr>
        <w:t xml:space="preserve">also </w:t>
      </w:r>
      <w:r w:rsidR="00E4768C" w:rsidRPr="00E4768C">
        <w:rPr>
          <w:rFonts w:ascii="Arial" w:hAnsi="Arial" w:cs="Arial"/>
          <w:sz w:val="24"/>
          <w:szCs w:val="24"/>
        </w:rPr>
        <w:t xml:space="preserve">aims to investigate the potential correlation between </w:t>
      </w:r>
      <w:proofErr w:type="gramStart"/>
      <w:r w:rsidR="00E4768C" w:rsidRPr="00E4768C">
        <w:rPr>
          <w:rFonts w:ascii="Arial" w:hAnsi="Arial" w:cs="Arial"/>
          <w:sz w:val="24"/>
          <w:szCs w:val="24"/>
        </w:rPr>
        <w:t>MPA</w:t>
      </w:r>
      <w:proofErr w:type="gramEnd"/>
      <w:r w:rsidR="00E4768C" w:rsidRPr="00E4768C">
        <w:rPr>
          <w:rFonts w:ascii="Arial" w:hAnsi="Arial" w:cs="Arial"/>
          <w:sz w:val="24"/>
          <w:szCs w:val="24"/>
        </w:rPr>
        <w:t xml:space="preserve"> and the precarious labor conditions experienced by artists in Portugal. Specifically, it examines how structural forms of professional insecurity</w:t>
      </w:r>
      <w:r w:rsidR="00E4768C">
        <w:rPr>
          <w:rFonts w:ascii="Arial" w:hAnsi="Arial" w:cs="Arial"/>
          <w:sz w:val="24"/>
          <w:szCs w:val="24"/>
        </w:rPr>
        <w:t xml:space="preserve"> </w:t>
      </w:r>
      <w:r w:rsidR="00E4768C" w:rsidRPr="00E4768C">
        <w:rPr>
          <w:rFonts w:ascii="Arial" w:hAnsi="Arial" w:cs="Arial"/>
          <w:sz w:val="24"/>
          <w:szCs w:val="24"/>
        </w:rPr>
        <w:t>may contribute to elevated levels of performance-related anxiety. By exploring these interconnections, the study further seeks to assess the relevance of integrating evidence-based MPA coping strategies into the curricula of Portuguese arts education institutions, thereby promoting both artistic performance and mental well-being.</w:t>
      </w:r>
    </w:p>
    <w:p w14:paraId="0ABF08A5" w14:textId="77777777" w:rsidR="00CD4DC5" w:rsidRDefault="00CD4DC5" w:rsidP="000C32E0">
      <w:pPr>
        <w:spacing w:line="360" w:lineRule="auto"/>
        <w:jc w:val="both"/>
        <w:rPr>
          <w:rFonts w:ascii="Arial" w:hAnsi="Arial" w:cs="Arial"/>
          <w:b/>
          <w:bCs/>
          <w:sz w:val="24"/>
          <w:szCs w:val="24"/>
        </w:rPr>
      </w:pPr>
    </w:p>
    <w:p w14:paraId="5DBB568A" w14:textId="77777777" w:rsidR="00B41199" w:rsidRDefault="00B76E44" w:rsidP="00B41199">
      <w:pPr>
        <w:spacing w:line="360" w:lineRule="auto"/>
        <w:jc w:val="both"/>
        <w:rPr>
          <w:rFonts w:ascii="Arial" w:hAnsi="Arial" w:cs="Arial"/>
          <w:sz w:val="24"/>
          <w:szCs w:val="24"/>
        </w:rPr>
      </w:pPr>
      <w:r w:rsidRPr="00B41199">
        <w:rPr>
          <w:rFonts w:ascii="Arial" w:hAnsi="Arial" w:cs="Arial"/>
          <w:sz w:val="24"/>
          <w:szCs w:val="24"/>
        </w:rPr>
        <w:t xml:space="preserve">MPA COPING STRATEGIES </w:t>
      </w:r>
      <w:r w:rsidR="00E42ADA" w:rsidRPr="00B41199">
        <w:rPr>
          <w:rFonts w:ascii="Arial" w:hAnsi="Arial" w:cs="Arial"/>
          <w:sz w:val="24"/>
          <w:szCs w:val="24"/>
        </w:rPr>
        <w:t>FOUNDATION</w:t>
      </w:r>
      <w:r w:rsidR="00624901" w:rsidRPr="00B41199">
        <w:rPr>
          <w:rFonts w:ascii="Arial" w:hAnsi="Arial" w:cs="Arial"/>
          <w:sz w:val="24"/>
          <w:szCs w:val="24"/>
        </w:rPr>
        <w:t xml:space="preserve"> FRAMEWORKS</w:t>
      </w:r>
    </w:p>
    <w:p w14:paraId="76F3D99A" w14:textId="77777777" w:rsidR="00CD4DC5" w:rsidRPr="00B41199" w:rsidRDefault="00CD4DC5" w:rsidP="00B41199">
      <w:pPr>
        <w:spacing w:line="360" w:lineRule="auto"/>
        <w:jc w:val="both"/>
        <w:rPr>
          <w:rFonts w:ascii="Arial" w:hAnsi="Arial" w:cs="Arial"/>
          <w:sz w:val="24"/>
          <w:szCs w:val="24"/>
        </w:rPr>
      </w:pPr>
    </w:p>
    <w:p w14:paraId="03EFD140" w14:textId="77777777" w:rsidR="00B41199" w:rsidRDefault="00B41199" w:rsidP="00B41199">
      <w:pPr>
        <w:spacing w:line="360" w:lineRule="auto"/>
        <w:jc w:val="both"/>
        <w:rPr>
          <w:rFonts w:ascii="Arial" w:hAnsi="Arial" w:cs="Arial"/>
          <w:sz w:val="24"/>
          <w:szCs w:val="24"/>
        </w:rPr>
      </w:pPr>
      <w:r>
        <w:rPr>
          <w:rFonts w:ascii="Arial" w:hAnsi="Arial" w:cs="Arial"/>
          <w:sz w:val="24"/>
          <w:szCs w:val="24"/>
        </w:rPr>
        <w:t>An early and o</w:t>
      </w:r>
      <w:r w:rsidRPr="00B41199">
        <w:rPr>
          <w:rFonts w:ascii="Arial" w:hAnsi="Arial" w:cs="Arial"/>
          <w:sz w:val="24"/>
          <w:szCs w:val="24"/>
        </w:rPr>
        <w:t>ne of the</w:t>
      </w:r>
      <w:r>
        <w:rPr>
          <w:rFonts w:ascii="Arial" w:hAnsi="Arial" w:cs="Arial"/>
          <w:sz w:val="24"/>
          <w:szCs w:val="24"/>
        </w:rPr>
        <w:t xml:space="preserve"> </w:t>
      </w:r>
      <w:r w:rsidRPr="00B41199">
        <w:rPr>
          <w:rFonts w:ascii="Arial" w:hAnsi="Arial" w:cs="Arial"/>
          <w:sz w:val="24"/>
          <w:szCs w:val="24"/>
        </w:rPr>
        <w:t>most influential frameworks for addressing Music</w:t>
      </w:r>
      <w:r>
        <w:rPr>
          <w:rFonts w:ascii="Arial" w:hAnsi="Arial" w:cs="Arial"/>
          <w:sz w:val="24"/>
          <w:szCs w:val="24"/>
        </w:rPr>
        <w:t xml:space="preserve"> </w:t>
      </w:r>
      <w:r w:rsidRPr="00B41199">
        <w:rPr>
          <w:rFonts w:ascii="Arial" w:hAnsi="Arial" w:cs="Arial"/>
          <w:sz w:val="24"/>
          <w:szCs w:val="24"/>
        </w:rPr>
        <w:t>MPA in educational contexts was introduced by Mark C. Ely (1991), whose work laid a foundational blueprint for non-pharmacological intervention. Ely conceptualized MPA as a multifaceted phenomenon with physiological, cognitive, behavioral, and psychological dimensions, and proposed a model rooted in cognitive-behavioral theory. Rejecting reliance on pharmacological treatments like beta-</w:t>
      </w:r>
      <w:r w:rsidRPr="00B41199">
        <w:rPr>
          <w:rFonts w:ascii="Arial" w:hAnsi="Arial" w:cs="Arial"/>
          <w:sz w:val="24"/>
          <w:szCs w:val="24"/>
        </w:rPr>
        <w:lastRenderedPageBreak/>
        <w:t>blockers, Ely instead emphasized the effectiveness of psychological strategies such as progressive muscle relaxation, deep breathing, guided imagery, and systematic desensitization. His framework also incorporated key cognitive techniques including cognitive restructuring and mental rehearsal to counteract negative thought patterns and reinforce confidence. Ely further highlighted the critical role of structured preparation and routine in reducing uncertainty and fostering self-efficacy. Significantly, he framed MPA as a learned behavior that can be unlearned through targeted, preventative strategies</w:t>
      </w:r>
      <w:r w:rsidR="0082576E">
        <w:rPr>
          <w:rFonts w:ascii="Arial" w:hAnsi="Arial" w:cs="Arial"/>
          <w:sz w:val="24"/>
          <w:szCs w:val="24"/>
        </w:rPr>
        <w:t xml:space="preserve">, </w:t>
      </w:r>
      <w:r w:rsidRPr="00B41199">
        <w:rPr>
          <w:rFonts w:ascii="Arial" w:hAnsi="Arial" w:cs="Arial"/>
          <w:sz w:val="24"/>
          <w:szCs w:val="24"/>
        </w:rPr>
        <w:t>an approach that continues to underpin many contemporary educational and therapeutic practices for managing MPA.</w:t>
      </w:r>
    </w:p>
    <w:p w14:paraId="5FC1F758" w14:textId="509646BA" w:rsidR="00B41199" w:rsidRDefault="002919E5" w:rsidP="00145DBF">
      <w:pPr>
        <w:spacing w:line="360" w:lineRule="auto"/>
        <w:jc w:val="both"/>
        <w:rPr>
          <w:rFonts w:ascii="Arial" w:hAnsi="Arial" w:cs="Arial"/>
          <w:sz w:val="24"/>
          <w:szCs w:val="24"/>
        </w:rPr>
      </w:pPr>
      <w:r w:rsidRPr="002919E5">
        <w:rPr>
          <w:rFonts w:ascii="Arial" w:hAnsi="Arial" w:cs="Arial"/>
          <w:sz w:val="24"/>
          <w:szCs w:val="24"/>
        </w:rPr>
        <w:t>To enhance clarity and facilitate comparison, the following table synthesizes key findings/concepts from the literature</w:t>
      </w:r>
      <w:r>
        <w:rPr>
          <w:rFonts w:ascii="Arial" w:hAnsi="Arial" w:cs="Arial"/>
          <w:sz w:val="24"/>
          <w:szCs w:val="24"/>
        </w:rPr>
        <w:t xml:space="preserve"> found</w:t>
      </w:r>
      <w:r w:rsidR="00C21DD5">
        <w:rPr>
          <w:rFonts w:ascii="Arial" w:hAnsi="Arial" w:cs="Arial"/>
          <w:sz w:val="24"/>
          <w:szCs w:val="24"/>
        </w:rPr>
        <w:t xml:space="preserve"> (</w:t>
      </w:r>
      <w:r w:rsidR="00C21DD5" w:rsidRPr="003819F6">
        <w:rPr>
          <w:rFonts w:ascii="Arial" w:hAnsi="Arial" w:cs="Arial"/>
          <w:b/>
          <w:bCs/>
          <w:sz w:val="24"/>
          <w:szCs w:val="24"/>
        </w:rPr>
        <w:t>Ap</w:t>
      </w:r>
      <w:r w:rsidR="00C21DD5">
        <w:rPr>
          <w:rFonts w:ascii="Arial" w:hAnsi="Arial" w:cs="Arial"/>
          <w:b/>
          <w:bCs/>
          <w:sz w:val="24"/>
          <w:szCs w:val="24"/>
        </w:rPr>
        <w:t>p</w:t>
      </w:r>
      <w:r w:rsidR="00C21DD5" w:rsidRPr="003819F6">
        <w:rPr>
          <w:rFonts w:ascii="Arial" w:hAnsi="Arial" w:cs="Arial"/>
          <w:b/>
          <w:bCs/>
          <w:sz w:val="24"/>
          <w:szCs w:val="24"/>
        </w:rPr>
        <w:t>end</w:t>
      </w:r>
      <w:r w:rsidR="00C21DD5">
        <w:rPr>
          <w:rFonts w:ascii="Arial" w:hAnsi="Arial" w:cs="Arial"/>
          <w:b/>
          <w:bCs/>
          <w:sz w:val="24"/>
          <w:szCs w:val="24"/>
        </w:rPr>
        <w:t>ix</w:t>
      </w:r>
      <w:r w:rsidR="00C21DD5" w:rsidRPr="003819F6">
        <w:rPr>
          <w:rFonts w:ascii="Arial" w:hAnsi="Arial" w:cs="Arial"/>
          <w:b/>
          <w:bCs/>
          <w:sz w:val="24"/>
          <w:szCs w:val="24"/>
        </w:rPr>
        <w:t xml:space="preserve"> - Table A</w:t>
      </w:r>
      <w:r w:rsidR="00C21DD5">
        <w:rPr>
          <w:rFonts w:ascii="Arial" w:hAnsi="Arial" w:cs="Arial"/>
          <w:b/>
          <w:bCs/>
          <w:sz w:val="24"/>
          <w:szCs w:val="24"/>
        </w:rPr>
        <w:t>1</w:t>
      </w:r>
      <w:r w:rsidR="00C21DD5">
        <w:rPr>
          <w:rFonts w:ascii="Arial" w:hAnsi="Arial" w:cs="Arial"/>
          <w:sz w:val="24"/>
          <w:szCs w:val="24"/>
        </w:rPr>
        <w:t>).</w:t>
      </w:r>
    </w:p>
    <w:p w14:paraId="1F42CE68" w14:textId="77777777" w:rsidR="00C21DD5" w:rsidRDefault="00C21DD5" w:rsidP="00145DBF">
      <w:pPr>
        <w:spacing w:line="360" w:lineRule="auto"/>
        <w:jc w:val="both"/>
        <w:rPr>
          <w:rFonts w:ascii="Arial" w:hAnsi="Arial" w:cs="Arial"/>
          <w:sz w:val="24"/>
          <w:szCs w:val="24"/>
        </w:rPr>
      </w:pPr>
    </w:p>
    <w:p w14:paraId="2C214904" w14:textId="4B8BDC2B" w:rsidR="005E7388" w:rsidRPr="005E7388" w:rsidRDefault="005E7388" w:rsidP="005E7388">
      <w:pPr>
        <w:spacing w:line="360" w:lineRule="auto"/>
        <w:jc w:val="both"/>
        <w:rPr>
          <w:rFonts w:ascii="Arial" w:hAnsi="Arial" w:cs="Arial"/>
          <w:sz w:val="24"/>
          <w:szCs w:val="24"/>
        </w:rPr>
      </w:pPr>
      <w:r w:rsidRPr="005E7388">
        <w:rPr>
          <w:rFonts w:ascii="Arial" w:hAnsi="Arial" w:cs="Arial"/>
          <w:sz w:val="24"/>
          <w:szCs w:val="24"/>
        </w:rPr>
        <w:t>More recently, Kenny has become a leading contemporary figure in MPA research, with a clinical psychology background and numerous publications, including systematic reviews and theoretical models (Kenny, 2005). Her 2005 classification of cognitive, behavioral, pharmacological, and complementary approaches remains widely cited.</w:t>
      </w:r>
    </w:p>
    <w:p w14:paraId="13FAED0E" w14:textId="0616F42E" w:rsidR="005E7388" w:rsidRPr="005E7388" w:rsidRDefault="005E7388" w:rsidP="005E7388">
      <w:pPr>
        <w:spacing w:line="360" w:lineRule="auto"/>
        <w:jc w:val="both"/>
        <w:rPr>
          <w:rFonts w:ascii="Arial" w:hAnsi="Arial" w:cs="Arial"/>
          <w:sz w:val="24"/>
          <w:szCs w:val="24"/>
        </w:rPr>
      </w:pPr>
      <w:r w:rsidRPr="005E7388">
        <w:rPr>
          <w:rFonts w:ascii="Arial" w:hAnsi="Arial" w:cs="Arial"/>
          <w:sz w:val="24"/>
          <w:szCs w:val="24"/>
        </w:rPr>
        <w:t>In her comprehensive review, Kenny (2005) grouped MPA treatments into five categories: behavioral, cognitive, cognitive-behavioral, combined, and complementary interventions. Behavioral strategies</w:t>
      </w:r>
      <w:r>
        <w:rPr>
          <w:rFonts w:ascii="Arial" w:hAnsi="Arial" w:cs="Arial"/>
          <w:sz w:val="24"/>
          <w:szCs w:val="24"/>
        </w:rPr>
        <w:t xml:space="preserve">, </w:t>
      </w:r>
      <w:r w:rsidRPr="005E7388">
        <w:rPr>
          <w:rFonts w:ascii="Arial" w:hAnsi="Arial" w:cs="Arial"/>
          <w:sz w:val="24"/>
          <w:szCs w:val="24"/>
        </w:rPr>
        <w:t>such as systematic desensitization, progressive muscle relaxation (PMR), and cue-controlled relaxation</w:t>
      </w:r>
      <w:r>
        <w:rPr>
          <w:rFonts w:ascii="Arial" w:hAnsi="Arial" w:cs="Arial"/>
          <w:sz w:val="24"/>
          <w:szCs w:val="24"/>
        </w:rPr>
        <w:t xml:space="preserve">, </w:t>
      </w:r>
      <w:r w:rsidRPr="005E7388">
        <w:rPr>
          <w:rFonts w:ascii="Arial" w:hAnsi="Arial" w:cs="Arial"/>
          <w:sz w:val="24"/>
          <w:szCs w:val="24"/>
        </w:rPr>
        <w:t>target physiological symptoms through exposure and calming techniques. These yielded moderate anxiety reductions, though performance improvements were inconsistent.</w:t>
      </w:r>
    </w:p>
    <w:p w14:paraId="1C64FA52" w14:textId="77777777" w:rsidR="005E7388" w:rsidRPr="005E7388" w:rsidRDefault="005E7388" w:rsidP="005E7388">
      <w:pPr>
        <w:spacing w:line="360" w:lineRule="auto"/>
        <w:jc w:val="both"/>
        <w:rPr>
          <w:rFonts w:ascii="Arial" w:hAnsi="Arial" w:cs="Arial"/>
          <w:sz w:val="24"/>
          <w:szCs w:val="24"/>
        </w:rPr>
      </w:pPr>
      <w:r w:rsidRPr="005E7388">
        <w:rPr>
          <w:rFonts w:ascii="Arial" w:hAnsi="Arial" w:cs="Arial"/>
          <w:sz w:val="24"/>
          <w:szCs w:val="24"/>
        </w:rPr>
        <w:t>Cognitive interventions, like cognitive restructuring and positive self-talk, address maladaptive thought patterns but produced mixed outcomes, likely due to small samples and varied designs. More consistently effective was cognitive-behavioral therapy (CBT), which combines cognitive and behavioral techniques (e.g., imagery, relaxation, simulation). Kenny found CBT reliably reduced both anxiety symptoms and improved performance.</w:t>
      </w:r>
    </w:p>
    <w:p w14:paraId="68E3D329" w14:textId="77777777" w:rsidR="005E7388" w:rsidRPr="005E7388" w:rsidRDefault="005E7388" w:rsidP="005E7388">
      <w:pPr>
        <w:spacing w:line="360" w:lineRule="auto"/>
        <w:jc w:val="both"/>
        <w:rPr>
          <w:rFonts w:ascii="Arial" w:hAnsi="Arial" w:cs="Arial"/>
          <w:sz w:val="24"/>
          <w:szCs w:val="24"/>
        </w:rPr>
      </w:pPr>
      <w:r w:rsidRPr="005E7388">
        <w:rPr>
          <w:rFonts w:ascii="Arial" w:hAnsi="Arial" w:cs="Arial"/>
          <w:sz w:val="24"/>
          <w:szCs w:val="24"/>
        </w:rPr>
        <w:lastRenderedPageBreak/>
        <w:t>Combined approaches, such as CBT with biofeedback or pharmacological methods, showed promise but did not consistently surpass standalone CBT. Beta-blockers, though common, only manage physical symptoms and pose risks like dependency (Kenny, 2005).</w:t>
      </w:r>
    </w:p>
    <w:p w14:paraId="0728AEA7" w14:textId="77777777" w:rsidR="005E7388" w:rsidRPr="005E7388" w:rsidRDefault="005E7388" w:rsidP="005E7388">
      <w:pPr>
        <w:spacing w:line="360" w:lineRule="auto"/>
        <w:jc w:val="both"/>
        <w:rPr>
          <w:rFonts w:ascii="Arial" w:hAnsi="Arial" w:cs="Arial"/>
          <w:sz w:val="24"/>
          <w:szCs w:val="24"/>
        </w:rPr>
      </w:pPr>
      <w:r w:rsidRPr="005E7388">
        <w:rPr>
          <w:rFonts w:ascii="Arial" w:hAnsi="Arial" w:cs="Arial"/>
          <w:sz w:val="24"/>
          <w:szCs w:val="24"/>
        </w:rPr>
        <w:t>Complementary therapies, including the Alexander Technique, meditation, hypnotherapy, and music therapy, showed preliminary support. Group music therapy improved self-confidence and stress, while the Alexander Technique offered minor benefits in coordination and performance (Kenny, 2005). However, more rigorous research is needed.</w:t>
      </w:r>
    </w:p>
    <w:p w14:paraId="3EC0FF94" w14:textId="77777777" w:rsidR="005E7388" w:rsidRPr="005E7388" w:rsidRDefault="005E7388" w:rsidP="005E7388">
      <w:pPr>
        <w:spacing w:line="360" w:lineRule="auto"/>
        <w:jc w:val="both"/>
        <w:rPr>
          <w:rFonts w:ascii="Arial" w:hAnsi="Arial" w:cs="Arial"/>
          <w:sz w:val="24"/>
          <w:szCs w:val="24"/>
        </w:rPr>
      </w:pPr>
      <w:r w:rsidRPr="005E7388">
        <w:rPr>
          <w:rFonts w:ascii="Arial" w:hAnsi="Arial" w:cs="Arial"/>
          <w:sz w:val="24"/>
          <w:szCs w:val="24"/>
        </w:rPr>
        <w:t>Kenny concludes CBT remains the most evidence-supported treatment, though no one-size-fits-all solution exists. She advocates for individualized, multi-modal approaches and better research standards (Kenny, 2005).</w:t>
      </w:r>
    </w:p>
    <w:p w14:paraId="7A308F3F" w14:textId="414C5F73" w:rsidR="002919E5" w:rsidRDefault="002919E5" w:rsidP="00765D76">
      <w:pPr>
        <w:spacing w:line="360" w:lineRule="auto"/>
        <w:jc w:val="both"/>
        <w:rPr>
          <w:rFonts w:ascii="Arial" w:hAnsi="Arial" w:cs="Arial"/>
          <w:sz w:val="24"/>
          <w:szCs w:val="24"/>
        </w:rPr>
      </w:pPr>
      <w:r w:rsidRPr="002919E5">
        <w:rPr>
          <w:rFonts w:ascii="Arial" w:hAnsi="Arial" w:cs="Arial"/>
          <w:sz w:val="24"/>
          <w:szCs w:val="24"/>
        </w:rPr>
        <w:t xml:space="preserve">To better communicate the distinctions among the various evidence-based strategies identified in the literature, a table has been </w:t>
      </w:r>
      <w:r>
        <w:rPr>
          <w:rFonts w:ascii="Arial" w:hAnsi="Arial" w:cs="Arial"/>
          <w:sz w:val="24"/>
          <w:szCs w:val="24"/>
        </w:rPr>
        <w:t>created</w:t>
      </w:r>
      <w:r w:rsidRPr="002919E5">
        <w:rPr>
          <w:rFonts w:ascii="Arial" w:hAnsi="Arial" w:cs="Arial"/>
          <w:sz w:val="24"/>
          <w:szCs w:val="24"/>
        </w:rPr>
        <w:t xml:space="preserve"> to visually summarize their core components, effectiveness, and contextual applicability</w:t>
      </w:r>
      <w:r w:rsidR="003819F6">
        <w:rPr>
          <w:rFonts w:ascii="Arial" w:hAnsi="Arial" w:cs="Arial"/>
          <w:sz w:val="24"/>
          <w:szCs w:val="24"/>
        </w:rPr>
        <w:t xml:space="preserve"> (</w:t>
      </w:r>
      <w:r w:rsidR="003819F6" w:rsidRPr="003819F6">
        <w:rPr>
          <w:rFonts w:ascii="Arial" w:hAnsi="Arial" w:cs="Arial"/>
          <w:b/>
          <w:bCs/>
          <w:sz w:val="24"/>
          <w:szCs w:val="24"/>
        </w:rPr>
        <w:t>Ap</w:t>
      </w:r>
      <w:r w:rsidR="00C21DD5">
        <w:rPr>
          <w:rFonts w:ascii="Arial" w:hAnsi="Arial" w:cs="Arial"/>
          <w:b/>
          <w:bCs/>
          <w:sz w:val="24"/>
          <w:szCs w:val="24"/>
        </w:rPr>
        <w:t>pendix</w:t>
      </w:r>
      <w:r w:rsidR="003819F6" w:rsidRPr="003819F6">
        <w:rPr>
          <w:rFonts w:ascii="Arial" w:hAnsi="Arial" w:cs="Arial"/>
          <w:b/>
          <w:bCs/>
          <w:sz w:val="24"/>
          <w:szCs w:val="24"/>
        </w:rPr>
        <w:t xml:space="preserve"> - Table A</w:t>
      </w:r>
      <w:r w:rsidR="003819F6">
        <w:rPr>
          <w:rFonts w:ascii="Arial" w:hAnsi="Arial" w:cs="Arial"/>
          <w:b/>
          <w:bCs/>
          <w:sz w:val="24"/>
          <w:szCs w:val="24"/>
        </w:rPr>
        <w:t>2</w:t>
      </w:r>
      <w:r w:rsidR="003819F6">
        <w:rPr>
          <w:rFonts w:ascii="Arial" w:hAnsi="Arial" w:cs="Arial"/>
          <w:sz w:val="24"/>
          <w:szCs w:val="24"/>
        </w:rPr>
        <w:t>).</w:t>
      </w:r>
    </w:p>
    <w:p w14:paraId="43E6EB75" w14:textId="77777777" w:rsidR="00364868" w:rsidRDefault="00364868" w:rsidP="00B41199">
      <w:pPr>
        <w:spacing w:line="360" w:lineRule="auto"/>
        <w:rPr>
          <w:rFonts w:ascii="Arial" w:hAnsi="Arial" w:cs="Arial"/>
          <w:sz w:val="24"/>
          <w:szCs w:val="24"/>
        </w:rPr>
      </w:pPr>
    </w:p>
    <w:p w14:paraId="0CE3B941" w14:textId="77777777" w:rsidR="00B41199" w:rsidRDefault="00B41199" w:rsidP="00B41199">
      <w:pPr>
        <w:spacing w:line="360" w:lineRule="auto"/>
        <w:rPr>
          <w:rFonts w:ascii="Arial" w:hAnsi="Arial" w:cs="Arial"/>
          <w:sz w:val="24"/>
          <w:szCs w:val="24"/>
        </w:rPr>
      </w:pPr>
      <w:r w:rsidRPr="00B41199">
        <w:rPr>
          <w:rFonts w:ascii="Arial" w:hAnsi="Arial" w:cs="Arial"/>
          <w:sz w:val="24"/>
          <w:szCs w:val="24"/>
        </w:rPr>
        <w:t>CONTEMPORARY EVIDENCE-BASED APPROACHES TO MUSIC PERFORMANCE ANXIETY AND THE ROLE OF EDUCATORS</w:t>
      </w:r>
    </w:p>
    <w:p w14:paraId="1746AC9C" w14:textId="77777777" w:rsidR="00B41199" w:rsidRPr="00B41199" w:rsidRDefault="00B41199" w:rsidP="00B41199">
      <w:pPr>
        <w:spacing w:line="360" w:lineRule="auto"/>
        <w:jc w:val="both"/>
        <w:rPr>
          <w:rFonts w:ascii="Arial" w:hAnsi="Arial" w:cs="Arial"/>
          <w:sz w:val="24"/>
          <w:szCs w:val="24"/>
        </w:rPr>
      </w:pPr>
    </w:p>
    <w:p w14:paraId="0D58A6C8" w14:textId="77777777" w:rsidR="0040545A" w:rsidRPr="00844EB8" w:rsidRDefault="0040545A" w:rsidP="0040545A">
      <w:pPr>
        <w:spacing w:line="360" w:lineRule="auto"/>
        <w:jc w:val="both"/>
        <w:rPr>
          <w:rFonts w:ascii="Arial" w:hAnsi="Arial" w:cs="Arial"/>
          <w:sz w:val="24"/>
          <w:szCs w:val="24"/>
        </w:rPr>
      </w:pPr>
      <w:r w:rsidRPr="00844EB8">
        <w:rPr>
          <w:rFonts w:ascii="Arial" w:hAnsi="Arial" w:cs="Arial"/>
          <w:sz w:val="24"/>
          <w:szCs w:val="24"/>
        </w:rPr>
        <w:t>Music Performance Anxiety is a complex and pervasive issue affecting musicians across age groups and experience levels. Addressing it requires multifaceted, scalable, and developmentally informed strategies. A growing body of literature emphasizes the value of psychological, physiological, and pedagogical interventions</w:t>
      </w:r>
      <w:r w:rsidR="00E4768C">
        <w:rPr>
          <w:rFonts w:ascii="Arial" w:hAnsi="Arial" w:cs="Arial"/>
          <w:sz w:val="24"/>
          <w:szCs w:val="24"/>
        </w:rPr>
        <w:t xml:space="preserve">, </w:t>
      </w:r>
      <w:r w:rsidRPr="00844EB8">
        <w:rPr>
          <w:rFonts w:ascii="Arial" w:hAnsi="Arial" w:cs="Arial"/>
          <w:sz w:val="24"/>
          <w:szCs w:val="24"/>
        </w:rPr>
        <w:t>many of which highlight the teacher’s pivotal role in both prevention and treatment.</w:t>
      </w:r>
    </w:p>
    <w:p w14:paraId="1D02EC6C" w14:textId="77777777" w:rsidR="0040545A" w:rsidRPr="00844EB8" w:rsidRDefault="0040545A" w:rsidP="0040545A">
      <w:pPr>
        <w:spacing w:line="360" w:lineRule="auto"/>
        <w:jc w:val="both"/>
        <w:rPr>
          <w:rFonts w:ascii="Arial" w:hAnsi="Arial" w:cs="Arial"/>
          <w:b/>
          <w:bCs/>
          <w:sz w:val="24"/>
          <w:szCs w:val="24"/>
        </w:rPr>
      </w:pPr>
      <w:r w:rsidRPr="00844EB8">
        <w:rPr>
          <w:rFonts w:ascii="Arial" w:hAnsi="Arial" w:cs="Arial"/>
          <w:b/>
          <w:bCs/>
          <w:sz w:val="24"/>
          <w:szCs w:val="24"/>
        </w:rPr>
        <w:t>Cognitive-Behavioral Interventions: The Evidence-Based Foundation</w:t>
      </w:r>
    </w:p>
    <w:p w14:paraId="1434B3B1" w14:textId="77777777" w:rsidR="002919E5" w:rsidRDefault="0040545A" w:rsidP="002919E5">
      <w:pPr>
        <w:spacing w:after="0" w:line="360" w:lineRule="auto"/>
        <w:jc w:val="both"/>
        <w:rPr>
          <w:rFonts w:ascii="Arial" w:hAnsi="Arial" w:cs="Arial"/>
          <w:sz w:val="24"/>
          <w:szCs w:val="24"/>
        </w:rPr>
      </w:pPr>
      <w:r w:rsidRPr="00844EB8">
        <w:rPr>
          <w:rFonts w:ascii="Arial" w:hAnsi="Arial" w:cs="Arial"/>
          <w:sz w:val="24"/>
          <w:szCs w:val="24"/>
        </w:rPr>
        <w:t>Cognitive-behavioral therapy (CBT) remains the most extensively supported intervention across clinical and educational contexts. Braden et al. (2015) demonstrated that an 8-week CBT-based psychological skills program (</w:t>
      </w:r>
      <w:r w:rsidRPr="00844EB8">
        <w:rPr>
          <w:rFonts w:ascii="Arial" w:hAnsi="Arial" w:cs="Arial"/>
          <w:i/>
          <w:iCs/>
          <w:sz w:val="24"/>
          <w:szCs w:val="24"/>
        </w:rPr>
        <w:t xml:space="preserve">Unleash </w:t>
      </w:r>
      <w:r w:rsidRPr="00844EB8">
        <w:rPr>
          <w:rFonts w:ascii="Arial" w:hAnsi="Arial" w:cs="Arial"/>
          <w:i/>
          <w:iCs/>
          <w:sz w:val="24"/>
          <w:szCs w:val="24"/>
        </w:rPr>
        <w:lastRenderedPageBreak/>
        <w:t>Your Potential</w:t>
      </w:r>
      <w:r w:rsidRPr="00844EB8">
        <w:rPr>
          <w:rFonts w:ascii="Arial" w:hAnsi="Arial" w:cs="Arial"/>
          <w:sz w:val="24"/>
          <w:szCs w:val="24"/>
        </w:rPr>
        <w:t xml:space="preserve">) significantly reduced adolescent musicians’ self-reported MPA, with sustained benefits at two-month follow-up. </w:t>
      </w:r>
      <w:r w:rsidR="00487C7E">
        <w:rPr>
          <w:rFonts w:ascii="Arial" w:hAnsi="Arial" w:cs="Arial"/>
          <w:sz w:val="24"/>
          <w:szCs w:val="24"/>
        </w:rPr>
        <w:t>I believe that t</w:t>
      </w:r>
      <w:r w:rsidR="00487C7E" w:rsidRPr="00487C7E">
        <w:rPr>
          <w:rFonts w:ascii="Arial" w:hAnsi="Arial" w:cs="Arial"/>
          <w:sz w:val="24"/>
          <w:szCs w:val="24"/>
        </w:rPr>
        <w:t xml:space="preserve">his type of intervention could offer significant value if implemented within Portuguese arts education institutions. However, its feasibility would necessarily depend on the institutional context and </w:t>
      </w:r>
      <w:proofErr w:type="gramStart"/>
      <w:r w:rsidR="00487C7E" w:rsidRPr="00487C7E">
        <w:rPr>
          <w:rFonts w:ascii="Arial" w:hAnsi="Arial" w:cs="Arial"/>
          <w:sz w:val="24"/>
          <w:szCs w:val="24"/>
        </w:rPr>
        <w:t>timetabling</w:t>
      </w:r>
      <w:proofErr w:type="gramEnd"/>
      <w:r w:rsidR="00487C7E" w:rsidRPr="00487C7E">
        <w:rPr>
          <w:rFonts w:ascii="Arial" w:hAnsi="Arial" w:cs="Arial"/>
          <w:sz w:val="24"/>
          <w:szCs w:val="24"/>
        </w:rPr>
        <w:t xml:space="preserve"> constraints. For </w:t>
      </w:r>
      <w:r w:rsidR="002919E5" w:rsidRPr="00487C7E">
        <w:rPr>
          <w:rFonts w:ascii="Arial" w:hAnsi="Arial" w:cs="Arial"/>
          <w:sz w:val="24"/>
          <w:szCs w:val="24"/>
        </w:rPr>
        <w:t>instance</w:t>
      </w:r>
      <w:r w:rsidR="00487C7E" w:rsidRPr="00487C7E">
        <w:rPr>
          <w:rFonts w:ascii="Arial" w:hAnsi="Arial" w:cs="Arial"/>
          <w:sz w:val="24"/>
          <w:szCs w:val="24"/>
        </w:rPr>
        <w:t>, in the institution where I currently teach</w:t>
      </w:r>
      <w:r w:rsidR="00487C7E">
        <w:rPr>
          <w:rFonts w:ascii="Arial" w:hAnsi="Arial" w:cs="Arial"/>
          <w:sz w:val="24"/>
          <w:szCs w:val="24"/>
        </w:rPr>
        <w:t xml:space="preserve">, </w:t>
      </w:r>
      <w:r w:rsidR="00487C7E" w:rsidRPr="00487C7E">
        <w:rPr>
          <w:rFonts w:ascii="Arial" w:hAnsi="Arial" w:cs="Arial"/>
          <w:sz w:val="24"/>
          <w:szCs w:val="24"/>
        </w:rPr>
        <w:t>where students typically follow a lighter training schedule</w:t>
      </w:r>
      <w:r w:rsidR="00487C7E">
        <w:rPr>
          <w:rFonts w:ascii="Arial" w:hAnsi="Arial" w:cs="Arial"/>
          <w:sz w:val="24"/>
          <w:szCs w:val="24"/>
        </w:rPr>
        <w:t xml:space="preserve">, </w:t>
      </w:r>
      <w:r w:rsidR="00487C7E" w:rsidRPr="00487C7E">
        <w:rPr>
          <w:rFonts w:ascii="Arial" w:hAnsi="Arial" w:cs="Arial"/>
          <w:sz w:val="24"/>
          <w:szCs w:val="24"/>
        </w:rPr>
        <w:t xml:space="preserve">such a program would likely require adaptation to align with students’ limited availability. Nonetheless, in settings such as drama universities or conservatoires, where curricular structures often allow for more extensive scheduling flexibility, it may be more feasible to allocate dedicated time for structured psychological skills training. Thus, while logistical considerations must be </w:t>
      </w:r>
      <w:proofErr w:type="gramStart"/>
      <w:r w:rsidR="00487C7E" w:rsidRPr="00487C7E">
        <w:rPr>
          <w:rFonts w:ascii="Arial" w:hAnsi="Arial" w:cs="Arial"/>
          <w:sz w:val="24"/>
          <w:szCs w:val="24"/>
        </w:rPr>
        <w:t>taken into account</w:t>
      </w:r>
      <w:proofErr w:type="gramEnd"/>
      <w:r w:rsidR="00487C7E" w:rsidRPr="00487C7E">
        <w:rPr>
          <w:rFonts w:ascii="Arial" w:hAnsi="Arial" w:cs="Arial"/>
          <w:sz w:val="24"/>
          <w:szCs w:val="24"/>
        </w:rPr>
        <w:t xml:space="preserve">, there is clear potential for integration of CBT-based interventions into a range of educational environments, </w:t>
      </w:r>
      <w:proofErr w:type="gramStart"/>
      <w:r w:rsidR="00487C7E" w:rsidRPr="00487C7E">
        <w:rPr>
          <w:rFonts w:ascii="Arial" w:hAnsi="Arial" w:cs="Arial"/>
          <w:sz w:val="24"/>
          <w:szCs w:val="24"/>
        </w:rPr>
        <w:t>provided that</w:t>
      </w:r>
      <w:proofErr w:type="gramEnd"/>
      <w:r w:rsidR="00487C7E" w:rsidRPr="00487C7E">
        <w:rPr>
          <w:rFonts w:ascii="Arial" w:hAnsi="Arial" w:cs="Arial"/>
          <w:sz w:val="24"/>
          <w:szCs w:val="24"/>
        </w:rPr>
        <w:t xml:space="preserve"> implementation is context-sensitive.</w:t>
      </w:r>
    </w:p>
    <w:p w14:paraId="44DE5994" w14:textId="77777777" w:rsidR="0040545A" w:rsidRPr="00844EB8" w:rsidRDefault="00487C7E" w:rsidP="002919E5">
      <w:pPr>
        <w:spacing w:line="360" w:lineRule="auto"/>
        <w:jc w:val="both"/>
        <w:rPr>
          <w:rFonts w:ascii="Arial" w:hAnsi="Arial" w:cs="Arial"/>
          <w:sz w:val="24"/>
          <w:szCs w:val="24"/>
        </w:rPr>
      </w:pPr>
      <w:r>
        <w:rPr>
          <w:rFonts w:ascii="Arial" w:hAnsi="Arial" w:cs="Arial"/>
          <w:sz w:val="24"/>
          <w:szCs w:val="24"/>
        </w:rPr>
        <w:br/>
      </w:r>
      <w:r w:rsidR="0040545A" w:rsidRPr="00844EB8">
        <w:rPr>
          <w:rFonts w:ascii="Arial" w:hAnsi="Arial" w:cs="Arial"/>
          <w:sz w:val="24"/>
          <w:szCs w:val="24"/>
        </w:rPr>
        <w:t xml:space="preserve">Similarly, Ortiz </w:t>
      </w:r>
      <w:proofErr w:type="spellStart"/>
      <w:r w:rsidR="0040545A" w:rsidRPr="00844EB8">
        <w:rPr>
          <w:rFonts w:ascii="Arial" w:hAnsi="Arial" w:cs="Arial"/>
          <w:sz w:val="24"/>
          <w:szCs w:val="24"/>
        </w:rPr>
        <w:t>Brugués</w:t>
      </w:r>
      <w:proofErr w:type="spellEnd"/>
      <w:r w:rsidR="0040545A" w:rsidRPr="00844EB8">
        <w:rPr>
          <w:rFonts w:ascii="Arial" w:hAnsi="Arial" w:cs="Arial"/>
          <w:sz w:val="24"/>
          <w:szCs w:val="24"/>
        </w:rPr>
        <w:t xml:space="preserve"> (2011), in a comprehensive evidence-based medicine (EBM) review, identified CBT as the most effective treatment. These findings suggest that targeting maladaptive thought patterns and cognitive distortions can meaningfully reduce MPA</w:t>
      </w:r>
      <w:r w:rsidR="00487190">
        <w:rPr>
          <w:rFonts w:ascii="Arial" w:hAnsi="Arial" w:cs="Arial"/>
          <w:sz w:val="24"/>
          <w:szCs w:val="24"/>
        </w:rPr>
        <w:t xml:space="preserve">, </w:t>
      </w:r>
      <w:r w:rsidR="0040545A" w:rsidRPr="00844EB8">
        <w:rPr>
          <w:rFonts w:ascii="Arial" w:hAnsi="Arial" w:cs="Arial"/>
          <w:sz w:val="24"/>
          <w:szCs w:val="24"/>
        </w:rPr>
        <w:t xml:space="preserve">although performance quality outcomes may </w:t>
      </w:r>
      <w:proofErr w:type="gramStart"/>
      <w:r w:rsidR="0040545A" w:rsidRPr="00844EB8">
        <w:rPr>
          <w:rFonts w:ascii="Arial" w:hAnsi="Arial" w:cs="Arial"/>
          <w:sz w:val="24"/>
          <w:szCs w:val="24"/>
        </w:rPr>
        <w:t>lag behind</w:t>
      </w:r>
      <w:proofErr w:type="gramEnd"/>
      <w:r w:rsidR="0040545A" w:rsidRPr="00844EB8">
        <w:rPr>
          <w:rFonts w:ascii="Arial" w:hAnsi="Arial" w:cs="Arial"/>
          <w:sz w:val="24"/>
          <w:szCs w:val="24"/>
        </w:rPr>
        <w:t xml:space="preserve"> psychological gains, due to the gradual nature of behavioral change.</w:t>
      </w:r>
    </w:p>
    <w:p w14:paraId="211F5929" w14:textId="77777777" w:rsidR="00047324" w:rsidRDefault="0040545A" w:rsidP="002919E5">
      <w:pPr>
        <w:spacing w:before="240" w:line="360" w:lineRule="auto"/>
        <w:jc w:val="both"/>
        <w:rPr>
          <w:rFonts w:ascii="Arial" w:hAnsi="Arial" w:cs="Arial"/>
          <w:sz w:val="24"/>
          <w:szCs w:val="24"/>
        </w:rPr>
      </w:pPr>
      <w:r w:rsidRPr="00844EB8">
        <w:rPr>
          <w:rFonts w:ascii="Arial" w:hAnsi="Arial" w:cs="Arial"/>
          <w:sz w:val="24"/>
          <w:szCs w:val="24"/>
        </w:rPr>
        <w:t>Kenny and Halls (2018) further supported the efficacy of CBT in a one-day workshop format for community musicians, while also testing an Anxiety Sensitivity Reduction (ASR) protocol. Both interventions led to improved performance quality and reduced state anxiety, with ASR showing slightly superior follow-up outcomes</w:t>
      </w:r>
      <w:r w:rsidR="0082576E">
        <w:rPr>
          <w:rFonts w:ascii="Arial" w:hAnsi="Arial" w:cs="Arial"/>
          <w:sz w:val="24"/>
          <w:szCs w:val="24"/>
        </w:rPr>
        <w:t xml:space="preserve"> </w:t>
      </w:r>
      <w:r w:rsidR="00487190">
        <w:rPr>
          <w:rFonts w:ascii="Arial" w:hAnsi="Arial" w:cs="Arial"/>
          <w:sz w:val="24"/>
          <w:szCs w:val="24"/>
        </w:rPr>
        <w:fldChar w:fldCharType="begin"/>
      </w:r>
      <w:r w:rsidR="000D6C77">
        <w:rPr>
          <w:rFonts w:ascii="Arial" w:hAnsi="Arial" w:cs="Arial"/>
          <w:sz w:val="24"/>
          <w:szCs w:val="24"/>
        </w:rPr>
        <w:instrText xml:space="preserve"> ADDIN ZOTERO_ITEM CSL_CITATION {"citationID":"wj2tJ8iO","properties":{"formattedCitation":"(Kenny and Halls, 2018a)","plainCitation":"(Kenny and Halls, 2018a)","noteIndex":0},"citationItems":[{"id":1055,"uris":["http://zotero.org/users/local/hN5mtYaY/items/H2HMYX98"],"itemData":{"id":1055,"type":"article-journal","abstract":"This study presents the development, administration and evaluation of two brief group interventions for music performance anxiety (MPA) aimed at reducing anxiety and improving performance quality. A cognitive behavioural therapy intervention was developed based on an existing empirically-supported treatment Chilled (Rapee et al., 2006), focusing on cognitive, physiological and behavioural symptoms. The second treatment, anxiety sensitivity reduction, targeted primarily physiological symptoms and included relaxation strategies. Interventions were administered in a workshop format over one day with four intervention sessions, preceded by a pedagogic practice skills session that functioned as a control/placebo intervention. A quasi-experimental group randomization design compared the interventions in a heterogeneous sample of community musicians. Sixty-eight participants completed measures of trait anxiety, anxiety sensitivity, depression, and MPA. Participants performed four times (pre- and post-placebo, post-treatment and follow-up) and were assessed for state anxiety and performance quality at each performance. Results indicated that both interventions offered moderately significant gains for the musicians: anxiety was reduced and performance quality improved after each intervention and changes were maintained at follow-up. Anxiety sensitivity reduction showed a trend to exceed the CBT-based interventions, but a larger, higher-powered study is needed to confirm this advantage.","container-title":"Psychology of Music","DOI":"10.1177/0305735617702536","ISSN":"0305-7356","issue":"1","language":"EN","note":"publisher: SAGE Publications Ltd","page":"66-83","source":"SAGE Journals","title":"Development and evaluation of two brief group interventions for music performance anxiety in community musicians","volume":"46","author":[{"family":"Kenny","given":"Dianna T."},{"family":"Halls","given":"Naomi"}],"issued":{"date-parts":[["2018",1,1]]}}}],"schema":"https://github.com/citation-style-language/schema/raw/master/csl-citation.json"} </w:instrText>
      </w:r>
      <w:r w:rsidR="00487190">
        <w:rPr>
          <w:rFonts w:ascii="Arial" w:hAnsi="Arial" w:cs="Arial"/>
          <w:sz w:val="24"/>
          <w:szCs w:val="24"/>
        </w:rPr>
        <w:fldChar w:fldCharType="separate"/>
      </w:r>
      <w:r w:rsidR="000D6C77" w:rsidRPr="000D6C77">
        <w:rPr>
          <w:rFonts w:ascii="Arial" w:hAnsi="Arial" w:cs="Arial"/>
          <w:sz w:val="24"/>
        </w:rPr>
        <w:t>(Kenny and Halls, 2018a)</w:t>
      </w:r>
      <w:r w:rsidR="00487190">
        <w:rPr>
          <w:rFonts w:ascii="Arial" w:hAnsi="Arial" w:cs="Arial"/>
          <w:sz w:val="24"/>
          <w:szCs w:val="24"/>
        </w:rPr>
        <w:fldChar w:fldCharType="end"/>
      </w:r>
      <w:r w:rsidRPr="00844EB8">
        <w:rPr>
          <w:rFonts w:ascii="Arial" w:hAnsi="Arial" w:cs="Arial"/>
          <w:sz w:val="24"/>
          <w:szCs w:val="24"/>
        </w:rPr>
        <w:t>. The authors noted shared therapeutic elements such as psychoeducation, exposure, and supportive facilitation, reinforcing the principle that multidimensional, accessible formats can yield clinically meaningful outcomes even in non-specialist settings.</w:t>
      </w:r>
    </w:p>
    <w:p w14:paraId="4AAC3DEE" w14:textId="77777777" w:rsidR="00B476DE" w:rsidRDefault="00047324" w:rsidP="002919E5">
      <w:pPr>
        <w:spacing w:before="240" w:line="360" w:lineRule="auto"/>
        <w:jc w:val="both"/>
        <w:rPr>
          <w:rFonts w:ascii="Arial" w:hAnsi="Arial" w:cs="Arial"/>
          <w:sz w:val="24"/>
          <w:szCs w:val="24"/>
        </w:rPr>
      </w:pPr>
      <w:r w:rsidRPr="00047324">
        <w:rPr>
          <w:rFonts w:ascii="Arial" w:hAnsi="Arial" w:cs="Arial"/>
          <w:sz w:val="24"/>
          <w:szCs w:val="24"/>
        </w:rPr>
        <w:t>Mahony, Juncos, and Winter (2022) examined the effectiveness of Acceptance and Commitment Coaching (ACC) as a non-clinical intervention for managing Music Performance Anxiety (MPA) among undergraduate performing arts students. The study aimed to address the reluctance of students to engage with traditional psychotherapy by evaluating whether singing teachers</w:t>
      </w:r>
      <w:r>
        <w:rPr>
          <w:rFonts w:ascii="Arial" w:hAnsi="Arial" w:cs="Arial"/>
          <w:sz w:val="24"/>
          <w:szCs w:val="24"/>
        </w:rPr>
        <w:t xml:space="preserve">, </w:t>
      </w:r>
      <w:r w:rsidRPr="00047324">
        <w:rPr>
          <w:rFonts w:ascii="Arial" w:hAnsi="Arial" w:cs="Arial"/>
          <w:sz w:val="24"/>
          <w:szCs w:val="24"/>
        </w:rPr>
        <w:t xml:space="preserve">trained in ACC </w:t>
      </w:r>
      <w:r w:rsidRPr="00047324">
        <w:rPr>
          <w:rFonts w:ascii="Arial" w:hAnsi="Arial" w:cs="Arial"/>
          <w:sz w:val="24"/>
          <w:szCs w:val="24"/>
        </w:rPr>
        <w:lastRenderedPageBreak/>
        <w:t>but without clinical qualifications</w:t>
      </w:r>
      <w:r>
        <w:rPr>
          <w:rFonts w:ascii="Arial" w:hAnsi="Arial" w:cs="Arial"/>
          <w:sz w:val="24"/>
          <w:szCs w:val="24"/>
        </w:rPr>
        <w:t xml:space="preserve">, </w:t>
      </w:r>
      <w:r w:rsidRPr="00047324">
        <w:rPr>
          <w:rFonts w:ascii="Arial" w:hAnsi="Arial" w:cs="Arial"/>
          <w:sz w:val="24"/>
          <w:szCs w:val="24"/>
        </w:rPr>
        <w:t xml:space="preserve">could effectively support students’ psychological wellbeing. Conducted over six weeks with a small group of six students (ages 18–20), the intervention used a mixed-methods design incorporating standardized self-report instruments (e.g., KMPAI, PHLMS, BAFT, and ESS), performance evaluations, and qualitative interviews. Results indicated significant improvements in psychological flexibility, including enhanced mindfulness and cognitive </w:t>
      </w:r>
      <w:proofErr w:type="spellStart"/>
      <w:r w:rsidRPr="00047324">
        <w:rPr>
          <w:rFonts w:ascii="Arial" w:hAnsi="Arial" w:cs="Arial"/>
          <w:sz w:val="24"/>
          <w:szCs w:val="24"/>
        </w:rPr>
        <w:t>defusion</w:t>
      </w:r>
      <w:proofErr w:type="spellEnd"/>
      <w:r w:rsidRPr="00047324">
        <w:rPr>
          <w:rFonts w:ascii="Arial" w:hAnsi="Arial" w:cs="Arial"/>
          <w:sz w:val="24"/>
          <w:szCs w:val="24"/>
        </w:rPr>
        <w:t>, and a sustained reduction in self-reported MPA at three-month follow-up. Participants also experienced decreased shame and improved acceptance of anxiety symptoms. Although technical performance improvements were not statistically significant, gains were noted in confidence and expressive performance. The study concluded that ACC, even when delivered by non-clinicians, offers a promising, scalable approach to addressing MPA in educational settings, fostering self-acceptance and values-based performance behaviors</w:t>
      </w:r>
      <w:r w:rsidR="006834AD">
        <w:rPr>
          <w:rFonts w:ascii="Arial" w:hAnsi="Arial" w:cs="Arial"/>
          <w:sz w:val="24"/>
          <w:szCs w:val="24"/>
        </w:rPr>
        <w:t xml:space="preserve"> </w:t>
      </w:r>
      <w:r>
        <w:rPr>
          <w:rFonts w:ascii="Arial" w:hAnsi="Arial" w:cs="Arial"/>
          <w:sz w:val="24"/>
          <w:szCs w:val="24"/>
        </w:rPr>
        <w:fldChar w:fldCharType="begin"/>
      </w:r>
      <w:r w:rsidR="00F10989">
        <w:rPr>
          <w:rFonts w:ascii="Arial" w:hAnsi="Arial" w:cs="Arial"/>
          <w:sz w:val="24"/>
          <w:szCs w:val="24"/>
        </w:rPr>
        <w:instrText xml:space="preserve"> ADDIN ZOTERO_ITEM CSL_CITATION {"citationID":"K0KBR4oy","properties":{"formattedCitation":"(Mahony, Juncos and Winter, 2022)","plainCitation":"(Mahony, Juncos and Winter, 2022)","noteIndex":0},"citationItems":[{"id":913,"uris":["http://zotero.org/users/local/hN5mtYaY/items/3XV9V486"],"itemData":{"id":913,"type":"article-journal","abstract":"Treatments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(&amp;lt;10 h) may be sufficient for singing teachers to provide significant benefit for students with problematic MPA.","container-title":"Frontiers in Psychology","DOI":"10.3389/fpsyg.2022.830230","ISSN":"1664-1078","journalAbbreviation":"Front. Psychol.","language":"English","note":"publisher: Frontiers","source":"Frontiers","title":"Acceptance and Commitment Coaching for Music Performance Anxiety: Piloting a 6-Week Group Course With Undergraduate Dance and Musical Theatre Students","title-short":"Acceptance and Commitment Coaching for Music Performance Anxiety","URL":"https://www.frontiersin.org/journals/psychology/articles/10.3389/fpsyg.2022.830230/full","volume":"13","author":[{"family":"Mahony","given":"Sarah E."},{"family":"Juncos","given":"David G."},{"family":"Winter","given":"Debbie"}],"accessed":{"date-parts":[["2025",4,8]]},"issued":{"date-parts":[["2022",3,18]]}}}],"schema":"https://github.com/citation-style-language/schema/raw/master/csl-citation.json"} </w:instrText>
      </w:r>
      <w:r>
        <w:rPr>
          <w:rFonts w:ascii="Arial" w:hAnsi="Arial" w:cs="Arial"/>
          <w:sz w:val="24"/>
          <w:szCs w:val="24"/>
        </w:rPr>
        <w:fldChar w:fldCharType="separate"/>
      </w:r>
      <w:r w:rsidR="00F10989" w:rsidRPr="00F10989">
        <w:rPr>
          <w:rFonts w:ascii="Arial" w:hAnsi="Arial" w:cs="Arial"/>
          <w:sz w:val="24"/>
        </w:rPr>
        <w:t>(Mahony, Juncos and Winter, 2022)</w:t>
      </w:r>
      <w:r>
        <w:rPr>
          <w:rFonts w:ascii="Arial" w:hAnsi="Arial" w:cs="Arial"/>
          <w:sz w:val="24"/>
          <w:szCs w:val="24"/>
        </w:rPr>
        <w:fldChar w:fldCharType="end"/>
      </w:r>
      <w:r w:rsidRPr="00047324">
        <w:rPr>
          <w:rFonts w:ascii="Arial" w:hAnsi="Arial" w:cs="Arial"/>
          <w:sz w:val="24"/>
          <w:szCs w:val="24"/>
        </w:rPr>
        <w:t>.</w:t>
      </w:r>
      <w:r w:rsidR="006834AD">
        <w:rPr>
          <w:rFonts w:ascii="Arial" w:hAnsi="Arial" w:cs="Arial"/>
          <w:sz w:val="24"/>
          <w:szCs w:val="24"/>
        </w:rPr>
        <w:t xml:space="preserve"> </w:t>
      </w:r>
    </w:p>
    <w:p w14:paraId="4CD0AA9A" w14:textId="77777777" w:rsidR="006834AD" w:rsidRDefault="004B5AC2" w:rsidP="00B476DE">
      <w:pPr>
        <w:spacing w:line="360" w:lineRule="auto"/>
        <w:jc w:val="both"/>
        <w:rPr>
          <w:rFonts w:ascii="Arial" w:hAnsi="Arial" w:cs="Arial"/>
          <w:sz w:val="24"/>
          <w:szCs w:val="24"/>
        </w:rPr>
      </w:pPr>
      <w:r>
        <w:rPr>
          <w:rFonts w:ascii="Arial" w:hAnsi="Arial" w:cs="Arial"/>
          <w:sz w:val="24"/>
          <w:szCs w:val="24"/>
        </w:rPr>
        <w:t>I suggest t</w:t>
      </w:r>
      <w:r w:rsidR="00B476DE" w:rsidRPr="00B476DE">
        <w:rPr>
          <w:rFonts w:ascii="Arial" w:hAnsi="Arial" w:cs="Arial"/>
          <w:sz w:val="24"/>
          <w:szCs w:val="24"/>
        </w:rPr>
        <w:t>his approach would be particularly valuable to investigate within the</w:t>
      </w:r>
      <w:r w:rsidR="00B476DE">
        <w:rPr>
          <w:rFonts w:ascii="Arial" w:hAnsi="Arial" w:cs="Arial"/>
          <w:sz w:val="24"/>
          <w:szCs w:val="24"/>
        </w:rPr>
        <w:t xml:space="preserve"> </w:t>
      </w:r>
      <w:r w:rsidR="00B476DE" w:rsidRPr="00B476DE">
        <w:rPr>
          <w:rFonts w:ascii="Arial" w:hAnsi="Arial" w:cs="Arial"/>
          <w:sz w:val="24"/>
          <w:szCs w:val="24"/>
        </w:rPr>
        <w:t>Portuguese context, potentially replicating the original study with a similar age group and number of participants. However, its successful implementation would require that singing teachers first receive appropriate training in ACC. To the best of my knowledge, none of the singing teachers within my professional network in Portugal currently hold such training. Therefore, it would be important to investigate whether any educators in the country are formally trained in ACC and to assess the feasibility of integrating this approach into existing pedagogical frameworks.</w:t>
      </w:r>
    </w:p>
    <w:p w14:paraId="7C2DB94C" w14:textId="77777777" w:rsidR="00487190" w:rsidRPr="00844EB8" w:rsidRDefault="00487190" w:rsidP="0040545A">
      <w:pPr>
        <w:spacing w:line="360" w:lineRule="auto"/>
        <w:jc w:val="both"/>
        <w:rPr>
          <w:rFonts w:ascii="Arial" w:hAnsi="Arial" w:cs="Arial"/>
          <w:sz w:val="24"/>
          <w:szCs w:val="24"/>
        </w:rPr>
      </w:pPr>
    </w:p>
    <w:p w14:paraId="012A9345" w14:textId="77777777" w:rsidR="0040545A" w:rsidRPr="00844EB8" w:rsidRDefault="0040545A" w:rsidP="0040545A">
      <w:pPr>
        <w:spacing w:line="360" w:lineRule="auto"/>
        <w:jc w:val="both"/>
        <w:rPr>
          <w:rFonts w:ascii="Arial" w:hAnsi="Arial" w:cs="Arial"/>
          <w:b/>
          <w:bCs/>
          <w:sz w:val="24"/>
          <w:szCs w:val="24"/>
        </w:rPr>
      </w:pPr>
      <w:r w:rsidRPr="00844EB8">
        <w:rPr>
          <w:rFonts w:ascii="Arial" w:hAnsi="Arial" w:cs="Arial"/>
          <w:b/>
          <w:bCs/>
          <w:sz w:val="24"/>
          <w:szCs w:val="24"/>
        </w:rPr>
        <w:t>Physiological Strategies: Regulating the Body to Calm the Mind</w:t>
      </w:r>
    </w:p>
    <w:p w14:paraId="59607EE1" w14:textId="77777777" w:rsidR="0040545A" w:rsidRPr="00844EB8" w:rsidRDefault="0040545A" w:rsidP="0040545A">
      <w:pPr>
        <w:spacing w:line="360" w:lineRule="auto"/>
        <w:jc w:val="both"/>
        <w:rPr>
          <w:rFonts w:ascii="Arial" w:hAnsi="Arial" w:cs="Arial"/>
          <w:sz w:val="24"/>
          <w:szCs w:val="24"/>
        </w:rPr>
      </w:pPr>
      <w:r w:rsidRPr="00844EB8">
        <w:rPr>
          <w:rFonts w:ascii="Arial" w:hAnsi="Arial" w:cs="Arial"/>
          <w:sz w:val="24"/>
          <w:szCs w:val="24"/>
        </w:rPr>
        <w:t xml:space="preserve">Breathing techniques, progressive relaxation, and other somatic strategies remain popular and evidence-based tools for managing physiological symptoms of MPA. Ramos (2020) emphasized the accessibility of diaphragmatic breathing for </w:t>
      </w:r>
      <w:proofErr w:type="gramStart"/>
      <w:r w:rsidRPr="00844EB8">
        <w:rPr>
          <w:rFonts w:ascii="Arial" w:hAnsi="Arial" w:cs="Arial"/>
          <w:sz w:val="24"/>
          <w:szCs w:val="24"/>
        </w:rPr>
        <w:t>school teachers</w:t>
      </w:r>
      <w:proofErr w:type="gramEnd"/>
      <w:r w:rsidRPr="00844EB8">
        <w:rPr>
          <w:rFonts w:ascii="Arial" w:hAnsi="Arial" w:cs="Arial"/>
          <w:sz w:val="24"/>
          <w:szCs w:val="24"/>
        </w:rPr>
        <w:t>, advocating its integration into regular classroom routines to build autonomy and physiological self-regulation. Osório et al. (2020) also found that 66% of Brazilian musicians used breathing and relaxation techniques</w:t>
      </w:r>
      <w:r w:rsidR="00487190">
        <w:rPr>
          <w:rFonts w:ascii="Arial" w:hAnsi="Arial" w:cs="Arial"/>
          <w:sz w:val="24"/>
          <w:szCs w:val="24"/>
        </w:rPr>
        <w:t xml:space="preserve">, </w:t>
      </w:r>
      <w:r w:rsidRPr="00844EB8">
        <w:rPr>
          <w:rFonts w:ascii="Arial" w:hAnsi="Arial" w:cs="Arial"/>
          <w:sz w:val="24"/>
          <w:szCs w:val="24"/>
        </w:rPr>
        <w:t xml:space="preserve">though they were rated as only moderately effective, reinforcing the notion that these </w:t>
      </w:r>
      <w:r w:rsidRPr="00844EB8">
        <w:rPr>
          <w:rFonts w:ascii="Arial" w:hAnsi="Arial" w:cs="Arial"/>
          <w:sz w:val="24"/>
          <w:szCs w:val="24"/>
        </w:rPr>
        <w:lastRenderedPageBreak/>
        <w:t>methods are best when embedded within broader cognitive or pedagogical frameworks.</w:t>
      </w:r>
    </w:p>
    <w:p w14:paraId="65F05C26" w14:textId="77777777" w:rsidR="00D1093B" w:rsidRDefault="0040545A" w:rsidP="0040545A">
      <w:pPr>
        <w:spacing w:line="360" w:lineRule="auto"/>
        <w:jc w:val="both"/>
        <w:rPr>
          <w:rFonts w:ascii="Arial" w:hAnsi="Arial" w:cs="Arial"/>
          <w:sz w:val="24"/>
          <w:szCs w:val="24"/>
        </w:rPr>
      </w:pPr>
      <w:r w:rsidRPr="00844EB8">
        <w:rPr>
          <w:rFonts w:ascii="Arial" w:hAnsi="Arial" w:cs="Arial"/>
          <w:sz w:val="24"/>
          <w:szCs w:val="24"/>
        </w:rPr>
        <w:t>Anxiety Sensitivity Reduction (ASR), as evaluated by Kenny and Halls (2018), also addressed physiological reactivity and demonstrated notable gains. These findings suggest that body-based regulation is essential, especially when time or psychological expertise is limited.</w:t>
      </w:r>
    </w:p>
    <w:p w14:paraId="510BFE03" w14:textId="77777777" w:rsidR="00D1093B" w:rsidRDefault="00D1093B" w:rsidP="0040545A">
      <w:pPr>
        <w:spacing w:line="360" w:lineRule="auto"/>
        <w:jc w:val="both"/>
        <w:rPr>
          <w:rFonts w:ascii="Arial" w:hAnsi="Arial" w:cs="Arial"/>
          <w:sz w:val="24"/>
          <w:szCs w:val="24"/>
        </w:rPr>
      </w:pPr>
      <w:r w:rsidRPr="00D1093B">
        <w:rPr>
          <w:rFonts w:ascii="Arial" w:hAnsi="Arial" w:cs="Arial"/>
          <w:sz w:val="24"/>
          <w:szCs w:val="24"/>
        </w:rPr>
        <w:t>These findings align closely with my professional experience working within an institution where both time and access to psychological expertise are limited. In such contexts, body-based regulation strategies</w:t>
      </w:r>
      <w:r>
        <w:rPr>
          <w:rFonts w:ascii="Arial" w:hAnsi="Arial" w:cs="Arial"/>
          <w:sz w:val="24"/>
          <w:szCs w:val="24"/>
        </w:rPr>
        <w:t xml:space="preserve"> seem to </w:t>
      </w:r>
      <w:r w:rsidRPr="00D1093B">
        <w:rPr>
          <w:rFonts w:ascii="Arial" w:hAnsi="Arial" w:cs="Arial"/>
          <w:sz w:val="24"/>
          <w:szCs w:val="24"/>
        </w:rPr>
        <w:t>offer a practical and accessible means of supporting students with MPA. However, the existing research suggests that while these techniques can contribute positively to physiological self-regulation, their effectiveness tends to be moderate when used in isolation (Osório et al., 2020). This reinforces the importance of embedding them within broader, multidimensional interventions. Although not as impactful as cognitive-behavioral or combined approaches,</w:t>
      </w:r>
      <w:r>
        <w:rPr>
          <w:rFonts w:ascii="Arial" w:hAnsi="Arial" w:cs="Arial"/>
          <w:sz w:val="24"/>
          <w:szCs w:val="24"/>
        </w:rPr>
        <w:t xml:space="preserve"> I suggest</w:t>
      </w:r>
      <w:r w:rsidRPr="00D1093B">
        <w:rPr>
          <w:rFonts w:ascii="Arial" w:hAnsi="Arial" w:cs="Arial"/>
          <w:sz w:val="24"/>
          <w:szCs w:val="24"/>
        </w:rPr>
        <w:t xml:space="preserve"> these somatic strategies </w:t>
      </w:r>
      <w:r>
        <w:rPr>
          <w:rFonts w:ascii="Arial" w:hAnsi="Arial" w:cs="Arial"/>
          <w:sz w:val="24"/>
          <w:szCs w:val="24"/>
        </w:rPr>
        <w:t xml:space="preserve">can </w:t>
      </w:r>
      <w:r w:rsidRPr="00D1093B">
        <w:rPr>
          <w:rFonts w:ascii="Arial" w:hAnsi="Arial" w:cs="Arial"/>
          <w:sz w:val="24"/>
          <w:szCs w:val="24"/>
        </w:rPr>
        <w:t xml:space="preserve">remain valuable and </w:t>
      </w:r>
      <w:r>
        <w:rPr>
          <w:rFonts w:ascii="Arial" w:hAnsi="Arial" w:cs="Arial"/>
          <w:sz w:val="24"/>
          <w:szCs w:val="24"/>
        </w:rPr>
        <w:t>might</w:t>
      </w:r>
      <w:r w:rsidRPr="00D1093B">
        <w:rPr>
          <w:rFonts w:ascii="Arial" w:hAnsi="Arial" w:cs="Arial"/>
          <w:sz w:val="24"/>
          <w:szCs w:val="24"/>
        </w:rPr>
        <w:t xml:space="preserve"> be considered as complementary tools within a holistic pedagogical</w:t>
      </w:r>
      <w:r>
        <w:rPr>
          <w:rFonts w:ascii="Arial" w:hAnsi="Arial" w:cs="Arial"/>
          <w:sz w:val="24"/>
          <w:szCs w:val="24"/>
        </w:rPr>
        <w:t xml:space="preserve"> </w:t>
      </w:r>
      <w:r w:rsidRPr="00D1093B">
        <w:rPr>
          <w:rFonts w:ascii="Arial" w:hAnsi="Arial" w:cs="Arial"/>
          <w:sz w:val="24"/>
          <w:szCs w:val="24"/>
        </w:rPr>
        <w:t>framework</w:t>
      </w:r>
      <w:r>
        <w:rPr>
          <w:rFonts w:ascii="Arial" w:hAnsi="Arial" w:cs="Arial"/>
          <w:sz w:val="24"/>
          <w:szCs w:val="24"/>
        </w:rPr>
        <w:t xml:space="preserve"> in the Portuguese context</w:t>
      </w:r>
      <w:r w:rsidRPr="00D1093B">
        <w:rPr>
          <w:rFonts w:ascii="Arial" w:hAnsi="Arial" w:cs="Arial"/>
          <w:sz w:val="24"/>
          <w:szCs w:val="24"/>
        </w:rPr>
        <w:t>.</w:t>
      </w:r>
    </w:p>
    <w:p w14:paraId="541C9B9F" w14:textId="77777777" w:rsidR="00487190" w:rsidRDefault="00487190" w:rsidP="0040545A">
      <w:pPr>
        <w:spacing w:line="360" w:lineRule="auto"/>
        <w:jc w:val="both"/>
        <w:rPr>
          <w:rFonts w:ascii="Arial" w:hAnsi="Arial" w:cs="Arial"/>
          <w:sz w:val="24"/>
          <w:szCs w:val="24"/>
        </w:rPr>
      </w:pPr>
    </w:p>
    <w:p w14:paraId="688AF721" w14:textId="77777777" w:rsidR="0040545A" w:rsidRPr="00844EB8" w:rsidRDefault="0040545A" w:rsidP="0040545A">
      <w:pPr>
        <w:spacing w:line="360" w:lineRule="auto"/>
        <w:jc w:val="both"/>
        <w:rPr>
          <w:rFonts w:ascii="Arial" w:hAnsi="Arial" w:cs="Arial"/>
          <w:b/>
          <w:bCs/>
          <w:sz w:val="24"/>
          <w:szCs w:val="24"/>
        </w:rPr>
      </w:pPr>
      <w:r w:rsidRPr="00844EB8">
        <w:rPr>
          <w:rFonts w:ascii="Arial" w:hAnsi="Arial" w:cs="Arial"/>
          <w:b/>
          <w:bCs/>
          <w:sz w:val="24"/>
          <w:szCs w:val="24"/>
        </w:rPr>
        <w:t>Combined and Complementary Approaches</w:t>
      </w:r>
    </w:p>
    <w:p w14:paraId="36379B0F" w14:textId="77777777" w:rsidR="0040545A" w:rsidRPr="00844EB8" w:rsidRDefault="0040545A" w:rsidP="0040545A">
      <w:pPr>
        <w:spacing w:line="360" w:lineRule="auto"/>
        <w:jc w:val="both"/>
        <w:rPr>
          <w:rFonts w:ascii="Arial" w:hAnsi="Arial" w:cs="Arial"/>
          <w:sz w:val="24"/>
          <w:szCs w:val="24"/>
        </w:rPr>
      </w:pPr>
      <w:r w:rsidRPr="00844EB8">
        <w:rPr>
          <w:rFonts w:ascii="Arial" w:hAnsi="Arial" w:cs="Arial"/>
          <w:sz w:val="24"/>
          <w:szCs w:val="24"/>
        </w:rPr>
        <w:t>Zhukov’s (2019) overview concluded that combined interventions</w:t>
      </w:r>
      <w:r w:rsidR="00487190" w:rsidRPr="00487190">
        <w:rPr>
          <w:rFonts w:ascii="Arial" w:hAnsi="Arial" w:cs="Arial"/>
          <w:sz w:val="24"/>
          <w:szCs w:val="24"/>
        </w:rPr>
        <w:t xml:space="preserve">, </w:t>
      </w:r>
      <w:r w:rsidRPr="00844EB8">
        <w:rPr>
          <w:rFonts w:ascii="Arial" w:hAnsi="Arial" w:cs="Arial"/>
          <w:sz w:val="24"/>
          <w:szCs w:val="24"/>
        </w:rPr>
        <w:t>integrating cognitive restructuring with behavioral or physiological components</w:t>
      </w:r>
      <w:r w:rsidR="00487190" w:rsidRPr="00487190">
        <w:rPr>
          <w:rFonts w:ascii="Arial" w:hAnsi="Arial" w:cs="Arial"/>
          <w:sz w:val="24"/>
          <w:szCs w:val="24"/>
        </w:rPr>
        <w:t xml:space="preserve">, </w:t>
      </w:r>
      <w:r w:rsidRPr="00844EB8">
        <w:rPr>
          <w:rFonts w:ascii="Arial" w:hAnsi="Arial" w:cs="Arial"/>
          <w:sz w:val="24"/>
          <w:szCs w:val="24"/>
        </w:rPr>
        <w:t xml:space="preserve">are among the most promising. </w:t>
      </w:r>
      <w:r w:rsidR="00487190" w:rsidRPr="00487190">
        <w:rPr>
          <w:rFonts w:ascii="Arial" w:hAnsi="Arial" w:cs="Arial"/>
          <w:sz w:val="24"/>
          <w:szCs w:val="24"/>
        </w:rPr>
        <w:t>Zhukov’s</w:t>
      </w:r>
      <w:r w:rsidRPr="00844EB8">
        <w:rPr>
          <w:rFonts w:ascii="Arial" w:hAnsi="Arial" w:cs="Arial"/>
          <w:sz w:val="24"/>
          <w:szCs w:val="24"/>
        </w:rPr>
        <w:t xml:space="preserve"> analysis, supported by findings from Kenny and Halls (2018) and Blair and van der Sluis (2022), points toward multimodal strategies as the most effective and sustainable</w:t>
      </w:r>
      <w:r w:rsidR="00487190">
        <w:rPr>
          <w:rFonts w:ascii="Arial" w:hAnsi="Arial" w:cs="Arial"/>
          <w:sz w:val="24"/>
          <w:szCs w:val="24"/>
        </w:rPr>
        <w:t xml:space="preserve"> </w:t>
      </w:r>
      <w:r w:rsidR="00487190">
        <w:rPr>
          <w:rFonts w:ascii="Arial" w:hAnsi="Arial" w:cs="Arial"/>
          <w:sz w:val="24"/>
          <w:szCs w:val="24"/>
        </w:rPr>
        <w:fldChar w:fldCharType="begin"/>
      </w:r>
      <w:r w:rsidR="00487190">
        <w:rPr>
          <w:rFonts w:ascii="Arial" w:hAnsi="Arial" w:cs="Arial"/>
          <w:sz w:val="24"/>
          <w:szCs w:val="24"/>
        </w:rPr>
        <w:instrText xml:space="preserve"> ADDIN ZOTERO_ITEM CSL_CITATION {"citationID":"vuACsUJH","properties":{"formattedCitation":"(Zhukov, 2019)","plainCitation":"(Zhukov, 2019)","noteIndex":0},"citationItems":[{"id":819,"uris":["http://zotero.org/users/local/hN5mtYaY/items/TUTS5QIY"],"itemData":{"id":819,"type":"article-journal","abstract":"Music performance anxiety (MPA) is a complex area with many individual factors contributing to the level of anxiety experienced by musicians during live performances. This paper provides an overview of research literature on performance anxiety, intended for music teachers, students,\nand professional musicians, to highlight strategies that have been suggested to manage the accompanying physical and cognitive symptoms. Treatment of MPA includes mindfulness-based approaches, physiological/physically-based therapies, cognitive/behavioural therapies, prescribed medication,\nmusic therapy, and psychotherapy. The most popular approaches for managing the physical symptoms are relaxation techniques, in particular, deep breathing exercises, yoga, and meditation. Other strategies include Alexander technique, bio- and neuro-feedback, healthy lifestyle, and prescription\ndrugs. Self-handicapping and perfectionism are some of the examples of negative behaviours in musicians. Management of cognitive symptoms of MPA includes cognitive restructuring, realistic goal-setting, systematic desensitisation, music therapy, and/or psychotherapy. Combining behavioural\ntechniques with cognitive therapy strategies appears to be the most promising approach among interventions aimed at reducing MPA and improving the quality of music performance. Cautious interpretation of the efficacy of interventions is needed due to methodological weaknesses of some research,\nand this overview of current approaches is intended to facilitate understanding for those less familiar with this topic.","container-title":"Medical Problems of Performing Artists","DOI":"10.21091/mppa.2019.1008","issue":"1","journalAbbreviation":"Medical Problems of Performing Artists","page":"53-60","source":"IngentaConnect","title":"Current Approaches for Management of Music Performance Anxiety: An Introductory Overview","title-short":"Current Approaches for Management of Music Performance Anxiety","volume":"34","author":[{"family":"Zhukov","given":"Katie"}],"issued":{"date-parts":[["2019",3,1]]}}}],"schema":"https://github.com/citation-style-language/schema/raw/master/csl-citation.json"} </w:instrText>
      </w:r>
      <w:r w:rsidR="00487190">
        <w:rPr>
          <w:rFonts w:ascii="Arial" w:hAnsi="Arial" w:cs="Arial"/>
          <w:sz w:val="24"/>
          <w:szCs w:val="24"/>
        </w:rPr>
        <w:fldChar w:fldCharType="separate"/>
      </w:r>
      <w:r w:rsidR="00487190" w:rsidRPr="00487190">
        <w:rPr>
          <w:rFonts w:ascii="Arial" w:hAnsi="Arial" w:cs="Arial"/>
          <w:sz w:val="24"/>
        </w:rPr>
        <w:t>(Zhukov, 2019)</w:t>
      </w:r>
      <w:r w:rsidR="00487190">
        <w:rPr>
          <w:rFonts w:ascii="Arial" w:hAnsi="Arial" w:cs="Arial"/>
          <w:sz w:val="24"/>
          <w:szCs w:val="24"/>
        </w:rPr>
        <w:fldChar w:fldCharType="end"/>
      </w:r>
      <w:r w:rsidRPr="00844EB8">
        <w:rPr>
          <w:rFonts w:ascii="Arial" w:hAnsi="Arial" w:cs="Arial"/>
          <w:sz w:val="24"/>
          <w:szCs w:val="24"/>
        </w:rPr>
        <w:t>.</w:t>
      </w:r>
    </w:p>
    <w:p w14:paraId="0E4461C6" w14:textId="29F6928D" w:rsidR="00487190" w:rsidRDefault="0040545A" w:rsidP="00C4764B">
      <w:pPr>
        <w:spacing w:line="360" w:lineRule="auto"/>
        <w:jc w:val="both"/>
        <w:rPr>
          <w:rFonts w:ascii="Arial" w:hAnsi="Arial" w:cs="Arial"/>
          <w:sz w:val="24"/>
          <w:szCs w:val="24"/>
        </w:rPr>
      </w:pPr>
      <w:r w:rsidRPr="00844EB8">
        <w:rPr>
          <w:rFonts w:ascii="Arial" w:hAnsi="Arial" w:cs="Arial"/>
          <w:sz w:val="24"/>
          <w:szCs w:val="24"/>
        </w:rPr>
        <w:t>Meanwhile, complementary techniques such as yoga, meditation, and expressive writing (Tang &amp; Ryan, 2020) show promise but are under-researched or require practitioner expertise. Of these, expressive writing stands out as a pedagogically scalable intervention, requiring no specialist training while offering anxiety reduction benefits (Blair &amp; van der Sluis, 2022).</w:t>
      </w:r>
    </w:p>
    <w:p w14:paraId="617686AE" w14:textId="77777777" w:rsidR="00E20660" w:rsidRDefault="00E20660" w:rsidP="00C4764B">
      <w:pPr>
        <w:spacing w:line="360" w:lineRule="auto"/>
        <w:jc w:val="both"/>
        <w:rPr>
          <w:rFonts w:ascii="Arial" w:hAnsi="Arial" w:cs="Arial"/>
          <w:sz w:val="24"/>
          <w:szCs w:val="24"/>
        </w:rPr>
      </w:pPr>
    </w:p>
    <w:p w14:paraId="42A87903" w14:textId="77777777" w:rsidR="00E20660" w:rsidRPr="0040545A" w:rsidRDefault="00E20660" w:rsidP="00C4764B">
      <w:pPr>
        <w:spacing w:line="360" w:lineRule="auto"/>
        <w:jc w:val="both"/>
        <w:rPr>
          <w:rFonts w:ascii="Arial" w:hAnsi="Arial" w:cs="Arial"/>
          <w:sz w:val="24"/>
          <w:szCs w:val="24"/>
        </w:rPr>
      </w:pPr>
    </w:p>
    <w:p w14:paraId="70679BCE" w14:textId="77777777" w:rsidR="0040545A" w:rsidRPr="00844EB8" w:rsidRDefault="0040545A" w:rsidP="0040545A">
      <w:pPr>
        <w:spacing w:line="360" w:lineRule="auto"/>
        <w:jc w:val="both"/>
        <w:rPr>
          <w:rFonts w:ascii="Arial" w:hAnsi="Arial" w:cs="Arial"/>
          <w:b/>
          <w:bCs/>
          <w:sz w:val="24"/>
          <w:szCs w:val="24"/>
        </w:rPr>
      </w:pPr>
      <w:r w:rsidRPr="00844EB8">
        <w:rPr>
          <w:rFonts w:ascii="Arial" w:hAnsi="Arial" w:cs="Arial"/>
          <w:b/>
          <w:bCs/>
          <w:sz w:val="24"/>
          <w:szCs w:val="24"/>
        </w:rPr>
        <w:lastRenderedPageBreak/>
        <w:t>Pedagogical Strategies and the Teacher's Role</w:t>
      </w:r>
    </w:p>
    <w:p w14:paraId="51D1147D" w14:textId="77777777" w:rsidR="0040545A" w:rsidRPr="00844EB8" w:rsidRDefault="0040545A" w:rsidP="0040545A">
      <w:pPr>
        <w:spacing w:line="360" w:lineRule="auto"/>
        <w:jc w:val="both"/>
        <w:rPr>
          <w:rFonts w:ascii="Arial" w:hAnsi="Arial" w:cs="Arial"/>
          <w:sz w:val="24"/>
          <w:szCs w:val="24"/>
        </w:rPr>
      </w:pPr>
      <w:r w:rsidRPr="00844EB8">
        <w:rPr>
          <w:rFonts w:ascii="Arial" w:hAnsi="Arial" w:cs="Arial"/>
          <w:sz w:val="24"/>
          <w:szCs w:val="24"/>
        </w:rPr>
        <w:t>A vital and often under-recognized contributor to MPA management is the music teacher. Boyett (2020) presents a compelling case that teachers occupy a central position akin to that of a counselor, particularly in pre-college environments where students depend more heavily on pedagogical relationships for emotional and performance-related guidance.</w:t>
      </w:r>
    </w:p>
    <w:p w14:paraId="5D0BD38E" w14:textId="77777777" w:rsidR="0040545A" w:rsidRPr="00844EB8" w:rsidRDefault="0040545A" w:rsidP="0040545A">
      <w:pPr>
        <w:spacing w:line="360" w:lineRule="auto"/>
        <w:jc w:val="both"/>
        <w:rPr>
          <w:rFonts w:ascii="Arial" w:hAnsi="Arial" w:cs="Arial"/>
          <w:sz w:val="24"/>
          <w:szCs w:val="24"/>
        </w:rPr>
      </w:pPr>
      <w:r w:rsidRPr="00844EB8">
        <w:rPr>
          <w:rFonts w:ascii="Arial" w:hAnsi="Arial" w:cs="Arial"/>
          <w:sz w:val="24"/>
          <w:szCs w:val="24"/>
        </w:rPr>
        <w:t xml:space="preserve">Boyett’s framework outlines how teachers can serve as both diagnosticians and facilitators of MPA coping. </w:t>
      </w:r>
      <w:r w:rsidR="00487190">
        <w:rPr>
          <w:rFonts w:ascii="Arial" w:hAnsi="Arial" w:cs="Arial"/>
          <w:sz w:val="24"/>
          <w:szCs w:val="24"/>
        </w:rPr>
        <w:t>Boyett’s</w:t>
      </w:r>
      <w:r w:rsidRPr="00844EB8">
        <w:rPr>
          <w:rFonts w:ascii="Arial" w:hAnsi="Arial" w:cs="Arial"/>
          <w:sz w:val="24"/>
          <w:szCs w:val="24"/>
        </w:rPr>
        <w:t xml:space="preserve"> argues that management strategies must be individualized, given the variability in how anxiety manifests across students. Teachers are encouraged to develop safe, open, and empathetic learning environments where anxiety is normalized rather than stigmatized (Nagel, 2017). This aligns with </w:t>
      </w:r>
      <w:proofErr w:type="spellStart"/>
      <w:r w:rsidRPr="00844EB8">
        <w:rPr>
          <w:rFonts w:ascii="Arial" w:hAnsi="Arial" w:cs="Arial"/>
          <w:sz w:val="24"/>
          <w:szCs w:val="24"/>
        </w:rPr>
        <w:t>Mazzarolo</w:t>
      </w:r>
      <w:proofErr w:type="spellEnd"/>
      <w:r w:rsidRPr="00844EB8">
        <w:rPr>
          <w:rFonts w:ascii="Arial" w:hAnsi="Arial" w:cs="Arial"/>
          <w:sz w:val="24"/>
          <w:szCs w:val="24"/>
        </w:rPr>
        <w:t xml:space="preserve"> et al. (2023) and MacAfee and Comeau (2023), who emphasize that even informal strategies</w:t>
      </w:r>
      <w:r w:rsidR="00487190">
        <w:rPr>
          <w:rFonts w:ascii="Arial" w:hAnsi="Arial" w:cs="Arial"/>
          <w:sz w:val="24"/>
          <w:szCs w:val="24"/>
        </w:rPr>
        <w:t xml:space="preserve">, </w:t>
      </w:r>
      <w:r w:rsidRPr="00844EB8">
        <w:rPr>
          <w:rFonts w:ascii="Arial" w:hAnsi="Arial" w:cs="Arial"/>
          <w:sz w:val="24"/>
          <w:szCs w:val="24"/>
        </w:rPr>
        <w:t xml:space="preserve">like open communication, simulation, and realistic </w:t>
      </w:r>
      <w:proofErr w:type="gramStart"/>
      <w:r w:rsidRPr="00844EB8">
        <w:rPr>
          <w:rFonts w:ascii="Arial" w:hAnsi="Arial" w:cs="Arial"/>
          <w:sz w:val="24"/>
          <w:szCs w:val="24"/>
        </w:rPr>
        <w:t>goal-setting</w:t>
      </w:r>
      <w:proofErr w:type="gramEnd"/>
      <w:r w:rsidR="00487190">
        <w:rPr>
          <w:rFonts w:ascii="Arial" w:hAnsi="Arial" w:cs="Arial"/>
          <w:sz w:val="24"/>
          <w:szCs w:val="24"/>
        </w:rPr>
        <w:t xml:space="preserve">, </w:t>
      </w:r>
      <w:r w:rsidRPr="00844EB8">
        <w:rPr>
          <w:rFonts w:ascii="Arial" w:hAnsi="Arial" w:cs="Arial"/>
          <w:sz w:val="24"/>
          <w:szCs w:val="24"/>
        </w:rPr>
        <w:t>can be powerful when embedded into routine practice.</w:t>
      </w:r>
    </w:p>
    <w:p w14:paraId="29BFC7C1" w14:textId="77777777" w:rsidR="0040545A" w:rsidRDefault="0040545A" w:rsidP="0040545A">
      <w:pPr>
        <w:spacing w:line="360" w:lineRule="auto"/>
        <w:jc w:val="both"/>
        <w:rPr>
          <w:rFonts w:ascii="Arial" w:hAnsi="Arial" w:cs="Arial"/>
          <w:sz w:val="24"/>
          <w:szCs w:val="24"/>
        </w:rPr>
      </w:pPr>
      <w:r w:rsidRPr="00844EB8">
        <w:rPr>
          <w:rFonts w:ascii="Arial" w:hAnsi="Arial" w:cs="Arial"/>
          <w:sz w:val="24"/>
          <w:szCs w:val="24"/>
        </w:rPr>
        <w:t>In addition, modeling vulnerability, shifting focus from perfection to expression, and incorporating strategies such as self-assessment, reflective journaling, and breathwork can help students reframe their anxiety as manageable and non-defining</w:t>
      </w:r>
      <w:r w:rsidR="00487190">
        <w:rPr>
          <w:rFonts w:ascii="Arial" w:hAnsi="Arial" w:cs="Arial"/>
          <w:sz w:val="24"/>
          <w:szCs w:val="24"/>
        </w:rPr>
        <w:t xml:space="preserve"> (Tang &amp; Ryan, 2020)</w:t>
      </w:r>
      <w:r w:rsidRPr="00844EB8">
        <w:rPr>
          <w:rFonts w:ascii="Arial" w:hAnsi="Arial" w:cs="Arial"/>
          <w:sz w:val="24"/>
          <w:szCs w:val="24"/>
        </w:rPr>
        <w:t>. Teachers should also actively challenge perfectionistic beliefs, encouraging psychological flexibility and intrinsic motivation (Kenny, 2011; Schneiderman, 1995).</w:t>
      </w:r>
    </w:p>
    <w:p w14:paraId="3D5EF06F" w14:textId="77777777" w:rsidR="00364868" w:rsidRPr="00844EB8" w:rsidRDefault="00D1093B" w:rsidP="0040545A">
      <w:pPr>
        <w:spacing w:line="360" w:lineRule="auto"/>
        <w:jc w:val="both"/>
        <w:rPr>
          <w:rFonts w:ascii="Arial" w:hAnsi="Arial" w:cs="Arial"/>
          <w:sz w:val="24"/>
          <w:szCs w:val="24"/>
        </w:rPr>
      </w:pPr>
      <w:r>
        <w:rPr>
          <w:rFonts w:ascii="Arial" w:hAnsi="Arial" w:cs="Arial"/>
          <w:sz w:val="24"/>
          <w:szCs w:val="24"/>
        </w:rPr>
        <w:t>These findings</w:t>
      </w:r>
      <w:r w:rsidRPr="00D1093B">
        <w:rPr>
          <w:rFonts w:ascii="Arial" w:hAnsi="Arial" w:cs="Arial"/>
          <w:sz w:val="24"/>
          <w:szCs w:val="24"/>
        </w:rPr>
        <w:t xml:space="preserve"> resonat</w:t>
      </w:r>
      <w:r>
        <w:rPr>
          <w:rFonts w:ascii="Arial" w:hAnsi="Arial" w:cs="Arial"/>
          <w:sz w:val="24"/>
          <w:szCs w:val="24"/>
        </w:rPr>
        <w:t>e closely</w:t>
      </w:r>
      <w:r w:rsidRPr="00D1093B">
        <w:rPr>
          <w:rFonts w:ascii="Arial" w:hAnsi="Arial" w:cs="Arial"/>
          <w:sz w:val="24"/>
          <w:szCs w:val="24"/>
        </w:rPr>
        <w:t xml:space="preserve"> with my own professional experience, where students frequently seek not only technical instruction but also emotional support and guidance from their teachers. Such interactions highlight the influential role that educators can play in addressing MPA. These experiences reinforce the belief that teachers, particularly in one-to-one or small-group settings, are uniquely positioned to identify signs of anxiety and provide meaningful support, thereby playing a pivotal role in students' emotional and psychological development alongside their artistic growth</w:t>
      </w:r>
      <w:r w:rsidR="00F84FF8">
        <w:rPr>
          <w:rFonts w:ascii="Arial" w:hAnsi="Arial" w:cs="Arial"/>
          <w:sz w:val="24"/>
          <w:szCs w:val="24"/>
        </w:rPr>
        <w:t>.</w:t>
      </w:r>
    </w:p>
    <w:p w14:paraId="7E3AAA70" w14:textId="77777777" w:rsidR="0040545A" w:rsidRPr="00844EB8" w:rsidRDefault="0040545A" w:rsidP="0040545A">
      <w:pPr>
        <w:spacing w:line="360" w:lineRule="auto"/>
        <w:jc w:val="both"/>
        <w:rPr>
          <w:rFonts w:ascii="Arial" w:hAnsi="Arial" w:cs="Arial"/>
          <w:b/>
          <w:bCs/>
          <w:sz w:val="24"/>
          <w:szCs w:val="24"/>
        </w:rPr>
      </w:pPr>
      <w:r w:rsidRPr="00844EB8">
        <w:rPr>
          <w:rFonts w:ascii="Arial" w:hAnsi="Arial" w:cs="Arial"/>
          <w:b/>
          <w:bCs/>
          <w:sz w:val="24"/>
          <w:szCs w:val="24"/>
        </w:rPr>
        <w:t>Scaling Interventions in Higher Education</w:t>
      </w:r>
    </w:p>
    <w:p w14:paraId="2BA97BE8" w14:textId="77777777" w:rsidR="0040545A" w:rsidRPr="00844EB8" w:rsidRDefault="0040545A" w:rsidP="0040545A">
      <w:pPr>
        <w:spacing w:line="360" w:lineRule="auto"/>
        <w:jc w:val="both"/>
        <w:rPr>
          <w:rFonts w:ascii="Arial" w:hAnsi="Arial" w:cs="Arial"/>
          <w:sz w:val="24"/>
          <w:szCs w:val="24"/>
        </w:rPr>
      </w:pPr>
      <w:r w:rsidRPr="00844EB8">
        <w:rPr>
          <w:rFonts w:ascii="Arial" w:hAnsi="Arial" w:cs="Arial"/>
          <w:sz w:val="24"/>
          <w:szCs w:val="24"/>
        </w:rPr>
        <w:t xml:space="preserve">Despite the growing interest in MPA management, Blair and van der Sluis (2022) note that most evidence-based interventions remain impractical in higher </w:t>
      </w:r>
      <w:r w:rsidRPr="00844EB8">
        <w:rPr>
          <w:rFonts w:ascii="Arial" w:hAnsi="Arial" w:cs="Arial"/>
          <w:sz w:val="24"/>
          <w:szCs w:val="24"/>
        </w:rPr>
        <w:lastRenderedPageBreak/>
        <w:t>education due to their dependence on specialist training or resources. Their systematic review found that while many cognitive and behavioral techniques were validated in controlled environments, few could be realistically embedded into university curricula. Tang and Ryan’s (2020) expressive writing intervention stands out as a scalable option</w:t>
      </w:r>
      <w:r w:rsidR="007376C9">
        <w:rPr>
          <w:rFonts w:ascii="Arial" w:hAnsi="Arial" w:cs="Arial"/>
          <w:sz w:val="24"/>
          <w:szCs w:val="24"/>
        </w:rPr>
        <w:t xml:space="preserve">, </w:t>
      </w:r>
      <w:r w:rsidRPr="00844EB8">
        <w:rPr>
          <w:rFonts w:ascii="Arial" w:hAnsi="Arial" w:cs="Arial"/>
          <w:sz w:val="24"/>
          <w:szCs w:val="24"/>
        </w:rPr>
        <w:t>requiring no specialist training and leading to both anxiety reduction and improved performance accuracy.</w:t>
      </w:r>
    </w:p>
    <w:p w14:paraId="20033871" w14:textId="77777777" w:rsidR="0040545A" w:rsidRPr="00844EB8" w:rsidRDefault="0040545A" w:rsidP="0040545A">
      <w:pPr>
        <w:spacing w:line="360" w:lineRule="auto"/>
        <w:jc w:val="both"/>
        <w:rPr>
          <w:rFonts w:ascii="Arial" w:hAnsi="Arial" w:cs="Arial"/>
          <w:sz w:val="24"/>
          <w:szCs w:val="24"/>
        </w:rPr>
      </w:pPr>
      <w:r w:rsidRPr="00844EB8">
        <w:rPr>
          <w:rFonts w:ascii="Arial" w:hAnsi="Arial" w:cs="Arial"/>
          <w:sz w:val="24"/>
          <w:szCs w:val="24"/>
        </w:rPr>
        <w:t xml:space="preserve">Zhukov (2019) also provides an important synthesis, advocating for integrated approaches combining cognitive restructuring, deep breathing, and systematic desensitization. </w:t>
      </w:r>
      <w:r w:rsidR="007376C9">
        <w:rPr>
          <w:rFonts w:ascii="Arial" w:hAnsi="Arial" w:cs="Arial"/>
          <w:sz w:val="24"/>
          <w:szCs w:val="24"/>
        </w:rPr>
        <w:t>The author</w:t>
      </w:r>
      <w:r w:rsidRPr="00844EB8">
        <w:rPr>
          <w:rFonts w:ascii="Arial" w:hAnsi="Arial" w:cs="Arial"/>
          <w:sz w:val="24"/>
          <w:szCs w:val="24"/>
        </w:rPr>
        <w:t xml:space="preserve"> caution regarding methodological variability reinforces the call for more practitioner-led, context-sensitive implementation research.</w:t>
      </w:r>
    </w:p>
    <w:p w14:paraId="369913A1" w14:textId="77777777" w:rsidR="0040545A" w:rsidRPr="00844EB8" w:rsidRDefault="0040545A" w:rsidP="0040545A">
      <w:pPr>
        <w:spacing w:line="360" w:lineRule="auto"/>
        <w:jc w:val="both"/>
        <w:rPr>
          <w:rFonts w:ascii="Arial" w:hAnsi="Arial" w:cs="Arial"/>
          <w:b/>
          <w:bCs/>
          <w:sz w:val="24"/>
          <w:szCs w:val="24"/>
        </w:rPr>
      </w:pPr>
      <w:r w:rsidRPr="00844EB8">
        <w:rPr>
          <w:rFonts w:ascii="Arial" w:hAnsi="Arial" w:cs="Arial"/>
          <w:b/>
          <w:bCs/>
          <w:sz w:val="24"/>
          <w:szCs w:val="24"/>
        </w:rPr>
        <w:t>Coping Styles, Student Vulnerability, and the Need for Early Intervention</w:t>
      </w:r>
    </w:p>
    <w:p w14:paraId="2992D364" w14:textId="77777777" w:rsidR="0040545A" w:rsidRPr="00844EB8" w:rsidRDefault="0040545A" w:rsidP="0040545A">
      <w:pPr>
        <w:spacing w:line="360" w:lineRule="auto"/>
        <w:jc w:val="both"/>
        <w:rPr>
          <w:rFonts w:ascii="Arial" w:hAnsi="Arial" w:cs="Arial"/>
          <w:sz w:val="24"/>
          <w:szCs w:val="24"/>
        </w:rPr>
      </w:pPr>
      <w:r w:rsidRPr="00844EB8">
        <w:rPr>
          <w:rFonts w:ascii="Arial" w:hAnsi="Arial" w:cs="Arial"/>
          <w:sz w:val="24"/>
          <w:szCs w:val="24"/>
        </w:rPr>
        <w:t>Biasutti and Concina (2014) highlight the psychological vulnerabilities that heighten MPA</w:t>
      </w:r>
      <w:r w:rsidR="007376C9">
        <w:rPr>
          <w:rFonts w:ascii="Arial" w:hAnsi="Arial" w:cs="Arial"/>
          <w:sz w:val="24"/>
          <w:szCs w:val="24"/>
        </w:rPr>
        <w:t xml:space="preserve">, </w:t>
      </w:r>
      <w:r w:rsidRPr="00844EB8">
        <w:rPr>
          <w:rFonts w:ascii="Arial" w:hAnsi="Arial" w:cs="Arial"/>
          <w:sz w:val="24"/>
          <w:szCs w:val="24"/>
        </w:rPr>
        <w:t xml:space="preserve">particularly for less experienced students who rely heavily on avoidance or social reassurance. These strategies correlate with higher anxiety levels, suggesting a pressing need for </w:t>
      </w:r>
      <w:proofErr w:type="gramStart"/>
      <w:r w:rsidRPr="00844EB8">
        <w:rPr>
          <w:rFonts w:ascii="Arial" w:hAnsi="Arial" w:cs="Arial"/>
          <w:sz w:val="24"/>
          <w:szCs w:val="24"/>
        </w:rPr>
        <w:t>explicit instruction</w:t>
      </w:r>
      <w:proofErr w:type="gramEnd"/>
      <w:r w:rsidRPr="00844EB8">
        <w:rPr>
          <w:rFonts w:ascii="Arial" w:hAnsi="Arial" w:cs="Arial"/>
          <w:sz w:val="24"/>
          <w:szCs w:val="24"/>
        </w:rPr>
        <w:t xml:space="preserve"> in adaptive, metacognitive coping. Similarly, Osório et al. (2020) found that self-imposed pressure, fear of audience response, and repertoire difficulty were leading perceived causes of MPA</w:t>
      </w:r>
      <w:r w:rsidR="007376C9">
        <w:rPr>
          <w:rFonts w:ascii="Arial" w:hAnsi="Arial" w:cs="Arial"/>
          <w:sz w:val="24"/>
          <w:szCs w:val="24"/>
        </w:rPr>
        <w:t xml:space="preserve">, </w:t>
      </w:r>
      <w:r w:rsidRPr="00844EB8">
        <w:rPr>
          <w:rFonts w:ascii="Arial" w:hAnsi="Arial" w:cs="Arial"/>
          <w:sz w:val="24"/>
          <w:szCs w:val="24"/>
        </w:rPr>
        <w:t>further emphasizing the psychological dimension of performance anxiety.</w:t>
      </w:r>
    </w:p>
    <w:p w14:paraId="00C47D3F" w14:textId="77777777" w:rsidR="005F7BAE" w:rsidRDefault="005F7BAE" w:rsidP="0048587C">
      <w:pPr>
        <w:spacing w:line="360" w:lineRule="auto"/>
        <w:jc w:val="both"/>
        <w:rPr>
          <w:rFonts w:ascii="Arial" w:hAnsi="Arial" w:cs="Arial"/>
          <w:sz w:val="24"/>
          <w:szCs w:val="24"/>
        </w:rPr>
      </w:pPr>
      <w:r w:rsidRPr="005F7BAE">
        <w:rPr>
          <w:rFonts w:ascii="Arial" w:hAnsi="Arial" w:cs="Arial"/>
          <w:sz w:val="24"/>
          <w:szCs w:val="24"/>
        </w:rPr>
        <w:t xml:space="preserve">Early developmental insights from Lehrer (1978) and Ely (1991) highlight how experiences of social embarrassment in childhood can evolve into broader patterns of avoidance and performance-related anxiety in adolescence. These foundational observations are echoed in more recent research by Ortiz </w:t>
      </w:r>
      <w:proofErr w:type="spellStart"/>
      <w:r w:rsidRPr="005F7BAE">
        <w:rPr>
          <w:rFonts w:ascii="Arial" w:hAnsi="Arial" w:cs="Arial"/>
          <w:sz w:val="24"/>
          <w:szCs w:val="24"/>
        </w:rPr>
        <w:t>Brugués</w:t>
      </w:r>
      <w:proofErr w:type="spellEnd"/>
      <w:r w:rsidRPr="005F7BAE">
        <w:rPr>
          <w:rFonts w:ascii="Arial" w:hAnsi="Arial" w:cs="Arial"/>
          <w:sz w:val="24"/>
          <w:szCs w:val="24"/>
        </w:rPr>
        <w:t xml:space="preserve"> (2011) and Boyett (2020), who emphasize the critical need for preventative, psychologically informed pedagogy. Together, this body of work underscores that early intervention and supportive educational practices are not merely beneficial but essential in addressing the long-term impact of Music Performance Anxiety.</w:t>
      </w:r>
    </w:p>
    <w:p w14:paraId="0D058C2B" w14:textId="77777777" w:rsidR="00912BC4" w:rsidRPr="00844EB8" w:rsidRDefault="005F7BAE" w:rsidP="005F7BAE">
      <w:pPr>
        <w:spacing w:line="360" w:lineRule="auto"/>
        <w:jc w:val="both"/>
        <w:rPr>
          <w:rFonts w:ascii="Arial" w:hAnsi="Arial" w:cs="Arial"/>
          <w:sz w:val="24"/>
          <w:szCs w:val="24"/>
        </w:rPr>
      </w:pPr>
      <w:r>
        <w:rPr>
          <w:rFonts w:ascii="Arial" w:hAnsi="Arial" w:cs="Arial"/>
          <w:sz w:val="24"/>
          <w:szCs w:val="24"/>
        </w:rPr>
        <w:t>This literature review concluded that a</w:t>
      </w:r>
      <w:r w:rsidR="00912BC4" w:rsidRPr="00844EB8">
        <w:rPr>
          <w:rFonts w:ascii="Arial" w:hAnsi="Arial" w:cs="Arial"/>
          <w:sz w:val="24"/>
          <w:szCs w:val="24"/>
        </w:rPr>
        <w:t xml:space="preserve">cross diverse methodologies and contexts, the most evidence-based MPA coping strategies are those that </w:t>
      </w:r>
      <w:r w:rsidR="00912BC4" w:rsidRPr="00844EB8">
        <w:rPr>
          <w:rFonts w:ascii="Arial" w:hAnsi="Arial" w:cs="Arial"/>
          <w:b/>
          <w:bCs/>
          <w:sz w:val="24"/>
          <w:szCs w:val="24"/>
        </w:rPr>
        <w:t xml:space="preserve">combine cognitive-behavioral interventions with physiological regulation and pedagogically embedded supports. </w:t>
      </w:r>
      <w:r w:rsidR="00912BC4" w:rsidRPr="00844EB8">
        <w:rPr>
          <w:rFonts w:ascii="Arial" w:hAnsi="Arial" w:cs="Arial"/>
          <w:sz w:val="24"/>
          <w:szCs w:val="24"/>
        </w:rPr>
        <w:t xml:space="preserve">While CBT and structured therapies offer </w:t>
      </w:r>
      <w:r w:rsidR="00912BC4" w:rsidRPr="00844EB8">
        <w:rPr>
          <w:rFonts w:ascii="Arial" w:hAnsi="Arial" w:cs="Arial"/>
          <w:sz w:val="24"/>
          <w:szCs w:val="24"/>
        </w:rPr>
        <w:lastRenderedPageBreak/>
        <w:t>the most robust outcomes, scalable school-based strategies</w:t>
      </w:r>
      <w:r w:rsidR="007376C9">
        <w:rPr>
          <w:rFonts w:ascii="Arial" w:hAnsi="Arial" w:cs="Arial"/>
          <w:sz w:val="24"/>
          <w:szCs w:val="24"/>
        </w:rPr>
        <w:t xml:space="preserve"> </w:t>
      </w:r>
      <w:r w:rsidR="00912BC4" w:rsidRPr="00844EB8">
        <w:rPr>
          <w:rFonts w:ascii="Arial" w:hAnsi="Arial" w:cs="Arial"/>
          <w:sz w:val="24"/>
          <w:szCs w:val="24"/>
        </w:rPr>
        <w:t xml:space="preserve">such as exposure, breathing, open dialogue, and realistic </w:t>
      </w:r>
      <w:proofErr w:type="gramStart"/>
      <w:r w:rsidR="00912BC4" w:rsidRPr="00844EB8">
        <w:rPr>
          <w:rFonts w:ascii="Arial" w:hAnsi="Arial" w:cs="Arial"/>
          <w:sz w:val="24"/>
          <w:szCs w:val="24"/>
        </w:rPr>
        <w:t>goal-setting</w:t>
      </w:r>
      <w:proofErr w:type="gramEnd"/>
      <w:r w:rsidR="007376C9">
        <w:rPr>
          <w:rFonts w:ascii="Arial" w:hAnsi="Arial" w:cs="Arial"/>
          <w:sz w:val="24"/>
          <w:szCs w:val="24"/>
        </w:rPr>
        <w:t xml:space="preserve">, </w:t>
      </w:r>
      <w:r w:rsidR="00912BC4" w:rsidRPr="00844EB8">
        <w:rPr>
          <w:rFonts w:ascii="Arial" w:hAnsi="Arial" w:cs="Arial"/>
          <w:sz w:val="24"/>
          <w:szCs w:val="24"/>
        </w:rPr>
        <w:t>serve as crucial early interventions, especially when implemented by trained and psychologically informed educators.</w:t>
      </w:r>
    </w:p>
    <w:p w14:paraId="28DEFC87" w14:textId="77777777" w:rsidR="00912BC4" w:rsidRPr="00844EB8" w:rsidRDefault="00912BC4" w:rsidP="005F7BAE">
      <w:pPr>
        <w:spacing w:line="360" w:lineRule="auto"/>
        <w:jc w:val="both"/>
        <w:rPr>
          <w:rFonts w:ascii="Arial" w:hAnsi="Arial" w:cs="Arial"/>
          <w:sz w:val="24"/>
          <w:szCs w:val="24"/>
        </w:rPr>
      </w:pPr>
      <w:r w:rsidRPr="00844EB8">
        <w:rPr>
          <w:rFonts w:ascii="Arial" w:hAnsi="Arial" w:cs="Arial"/>
          <w:sz w:val="24"/>
          <w:szCs w:val="24"/>
        </w:rPr>
        <w:t xml:space="preserve">The literature also reveals a critical need for </w:t>
      </w:r>
      <w:r w:rsidRPr="00844EB8">
        <w:rPr>
          <w:rFonts w:ascii="Arial" w:hAnsi="Arial" w:cs="Arial"/>
          <w:b/>
          <w:bCs/>
          <w:sz w:val="24"/>
          <w:szCs w:val="24"/>
        </w:rPr>
        <w:t>professional development and knowledge translation</w:t>
      </w:r>
      <w:r w:rsidRPr="00844EB8">
        <w:rPr>
          <w:rFonts w:ascii="Arial" w:hAnsi="Arial" w:cs="Arial"/>
          <w:sz w:val="24"/>
          <w:szCs w:val="24"/>
        </w:rPr>
        <w:t xml:space="preserve">, ensuring that research-backed strategies are accessible to teachers and effectively embedded in music education curricula. Future efforts should prioritize </w:t>
      </w:r>
      <w:r w:rsidRPr="00844EB8">
        <w:rPr>
          <w:rFonts w:ascii="Arial" w:hAnsi="Arial" w:cs="Arial"/>
          <w:b/>
          <w:bCs/>
          <w:sz w:val="24"/>
          <w:szCs w:val="24"/>
        </w:rPr>
        <w:t>integrative, practitioner-led models</w:t>
      </w:r>
      <w:r w:rsidRPr="00844EB8">
        <w:rPr>
          <w:rFonts w:ascii="Arial" w:hAnsi="Arial" w:cs="Arial"/>
          <w:sz w:val="24"/>
          <w:szCs w:val="24"/>
        </w:rPr>
        <w:t xml:space="preserve"> that combine therapeutic insight with pedagogical pragmatism, making MPA management a shared responsibility between psychology and education.</w:t>
      </w:r>
    </w:p>
    <w:p w14:paraId="1A54DF53" w14:textId="77777777" w:rsidR="00B76E44" w:rsidRPr="005F7BAE" w:rsidRDefault="00B76E44" w:rsidP="00EC64D2">
      <w:pPr>
        <w:spacing w:line="360" w:lineRule="auto"/>
        <w:rPr>
          <w:rFonts w:ascii="Arial" w:hAnsi="Arial" w:cs="Arial"/>
          <w:sz w:val="24"/>
          <w:szCs w:val="24"/>
        </w:rPr>
      </w:pPr>
    </w:p>
    <w:p w14:paraId="45082AF0" w14:textId="77777777" w:rsidR="00B76E44" w:rsidRDefault="005F7BAE" w:rsidP="00B76E44">
      <w:pPr>
        <w:spacing w:line="360" w:lineRule="auto"/>
        <w:jc w:val="both"/>
        <w:rPr>
          <w:rFonts w:ascii="Arial" w:hAnsi="Arial" w:cs="Arial"/>
          <w:sz w:val="24"/>
          <w:szCs w:val="24"/>
        </w:rPr>
      </w:pPr>
      <w:r w:rsidRPr="005F7BAE">
        <w:rPr>
          <w:rFonts w:ascii="Arial" w:hAnsi="Arial" w:cs="Arial"/>
          <w:sz w:val="24"/>
          <w:szCs w:val="24"/>
        </w:rPr>
        <w:t>FORMS OF PROFESSIONAL PRECARITY IN THE PORTUGUESE ARTISTIC SECTOR</w:t>
      </w:r>
    </w:p>
    <w:p w14:paraId="656408B9" w14:textId="77777777" w:rsidR="007376C9" w:rsidRPr="005F7BAE" w:rsidRDefault="007376C9" w:rsidP="00B76E44">
      <w:pPr>
        <w:spacing w:line="360" w:lineRule="auto"/>
        <w:jc w:val="both"/>
        <w:rPr>
          <w:rFonts w:ascii="Arial" w:hAnsi="Arial" w:cs="Arial"/>
          <w:sz w:val="24"/>
          <w:szCs w:val="24"/>
        </w:rPr>
      </w:pPr>
    </w:p>
    <w:p w14:paraId="49AF86F6" w14:textId="77777777" w:rsidR="00B76E44" w:rsidRPr="001B0F98" w:rsidRDefault="00B76E44" w:rsidP="00B76E44">
      <w:pPr>
        <w:spacing w:line="360" w:lineRule="auto"/>
        <w:jc w:val="both"/>
        <w:rPr>
          <w:rFonts w:ascii="Arial" w:hAnsi="Arial" w:cs="Arial"/>
          <w:sz w:val="24"/>
          <w:szCs w:val="24"/>
        </w:rPr>
      </w:pPr>
      <w:r w:rsidRPr="005A37D0">
        <w:rPr>
          <w:rFonts w:ascii="Arial" w:hAnsi="Arial" w:cs="Arial"/>
          <w:sz w:val="24"/>
          <w:szCs w:val="24"/>
        </w:rPr>
        <w:t>While the early years of the new millennium were marked by optimism and cultural vitality, the past decade</w:t>
      </w:r>
      <w:r>
        <w:rPr>
          <w:rFonts w:ascii="Arial" w:hAnsi="Arial" w:cs="Arial"/>
          <w:sz w:val="24"/>
          <w:szCs w:val="24"/>
        </w:rPr>
        <w:t>s</w:t>
      </w:r>
      <w:r w:rsidRPr="005A37D0">
        <w:rPr>
          <w:rFonts w:ascii="Arial" w:hAnsi="Arial" w:cs="Arial"/>
          <w:sz w:val="24"/>
          <w:szCs w:val="24"/>
        </w:rPr>
        <w:t xml:space="preserve"> </w:t>
      </w:r>
      <w:proofErr w:type="gramStart"/>
      <w:r w:rsidRPr="005A37D0">
        <w:rPr>
          <w:rFonts w:ascii="Arial" w:hAnsi="Arial" w:cs="Arial"/>
          <w:sz w:val="24"/>
          <w:szCs w:val="24"/>
        </w:rPr>
        <w:t>has</w:t>
      </w:r>
      <w:proofErr w:type="gramEnd"/>
      <w:r w:rsidRPr="005A37D0">
        <w:rPr>
          <w:rFonts w:ascii="Arial" w:hAnsi="Arial" w:cs="Arial"/>
          <w:sz w:val="24"/>
          <w:szCs w:val="24"/>
        </w:rPr>
        <w:t xml:space="preserve"> been characterized by significant economic and socio-political instability. These challenges have had far-reaching consequences for Portuguese society, including a substantial impact on the cultural sector and the daily lives of its citizens</w:t>
      </w:r>
      <w:r w:rsidR="007376C9">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{"citationID":"Q5ZiJDYQ","properties":{"formattedCitation":"(Guard\\uc0\\u227{}o, 2018)","plainCitation":"(Guardão, 2018)","noteIndex":0},"citationItems":[{"id":972,"uris":["http://zotero.org/users/local/hN5mtYaY/items/HSJE3DEX"],"itemData":{"id":972,"type":"article-journal","archive_location":"https://www.ietm.org/en/publications","container-title":"IETM - International network for contemporary performing arts, Brussels","language":"en","source":"Zotero","title":"Contemporary performing arts in Portugal: an overview","author":[{"family":"Guardão","given":"Maria João"}],"issued":{"date-parts":[["2018"]]}}}],"schema":"https://github.com/citation-style-language/schema/raw/master/csl-citation.json"} </w:instrText>
      </w:r>
      <w:r>
        <w:rPr>
          <w:rFonts w:ascii="Arial" w:hAnsi="Arial" w:cs="Arial"/>
          <w:sz w:val="24"/>
          <w:szCs w:val="24"/>
        </w:rPr>
        <w:fldChar w:fldCharType="separate"/>
      </w:r>
      <w:r w:rsidRPr="005A37D0">
        <w:rPr>
          <w:rFonts w:ascii="Arial" w:hAnsi="Arial" w:cs="Arial"/>
          <w:sz w:val="24"/>
        </w:rPr>
        <w:t>(Guardão, 2018)</w:t>
      </w:r>
      <w:r>
        <w:rPr>
          <w:rFonts w:ascii="Arial" w:hAnsi="Arial" w:cs="Arial"/>
          <w:sz w:val="24"/>
          <w:szCs w:val="24"/>
        </w:rPr>
        <w:fldChar w:fldCharType="end"/>
      </w:r>
      <w:r w:rsidR="007376C9">
        <w:rPr>
          <w:rFonts w:ascii="Arial" w:hAnsi="Arial" w:cs="Arial"/>
          <w:sz w:val="24"/>
          <w:szCs w:val="24"/>
        </w:rPr>
        <w:t>.</w:t>
      </w:r>
    </w:p>
    <w:p w14:paraId="6DD95877" w14:textId="77777777" w:rsidR="00B76E44" w:rsidRPr="001B0F98" w:rsidRDefault="00B76E44" w:rsidP="00B76E44">
      <w:pPr>
        <w:spacing w:line="360" w:lineRule="auto"/>
        <w:jc w:val="both"/>
        <w:rPr>
          <w:rFonts w:ascii="Arial" w:hAnsi="Arial" w:cs="Arial"/>
          <w:sz w:val="24"/>
          <w:szCs w:val="24"/>
        </w:rPr>
      </w:pPr>
      <w:r w:rsidRPr="001B0F98">
        <w:rPr>
          <w:rFonts w:ascii="Arial" w:hAnsi="Arial" w:cs="Arial"/>
          <w:sz w:val="24"/>
          <w:szCs w:val="24"/>
        </w:rPr>
        <w:t xml:space="preserve">Recent studies have identified multiple forms of professional precarity affecting artists in Portugal, highlighting systemic vulnerabilities within the cultural labor market. Economic instability is a persistent challenge, with artists frequently experiencing underemployment, intermittent work, and low remuneration in various sectors </w:t>
      </w:r>
      <w:r>
        <w:rPr>
          <w:rFonts w:ascii="Arial" w:hAnsi="Arial" w:cs="Arial"/>
          <w:sz w:val="24"/>
          <w:szCs w:val="24"/>
        </w:rPr>
        <w:fldChar w:fldCharType="begin"/>
      </w:r>
      <w:r>
        <w:rPr>
          <w:rFonts w:ascii="Arial" w:hAnsi="Arial" w:cs="Arial"/>
          <w:sz w:val="24"/>
          <w:szCs w:val="24"/>
        </w:rPr>
        <w:instrText xml:space="preserve"> ADDIN ZOTERO_ITEM CSL_CITATION {"citationID":"hMNbmQsr","properties":{"formattedCitation":"(Conde, 2009)","plainCitation":"(Conde, 2009)","noteIndex":0},"citationItems":[{"id":978,"uris":["http://zotero.org/users/local/hN5mtYaY/items/GN8GGV2T"],"itemData":{"id":978,"type":"report","abstract":"Artists are vulnerable workers not only on account of professional contingencies\n(underemployment, intermittent and multiple jobs, freelance work, precarious\ncontracts, low salaries in certain categories), but also on account of their\ndependent identities, which are exposed to specific forms of symbolic power,\ninequality and gatekeeping processes if they wish to achieve recognition. This\npaper focuses on the two perspectives, making use of certain European and\nPortuguese references in order to portray ambivalent and diversified features in\nthe artistic condition. The research in Portugal combined statistical analysis with\nqualitative approaches to professional experiences and locations in various areas\n(in particular the visual arts, composers and musicians in the main orchestras),\nwith particular attention to gender issues.","genre":"workingPaper","language":"eng","license":"openAccess","note":"Accepted: 2009-06-29T11:59:33Z\nISSN: 1647-0893","publisher":"CIES-ISCTE","source":"repositorio.iscte-iul.pt","title":"Artists as vulnerable workers","URL":"https://repositorio.iscte-iul.pt/handle/10071/1502","author":[{"family":"Conde","given":"Idalina"}],"accessed":{"date-parts":[["2025",4,16]]},"issued":{"date-parts":[["2009"]]}}}],"schema":"https://github.com/citation-style-language/schema/raw/master/csl-citation.json"} </w:instrText>
      </w:r>
      <w:r>
        <w:rPr>
          <w:rFonts w:ascii="Arial" w:hAnsi="Arial" w:cs="Arial"/>
          <w:sz w:val="24"/>
          <w:szCs w:val="24"/>
        </w:rPr>
        <w:fldChar w:fldCharType="separate"/>
      </w:r>
      <w:r w:rsidRPr="003236CD">
        <w:rPr>
          <w:rFonts w:ascii="Arial" w:hAnsi="Arial" w:cs="Arial"/>
          <w:sz w:val="24"/>
        </w:rPr>
        <w:t>(Conde, 2009)</w:t>
      </w:r>
      <w:r>
        <w:rPr>
          <w:rFonts w:ascii="Arial" w:hAnsi="Arial" w:cs="Arial"/>
          <w:sz w:val="24"/>
          <w:szCs w:val="24"/>
        </w:rPr>
        <w:fldChar w:fldCharType="end"/>
      </w:r>
      <w:r w:rsidRPr="001B0F98">
        <w:rPr>
          <w:rFonts w:ascii="Arial" w:hAnsi="Arial" w:cs="Arial"/>
          <w:sz w:val="24"/>
          <w:szCs w:val="24"/>
        </w:rPr>
        <w:t>. These conditions have been further exacerbated by external shocks such as the 2008 financial crisis and the COVID-19 pandemic, both of which deepened the economic fragility of the cultural sector (</w:t>
      </w:r>
      <w:proofErr w:type="spellStart"/>
      <w:r w:rsidRPr="001B0F98">
        <w:rPr>
          <w:rFonts w:ascii="Arial" w:hAnsi="Arial" w:cs="Arial"/>
          <w:sz w:val="24"/>
          <w:szCs w:val="24"/>
        </w:rPr>
        <w:t>Ermida</w:t>
      </w:r>
      <w:proofErr w:type="spellEnd"/>
      <w:r w:rsidRPr="001B0F98">
        <w:rPr>
          <w:rFonts w:ascii="Arial" w:hAnsi="Arial" w:cs="Arial"/>
          <w:sz w:val="24"/>
          <w:szCs w:val="24"/>
        </w:rPr>
        <w:t xml:space="preserve"> &amp; Pratas-Cruzeiro, 2024; Garcia et al., 2018). Labor market dynamics have shifted towards more flexible yet precarious employment forms, with the widespread use of the “</w:t>
      </w:r>
      <w:proofErr w:type="spellStart"/>
      <w:r w:rsidRPr="001B0F98">
        <w:rPr>
          <w:rFonts w:ascii="Arial" w:hAnsi="Arial" w:cs="Arial"/>
          <w:sz w:val="24"/>
          <w:szCs w:val="24"/>
        </w:rPr>
        <w:t>recibo</w:t>
      </w:r>
      <w:proofErr w:type="spellEnd"/>
      <w:r w:rsidRPr="001B0F98">
        <w:rPr>
          <w:rFonts w:ascii="Arial" w:hAnsi="Arial" w:cs="Arial"/>
          <w:sz w:val="24"/>
          <w:szCs w:val="24"/>
        </w:rPr>
        <w:t xml:space="preserve"> </w:t>
      </w:r>
      <w:proofErr w:type="spellStart"/>
      <w:r w:rsidRPr="001B0F98">
        <w:rPr>
          <w:rFonts w:ascii="Arial" w:hAnsi="Arial" w:cs="Arial"/>
          <w:sz w:val="24"/>
          <w:szCs w:val="24"/>
        </w:rPr>
        <w:t>verde</w:t>
      </w:r>
      <w:proofErr w:type="spellEnd"/>
      <w:r w:rsidRPr="001B0F98">
        <w:rPr>
          <w:rFonts w:ascii="Arial" w:hAnsi="Arial" w:cs="Arial"/>
          <w:sz w:val="24"/>
          <w:szCs w:val="24"/>
        </w:rPr>
        <w:t>” system</w:t>
      </w:r>
      <w:r>
        <w:rPr>
          <w:rFonts w:ascii="Arial" w:hAnsi="Arial" w:cs="Arial"/>
          <w:sz w:val="24"/>
          <w:szCs w:val="24"/>
        </w:rPr>
        <w:t xml:space="preserve"> (</w:t>
      </w:r>
      <w:r w:rsidRPr="001B0F98">
        <w:rPr>
          <w:rFonts w:ascii="Arial" w:hAnsi="Arial" w:cs="Arial"/>
          <w:sz w:val="24"/>
          <w:szCs w:val="24"/>
        </w:rPr>
        <w:t>an independent contractor model</w:t>
      </w:r>
      <w:r>
        <w:rPr>
          <w:rFonts w:ascii="Arial" w:hAnsi="Arial" w:cs="Arial"/>
          <w:sz w:val="24"/>
          <w:szCs w:val="24"/>
        </w:rPr>
        <w:t xml:space="preserve">) </w:t>
      </w:r>
      <w:r w:rsidRPr="001B0F98">
        <w:rPr>
          <w:rFonts w:ascii="Arial" w:hAnsi="Arial" w:cs="Arial"/>
          <w:sz w:val="24"/>
          <w:szCs w:val="24"/>
        </w:rPr>
        <w:t xml:space="preserve">contributing significantly to professional insecurity and potential exploitation </w:t>
      </w:r>
      <w:r>
        <w:rPr>
          <w:rFonts w:ascii="Arial" w:hAnsi="Arial" w:cs="Arial"/>
          <w:sz w:val="24"/>
          <w:szCs w:val="24"/>
        </w:rPr>
        <w:fldChar w:fldCharType="begin"/>
      </w:r>
      <w:r>
        <w:rPr>
          <w:rFonts w:ascii="Arial" w:hAnsi="Arial" w:cs="Arial"/>
          <w:sz w:val="24"/>
          <w:szCs w:val="24"/>
        </w:rPr>
        <w:instrText xml:space="preserve"> ADDIN ZOTERO_ITEM CSL_CITATION {"citationID":"KBegmOpp","properties":{"formattedCitation":"(Campanela, 2023)","plainCitation":"(Campanela, 2023)","noteIndex":0},"citationItems":[{"id":999,"uris":["http://zotero.org/users/local/hN5mtYaY/items/YCRF6GPQ"],"itemData":{"id":999,"type":"article-journal","abstract":"This paper aims to examine the role that models of production related to work and contractual conditions play in the act of artistic creation and in the psyche of the workers involved. The status of the “independent” worker and the models for arts funding in Portugal are the background from which the topology of the artistic world emerges shaped by the hyperactive work to which its professional workers are subject.","container-title":"Sinais de Cena","DOI":"10.51427/cet.sdc.2023.0010","ISSN":"2184-9552","language":"pt","license":"Direitos de Autor (c) 2023 Carolina Campanela","page":"224-241","source":"revistas.rcaap.pt","title":"Da Dessacralização da Arte: topologia breve e inacabada do meio artístico","title-short":"Da Dessacralização da Arte","author":[{"family":"Campanela","given":"Carolina"}],"issued":{"date-parts":[["2023",12,28]]}}}],"schema":"https://github.com/citation-style-language/schema/raw/master/csl-citation.json"} </w:instrText>
      </w:r>
      <w:r>
        <w:rPr>
          <w:rFonts w:ascii="Arial" w:hAnsi="Arial" w:cs="Arial"/>
          <w:sz w:val="24"/>
          <w:szCs w:val="24"/>
        </w:rPr>
        <w:fldChar w:fldCharType="separate"/>
      </w:r>
      <w:r w:rsidRPr="00F56BD1">
        <w:rPr>
          <w:rFonts w:ascii="Arial" w:hAnsi="Arial" w:cs="Arial"/>
          <w:sz w:val="24"/>
        </w:rPr>
        <w:t>(Campanela, 2023)</w:t>
      </w:r>
      <w:r>
        <w:rPr>
          <w:rFonts w:ascii="Arial" w:hAnsi="Arial" w:cs="Arial"/>
          <w:sz w:val="24"/>
          <w:szCs w:val="24"/>
        </w:rPr>
        <w:fldChar w:fldCharType="end"/>
      </w:r>
      <w:r w:rsidRPr="001B0F98">
        <w:rPr>
          <w:rFonts w:ascii="Arial" w:hAnsi="Arial" w:cs="Arial"/>
          <w:sz w:val="24"/>
          <w:szCs w:val="24"/>
        </w:rPr>
        <w:t xml:space="preserve">. Funding challenges further compound this instability; the end of a brief </w:t>
      </w:r>
      <w:r w:rsidRPr="001B0F98">
        <w:rPr>
          <w:rFonts w:ascii="Arial" w:hAnsi="Arial" w:cs="Arial"/>
          <w:sz w:val="24"/>
          <w:szCs w:val="24"/>
        </w:rPr>
        <w:lastRenderedPageBreak/>
        <w:t>period of growing investment following the 2008 crisis has made it increasingly difficult for artists and cultural organizations to secure sustainable financial support (Garcia et al., 2018; Machado &amp; Costa, 2024). Finally, the demanding and often informal nature of artistic work contributes to a blurred boundary between professional and personal life, fostering a culture of “hyperactivity” that can lead to burnout and psychological strain (</w:t>
      </w:r>
      <w:proofErr w:type="spellStart"/>
      <w:r w:rsidRPr="001B0F98">
        <w:rPr>
          <w:rFonts w:ascii="Arial" w:hAnsi="Arial" w:cs="Arial"/>
          <w:sz w:val="24"/>
          <w:szCs w:val="24"/>
        </w:rPr>
        <w:t>Campanela</w:t>
      </w:r>
      <w:proofErr w:type="spellEnd"/>
      <w:r w:rsidRPr="001B0F98">
        <w:rPr>
          <w:rFonts w:ascii="Arial" w:hAnsi="Arial" w:cs="Arial"/>
          <w:sz w:val="24"/>
          <w:szCs w:val="24"/>
        </w:rPr>
        <w:t>, 2023). Together, these dimensions paint a complex picture of precarity that continues to shape and constrain the professional trajectories of artists in Portugal.</w:t>
      </w:r>
    </w:p>
    <w:p w14:paraId="4623C9E9" w14:textId="77777777" w:rsidR="00B76E44" w:rsidRDefault="00B76E44" w:rsidP="00B76E44">
      <w:pPr>
        <w:spacing w:line="360" w:lineRule="auto"/>
        <w:jc w:val="both"/>
        <w:rPr>
          <w:rFonts w:ascii="Arial" w:hAnsi="Arial" w:cs="Arial"/>
          <w:sz w:val="24"/>
          <w:szCs w:val="24"/>
        </w:rPr>
      </w:pPr>
      <w:r w:rsidRPr="003236CD">
        <w:rPr>
          <w:rFonts w:ascii="Arial" w:hAnsi="Arial" w:cs="Arial"/>
          <w:sz w:val="24"/>
          <w:szCs w:val="24"/>
        </w:rPr>
        <w:t xml:space="preserve">The paper on "Artistic Precarity Dimensions" </w:t>
      </w:r>
      <w:r>
        <w:rPr>
          <w:rFonts w:ascii="Arial" w:hAnsi="Arial" w:cs="Arial"/>
          <w:sz w:val="24"/>
          <w:szCs w:val="24"/>
        </w:rPr>
        <w:t xml:space="preserve">by Conde </w:t>
      </w:r>
      <w:r w:rsidRPr="003236CD">
        <w:rPr>
          <w:rFonts w:ascii="Arial" w:hAnsi="Arial" w:cs="Arial"/>
          <w:sz w:val="24"/>
          <w:szCs w:val="24"/>
        </w:rPr>
        <w:t>presents a comprehensive overview of the multifaceted challenges faced by artists in contemporary labor markets. Economically, artists often encounter underemployment, low and unstable incomes, and the necessity to juggle multiple freelance jobs or precarious contracts, reflecting a broader trend of labor market fragmentation. These conditions hinder not only financial stability but also the long-term sustainability of artistic careers. Structurally, artists operate within a system where their professional identities are often dependent on recognition from powerful gatekeepers, leaving them vulnerable to symbolic power and systemic inequalities. Such dynamics disproportionately affect marginalized groups, with gender playing a notable role in exacerbating disparities. The study underscores how these intersecting economic, structural, and social factors create an environment of ongoing insecurity and vulnerability for artists, ultimately questioning the viability and equity of careers in the cultural sector.</w:t>
      </w:r>
    </w:p>
    <w:p w14:paraId="7D7B2D9D" w14:textId="77777777" w:rsidR="005E7388" w:rsidRPr="005E7388" w:rsidRDefault="005E7388" w:rsidP="005E7388">
      <w:pPr>
        <w:spacing w:line="360" w:lineRule="auto"/>
        <w:jc w:val="both"/>
        <w:rPr>
          <w:rFonts w:ascii="Arial" w:hAnsi="Arial" w:cs="Arial"/>
          <w:sz w:val="24"/>
          <w:szCs w:val="24"/>
        </w:rPr>
      </w:pPr>
      <w:r w:rsidRPr="005E7388">
        <w:rPr>
          <w:rFonts w:ascii="Arial" w:hAnsi="Arial" w:cs="Arial"/>
          <w:sz w:val="24"/>
          <w:szCs w:val="24"/>
        </w:rPr>
        <w:t>In a study on Lisbon and Porto’s independent music scenes, Oliveira (2019) explores what it means to be a musician in contemporary Portugal and examines how artists navigate and sustain their careers. The study highlights that today’s musicians must assume multiple roles and engage in all stages of the creative process. This versatility defines the modern musician’s identity, particularly in the independent sector. However, Oliveira notes that this multiplicity generates tension, as constant role-shifting and self-management demands contribute to emotional strain (Oliveira, 2019). These findings directly inform my inquiry into how career instability and precarity may elevate stress and anxiety among artists.</w:t>
      </w:r>
    </w:p>
    <w:p w14:paraId="7991D0F3" w14:textId="0AFA1298" w:rsidR="005E7388" w:rsidRPr="005E7388" w:rsidRDefault="005E7388" w:rsidP="005E7388">
      <w:pPr>
        <w:spacing w:line="360" w:lineRule="auto"/>
        <w:jc w:val="both"/>
        <w:rPr>
          <w:rFonts w:ascii="Arial" w:hAnsi="Arial" w:cs="Arial"/>
          <w:sz w:val="24"/>
          <w:szCs w:val="24"/>
        </w:rPr>
      </w:pPr>
      <w:r w:rsidRPr="005E7388">
        <w:rPr>
          <w:rFonts w:ascii="Arial" w:hAnsi="Arial" w:cs="Arial"/>
          <w:sz w:val="24"/>
          <w:szCs w:val="24"/>
        </w:rPr>
        <w:t xml:space="preserve">The article </w:t>
      </w:r>
      <w:r w:rsidRPr="005E7388">
        <w:rPr>
          <w:rFonts w:ascii="Arial" w:hAnsi="Arial" w:cs="Arial"/>
          <w:i/>
          <w:iCs/>
          <w:sz w:val="24"/>
          <w:szCs w:val="24"/>
        </w:rPr>
        <w:t>Our Little Clinic</w:t>
      </w:r>
      <w:r w:rsidRPr="005E7388">
        <w:rPr>
          <w:rFonts w:ascii="Arial" w:hAnsi="Arial" w:cs="Arial"/>
          <w:sz w:val="24"/>
          <w:szCs w:val="24"/>
        </w:rPr>
        <w:t xml:space="preserve"> by Hrvatin, Buh, and Ribič critiques the dominant ideology that frames mental health as an individual issue, overlooking broader </w:t>
      </w:r>
      <w:r w:rsidRPr="005E7388">
        <w:rPr>
          <w:rFonts w:ascii="Arial" w:hAnsi="Arial" w:cs="Arial"/>
          <w:sz w:val="24"/>
          <w:szCs w:val="24"/>
        </w:rPr>
        <w:lastRenderedPageBreak/>
        <w:t>systemic causes. It emphasizes how artists—due to the flexibility, mobility, and instability of their work</w:t>
      </w:r>
      <w:r>
        <w:rPr>
          <w:rFonts w:ascii="Arial" w:hAnsi="Arial" w:cs="Arial"/>
          <w:sz w:val="24"/>
          <w:szCs w:val="24"/>
        </w:rPr>
        <w:t xml:space="preserve">, </w:t>
      </w:r>
      <w:r w:rsidRPr="005E7388">
        <w:rPr>
          <w:rFonts w:ascii="Arial" w:hAnsi="Arial" w:cs="Arial"/>
          <w:sz w:val="24"/>
          <w:szCs w:val="24"/>
        </w:rPr>
        <w:t>are idealized as modern workers while facing significant mental health challenges (Hrvatin, Buh, &amp; Ribič, 2021). The authors call for a reevaluation of the societal structures and labor conditions impacting artists’ well-being (Hrvatin, Buh, &amp; Ribič, 2021).</w:t>
      </w:r>
    </w:p>
    <w:p w14:paraId="18D93D3E" w14:textId="77777777" w:rsidR="00246F0D" w:rsidRDefault="00246F0D" w:rsidP="00B76E44">
      <w:pPr>
        <w:spacing w:line="360" w:lineRule="auto"/>
        <w:jc w:val="both"/>
        <w:rPr>
          <w:rFonts w:ascii="Arial" w:hAnsi="Arial" w:cs="Arial"/>
          <w:sz w:val="24"/>
          <w:szCs w:val="24"/>
        </w:rPr>
      </w:pPr>
    </w:p>
    <w:p w14:paraId="610F24F9" w14:textId="77777777" w:rsidR="00891CDF" w:rsidRDefault="007376C9" w:rsidP="00891CDF">
      <w:pPr>
        <w:spacing w:line="360" w:lineRule="auto"/>
        <w:jc w:val="both"/>
        <w:rPr>
          <w:rFonts w:ascii="Arial" w:hAnsi="Arial" w:cs="Arial"/>
          <w:sz w:val="24"/>
          <w:szCs w:val="24"/>
        </w:rPr>
      </w:pPr>
      <w:bookmarkStart w:id="2" w:name="_Hlk197982963"/>
      <w:r w:rsidRPr="007376C9">
        <w:rPr>
          <w:rFonts w:ascii="Arial" w:hAnsi="Arial" w:cs="Arial"/>
          <w:sz w:val="24"/>
          <w:szCs w:val="24"/>
        </w:rPr>
        <w:t>INSTITUTIONAL AND PEDAGOGICAL APPROACHES TO MUSIC PERFORMANCE ANXIETY IN PORTUGAL AND BEYOND</w:t>
      </w:r>
    </w:p>
    <w:p w14:paraId="1D0A602B" w14:textId="77777777" w:rsidR="007376C9" w:rsidRPr="00891CDF" w:rsidRDefault="007376C9" w:rsidP="00891CDF">
      <w:pPr>
        <w:spacing w:line="360" w:lineRule="auto"/>
        <w:jc w:val="both"/>
        <w:rPr>
          <w:rFonts w:ascii="Arial" w:hAnsi="Arial" w:cs="Arial"/>
          <w:sz w:val="24"/>
          <w:szCs w:val="24"/>
        </w:rPr>
      </w:pPr>
    </w:p>
    <w:bookmarkEnd w:id="2"/>
    <w:p w14:paraId="321800D4" w14:textId="77777777" w:rsidR="00C96D86" w:rsidRPr="00C96D86" w:rsidRDefault="00C96D86" w:rsidP="00C96D86">
      <w:pPr>
        <w:spacing w:line="360" w:lineRule="auto"/>
        <w:jc w:val="both"/>
        <w:rPr>
          <w:rFonts w:ascii="Arial" w:hAnsi="Arial" w:cs="Arial"/>
          <w:sz w:val="24"/>
          <w:szCs w:val="24"/>
        </w:rPr>
      </w:pPr>
      <w:r w:rsidRPr="00C96D86">
        <w:rPr>
          <w:rFonts w:ascii="Arial" w:hAnsi="Arial" w:cs="Arial"/>
          <w:sz w:val="24"/>
          <w:szCs w:val="24"/>
        </w:rPr>
        <w:t>A growing body of research highlights the urgent need to address MPA</w:t>
      </w:r>
      <w:r w:rsidR="004B5AC2">
        <w:rPr>
          <w:rFonts w:ascii="Arial" w:hAnsi="Arial" w:cs="Arial"/>
          <w:sz w:val="24"/>
          <w:szCs w:val="24"/>
        </w:rPr>
        <w:t xml:space="preserve"> </w:t>
      </w:r>
      <w:r w:rsidRPr="00C96D86">
        <w:rPr>
          <w:rFonts w:ascii="Arial" w:hAnsi="Arial" w:cs="Arial"/>
          <w:sz w:val="24"/>
          <w:szCs w:val="24"/>
        </w:rPr>
        <w:t>within music education, especially in institutional and pedagogical settings. While international studies have provided robust models for embedding psychological wellbeing into conservatoire curricula (</w:t>
      </w:r>
      <w:proofErr w:type="spellStart"/>
      <w:r w:rsidRPr="00C96D86">
        <w:rPr>
          <w:rFonts w:ascii="Arial" w:hAnsi="Arial" w:cs="Arial"/>
          <w:sz w:val="24"/>
          <w:szCs w:val="24"/>
        </w:rPr>
        <w:t>Tahirbegi</w:t>
      </w:r>
      <w:proofErr w:type="spellEnd"/>
      <w:r w:rsidRPr="00C96D86">
        <w:rPr>
          <w:rFonts w:ascii="Arial" w:hAnsi="Arial" w:cs="Arial"/>
          <w:sz w:val="24"/>
          <w:szCs w:val="24"/>
        </w:rPr>
        <w:t>, 2019), Portuguese research has only recently begun to explore the specific contextual factors and pedagogical responses shaping students’ experiences of MPA</w:t>
      </w:r>
      <w:r w:rsidR="004B5AC2">
        <w:rPr>
          <w:rFonts w:ascii="Arial" w:hAnsi="Arial" w:cs="Arial"/>
          <w:sz w:val="24"/>
          <w:szCs w:val="24"/>
        </w:rPr>
        <w:t xml:space="preserve"> </w:t>
      </w:r>
      <w:r w:rsidR="007376C9">
        <w:rPr>
          <w:rFonts w:ascii="Arial" w:hAnsi="Arial" w:cs="Arial"/>
          <w:sz w:val="24"/>
          <w:szCs w:val="24"/>
        </w:rPr>
        <w:fldChar w:fldCharType="begin"/>
      </w:r>
      <w:r w:rsidR="007376C9">
        <w:rPr>
          <w:rFonts w:ascii="Arial" w:hAnsi="Arial" w:cs="Arial"/>
          <w:sz w:val="24"/>
          <w:szCs w:val="24"/>
        </w:rPr>
        <w:instrText xml:space="preserve"> ADDIN ZOTERO_ITEM CSL_CITATION {"citationID":"j7CABLcg","properties":{"formattedCitation":"(Moura and Serra, 2021; Barros {\\i{}et al.}, 2022)","plainCitation":"(Moura and Serra, 2021; Barros et al., 2022)","noteIndex":0},"citationItems":[{"id":1063,"uris":["http://zotero.org/users/local/hN5mtYaY/items/3FSBDTH6"],"itemData":{"id":1063,"type":"article-journal","abstract":"Music performance anxiety is an acknowledged condition amongst musicians from early learning stages to professional levels. Anxiety experienced in uncontrolled levels translates into the development of physiological and psychological symptoms that impair performance skills and may, ultimately, lead to post-traumatic stress disorders and drop-out of music-related activities. This paper focuses on teacher’s voices to justify the need for inclusion of anxiety management training in music schools’ curricula as means of promoting well-being, coping with stress-inducing situations, and boosting growing musicians’ performative experiences through positive pedagogies. Semi-structured interviews were conducted to four instrument teachers of a Portuguese institution of specialized artistic education to collect data about previous experiences, conceptions, and ways of teaching MPA managing. The importance of&amp;nbsp;integrating coping strategies in pedagogical practices, its obstacles and benefits, alongside suggestions for conceiving viable intervention projects in schools were discussed by the interviewed and hereby critically presented with respect to existing literature.","container-title":"Journal of Science and Technology of the Arts","DOI":"10.34632/jsta.2021.9853","ISSN":"2183-0088","issue":"2","language":"en","license":"Copyright (c) 2021 Nádia Moura, Sofia Serra","note":"number: 2","page":"99-117","source":"revistas.ucp.pt","title":"Listening To Teachers’ Voices: Constructs On Music Performance Anxiety In Artistic Education","title-short":"Listening To Teachers’ Voices","volume":"13","author":[{"family":"Moura","given":"Nádia"},{"family":"Serra","given":"Sofia"}],"issued":{"date-parts":[["2021",7,22]]}}},{"id":695,"uris":["http://zotero.org/users/local/hN5mtYaY/items/RFYS8HQR"],"itemData":{"id":695,"type":"article-journal","abstract":"Music performance anxiety (MPA) is described as a persistent apprehension that compromises performative skills both in solo and group performances. The aim of this systematic review was to discuss an overview of research articles addressing the characteristics of MPA as experienced by undergraduate music students. The search was undertaken in the databases Web of Science, PubMed, Scopus and Eric; of 1526 articles identified by the search keywords, 43 were selected for review through the PRISMA protocol. The study types included cross-sectional, experimental, longitudinal, descriptive, questionnaire survey, qualitative study, exploratory and retrospective follow-up designs. This review evidences the diversity of the contexts and topics addressed by current research, namely issues of prevalence, predictors of anxiety/risk factors, relationship between flow experience (FE) and MPA, and coping with MPA, adopting psychological, cognitive, physiological and behavioral perspectives. Notwithstanding, the review has also identified a lack of qualitative and longitudinal studies, studies on institutional teaching contexts, and of larger and more representative participant samples, which could promote a better understanding of the etiology of MPA among students attending higher education.","container-title":"Psychology of Music","DOI":"10.1177/03057356211066967","ISSN":"0305-7356","issue":"6","language":"en","note":"publisher: SAGE Publications Ltd","page":"2021-2043","source":"SAGE Journals","title":"Characteristics of music performance anxiety among undergraduate music students: A systematic review","title-short":"Characteristics of music performance anxiety among undergraduate music students","volume":"50","author":[{"family":"Barros","given":"Samuel"},{"family":"Marinho","given":"Helena"},{"family":"Borges","given":"Nery"},{"family":"Pereira","given":"Anabela"}],"issued":{"date-parts":[["2022",11,1]]}}}],"schema":"https://github.com/citation-style-language/schema/raw/master/csl-citation.json"} </w:instrText>
      </w:r>
      <w:r w:rsidR="007376C9">
        <w:rPr>
          <w:rFonts w:ascii="Arial" w:hAnsi="Arial" w:cs="Arial"/>
          <w:sz w:val="24"/>
          <w:szCs w:val="24"/>
        </w:rPr>
        <w:fldChar w:fldCharType="separate"/>
      </w:r>
      <w:r w:rsidR="007376C9" w:rsidRPr="007376C9">
        <w:rPr>
          <w:rFonts w:ascii="Arial" w:hAnsi="Arial" w:cs="Arial"/>
          <w:sz w:val="24"/>
        </w:rPr>
        <w:t xml:space="preserve">(Moura and Serra, 2021; Barros </w:t>
      </w:r>
      <w:r w:rsidR="007376C9" w:rsidRPr="007376C9">
        <w:rPr>
          <w:rFonts w:ascii="Arial" w:hAnsi="Arial" w:cs="Arial"/>
          <w:i/>
          <w:iCs/>
          <w:sz w:val="24"/>
        </w:rPr>
        <w:t>et al.</w:t>
      </w:r>
      <w:r w:rsidR="007376C9" w:rsidRPr="007376C9">
        <w:rPr>
          <w:rFonts w:ascii="Arial" w:hAnsi="Arial" w:cs="Arial"/>
          <w:sz w:val="24"/>
        </w:rPr>
        <w:t>, 2022)</w:t>
      </w:r>
      <w:r w:rsidR="007376C9">
        <w:rPr>
          <w:rFonts w:ascii="Arial" w:hAnsi="Arial" w:cs="Arial"/>
          <w:sz w:val="24"/>
          <w:szCs w:val="24"/>
        </w:rPr>
        <w:fldChar w:fldCharType="end"/>
      </w:r>
      <w:r w:rsidRPr="00C96D86">
        <w:rPr>
          <w:rFonts w:ascii="Arial" w:hAnsi="Arial" w:cs="Arial"/>
          <w:sz w:val="24"/>
          <w:szCs w:val="24"/>
        </w:rPr>
        <w:t>.</w:t>
      </w:r>
    </w:p>
    <w:p w14:paraId="5DE48920" w14:textId="77777777" w:rsidR="00C96D86" w:rsidRPr="000744C5" w:rsidRDefault="00C96D86" w:rsidP="00C96D86">
      <w:pPr>
        <w:spacing w:line="360" w:lineRule="auto"/>
        <w:jc w:val="both"/>
        <w:rPr>
          <w:rFonts w:ascii="Arial" w:hAnsi="Arial" w:cs="Arial"/>
          <w:sz w:val="24"/>
          <w:szCs w:val="24"/>
        </w:rPr>
      </w:pPr>
      <w:r w:rsidRPr="000744C5">
        <w:rPr>
          <w:rFonts w:ascii="Arial" w:hAnsi="Arial" w:cs="Arial"/>
          <w:sz w:val="24"/>
          <w:szCs w:val="24"/>
        </w:rPr>
        <w:t>Research specifically examining</w:t>
      </w:r>
      <w:r w:rsidR="007376C9">
        <w:rPr>
          <w:rFonts w:ascii="Arial" w:hAnsi="Arial" w:cs="Arial"/>
          <w:sz w:val="24"/>
          <w:szCs w:val="24"/>
        </w:rPr>
        <w:t xml:space="preserve"> MPA</w:t>
      </w:r>
      <w:r w:rsidRPr="000744C5">
        <w:rPr>
          <w:rFonts w:ascii="Arial" w:hAnsi="Arial" w:cs="Arial"/>
          <w:sz w:val="24"/>
          <w:szCs w:val="24"/>
        </w:rPr>
        <w:t xml:space="preserve"> within the context of Portuguese higher music education remains limited, with no national-level studies published that identify predictors of MPA or assess its broader impact on students. Much of the existing work consists of unpublished master's theses </w:t>
      </w:r>
      <w:r w:rsidRPr="000744C5">
        <w:rPr>
          <w:rFonts w:ascii="Arial" w:hAnsi="Arial" w:cs="Arial"/>
          <w:sz w:val="24"/>
          <w:szCs w:val="24"/>
        </w:rPr>
        <w:fldChar w:fldCharType="begin"/>
      </w:r>
      <w:r>
        <w:rPr>
          <w:rFonts w:ascii="Arial" w:hAnsi="Arial" w:cs="Arial"/>
          <w:sz w:val="24"/>
          <w:szCs w:val="24"/>
        </w:rPr>
        <w:instrText xml:space="preserve"> ADDIN ZOTERO_ITEM CSL_CITATION {"citationID":"UjSliCcP","properties":{"formattedCitation":"(Correia, 2012; Ara\\uc0\\u250{}jo, 2013; Mendanha, 2014; Quinta, 2014; Amorim, 2015; Pires, 2015; Trigo, 2015; Barros, 2018; Pinto, 2019)","plainCitation":"(Correia, 2012; Araújo, 2013; Mendanha, 2014; Quinta, 2014; Amorim, 2015; Pires, 2015; Trigo, 2015; Barros, 2018; Pinto, 2019)","noteIndex":0},"citationItems":[{"id":1075,"uris":["http://zotero.org/users/local/hN5mtYaY/items/DL2QDF4C"],"itemData":{"id":1075,"type":"article-journal","abstract":"Na sociedade agitada em que vivemos atualmente, o dia-a-dia dos estudantes exige crescentes preocupações da sua parte e dos seus educadores. Torna-se assim cada vez mais importante compreender o fenómeno da ansiedade e entender, por outro lado, até que ponto pode ser benéfica ou prejudicial, não só ao bem-estar, mas também ao rendimento dos estudantes. Foi a partir desta preocupação que se desenvolveu este trabalho cujo objetivo consistiu em averiguar os níveis de ansiedade intrínseca (ansiedade-traço) em jovens violetistas, alunos do ensino especializado da música e se estes se modificam no momento da performance (ansiedade-estado), bem como aferir as suas consequências na qualidade dessa mesma performance pública. Para tal, foi utilizado o teste estandardizado State-Trait Anxiety Inventory – STAI (Spielberger, 1983), aferido para a população portuguesa por Danilo R. Silva (2005) tendo sido aplicado a um grupo de 26 estudantes violetistas da Escola Profissional e Artística do Vale do Ave e da Escola Profissional de Música de Viana do Castelo. Para além do teste foi realizada uma audição que foi avaliada por um júri selecionado para o efeito, através de uma grelha de avaliação, a fim de se obter uma medida de desempenho da performance de cada estudante. Os resultados indicaram diferenças significativas entre os fatores ansiedade-traço e ansiedade-estado na totalidade dos participantes e nas estudantes do género feminino, individualmente considerado. Foi ainda verificada uma relação inversa entre os níveis de ansiedade e o desempenho dos estudantes, ou seja, quanto maiores foram os níveis do fator ansiedade-estado, menor foi a classificação obtida na audição. Conclui-se assim que jovens músicos podem experienciar ansiedade na performance podendo os seus níveis alterar-se de forma drástica em situações de ameaça ou stress influenciando negativamente a qualidade da performance.","language":"por","source":"repositorio.ucp.pt","title":"A ansiedade na performance musical : estudo de caso em jovens violetistas","title-short":"A ansiedade na performance musical","URL":"http://hdl.handle.net/10400.14/25693","author":[{"family":"Correia","given":"Teresa Filipa Barbosa"}],"accessed":{"date-parts":[["2025",5,10]]},"issued":{"date-parts":[["2012",10,3]]}}},{"id":1073,"uris":["http://zotero.org/users/local/hN5mtYaY/items/YAUDTSCK"],"itemData":{"id":1073,"type":"thesis","abstract":"O presente Relatório de Estágio incide sobre um Projeto de Intervenção Pedagógica\nSupervisionada pertencente ao Mestrado em Ensino de Música – Viola d’Arco.\nA ansiedade na performance é, nos dias que correm, um tema ainda em aberto, com a\nexistência de muitas teorias de diferentes autores, não surgindo consenso no que toca aos seus\ntratamentos. O projeto de intervenção foi elaborado tendo como principais finalidades: incutir nos\nalunos de viola d´arco alguns hábitos e estratégias (medidas) de autocontrolo do medo na altura de\numa apresentação pública; ajudar o aluno a lidar o melhor possível com a performance e a alcançar\nsucesso com maior regularidade; diminuir os sintomas de ansiedade dos alunos; perceber em que\nmedida a ansiedade afeta o dia-a-dia dos jovens instrumentistas e as suas performances; refletir sobre\na importância da utilização de estratégias de autocontrolo de ansiedade como parte integrante de aulas\nde instrumento, mais especificamente, de viola d´arco.","genre":"masterThesis","language":"por","license":"openAccess","note":"Accepted: 2014-05-09T11:04:51Z","source":"repositorium.sdum.uminho.pt","title":"Ansiedade na performance em crianças e adolescentes: algumas estratégias pedagógicas de autocontrolo","title-short":"Ansiedade na performance em crianças e adolescentes","URL":"https://repositorium.sdum.uminho.pt/handle/1822/28951","author":[{"family":"Araújo","given":"Joana Mafalda Peixoto"}],"accessed":{"date-parts":[["2025",5,10]]},"issued":{"date-parts":[["2013"]]}}},{"id":1077,"uris":["http://zotero.org/users/local/hN5mtYaY/items/4ECFYGBA"],"itemData":{"id":1077,"type":"article-journal","abstract":"I - Este relatório pretende descrever o estágio especializado em ensino de música realizado no âmbito do mestrado em Ensino de Música na Escola Superior de Música de Lisboa. Este estágio decorreu no Instituto Gregoriano de Lisboa e no Conservatório de Música, de Dança e de Arte Dramática de Lisboa, duas escolas de ensino oficial especializado. Sendo a primeira pública e a segunda privada, estas escolas apresentam realidades muito diferentes do ponto de vista organizacional e de gestão, que resultam em situações heterogéneas e dependentes de vários factores que serão mencionados ao longo deste relatório. A análise SWOT efectuada para cada uma destas organizações descreve mais objectivamente os factores e variáveis que permitiram construir este relatório. Foram caracterizados três alunos, um de cada curso: preparatório, básico e secundário. A Maria M. é a aluna do 2º ano do curso preparatório, o Pedro R. é aluno de 3º grau do curso básico de instrumento e o Diego M. é aluno de 7º grau. Foram aprofundadas as práticas pedagógicas desenvolvidas com cada um dos alunos e os avanços e metas atingidas por cada um destes alunos. Este estágio resulta numa reflexão sobre a prática pedagógica aplicada e as suas motivações.","language":"por","note":"publisher: Escola Superior de Música de Lisboa","source":"repositorio.ipl.pt","title":"Ansiedade na performance: causas e possíveis curas","title-short":"Ansiedade na performance","URL":"http://hdl.handle.net/10400.21/4484","author":[{"family":"Mendanha","given":"Zofia Elzbieta Pajak"}],"accessed":{"date-parts":[["2025",5,10]]},"issued":{"date-parts":[["2014",6]]}}},{"id":1083,"uris":["http://zotero.org/users/local/hN5mtYaY/items/S24VQTHJ"],"itemData":{"id":1083,"type":"article-journal","abstract":"Esta Investigação Científica insere-se no âmbito de um Projeto Educativo, integrado no Mestrado em Ensino da Música, com a especialidade em Canto, realizado no Conservatório Superior de Música de Gaia (CSMG). Baseada num quadro teórico-conceptual esclarecedor dos conceitos que nos pareceram chave nesta Investigação, explorámos neste Projeto Educativo de que modo os alunos se relacionam com o tema da Ansiedade na Performance, o que sentem e de que forma isso interfere na qualidade da sua performance. Saber como prevenir e/ou intervir, de forma a provocar mudanças de comportamentos e pensamentos que conduzem a estados de ansiedade, por vezes muito elevados e destruidores por parte dos alunos, constituia questão central deste Projeto Educativo. O paradigma utilizado para a elaboração do nosso Programa denominado: Ansiedade na Performance: educar para prevenir, foi o da Investigação- Ação recorrendo a uma análise de dados qualitativa. A Metodologia Científica respeitou o modelo de Relação Pedagógica (RP) de Renald Legendre (2005). Baseados na recolha dos relatos dos alunos envolvidos no programa, quer através dos diários de bordo, quer através da resposta a questionários, podemos afirmar que a simples abordagem do tema da ansiedade na performance, a partilha de experiências entre si e com o professor e a frequência de momentos de performance ao longo do percurso académico, podem ajudar os mesmos a encarar a performance de um modo positivo, conduzindo o professor a questionar a sua própria pedagogia e a forma como contribui para a formação de um músico, tendo em conta não só os factores técnicos mas também psico-emocionais característicos de cada aluno. Não se pretende encontrar soluções que busquem eliminar totalmente as sensações de medo e ansiedade, mas apenas demonstrar que estes sentimentos são parte da vida de um estudante/profissional de música e que estes podem ser compreendidos e os seus efeitos negativos minimizados e transformados em energia criadora.","language":"por","source":"comum.rcaap.pt","title":"Ansiedade na Performance, Educar para Prevenir","URL":"http://hdl.handle.net/10400.26/13172","author":[{"family":"Quinta","given":"Patrícia"}],"accessed":{"date-parts":[["2025",5,10]]},"issued":{"date-parts":[["2014",11]]}}},{"id":1072,"uris":["http://zotero.org/users/local/hN5mtYaY/items/CEXVC5J9"],"itemData":{"id":1072,"type":"thesis","abstract":"Introdução: A prática profissional de violino tem sido associada a uma maior predisposição para o desenvolvimento de Disfunções Temporomandibulares (DTM). Dos possíveis fatores de risco envolvidos, tais como o trauma físico inerente à postura de prática e a presença de hábitos parafuncionais frequentes, considera-se também a ansiedade do desempenho musical (ADM), que tem demonstrado uma associação significativa com a ocorrência de lesões músculo-esqueléticas em instrumentistas.  Objetivos: Esta investigação tem como principal objetivo averiguar a existência de uma associação entre a presença de DTM e o nível de ADM nos violinistas.  Materiais e Métodos: Neste estudo observacional transversal, foram realizados inquéritos por questionário escrito a uma amostra de 93 violinistas profissionais ou semi-profissionais a atuar em Lisboa e arredores. Este teve em vista a recolha de dados relativos a sintomatologia de DTM (Índice Anamnésico de Fonseca), nível de ADM (Kenny Music Performance Anxiety Inventory, K-MPAI), tempo de prática instrumental, tipo de queixeira, sexo e idade dos participantes. Seguiu-se a análise estatística dos dados com recurso ao software IBM SPSS Statistics® 22.  Resultados: Verificou-se uma associação estatisticamente significativa entre a presença de DTM e níveis elevados de ADM (p&lt;0.001), sendo que o grupo dos violinistas mais ansiosos apresentava uma frequência de DTM 2.29 vezes superior à do grupo dos menos ansiosos.  Conclusões: Há indicações de que o violinista com queixas de desordem temporomandibular e um nível elevado de ADM pode vir a beneficiar de estratégias direcionadas à diminuição da ADM, simultâneas a terapia para DTM.","genre":"masterThesis","language":"por","license":"openAccess","note":"Accepted: 2016-12-27T12:14:57Z","source":"repositorio.ulisboa.pt","title":"As disfunções temporomandibulares nos violinistas portugueses e a sua relação com a ansiedade do desempenho musical","URL":"https://repositorio.ulisboa.pt/handle/10451/25396","author":[{"family":"Amorim","given":"Mónica Isabel Tavares"}],"accessed":{"date-parts":[["2025",5,10]]},"issued":{"date-parts":[["2015"]]}}},{"id":1081,"uris":["http://zotero.org/users/local/hN5mtYaY/items/FM6FUPWK"],"itemData":{"id":1081,"type":"thesis","abstract":"As patologias músculo-esqueléticas apresentam um interesse particular nos tempos atuais, visto terem origem em atividades viciosas, nos movimentos repetitivos, no sedentarismo e na hipertonia muscular relacionada com o stresse no contexto profissional ou pessoal, que é tão comum nos músicos.\nPor outro lado, a performance musical requer alto nível de habilidade em diversos parâmetros, como coordenação motora, atenção e memória o que a torna numa atividade particularmente suscetível não só às patologias músculo-esqueléticas como também à ansiedade. É aqui que se introduz a acupunctura.\nÉ cada vez mais recorrente a procura das terapias complementares e/ou alternativas por parte dos músicos, em contraposição aos métodos utilizados pela medicina convencional. Dos diversos métodos da Medicina Tradicional Chinesa, a acupunctura, encontra-se, talvez entre o mais procurado.\nA acupunctura pode ser definida como um técnica terapêutica que tem como método predominante a introdução de agulhas na periferia do corpo humano. O efeito das agulhas será o de provocar alterações no sistema energético do paciente que resultarão em mudanças benéficas que ocorrem a nível físico.\nO que me traz à discussão do tema, para além da problemática das patologias músculo-esqueléticas nos músicos é o crescente número de músicos com problemas de ansiedade e a contribuição desta medicina como alternativa de tratamento.","genre":"masterThesis","language":"por","license":"openAccess","note":"Accepted: 2016-07-11T11:40:28Z","publisher":"Universidade de Aveiro","source":"ria.ua.pt","title":"A acupunctura como forma de controlo da ansiedade na performance e de resolução de patologias músculo-esqueléticas em músicos","URL":"https://ria.ua.pt/handle/10773/15870","author":[{"family":"Pires","given":"Mafalda Vilan Pereira"}],"accessed":{"date-parts":[["2025",5,10]]},"issued":{"date-parts":[["2015"]]}}},{"id":1085,"uris":["http://zotero.org/users/local/hN5mtYaY/items/TNQA62AV"],"itemData":{"id":1085,"type":"thesis","abstract":"A ansiedade na performance musical (MPA-music performance anxiety) surge como um fenómeno fisiológico, psicológico, cognitivo e emocional que abrange todos os músicos independentemente da sua idade, experiência, dedicação ou tipo de instrumento.\nPelo seu carácter crónico, e pela dificuldade que provoca na progressão na carreira, a MPA é uma patologia nefasta que, quando toma proporções exageradas, consegue afastar os músicos do seu ideal e objetivo de vida, pois o prazer de tocar é substituído pelo medo de ser julgado e observado por uma plateia ou júri.\nPela necessidade de conhecer e saber reagir perante esta situação é imperativo aprofundar os conhecimentos acerca desta, para uma identificação precoce dos alunos em quem a ansiedade atinge níveis preocupantes nas atuações, quer a solo ou em orquestra. A correta abordagem deste problema por parte dos professores pode ser benéfica, levando os alunos a confiarem mais nas suas capacidades e a obterem resultados positivos.\nEste trabalho surge da necessidade de conseguir quantificar a ansiedade nos adolescentes e para tal o uso de uma escala previamente existente em inglês. O objetivo é explorar a ansiedade na performance musical através da tradução e aplicação do Music Performance Anxiety Inventory- Adolescents (MPAI-A) para a língua portuguesa, contribuindo para a sua posterior validação.","genre":"masterThesis","language":"por","license":"openAccess","note":"Accepted: 2016-07-12T10:47:26Z","publisher":"Universidade de Aveiro","source":"ria.ua.pt","title":"Contributos para a validação do Music Performance Anxiety Inventory for Adolescents (MPAI-A) na língua portuguesa","URL":"https://ria.ua.pt/handle/10773/15880","author":[{"family":"Trigo","given":"Pedro Gabriel Reis"}],"accessed":{"date-parts":[["2025",5,10]]},"issued":{"date-parts":[["2015"]]}}},{"id":1098,"uris":["http://zotero.org/users/local/hN5mtYaY/items/Y2IXX9EJ"],"itemData":{"id":1098,"type":"thesis","abstract":"A ansiedade na performance musical (APM) é descrita como uma apreensão persistente que compromete as competências performativas, tanto em performances a solo como em grupo. Para além dos sintomas fisiológicos, como aumento do batimento cardíaco, hiperventilação, transpiração ou náusea, está associada a sintomas de natureza cognitiva comportamental de impacto negativo na performance. Este trabalho pretende estudar a eficácia do treino de biofeedback em contexto de performance de música de câmara. Com um desenho do tipo quasi–experimental, foram selecionados 2 quartetos de trombonistas, sendo o quarteto (1) o grupo experimental e o quarteto (2) o grupo de controlo. Ambos realizaram apresentações públicas, antes e depois da intervenção. O grupo (1) foi submetido a um programa de 8 sessões bissemanais de treino de biofeedback, no intuito de verificar se contribuía para diminuir os efeitos da APM. Na avaliação da eficácia da intervenção foram aplicados pré e pós intervenção os questionários State Trait Anxiety Inventory (STAI), Kenny Music Performance Anxiety Inventory (K-MPAI) e Kessler Psychological Distress Scale (K10). Os resultados sugerem que este tipo de intervenção se revela favorável no que diz respeito à diminuição dos níveis de APM em contexto de música de câmara. São referidas algumas implicações deste estudo para a redução da ansiedade de performance quer em contextos de formação e ensino da música quer em contextos de prática profissional.","genre":"masterThesis","language":"por","license":"openAccess","note":"Accepted: 2018-10-23T09:59:16Z","source":"ria.ua.pt","title":"Ansiedade na performance musical de música de câmara: o efeito do biofeedback como medida interventiva em quarteto de trombones","title-short":"Ansiedade na performance musical de música de câmara","URL":"https://ria.ua.pt/handle/10773/24430","author":[{"family":"Barros","given":"Samuel"}],"accessed":{"date-parts":[["2025",5,10]]},"issued":{"date-parts":[["2018",6,6]]}}},{"id":1079,"uris":["http://zotero.org/users/local/hN5mtYaY/items/EZKLX6HG"],"itemData":{"id":1079,"type":"article-journal","abstract":"O objetivo do presente estudo consistiu em aferir a perspetiva de alunos finalistas do curso de licenciatura em música sobre ansiedade na performance musical, e, com isso, verificar se os resultados são compatíveis com a literatura existente ou se acrescentam nova informação útil para o progresso da investigação científica da condição em causa. A recolha de dados foi feita através de um inquérito desenhado para o efeito deste estudo e contou com a participação de 39 alunos da Escola Superior de Música e Artes do Espetáculo (ESMAE) do Instituto Politécnico do Porto. Após a análise dos resultados, foi possível verificar que a maioria dos participantes (84.65%) reportou que costuma sentir ansiedade na </w:instrText>
      </w:r>
      <w:r w:rsidRPr="00246F0D">
        <w:rPr>
          <w:rFonts w:ascii="Arial" w:hAnsi="Arial" w:cs="Arial"/>
          <w:sz w:val="24"/>
          <w:szCs w:val="24"/>
          <w:lang w:val="pt-PT"/>
        </w:rPr>
        <w:instrText xml:space="preserve">performance musical e que o grau da mesma difere consoante a situação (97.4%), sendo o contexto que cria mais ansiedade o de performance a solo, seguido pela performance de grupo e, por fim, o estudo individual. Os resultados do estudo sugerem não só que o contexto que cria mais ansiedade é a performance a solo, como também que dentro das performances a solo aquela que cria maior ansiedade é a situação de concurso. No que se refere aos tipos de performances de grupo, os resultados sugerem que aquele que cria maior ansiedade é a situação de recital de música de câmara/combo. Uma clara maioria dos participantes reportou que a ansiedade tem de facto impacto na performance (92.3%), reportando ainda que esse impacto é negativo (86.1%). Dados os resultados, conclui-se que é necessário informar devidamente os músicos da existência dos tipos de estratégias e tratamentos atuais mais eficazes para combater a ansiedade na performance musical e aplicá-los num contexto educativo como o do ensino superior de música.","language":"por","source":"recipp.ipp.pt","title":"Ansiedade na performance musical: a perspetiva de estudantes de uma escola do ensino superior","title-short":"Ansiedade na performance musical","URL":"http://hdl.handle.net/10400.22/15166","author":[{"family":"Pinto","given":"Fábio Silvestre Moreira"}],"accessed":{"date-parts":[["2025",5,10]]},"issued":{"date-parts":[["2019",12,4]]}}}],"schema":"https://github.com/citation-style-language/schema/raw/master/csl-citation.json"} </w:instrText>
      </w:r>
      <w:r w:rsidRPr="000744C5">
        <w:rPr>
          <w:rFonts w:ascii="Arial" w:hAnsi="Arial" w:cs="Arial"/>
          <w:sz w:val="24"/>
          <w:szCs w:val="24"/>
        </w:rPr>
        <w:fldChar w:fldCharType="separate"/>
      </w:r>
      <w:r w:rsidRPr="00246F0D">
        <w:rPr>
          <w:rFonts w:ascii="Arial" w:hAnsi="Arial" w:cs="Arial"/>
          <w:sz w:val="24"/>
          <w:lang w:val="pt-PT"/>
        </w:rPr>
        <w:t>(Correia, 2012; Araújo, 2013; Mendanha, 2014; Quinta, 2014; Amorim, 2015; Pires, 2015; Trigo, 2015; Barros, 2018; Pinto, 2019)</w:t>
      </w:r>
      <w:r w:rsidRPr="000744C5">
        <w:rPr>
          <w:rFonts w:ascii="Arial" w:hAnsi="Arial" w:cs="Arial"/>
          <w:sz w:val="24"/>
          <w:szCs w:val="24"/>
        </w:rPr>
        <w:fldChar w:fldCharType="end"/>
      </w:r>
      <w:r w:rsidRPr="000744C5">
        <w:rPr>
          <w:rFonts w:ascii="Arial" w:hAnsi="Arial" w:cs="Arial"/>
          <w:sz w:val="24"/>
          <w:szCs w:val="24"/>
          <w:lang w:val="pt-PT"/>
        </w:rPr>
        <w:t xml:space="preserve"> </w:t>
      </w:r>
      <w:proofErr w:type="spellStart"/>
      <w:r w:rsidRPr="000744C5">
        <w:rPr>
          <w:rFonts w:ascii="Arial" w:hAnsi="Arial" w:cs="Arial"/>
          <w:sz w:val="24"/>
          <w:szCs w:val="24"/>
          <w:lang w:val="pt-PT"/>
        </w:rPr>
        <w:t>and</w:t>
      </w:r>
      <w:proofErr w:type="spellEnd"/>
      <w:r w:rsidRPr="000744C5">
        <w:rPr>
          <w:rFonts w:ascii="Arial" w:hAnsi="Arial" w:cs="Arial"/>
          <w:sz w:val="24"/>
          <w:szCs w:val="24"/>
          <w:lang w:val="pt-PT"/>
        </w:rPr>
        <w:t xml:space="preserve"> </w:t>
      </w:r>
      <w:proofErr w:type="spellStart"/>
      <w:r w:rsidRPr="000744C5">
        <w:rPr>
          <w:rFonts w:ascii="Arial" w:hAnsi="Arial" w:cs="Arial"/>
          <w:sz w:val="24"/>
          <w:szCs w:val="24"/>
          <w:lang w:val="pt-PT"/>
        </w:rPr>
        <w:t>doctoral</w:t>
      </w:r>
      <w:proofErr w:type="spellEnd"/>
      <w:r w:rsidRPr="000744C5">
        <w:rPr>
          <w:rFonts w:ascii="Arial" w:hAnsi="Arial" w:cs="Arial"/>
          <w:sz w:val="24"/>
          <w:szCs w:val="24"/>
          <w:lang w:val="pt-PT"/>
        </w:rPr>
        <w:t xml:space="preserve"> </w:t>
      </w:r>
      <w:proofErr w:type="spellStart"/>
      <w:r w:rsidRPr="000744C5">
        <w:rPr>
          <w:rFonts w:ascii="Arial" w:hAnsi="Arial" w:cs="Arial"/>
          <w:sz w:val="24"/>
          <w:szCs w:val="24"/>
          <w:lang w:val="pt-PT"/>
        </w:rPr>
        <w:t>theses</w:t>
      </w:r>
      <w:proofErr w:type="spellEnd"/>
      <w:r w:rsidRPr="000744C5">
        <w:rPr>
          <w:rFonts w:ascii="Arial" w:hAnsi="Arial" w:cs="Arial"/>
          <w:sz w:val="24"/>
          <w:szCs w:val="24"/>
          <w:lang w:val="pt-PT"/>
        </w:rPr>
        <w:t xml:space="preserve"> </w:t>
      </w:r>
      <w:r w:rsidRPr="000744C5">
        <w:rPr>
          <w:rFonts w:ascii="Arial" w:hAnsi="Arial" w:cs="Arial"/>
          <w:sz w:val="24"/>
          <w:szCs w:val="24"/>
        </w:rPr>
        <w:fldChar w:fldCharType="begin"/>
      </w:r>
      <w:r w:rsidRPr="000744C5">
        <w:rPr>
          <w:rFonts w:ascii="Arial" w:hAnsi="Arial" w:cs="Arial"/>
          <w:sz w:val="24"/>
          <w:szCs w:val="24"/>
          <w:lang w:val="pt-PT"/>
        </w:rPr>
        <w:instrText xml:space="preserve"> ADDIN ZOTERO_ITEM CSL_CITATION {"citationID":"mhqGwdj4","properties":{"formattedCitation":"(Facchini, 2014; Tempera, 2018)","plainCitation":"(Facchini, 2014; Tempera, 2018)","noteIndex":0},"citationItems":[{"id":1087,"uris":["http://zotero.org/users/local/hN5mtYaY/items/TFNDRN8V"],"itemData":{"id":1087,"type":"thesis","abstract":"The case study looked at psychological and physiological responses to stress in musicians, comparing a newly formed and a consolidated violin-piano duo. The common element between these duos was the pianist. Using the psychological tests (STAI Y1 and Y2, K-MPAI, MMPI-2, ICAC), the immunoassay saliva test to measure cortisol (stress hormone) and non- invasive device VitalJacket® developed at the University of Aveiro, Portugal, participants were monitored under various performance conditions. Others quantitative and qualitative dataset were collected including a pianist’s personal diary (analyzed by psychiatrist), semi-structured interviews with members of long-terms chamber music duo and perceptual evaluations (listening test) of the performances by expert listeners. The variables included two performance venues (European university and secondary school), as well as well-known repertoire, recently known repertoire and newly known repertoire. The latter was given approximately one week before each recital</w:instrText>
      </w:r>
      <w:r w:rsidRPr="000744C5">
        <w:rPr>
          <w:rFonts w:ascii="Arial" w:hAnsi="Arial" w:cs="Arial"/>
          <w:sz w:val="24"/>
          <w:szCs w:val="24"/>
        </w:rPr>
        <w:instrText xml:space="preserve">. The psychological and physiological dataset were collected for a total of eight recitals – two series of four recitals each. The unexpected results show that state anxiety levels and stress of the pianist, who does not present an anxious profile, either in social or in musical terms, are always higher when playing with a well-known partner. Possible explanations may be due to the highest expectations for quality of performance and implications of mirror neurons (since the reactions are very different according to the partner). In other words, the “known” (i.e., the consolidated duo) can become “trapped” within a predetermined space, especially at the psychological level, while the “unknown” (the occasional duo) seems to be less involved and therefore more reassuring and exciting in positive terms. In addition, the preference of the expert audience is for the consolidated duo.","genre":"doctoralThesis","language":"eng","license":"openAccess","note":"Accepted: 2015-04-17T14:01:45Z","publisher":"Universidade de Aveiro","source":"ria.ua.pt","title":"Psycho-physio dynamics in violin-piano duo: a pianist's perspective","title-short":"Psycho-physio dynamics in violin-piano duo","URL":"https://ria.ua.pt/handle/10773/13820","author":[{"family":"Facchini","given":"Fiammetta"}],"accessed":{"date-parts":[["2025",5,10]]},"issued":{"date-parts":[["2014",1,24]]}}},{"id":1089,"uris":["http://zotero.org/users/local/hN5mtYaY/items/BE7PVBAA"],"itemData":{"id":1089,"type":"thesis","abstract":"Music performance anxiety (MPA) is experienced in varying degrees of intensity by most, if\nnot all, musicians. It is particularly heightened in a classical music environment and if not\naddressed properly, it may cause significant harm to the careers and even wellbeing of\nindividuals. Performers and teachers usually develop their own valid coping strategies\nthrough years of practical experience, but often lack a theoretical understanding of MPA and\nits mechanisms, considering it to be an insurmountable and career ending affliction. There\nare several articles and books addressing different aspects of this subject, and this\nknowledge can be utilized to develop practice and coping strategies, that incorporate\npractical and scientific information. This integration should be of special interest to the\nclassical musician community in several aspects of performance and pedagogy, and\nparticularly, for the future generations of musicians who often feel are not being adequately\nprepared for the reality of a performing career. Differentiating factors such as personality,\nage and gender are related to the way individuals perceive and experience performance\nanxiety. Another, somewhat understudied relation, is how the specificities of each\ninstrumentalist affect, and are affected by MPA. By characterizing classical guitarists and\ntheir particularities, it is possible to ascertain if this sub-group of musicians has specific\nneeds, and which are the best approaches for them to address music performance anxiety\nissues. This dissertation attempts to improve classical musicians’ understanding of MPA and\nwill hopefully contribute to a more effective approach to this issue within the community; Resumo:\nAnsiedade na performance musical dos músicos eruditos: Estratégias para\nmelhorar a performance e aplicações para guitarristas clássicos - \nA ansiedade na performance musical (APM) é sentida em vários graus de intensidade pela\nmaioria, senão a totalidade, dos músicos. É particularmente elevada no ambiente da música\nerudita e, quando não é abordada de forma adequada, pode causar danos significativos nas\ncarreiras e até na saúde das pessoas. Intérpretes e professores normalmente desenvolvem\nas suas próprias estratégias de coping através de anos de experiência prática, mas\nfrequentemente carecem de uma compreensão da APM e dos seus mecanismos,\nconsiderando-a como uma condição insuperável que pode ditar o fim de uma carreira.\nExistem diversos artigos e livros dedicados a uma grande quantidade de aspectos\nassociados a este tema, e este conhecimento facilita o desenvolvimento de estratégias para\no estudo da música e para coping, incorporando informação prática e científica. Esta\nintegração deve ser de particular interesse para a comunidade dos músicos eruditos em\ndiversos aspectos da performance e da pedagogia, e particularmente, para as futuras\ngerações de músicos que frequentemente sentem não estar a ser adequadamente\npreparados para a realidade de uma carreira como intérpretes. Factores diferenciadores tais\ncomo personalidade, idade e sexo estão relacionados com a forma como os indivíduos\ninterpretam e experienciam a ansiedade. Outra relação, algo negligenciada, é a de como as\nespecificidades de cada instrumento afectam e são afectadas pela APM. Ao caracterizar os\nguitarristas clássicos e as suas particularidades, torna-se possível aferir se este sub-grupo\nde músicos possui necessidades específicas e quais são as melhores abordagens para\nresolver problemas relacionados com a ansiedade na performance musical. Esta\ndissertação tenciona melhorar a compreensão da APM por parte dos músicos eruditos e\ncontribuir para que este assunto seja abordado de uma forma mais eficaz pela comunidade.","genre":"doctoralThesis","language":"eng","note":"Accepted: 2019-01-03T11:06:51Z","publisher":"Universidade de Évora","source":"dspace.uevora.pt","title":"Music performance anxiety among classical musicians: strategies for improving performance and applications for classical guitarists","title-short":"Music performance anxiety among classical musicians","URL":"https://dspace.uevora.pt/rdpc/handle/10174/23812","author":[{"family":"Tempera","given":"André Rafael Correia"}],"accessed":{"date-parts":[["2025",5,10]]},"issued":{"date-parts":[["2018",12,7]]}}}],"schema":"https://github.com/citation-style-language/schema/raw/master/csl-citation.json"} </w:instrText>
      </w:r>
      <w:r w:rsidRPr="000744C5">
        <w:rPr>
          <w:rFonts w:ascii="Arial" w:hAnsi="Arial" w:cs="Arial"/>
          <w:sz w:val="24"/>
          <w:szCs w:val="24"/>
        </w:rPr>
        <w:fldChar w:fldCharType="separate"/>
      </w:r>
      <w:r w:rsidRPr="000744C5">
        <w:rPr>
          <w:rFonts w:ascii="Arial" w:hAnsi="Arial" w:cs="Arial"/>
          <w:sz w:val="24"/>
        </w:rPr>
        <w:t>(Facchini, 2014; Tempera, 2018)</w:t>
      </w:r>
      <w:r w:rsidRPr="000744C5">
        <w:rPr>
          <w:rFonts w:ascii="Arial" w:hAnsi="Arial" w:cs="Arial"/>
          <w:sz w:val="24"/>
          <w:szCs w:val="24"/>
        </w:rPr>
        <w:fldChar w:fldCharType="end"/>
      </w:r>
      <w:r w:rsidRPr="000744C5">
        <w:rPr>
          <w:rFonts w:ascii="Arial" w:hAnsi="Arial" w:cs="Arial"/>
          <w:sz w:val="24"/>
          <w:szCs w:val="24"/>
        </w:rPr>
        <w:t xml:space="preserve">  along with a few peer-reviewed journal articles </w:t>
      </w:r>
      <w:r w:rsidRPr="000744C5">
        <w:rPr>
          <w:rFonts w:ascii="Arial" w:hAnsi="Arial" w:cs="Arial"/>
          <w:sz w:val="24"/>
          <w:szCs w:val="24"/>
        </w:rPr>
        <w:fldChar w:fldCharType="begin"/>
      </w:r>
      <w:r w:rsidR="00E134AA">
        <w:rPr>
          <w:rFonts w:ascii="Arial" w:hAnsi="Arial" w:cs="Arial"/>
          <w:sz w:val="24"/>
          <w:szCs w:val="24"/>
        </w:rPr>
        <w:instrText xml:space="preserve"> ADDIN ZOTERO_ITEM CSL_CITATION {"citationID":"dcjnR52G","properties":{"formattedCitation":"(Sousa {\\i{}et al.}, 2016; Dias {\\i{}et al.}, 2022, 2023; Barros {\\i{}et al.}, 2024)","plainCitation":"(Sousa et al., 2016; Dias et al., 2022, 2023; Barros et al., 2024)","noteIndex":0},"citationItems":[{"id":1095,"uris":["http://zotero.org/users/local/hN5mtYaY/items/WG2ES5CZ"],"itemData":{"id":1095,"type":"article-journal","abstract":"BACKGROUND: Owing to repetitive movements and a very stressful and competitive lifestyle, musicians are a group that may be prone to suffer from occupational diseases. According to the literature, musicians are affected mainly by two types of occupational diseases: music performance\nanxiety (MPA) and playing-related musculoskeletal disorders (PRMDs). The aim of this study was to describe the prevalence of the most common complaints affecting musicians in the three professional orchestras from northern Portugal. METHODS: Professional orchestra musicians (n=112) from the\nthree main professional orchestras from northern Portugal were individually interviewed about their physical and psychological complaints. RESULTS: Results indicated that 94% of musicians interviewed self-reported at least one working-related problem. PRMDs were the most common conditions,\naffecting 84.8% of musicians. The most affected areas were the shoulder and the cervical and lumbar regions. MPA was reported by 13.2% of musicians. CONCLUSION: The present work covers about 50% of all Portuguese professional orchestra musicians. It raises awareness of the importance of focusing\non the high prevalence of professional diseases among musicians.","container-title":"Medical Problems of Performing Artists","DOI":"10.21091/mppa.2016.1002","issue":"1","journalAbbreviation":"Medical Problems of Performing Artists","page":"8-12","source":"IngentaConnect","title":"Occupational Diseases of Professional Orchestra Musicians from Northern Portugal: A Descriptive Study","title-short":"Occupational Diseases of Professional Orchestra Musicians from Northern Portugal","volume":"31","author":[{"family":"Sousa","given":"Cláudia M"},{"family":"Machado","given":"Jorge P"},{"family":"Greten","given":"Henry J"},{"family":"Coimbra","given":"Daniela"}],"issued":{"date-parts":[["2016",3,1]]}}},{"id":1093,"uris":["http://zotero.org/users/local/hN5mtYaY/items/ZFRPPC52"],"itemData":{"id":1093,"type":"article-journal","abstract":"(1) Background: The aim of the present study was to contribute to the validation of the Portuguese version of the Kenny Music Performance Anxiety Inventory (K-MPAI) and to study its psychometric properties. (2) Methods: A sample of 164 undergraduate music students in Portugal (62.2% female; mean age = 22.63; SD = 4.36) completed an online survey composed of the K-MPAI Portuguese version, the State Trait Anxiety Inventory, and a sociodemographic questionnaire. The K-MPAI psychometric properties were examined using exploratory factor analyses, known-group differences, and Cronbach’s alpha. (3) Results: A four-factor structure was identified, in line with recent validation of this measure in other countries: music performance anxiety-related symptoms, depression and hopelessness, parental support, and memory self-efficacy. Concurrent and known-group validity were established, and reliability scores were appropriate for the dimensions and total score. (4) Conclusions: The results provide initial evidence of the appropriateness of the Portuguese version of the K-MPAI.","container-title":"Behavioral Sciences","DOI":"10.3390/bs12020018","ISSN":"2076-328X","issue":"2","language":"en","license":"http://creativecommons.org/licenses/by/3.0/","note":"number: 2\npublisher: Multidisciplinary Digital Publishing Institute","page":"18","source":"www.mdpi.com","title":"Kenny Music Performance Anxiety Inventory: Contribution for the Portuguese Validation","title-short":"Kenny Music Performance Anxiety Inventory","volume":"12","author":[{"family":"Dias","given":"Pedro"},{"family":"Veríssimo","given":"Lurdes"},{"family":"Figueiredo","given":"Nânci"},{"family":"Oliveira-Silva","given":"Patrícia"},{"family":"Serra","given":"Sofia"},{"family":"Coimbra","given":"Daniela"}],"issued":{"date-parts":[["2022",2]]}}},{"id":1091,"uris":["http://zotero.org/users/local/hN5mtYaY/items/EG7GPFLD"],"itemData":{"id":1091,"type":"article-journal","abstract":"The aim of the current study was to develop the Portuguese version of the Music Performance Anxiety Inventory for Adolescents (MPAI-A) and to examine its psychometric properties with a sample of 161 adolescent music students in Portugal. Participants completed the Portuguese version of the MPAI-A, the State-Trait Anxiety Inventory for Children, and a sociodemographic questionnaire. The MPAI-A psychometric properties were examined for validity and reliability. A two-factor structure was identified through Exploratory Factor Analysis: F1-Music Performance Anxiety cognitive and somatic symptoms; F2-Performance. Concurrent and known-group validity were established, and reliability scores were appropriate for the dimensions and total score. Results provide initial evidence of the appropriateness of the Portuguese version of the MPAI-A. Practical implications are discussed and future studies with this instrument are suggested.","ISSN":"1895-1171","language":"eng","source":"repositorio.ucp.pt","title":"Music performance anxiety inventory for adolescents: psychometric properties of the Portuguese version","title-short":"Music performance anxiety inventory for adolescents","URL":"http://hdl.handle.net/10400.14/38985","author":[{"family":"Dias","given":"Pedro"},{"family":"Batista","given":"Maria João"},{"family":"Serra","given":"Sofia"},{"family":"Veríssimo","given":"Lurdes"},{"family":"Oliveira-Silva","given":"Patrícia"},{"family":"Coimbra","given":"Daniela"}],"accessed":{"date-parts":[["2025",5,10]]},"issued":{"date-parts":[["2023",1,1]]}}},{"id":302,"uris":["http://zotero.org/users/local/hN5mtYaY/items/SZT2VXN3"],"itemData":{"id":302,"type":"article-journal","abstract":"Several studies have developed and validated specific scales to understand, identify and confirm research hypotheses associated with music performance anxiety (MPA). These scales mostly assess behavioral, cognitive, and physiological factors. There is currently no original MPA assessment tool for higher music education in Continental Portuguese, which suggests a research gap. The aim of this study was to determine if the Portuguese Music Performance Anxiety Scale (PoMPAS), developed for this research, is a valid and reliable measure of MPA for the context of higher education in Portugal. The total sample was\n              N\n               = 414 (166 male, 245 female, and three without gender identification). The development of this scale was based on a three-dimensional model (behavioral, cognitive, and physiological), following the theoretical models of Salmon (1990) and Osborne and Kenny (2005). Confirmatory factor analysis of the PoMPAS suggested a good fit in a three-dimensional model with 27 items. The internal consistency values proved appropriate, showing good Cronbach’s alphas (between\n              α\n               = 0.81 and\n              α\n               = 0.90). The McDonald’s Omega also demonstrated good consistency (between\n              ω\n               = 0.81 and\n              ω\n               = 0.90). The PoMPAS is a reliable tool to measure the impact of MPA, with good psychometric qualities, specifically for the Portuguese higher music education context.","container-title":"Frontiers in Psychology","DOI":"10.3389/fpsyg.2024.1436216","ISSN":"1664-1078","journalAbbreviation":"Front. Psychol.","language":"en","page":"1436216","source":"DOI.org (Crossref)","title":"Music performance anxiety: development and validation of the Portuguese music performance anxiety scale","title-short":"Music performance anxiety","volume":"15","author":[{"family":"Barros","given":"Samuel"},{"family":"França","given":"Alex"},{"family":"Marinho","given":"Helena"},{"family":"Pereira","given":"Anabela"}],"issued":{"date-parts":[["2024",7,12]]}}}],"schema":"https://github.com/citation-style-language/schema/raw/master/csl-citation.json"} </w:instrText>
      </w:r>
      <w:r w:rsidRPr="000744C5">
        <w:rPr>
          <w:rFonts w:ascii="Arial" w:hAnsi="Arial" w:cs="Arial"/>
          <w:sz w:val="24"/>
          <w:szCs w:val="24"/>
        </w:rPr>
        <w:fldChar w:fldCharType="separate"/>
      </w:r>
      <w:r w:rsidR="00E134AA" w:rsidRPr="00E134AA">
        <w:rPr>
          <w:rFonts w:ascii="Arial" w:hAnsi="Arial" w:cs="Arial"/>
          <w:sz w:val="24"/>
        </w:rPr>
        <w:t xml:space="preserve">(Sousa </w:t>
      </w:r>
      <w:r w:rsidR="00E134AA" w:rsidRPr="00E134AA">
        <w:rPr>
          <w:rFonts w:ascii="Arial" w:hAnsi="Arial" w:cs="Arial"/>
          <w:i/>
          <w:iCs/>
          <w:sz w:val="24"/>
        </w:rPr>
        <w:t>et al.</w:t>
      </w:r>
      <w:r w:rsidR="00E134AA" w:rsidRPr="00E134AA">
        <w:rPr>
          <w:rFonts w:ascii="Arial" w:hAnsi="Arial" w:cs="Arial"/>
          <w:sz w:val="24"/>
        </w:rPr>
        <w:t xml:space="preserve">, 2016; Dias </w:t>
      </w:r>
      <w:r w:rsidR="00E134AA" w:rsidRPr="00E134AA">
        <w:rPr>
          <w:rFonts w:ascii="Arial" w:hAnsi="Arial" w:cs="Arial"/>
          <w:i/>
          <w:iCs/>
          <w:sz w:val="24"/>
        </w:rPr>
        <w:t>et al.</w:t>
      </w:r>
      <w:r w:rsidR="00E134AA" w:rsidRPr="00E134AA">
        <w:rPr>
          <w:rFonts w:ascii="Arial" w:hAnsi="Arial" w:cs="Arial"/>
          <w:sz w:val="24"/>
        </w:rPr>
        <w:t xml:space="preserve">, 2022, 2023; Barros </w:t>
      </w:r>
      <w:r w:rsidR="00E134AA" w:rsidRPr="00E134AA">
        <w:rPr>
          <w:rFonts w:ascii="Arial" w:hAnsi="Arial" w:cs="Arial"/>
          <w:i/>
          <w:iCs/>
          <w:sz w:val="24"/>
        </w:rPr>
        <w:t>et al.</w:t>
      </w:r>
      <w:r w:rsidR="00E134AA" w:rsidRPr="00E134AA">
        <w:rPr>
          <w:rFonts w:ascii="Arial" w:hAnsi="Arial" w:cs="Arial"/>
          <w:sz w:val="24"/>
        </w:rPr>
        <w:t>, 2024)</w:t>
      </w:r>
      <w:r w:rsidRPr="000744C5">
        <w:rPr>
          <w:rFonts w:ascii="Arial" w:hAnsi="Arial" w:cs="Arial"/>
          <w:sz w:val="24"/>
          <w:szCs w:val="24"/>
        </w:rPr>
        <w:fldChar w:fldCharType="end"/>
      </w:r>
      <w:r w:rsidRPr="000744C5">
        <w:rPr>
          <w:rFonts w:ascii="Arial" w:hAnsi="Arial" w:cs="Arial"/>
          <w:sz w:val="24"/>
          <w:szCs w:val="24"/>
        </w:rPr>
        <w:t xml:space="preserve">. </w:t>
      </w:r>
      <w:proofErr w:type="gramStart"/>
      <w:r w:rsidRPr="000744C5">
        <w:rPr>
          <w:rFonts w:ascii="Arial" w:hAnsi="Arial" w:cs="Arial"/>
          <w:sz w:val="24"/>
          <w:szCs w:val="24"/>
        </w:rPr>
        <w:t>All of</w:t>
      </w:r>
      <w:proofErr w:type="gramEnd"/>
      <w:r w:rsidRPr="000744C5">
        <w:rPr>
          <w:rFonts w:ascii="Arial" w:hAnsi="Arial" w:cs="Arial"/>
          <w:sz w:val="24"/>
          <w:szCs w:val="24"/>
        </w:rPr>
        <w:t xml:space="preserve"> these studies focus specifically on instrumentalists, which</w:t>
      </w:r>
      <w:r w:rsidR="00153925">
        <w:rPr>
          <w:rFonts w:ascii="Arial" w:hAnsi="Arial" w:cs="Arial"/>
          <w:sz w:val="24"/>
          <w:szCs w:val="24"/>
        </w:rPr>
        <w:t xml:space="preserve"> </w:t>
      </w:r>
      <w:r w:rsidRPr="000744C5">
        <w:rPr>
          <w:rFonts w:ascii="Arial" w:hAnsi="Arial" w:cs="Arial"/>
          <w:sz w:val="24"/>
          <w:szCs w:val="24"/>
        </w:rPr>
        <w:t>while important</w:t>
      </w:r>
      <w:r w:rsidR="00153925">
        <w:rPr>
          <w:rFonts w:ascii="Arial" w:hAnsi="Arial" w:cs="Arial"/>
          <w:sz w:val="24"/>
          <w:szCs w:val="24"/>
        </w:rPr>
        <w:t xml:space="preserve">, </w:t>
      </w:r>
      <w:r w:rsidRPr="000744C5">
        <w:rPr>
          <w:rFonts w:ascii="Arial" w:hAnsi="Arial" w:cs="Arial"/>
          <w:sz w:val="24"/>
          <w:szCs w:val="24"/>
        </w:rPr>
        <w:t xml:space="preserve">do not fully represent the experiences of other performing artists, such as singers or </w:t>
      </w:r>
      <w:r w:rsidR="007376C9">
        <w:rPr>
          <w:rFonts w:ascii="Arial" w:hAnsi="Arial" w:cs="Arial"/>
          <w:sz w:val="24"/>
          <w:szCs w:val="24"/>
        </w:rPr>
        <w:t>actors</w:t>
      </w:r>
      <w:r w:rsidRPr="000744C5">
        <w:rPr>
          <w:rFonts w:ascii="Arial" w:hAnsi="Arial" w:cs="Arial"/>
          <w:sz w:val="24"/>
          <w:szCs w:val="24"/>
        </w:rPr>
        <w:t xml:space="preserve">. Additionally, this body of research is largely situated within the field of music education and is often based on case studies with small sample sizes, limiting the generalizability of findings and providing only a fragmented picture of the Portuguese context. Considering the high-pressure nature of assessments, public performances, and students' personal and professional ambitions, MPA during this critical stage of artistic </w:t>
      </w:r>
      <w:r w:rsidRPr="000744C5">
        <w:rPr>
          <w:rFonts w:ascii="Arial" w:hAnsi="Arial" w:cs="Arial"/>
          <w:sz w:val="24"/>
          <w:szCs w:val="24"/>
        </w:rPr>
        <w:lastRenderedPageBreak/>
        <w:t>development can have significant implications for their mental health and overall well-being.</w:t>
      </w:r>
    </w:p>
    <w:p w14:paraId="236D6EBD" w14:textId="77777777" w:rsidR="009654B2" w:rsidRDefault="00C96D86" w:rsidP="00C96D86">
      <w:pPr>
        <w:spacing w:line="360" w:lineRule="auto"/>
        <w:jc w:val="both"/>
        <w:rPr>
          <w:rFonts w:ascii="Arial" w:hAnsi="Arial" w:cs="Arial"/>
          <w:sz w:val="24"/>
          <w:szCs w:val="24"/>
        </w:rPr>
      </w:pPr>
      <w:r w:rsidRPr="00C96D86">
        <w:rPr>
          <w:rFonts w:ascii="Arial" w:hAnsi="Arial" w:cs="Arial"/>
          <w:sz w:val="24"/>
          <w:szCs w:val="24"/>
        </w:rPr>
        <w:t>Moura and Serra (2021) contribute a valuable qualitative perspective by exploring how Portuguese instrument teachers perceive and respond to MPA in specialized artistic education. Their interviews with four teachers revealed that although MPA is recognized as a common challenge, responses remain largely informal. Teachers employed a mix of task-oriented techniques</w:t>
      </w:r>
      <w:r w:rsidR="00153925">
        <w:rPr>
          <w:rFonts w:ascii="Arial" w:hAnsi="Arial" w:cs="Arial"/>
          <w:sz w:val="24"/>
          <w:szCs w:val="24"/>
        </w:rPr>
        <w:t xml:space="preserve">, </w:t>
      </w:r>
      <w:r w:rsidRPr="00C96D86">
        <w:rPr>
          <w:rFonts w:ascii="Arial" w:hAnsi="Arial" w:cs="Arial"/>
          <w:sz w:val="24"/>
          <w:szCs w:val="24"/>
        </w:rPr>
        <w:t>like performance simulations and breath control</w:t>
      </w:r>
      <w:r w:rsidR="00153925">
        <w:rPr>
          <w:rFonts w:ascii="Arial" w:hAnsi="Arial" w:cs="Arial"/>
          <w:sz w:val="24"/>
          <w:szCs w:val="24"/>
        </w:rPr>
        <w:t xml:space="preserve">, </w:t>
      </w:r>
      <w:r w:rsidRPr="00C96D86">
        <w:rPr>
          <w:rFonts w:ascii="Arial" w:hAnsi="Arial" w:cs="Arial"/>
          <w:sz w:val="24"/>
          <w:szCs w:val="24"/>
        </w:rPr>
        <w:t>and person-focused strategies such as emotional validation and tailored repertoire. Despite these efforts, teachers noted a lack of formal training in psychological skills and identified systemic obstacles, including limited instructional time and curriculum constraints, that hinder the integration of structured anxiety management practices.</w:t>
      </w:r>
      <w:r w:rsidR="00F84FF8">
        <w:rPr>
          <w:rFonts w:ascii="Arial" w:hAnsi="Arial" w:cs="Arial"/>
          <w:sz w:val="24"/>
          <w:szCs w:val="24"/>
        </w:rPr>
        <w:t xml:space="preserve"> This is unfortunately reflected in the context </w:t>
      </w:r>
      <w:r w:rsidR="004B5AC2">
        <w:rPr>
          <w:rFonts w:ascii="Arial" w:hAnsi="Arial" w:cs="Arial"/>
          <w:sz w:val="24"/>
          <w:szCs w:val="24"/>
        </w:rPr>
        <w:t>of</w:t>
      </w:r>
      <w:r w:rsidR="00F84FF8">
        <w:rPr>
          <w:rFonts w:ascii="Arial" w:hAnsi="Arial" w:cs="Arial"/>
          <w:sz w:val="24"/>
          <w:szCs w:val="24"/>
        </w:rPr>
        <w:t xml:space="preserve"> my practice, making me reflect on how </w:t>
      </w:r>
      <w:proofErr w:type="gramStart"/>
      <w:r w:rsidR="00F84FF8">
        <w:rPr>
          <w:rFonts w:ascii="Arial" w:hAnsi="Arial" w:cs="Arial"/>
          <w:sz w:val="24"/>
          <w:szCs w:val="24"/>
        </w:rPr>
        <w:t>could MPA strategies such as CBT</w:t>
      </w:r>
      <w:proofErr w:type="gramEnd"/>
      <w:r w:rsidR="00F84FF8">
        <w:rPr>
          <w:rFonts w:ascii="Arial" w:hAnsi="Arial" w:cs="Arial"/>
          <w:sz w:val="24"/>
          <w:szCs w:val="24"/>
        </w:rPr>
        <w:t xml:space="preserve"> be effectively implemented, </w:t>
      </w:r>
      <w:proofErr w:type="spellStart"/>
      <w:r w:rsidR="00F84FF8">
        <w:rPr>
          <w:rFonts w:ascii="Arial" w:hAnsi="Arial" w:cs="Arial"/>
          <w:sz w:val="24"/>
          <w:szCs w:val="24"/>
        </w:rPr>
        <w:t>wich</w:t>
      </w:r>
      <w:proofErr w:type="spellEnd"/>
      <w:r w:rsidR="00F84FF8">
        <w:rPr>
          <w:rFonts w:ascii="Arial" w:hAnsi="Arial" w:cs="Arial"/>
          <w:sz w:val="24"/>
          <w:szCs w:val="24"/>
        </w:rPr>
        <w:t xml:space="preserve"> makes me suggest that apart from training teachers, </w:t>
      </w:r>
      <w:proofErr w:type="spellStart"/>
      <w:r w:rsidR="00F84FF8">
        <w:rPr>
          <w:rFonts w:ascii="Arial" w:hAnsi="Arial" w:cs="Arial"/>
          <w:sz w:val="24"/>
          <w:szCs w:val="24"/>
        </w:rPr>
        <w:t>scholls</w:t>
      </w:r>
      <w:proofErr w:type="spellEnd"/>
      <w:r w:rsidR="00F84FF8">
        <w:rPr>
          <w:rFonts w:ascii="Arial" w:hAnsi="Arial" w:cs="Arial"/>
          <w:sz w:val="24"/>
          <w:szCs w:val="24"/>
        </w:rPr>
        <w:t xml:space="preserve"> might need to implement extra modules possible as workshop modules to incorporate in the annual curricula </w:t>
      </w:r>
      <w:proofErr w:type="gramStart"/>
      <w:r w:rsidR="00F84FF8">
        <w:rPr>
          <w:rFonts w:ascii="Arial" w:hAnsi="Arial" w:cs="Arial"/>
          <w:sz w:val="24"/>
          <w:szCs w:val="24"/>
        </w:rPr>
        <w:t>in order to</w:t>
      </w:r>
      <w:proofErr w:type="gramEnd"/>
      <w:r w:rsidR="00F84FF8">
        <w:rPr>
          <w:rFonts w:ascii="Arial" w:hAnsi="Arial" w:cs="Arial"/>
          <w:sz w:val="24"/>
          <w:szCs w:val="24"/>
        </w:rPr>
        <w:t xml:space="preserve"> see results. </w:t>
      </w:r>
    </w:p>
    <w:p w14:paraId="383E0188" w14:textId="77777777" w:rsidR="009654B2" w:rsidRPr="00C96D86" w:rsidRDefault="009654B2" w:rsidP="00C96D86">
      <w:pPr>
        <w:spacing w:line="360" w:lineRule="auto"/>
        <w:jc w:val="both"/>
        <w:rPr>
          <w:rFonts w:ascii="Arial" w:hAnsi="Arial" w:cs="Arial"/>
          <w:sz w:val="24"/>
          <w:szCs w:val="24"/>
        </w:rPr>
      </w:pPr>
      <w:r w:rsidRPr="009654B2">
        <w:rPr>
          <w:rFonts w:ascii="Arial" w:hAnsi="Arial" w:cs="Arial"/>
          <w:sz w:val="24"/>
          <w:szCs w:val="24"/>
        </w:rPr>
        <w:t>These findings are unfortunately echoed in my own professional context, where responses to MPA are often informal and constrained by limited institutional support and teacher training. This reflection has led me to critically consider how evidence-based strategies</w:t>
      </w:r>
      <w:r>
        <w:rPr>
          <w:rFonts w:ascii="Arial" w:hAnsi="Arial" w:cs="Arial"/>
          <w:sz w:val="24"/>
          <w:szCs w:val="24"/>
        </w:rPr>
        <w:t xml:space="preserve">, </w:t>
      </w:r>
      <w:r w:rsidRPr="009654B2">
        <w:rPr>
          <w:rFonts w:ascii="Arial" w:hAnsi="Arial" w:cs="Arial"/>
          <w:sz w:val="24"/>
          <w:szCs w:val="24"/>
        </w:rPr>
        <w:t>particularly cognitive-behavioral approaches</w:t>
      </w:r>
      <w:r>
        <w:rPr>
          <w:rFonts w:ascii="Arial" w:hAnsi="Arial" w:cs="Arial"/>
          <w:sz w:val="24"/>
          <w:szCs w:val="24"/>
        </w:rPr>
        <w:t xml:space="preserve">, </w:t>
      </w:r>
      <w:r w:rsidRPr="009654B2">
        <w:rPr>
          <w:rFonts w:ascii="Arial" w:hAnsi="Arial" w:cs="Arial"/>
          <w:sz w:val="24"/>
          <w:szCs w:val="24"/>
        </w:rPr>
        <w:t xml:space="preserve">could be more effectively implemented within Portuguese arts education. While training educators in psychological skills is a crucial first step, it may not be sufficient on its own. Therefore, I suggest </w:t>
      </w:r>
      <w:r w:rsidR="00DF31CA" w:rsidRPr="009654B2">
        <w:rPr>
          <w:rFonts w:ascii="Arial" w:hAnsi="Arial" w:cs="Arial"/>
          <w:sz w:val="24"/>
          <w:szCs w:val="24"/>
        </w:rPr>
        <w:t>that it</w:t>
      </w:r>
      <w:r w:rsidRPr="009654B2">
        <w:rPr>
          <w:rFonts w:ascii="Arial" w:hAnsi="Arial" w:cs="Arial"/>
          <w:sz w:val="24"/>
          <w:szCs w:val="24"/>
        </w:rPr>
        <w:t xml:space="preserve"> </w:t>
      </w:r>
      <w:r>
        <w:rPr>
          <w:rFonts w:ascii="Arial" w:hAnsi="Arial" w:cs="Arial"/>
          <w:sz w:val="24"/>
          <w:szCs w:val="24"/>
        </w:rPr>
        <w:t xml:space="preserve">could be beneficial for </w:t>
      </w:r>
      <w:r w:rsidRPr="009654B2">
        <w:rPr>
          <w:rFonts w:ascii="Arial" w:hAnsi="Arial" w:cs="Arial"/>
          <w:sz w:val="24"/>
          <w:szCs w:val="24"/>
        </w:rPr>
        <w:t xml:space="preserve">institutions </w:t>
      </w:r>
      <w:r>
        <w:rPr>
          <w:rFonts w:ascii="Arial" w:hAnsi="Arial" w:cs="Arial"/>
          <w:sz w:val="24"/>
          <w:szCs w:val="24"/>
        </w:rPr>
        <w:t xml:space="preserve">to </w:t>
      </w:r>
      <w:r w:rsidRPr="009654B2">
        <w:rPr>
          <w:rFonts w:ascii="Arial" w:hAnsi="Arial" w:cs="Arial"/>
          <w:sz w:val="24"/>
          <w:szCs w:val="24"/>
        </w:rPr>
        <w:t>consider incorporating dedicated workshop-based modules into the annual curriculum. These modules could provide structured opportunities for students to engage with MPA management strategies in a consistent and developmentally appropriate manner, thus enhancing both psychological support and educational outcomes.</w:t>
      </w:r>
    </w:p>
    <w:p w14:paraId="3DCD9313" w14:textId="77777777" w:rsidR="00C96D86" w:rsidRPr="00C96D86" w:rsidRDefault="00C96D86" w:rsidP="00C96D86">
      <w:pPr>
        <w:spacing w:line="360" w:lineRule="auto"/>
        <w:jc w:val="both"/>
        <w:rPr>
          <w:rFonts w:ascii="Arial" w:hAnsi="Arial" w:cs="Arial"/>
          <w:sz w:val="24"/>
          <w:szCs w:val="24"/>
        </w:rPr>
      </w:pPr>
      <w:r w:rsidRPr="00C96D86">
        <w:rPr>
          <w:rFonts w:ascii="Arial" w:hAnsi="Arial" w:cs="Arial"/>
          <w:sz w:val="24"/>
          <w:szCs w:val="24"/>
        </w:rPr>
        <w:t xml:space="preserve">In contrast, international institutions have adopted more comprehensive and formalized approaches to MPA. According to </w:t>
      </w:r>
      <w:proofErr w:type="spellStart"/>
      <w:r w:rsidRPr="00C96D86">
        <w:rPr>
          <w:rFonts w:ascii="Arial" w:hAnsi="Arial" w:cs="Arial"/>
          <w:sz w:val="24"/>
          <w:szCs w:val="24"/>
        </w:rPr>
        <w:t>Tahirbegi</w:t>
      </w:r>
      <w:proofErr w:type="spellEnd"/>
      <w:r w:rsidRPr="00C96D86">
        <w:rPr>
          <w:rFonts w:ascii="Arial" w:hAnsi="Arial" w:cs="Arial"/>
          <w:sz w:val="24"/>
          <w:szCs w:val="24"/>
        </w:rPr>
        <w:t xml:space="preserve"> (2019), conservatoires such as the Hannover University of Music and Drama, the Royal College of Music in London, and the Juilliard and Colburn Schools in the U.S. offer a variety of interventions ranging from mandatory health modules and performance simulators to yoga, Alexander Technique, and peak performance training inspired </w:t>
      </w:r>
      <w:r w:rsidRPr="00C96D86">
        <w:rPr>
          <w:rFonts w:ascii="Arial" w:hAnsi="Arial" w:cs="Arial"/>
          <w:sz w:val="24"/>
          <w:szCs w:val="24"/>
        </w:rPr>
        <w:lastRenderedPageBreak/>
        <w:t>by sports psychology. These efforts reflect a holistic understanding of performance preparation that includes mental and physical wellbeing as central components.</w:t>
      </w:r>
    </w:p>
    <w:p w14:paraId="1290237C" w14:textId="77777777" w:rsidR="00C96D86" w:rsidRPr="00C96D86" w:rsidRDefault="00C96D86" w:rsidP="00C96D86">
      <w:pPr>
        <w:spacing w:line="360" w:lineRule="auto"/>
        <w:jc w:val="both"/>
        <w:rPr>
          <w:rFonts w:ascii="Arial" w:hAnsi="Arial" w:cs="Arial"/>
          <w:sz w:val="24"/>
          <w:szCs w:val="24"/>
        </w:rPr>
      </w:pPr>
      <w:r w:rsidRPr="00C96D86">
        <w:rPr>
          <w:rFonts w:ascii="Arial" w:hAnsi="Arial" w:cs="Arial"/>
          <w:sz w:val="24"/>
          <w:szCs w:val="24"/>
        </w:rPr>
        <w:t>Barros et al. (2024) present one of the first large-scale empirical investigations of MPA within the Portuguese higher education context. Using the Portuguese Music Performance Anxiety Scale (</w:t>
      </w:r>
      <w:proofErr w:type="spellStart"/>
      <w:r w:rsidRPr="00C96D86">
        <w:rPr>
          <w:rFonts w:ascii="Arial" w:hAnsi="Arial" w:cs="Arial"/>
          <w:sz w:val="24"/>
          <w:szCs w:val="24"/>
        </w:rPr>
        <w:t>PoMPAS</w:t>
      </w:r>
      <w:proofErr w:type="spellEnd"/>
      <w:r w:rsidRPr="00C96D86">
        <w:rPr>
          <w:rFonts w:ascii="Arial" w:hAnsi="Arial" w:cs="Arial"/>
          <w:sz w:val="24"/>
          <w:szCs w:val="24"/>
        </w:rPr>
        <w:t>), the study assessed anxiety levels in 414 music students and confirmed that gender, age, and performance experience significantly predict MPA intensity. Notably, coping strategies such as breathing and mental rehearsal were associated with lower MPA, yet a concerning portion of students reported using medication</w:t>
      </w:r>
      <w:r w:rsidR="00153925">
        <w:rPr>
          <w:rFonts w:ascii="Arial" w:hAnsi="Arial" w:cs="Arial"/>
          <w:sz w:val="24"/>
          <w:szCs w:val="24"/>
        </w:rPr>
        <w:t xml:space="preserve">, </w:t>
      </w:r>
      <w:r w:rsidRPr="00C96D86">
        <w:rPr>
          <w:rFonts w:ascii="Arial" w:hAnsi="Arial" w:cs="Arial"/>
          <w:sz w:val="24"/>
          <w:szCs w:val="24"/>
        </w:rPr>
        <w:t>sometimes without prescription</w:t>
      </w:r>
      <w:r w:rsidR="00153925">
        <w:rPr>
          <w:rFonts w:ascii="Arial" w:hAnsi="Arial" w:cs="Arial"/>
          <w:sz w:val="24"/>
          <w:szCs w:val="24"/>
        </w:rPr>
        <w:t xml:space="preserve">, </w:t>
      </w:r>
      <w:r w:rsidRPr="00C96D86">
        <w:rPr>
          <w:rFonts w:ascii="Arial" w:hAnsi="Arial" w:cs="Arial"/>
          <w:sz w:val="24"/>
          <w:szCs w:val="24"/>
        </w:rPr>
        <w:t>to manage anxiety. These findings underscore the need for educational institutions to adopt preventive, health-promotive strategies that offer safer and more sustainable coping mechanisms</w:t>
      </w:r>
      <w:r w:rsidR="0048587C">
        <w:rPr>
          <w:rFonts w:ascii="Arial" w:hAnsi="Arial" w:cs="Arial"/>
          <w:sz w:val="24"/>
          <w:szCs w:val="24"/>
        </w:rPr>
        <w:t xml:space="preserve"> </w:t>
      </w:r>
      <w:r w:rsidR="000973D4">
        <w:rPr>
          <w:rFonts w:ascii="Arial" w:hAnsi="Arial" w:cs="Arial"/>
          <w:sz w:val="24"/>
          <w:szCs w:val="24"/>
        </w:rPr>
        <w:fldChar w:fldCharType="begin"/>
      </w:r>
      <w:r w:rsidR="000973D4">
        <w:rPr>
          <w:rFonts w:ascii="Arial" w:hAnsi="Arial" w:cs="Arial"/>
          <w:sz w:val="24"/>
          <w:szCs w:val="24"/>
        </w:rPr>
        <w:instrText xml:space="preserve"> ADDIN ZOTERO_ITEM CSL_CITATION {"citationID":"WDHmteLv","properties":{"formattedCitation":"(Barros {\\i{}et al.}, 2024)","plainCitation":"(Barros et al., 2024)","noteIndex":0},"citationItems":[{"id":302,"uris":["http://zotero.org/users/local/hN5mtYaY/items/SZT2VXN3"],"itemData":{"id":302,"type":"article-journal","abstract":"Several studies have developed and validated specific scales to understand, identify and confirm research hypotheses associated with music performance anxiety (MPA). These scales mostly assess behavioral, cognitive, and physiological factors. There is currently no original MPA assessment tool for higher music education in Continental Portuguese, which suggests a research gap. The aim of this study was to determine if the Portuguese Music Performance Anxiety Scale (PoMPAS), developed for this research, is a valid and reliable measure of MPA for the context of higher education in Portugal. The total sample was\n              N\n               = 414 (166 male, 245 female, and three without gender identification). The development of this scale was based on a three-dimensional model (behavioral, cognitive, and physiological), following the theoretical models of Salmon (1990) and Osborne and Kenny (2005). Confirmatory factor analysis of the PoMPAS suggested a good fit in a three-dimensional model with 27 items. The internal consistency values proved appropriate, showing good Cronbach’s alphas (between\n              α\n               = 0.81 and\n              α\n               = 0.90). The McDonald’s Omega also demonstrated good consistency (between\n              ω\n               = 0.81 and\n              ω\n               = 0.90). The PoMPAS is a reliable tool to measure the impact of MPA, with good psychometric qualities, specifically for the Portuguese higher music education context.","container-title":"Frontiers in Psychology","DOI":"10.3389/fpsyg.2024.1436216","ISSN":"1664-1078","journalAbbreviation":"Front. Psychol.","language":"en","page":"1436216","source":"DOI.org (Crossref)","title":"Music performance anxiety: development and validation of the Portuguese music performance anxiety scale","title-short":"Music performance anxiety","volume":"15","author":[{"family":"Barros","given":"Samuel"},{"family":"França","given":"Alex"},{"family":"Marinho","given":"Helena"},{"family":"Pereira","given":"Anabela"}],"issued":{"date-parts":[["2024",7,12]]}}}],"schema":"https://github.com/citation-style-language/schema/raw/master/csl-citation.json"} </w:instrText>
      </w:r>
      <w:r w:rsidR="000973D4">
        <w:rPr>
          <w:rFonts w:ascii="Arial" w:hAnsi="Arial" w:cs="Arial"/>
          <w:sz w:val="24"/>
          <w:szCs w:val="24"/>
        </w:rPr>
        <w:fldChar w:fldCharType="separate"/>
      </w:r>
      <w:r w:rsidR="000973D4" w:rsidRPr="000973D4">
        <w:rPr>
          <w:rFonts w:ascii="Arial" w:hAnsi="Arial" w:cs="Arial"/>
          <w:sz w:val="24"/>
        </w:rPr>
        <w:t xml:space="preserve">(Barros </w:t>
      </w:r>
      <w:r w:rsidR="000973D4" w:rsidRPr="000973D4">
        <w:rPr>
          <w:rFonts w:ascii="Arial" w:hAnsi="Arial" w:cs="Arial"/>
          <w:i/>
          <w:iCs/>
          <w:sz w:val="24"/>
        </w:rPr>
        <w:t>et al.</w:t>
      </w:r>
      <w:r w:rsidR="000973D4" w:rsidRPr="000973D4">
        <w:rPr>
          <w:rFonts w:ascii="Arial" w:hAnsi="Arial" w:cs="Arial"/>
          <w:sz w:val="24"/>
        </w:rPr>
        <w:t>, 2024)</w:t>
      </w:r>
      <w:r w:rsidR="000973D4">
        <w:rPr>
          <w:rFonts w:ascii="Arial" w:hAnsi="Arial" w:cs="Arial"/>
          <w:sz w:val="24"/>
          <w:szCs w:val="24"/>
        </w:rPr>
        <w:fldChar w:fldCharType="end"/>
      </w:r>
      <w:r w:rsidRPr="00C96D86">
        <w:rPr>
          <w:rFonts w:ascii="Arial" w:hAnsi="Arial" w:cs="Arial"/>
          <w:sz w:val="24"/>
          <w:szCs w:val="24"/>
        </w:rPr>
        <w:t>.</w:t>
      </w:r>
    </w:p>
    <w:p w14:paraId="3EAE0EE2" w14:textId="77777777" w:rsidR="00C96D86" w:rsidRPr="00C96D86" w:rsidRDefault="00C96D86" w:rsidP="00C96D86">
      <w:pPr>
        <w:spacing w:line="360" w:lineRule="auto"/>
        <w:jc w:val="both"/>
        <w:rPr>
          <w:rFonts w:ascii="Arial" w:hAnsi="Arial" w:cs="Arial"/>
          <w:sz w:val="24"/>
          <w:szCs w:val="24"/>
        </w:rPr>
      </w:pPr>
      <w:r w:rsidRPr="00C96D86">
        <w:rPr>
          <w:rFonts w:ascii="Arial" w:hAnsi="Arial" w:cs="Arial"/>
          <w:sz w:val="24"/>
          <w:szCs w:val="24"/>
        </w:rPr>
        <w:t xml:space="preserve">Taken together, these studies highlight an urgent need for Portugal’s music </w:t>
      </w:r>
      <w:r w:rsidR="00153925">
        <w:rPr>
          <w:rFonts w:ascii="Arial" w:hAnsi="Arial" w:cs="Arial"/>
          <w:sz w:val="24"/>
          <w:szCs w:val="24"/>
        </w:rPr>
        <w:t xml:space="preserve">and performing arts </w:t>
      </w:r>
      <w:r w:rsidRPr="00C96D86">
        <w:rPr>
          <w:rFonts w:ascii="Arial" w:hAnsi="Arial" w:cs="Arial"/>
          <w:sz w:val="24"/>
          <w:szCs w:val="24"/>
        </w:rPr>
        <w:t>education institutions to move beyond case-specific, teacher-dependent interventions and adopt systematic, evidence-based strategies. While international models provide examples of best practice, there remains a clear gap in the Portuguese system in terms of structural support, teacher training, and curricular integration of psychological skills. Addressing MPA effectively requires a comprehensive approach that recognizes the mental and emotional dimensions of music performance as integral to artistic development.</w:t>
      </w:r>
    </w:p>
    <w:bookmarkEnd w:id="1"/>
    <w:p w14:paraId="367DCED7" w14:textId="77777777" w:rsidR="00153925" w:rsidRDefault="00153925" w:rsidP="00EC64D2">
      <w:pPr>
        <w:spacing w:line="360" w:lineRule="auto"/>
        <w:rPr>
          <w:rFonts w:ascii="Arial" w:hAnsi="Arial" w:cs="Arial"/>
          <w:sz w:val="24"/>
          <w:szCs w:val="24"/>
        </w:rPr>
      </w:pPr>
    </w:p>
    <w:p w14:paraId="1374E6AC" w14:textId="77777777" w:rsidR="007C0936" w:rsidRDefault="005F7BAE" w:rsidP="007C0936">
      <w:pPr>
        <w:spacing w:line="360" w:lineRule="auto"/>
        <w:rPr>
          <w:rFonts w:ascii="Arial" w:hAnsi="Arial" w:cs="Arial"/>
          <w:sz w:val="24"/>
          <w:szCs w:val="24"/>
        </w:rPr>
      </w:pPr>
      <w:r>
        <w:rPr>
          <w:rFonts w:ascii="Arial" w:hAnsi="Arial" w:cs="Arial"/>
          <w:sz w:val="24"/>
          <w:szCs w:val="24"/>
        </w:rPr>
        <w:t>CONCLUSION</w:t>
      </w:r>
    </w:p>
    <w:p w14:paraId="06C222CA" w14:textId="77777777" w:rsidR="00F858BB" w:rsidRDefault="00F858BB" w:rsidP="007C0936">
      <w:pPr>
        <w:spacing w:line="360" w:lineRule="auto"/>
        <w:rPr>
          <w:rFonts w:ascii="Arial" w:hAnsi="Arial" w:cs="Arial"/>
          <w:sz w:val="24"/>
          <w:szCs w:val="24"/>
        </w:rPr>
      </w:pPr>
    </w:p>
    <w:p w14:paraId="60BD4BBD" w14:textId="77777777" w:rsidR="00902A48" w:rsidRDefault="00902A48" w:rsidP="0048587C">
      <w:pPr>
        <w:shd w:val="clear" w:color="auto" w:fill="FFFFFF" w:themeFill="background1"/>
        <w:spacing w:line="360" w:lineRule="auto"/>
        <w:jc w:val="both"/>
        <w:rPr>
          <w:rFonts w:ascii="Arial" w:hAnsi="Arial" w:cs="Arial"/>
          <w:sz w:val="24"/>
          <w:szCs w:val="24"/>
        </w:rPr>
      </w:pPr>
      <w:r w:rsidRPr="007C0936">
        <w:rPr>
          <w:rFonts w:ascii="Arial" w:hAnsi="Arial" w:cs="Arial"/>
          <w:sz w:val="24"/>
          <w:szCs w:val="24"/>
        </w:rPr>
        <w:t xml:space="preserve">This study has explored the complex phenomenon of MPA through a dual lens: the effectiveness of evidence-based coping strategies and the contextual challenges that characterize Portugal’s precarious artistic sector. Drawing from both personal teaching experiences and an extensive review of scholarly literature, the research highlights how MPA </w:t>
      </w:r>
      <w:r w:rsidR="00EC511A">
        <w:rPr>
          <w:rFonts w:ascii="Arial" w:hAnsi="Arial" w:cs="Arial"/>
          <w:sz w:val="24"/>
          <w:szCs w:val="24"/>
        </w:rPr>
        <w:t>can be</w:t>
      </w:r>
      <w:r w:rsidRPr="007C0936">
        <w:rPr>
          <w:rFonts w:ascii="Arial" w:hAnsi="Arial" w:cs="Arial"/>
          <w:sz w:val="24"/>
          <w:szCs w:val="24"/>
        </w:rPr>
        <w:t xml:space="preserve"> not merely a psychological issue to be managed at the individual level, but a condition shaped by broader pedagogical, institutional, and socio-economic factors.</w:t>
      </w:r>
      <w:r w:rsidR="00205E8C">
        <w:rPr>
          <w:rFonts w:ascii="Arial" w:hAnsi="Arial" w:cs="Arial"/>
          <w:sz w:val="24"/>
          <w:szCs w:val="24"/>
        </w:rPr>
        <w:t xml:space="preserve"> </w:t>
      </w:r>
      <w:r w:rsidRPr="007C0936">
        <w:rPr>
          <w:rFonts w:ascii="Arial" w:hAnsi="Arial" w:cs="Arial"/>
          <w:sz w:val="24"/>
          <w:szCs w:val="24"/>
        </w:rPr>
        <w:t xml:space="preserve">Through a comprehensive </w:t>
      </w:r>
      <w:r w:rsidRPr="007C0936">
        <w:rPr>
          <w:rFonts w:ascii="Arial" w:hAnsi="Arial" w:cs="Arial"/>
          <w:sz w:val="24"/>
          <w:szCs w:val="24"/>
        </w:rPr>
        <w:lastRenderedPageBreak/>
        <w:t>review of international literature, it is evident that cognitive-behavioral therapy (CBT) remains the most robustly supported intervention, particularly when combined with physiological techniques such as diaphragmatic breathing, systematic desensitization, and performance simulation (Kenny, 2005; Braden et al., 2015; Zhukov, 2019). Furthermore, pedagogical approaches that foster open communication, psychological safety, and individualized support</w:t>
      </w:r>
      <w:r w:rsidR="00CE61D2">
        <w:rPr>
          <w:rFonts w:ascii="Arial" w:hAnsi="Arial" w:cs="Arial"/>
          <w:sz w:val="24"/>
          <w:szCs w:val="24"/>
        </w:rPr>
        <w:t xml:space="preserve">, </w:t>
      </w:r>
      <w:r w:rsidRPr="007C0936">
        <w:rPr>
          <w:rFonts w:ascii="Arial" w:hAnsi="Arial" w:cs="Arial"/>
          <w:sz w:val="24"/>
          <w:szCs w:val="24"/>
        </w:rPr>
        <w:t>especially when delivered by trained educators</w:t>
      </w:r>
      <w:r w:rsidR="00CE61D2">
        <w:rPr>
          <w:rFonts w:ascii="Arial" w:hAnsi="Arial" w:cs="Arial"/>
          <w:sz w:val="24"/>
          <w:szCs w:val="24"/>
        </w:rPr>
        <w:t xml:space="preserve">, </w:t>
      </w:r>
      <w:r w:rsidRPr="007C0936">
        <w:rPr>
          <w:rFonts w:ascii="Arial" w:hAnsi="Arial" w:cs="Arial"/>
          <w:sz w:val="24"/>
          <w:szCs w:val="24"/>
        </w:rPr>
        <w:t>are shown to be both effective and scalable in educational settings (Boyett, 2020; MacAfee &amp; Comeau, 2023; Blair &amp; van der Sluis, 2022).</w:t>
      </w:r>
    </w:p>
    <w:p w14:paraId="590F7FE1" w14:textId="77777777" w:rsidR="00F20A27" w:rsidRPr="007C0936" w:rsidRDefault="00902A48" w:rsidP="00C4678C">
      <w:pPr>
        <w:shd w:val="clear" w:color="auto" w:fill="FFFFFF" w:themeFill="background1"/>
        <w:spacing w:line="360" w:lineRule="auto"/>
        <w:jc w:val="both"/>
        <w:rPr>
          <w:rFonts w:ascii="Arial" w:hAnsi="Arial" w:cs="Arial"/>
          <w:sz w:val="24"/>
          <w:szCs w:val="24"/>
        </w:rPr>
      </w:pPr>
      <w:r w:rsidRPr="007C0936">
        <w:rPr>
          <w:rFonts w:ascii="Arial" w:hAnsi="Arial" w:cs="Arial"/>
          <w:sz w:val="24"/>
          <w:szCs w:val="24"/>
        </w:rPr>
        <w:t xml:space="preserve">However, the Portuguese context presents unique structural challenges that exacerbate the impact of MPA. These include systemic professional precarity, economic instability, lack of institutional psychological support, and underdeveloped curricular responses to performance-related stress (Conde, 2009; </w:t>
      </w:r>
      <w:proofErr w:type="spellStart"/>
      <w:r w:rsidRPr="007C0936">
        <w:rPr>
          <w:rFonts w:ascii="Arial" w:hAnsi="Arial" w:cs="Arial"/>
          <w:sz w:val="24"/>
          <w:szCs w:val="24"/>
        </w:rPr>
        <w:t>Campanela</w:t>
      </w:r>
      <w:proofErr w:type="spellEnd"/>
      <w:r w:rsidRPr="007C0936">
        <w:rPr>
          <w:rFonts w:ascii="Arial" w:hAnsi="Arial" w:cs="Arial"/>
          <w:sz w:val="24"/>
          <w:szCs w:val="24"/>
        </w:rPr>
        <w:t>, 2023; Hrvatin, Buh &amp; Ribič, 2021).</w:t>
      </w:r>
      <w:r w:rsidR="00CE61D2">
        <w:rPr>
          <w:rFonts w:ascii="Arial" w:hAnsi="Arial" w:cs="Arial"/>
          <w:sz w:val="24"/>
          <w:szCs w:val="24"/>
        </w:rPr>
        <w:t xml:space="preserve"> </w:t>
      </w:r>
      <w:r w:rsidRPr="007C0936">
        <w:rPr>
          <w:rFonts w:ascii="Arial" w:hAnsi="Arial" w:cs="Arial"/>
          <w:sz w:val="24"/>
          <w:szCs w:val="24"/>
        </w:rPr>
        <w:t>The current absence of formal, evidence-based MPA interventions within Portuguese arts education signals a significant gap between research and practice. As such, this study advocates for a shift toward integrated, preventative strategies that combine psychological theory with pedagogical pragmatism. Embedding MPA awareness and coping strategies into the training of both students and teachers is essential</w:t>
      </w:r>
      <w:r w:rsidR="00CE61D2">
        <w:rPr>
          <w:rFonts w:ascii="Arial" w:hAnsi="Arial" w:cs="Arial"/>
          <w:sz w:val="24"/>
          <w:szCs w:val="24"/>
        </w:rPr>
        <w:t xml:space="preserve">, </w:t>
      </w:r>
      <w:r w:rsidRPr="007C0936">
        <w:rPr>
          <w:rFonts w:ascii="Arial" w:hAnsi="Arial" w:cs="Arial"/>
          <w:sz w:val="24"/>
          <w:szCs w:val="24"/>
        </w:rPr>
        <w:t>not only to improve performance outcomes but also to safeguard the mental well-being of aspiring artists facing an uncertain professional landscape (Barros et al., 2024; Moura &amp; Serra, 2021).</w:t>
      </w:r>
      <w:r w:rsidR="00F20A27">
        <w:rPr>
          <w:rFonts w:ascii="Arial" w:hAnsi="Arial" w:cs="Arial"/>
          <w:sz w:val="24"/>
          <w:szCs w:val="24"/>
        </w:rPr>
        <w:t xml:space="preserve"> </w:t>
      </w:r>
      <w:r w:rsidR="00F20A27" w:rsidRPr="007C0936">
        <w:rPr>
          <w:rFonts w:ascii="Arial" w:hAnsi="Arial" w:cs="Arial"/>
          <w:sz w:val="24"/>
          <w:szCs w:val="24"/>
        </w:rPr>
        <w:t>The evidence gathered supports</w:t>
      </w:r>
      <w:r w:rsidR="00F20A27">
        <w:rPr>
          <w:rFonts w:ascii="Arial" w:hAnsi="Arial" w:cs="Arial"/>
          <w:sz w:val="24"/>
          <w:szCs w:val="24"/>
        </w:rPr>
        <w:t xml:space="preserve"> my reflection on</w:t>
      </w:r>
      <w:r w:rsidR="00F20A27" w:rsidRPr="007C0936">
        <w:rPr>
          <w:rFonts w:ascii="Arial" w:hAnsi="Arial" w:cs="Arial"/>
          <w:sz w:val="24"/>
          <w:szCs w:val="24"/>
        </w:rPr>
        <w:t xml:space="preserve"> a move toward a more holistic, preventive, and pedagogically embedded framework for managing performance anxiety</w:t>
      </w:r>
      <w:r w:rsidR="00F20A27">
        <w:rPr>
          <w:rFonts w:ascii="Arial" w:hAnsi="Arial" w:cs="Arial"/>
          <w:sz w:val="24"/>
          <w:szCs w:val="24"/>
        </w:rPr>
        <w:t xml:space="preserve">, </w:t>
      </w:r>
      <w:r w:rsidR="00F20A27" w:rsidRPr="007C0936">
        <w:rPr>
          <w:rFonts w:ascii="Arial" w:hAnsi="Arial" w:cs="Arial"/>
          <w:sz w:val="24"/>
          <w:szCs w:val="24"/>
        </w:rPr>
        <w:t>one that acknowledges structural pressures while promoting student resilience and emotional well-being.</w:t>
      </w:r>
    </w:p>
    <w:p w14:paraId="42A9BBFF" w14:textId="77777777" w:rsidR="00716841" w:rsidRPr="00716841" w:rsidRDefault="00EC511A" w:rsidP="00C4678C">
      <w:pPr>
        <w:shd w:val="clear" w:color="auto" w:fill="FFFFFF" w:themeFill="background1"/>
        <w:spacing w:line="360" w:lineRule="auto"/>
        <w:jc w:val="both"/>
        <w:rPr>
          <w:rFonts w:ascii="Arial" w:hAnsi="Arial" w:cs="Arial"/>
          <w:sz w:val="24"/>
          <w:szCs w:val="24"/>
        </w:rPr>
      </w:pPr>
      <w:r>
        <w:rPr>
          <w:rFonts w:ascii="Arial" w:hAnsi="Arial" w:cs="Arial"/>
          <w:sz w:val="24"/>
          <w:szCs w:val="24"/>
        </w:rPr>
        <w:t xml:space="preserve">As shown trough empirical studies </w:t>
      </w:r>
      <w:r w:rsidR="00716841" w:rsidRPr="00716841">
        <w:rPr>
          <w:rFonts w:ascii="Arial" w:hAnsi="Arial" w:cs="Arial"/>
          <w:sz w:val="24"/>
          <w:szCs w:val="24"/>
        </w:rPr>
        <w:t>Cognitive-behavioral approaches</w:t>
      </w:r>
      <w:r w:rsidR="00716841">
        <w:rPr>
          <w:rFonts w:ascii="Arial" w:hAnsi="Arial" w:cs="Arial"/>
          <w:sz w:val="24"/>
          <w:szCs w:val="24"/>
        </w:rPr>
        <w:t xml:space="preserve">, </w:t>
      </w:r>
      <w:r w:rsidR="00716841" w:rsidRPr="00716841">
        <w:rPr>
          <w:rFonts w:ascii="Arial" w:hAnsi="Arial" w:cs="Arial"/>
          <w:sz w:val="24"/>
          <w:szCs w:val="24"/>
        </w:rPr>
        <w:t>particularly CBT</w:t>
      </w:r>
      <w:r w:rsidR="00716841">
        <w:rPr>
          <w:rFonts w:ascii="Arial" w:hAnsi="Arial" w:cs="Arial"/>
          <w:sz w:val="24"/>
          <w:szCs w:val="24"/>
        </w:rPr>
        <w:t xml:space="preserve">, </w:t>
      </w:r>
      <w:r w:rsidR="00716841" w:rsidRPr="00716841">
        <w:rPr>
          <w:rFonts w:ascii="Arial" w:hAnsi="Arial" w:cs="Arial"/>
          <w:sz w:val="24"/>
          <w:szCs w:val="24"/>
        </w:rPr>
        <w:t>provide the most robust foundation for long-term impact in managing MPA</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{"citationID":"nkNGiMkh","properties":{"formattedCitation":"(Braden, Osborne and Wilson, 2015)","plainCitation":"(Braden, Osborne and Wilson, 2015)","noteIndex":0},"citationItems":[{"id":839,"uris":["http://zotero.org/users/local/hN5mtYaY/items/M5PTAHL7"],"itemData":{"id":839,"type":"article-journal","abstract":"Music performance anxiety (MPA) can be distressing for many young people studying music, and may negatively impact upon their ability to cope with the demands and stressors of music education. It can also lead young people to give up music or to develop unhealthy coping habits in their adult music careers. Minimal research has examined the effectiveness of psychological programs to address MPA in young musicians. Sixty-two adolescents were pseudo-randomized to a cognitive behavioral (CB) group-delivered intervention or a waitlist condition. The intervention consisted of psychoeducation, cognitive restructuring and relaxation techniques, identification of strengths, goal-setting, imagery and visualization techniques to support three solo performances in front of judges. Significant reductions in self-rated MPA were found in both groups following the intervention and compared to their baseline MPA. This reduction was maintained at 2-months follow-up. There appeared to be inconsistent effects of the intervention upon judge-rated MPA, however the presence of floor effects precluded meaningful reductions in MPA. There appeared to be no effect of the intervention upon judge-rated performance quality. This study highlights the potential for group-based CB programs to be delivered within school music curricula to help young musicians develop skills to overcome the often debilitating effects of MPA.","container-title":"Frontiers in Psychology","DOI":"10.3389/fpsyg.2015.00195","ISSN":"1664-1078","journalAbbreviation":"Front Psychol","language":"eng","note":"PMID: 25784885\nPMCID: PMC4347450","page":"195","source":"PubMed","title":"Psychological intervention reduces self-reported performance anxiety in high school music students","volume":"6","author":[{"family":"Braden","given":"Alice M."},{"family":"Osborne","given":"Margaret S."},{"family":"Wilson","given":"Sarah J."}],"issued":{"date-parts":[["2015"]]}}}],"schema":"https://github.com/citation-style-language/schema/raw/master/csl-citation.json"} </w:instrText>
      </w:r>
      <w:r>
        <w:rPr>
          <w:rFonts w:ascii="Arial" w:hAnsi="Arial" w:cs="Arial"/>
          <w:sz w:val="24"/>
          <w:szCs w:val="24"/>
        </w:rPr>
        <w:fldChar w:fldCharType="separate"/>
      </w:r>
      <w:r w:rsidRPr="00EC511A">
        <w:rPr>
          <w:rFonts w:ascii="Arial" w:hAnsi="Arial" w:cs="Arial"/>
          <w:sz w:val="24"/>
        </w:rPr>
        <w:t>(Braden, Osborne and Wilson, 2015)</w:t>
      </w:r>
      <w:r>
        <w:rPr>
          <w:rFonts w:ascii="Arial" w:hAnsi="Arial" w:cs="Arial"/>
          <w:sz w:val="24"/>
          <w:szCs w:val="24"/>
        </w:rPr>
        <w:fldChar w:fldCharType="end"/>
      </w:r>
      <w:r w:rsidR="00716841" w:rsidRPr="00716841">
        <w:rPr>
          <w:rFonts w:ascii="Arial" w:hAnsi="Arial" w:cs="Arial"/>
          <w:sz w:val="24"/>
          <w:szCs w:val="24"/>
        </w:rPr>
        <w:t>. However, I recognize that effective implementation must be adapted to the specific institutional conditions of each educational context. In my own teaching experience in Portugal, where students often follow constrained schedules and psychological support is limited, I suggest that such interventions would need to adopt flexible, modular formats</w:t>
      </w:r>
      <w:r w:rsidR="00716841">
        <w:rPr>
          <w:rFonts w:ascii="Arial" w:hAnsi="Arial" w:cs="Arial"/>
          <w:sz w:val="24"/>
          <w:szCs w:val="24"/>
        </w:rPr>
        <w:t xml:space="preserve">, </w:t>
      </w:r>
      <w:r w:rsidR="00716841" w:rsidRPr="00716841">
        <w:rPr>
          <w:rFonts w:ascii="Arial" w:hAnsi="Arial" w:cs="Arial"/>
          <w:sz w:val="24"/>
          <w:szCs w:val="24"/>
        </w:rPr>
        <w:t xml:space="preserve">potentially </w:t>
      </w:r>
      <w:r w:rsidR="00716841" w:rsidRPr="00716841">
        <w:rPr>
          <w:rFonts w:ascii="Arial" w:hAnsi="Arial" w:cs="Arial"/>
          <w:sz w:val="24"/>
          <w:szCs w:val="24"/>
        </w:rPr>
        <w:lastRenderedPageBreak/>
        <w:t>delivered through workshop-based sessions integrated into the academic calendar.</w:t>
      </w:r>
    </w:p>
    <w:p w14:paraId="049DF6A3" w14:textId="77777777" w:rsidR="00716841" w:rsidRPr="00716841" w:rsidRDefault="00AE2CBF" w:rsidP="00C4678C">
      <w:pPr>
        <w:shd w:val="clear" w:color="auto" w:fill="FFFFFF" w:themeFill="background1"/>
        <w:spacing w:line="360" w:lineRule="auto"/>
        <w:jc w:val="both"/>
        <w:rPr>
          <w:rFonts w:ascii="Arial" w:hAnsi="Arial" w:cs="Arial"/>
          <w:sz w:val="24"/>
          <w:szCs w:val="24"/>
        </w:rPr>
      </w:pPr>
      <w:r w:rsidRPr="00AE2CBF">
        <w:rPr>
          <w:rFonts w:ascii="Arial" w:hAnsi="Arial" w:cs="Arial"/>
          <w:sz w:val="24"/>
          <w:szCs w:val="24"/>
        </w:rPr>
        <w:t xml:space="preserve">It is significant to observe </w:t>
      </w:r>
      <w:r>
        <w:rPr>
          <w:rFonts w:ascii="Arial" w:hAnsi="Arial" w:cs="Arial"/>
          <w:sz w:val="24"/>
          <w:szCs w:val="24"/>
        </w:rPr>
        <w:t xml:space="preserve">that </w:t>
      </w:r>
      <w:r w:rsidR="00716841" w:rsidRPr="00716841">
        <w:rPr>
          <w:rFonts w:ascii="Arial" w:hAnsi="Arial" w:cs="Arial"/>
          <w:sz w:val="24"/>
          <w:szCs w:val="24"/>
        </w:rPr>
        <w:t>Acceptance and Commitment Coaching (ACC) represents an innovative and accessible alternative, especially when facilitated by trained non-clinicians such as singing teachers</w:t>
      </w:r>
      <w:r w:rsidR="00C4678C">
        <w:rPr>
          <w:rFonts w:ascii="Arial" w:hAnsi="Arial" w:cs="Arial"/>
          <w:sz w:val="24"/>
          <w:szCs w:val="24"/>
        </w:rPr>
        <w:t xml:space="preserve"> </w:t>
      </w:r>
      <w:r w:rsidR="00EC511A">
        <w:rPr>
          <w:rFonts w:ascii="Arial" w:hAnsi="Arial" w:cs="Arial"/>
          <w:sz w:val="24"/>
          <w:szCs w:val="24"/>
        </w:rPr>
        <w:fldChar w:fldCharType="begin"/>
      </w:r>
      <w:r w:rsidR="00EC511A">
        <w:rPr>
          <w:rFonts w:ascii="Arial" w:hAnsi="Arial" w:cs="Arial"/>
          <w:sz w:val="24"/>
          <w:szCs w:val="24"/>
        </w:rPr>
        <w:instrText xml:space="preserve"> ADDIN ZOTERO_ITEM CSL_CITATION {"citationID":"pEk6fJso","properties":{"formattedCitation":"(Mahony, Juncos and Winter, 2022)","plainCitation":"(Mahony, Juncos and Winter, 2022)","noteIndex":0},"citationItems":[{"id":913,"uris":["http://zotero.org/users/local/hN5mtYaY/items/3XV9V486"],"itemData":{"id":913,"type":"article-journal","abstract":"Treatments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(&amp;lt;10 h) may be sufficient for singing teachers to provide significant benefit for students with problematic MPA.","container-title":"Frontiers in Psychology","DOI":"10.3389/fpsyg.2022.830230","ISSN":"1664-1078","journalAbbreviation":"Front. Psychol.","language":"English","note":"publisher: Frontiers","source":"Frontiers","title":"Acceptance and Commitment Coaching for Music Performance Anxiety: Piloting a 6-Week Group Course With Undergraduate Dance and Musical Theatre Students","title-short":"Acceptance and Commitment Coaching for Music Performance Anxiety","URL":"https://www.frontiersin.org/journals/psychology/articles/10.3389/fpsyg.2022.830230/full","volume":"13","author":[{"family":"Mahony","given":"Sarah E."},{"family":"Juncos","given":"David G."},{"family":"Winter","given":"Debbie"}],"accessed":{"date-parts":[["2025",4,8]]},"issued":{"date-parts":[["2022",3,18]]}}}],"schema":"https://github.com/citation-style-language/schema/raw/master/csl-citation.json"} </w:instrText>
      </w:r>
      <w:r w:rsidR="00EC511A">
        <w:rPr>
          <w:rFonts w:ascii="Arial" w:hAnsi="Arial" w:cs="Arial"/>
          <w:sz w:val="24"/>
          <w:szCs w:val="24"/>
        </w:rPr>
        <w:fldChar w:fldCharType="separate"/>
      </w:r>
      <w:r w:rsidR="00EC511A" w:rsidRPr="00EC511A">
        <w:rPr>
          <w:rFonts w:ascii="Arial" w:hAnsi="Arial" w:cs="Arial"/>
          <w:sz w:val="24"/>
        </w:rPr>
        <w:t>(Mahony, Juncos and Winter, 2022)</w:t>
      </w:r>
      <w:r w:rsidR="00EC511A">
        <w:rPr>
          <w:rFonts w:ascii="Arial" w:hAnsi="Arial" w:cs="Arial"/>
          <w:sz w:val="24"/>
          <w:szCs w:val="24"/>
        </w:rPr>
        <w:fldChar w:fldCharType="end"/>
      </w:r>
      <w:r w:rsidR="00716841" w:rsidRPr="00716841">
        <w:rPr>
          <w:rFonts w:ascii="Arial" w:hAnsi="Arial" w:cs="Arial"/>
          <w:sz w:val="24"/>
          <w:szCs w:val="24"/>
        </w:rPr>
        <w:t>. Yet, to the best of my knowledge, ACC training is not currently widespread among Portuguese educators, revealing a clear gap that warrants further exploration and targeted professional development.</w:t>
      </w:r>
    </w:p>
    <w:p w14:paraId="3B0B8C41" w14:textId="77777777" w:rsidR="00716841" w:rsidRPr="00716841" w:rsidRDefault="00AE2CBF" w:rsidP="00C4678C">
      <w:pPr>
        <w:shd w:val="clear" w:color="auto" w:fill="FFFFFF" w:themeFill="background1"/>
        <w:spacing w:line="360" w:lineRule="auto"/>
        <w:jc w:val="both"/>
        <w:rPr>
          <w:rFonts w:ascii="Arial" w:hAnsi="Arial" w:cs="Arial"/>
          <w:sz w:val="24"/>
          <w:szCs w:val="24"/>
        </w:rPr>
      </w:pPr>
      <w:r w:rsidRPr="00AE2CBF">
        <w:rPr>
          <w:rFonts w:ascii="Arial" w:hAnsi="Arial" w:cs="Arial"/>
          <w:sz w:val="24"/>
          <w:szCs w:val="24"/>
        </w:rPr>
        <w:t xml:space="preserve">The evidence presented in the literature reflects a shared understanding that </w:t>
      </w:r>
      <w:r w:rsidR="00716841" w:rsidRPr="00716841">
        <w:rPr>
          <w:rFonts w:ascii="Arial" w:hAnsi="Arial" w:cs="Arial"/>
          <w:sz w:val="24"/>
          <w:szCs w:val="24"/>
        </w:rPr>
        <w:t>somatic techniques</w:t>
      </w:r>
      <w:r>
        <w:rPr>
          <w:rFonts w:ascii="Arial" w:hAnsi="Arial" w:cs="Arial"/>
          <w:sz w:val="24"/>
          <w:szCs w:val="24"/>
        </w:rPr>
        <w:t xml:space="preserve">, </w:t>
      </w:r>
      <w:r w:rsidR="00716841" w:rsidRPr="00716841">
        <w:rPr>
          <w:rFonts w:ascii="Arial" w:hAnsi="Arial" w:cs="Arial"/>
          <w:sz w:val="24"/>
          <w:szCs w:val="24"/>
        </w:rPr>
        <w:t>such as breathing exercises and progressive relaxation</w:t>
      </w:r>
      <w:r>
        <w:rPr>
          <w:rFonts w:ascii="Arial" w:hAnsi="Arial" w:cs="Arial"/>
          <w:sz w:val="24"/>
          <w:szCs w:val="24"/>
        </w:rPr>
        <w:t xml:space="preserve">, </w:t>
      </w:r>
      <w:r w:rsidR="00716841" w:rsidRPr="00716841">
        <w:rPr>
          <w:rFonts w:ascii="Arial" w:hAnsi="Arial" w:cs="Arial"/>
          <w:sz w:val="24"/>
          <w:szCs w:val="24"/>
        </w:rPr>
        <w:t>are valuable tools, particularly in time-limited environments</w:t>
      </w:r>
      <w:r w:rsidR="000D6C77">
        <w:rPr>
          <w:rFonts w:ascii="Arial" w:hAnsi="Arial" w:cs="Arial"/>
          <w:sz w:val="24"/>
          <w:szCs w:val="24"/>
        </w:rPr>
        <w:t xml:space="preserve"> </w:t>
      </w:r>
      <w:r w:rsidR="000D6C77">
        <w:rPr>
          <w:rFonts w:ascii="Arial" w:hAnsi="Arial" w:cs="Arial"/>
          <w:sz w:val="24"/>
          <w:szCs w:val="24"/>
        </w:rPr>
        <w:fldChar w:fldCharType="begin"/>
      </w:r>
      <w:r w:rsidR="000D6C77">
        <w:rPr>
          <w:rFonts w:ascii="Arial" w:hAnsi="Arial" w:cs="Arial"/>
          <w:sz w:val="24"/>
          <w:szCs w:val="24"/>
        </w:rPr>
        <w:instrText xml:space="preserve"> ADDIN ZOTERO_ITEM CSL_CITATION {"citationID":"qSKM7dHy","properties":{"formattedCitation":"(Ramos, 2013; Kenny and Halls, 2018b)","plainCitation":"(Ramos, 2013; Kenny and Halls, 2018b)","noteIndex":0},"citationItems":[{"id":1044,"uris":["http://zotero.org/users/local/hN5mtYaY/items/668Y5FU2"],"itemData":{"id":1044,"type":"paper-conference","abstract":"This paper reviews the most relevant literature in the field of stage fright associated with musical performance, both in adulthood as in childhood. It also presents the findings of studies that have analyzed this feature of personality at schools and highlights the reasons causing stage fright, such as: pressure in presence of parents and other students, perfectionism, and low resistance to stress.\n            On the other hand, this paper relates the development of stage fright with the loss of self-esteem, which affects child's education at large. Potential therapies that could be implemented in the classroom are discussed in order to cope with this anxiety. Breath techniques are the most important strategies because of their efficiency and ease of application.\n            Finally, a Decalogue is established as a guide for action to combat performance anxiety which generalist and music teachers could take into account ahead of a first play at schools.","container-title":"Revista Internacional de Educación Musical","DOI":"10.12967/RIEM-2013-1-p023-030","language":"en","note":"ISSN: 2307-4841, 2307-4841\nissue: 1\njournalAbbreviation: Revista Internacional de Educación Musical","page":"23-30","source":"Semantic Scholar","title":"Validity and Efficiency of Breath Exercises to reduce stage fright at the music classroom","URL":"https://journals.sagepub.com/doi/10.12967/RIEM-2013-1-p023-030","volume":"1","author":[{"family":"Ramos","given":"Pablo Ramos"}],"accessed":{"date-parts":[["2025",5,9]]},"issued":{"date-parts":[["2013",7]]}}},{"id":1056,"uris":["http://zotero.org/users/local/hN5mtYaY/items/D78NW7GG"],"itemData":{"id":1056,"type":"article-journal","abstract":"This study presents the development, administration and evaluation of two brief group interventions for music performance anxiety (MPA) aimed at reducing anxiety and improving performance quality. A cognitive behavioural therapy intervention was developed based on an existing empirically-supported treatment Chilled (Rapee et al., 2006), focusing on cognitive, physiological and behavioural symptoms. The second treatment, anxiety sensitivity reduction, targeted primarily physiological symptoms and included relaxation strategies. Interventions were administered in a workshop format over one day with four intervention sessions, preceded by a pedagogic practice skills session that functioned as a control/placebo intervention. A quasi-experimental group randomization design compared the interventions in a heterogeneous sample of community musicians. Sixty-eight participants completed measures of trait anxiety, anxiety sensitivity, depression, and MPA. Participants performed four times (pre- and post-placebo, post-treatment and follow-up) and were assessed for state anxiety and performance quality at each performance. Results indicated that both interventions offered moderately significant gains for the musicians: anxiety was reduced and performance quality improved after each intervention and changes were maintained at follow-up. Anxiety sensitivity reduction showed a trend to exceed the CBT-based interventions, but a larger, higher-powered study is needed to confirm this advantage.","container-title":"Psychology of Music","DOI":"10.1177/0305735617702536","ISSN":"0305-7356","issue":"1","language":"EN","note":"publisher: SAGE Publications Ltd","page":"66-83","source":"SAGE Journals","title":"Development and evaluation of two brief group interventions for music performance anxiety in community musicians","volume":"46","author":[{"family":"Kenny","given":"Dianna T."},{"family":"Halls","given":"Naomi"}],"issued":{"date-parts":[["2018",1,1]]}}}],"schema":"https://github.com/citation-style-language/schema/raw/master/csl-citation.json"} </w:instrText>
      </w:r>
      <w:r w:rsidR="000D6C77">
        <w:rPr>
          <w:rFonts w:ascii="Arial" w:hAnsi="Arial" w:cs="Arial"/>
          <w:sz w:val="24"/>
          <w:szCs w:val="24"/>
        </w:rPr>
        <w:fldChar w:fldCharType="separate"/>
      </w:r>
      <w:r w:rsidR="000D6C77" w:rsidRPr="000D6C77">
        <w:rPr>
          <w:rFonts w:ascii="Arial" w:hAnsi="Arial" w:cs="Arial"/>
          <w:sz w:val="24"/>
        </w:rPr>
        <w:t>(Ramos, 2013; Kenny and Halls, 2018b)</w:t>
      </w:r>
      <w:r w:rsidR="000D6C77">
        <w:rPr>
          <w:rFonts w:ascii="Arial" w:hAnsi="Arial" w:cs="Arial"/>
          <w:sz w:val="24"/>
          <w:szCs w:val="24"/>
        </w:rPr>
        <w:fldChar w:fldCharType="end"/>
      </w:r>
      <w:r w:rsidR="00716841" w:rsidRPr="00716841">
        <w:rPr>
          <w:rFonts w:ascii="Arial" w:hAnsi="Arial" w:cs="Arial"/>
          <w:sz w:val="24"/>
          <w:szCs w:val="24"/>
        </w:rPr>
        <w:t>. However, I suggest their effectiveness is significantly enhanced when used as part of a broader, multidimensional strategy rather than in isolation. While not as impactful on their own as CBT-based methods, these body-based practices remain practical and relevant in resource-constrained educational settings.</w:t>
      </w:r>
    </w:p>
    <w:p w14:paraId="45106691" w14:textId="77777777" w:rsidR="00716841" w:rsidRPr="00716841" w:rsidRDefault="00716841" w:rsidP="00421D8C">
      <w:pPr>
        <w:shd w:val="clear" w:color="auto" w:fill="FFFFFF" w:themeFill="background1"/>
        <w:spacing w:line="360" w:lineRule="auto"/>
        <w:jc w:val="both"/>
        <w:rPr>
          <w:rFonts w:ascii="Arial" w:hAnsi="Arial" w:cs="Arial"/>
          <w:sz w:val="24"/>
          <w:szCs w:val="24"/>
        </w:rPr>
      </w:pPr>
      <w:r w:rsidRPr="00716841">
        <w:rPr>
          <w:rFonts w:ascii="Arial" w:hAnsi="Arial" w:cs="Arial"/>
          <w:sz w:val="24"/>
          <w:szCs w:val="24"/>
        </w:rPr>
        <w:t xml:space="preserve">Ultimately, </w:t>
      </w:r>
      <w:r w:rsidR="00AE2CBF">
        <w:rPr>
          <w:rFonts w:ascii="Arial" w:hAnsi="Arial" w:cs="Arial"/>
          <w:sz w:val="24"/>
          <w:szCs w:val="24"/>
        </w:rPr>
        <w:t>t</w:t>
      </w:r>
      <w:r w:rsidR="00AE2CBF" w:rsidRPr="00AE2CBF">
        <w:rPr>
          <w:rFonts w:ascii="Arial" w:hAnsi="Arial" w:cs="Arial"/>
          <w:sz w:val="24"/>
          <w:szCs w:val="24"/>
        </w:rPr>
        <w:t xml:space="preserve">he theoretical and empirical sources explored </w:t>
      </w:r>
      <w:r w:rsidR="00AE2CBF">
        <w:rPr>
          <w:rFonts w:ascii="Arial" w:hAnsi="Arial" w:cs="Arial"/>
          <w:sz w:val="24"/>
          <w:szCs w:val="24"/>
        </w:rPr>
        <w:t>in this study</w:t>
      </w:r>
      <w:r w:rsidR="00AE2CBF" w:rsidRPr="00AE2CBF">
        <w:rPr>
          <w:rFonts w:ascii="Arial" w:hAnsi="Arial" w:cs="Arial"/>
          <w:sz w:val="24"/>
          <w:szCs w:val="24"/>
        </w:rPr>
        <w:t xml:space="preserve"> resonate with my own professional view that </w:t>
      </w:r>
      <w:r w:rsidRPr="00716841">
        <w:rPr>
          <w:rFonts w:ascii="Arial" w:hAnsi="Arial" w:cs="Arial"/>
          <w:sz w:val="24"/>
          <w:szCs w:val="24"/>
        </w:rPr>
        <w:t>the teacher’s role is central to the success of any MPA intervention</w:t>
      </w:r>
      <w:r w:rsidR="000D6C77">
        <w:rPr>
          <w:rFonts w:ascii="Arial" w:hAnsi="Arial" w:cs="Arial"/>
          <w:sz w:val="24"/>
          <w:szCs w:val="24"/>
        </w:rPr>
        <w:t xml:space="preserve"> </w:t>
      </w:r>
      <w:r w:rsidR="00C4678C">
        <w:rPr>
          <w:rFonts w:ascii="Arial" w:hAnsi="Arial" w:cs="Arial"/>
          <w:sz w:val="24"/>
          <w:szCs w:val="24"/>
        </w:rPr>
        <w:fldChar w:fldCharType="begin"/>
      </w:r>
      <w:r w:rsidR="00C4678C">
        <w:rPr>
          <w:rFonts w:ascii="Arial" w:hAnsi="Arial" w:cs="Arial"/>
          <w:sz w:val="24"/>
          <w:szCs w:val="24"/>
        </w:rPr>
        <w:instrText xml:space="preserve"> ADDIN ZOTERO_ITEM CSL_CITATION {"citationID":"h1rCazTI","properties":{"formattedCitation":"(Boyett, 2020)","plainCitation":"(Boyett, 2020)","noteIndex":0},"citationItems":[{"id":851,"uris":["http://zotero.org/users/local/hN5mtYaY/items/2RC7823L"],"itemData":{"id":851,"type":"article-journal","container-title":"MTNA e-Journal","title":"“Music Performance Anxiety, The Role Of Teachers In Addressing Anxiety,”","author":[{"family":"Boyett","given":"Clara"}],"issued":{"date-parts":[["2020"]]}}}],"schema":"https://github.com/citation-style-language/schema/raw/master/csl-citation.json"} </w:instrText>
      </w:r>
      <w:r w:rsidR="00C4678C">
        <w:rPr>
          <w:rFonts w:ascii="Arial" w:hAnsi="Arial" w:cs="Arial"/>
          <w:sz w:val="24"/>
          <w:szCs w:val="24"/>
        </w:rPr>
        <w:fldChar w:fldCharType="separate"/>
      </w:r>
      <w:r w:rsidR="00C4678C" w:rsidRPr="00C4678C">
        <w:rPr>
          <w:rFonts w:ascii="Arial" w:hAnsi="Arial" w:cs="Arial"/>
          <w:sz w:val="24"/>
        </w:rPr>
        <w:t>(Boyett, 2020)</w:t>
      </w:r>
      <w:r w:rsidR="00C4678C">
        <w:rPr>
          <w:rFonts w:ascii="Arial" w:hAnsi="Arial" w:cs="Arial"/>
          <w:sz w:val="24"/>
          <w:szCs w:val="24"/>
        </w:rPr>
        <w:fldChar w:fldCharType="end"/>
      </w:r>
      <w:r w:rsidRPr="00716841">
        <w:rPr>
          <w:rFonts w:ascii="Arial" w:hAnsi="Arial" w:cs="Arial"/>
          <w:sz w:val="24"/>
          <w:szCs w:val="24"/>
        </w:rPr>
        <w:t>. Students routinely seek not only technical instruction but also emotional guidance from their educators</w:t>
      </w:r>
      <w:r w:rsidR="00C4678C">
        <w:rPr>
          <w:rFonts w:ascii="Arial" w:hAnsi="Arial" w:cs="Arial"/>
          <w:sz w:val="24"/>
          <w:szCs w:val="24"/>
        </w:rPr>
        <w:t xml:space="preserve"> </w:t>
      </w:r>
      <w:r w:rsidR="00C4678C">
        <w:rPr>
          <w:rFonts w:ascii="Arial" w:hAnsi="Arial" w:cs="Arial"/>
          <w:sz w:val="24"/>
          <w:szCs w:val="24"/>
        </w:rPr>
        <w:fldChar w:fldCharType="begin"/>
      </w:r>
      <w:r w:rsidR="00C4678C">
        <w:rPr>
          <w:rFonts w:ascii="Arial" w:hAnsi="Arial" w:cs="Arial"/>
          <w:sz w:val="24"/>
          <w:szCs w:val="24"/>
        </w:rPr>
        <w:instrText xml:space="preserve"> ADDIN ZOTERO_ITEM CSL_CITATION {"citationID":"4dw8rFG0","properties":{"formattedCitation":"(Nagel, 2009)","plainCitation":"(Nagel, 2009)","noteIndex":0},"citationItems":[{"id":638,"uris":["http://zotero.org/users/local/hN5mtYaY/items/UKMYVTJF"],"itemData":{"id":638,"type":"article-journal","container-title":"Medical Problems of Performing Artists","ISSN":"08851158","issue":"1","language":"English","license":"Copyright Science &amp; Medicine Inc. Mar 2009","note":"number-of-pages: 3\npublisher-place: Narberth, United States\npublisher: Science &amp; Medicine Inc.","page":"15-17","source":"ProQuest","title":"How to Destroy Creativity in Music Students: The Need for Emotional and Psychological Support Services in Music Schools","title-short":"How to Destroy Creativity in Music Students","volume":"24","author":[{"family":"Nagel","given":"Julie Jaffee"}],"issued":{"date-parts":[["2009",3]]}}}],"schema":"https://github.com/citation-style-language/schema/raw/master/csl-citation.json"} </w:instrText>
      </w:r>
      <w:r w:rsidR="00C4678C">
        <w:rPr>
          <w:rFonts w:ascii="Arial" w:hAnsi="Arial" w:cs="Arial"/>
          <w:sz w:val="24"/>
          <w:szCs w:val="24"/>
        </w:rPr>
        <w:fldChar w:fldCharType="separate"/>
      </w:r>
      <w:r w:rsidR="00C4678C" w:rsidRPr="00C4678C">
        <w:rPr>
          <w:rFonts w:ascii="Arial" w:hAnsi="Arial" w:cs="Arial"/>
          <w:sz w:val="24"/>
        </w:rPr>
        <w:t>(Nagel, 2009)</w:t>
      </w:r>
      <w:r w:rsidR="00C4678C">
        <w:rPr>
          <w:rFonts w:ascii="Arial" w:hAnsi="Arial" w:cs="Arial"/>
          <w:sz w:val="24"/>
          <w:szCs w:val="24"/>
        </w:rPr>
        <w:fldChar w:fldCharType="end"/>
      </w:r>
      <w:r w:rsidRPr="00716841">
        <w:rPr>
          <w:rFonts w:ascii="Arial" w:hAnsi="Arial" w:cs="Arial"/>
          <w:sz w:val="24"/>
          <w:szCs w:val="24"/>
        </w:rPr>
        <w:t>. Empowering teachers with the appropriate training and resources to support students psychologically has the potential to foster more supportive, inclusive, and emotionally safe learning environments</w:t>
      </w:r>
      <w:r w:rsidR="000D6C77">
        <w:rPr>
          <w:rFonts w:ascii="Arial" w:hAnsi="Arial" w:cs="Arial"/>
          <w:sz w:val="24"/>
          <w:szCs w:val="24"/>
        </w:rPr>
        <w:t xml:space="preserve"> </w:t>
      </w:r>
      <w:r w:rsidR="00C4678C">
        <w:rPr>
          <w:rFonts w:ascii="Arial" w:hAnsi="Arial" w:cs="Arial"/>
          <w:sz w:val="24"/>
          <w:szCs w:val="24"/>
        </w:rPr>
        <w:fldChar w:fldCharType="begin"/>
      </w:r>
      <w:r w:rsidR="00C4678C">
        <w:rPr>
          <w:rFonts w:ascii="Arial" w:hAnsi="Arial" w:cs="Arial"/>
          <w:sz w:val="24"/>
          <w:szCs w:val="24"/>
        </w:rPr>
        <w:instrText xml:space="preserve"> ADDIN ZOTERO_ITEM CSL_CITATION {"citationID":"OJN5Em9M","properties":{"formattedCitation":"(MacAfee and Comeau, 2023; Mazzarolo, Burwell and Schubert, 2023)","plainCitation":"(MacAfee and Comeau, 2023; Mazzarolo, Burwell and Schubert, 2023)","noteIndex":0},"citationItems":[{"id":921,"uris":["http://zotero.org/users/local/hN5mtYaY/items/7Q9BR96A"],"itemData":{"id":921,"type":"article-journal","abstract":"The purpose of this study was to explore music performance anxiety (MPA) from music teachers’ perspectives by identifying and describing common coping strategies teachers use to support students with MPA. A quantitative content analysis of scientific and non-scientific MPA literature identified preparation, open communication, realistic expectations, exposure therapy and deep breathing as the five most common coping strategies mentioned in the literature. Qualitative thematic analyses of existing literature and interview transcripts from five piano teacher participants provided descriptions of the five commonly identified coping strategies. A comparison of literature and interview results suggests a gap between research knowledge of MPA and practical teaching application. While music teachers employ a variety of strategies to help students cope with MPA, they may also benefit from formal MPA training opportunities grounded in research to provide additional resources for effectively managing students with MPA.","container-title":"British Journal of Music Education","DOI":"10.1017/S0265051722000146","ISSN":"02650517","issue":"1","language":"English","license":"© The Author(s), 2022. Published by Cambridge University Press","note":"number-of-pages: 34-53\npublisher-place: Cambridge, United Kingdom\npublisher: Cambridge University Press\nsection: Article","page":"34-53","source":"ProQuest","title":"Teacher perspective on music performance anxiety: an exploration of coping strategies used by music teachers","title-short":"Teacher perspective on music performance anxiety","volume":"40","author":[{"family":"MacAfee","given":"Erin"},{"family":"Comeau","given":"Gilles"}],"issued":{"date-parts":[["2023",3]]}}},{"id":1036,"uris":["http://zotero.org/users/local/hN5mtYaY/items/28QCEEQG"],"itemData":{"id":1036,"type":"article-journal","abstract":"Performance anxiety is a widespread issue that can affect musicians across their education and career. It can develop in musicians from a young age leading to short-term and long-term impacts on not only their performance, but also their wellbeing. There is potentially a significant role that music educators hold in the development of their students and how they handle performance anxiety, though it is not clear how, or how often, teachers support their students in this way. Through a PRISMA-based systematic review, this paper explores what is known about the strategies used by music educators to help manage their students' performance anxiety. The paper also discusses the role that instrumental/vocal tutors and school classroom teachers might hold in this area. The findings show that music educators are implementing multiple strategies to assist their students with MPA, with the most common being simulated performance, positive outlook, preparation and breathing. It was found that there is a role for teachers to address MPA management with their students. While some students prefer to receive MPA support from experts in the field of psychology, students still expressed a need to have this support come from their teacher. Though many teachers felt a need for additional training for them to help their students cope with MPA, many of the strategies were found to be multifunctional and embedded into the regular teaching practices or teaching styles of the educator. Although these strategies might be implicit rather than explicit, the findings suggest that music educators could represent a valuable source of support for MPA management.","container-title":"Frontiers in Psychology","DOI":"10.3389/fpsyg.2023.1205150","ISSN":"1664-1078","journalAbbreviation":"Front. Psychol.","language":"English","note":"publisher: Frontiers","source":"Frontiers","title":"Teachers' approaches to music performance anxiety management: a systematic review","title-short":"Teachers' approaches to music performance anxiety management","URL":"https://www.frontiersin.orghttps://www.frontiersin.org/journals/psychology/articles/10.3389/fpsyg.2023.1205150/full","volume":"14","author":[{"family":"Mazzarolo","given":"Isabella"},{"family":"Burwell","given":"Kim"},{"family":"Schubert","given":"Emery"}],"accessed":{"date-parts":[["2025",5,9]]},"issued":{"date-parts":[["2023",7,31]]}}}],"schema":"https://github.com/citation-style-language/schema/raw/master/csl-citation.json"} </w:instrText>
      </w:r>
      <w:r w:rsidR="00C4678C">
        <w:rPr>
          <w:rFonts w:ascii="Arial" w:hAnsi="Arial" w:cs="Arial"/>
          <w:sz w:val="24"/>
          <w:szCs w:val="24"/>
        </w:rPr>
        <w:fldChar w:fldCharType="separate"/>
      </w:r>
      <w:r w:rsidR="00C4678C" w:rsidRPr="00C4678C">
        <w:rPr>
          <w:rFonts w:ascii="Arial" w:hAnsi="Arial" w:cs="Arial"/>
          <w:sz w:val="24"/>
        </w:rPr>
        <w:t>(MacAfee and Comeau, 2023; Mazzarolo, Burwell and Schubert, 2023)</w:t>
      </w:r>
      <w:r w:rsidR="00C4678C">
        <w:rPr>
          <w:rFonts w:ascii="Arial" w:hAnsi="Arial" w:cs="Arial"/>
          <w:sz w:val="24"/>
          <w:szCs w:val="24"/>
        </w:rPr>
        <w:fldChar w:fldCharType="end"/>
      </w:r>
      <w:r w:rsidRPr="00716841">
        <w:rPr>
          <w:rFonts w:ascii="Arial" w:hAnsi="Arial" w:cs="Arial"/>
          <w:sz w:val="24"/>
          <w:szCs w:val="24"/>
        </w:rPr>
        <w:t>. For these reasons, I argue that the meaningful implementation of MPA strategies in Portuguese arts education must involve both structural reforms and the integration of teacher training, anchored in a holistic, context-sensitive approach.</w:t>
      </w:r>
    </w:p>
    <w:p w14:paraId="35A588EF" w14:textId="22735D4F" w:rsidR="00902A48" w:rsidRPr="00902A48" w:rsidRDefault="00CE61D2" w:rsidP="005E7388">
      <w:pPr>
        <w:shd w:val="clear" w:color="auto" w:fill="FFFFFF" w:themeFill="background1"/>
        <w:spacing w:line="360" w:lineRule="auto"/>
        <w:jc w:val="both"/>
        <w:rPr>
          <w:rFonts w:ascii="Arial" w:hAnsi="Arial" w:cs="Arial"/>
          <w:sz w:val="24"/>
          <w:szCs w:val="24"/>
        </w:rPr>
      </w:pPr>
      <w:r w:rsidRPr="007C0936">
        <w:rPr>
          <w:rFonts w:ascii="Arial" w:hAnsi="Arial" w:cs="Arial"/>
          <w:sz w:val="24"/>
          <w:szCs w:val="24"/>
        </w:rPr>
        <w:t xml:space="preserve">Although this research does not yet include empirical fieldwork, it establishes a critical foundation for future investigation. Ultimately, this work aims to inform the development of educational and institutional policies that recognize MPA as a legitimate and pervasive challenge within artistic training. The long-term goal is to assess the potential for integrating MPA management strategies into </w:t>
      </w:r>
      <w:r w:rsidRPr="007C0936">
        <w:rPr>
          <w:rFonts w:ascii="Arial" w:hAnsi="Arial" w:cs="Arial"/>
          <w:sz w:val="24"/>
          <w:szCs w:val="24"/>
        </w:rPr>
        <w:lastRenderedPageBreak/>
        <w:t>performing arts education and to advocate for pedagogical reform that aligns with the realities of Portugal’s artistic and professional landscape</w:t>
      </w:r>
      <w:r w:rsidR="005E7388">
        <w:rPr>
          <w:rFonts w:ascii="Arial" w:hAnsi="Arial" w:cs="Arial"/>
          <w:sz w:val="24"/>
          <w:szCs w:val="24"/>
        </w:rPr>
        <w:t>.</w:t>
      </w:r>
    </w:p>
    <w:p w14:paraId="2A831390" w14:textId="77777777" w:rsidR="005E6A20" w:rsidRDefault="005E6A20" w:rsidP="00EC64D2">
      <w:pPr>
        <w:spacing w:line="360" w:lineRule="auto"/>
        <w:rPr>
          <w:rFonts w:ascii="Arial" w:hAnsi="Arial" w:cs="Arial"/>
          <w:sz w:val="24"/>
          <w:szCs w:val="24"/>
        </w:rPr>
      </w:pPr>
    </w:p>
    <w:p w14:paraId="4ECE1C20" w14:textId="77777777" w:rsidR="00505E98" w:rsidRDefault="00505E98" w:rsidP="00EC64D2">
      <w:pPr>
        <w:spacing w:line="360" w:lineRule="auto"/>
        <w:rPr>
          <w:rFonts w:ascii="Arial" w:hAnsi="Arial" w:cs="Arial"/>
          <w:sz w:val="24"/>
          <w:szCs w:val="24"/>
        </w:rPr>
      </w:pPr>
    </w:p>
    <w:p w14:paraId="7CDEDB66" w14:textId="77777777" w:rsidR="00505E98" w:rsidRDefault="00505E98" w:rsidP="00EC64D2">
      <w:pPr>
        <w:spacing w:line="360" w:lineRule="auto"/>
        <w:rPr>
          <w:rFonts w:ascii="Arial" w:hAnsi="Arial" w:cs="Arial"/>
          <w:sz w:val="24"/>
          <w:szCs w:val="24"/>
        </w:rPr>
      </w:pPr>
    </w:p>
    <w:p w14:paraId="201E1F3E" w14:textId="77777777" w:rsidR="00505E98" w:rsidRDefault="00505E98" w:rsidP="00EC64D2">
      <w:pPr>
        <w:spacing w:line="360" w:lineRule="auto"/>
        <w:rPr>
          <w:rFonts w:ascii="Arial" w:hAnsi="Arial" w:cs="Arial"/>
          <w:sz w:val="24"/>
          <w:szCs w:val="24"/>
        </w:rPr>
      </w:pPr>
    </w:p>
    <w:p w14:paraId="4C13857D" w14:textId="77777777" w:rsidR="00505E98" w:rsidRDefault="00505E98" w:rsidP="00EC64D2">
      <w:pPr>
        <w:spacing w:line="360" w:lineRule="auto"/>
        <w:rPr>
          <w:rFonts w:ascii="Arial" w:hAnsi="Arial" w:cs="Arial"/>
          <w:sz w:val="24"/>
          <w:szCs w:val="24"/>
        </w:rPr>
      </w:pPr>
    </w:p>
    <w:p w14:paraId="0745BF00" w14:textId="77777777" w:rsidR="00505E98" w:rsidRDefault="00505E98" w:rsidP="00EC64D2">
      <w:pPr>
        <w:spacing w:line="360" w:lineRule="auto"/>
        <w:rPr>
          <w:rFonts w:ascii="Arial" w:hAnsi="Arial" w:cs="Arial"/>
          <w:sz w:val="24"/>
          <w:szCs w:val="24"/>
        </w:rPr>
      </w:pPr>
    </w:p>
    <w:p w14:paraId="06BDB05E" w14:textId="77777777" w:rsidR="00505E98" w:rsidRDefault="00505E98" w:rsidP="00EC64D2">
      <w:pPr>
        <w:spacing w:line="360" w:lineRule="auto"/>
        <w:rPr>
          <w:rFonts w:ascii="Arial" w:hAnsi="Arial" w:cs="Arial"/>
          <w:sz w:val="24"/>
          <w:szCs w:val="24"/>
        </w:rPr>
      </w:pPr>
    </w:p>
    <w:p w14:paraId="119277F3" w14:textId="77777777" w:rsidR="00505E98" w:rsidRDefault="00505E98" w:rsidP="00EC64D2">
      <w:pPr>
        <w:spacing w:line="360" w:lineRule="auto"/>
        <w:rPr>
          <w:rFonts w:ascii="Arial" w:hAnsi="Arial" w:cs="Arial"/>
          <w:sz w:val="24"/>
          <w:szCs w:val="24"/>
        </w:rPr>
      </w:pPr>
    </w:p>
    <w:p w14:paraId="7E68C76D" w14:textId="77777777" w:rsidR="00505E98" w:rsidRDefault="00505E98" w:rsidP="00EC64D2">
      <w:pPr>
        <w:spacing w:line="360" w:lineRule="auto"/>
        <w:rPr>
          <w:rFonts w:ascii="Arial" w:hAnsi="Arial" w:cs="Arial"/>
          <w:sz w:val="24"/>
          <w:szCs w:val="24"/>
        </w:rPr>
      </w:pPr>
    </w:p>
    <w:p w14:paraId="63FF85E0" w14:textId="77777777" w:rsidR="00505E98" w:rsidRDefault="00505E98" w:rsidP="00EC64D2">
      <w:pPr>
        <w:spacing w:line="360" w:lineRule="auto"/>
        <w:rPr>
          <w:rFonts w:ascii="Arial" w:hAnsi="Arial" w:cs="Arial"/>
          <w:sz w:val="24"/>
          <w:szCs w:val="24"/>
        </w:rPr>
      </w:pPr>
    </w:p>
    <w:p w14:paraId="4530DE4C" w14:textId="77777777" w:rsidR="00505E98" w:rsidRDefault="00505E98" w:rsidP="00EC64D2">
      <w:pPr>
        <w:spacing w:line="360" w:lineRule="auto"/>
        <w:rPr>
          <w:rFonts w:ascii="Arial" w:hAnsi="Arial" w:cs="Arial"/>
          <w:sz w:val="24"/>
          <w:szCs w:val="24"/>
        </w:rPr>
      </w:pPr>
    </w:p>
    <w:p w14:paraId="12F6FEB5" w14:textId="77777777" w:rsidR="00505E98" w:rsidRDefault="00505E98" w:rsidP="00EC64D2">
      <w:pPr>
        <w:spacing w:line="360" w:lineRule="auto"/>
        <w:rPr>
          <w:rFonts w:ascii="Arial" w:hAnsi="Arial" w:cs="Arial"/>
          <w:sz w:val="24"/>
          <w:szCs w:val="24"/>
        </w:rPr>
      </w:pPr>
    </w:p>
    <w:p w14:paraId="2027CB8F" w14:textId="77777777" w:rsidR="00505E98" w:rsidRDefault="00505E98" w:rsidP="00EC64D2">
      <w:pPr>
        <w:spacing w:line="360" w:lineRule="auto"/>
        <w:rPr>
          <w:rFonts w:ascii="Arial" w:hAnsi="Arial" w:cs="Arial"/>
          <w:sz w:val="24"/>
          <w:szCs w:val="24"/>
        </w:rPr>
      </w:pPr>
    </w:p>
    <w:p w14:paraId="1D723CAB" w14:textId="77777777" w:rsidR="00505E98" w:rsidRDefault="00505E98" w:rsidP="00EC64D2">
      <w:pPr>
        <w:spacing w:line="360" w:lineRule="auto"/>
        <w:rPr>
          <w:rFonts w:ascii="Arial" w:hAnsi="Arial" w:cs="Arial"/>
          <w:sz w:val="24"/>
          <w:szCs w:val="24"/>
        </w:rPr>
      </w:pPr>
    </w:p>
    <w:p w14:paraId="6267765B" w14:textId="77777777" w:rsidR="00505E98" w:rsidRDefault="00505E98" w:rsidP="00EC64D2">
      <w:pPr>
        <w:spacing w:line="360" w:lineRule="auto"/>
        <w:rPr>
          <w:rFonts w:ascii="Arial" w:hAnsi="Arial" w:cs="Arial"/>
          <w:sz w:val="24"/>
          <w:szCs w:val="24"/>
        </w:rPr>
      </w:pPr>
    </w:p>
    <w:p w14:paraId="122B343F" w14:textId="77777777" w:rsidR="00505E98" w:rsidRDefault="00505E98" w:rsidP="00EC64D2">
      <w:pPr>
        <w:spacing w:line="360" w:lineRule="auto"/>
        <w:rPr>
          <w:rFonts w:ascii="Arial" w:hAnsi="Arial" w:cs="Arial"/>
          <w:sz w:val="24"/>
          <w:szCs w:val="24"/>
        </w:rPr>
      </w:pPr>
    </w:p>
    <w:p w14:paraId="31E19D0B" w14:textId="77777777" w:rsidR="00505E98" w:rsidRDefault="00505E98" w:rsidP="00EC64D2">
      <w:pPr>
        <w:spacing w:line="360" w:lineRule="auto"/>
        <w:rPr>
          <w:rFonts w:ascii="Arial" w:hAnsi="Arial" w:cs="Arial"/>
          <w:sz w:val="24"/>
          <w:szCs w:val="24"/>
        </w:rPr>
      </w:pPr>
    </w:p>
    <w:p w14:paraId="727B20E1" w14:textId="77777777" w:rsidR="00505E98" w:rsidRDefault="00505E98" w:rsidP="00EC64D2">
      <w:pPr>
        <w:spacing w:line="360" w:lineRule="auto"/>
        <w:rPr>
          <w:rFonts w:ascii="Arial" w:hAnsi="Arial" w:cs="Arial"/>
          <w:sz w:val="24"/>
          <w:szCs w:val="24"/>
        </w:rPr>
      </w:pPr>
    </w:p>
    <w:p w14:paraId="12971633" w14:textId="77777777" w:rsidR="00505E98" w:rsidRDefault="00505E98" w:rsidP="00EC64D2">
      <w:pPr>
        <w:spacing w:line="360" w:lineRule="auto"/>
        <w:rPr>
          <w:rFonts w:ascii="Arial" w:hAnsi="Arial" w:cs="Arial"/>
          <w:sz w:val="24"/>
          <w:szCs w:val="24"/>
        </w:rPr>
      </w:pPr>
    </w:p>
    <w:p w14:paraId="04AFB26B" w14:textId="77777777" w:rsidR="00505E98" w:rsidRDefault="00505E98" w:rsidP="00EC64D2">
      <w:pPr>
        <w:spacing w:line="360" w:lineRule="auto"/>
        <w:rPr>
          <w:rFonts w:ascii="Arial" w:hAnsi="Arial" w:cs="Arial"/>
          <w:sz w:val="24"/>
          <w:szCs w:val="24"/>
        </w:rPr>
      </w:pPr>
    </w:p>
    <w:p w14:paraId="6AB2774B" w14:textId="77777777" w:rsidR="00505E98" w:rsidRDefault="00505E98" w:rsidP="00EC64D2">
      <w:pPr>
        <w:spacing w:line="360" w:lineRule="auto"/>
        <w:rPr>
          <w:rFonts w:ascii="Arial" w:hAnsi="Arial" w:cs="Arial"/>
          <w:sz w:val="24"/>
          <w:szCs w:val="24"/>
        </w:rPr>
      </w:pPr>
    </w:p>
    <w:p w14:paraId="5D50A14F" w14:textId="77777777" w:rsidR="00505E98" w:rsidRDefault="00505E98" w:rsidP="00EC64D2">
      <w:pPr>
        <w:spacing w:line="360" w:lineRule="auto"/>
        <w:rPr>
          <w:rFonts w:ascii="Arial" w:hAnsi="Arial" w:cs="Arial"/>
          <w:sz w:val="24"/>
          <w:szCs w:val="24"/>
        </w:rPr>
      </w:pPr>
    </w:p>
    <w:p w14:paraId="0A8F7457" w14:textId="77777777" w:rsidR="00505E98" w:rsidRDefault="00505E98" w:rsidP="00EC64D2">
      <w:pPr>
        <w:spacing w:line="360" w:lineRule="auto"/>
        <w:rPr>
          <w:rFonts w:ascii="Arial" w:hAnsi="Arial" w:cs="Arial"/>
          <w:sz w:val="24"/>
          <w:szCs w:val="24"/>
        </w:rPr>
      </w:pPr>
    </w:p>
    <w:p w14:paraId="02FD487B" w14:textId="77777777" w:rsidR="00505E98" w:rsidRDefault="00505E98" w:rsidP="00EC64D2">
      <w:pPr>
        <w:spacing w:line="360" w:lineRule="auto"/>
        <w:rPr>
          <w:rFonts w:ascii="Arial" w:hAnsi="Arial" w:cs="Arial"/>
          <w:sz w:val="24"/>
          <w:szCs w:val="24"/>
        </w:rPr>
      </w:pPr>
    </w:p>
    <w:p w14:paraId="0FA207D2" w14:textId="77777777" w:rsidR="008E497B" w:rsidRDefault="008E497B" w:rsidP="008E497B">
      <w:pPr>
        <w:spacing w:line="360" w:lineRule="auto"/>
        <w:jc w:val="both"/>
        <w:rPr>
          <w:rFonts w:ascii="Arial" w:hAnsi="Arial" w:cs="Arial"/>
          <w:sz w:val="24"/>
          <w:szCs w:val="24"/>
        </w:rPr>
      </w:pPr>
    </w:p>
    <w:p w14:paraId="5612B38B" w14:textId="77777777" w:rsidR="008E497B" w:rsidRPr="00364868" w:rsidRDefault="00F10989" w:rsidP="00364868">
      <w:pPr>
        <w:tabs>
          <w:tab w:val="center" w:pos="4252"/>
        </w:tabs>
        <w:spacing w:line="360" w:lineRule="auto"/>
        <w:rPr>
          <w:rFonts w:ascii="Arial" w:hAnsi="Arial" w:cs="Arial"/>
          <w:sz w:val="24"/>
          <w:szCs w:val="24"/>
          <w:lang w:val="pt-PT"/>
        </w:rPr>
      </w:pPr>
      <w:r w:rsidRPr="00364868">
        <w:rPr>
          <w:rFonts w:ascii="Arial" w:hAnsi="Arial" w:cs="Arial"/>
          <w:sz w:val="24"/>
          <w:szCs w:val="24"/>
          <w:lang w:val="pt-PT"/>
        </w:rPr>
        <w:t>REFERENCE LIST:</w:t>
      </w:r>
      <w:r w:rsidR="00364868">
        <w:rPr>
          <w:rFonts w:ascii="Arial" w:hAnsi="Arial" w:cs="Arial"/>
          <w:sz w:val="24"/>
          <w:szCs w:val="24"/>
          <w:lang w:val="pt-PT"/>
        </w:rPr>
        <w:tab/>
      </w:r>
    </w:p>
    <w:p w14:paraId="267EB470" w14:textId="77777777" w:rsidR="008E497B" w:rsidRPr="00364868" w:rsidRDefault="008E497B" w:rsidP="008E497B">
      <w:pPr>
        <w:spacing w:line="360" w:lineRule="auto"/>
        <w:jc w:val="both"/>
        <w:rPr>
          <w:rFonts w:ascii="Arial" w:hAnsi="Arial" w:cs="Arial"/>
          <w:sz w:val="24"/>
          <w:szCs w:val="24"/>
          <w:lang w:val="pt-PT"/>
        </w:rPr>
      </w:pPr>
    </w:p>
    <w:p w14:paraId="65DCF777" w14:textId="77777777" w:rsidR="00B73E6D" w:rsidRPr="00364868" w:rsidRDefault="008E497B" w:rsidP="00B73E6D">
      <w:pPr>
        <w:pStyle w:val="Bibliografia"/>
        <w:rPr>
          <w:rFonts w:ascii="Arial" w:hAnsi="Arial" w:cs="Arial"/>
          <w:lang w:val="pt-PT"/>
        </w:rPr>
      </w:pPr>
      <w:r w:rsidRPr="00364868">
        <w:rPr>
          <w:rFonts w:ascii="Arial" w:hAnsi="Arial" w:cs="Arial"/>
          <w:sz w:val="24"/>
          <w:szCs w:val="24"/>
        </w:rPr>
        <w:fldChar w:fldCharType="begin"/>
      </w:r>
      <w:r w:rsidR="00B73E6D" w:rsidRPr="00364868">
        <w:rPr>
          <w:rFonts w:ascii="Arial" w:hAnsi="Arial" w:cs="Arial"/>
          <w:sz w:val="24"/>
          <w:szCs w:val="24"/>
          <w:lang w:val="pt-PT"/>
        </w:rPr>
        <w:instrText xml:space="preserve"> ADDIN ZOTERO_BIBL {"uncited":[],"omitted":[],"custom":[]} CSL_BIBLIOGRAPHY </w:instrText>
      </w:r>
      <w:r w:rsidRPr="00364868">
        <w:rPr>
          <w:rFonts w:ascii="Arial" w:hAnsi="Arial" w:cs="Arial"/>
          <w:sz w:val="24"/>
          <w:szCs w:val="24"/>
        </w:rPr>
        <w:fldChar w:fldCharType="separate"/>
      </w:r>
      <w:r w:rsidR="00B73E6D" w:rsidRPr="00364868">
        <w:rPr>
          <w:rFonts w:ascii="Arial" w:hAnsi="Arial" w:cs="Arial"/>
          <w:lang w:val="pt-PT"/>
        </w:rPr>
        <w:t xml:space="preserve">Amorim, M.I.T. (2015) </w:t>
      </w:r>
      <w:r w:rsidR="00B73E6D" w:rsidRPr="00364868">
        <w:rPr>
          <w:rFonts w:ascii="Arial" w:hAnsi="Arial" w:cs="Arial"/>
          <w:i/>
          <w:iCs/>
          <w:lang w:val="pt-PT"/>
        </w:rPr>
        <w:t>As disfunções temporomandibulares nos violinistas portugueses e a sua relação com a ansiedade do desempenho musical</w:t>
      </w:r>
      <w:r w:rsidR="00B73E6D" w:rsidRPr="00364868">
        <w:rPr>
          <w:rFonts w:ascii="Arial" w:hAnsi="Arial" w:cs="Arial"/>
          <w:lang w:val="pt-PT"/>
        </w:rPr>
        <w:t>. masterThesis. Available at: https://repositorio.ulisboa.pt/handle/10451/25396 (Accessed: 10 May 2025).</w:t>
      </w:r>
    </w:p>
    <w:p w14:paraId="690E74B5" w14:textId="77777777" w:rsidR="00B73E6D" w:rsidRPr="00364868" w:rsidRDefault="00B73E6D" w:rsidP="00B73E6D">
      <w:pPr>
        <w:pStyle w:val="Bibliografia"/>
        <w:rPr>
          <w:rFonts w:ascii="Arial" w:hAnsi="Arial" w:cs="Arial"/>
        </w:rPr>
      </w:pPr>
      <w:r w:rsidRPr="00364868">
        <w:rPr>
          <w:rFonts w:ascii="Arial" w:hAnsi="Arial" w:cs="Arial"/>
          <w:lang w:val="pt-PT"/>
        </w:rPr>
        <w:t xml:space="preserve">Araújo, J.M.P. (2013) </w:t>
      </w:r>
      <w:r w:rsidRPr="00364868">
        <w:rPr>
          <w:rFonts w:ascii="Arial" w:hAnsi="Arial" w:cs="Arial"/>
          <w:i/>
          <w:iCs/>
          <w:lang w:val="pt-PT"/>
        </w:rPr>
        <w:t>Ansiedade na performance em crianças e adolescentes: algumas estratégias pedagógicas de autocontrolo</w:t>
      </w:r>
      <w:r w:rsidRPr="00364868">
        <w:rPr>
          <w:rFonts w:ascii="Arial" w:hAnsi="Arial" w:cs="Arial"/>
          <w:lang w:val="pt-PT"/>
        </w:rPr>
        <w:t xml:space="preserve">. masterThesis. </w:t>
      </w:r>
      <w:r w:rsidRPr="00364868">
        <w:rPr>
          <w:rFonts w:ascii="Arial" w:hAnsi="Arial" w:cs="Arial"/>
        </w:rPr>
        <w:t>Available at: https://repositorium.sdum.uminho.pt/handle/1822/28951 (Accessed: 10 May 2025).</w:t>
      </w:r>
    </w:p>
    <w:p w14:paraId="6AA033D8" w14:textId="77777777" w:rsidR="00B73E6D" w:rsidRPr="00364868" w:rsidRDefault="00B73E6D" w:rsidP="00B73E6D">
      <w:pPr>
        <w:pStyle w:val="Bibliografia"/>
        <w:rPr>
          <w:rFonts w:ascii="Arial" w:hAnsi="Arial" w:cs="Arial"/>
        </w:rPr>
      </w:pPr>
      <w:r w:rsidRPr="00364868">
        <w:rPr>
          <w:rFonts w:ascii="Arial" w:hAnsi="Arial" w:cs="Arial"/>
        </w:rPr>
        <w:t xml:space="preserve">Barlow, D.H. (1988) </w:t>
      </w:r>
      <w:r w:rsidRPr="00364868">
        <w:rPr>
          <w:rFonts w:ascii="Arial" w:hAnsi="Arial" w:cs="Arial"/>
          <w:i/>
          <w:iCs/>
        </w:rPr>
        <w:t>Anxiety and its disorders : the nature and treatment of anxiety and panic</w:t>
      </w:r>
      <w:r w:rsidRPr="00364868">
        <w:rPr>
          <w:rFonts w:ascii="Arial" w:hAnsi="Arial" w:cs="Arial"/>
        </w:rPr>
        <w:t>. New York : Guilford Press. Available at: http://archive.org/details/anxietyitsdisord0000barl_j6d3 (Accessed: 25 November 2024).</w:t>
      </w:r>
    </w:p>
    <w:p w14:paraId="1EF1DB7C" w14:textId="77777777" w:rsidR="00B73E6D" w:rsidRPr="00364868" w:rsidRDefault="00B73E6D" w:rsidP="00B73E6D">
      <w:pPr>
        <w:pStyle w:val="Bibliografia"/>
        <w:rPr>
          <w:rFonts w:ascii="Arial" w:hAnsi="Arial" w:cs="Arial"/>
        </w:rPr>
      </w:pPr>
      <w:r w:rsidRPr="00364868">
        <w:rPr>
          <w:rFonts w:ascii="Arial" w:hAnsi="Arial" w:cs="Arial"/>
          <w:lang w:val="pt-PT"/>
        </w:rPr>
        <w:t xml:space="preserve">Barros, S. (2018) </w:t>
      </w:r>
      <w:r w:rsidRPr="00364868">
        <w:rPr>
          <w:rFonts w:ascii="Arial" w:hAnsi="Arial" w:cs="Arial"/>
          <w:i/>
          <w:iCs/>
          <w:lang w:val="pt-PT"/>
        </w:rPr>
        <w:t>Ansiedade na performance musical de música de câmara: o efeito do biofeedback como medida interventiva em quarteto de trombones</w:t>
      </w:r>
      <w:r w:rsidRPr="00364868">
        <w:rPr>
          <w:rFonts w:ascii="Arial" w:hAnsi="Arial" w:cs="Arial"/>
          <w:lang w:val="pt-PT"/>
        </w:rPr>
        <w:t xml:space="preserve">. masterThesis. </w:t>
      </w:r>
      <w:r w:rsidRPr="00364868">
        <w:rPr>
          <w:rFonts w:ascii="Arial" w:hAnsi="Arial" w:cs="Arial"/>
        </w:rPr>
        <w:t>Available at: https://ria.ua.pt/handle/10773/24430 (Accessed: 10 May 2025).</w:t>
      </w:r>
    </w:p>
    <w:p w14:paraId="3F7DDABF" w14:textId="77777777" w:rsidR="00B73E6D" w:rsidRPr="00364868" w:rsidRDefault="00B73E6D" w:rsidP="00B73E6D">
      <w:pPr>
        <w:pStyle w:val="Bibliografia"/>
        <w:rPr>
          <w:rFonts w:ascii="Arial" w:hAnsi="Arial" w:cs="Arial"/>
        </w:rPr>
      </w:pPr>
      <w:r w:rsidRPr="00364868">
        <w:rPr>
          <w:rFonts w:ascii="Arial" w:hAnsi="Arial" w:cs="Arial"/>
        </w:rPr>
        <w:t xml:space="preserve">Barros, S. </w:t>
      </w:r>
      <w:r w:rsidRPr="00364868">
        <w:rPr>
          <w:rFonts w:ascii="Arial" w:hAnsi="Arial" w:cs="Arial"/>
          <w:i/>
          <w:iCs/>
        </w:rPr>
        <w:t>et al.</w:t>
      </w:r>
      <w:r w:rsidRPr="00364868">
        <w:rPr>
          <w:rFonts w:ascii="Arial" w:hAnsi="Arial" w:cs="Arial"/>
        </w:rPr>
        <w:t xml:space="preserve"> (2022) ‘Characteristics of music performance anxiety among undergraduate music students: A systematic review’, </w:t>
      </w:r>
      <w:r w:rsidRPr="00364868">
        <w:rPr>
          <w:rFonts w:ascii="Arial" w:hAnsi="Arial" w:cs="Arial"/>
          <w:i/>
          <w:iCs/>
        </w:rPr>
        <w:t>Psychology of Music</w:t>
      </w:r>
      <w:r w:rsidRPr="00364868">
        <w:rPr>
          <w:rFonts w:ascii="Arial" w:hAnsi="Arial" w:cs="Arial"/>
        </w:rPr>
        <w:t>, 50(6), pp. 2021–2043. Available at: https://doi.org/10.1177/03057356211066967.</w:t>
      </w:r>
    </w:p>
    <w:p w14:paraId="5A3D9BCA" w14:textId="77777777" w:rsidR="00B73E6D" w:rsidRPr="00364868" w:rsidRDefault="00B73E6D" w:rsidP="00B73E6D">
      <w:pPr>
        <w:pStyle w:val="Bibliografia"/>
        <w:rPr>
          <w:rFonts w:ascii="Arial" w:hAnsi="Arial" w:cs="Arial"/>
        </w:rPr>
      </w:pPr>
      <w:r w:rsidRPr="00364868">
        <w:rPr>
          <w:rFonts w:ascii="Arial" w:hAnsi="Arial" w:cs="Arial"/>
        </w:rPr>
        <w:t xml:space="preserve">Barros, S. </w:t>
      </w:r>
      <w:r w:rsidRPr="00364868">
        <w:rPr>
          <w:rFonts w:ascii="Arial" w:hAnsi="Arial" w:cs="Arial"/>
          <w:i/>
          <w:iCs/>
        </w:rPr>
        <w:t>et al.</w:t>
      </w:r>
      <w:r w:rsidRPr="00364868">
        <w:rPr>
          <w:rFonts w:ascii="Arial" w:hAnsi="Arial" w:cs="Arial"/>
        </w:rPr>
        <w:t xml:space="preserve"> (2024) ‘Music performance anxiety: development and validation of the Portuguese music performance anxiety scale’, </w:t>
      </w:r>
      <w:r w:rsidRPr="00364868">
        <w:rPr>
          <w:rFonts w:ascii="Arial" w:hAnsi="Arial" w:cs="Arial"/>
          <w:i/>
          <w:iCs/>
        </w:rPr>
        <w:t>Frontiers in Psychology</w:t>
      </w:r>
      <w:r w:rsidRPr="00364868">
        <w:rPr>
          <w:rFonts w:ascii="Arial" w:hAnsi="Arial" w:cs="Arial"/>
        </w:rPr>
        <w:t>, 15, p. 1436216. Available at: https://doi.org/10.3389/fpsyg.2024.1436216.</w:t>
      </w:r>
    </w:p>
    <w:p w14:paraId="088E7C63" w14:textId="77777777" w:rsidR="00B73E6D" w:rsidRPr="00364868" w:rsidRDefault="00B73E6D" w:rsidP="00B73E6D">
      <w:pPr>
        <w:pStyle w:val="Bibliografia"/>
        <w:rPr>
          <w:rFonts w:ascii="Arial" w:hAnsi="Arial" w:cs="Arial"/>
        </w:rPr>
      </w:pPr>
      <w:r w:rsidRPr="00364868">
        <w:rPr>
          <w:rFonts w:ascii="Arial" w:hAnsi="Arial" w:cs="Arial"/>
        </w:rPr>
        <w:t xml:space="preserve">Bates, M.J. (1989) </w:t>
      </w:r>
      <w:r w:rsidRPr="00364868">
        <w:rPr>
          <w:rFonts w:ascii="Arial" w:hAnsi="Arial" w:cs="Arial"/>
          <w:i/>
          <w:iCs/>
        </w:rPr>
        <w:t>The Design of Browsing and Berrypicking Techniques</w:t>
      </w:r>
      <w:r w:rsidRPr="00364868">
        <w:rPr>
          <w:rFonts w:ascii="Arial" w:hAnsi="Arial" w:cs="Arial"/>
        </w:rPr>
        <w:t>. Available at: https://pages.gseis.ucla.edu/faculty/bates/berrypicking.html (Accessed: 12 September 2024).</w:t>
      </w:r>
    </w:p>
    <w:p w14:paraId="5D4699EF" w14:textId="77777777" w:rsidR="00B73E6D" w:rsidRPr="00364868" w:rsidRDefault="00B73E6D" w:rsidP="00B73E6D">
      <w:pPr>
        <w:pStyle w:val="Bibliografia"/>
        <w:rPr>
          <w:rFonts w:ascii="Arial" w:hAnsi="Arial" w:cs="Arial"/>
        </w:rPr>
      </w:pPr>
      <w:r w:rsidRPr="00364868">
        <w:rPr>
          <w:rFonts w:ascii="Arial" w:hAnsi="Arial" w:cs="Arial"/>
        </w:rPr>
        <w:t xml:space="preserve">Blair, E. and Sluis, H. van der (2022) ‘Music performance anxiety and higher education teaching: A systematic literature review’, </w:t>
      </w:r>
      <w:r w:rsidRPr="00364868">
        <w:rPr>
          <w:rFonts w:ascii="Arial" w:hAnsi="Arial" w:cs="Arial"/>
          <w:i/>
          <w:iCs/>
        </w:rPr>
        <w:t>Journal of University Teaching and Learning Practice</w:t>
      </w:r>
      <w:r w:rsidRPr="00364868">
        <w:rPr>
          <w:rFonts w:ascii="Arial" w:hAnsi="Arial" w:cs="Arial"/>
        </w:rPr>
        <w:t>, 19(3). Available at: https://doi.org/10.53761/1.19.3.05.</w:t>
      </w:r>
    </w:p>
    <w:p w14:paraId="788C59F6" w14:textId="77777777" w:rsidR="00B73E6D" w:rsidRPr="00364868" w:rsidRDefault="00B73E6D" w:rsidP="00B73E6D">
      <w:pPr>
        <w:pStyle w:val="Bibliografia"/>
        <w:rPr>
          <w:rFonts w:ascii="Arial" w:hAnsi="Arial" w:cs="Arial"/>
        </w:rPr>
      </w:pPr>
      <w:r w:rsidRPr="00364868">
        <w:rPr>
          <w:rFonts w:ascii="Arial" w:hAnsi="Arial" w:cs="Arial"/>
        </w:rPr>
        <w:t xml:space="preserve">Boell, S. and Cecez-Kecmanovic, D. (2014) ‘A Hermeneutic Approach for Conducting Literature Reviews and Literature Searches’, </w:t>
      </w:r>
      <w:r w:rsidRPr="00364868">
        <w:rPr>
          <w:rFonts w:ascii="Arial" w:hAnsi="Arial" w:cs="Arial"/>
          <w:i/>
          <w:iCs/>
        </w:rPr>
        <w:t>Communications of the Association for Information Systems</w:t>
      </w:r>
      <w:r w:rsidRPr="00364868">
        <w:rPr>
          <w:rFonts w:ascii="Arial" w:hAnsi="Arial" w:cs="Arial"/>
        </w:rPr>
        <w:t>, 34(1). Available at: https://doi.org/10.17705/1CAIS.03412.</w:t>
      </w:r>
    </w:p>
    <w:p w14:paraId="3B642109" w14:textId="77777777" w:rsidR="00B73E6D" w:rsidRPr="00364868" w:rsidRDefault="00B73E6D" w:rsidP="00B73E6D">
      <w:pPr>
        <w:pStyle w:val="Bibliografia"/>
        <w:rPr>
          <w:rFonts w:ascii="Arial" w:hAnsi="Arial" w:cs="Arial"/>
        </w:rPr>
      </w:pPr>
      <w:r w:rsidRPr="00364868">
        <w:rPr>
          <w:rFonts w:ascii="Arial" w:hAnsi="Arial" w:cs="Arial"/>
        </w:rPr>
        <w:t>Borges, V. and Veloso, L. (2020) ‘Emerging patterns of artistic organizations in Portugal: A three case studies analysis’. Available at: https://doi.org/10.3280/SL2020-157005.</w:t>
      </w:r>
    </w:p>
    <w:p w14:paraId="0B543B0D" w14:textId="77777777" w:rsidR="00B73E6D" w:rsidRPr="00364868" w:rsidRDefault="00B73E6D" w:rsidP="00B73E6D">
      <w:pPr>
        <w:pStyle w:val="Bibliografia"/>
        <w:rPr>
          <w:rFonts w:ascii="Arial" w:hAnsi="Arial" w:cs="Arial"/>
        </w:rPr>
      </w:pPr>
      <w:r w:rsidRPr="00364868">
        <w:rPr>
          <w:rFonts w:ascii="Arial" w:hAnsi="Arial" w:cs="Arial"/>
        </w:rPr>
        <w:t xml:space="preserve">Bowen, G.A. (2009) ‘Document Analysis as a Qualitative Research Method’, </w:t>
      </w:r>
      <w:r w:rsidRPr="00364868">
        <w:rPr>
          <w:rFonts w:ascii="Arial" w:hAnsi="Arial" w:cs="Arial"/>
          <w:i/>
          <w:iCs/>
        </w:rPr>
        <w:t>Qualitative Research Journal</w:t>
      </w:r>
      <w:r w:rsidRPr="00364868">
        <w:rPr>
          <w:rFonts w:ascii="Arial" w:hAnsi="Arial" w:cs="Arial"/>
        </w:rPr>
        <w:t>, 9(2), pp. 27–40. Available at: https://doi.org/10.3316/QRJ0902027.</w:t>
      </w:r>
    </w:p>
    <w:p w14:paraId="396A20F6" w14:textId="77777777" w:rsidR="00B73E6D" w:rsidRPr="00364868" w:rsidRDefault="00B73E6D" w:rsidP="00B73E6D">
      <w:pPr>
        <w:pStyle w:val="Bibliografia"/>
        <w:rPr>
          <w:rFonts w:ascii="Arial" w:hAnsi="Arial" w:cs="Arial"/>
        </w:rPr>
      </w:pPr>
      <w:r w:rsidRPr="00364868">
        <w:rPr>
          <w:rFonts w:ascii="Arial" w:hAnsi="Arial" w:cs="Arial"/>
        </w:rPr>
        <w:lastRenderedPageBreak/>
        <w:t xml:space="preserve">Boyett, C. (2020) ‘“Music Performance Anxiety, The Role Of Teachers In Addressing Anxiety,”’ </w:t>
      </w:r>
      <w:r w:rsidRPr="00364868">
        <w:rPr>
          <w:rFonts w:ascii="Arial" w:hAnsi="Arial" w:cs="Arial"/>
          <w:i/>
          <w:iCs/>
        </w:rPr>
        <w:t>MTNA e-Journal</w:t>
      </w:r>
      <w:r w:rsidRPr="00364868">
        <w:rPr>
          <w:rFonts w:ascii="Arial" w:hAnsi="Arial" w:cs="Arial"/>
        </w:rPr>
        <w:t xml:space="preserve"> [Preprint].</w:t>
      </w:r>
    </w:p>
    <w:p w14:paraId="377F62E5" w14:textId="77777777" w:rsidR="00B73E6D" w:rsidRPr="00364868" w:rsidRDefault="00B73E6D" w:rsidP="00B73E6D">
      <w:pPr>
        <w:pStyle w:val="Bibliografia"/>
        <w:rPr>
          <w:rFonts w:ascii="Arial" w:hAnsi="Arial" w:cs="Arial"/>
          <w:lang w:val="pt-PT"/>
        </w:rPr>
      </w:pPr>
      <w:r w:rsidRPr="00364868">
        <w:rPr>
          <w:rFonts w:ascii="Arial" w:hAnsi="Arial" w:cs="Arial"/>
        </w:rPr>
        <w:t xml:space="preserve">Braden, A.M., Osborne, M.S. and Wilson, S.J. (2015) ‘Psychological intervention reduces self-reported performance anxiety in high school music students’, </w:t>
      </w:r>
      <w:r w:rsidRPr="00364868">
        <w:rPr>
          <w:rFonts w:ascii="Arial" w:hAnsi="Arial" w:cs="Arial"/>
          <w:i/>
          <w:iCs/>
        </w:rPr>
        <w:t>Frontiers in Psychology</w:t>
      </w:r>
      <w:r w:rsidRPr="00364868">
        <w:rPr>
          <w:rFonts w:ascii="Arial" w:hAnsi="Arial" w:cs="Arial"/>
        </w:rPr>
        <w:t xml:space="preserve">, 6, p. 195. </w:t>
      </w:r>
      <w:r w:rsidRPr="00364868">
        <w:rPr>
          <w:rFonts w:ascii="Arial" w:hAnsi="Arial" w:cs="Arial"/>
          <w:lang w:val="pt-PT"/>
        </w:rPr>
        <w:t>Available at: https://doi.org/10.3389/fpsyg.2015.00195.</w:t>
      </w:r>
    </w:p>
    <w:p w14:paraId="2D01C9C1" w14:textId="77777777" w:rsidR="00B73E6D" w:rsidRPr="00364868" w:rsidRDefault="00B73E6D" w:rsidP="00B73E6D">
      <w:pPr>
        <w:pStyle w:val="Bibliografia"/>
        <w:rPr>
          <w:rFonts w:ascii="Arial" w:hAnsi="Arial" w:cs="Arial"/>
        </w:rPr>
      </w:pPr>
      <w:r w:rsidRPr="00364868">
        <w:rPr>
          <w:rFonts w:ascii="Arial" w:hAnsi="Arial" w:cs="Arial"/>
          <w:lang w:val="pt-PT"/>
        </w:rPr>
        <w:t xml:space="preserve">Campanela, C. (2023) ‘Da Dessacralização da Arte: topologia breve e inacabada do meio artístico’, </w:t>
      </w:r>
      <w:r w:rsidRPr="00364868">
        <w:rPr>
          <w:rFonts w:ascii="Arial" w:hAnsi="Arial" w:cs="Arial"/>
          <w:i/>
          <w:iCs/>
          <w:lang w:val="pt-PT"/>
        </w:rPr>
        <w:t>Sinais de Cena</w:t>
      </w:r>
      <w:r w:rsidRPr="00364868">
        <w:rPr>
          <w:rFonts w:ascii="Arial" w:hAnsi="Arial" w:cs="Arial"/>
          <w:lang w:val="pt-PT"/>
        </w:rPr>
        <w:t xml:space="preserve">, pp. 224–241. </w:t>
      </w:r>
      <w:r w:rsidRPr="00364868">
        <w:rPr>
          <w:rFonts w:ascii="Arial" w:hAnsi="Arial" w:cs="Arial"/>
        </w:rPr>
        <w:t>Available at: https://doi.org/10.51427/cet.sdc.2023.0010.</w:t>
      </w:r>
    </w:p>
    <w:p w14:paraId="38A5AD6E" w14:textId="77777777" w:rsidR="00B73E6D" w:rsidRPr="00364868" w:rsidRDefault="00B73E6D" w:rsidP="00B73E6D">
      <w:pPr>
        <w:pStyle w:val="Bibliografia"/>
        <w:rPr>
          <w:rFonts w:ascii="Arial" w:hAnsi="Arial" w:cs="Arial"/>
        </w:rPr>
      </w:pPr>
      <w:r w:rsidRPr="00364868">
        <w:rPr>
          <w:rFonts w:ascii="Arial" w:hAnsi="Arial" w:cs="Arial"/>
        </w:rPr>
        <w:t xml:space="preserve">Conde, I. (2009) </w:t>
      </w:r>
      <w:r w:rsidRPr="00364868">
        <w:rPr>
          <w:rFonts w:ascii="Arial" w:hAnsi="Arial" w:cs="Arial"/>
          <w:i/>
          <w:iCs/>
        </w:rPr>
        <w:t>Artists as vulnerable workers</w:t>
      </w:r>
      <w:r w:rsidRPr="00364868">
        <w:rPr>
          <w:rFonts w:ascii="Arial" w:hAnsi="Arial" w:cs="Arial"/>
        </w:rPr>
        <w:t>. workingPaper. CIES-ISCTE. Available at: https://repositorio.iscte-iul.pt/handle/10071/1502 (Accessed: 16 April 2025).</w:t>
      </w:r>
    </w:p>
    <w:p w14:paraId="46FB3744" w14:textId="77777777" w:rsidR="00B73E6D" w:rsidRPr="00364868" w:rsidRDefault="00B73E6D" w:rsidP="00B73E6D">
      <w:pPr>
        <w:pStyle w:val="Bibliografia"/>
        <w:rPr>
          <w:rFonts w:ascii="Arial" w:hAnsi="Arial" w:cs="Arial"/>
        </w:rPr>
      </w:pPr>
      <w:r w:rsidRPr="00364868">
        <w:rPr>
          <w:rFonts w:ascii="Arial" w:hAnsi="Arial" w:cs="Arial"/>
          <w:lang w:val="pt-PT"/>
        </w:rPr>
        <w:t xml:space="preserve">Correia, T.F.B. (2012) ‘A ansiedade na performance musical : estudo de caso em jovens violetistas’. </w:t>
      </w:r>
      <w:r w:rsidRPr="00364868">
        <w:rPr>
          <w:rFonts w:ascii="Arial" w:hAnsi="Arial" w:cs="Arial"/>
        </w:rPr>
        <w:t>Available at: http://hdl.handle.net/10400.14/25693 (Accessed: 10 May 2025).</w:t>
      </w:r>
    </w:p>
    <w:p w14:paraId="2E841188" w14:textId="77777777" w:rsidR="00B73E6D" w:rsidRPr="00364868" w:rsidRDefault="00B73E6D" w:rsidP="00B73E6D">
      <w:pPr>
        <w:pStyle w:val="Bibliografia"/>
        <w:rPr>
          <w:rFonts w:ascii="Arial" w:hAnsi="Arial" w:cs="Arial"/>
        </w:rPr>
      </w:pPr>
      <w:r w:rsidRPr="00364868">
        <w:rPr>
          <w:rFonts w:ascii="Arial" w:hAnsi="Arial" w:cs="Arial"/>
        </w:rPr>
        <w:t xml:space="preserve">Damas, C. (2017) ‘Evaluation of the Anxiety Prevalence Relative to Musical Performance in Classical Musicians’, </w:t>
      </w:r>
      <w:r w:rsidRPr="00364868">
        <w:rPr>
          <w:rFonts w:ascii="Arial" w:hAnsi="Arial" w:cs="Arial"/>
          <w:i/>
          <w:iCs/>
        </w:rPr>
        <w:t>Revista Portuguesa de Educação Artística</w:t>
      </w:r>
      <w:r w:rsidRPr="00364868">
        <w:rPr>
          <w:rFonts w:ascii="Arial" w:hAnsi="Arial" w:cs="Arial"/>
        </w:rPr>
        <w:t>, 7(1). Available at: https://doi.org/10.23828/rpea.v7i1.118.</w:t>
      </w:r>
    </w:p>
    <w:p w14:paraId="1BA1627A" w14:textId="77777777" w:rsidR="00B73E6D" w:rsidRPr="00364868" w:rsidRDefault="00B73E6D" w:rsidP="00B73E6D">
      <w:pPr>
        <w:pStyle w:val="Bibliografia"/>
        <w:rPr>
          <w:rFonts w:ascii="Arial" w:hAnsi="Arial" w:cs="Arial"/>
        </w:rPr>
      </w:pPr>
      <w:r w:rsidRPr="00364868">
        <w:rPr>
          <w:rFonts w:ascii="Arial" w:hAnsi="Arial" w:cs="Arial"/>
        </w:rPr>
        <w:t xml:space="preserve">Dias, P. </w:t>
      </w:r>
      <w:r w:rsidRPr="00364868">
        <w:rPr>
          <w:rFonts w:ascii="Arial" w:hAnsi="Arial" w:cs="Arial"/>
          <w:i/>
          <w:iCs/>
        </w:rPr>
        <w:t>et al.</w:t>
      </w:r>
      <w:r w:rsidRPr="00364868">
        <w:rPr>
          <w:rFonts w:ascii="Arial" w:hAnsi="Arial" w:cs="Arial"/>
        </w:rPr>
        <w:t xml:space="preserve"> (2022) ‘Kenny Music Performance Anxiety Inventory: Contribution for the Portuguese Validation’, </w:t>
      </w:r>
      <w:r w:rsidRPr="00364868">
        <w:rPr>
          <w:rFonts w:ascii="Arial" w:hAnsi="Arial" w:cs="Arial"/>
          <w:i/>
          <w:iCs/>
        </w:rPr>
        <w:t>Behavioral Sciences</w:t>
      </w:r>
      <w:r w:rsidRPr="00364868">
        <w:rPr>
          <w:rFonts w:ascii="Arial" w:hAnsi="Arial" w:cs="Arial"/>
        </w:rPr>
        <w:t>, 12(2), p. 18. Available at: https://doi.org/10.3390/bs12020018.</w:t>
      </w:r>
    </w:p>
    <w:p w14:paraId="194BB485" w14:textId="77777777" w:rsidR="00B73E6D" w:rsidRPr="00364868" w:rsidRDefault="00B73E6D" w:rsidP="00B73E6D">
      <w:pPr>
        <w:pStyle w:val="Bibliografia"/>
        <w:rPr>
          <w:rFonts w:ascii="Arial" w:hAnsi="Arial" w:cs="Arial"/>
        </w:rPr>
      </w:pPr>
      <w:r w:rsidRPr="00364868">
        <w:rPr>
          <w:rFonts w:ascii="Arial" w:hAnsi="Arial" w:cs="Arial"/>
        </w:rPr>
        <w:t xml:space="preserve">Dias, P. </w:t>
      </w:r>
      <w:r w:rsidRPr="00364868">
        <w:rPr>
          <w:rFonts w:ascii="Arial" w:hAnsi="Arial" w:cs="Arial"/>
          <w:i/>
          <w:iCs/>
        </w:rPr>
        <w:t>et al.</w:t>
      </w:r>
      <w:r w:rsidRPr="00364868">
        <w:rPr>
          <w:rFonts w:ascii="Arial" w:hAnsi="Arial" w:cs="Arial"/>
        </w:rPr>
        <w:t xml:space="preserve"> (2023) ‘Music performance anxiety inventory for adolescents: psychometric properties of the Portuguese version’. Available at: http://hdl.handle.net/10400.14/38985 (Accessed: 10 May 2025).</w:t>
      </w:r>
    </w:p>
    <w:p w14:paraId="08590FC3" w14:textId="77777777" w:rsidR="00B73E6D" w:rsidRPr="00364868" w:rsidRDefault="00B73E6D" w:rsidP="00B73E6D">
      <w:pPr>
        <w:pStyle w:val="Bibliografia"/>
        <w:rPr>
          <w:rFonts w:ascii="Arial" w:hAnsi="Arial" w:cs="Arial"/>
        </w:rPr>
      </w:pPr>
      <w:r w:rsidRPr="00364868">
        <w:rPr>
          <w:rFonts w:ascii="Arial" w:hAnsi="Arial" w:cs="Arial"/>
        </w:rPr>
        <w:t xml:space="preserve">Facchini, F. (2014) </w:t>
      </w:r>
      <w:r w:rsidRPr="00364868">
        <w:rPr>
          <w:rFonts w:ascii="Arial" w:hAnsi="Arial" w:cs="Arial"/>
          <w:i/>
          <w:iCs/>
        </w:rPr>
        <w:t>Psycho-physio dynamics in violin-piano duo: a pianist’s perspective</w:t>
      </w:r>
      <w:r w:rsidRPr="00364868">
        <w:rPr>
          <w:rFonts w:ascii="Arial" w:hAnsi="Arial" w:cs="Arial"/>
        </w:rPr>
        <w:t>. doctoralThesis. Universidade de Aveiro. Available at: https://ria.ua.pt/handle/10773/13820 (Accessed: 10 May 2025).</w:t>
      </w:r>
    </w:p>
    <w:p w14:paraId="5BBE5D37" w14:textId="77777777" w:rsidR="00B73E6D" w:rsidRPr="00364868" w:rsidRDefault="00B73E6D" w:rsidP="00B73E6D">
      <w:pPr>
        <w:pStyle w:val="Bibliografia"/>
        <w:rPr>
          <w:rFonts w:ascii="Arial" w:hAnsi="Arial" w:cs="Arial"/>
        </w:rPr>
      </w:pPr>
      <w:r w:rsidRPr="00364868">
        <w:rPr>
          <w:rFonts w:ascii="Arial" w:hAnsi="Arial" w:cs="Arial"/>
        </w:rPr>
        <w:t xml:space="preserve">Guardão, M.J. (2018) ‘Contemporary performing arts in Portugal: an overview’, </w:t>
      </w:r>
      <w:r w:rsidRPr="00364868">
        <w:rPr>
          <w:rFonts w:ascii="Arial" w:hAnsi="Arial" w:cs="Arial"/>
          <w:i/>
          <w:iCs/>
        </w:rPr>
        <w:t>IETM - International network for contemporary performing arts, Brussels</w:t>
      </w:r>
      <w:r w:rsidRPr="00364868">
        <w:rPr>
          <w:rFonts w:ascii="Arial" w:hAnsi="Arial" w:cs="Arial"/>
        </w:rPr>
        <w:t xml:space="preserve"> [Preprint].</w:t>
      </w:r>
    </w:p>
    <w:p w14:paraId="310AFBB8" w14:textId="77777777" w:rsidR="00B73E6D" w:rsidRPr="00364868" w:rsidRDefault="00B73E6D" w:rsidP="00B73E6D">
      <w:pPr>
        <w:pStyle w:val="Bibliografia"/>
        <w:rPr>
          <w:rFonts w:ascii="Arial" w:hAnsi="Arial" w:cs="Arial"/>
        </w:rPr>
      </w:pPr>
      <w:r w:rsidRPr="00364868">
        <w:rPr>
          <w:rFonts w:ascii="Arial" w:hAnsi="Arial" w:cs="Arial"/>
        </w:rPr>
        <w:t xml:space="preserve">Henshaw, A. and Collyer, S. (2022) ‘Under Pressure: Reports of Performance Anxiety Across Multiple Singing Genres’, </w:t>
      </w:r>
      <w:r w:rsidRPr="00364868">
        <w:rPr>
          <w:rFonts w:ascii="Arial" w:hAnsi="Arial" w:cs="Arial"/>
          <w:i/>
          <w:iCs/>
        </w:rPr>
        <w:t>Journal of Singing</w:t>
      </w:r>
      <w:r w:rsidRPr="00364868">
        <w:rPr>
          <w:rFonts w:ascii="Arial" w:hAnsi="Arial" w:cs="Arial"/>
        </w:rPr>
        <w:t>, 78(5), pp. 583–590. Available at: https://doi.org/10.53830/JETA7812.</w:t>
      </w:r>
    </w:p>
    <w:p w14:paraId="0D679B89" w14:textId="77777777" w:rsidR="00B73E6D" w:rsidRPr="00364868" w:rsidRDefault="00B73E6D" w:rsidP="00B73E6D">
      <w:pPr>
        <w:pStyle w:val="Bibliografia"/>
        <w:rPr>
          <w:rFonts w:ascii="Arial" w:hAnsi="Arial" w:cs="Arial"/>
        </w:rPr>
      </w:pPr>
      <w:r w:rsidRPr="00364868">
        <w:rPr>
          <w:rFonts w:ascii="Arial" w:hAnsi="Arial" w:cs="Arial"/>
        </w:rPr>
        <w:t xml:space="preserve">Hildebrandt, H., Nübling, M. and Candia, V. (2012) ‘Increment of Fatigue, Depression, and Stage Fright During the First Year of High-Level Education in Music Students’, </w:t>
      </w:r>
      <w:r w:rsidRPr="00364868">
        <w:rPr>
          <w:rFonts w:ascii="Arial" w:hAnsi="Arial" w:cs="Arial"/>
          <w:i/>
          <w:iCs/>
        </w:rPr>
        <w:t>Medical Problems of Performing Artists</w:t>
      </w:r>
      <w:r w:rsidRPr="00364868">
        <w:rPr>
          <w:rFonts w:ascii="Arial" w:hAnsi="Arial" w:cs="Arial"/>
        </w:rPr>
        <w:t>, 27(1), pp. 43–8.</w:t>
      </w:r>
    </w:p>
    <w:p w14:paraId="5AC69A81" w14:textId="77777777" w:rsidR="00B73E6D" w:rsidRPr="00364868" w:rsidRDefault="00B73E6D" w:rsidP="00B73E6D">
      <w:pPr>
        <w:pStyle w:val="Bibliografia"/>
        <w:rPr>
          <w:rFonts w:ascii="Arial" w:hAnsi="Arial" w:cs="Arial"/>
        </w:rPr>
      </w:pPr>
      <w:r w:rsidRPr="00364868">
        <w:rPr>
          <w:rFonts w:ascii="Arial" w:hAnsi="Arial" w:cs="Arial"/>
        </w:rPr>
        <w:t xml:space="preserve">Hrvatin, V., Buh, M.R. and Ribič, J. (2021) ‘Our little clinic’, </w:t>
      </w:r>
      <w:r w:rsidRPr="00364868">
        <w:rPr>
          <w:rFonts w:ascii="Arial" w:hAnsi="Arial" w:cs="Arial"/>
          <w:i/>
          <w:iCs/>
        </w:rPr>
        <w:t>Maska</w:t>
      </w:r>
      <w:r w:rsidRPr="00364868">
        <w:rPr>
          <w:rFonts w:ascii="Arial" w:hAnsi="Arial" w:cs="Arial"/>
        </w:rPr>
        <w:t>, 36(205–206), pp. 80–90. Available at: https://doi.org/10.1386/maska_00090_1.</w:t>
      </w:r>
    </w:p>
    <w:p w14:paraId="10222880" w14:textId="77777777" w:rsidR="00B73E6D" w:rsidRPr="00364868" w:rsidRDefault="00B73E6D" w:rsidP="00B73E6D">
      <w:pPr>
        <w:pStyle w:val="Bibliografia"/>
        <w:rPr>
          <w:rFonts w:ascii="Arial" w:hAnsi="Arial" w:cs="Arial"/>
        </w:rPr>
      </w:pPr>
      <w:r w:rsidRPr="00364868">
        <w:rPr>
          <w:rFonts w:ascii="Arial" w:hAnsi="Arial" w:cs="Arial"/>
        </w:rPr>
        <w:t xml:space="preserve">Kenny, D. (2005) ‘A Systematic Review of Treatments for Music Performance Anxiety’, </w:t>
      </w:r>
      <w:r w:rsidRPr="00364868">
        <w:rPr>
          <w:rFonts w:ascii="Arial" w:hAnsi="Arial" w:cs="Arial"/>
          <w:i/>
          <w:iCs/>
        </w:rPr>
        <w:t>Anxiety, Stress &amp; Coping: An International Journal</w:t>
      </w:r>
      <w:r w:rsidRPr="00364868">
        <w:rPr>
          <w:rFonts w:ascii="Arial" w:hAnsi="Arial" w:cs="Arial"/>
        </w:rPr>
        <w:t>, 18, pp. 183–208. Available at: https://doi.org/10.1080/10615800500167258.</w:t>
      </w:r>
    </w:p>
    <w:p w14:paraId="09785D9E" w14:textId="77777777" w:rsidR="00B73E6D" w:rsidRPr="00364868" w:rsidRDefault="00B73E6D" w:rsidP="00B73E6D">
      <w:pPr>
        <w:pStyle w:val="Bibliografia"/>
        <w:rPr>
          <w:rFonts w:ascii="Arial" w:hAnsi="Arial" w:cs="Arial"/>
        </w:rPr>
      </w:pPr>
      <w:r w:rsidRPr="00364868">
        <w:rPr>
          <w:rFonts w:ascii="Arial" w:hAnsi="Arial" w:cs="Arial"/>
        </w:rPr>
        <w:t xml:space="preserve">Kenny, D.T. (2006) ‘Music Performance Anxiety: Origins, Phenomenology, Assessment and Treatment’, </w:t>
      </w:r>
      <w:r w:rsidRPr="00364868">
        <w:rPr>
          <w:rFonts w:ascii="Arial" w:hAnsi="Arial" w:cs="Arial"/>
          <w:i/>
          <w:iCs/>
        </w:rPr>
        <w:t>Context</w:t>
      </w:r>
      <w:r w:rsidRPr="00364868">
        <w:rPr>
          <w:rFonts w:ascii="Arial" w:hAnsi="Arial" w:cs="Arial"/>
        </w:rPr>
        <w:t>, (31), pp. 51-64,207.</w:t>
      </w:r>
    </w:p>
    <w:p w14:paraId="69AC22D4" w14:textId="77777777" w:rsidR="00B73E6D" w:rsidRPr="00364868" w:rsidRDefault="00B73E6D" w:rsidP="00B73E6D">
      <w:pPr>
        <w:pStyle w:val="Bibliografia"/>
        <w:rPr>
          <w:rFonts w:ascii="Arial" w:hAnsi="Arial" w:cs="Arial"/>
        </w:rPr>
      </w:pPr>
      <w:r w:rsidRPr="00364868">
        <w:rPr>
          <w:rFonts w:ascii="Arial" w:hAnsi="Arial" w:cs="Arial"/>
        </w:rPr>
        <w:lastRenderedPageBreak/>
        <w:t xml:space="preserve">Kenny, D.T. and Halls, N. (2018a) ‘Development and evaluation of two brief group interventions for music performance anxiety in community musicians’, </w:t>
      </w:r>
      <w:r w:rsidRPr="00364868">
        <w:rPr>
          <w:rFonts w:ascii="Arial" w:hAnsi="Arial" w:cs="Arial"/>
          <w:i/>
          <w:iCs/>
        </w:rPr>
        <w:t>Psychology of Music</w:t>
      </w:r>
      <w:r w:rsidRPr="00364868">
        <w:rPr>
          <w:rFonts w:ascii="Arial" w:hAnsi="Arial" w:cs="Arial"/>
        </w:rPr>
        <w:t>, 46(1), pp. 66–83. Available at: https://doi.org/10.1177/0305735617702536.</w:t>
      </w:r>
    </w:p>
    <w:p w14:paraId="0BC11435" w14:textId="77777777" w:rsidR="00B73E6D" w:rsidRPr="00364868" w:rsidRDefault="00B73E6D" w:rsidP="00B73E6D">
      <w:pPr>
        <w:pStyle w:val="Bibliografia"/>
        <w:rPr>
          <w:rFonts w:ascii="Arial" w:hAnsi="Arial" w:cs="Arial"/>
        </w:rPr>
      </w:pPr>
      <w:r w:rsidRPr="00364868">
        <w:rPr>
          <w:rFonts w:ascii="Arial" w:hAnsi="Arial" w:cs="Arial"/>
        </w:rPr>
        <w:t xml:space="preserve">Kenny, D.T. and Halls, N. (2018b) ‘Development and evaluation of two brief group interventions for music performance anxiety in community musicians’, </w:t>
      </w:r>
      <w:r w:rsidRPr="00364868">
        <w:rPr>
          <w:rFonts w:ascii="Arial" w:hAnsi="Arial" w:cs="Arial"/>
          <w:i/>
          <w:iCs/>
        </w:rPr>
        <w:t>Psychology of Music</w:t>
      </w:r>
      <w:r w:rsidRPr="00364868">
        <w:rPr>
          <w:rFonts w:ascii="Arial" w:hAnsi="Arial" w:cs="Arial"/>
        </w:rPr>
        <w:t>, 46(1), pp. 66–83. Available at: https://doi.org/10.1177/0305735617702536.</w:t>
      </w:r>
    </w:p>
    <w:p w14:paraId="0930EC08" w14:textId="77777777" w:rsidR="00B73E6D" w:rsidRPr="00364868" w:rsidRDefault="00B73E6D" w:rsidP="00B73E6D">
      <w:pPr>
        <w:pStyle w:val="Bibliografia"/>
        <w:rPr>
          <w:rFonts w:ascii="Arial" w:hAnsi="Arial" w:cs="Arial"/>
        </w:rPr>
      </w:pPr>
      <w:r w:rsidRPr="00364868">
        <w:rPr>
          <w:rFonts w:ascii="Arial" w:hAnsi="Arial" w:cs="Arial"/>
        </w:rPr>
        <w:t xml:space="preserve">Kirchner, J. (2004) ‘Managing Musical Performance Anxiety’, </w:t>
      </w:r>
      <w:r w:rsidRPr="00364868">
        <w:rPr>
          <w:rFonts w:ascii="Arial" w:hAnsi="Arial" w:cs="Arial"/>
          <w:i/>
          <w:iCs/>
        </w:rPr>
        <w:t>The American Music Teacher</w:t>
      </w:r>
      <w:r w:rsidRPr="00364868">
        <w:rPr>
          <w:rFonts w:ascii="Arial" w:hAnsi="Arial" w:cs="Arial"/>
        </w:rPr>
        <w:t>, 54(3), pp. 31–33.</w:t>
      </w:r>
    </w:p>
    <w:p w14:paraId="34DB99EB" w14:textId="77777777" w:rsidR="00B73E6D" w:rsidRPr="00364868" w:rsidRDefault="00B73E6D" w:rsidP="00B73E6D">
      <w:pPr>
        <w:pStyle w:val="Bibliografia"/>
        <w:rPr>
          <w:rFonts w:ascii="Arial" w:hAnsi="Arial" w:cs="Arial"/>
        </w:rPr>
      </w:pPr>
      <w:r w:rsidRPr="00364868">
        <w:rPr>
          <w:rFonts w:ascii="Arial" w:hAnsi="Arial" w:cs="Arial"/>
        </w:rPr>
        <w:t xml:space="preserve">Kolb, D.A. (1984) ‘Experiential Learning: Experience As The Source Of Learning And Development’, </w:t>
      </w:r>
      <w:r w:rsidRPr="00364868">
        <w:rPr>
          <w:rFonts w:ascii="Arial" w:hAnsi="Arial" w:cs="Arial"/>
          <w:i/>
          <w:iCs/>
        </w:rPr>
        <w:t>Prentice Hall</w:t>
      </w:r>
      <w:r w:rsidRPr="00364868">
        <w:rPr>
          <w:rFonts w:ascii="Arial" w:hAnsi="Arial" w:cs="Arial"/>
        </w:rPr>
        <w:t xml:space="preserve"> [Preprint].</w:t>
      </w:r>
    </w:p>
    <w:p w14:paraId="67AC89E3" w14:textId="77777777" w:rsidR="00B73E6D" w:rsidRPr="00364868" w:rsidRDefault="00B73E6D" w:rsidP="00B73E6D">
      <w:pPr>
        <w:pStyle w:val="Bibliografia"/>
        <w:rPr>
          <w:rFonts w:ascii="Arial" w:hAnsi="Arial" w:cs="Arial"/>
        </w:rPr>
      </w:pPr>
      <w:r w:rsidRPr="00364868">
        <w:rPr>
          <w:rFonts w:ascii="Arial" w:hAnsi="Arial" w:cs="Arial"/>
        </w:rPr>
        <w:t xml:space="preserve">MacAfee, E. and Comeau, G. (2023) ‘Teacher perspective on music performance anxiety: an exploration of coping strategies used by music teachers’, </w:t>
      </w:r>
      <w:r w:rsidRPr="00364868">
        <w:rPr>
          <w:rFonts w:ascii="Arial" w:hAnsi="Arial" w:cs="Arial"/>
          <w:i/>
          <w:iCs/>
        </w:rPr>
        <w:t>British Journal of Music Education</w:t>
      </w:r>
      <w:r w:rsidRPr="00364868">
        <w:rPr>
          <w:rFonts w:ascii="Arial" w:hAnsi="Arial" w:cs="Arial"/>
        </w:rPr>
        <w:t>, 40(1), pp. 34–53. Available at: https://doi.org/10.1017/S0265051722000146.</w:t>
      </w:r>
    </w:p>
    <w:p w14:paraId="6132A82C" w14:textId="77777777" w:rsidR="00B73E6D" w:rsidRPr="00364868" w:rsidRDefault="00B73E6D" w:rsidP="00B73E6D">
      <w:pPr>
        <w:pStyle w:val="Bibliografia"/>
        <w:rPr>
          <w:rFonts w:ascii="Arial" w:hAnsi="Arial" w:cs="Arial"/>
        </w:rPr>
      </w:pPr>
      <w:r w:rsidRPr="00364868">
        <w:rPr>
          <w:rFonts w:ascii="Arial" w:hAnsi="Arial" w:cs="Arial"/>
        </w:rPr>
        <w:t xml:space="preserve">MacFarlane, A., Russell-Rose, T. and Shokraneh, F. (2022) ‘Search strategy formulation for systematic reviews: Issues, challenges and opportunities’, </w:t>
      </w:r>
      <w:r w:rsidRPr="00364868">
        <w:rPr>
          <w:rFonts w:ascii="Arial" w:hAnsi="Arial" w:cs="Arial"/>
          <w:i/>
          <w:iCs/>
        </w:rPr>
        <w:t>Intelligent Systems with Applications</w:t>
      </w:r>
      <w:r w:rsidRPr="00364868">
        <w:rPr>
          <w:rFonts w:ascii="Arial" w:hAnsi="Arial" w:cs="Arial"/>
        </w:rPr>
        <w:t>, 15, p. 200091. Available at: https://doi.org/10.1016/j.iswa.2022.200091.</w:t>
      </w:r>
    </w:p>
    <w:p w14:paraId="6F6A9099" w14:textId="77777777" w:rsidR="00B73E6D" w:rsidRPr="00364868" w:rsidRDefault="00B73E6D" w:rsidP="00B73E6D">
      <w:pPr>
        <w:pStyle w:val="Bibliografia"/>
        <w:rPr>
          <w:rFonts w:ascii="Arial" w:hAnsi="Arial" w:cs="Arial"/>
        </w:rPr>
      </w:pPr>
      <w:r w:rsidRPr="00364868">
        <w:rPr>
          <w:rFonts w:ascii="Arial" w:hAnsi="Arial" w:cs="Arial"/>
        </w:rPr>
        <w:t xml:space="preserve">Mahony, S.E., Juncos, D.G. and Winter, D. (2022) ‘Acceptance and Commitment Coaching for Music Performance Anxiety: Piloting a 6-Week Group Course With Undergraduate Dance and Musical Theatre Students’, </w:t>
      </w:r>
      <w:r w:rsidRPr="00364868">
        <w:rPr>
          <w:rFonts w:ascii="Arial" w:hAnsi="Arial" w:cs="Arial"/>
          <w:i/>
          <w:iCs/>
        </w:rPr>
        <w:t>Frontiers in Psychology</w:t>
      </w:r>
      <w:r w:rsidRPr="00364868">
        <w:rPr>
          <w:rFonts w:ascii="Arial" w:hAnsi="Arial" w:cs="Arial"/>
        </w:rPr>
        <w:t>, 13. Available at: https://doi.org/10.3389/fpsyg.2022.830230.</w:t>
      </w:r>
    </w:p>
    <w:p w14:paraId="663A3E02" w14:textId="77777777" w:rsidR="00B73E6D" w:rsidRPr="00364868" w:rsidRDefault="00B73E6D" w:rsidP="00B73E6D">
      <w:pPr>
        <w:pStyle w:val="Bibliografia"/>
        <w:rPr>
          <w:rFonts w:ascii="Arial" w:hAnsi="Arial" w:cs="Arial"/>
          <w:lang w:val="pt-PT"/>
        </w:rPr>
      </w:pPr>
      <w:r w:rsidRPr="00364868">
        <w:rPr>
          <w:rFonts w:ascii="Arial" w:hAnsi="Arial" w:cs="Arial"/>
        </w:rPr>
        <w:t xml:space="preserve">Mazzarolo, I., Burwell, K. and Schubert, E. (2023) ‘Teachers’ approaches to music performance anxiety management: a systematic review’, </w:t>
      </w:r>
      <w:r w:rsidRPr="00364868">
        <w:rPr>
          <w:rFonts w:ascii="Arial" w:hAnsi="Arial" w:cs="Arial"/>
          <w:i/>
          <w:iCs/>
        </w:rPr>
        <w:t>Frontiers in Psychology</w:t>
      </w:r>
      <w:r w:rsidRPr="00364868">
        <w:rPr>
          <w:rFonts w:ascii="Arial" w:hAnsi="Arial" w:cs="Arial"/>
        </w:rPr>
        <w:t xml:space="preserve">, 14. </w:t>
      </w:r>
      <w:r w:rsidRPr="00364868">
        <w:rPr>
          <w:rFonts w:ascii="Arial" w:hAnsi="Arial" w:cs="Arial"/>
          <w:lang w:val="pt-PT"/>
        </w:rPr>
        <w:t>Available at: https://doi.org/10.3389/fpsyg.2023.1205150.</w:t>
      </w:r>
    </w:p>
    <w:p w14:paraId="6369B974" w14:textId="77777777" w:rsidR="00B73E6D" w:rsidRPr="00364868" w:rsidRDefault="00B73E6D" w:rsidP="00B73E6D">
      <w:pPr>
        <w:pStyle w:val="Bibliografia"/>
        <w:rPr>
          <w:rFonts w:ascii="Arial" w:hAnsi="Arial" w:cs="Arial"/>
        </w:rPr>
      </w:pPr>
      <w:r w:rsidRPr="00364868">
        <w:rPr>
          <w:rFonts w:ascii="Arial" w:hAnsi="Arial" w:cs="Arial"/>
          <w:lang w:val="pt-PT"/>
        </w:rPr>
        <w:t xml:space="preserve">Mendanha, Z.E.P. (2014) ‘Ansiedade na performance: causas e possíveis curas’. </w:t>
      </w:r>
      <w:r w:rsidRPr="00364868">
        <w:rPr>
          <w:rFonts w:ascii="Arial" w:hAnsi="Arial" w:cs="Arial"/>
        </w:rPr>
        <w:t>Available at: http://hdl.handle.net/10400.21/4484 (Accessed: 10 May 2025).</w:t>
      </w:r>
    </w:p>
    <w:p w14:paraId="69FC721A" w14:textId="77777777" w:rsidR="00B73E6D" w:rsidRPr="00364868" w:rsidRDefault="00B73E6D" w:rsidP="00B73E6D">
      <w:pPr>
        <w:pStyle w:val="Bibliografia"/>
        <w:rPr>
          <w:rFonts w:ascii="Arial" w:hAnsi="Arial" w:cs="Arial"/>
        </w:rPr>
      </w:pPr>
      <w:r w:rsidRPr="00364868">
        <w:rPr>
          <w:rFonts w:ascii="Arial" w:hAnsi="Arial" w:cs="Arial"/>
        </w:rPr>
        <w:t xml:space="preserve">Micah D. J, P. </w:t>
      </w:r>
      <w:r w:rsidRPr="00364868">
        <w:rPr>
          <w:rFonts w:ascii="Arial" w:hAnsi="Arial" w:cs="Arial"/>
          <w:i/>
          <w:iCs/>
        </w:rPr>
        <w:t>et al.</w:t>
      </w:r>
      <w:r w:rsidRPr="00364868">
        <w:rPr>
          <w:rFonts w:ascii="Arial" w:hAnsi="Arial" w:cs="Arial"/>
        </w:rPr>
        <w:t xml:space="preserve"> (2015) </w:t>
      </w:r>
      <w:r w:rsidRPr="00364868">
        <w:rPr>
          <w:rFonts w:ascii="Arial" w:hAnsi="Arial" w:cs="Arial"/>
          <w:i/>
          <w:iCs/>
        </w:rPr>
        <w:t>Joanna Briggs Institute Reviewers’ Manual: 2015 edition / Supplement</w:t>
      </w:r>
      <w:r w:rsidRPr="00364868">
        <w:rPr>
          <w:rFonts w:ascii="Arial" w:hAnsi="Arial" w:cs="Arial"/>
        </w:rPr>
        <w:t>. The Joanna Briggs Institute.</w:t>
      </w:r>
    </w:p>
    <w:p w14:paraId="14B23CEB" w14:textId="77777777" w:rsidR="00B73E6D" w:rsidRPr="00364868" w:rsidRDefault="00B73E6D" w:rsidP="00B73E6D">
      <w:pPr>
        <w:pStyle w:val="Bibliografia"/>
        <w:rPr>
          <w:rFonts w:ascii="Arial" w:hAnsi="Arial" w:cs="Arial"/>
        </w:rPr>
      </w:pPr>
      <w:r w:rsidRPr="00364868">
        <w:rPr>
          <w:rFonts w:ascii="Arial" w:hAnsi="Arial" w:cs="Arial"/>
        </w:rPr>
        <w:t xml:space="preserve">Moura, N. and Serra, S. (2021) ‘Listening To Teachers’ Voices: Constructs On Music Performance Anxiety In Artistic Education’, </w:t>
      </w:r>
      <w:r w:rsidRPr="00364868">
        <w:rPr>
          <w:rFonts w:ascii="Arial" w:hAnsi="Arial" w:cs="Arial"/>
          <w:i/>
          <w:iCs/>
        </w:rPr>
        <w:t>Journal of Science and Technology of the Arts</w:t>
      </w:r>
      <w:r w:rsidRPr="00364868">
        <w:rPr>
          <w:rFonts w:ascii="Arial" w:hAnsi="Arial" w:cs="Arial"/>
        </w:rPr>
        <w:t>, 13(2), pp. 99–117. Available at: https://doi.org/10.34632/jsta.2021.9853.</w:t>
      </w:r>
    </w:p>
    <w:p w14:paraId="14D7C550" w14:textId="77777777" w:rsidR="00B73E6D" w:rsidRPr="00364868" w:rsidRDefault="00B73E6D" w:rsidP="00B73E6D">
      <w:pPr>
        <w:pStyle w:val="Bibliografia"/>
        <w:rPr>
          <w:rFonts w:ascii="Arial" w:hAnsi="Arial" w:cs="Arial"/>
        </w:rPr>
      </w:pPr>
      <w:r w:rsidRPr="00364868">
        <w:rPr>
          <w:rFonts w:ascii="Arial" w:hAnsi="Arial" w:cs="Arial"/>
        </w:rPr>
        <w:t xml:space="preserve">Munn, Z. </w:t>
      </w:r>
      <w:r w:rsidRPr="00364868">
        <w:rPr>
          <w:rFonts w:ascii="Arial" w:hAnsi="Arial" w:cs="Arial"/>
          <w:i/>
          <w:iCs/>
        </w:rPr>
        <w:t>et al.</w:t>
      </w:r>
      <w:r w:rsidRPr="00364868">
        <w:rPr>
          <w:rFonts w:ascii="Arial" w:hAnsi="Arial" w:cs="Arial"/>
        </w:rPr>
        <w:t xml:space="preserve"> (2018) ‘Systematic review or scoping review? Guidance for authors when choosing between a systematic or scoping review approach’, </w:t>
      </w:r>
      <w:r w:rsidRPr="00364868">
        <w:rPr>
          <w:rFonts w:ascii="Arial" w:hAnsi="Arial" w:cs="Arial"/>
          <w:i/>
          <w:iCs/>
        </w:rPr>
        <w:t>BMC Medical Research Methodology</w:t>
      </w:r>
      <w:r w:rsidRPr="00364868">
        <w:rPr>
          <w:rFonts w:ascii="Arial" w:hAnsi="Arial" w:cs="Arial"/>
        </w:rPr>
        <w:t>, 18(1), p. 143. Available at: https://doi.org/10.1186/s12874-018-0611-x.</w:t>
      </w:r>
    </w:p>
    <w:p w14:paraId="34B93B8C" w14:textId="77777777" w:rsidR="00B73E6D" w:rsidRPr="00364868" w:rsidRDefault="00B73E6D" w:rsidP="00B73E6D">
      <w:pPr>
        <w:pStyle w:val="Bibliografia"/>
        <w:rPr>
          <w:rFonts w:ascii="Arial" w:hAnsi="Arial" w:cs="Arial"/>
        </w:rPr>
      </w:pPr>
      <w:r w:rsidRPr="00364868">
        <w:rPr>
          <w:rFonts w:ascii="Arial" w:hAnsi="Arial" w:cs="Arial"/>
        </w:rPr>
        <w:t xml:space="preserve">Nagel, J.J. (2009) ‘How to Destroy Creativity in Music Students: The Need for Emotional and Psychological Support Services in Music Schools’, </w:t>
      </w:r>
      <w:r w:rsidRPr="00364868">
        <w:rPr>
          <w:rFonts w:ascii="Arial" w:hAnsi="Arial" w:cs="Arial"/>
          <w:i/>
          <w:iCs/>
        </w:rPr>
        <w:t>Medical Problems of Performing Artists</w:t>
      </w:r>
      <w:r w:rsidRPr="00364868">
        <w:rPr>
          <w:rFonts w:ascii="Arial" w:hAnsi="Arial" w:cs="Arial"/>
        </w:rPr>
        <w:t>, 24(1), pp. 15–17.</w:t>
      </w:r>
    </w:p>
    <w:p w14:paraId="412E2727" w14:textId="77777777" w:rsidR="00B73E6D" w:rsidRPr="00364868" w:rsidRDefault="00B73E6D" w:rsidP="00B73E6D">
      <w:pPr>
        <w:pStyle w:val="Bibliografia"/>
        <w:rPr>
          <w:rFonts w:ascii="Arial" w:hAnsi="Arial" w:cs="Arial"/>
        </w:rPr>
      </w:pPr>
      <w:r w:rsidRPr="00364868">
        <w:rPr>
          <w:rFonts w:ascii="Arial" w:hAnsi="Arial" w:cs="Arial"/>
          <w:lang w:val="pt-PT"/>
        </w:rPr>
        <w:t xml:space="preserve">Oliveira, A. (2019) ‘Do ethos à praxis: Carreiras DIY na cena musical independente em Portugal’. </w:t>
      </w:r>
      <w:r w:rsidRPr="00364868">
        <w:rPr>
          <w:rFonts w:ascii="Arial" w:hAnsi="Arial" w:cs="Arial"/>
        </w:rPr>
        <w:t>Edited by P. Guerra and L. Dabul, pp. 421–442. Available at: https://doi.org/10.21747/9789898969187/deva25.</w:t>
      </w:r>
    </w:p>
    <w:p w14:paraId="22A0CCF9" w14:textId="77777777" w:rsidR="00B73E6D" w:rsidRPr="00364868" w:rsidRDefault="00B73E6D" w:rsidP="00B73E6D">
      <w:pPr>
        <w:pStyle w:val="Bibliografia"/>
        <w:rPr>
          <w:rFonts w:ascii="Arial" w:hAnsi="Arial" w:cs="Arial"/>
          <w:lang w:val="pt-PT"/>
        </w:rPr>
      </w:pPr>
      <w:r w:rsidRPr="00364868">
        <w:rPr>
          <w:rFonts w:ascii="Arial" w:hAnsi="Arial" w:cs="Arial"/>
        </w:rPr>
        <w:lastRenderedPageBreak/>
        <w:t xml:space="preserve">Peters, M.D.J. </w:t>
      </w:r>
      <w:r w:rsidRPr="00364868">
        <w:rPr>
          <w:rFonts w:ascii="Arial" w:hAnsi="Arial" w:cs="Arial"/>
          <w:i/>
          <w:iCs/>
        </w:rPr>
        <w:t>et al.</w:t>
      </w:r>
      <w:r w:rsidRPr="00364868">
        <w:rPr>
          <w:rFonts w:ascii="Arial" w:hAnsi="Arial" w:cs="Arial"/>
        </w:rPr>
        <w:t xml:space="preserve"> (2015) ‘Guidance for conducting systematic scoping reviews’, </w:t>
      </w:r>
      <w:r w:rsidRPr="00364868">
        <w:rPr>
          <w:rFonts w:ascii="Arial" w:hAnsi="Arial" w:cs="Arial"/>
          <w:i/>
          <w:iCs/>
        </w:rPr>
        <w:t>International Journal of Evidence-Based Healthcare</w:t>
      </w:r>
      <w:r w:rsidRPr="00364868">
        <w:rPr>
          <w:rFonts w:ascii="Arial" w:hAnsi="Arial" w:cs="Arial"/>
        </w:rPr>
        <w:t xml:space="preserve">, 13(3), pp. 141–146. </w:t>
      </w:r>
      <w:r w:rsidRPr="00364868">
        <w:rPr>
          <w:rFonts w:ascii="Arial" w:hAnsi="Arial" w:cs="Arial"/>
          <w:lang w:val="pt-PT"/>
        </w:rPr>
        <w:t>Available at: https://doi.org/10.1097/XEB.0000000000000050.</w:t>
      </w:r>
    </w:p>
    <w:p w14:paraId="0DE44314" w14:textId="77777777" w:rsidR="00B73E6D" w:rsidRPr="00364868" w:rsidRDefault="00B73E6D" w:rsidP="00B73E6D">
      <w:pPr>
        <w:pStyle w:val="Bibliografia"/>
        <w:rPr>
          <w:rFonts w:ascii="Arial" w:hAnsi="Arial" w:cs="Arial"/>
          <w:lang w:val="pt-PT"/>
        </w:rPr>
      </w:pPr>
      <w:r w:rsidRPr="00364868">
        <w:rPr>
          <w:rFonts w:ascii="Arial" w:hAnsi="Arial" w:cs="Arial"/>
          <w:lang w:val="pt-PT"/>
        </w:rPr>
        <w:t>Pinto, F.S.M. (2019) ‘Ansiedade na performance musical: a perspetiva de estudantes de uma escola do ensino superior’. Available at: http://hdl.handle.net/10400.22/15166 (Accessed: 10 May 2025).</w:t>
      </w:r>
    </w:p>
    <w:p w14:paraId="08EE08D9" w14:textId="77777777" w:rsidR="00B73E6D" w:rsidRPr="00364868" w:rsidRDefault="00B73E6D" w:rsidP="00B73E6D">
      <w:pPr>
        <w:pStyle w:val="Bibliografia"/>
        <w:rPr>
          <w:rFonts w:ascii="Arial" w:hAnsi="Arial" w:cs="Arial"/>
        </w:rPr>
      </w:pPr>
      <w:r w:rsidRPr="00364868">
        <w:rPr>
          <w:rFonts w:ascii="Arial" w:hAnsi="Arial" w:cs="Arial"/>
          <w:lang w:val="pt-PT"/>
        </w:rPr>
        <w:t xml:space="preserve">Pires, M.V.P. (2015) </w:t>
      </w:r>
      <w:r w:rsidRPr="00364868">
        <w:rPr>
          <w:rFonts w:ascii="Arial" w:hAnsi="Arial" w:cs="Arial"/>
          <w:i/>
          <w:iCs/>
          <w:lang w:val="pt-PT"/>
        </w:rPr>
        <w:t>A acupunctura como forma de controlo da ansiedade na performance e de resolução de patologias músculo-esqueléticas em músicos</w:t>
      </w:r>
      <w:r w:rsidRPr="00364868">
        <w:rPr>
          <w:rFonts w:ascii="Arial" w:hAnsi="Arial" w:cs="Arial"/>
          <w:lang w:val="pt-PT"/>
        </w:rPr>
        <w:t xml:space="preserve">. masterThesis. </w:t>
      </w:r>
      <w:r w:rsidRPr="00364868">
        <w:rPr>
          <w:rFonts w:ascii="Arial" w:hAnsi="Arial" w:cs="Arial"/>
        </w:rPr>
        <w:t>Universidade de Aveiro. Available at: https://ria.ua.pt/handle/10773/15870 (Accessed: 10 May 2025).</w:t>
      </w:r>
    </w:p>
    <w:p w14:paraId="2ED61140" w14:textId="77777777" w:rsidR="00B73E6D" w:rsidRPr="00364868" w:rsidRDefault="00B73E6D" w:rsidP="00B73E6D">
      <w:pPr>
        <w:pStyle w:val="Bibliografia"/>
        <w:rPr>
          <w:rFonts w:ascii="Arial" w:hAnsi="Arial" w:cs="Arial"/>
        </w:rPr>
      </w:pPr>
      <w:r w:rsidRPr="00364868">
        <w:rPr>
          <w:rFonts w:ascii="Arial" w:hAnsi="Arial" w:cs="Arial"/>
          <w:lang w:val="pt-PT"/>
        </w:rPr>
        <w:t xml:space="preserve">Quinta, P. (2014) ‘Ansiedade na Performance, Educar para Prevenir’. </w:t>
      </w:r>
      <w:r w:rsidRPr="00364868">
        <w:rPr>
          <w:rFonts w:ascii="Arial" w:hAnsi="Arial" w:cs="Arial"/>
        </w:rPr>
        <w:t>Available at: http://hdl.handle.net/10400.26/13172 (Accessed: 10 May 2025).</w:t>
      </w:r>
    </w:p>
    <w:p w14:paraId="6560825D" w14:textId="77777777" w:rsidR="00B73E6D" w:rsidRPr="00364868" w:rsidRDefault="00B73E6D" w:rsidP="00B73E6D">
      <w:pPr>
        <w:pStyle w:val="Bibliografia"/>
        <w:rPr>
          <w:rFonts w:ascii="Arial" w:hAnsi="Arial" w:cs="Arial"/>
        </w:rPr>
      </w:pPr>
      <w:r w:rsidRPr="00364868">
        <w:rPr>
          <w:rFonts w:ascii="Arial" w:hAnsi="Arial" w:cs="Arial"/>
        </w:rPr>
        <w:t xml:space="preserve">Ramos, P.R. (2013) ‘Validity and Efficiency of Breath Exercises to reduce stage fright at the music classroom’, in </w:t>
      </w:r>
      <w:r w:rsidRPr="00364868">
        <w:rPr>
          <w:rFonts w:ascii="Arial" w:hAnsi="Arial" w:cs="Arial"/>
          <w:i/>
          <w:iCs/>
        </w:rPr>
        <w:t>Revista Internacional de Educación Musical</w:t>
      </w:r>
      <w:r w:rsidRPr="00364868">
        <w:rPr>
          <w:rFonts w:ascii="Arial" w:hAnsi="Arial" w:cs="Arial"/>
        </w:rPr>
        <w:t>, pp. 23–30. Available at: https://doi.org/10.12967/RIEM-2013-1-p023-030.</w:t>
      </w:r>
    </w:p>
    <w:p w14:paraId="427619E1" w14:textId="77777777" w:rsidR="00B73E6D" w:rsidRPr="00364868" w:rsidRDefault="00B73E6D" w:rsidP="00B73E6D">
      <w:pPr>
        <w:pStyle w:val="Bibliografia"/>
        <w:rPr>
          <w:rFonts w:ascii="Arial" w:hAnsi="Arial" w:cs="Arial"/>
        </w:rPr>
      </w:pPr>
      <w:r w:rsidRPr="00364868">
        <w:rPr>
          <w:rFonts w:ascii="Arial" w:hAnsi="Arial" w:cs="Arial"/>
        </w:rPr>
        <w:t xml:space="preserve">Sousa, C.M. </w:t>
      </w:r>
      <w:r w:rsidRPr="00364868">
        <w:rPr>
          <w:rFonts w:ascii="Arial" w:hAnsi="Arial" w:cs="Arial"/>
          <w:i/>
          <w:iCs/>
        </w:rPr>
        <w:t>et al.</w:t>
      </w:r>
      <w:r w:rsidRPr="00364868">
        <w:rPr>
          <w:rFonts w:ascii="Arial" w:hAnsi="Arial" w:cs="Arial"/>
        </w:rPr>
        <w:t xml:space="preserve"> (2016) ‘Occupational Diseases of Professional Orchestra Musicians from Northern Portugal: A Descriptive Study’, </w:t>
      </w:r>
      <w:r w:rsidRPr="00364868">
        <w:rPr>
          <w:rFonts w:ascii="Arial" w:hAnsi="Arial" w:cs="Arial"/>
          <w:i/>
          <w:iCs/>
        </w:rPr>
        <w:t>Medical Problems of Performing Artists</w:t>
      </w:r>
      <w:r w:rsidRPr="00364868">
        <w:rPr>
          <w:rFonts w:ascii="Arial" w:hAnsi="Arial" w:cs="Arial"/>
        </w:rPr>
        <w:t>, 31(1), pp. 8–12. Available at: https://doi.org/10.21091/mppa.2016.1002.</w:t>
      </w:r>
    </w:p>
    <w:p w14:paraId="47CB9C63" w14:textId="77777777" w:rsidR="00B73E6D" w:rsidRPr="00364868" w:rsidRDefault="00B73E6D" w:rsidP="00B73E6D">
      <w:pPr>
        <w:pStyle w:val="Bibliografia"/>
        <w:rPr>
          <w:rFonts w:ascii="Arial" w:hAnsi="Arial" w:cs="Arial"/>
        </w:rPr>
      </w:pPr>
      <w:r w:rsidRPr="00364868">
        <w:rPr>
          <w:rFonts w:ascii="Arial" w:hAnsi="Arial" w:cs="Arial"/>
        </w:rPr>
        <w:t xml:space="preserve">Steptoe, A. (1982) ‘Performance Anxiety. Recent Developments in Its Analysis and Management’, </w:t>
      </w:r>
      <w:r w:rsidRPr="00364868">
        <w:rPr>
          <w:rFonts w:ascii="Arial" w:hAnsi="Arial" w:cs="Arial"/>
          <w:i/>
          <w:iCs/>
        </w:rPr>
        <w:t>The Musical Times</w:t>
      </w:r>
      <w:r w:rsidRPr="00364868">
        <w:rPr>
          <w:rFonts w:ascii="Arial" w:hAnsi="Arial" w:cs="Arial"/>
        </w:rPr>
        <w:t>, 123(1674), p. 537. Available at: https://doi.org/10.2307/962763.</w:t>
      </w:r>
    </w:p>
    <w:p w14:paraId="693B5F06" w14:textId="77777777" w:rsidR="00B73E6D" w:rsidRPr="00364868" w:rsidRDefault="00B73E6D" w:rsidP="00B73E6D">
      <w:pPr>
        <w:pStyle w:val="Bibliografia"/>
        <w:rPr>
          <w:rFonts w:ascii="Arial" w:hAnsi="Arial" w:cs="Arial"/>
        </w:rPr>
      </w:pPr>
      <w:r w:rsidRPr="00364868">
        <w:rPr>
          <w:rFonts w:ascii="Arial" w:hAnsi="Arial" w:cs="Arial"/>
        </w:rPr>
        <w:t xml:space="preserve">Steptoe, A. (2001) ‘Negative Emotions In Music Making: The Problem Of Performance Anxiety’, in P.N. Juslin and J.A. Sloboda (eds) </w:t>
      </w:r>
      <w:r w:rsidRPr="00364868">
        <w:rPr>
          <w:rFonts w:ascii="Arial" w:hAnsi="Arial" w:cs="Arial"/>
          <w:i/>
          <w:iCs/>
        </w:rPr>
        <w:t>Music And Emotion: Theory and research</w:t>
      </w:r>
      <w:r w:rsidRPr="00364868">
        <w:rPr>
          <w:rFonts w:ascii="Arial" w:hAnsi="Arial" w:cs="Arial"/>
        </w:rPr>
        <w:t>. Oxford University Press, p. 0. Available at: https://doi.org/10.1093/oso/9780192631886.003.0013.</w:t>
      </w:r>
    </w:p>
    <w:p w14:paraId="25B959F3" w14:textId="77777777" w:rsidR="00B73E6D" w:rsidRPr="00364868" w:rsidRDefault="00B73E6D" w:rsidP="00B73E6D">
      <w:pPr>
        <w:pStyle w:val="Bibliografia"/>
        <w:rPr>
          <w:rFonts w:ascii="Arial" w:hAnsi="Arial" w:cs="Arial"/>
        </w:rPr>
      </w:pPr>
      <w:r w:rsidRPr="00364868">
        <w:rPr>
          <w:rFonts w:ascii="Arial" w:hAnsi="Arial" w:cs="Arial"/>
        </w:rPr>
        <w:t xml:space="preserve">Tempera, A.R.C. (2018) </w:t>
      </w:r>
      <w:r w:rsidRPr="00364868">
        <w:rPr>
          <w:rFonts w:ascii="Arial" w:hAnsi="Arial" w:cs="Arial"/>
          <w:i/>
          <w:iCs/>
        </w:rPr>
        <w:t>Music performance anxiety among classical musicians: strategies for improving performance and applications for classical guitarists</w:t>
      </w:r>
      <w:r w:rsidRPr="00364868">
        <w:rPr>
          <w:rFonts w:ascii="Arial" w:hAnsi="Arial" w:cs="Arial"/>
        </w:rPr>
        <w:t>. doctoralThesis. Universidade de Évora. Available at: https://dspace.uevora.pt/rdpc/handle/10174/23812 (Accessed: 10 May 2025).</w:t>
      </w:r>
    </w:p>
    <w:p w14:paraId="52BC80EA" w14:textId="77777777" w:rsidR="00B73E6D" w:rsidRPr="00364868" w:rsidRDefault="00B73E6D" w:rsidP="00B73E6D">
      <w:pPr>
        <w:pStyle w:val="Bibliografia"/>
        <w:rPr>
          <w:rFonts w:ascii="Arial" w:hAnsi="Arial" w:cs="Arial"/>
        </w:rPr>
      </w:pPr>
      <w:r w:rsidRPr="00364868">
        <w:rPr>
          <w:rFonts w:ascii="Arial" w:hAnsi="Arial" w:cs="Arial"/>
          <w:lang w:val="pt-PT"/>
        </w:rPr>
        <w:t xml:space="preserve">Trigo, P.G.R. (2015) </w:t>
      </w:r>
      <w:r w:rsidRPr="00364868">
        <w:rPr>
          <w:rFonts w:ascii="Arial" w:hAnsi="Arial" w:cs="Arial"/>
          <w:i/>
          <w:iCs/>
          <w:lang w:val="pt-PT"/>
        </w:rPr>
        <w:t>Contributos para a validação do Music Performance Anxiety Inventory for Adolescents (MPAI-A) na língua portuguesa</w:t>
      </w:r>
      <w:r w:rsidRPr="00364868">
        <w:rPr>
          <w:rFonts w:ascii="Arial" w:hAnsi="Arial" w:cs="Arial"/>
          <w:lang w:val="pt-PT"/>
        </w:rPr>
        <w:t xml:space="preserve">. masterThesis. </w:t>
      </w:r>
      <w:r w:rsidRPr="00364868">
        <w:rPr>
          <w:rFonts w:ascii="Arial" w:hAnsi="Arial" w:cs="Arial"/>
        </w:rPr>
        <w:t>Universidade de Aveiro. Available at: https://ria.ua.pt/handle/10773/15880 (Accessed: 10 May 2025).</w:t>
      </w:r>
    </w:p>
    <w:p w14:paraId="24AA6F58" w14:textId="77777777" w:rsidR="00B73E6D" w:rsidRPr="00364868" w:rsidRDefault="00B73E6D" w:rsidP="00B73E6D">
      <w:pPr>
        <w:pStyle w:val="Bibliografia"/>
        <w:rPr>
          <w:rFonts w:ascii="Arial" w:hAnsi="Arial" w:cs="Arial"/>
        </w:rPr>
      </w:pPr>
      <w:r w:rsidRPr="00364868">
        <w:rPr>
          <w:rFonts w:ascii="Arial" w:hAnsi="Arial" w:cs="Arial"/>
        </w:rPr>
        <w:t xml:space="preserve">Xiao and Watson, Y. and M. (2019) </w:t>
      </w:r>
      <w:r w:rsidRPr="00364868">
        <w:rPr>
          <w:rFonts w:ascii="Arial" w:hAnsi="Arial" w:cs="Arial"/>
          <w:i/>
          <w:iCs/>
        </w:rPr>
        <w:t>Guidance on Conducting a Systematic Literature Review</w:t>
      </w:r>
      <w:r w:rsidRPr="00364868">
        <w:rPr>
          <w:rFonts w:ascii="Arial" w:hAnsi="Arial" w:cs="Arial"/>
        </w:rPr>
        <w:t>. Available at: https://doi.org/10.1177/0739456X17723971.</w:t>
      </w:r>
    </w:p>
    <w:p w14:paraId="397E50BF" w14:textId="77777777" w:rsidR="00B73E6D" w:rsidRPr="00364868" w:rsidRDefault="00B73E6D" w:rsidP="00B73E6D">
      <w:pPr>
        <w:pStyle w:val="Bibliografia"/>
        <w:rPr>
          <w:rFonts w:ascii="Arial" w:hAnsi="Arial" w:cs="Arial"/>
        </w:rPr>
      </w:pPr>
      <w:r w:rsidRPr="00364868">
        <w:rPr>
          <w:rFonts w:ascii="Arial" w:hAnsi="Arial" w:cs="Arial"/>
        </w:rPr>
        <w:t xml:space="preserve">Zhukov, K. (2019) ‘Current Approaches for Management of Music Performance Anxiety: An Introductory Overview’, </w:t>
      </w:r>
      <w:r w:rsidRPr="00364868">
        <w:rPr>
          <w:rFonts w:ascii="Arial" w:hAnsi="Arial" w:cs="Arial"/>
          <w:i/>
          <w:iCs/>
        </w:rPr>
        <w:t>Medical Problems of Performing Artists</w:t>
      </w:r>
      <w:r w:rsidRPr="00364868">
        <w:rPr>
          <w:rFonts w:ascii="Arial" w:hAnsi="Arial" w:cs="Arial"/>
        </w:rPr>
        <w:t>, 34(1), pp. 53–60. Available at: https://doi.org/10.21091/mppa.2019.1008.</w:t>
      </w:r>
    </w:p>
    <w:p w14:paraId="3DEC77B1" w14:textId="77777777" w:rsidR="008E497B" w:rsidRDefault="008E497B" w:rsidP="008E497B">
      <w:pPr>
        <w:spacing w:line="360" w:lineRule="auto"/>
        <w:jc w:val="both"/>
        <w:rPr>
          <w:rFonts w:ascii="Arial" w:hAnsi="Arial" w:cs="Arial"/>
          <w:sz w:val="24"/>
          <w:szCs w:val="24"/>
        </w:rPr>
      </w:pPr>
      <w:r w:rsidRPr="00364868">
        <w:rPr>
          <w:rFonts w:ascii="Arial" w:hAnsi="Arial" w:cs="Arial"/>
          <w:sz w:val="24"/>
          <w:szCs w:val="24"/>
        </w:rPr>
        <w:fldChar w:fldCharType="end"/>
      </w:r>
    </w:p>
    <w:p w14:paraId="7B2CFDB2" w14:textId="77777777" w:rsidR="00C21DD5" w:rsidRDefault="00C21DD5" w:rsidP="008E497B">
      <w:pPr>
        <w:spacing w:line="360" w:lineRule="auto"/>
        <w:jc w:val="both"/>
        <w:rPr>
          <w:rFonts w:ascii="Arial" w:hAnsi="Arial" w:cs="Arial"/>
          <w:sz w:val="24"/>
          <w:szCs w:val="24"/>
        </w:rPr>
      </w:pPr>
    </w:p>
    <w:p w14:paraId="0CF32F1F" w14:textId="77777777" w:rsidR="00C21DD5" w:rsidRDefault="00C21DD5" w:rsidP="008E497B">
      <w:pPr>
        <w:spacing w:line="360" w:lineRule="auto"/>
        <w:jc w:val="both"/>
        <w:rPr>
          <w:rFonts w:ascii="Arial" w:hAnsi="Arial" w:cs="Arial"/>
          <w:sz w:val="24"/>
          <w:szCs w:val="24"/>
        </w:rPr>
      </w:pPr>
    </w:p>
    <w:p w14:paraId="704CF5D9" w14:textId="6339229F" w:rsidR="00C21DD5" w:rsidRDefault="00C21DD5" w:rsidP="008E497B">
      <w:pPr>
        <w:spacing w:line="360" w:lineRule="auto"/>
        <w:jc w:val="both"/>
        <w:rPr>
          <w:rFonts w:ascii="Arial" w:hAnsi="Arial" w:cs="Arial"/>
          <w:sz w:val="24"/>
          <w:szCs w:val="24"/>
        </w:rPr>
      </w:pPr>
      <w:r>
        <w:rPr>
          <w:rFonts w:ascii="Arial" w:hAnsi="Arial" w:cs="Arial"/>
          <w:sz w:val="24"/>
          <w:szCs w:val="24"/>
        </w:rPr>
        <w:lastRenderedPageBreak/>
        <w:t>APPENDIX:</w:t>
      </w:r>
    </w:p>
    <w:p w14:paraId="468AB4DA" w14:textId="77777777" w:rsidR="00C21DD5" w:rsidRDefault="00C21DD5" w:rsidP="008E497B">
      <w:pPr>
        <w:spacing w:line="360" w:lineRule="auto"/>
        <w:jc w:val="both"/>
        <w:rPr>
          <w:rFonts w:ascii="Arial" w:hAnsi="Arial" w:cs="Arial"/>
          <w:sz w:val="24"/>
          <w:szCs w:val="24"/>
        </w:rPr>
      </w:pPr>
    </w:p>
    <w:p w14:paraId="60F52BD8" w14:textId="7C0E0D01" w:rsidR="00C21DD5" w:rsidRDefault="00C21DD5" w:rsidP="00C21DD5">
      <w:pPr>
        <w:spacing w:line="360" w:lineRule="auto"/>
        <w:rPr>
          <w:rFonts w:ascii="Arial" w:hAnsi="Arial" w:cs="Arial"/>
          <w:b/>
          <w:bCs/>
          <w:sz w:val="24"/>
          <w:szCs w:val="24"/>
        </w:rPr>
      </w:pPr>
      <w:r w:rsidRPr="00C21DD5">
        <w:rPr>
          <w:rFonts w:ascii="Arial" w:hAnsi="Arial" w:cs="Arial"/>
          <w:b/>
          <w:bCs/>
          <w:sz w:val="24"/>
          <w:szCs w:val="24"/>
        </w:rPr>
        <w:t>Table A1</w:t>
      </w:r>
    </w:p>
    <w:p w14:paraId="5D84A01B" w14:textId="77777777" w:rsidR="00C21DD5" w:rsidRPr="00C21DD5" w:rsidRDefault="00C21DD5" w:rsidP="00C21DD5">
      <w:pPr>
        <w:spacing w:line="360" w:lineRule="auto"/>
        <w:rPr>
          <w:rFonts w:ascii="Arial" w:hAnsi="Arial" w:cs="Arial"/>
          <w:b/>
          <w:bCs/>
          <w:sz w:val="24"/>
          <w:szCs w:val="24"/>
        </w:rPr>
      </w:pPr>
    </w:p>
    <w:p w14:paraId="389FE2EC" w14:textId="77777777" w:rsidR="00C21DD5" w:rsidRPr="000E16E8" w:rsidRDefault="00C21DD5" w:rsidP="00C21DD5">
      <w:pPr>
        <w:spacing w:line="360" w:lineRule="auto"/>
        <w:jc w:val="both"/>
        <w:rPr>
          <w:rFonts w:ascii="Arial" w:hAnsi="Arial" w:cs="Arial"/>
          <w:b/>
          <w:bCs/>
          <w:sz w:val="24"/>
          <w:szCs w:val="24"/>
        </w:rPr>
      </w:pPr>
      <w:r w:rsidRPr="000E16E8">
        <w:rPr>
          <w:rFonts w:ascii="Arial" w:eastAsia="MS Gothic" w:hAnsi="Arial" w:cs="Arial"/>
          <w:b/>
          <w:bCs/>
        </w:rPr>
        <w:t>Non-Pharmacological Strategies for Music Performance Anxiety (MPA) Based on Ely (1991)</w:t>
      </w:r>
    </w:p>
    <w:tbl>
      <w:tblPr>
        <w:tblStyle w:val="TabelacomGrelha"/>
        <w:tblW w:w="0" w:type="auto"/>
        <w:tblInd w:w="0" w:type="dxa"/>
        <w:tblLook w:val="04A0" w:firstRow="1" w:lastRow="0" w:firstColumn="1" w:lastColumn="0" w:noHBand="0" w:noVBand="1"/>
      </w:tblPr>
      <w:tblGrid>
        <w:gridCol w:w="2835"/>
        <w:gridCol w:w="2829"/>
        <w:gridCol w:w="2830"/>
      </w:tblGrid>
      <w:tr w:rsidR="00C21DD5" w:rsidRPr="000E16E8" w14:paraId="27364564" w14:textId="77777777" w:rsidTr="007E5BF7">
        <w:tc>
          <w:tcPr>
            <w:tcW w:w="2880" w:type="dxa"/>
            <w:tcBorders>
              <w:top w:val="single" w:sz="4" w:space="0" w:color="auto"/>
              <w:left w:val="single" w:sz="4" w:space="0" w:color="auto"/>
              <w:bottom w:val="single" w:sz="4" w:space="0" w:color="auto"/>
              <w:right w:val="single" w:sz="4" w:space="0" w:color="auto"/>
            </w:tcBorders>
            <w:hideMark/>
          </w:tcPr>
          <w:p w14:paraId="68D14F53" w14:textId="77777777" w:rsidR="00C21DD5" w:rsidRPr="000E16E8" w:rsidRDefault="00C21DD5" w:rsidP="007E5BF7">
            <w:pPr>
              <w:rPr>
                <w:rFonts w:ascii="Arial" w:hAnsi="Arial" w:cs="Arial"/>
                <w:sz w:val="20"/>
                <w:szCs w:val="20"/>
              </w:rPr>
            </w:pPr>
            <w:r w:rsidRPr="000E16E8">
              <w:rPr>
                <w:rFonts w:ascii="Arial" w:hAnsi="Arial" w:cs="Arial"/>
                <w:sz w:val="20"/>
                <w:szCs w:val="20"/>
              </w:rPr>
              <w:t>Strategy</w:t>
            </w:r>
          </w:p>
        </w:tc>
        <w:tc>
          <w:tcPr>
            <w:tcW w:w="2880" w:type="dxa"/>
            <w:tcBorders>
              <w:top w:val="single" w:sz="4" w:space="0" w:color="auto"/>
              <w:left w:val="single" w:sz="4" w:space="0" w:color="auto"/>
              <w:bottom w:val="single" w:sz="4" w:space="0" w:color="auto"/>
              <w:right w:val="single" w:sz="4" w:space="0" w:color="auto"/>
            </w:tcBorders>
            <w:hideMark/>
          </w:tcPr>
          <w:p w14:paraId="40DD09F4" w14:textId="77777777" w:rsidR="00C21DD5" w:rsidRPr="000E16E8" w:rsidRDefault="00C21DD5" w:rsidP="007E5BF7">
            <w:pPr>
              <w:rPr>
                <w:rFonts w:ascii="Arial" w:hAnsi="Arial" w:cs="Arial"/>
                <w:sz w:val="20"/>
                <w:szCs w:val="20"/>
              </w:rPr>
            </w:pPr>
            <w:r w:rsidRPr="000E16E8">
              <w:rPr>
                <w:rFonts w:ascii="Arial" w:hAnsi="Arial" w:cs="Arial"/>
                <w:sz w:val="20"/>
                <w:szCs w:val="20"/>
              </w:rPr>
              <w:t>Description</w:t>
            </w:r>
          </w:p>
        </w:tc>
        <w:tc>
          <w:tcPr>
            <w:tcW w:w="2880" w:type="dxa"/>
            <w:tcBorders>
              <w:top w:val="single" w:sz="4" w:space="0" w:color="auto"/>
              <w:left w:val="single" w:sz="4" w:space="0" w:color="auto"/>
              <w:bottom w:val="single" w:sz="4" w:space="0" w:color="auto"/>
              <w:right w:val="single" w:sz="4" w:space="0" w:color="auto"/>
            </w:tcBorders>
            <w:hideMark/>
          </w:tcPr>
          <w:p w14:paraId="7AD3B792" w14:textId="77777777" w:rsidR="00C21DD5" w:rsidRPr="000E16E8" w:rsidRDefault="00C21DD5" w:rsidP="007E5BF7">
            <w:pPr>
              <w:rPr>
                <w:rFonts w:ascii="Arial" w:hAnsi="Arial" w:cs="Arial"/>
                <w:sz w:val="20"/>
                <w:szCs w:val="20"/>
              </w:rPr>
            </w:pPr>
            <w:r w:rsidRPr="000E16E8">
              <w:rPr>
                <w:rFonts w:ascii="Arial" w:hAnsi="Arial" w:cs="Arial"/>
                <w:sz w:val="20"/>
                <w:szCs w:val="20"/>
              </w:rPr>
              <w:t>Key Components / Techniques</w:t>
            </w:r>
          </w:p>
        </w:tc>
      </w:tr>
      <w:tr w:rsidR="00C21DD5" w:rsidRPr="000E16E8" w14:paraId="1A8A982E" w14:textId="77777777" w:rsidTr="007E5BF7">
        <w:tc>
          <w:tcPr>
            <w:tcW w:w="2880" w:type="dxa"/>
            <w:tcBorders>
              <w:top w:val="single" w:sz="4" w:space="0" w:color="auto"/>
              <w:left w:val="single" w:sz="4" w:space="0" w:color="auto"/>
              <w:bottom w:val="single" w:sz="4" w:space="0" w:color="auto"/>
              <w:right w:val="single" w:sz="4" w:space="0" w:color="auto"/>
            </w:tcBorders>
            <w:hideMark/>
          </w:tcPr>
          <w:p w14:paraId="6810CFCA" w14:textId="77777777" w:rsidR="00C21DD5" w:rsidRPr="000E16E8" w:rsidRDefault="00C21DD5" w:rsidP="007E5BF7">
            <w:pPr>
              <w:rPr>
                <w:rFonts w:ascii="Arial" w:hAnsi="Arial" w:cs="Arial"/>
                <w:sz w:val="20"/>
                <w:szCs w:val="20"/>
              </w:rPr>
            </w:pPr>
            <w:r w:rsidRPr="000E16E8">
              <w:rPr>
                <w:rFonts w:ascii="Arial" w:hAnsi="Arial" w:cs="Arial"/>
                <w:sz w:val="20"/>
                <w:szCs w:val="20"/>
              </w:rPr>
              <w:t>Relaxation Techniques</w:t>
            </w:r>
          </w:p>
        </w:tc>
        <w:tc>
          <w:tcPr>
            <w:tcW w:w="2880" w:type="dxa"/>
            <w:tcBorders>
              <w:top w:val="single" w:sz="4" w:space="0" w:color="auto"/>
              <w:left w:val="single" w:sz="4" w:space="0" w:color="auto"/>
              <w:bottom w:val="single" w:sz="4" w:space="0" w:color="auto"/>
              <w:right w:val="single" w:sz="4" w:space="0" w:color="auto"/>
            </w:tcBorders>
            <w:hideMark/>
          </w:tcPr>
          <w:p w14:paraId="680056A4" w14:textId="77777777" w:rsidR="00C21DD5" w:rsidRPr="000E16E8" w:rsidRDefault="00C21DD5" w:rsidP="007E5BF7">
            <w:pPr>
              <w:rPr>
                <w:rFonts w:ascii="Arial" w:hAnsi="Arial" w:cs="Arial"/>
                <w:sz w:val="20"/>
                <w:szCs w:val="20"/>
              </w:rPr>
            </w:pPr>
            <w:r w:rsidRPr="000E16E8">
              <w:rPr>
                <w:rFonts w:ascii="Arial" w:hAnsi="Arial" w:cs="Arial"/>
                <w:sz w:val="20"/>
                <w:szCs w:val="20"/>
              </w:rPr>
              <w:t>Targets physiological symptoms of anxiety to promote calmness and bodily control.</w:t>
            </w:r>
          </w:p>
        </w:tc>
        <w:tc>
          <w:tcPr>
            <w:tcW w:w="2880" w:type="dxa"/>
            <w:tcBorders>
              <w:top w:val="single" w:sz="4" w:space="0" w:color="auto"/>
              <w:left w:val="single" w:sz="4" w:space="0" w:color="auto"/>
              <w:bottom w:val="single" w:sz="4" w:space="0" w:color="auto"/>
              <w:right w:val="single" w:sz="4" w:space="0" w:color="auto"/>
            </w:tcBorders>
            <w:hideMark/>
          </w:tcPr>
          <w:p w14:paraId="7008BEBF" w14:textId="77777777" w:rsidR="00C21DD5" w:rsidRPr="000E16E8" w:rsidRDefault="00C21DD5" w:rsidP="007E5BF7">
            <w:pPr>
              <w:rPr>
                <w:rFonts w:ascii="Arial" w:hAnsi="Arial" w:cs="Arial"/>
                <w:sz w:val="20"/>
                <w:szCs w:val="20"/>
              </w:rPr>
            </w:pPr>
            <w:r w:rsidRPr="000E16E8">
              <w:rPr>
                <w:rFonts w:ascii="Arial" w:hAnsi="Arial" w:cs="Arial"/>
                <w:sz w:val="20"/>
                <w:szCs w:val="20"/>
              </w:rPr>
              <w:t>Progressive Muscle Relaxation (PMR), Deep Breathing, Meditation, Guided Imagery</w:t>
            </w:r>
          </w:p>
        </w:tc>
      </w:tr>
      <w:tr w:rsidR="00C21DD5" w:rsidRPr="000E16E8" w14:paraId="180EA901" w14:textId="77777777" w:rsidTr="007E5BF7">
        <w:tc>
          <w:tcPr>
            <w:tcW w:w="2880" w:type="dxa"/>
            <w:tcBorders>
              <w:top w:val="single" w:sz="4" w:space="0" w:color="auto"/>
              <w:left w:val="single" w:sz="4" w:space="0" w:color="auto"/>
              <w:bottom w:val="single" w:sz="4" w:space="0" w:color="auto"/>
              <w:right w:val="single" w:sz="4" w:space="0" w:color="auto"/>
            </w:tcBorders>
            <w:hideMark/>
          </w:tcPr>
          <w:p w14:paraId="51FCDAAD" w14:textId="77777777" w:rsidR="00C21DD5" w:rsidRPr="000E16E8" w:rsidRDefault="00C21DD5" w:rsidP="007E5BF7">
            <w:pPr>
              <w:rPr>
                <w:rFonts w:ascii="Arial" w:hAnsi="Arial" w:cs="Arial"/>
                <w:sz w:val="20"/>
                <w:szCs w:val="20"/>
              </w:rPr>
            </w:pPr>
            <w:r w:rsidRPr="000E16E8">
              <w:rPr>
                <w:rFonts w:ascii="Arial" w:hAnsi="Arial" w:cs="Arial"/>
                <w:sz w:val="20"/>
                <w:szCs w:val="20"/>
              </w:rPr>
              <w:t>Psychotherapy</w:t>
            </w:r>
          </w:p>
        </w:tc>
        <w:tc>
          <w:tcPr>
            <w:tcW w:w="2880" w:type="dxa"/>
            <w:tcBorders>
              <w:top w:val="single" w:sz="4" w:space="0" w:color="auto"/>
              <w:left w:val="single" w:sz="4" w:space="0" w:color="auto"/>
              <w:bottom w:val="single" w:sz="4" w:space="0" w:color="auto"/>
              <w:right w:val="single" w:sz="4" w:space="0" w:color="auto"/>
            </w:tcBorders>
            <w:hideMark/>
          </w:tcPr>
          <w:p w14:paraId="6C5E0100" w14:textId="77777777" w:rsidR="00C21DD5" w:rsidRPr="000E16E8" w:rsidRDefault="00C21DD5" w:rsidP="007E5BF7">
            <w:pPr>
              <w:rPr>
                <w:rFonts w:ascii="Arial" w:hAnsi="Arial" w:cs="Arial"/>
                <w:sz w:val="20"/>
                <w:szCs w:val="20"/>
              </w:rPr>
            </w:pPr>
            <w:r w:rsidRPr="000E16E8">
              <w:rPr>
                <w:rFonts w:ascii="Arial" w:hAnsi="Arial" w:cs="Arial"/>
                <w:sz w:val="20"/>
                <w:szCs w:val="20"/>
              </w:rPr>
              <w:t>Addresses cognitive and emotional roots of anxiety, often through cognitive-behavioral therapy (CBT).</w:t>
            </w:r>
          </w:p>
        </w:tc>
        <w:tc>
          <w:tcPr>
            <w:tcW w:w="2880" w:type="dxa"/>
            <w:tcBorders>
              <w:top w:val="single" w:sz="4" w:space="0" w:color="auto"/>
              <w:left w:val="single" w:sz="4" w:space="0" w:color="auto"/>
              <w:bottom w:val="single" w:sz="4" w:space="0" w:color="auto"/>
              <w:right w:val="single" w:sz="4" w:space="0" w:color="auto"/>
            </w:tcBorders>
            <w:hideMark/>
          </w:tcPr>
          <w:p w14:paraId="6D595B40" w14:textId="77777777" w:rsidR="00C21DD5" w:rsidRPr="000E16E8" w:rsidRDefault="00C21DD5" w:rsidP="007E5BF7">
            <w:pPr>
              <w:rPr>
                <w:rFonts w:ascii="Arial" w:hAnsi="Arial" w:cs="Arial"/>
                <w:sz w:val="20"/>
                <w:szCs w:val="20"/>
              </w:rPr>
            </w:pPr>
            <w:r w:rsidRPr="000E16E8">
              <w:rPr>
                <w:rFonts w:ascii="Arial" w:hAnsi="Arial" w:cs="Arial"/>
                <w:sz w:val="20"/>
                <w:szCs w:val="20"/>
              </w:rPr>
              <w:t>Identifying irrational beliefs, emotional regulation, building coping mechanisms</w:t>
            </w:r>
          </w:p>
        </w:tc>
      </w:tr>
      <w:tr w:rsidR="00C21DD5" w:rsidRPr="000E16E8" w14:paraId="766BCA26" w14:textId="77777777" w:rsidTr="007E5BF7">
        <w:tc>
          <w:tcPr>
            <w:tcW w:w="2880" w:type="dxa"/>
            <w:tcBorders>
              <w:top w:val="single" w:sz="4" w:space="0" w:color="auto"/>
              <w:left w:val="single" w:sz="4" w:space="0" w:color="auto"/>
              <w:bottom w:val="single" w:sz="4" w:space="0" w:color="auto"/>
              <w:right w:val="single" w:sz="4" w:space="0" w:color="auto"/>
            </w:tcBorders>
            <w:hideMark/>
          </w:tcPr>
          <w:p w14:paraId="05763D7F" w14:textId="77777777" w:rsidR="00C21DD5" w:rsidRPr="000E16E8" w:rsidRDefault="00C21DD5" w:rsidP="007E5BF7">
            <w:pPr>
              <w:rPr>
                <w:rFonts w:ascii="Arial" w:hAnsi="Arial" w:cs="Arial"/>
                <w:sz w:val="20"/>
                <w:szCs w:val="20"/>
              </w:rPr>
            </w:pPr>
            <w:r w:rsidRPr="000E16E8">
              <w:rPr>
                <w:rFonts w:ascii="Arial" w:hAnsi="Arial" w:cs="Arial"/>
                <w:sz w:val="20"/>
                <w:szCs w:val="20"/>
              </w:rPr>
              <w:t>Imagery (Mental Rehearsal)</w:t>
            </w:r>
          </w:p>
        </w:tc>
        <w:tc>
          <w:tcPr>
            <w:tcW w:w="2880" w:type="dxa"/>
            <w:tcBorders>
              <w:top w:val="single" w:sz="4" w:space="0" w:color="auto"/>
              <w:left w:val="single" w:sz="4" w:space="0" w:color="auto"/>
              <w:bottom w:val="single" w:sz="4" w:space="0" w:color="auto"/>
              <w:right w:val="single" w:sz="4" w:space="0" w:color="auto"/>
            </w:tcBorders>
            <w:hideMark/>
          </w:tcPr>
          <w:p w14:paraId="2421D21B" w14:textId="77777777" w:rsidR="00C21DD5" w:rsidRPr="000E16E8" w:rsidRDefault="00C21DD5" w:rsidP="007E5BF7">
            <w:pPr>
              <w:rPr>
                <w:rFonts w:ascii="Arial" w:hAnsi="Arial" w:cs="Arial"/>
                <w:sz w:val="20"/>
                <w:szCs w:val="20"/>
              </w:rPr>
            </w:pPr>
            <w:r w:rsidRPr="000E16E8">
              <w:rPr>
                <w:rFonts w:ascii="Arial" w:hAnsi="Arial" w:cs="Arial"/>
                <w:sz w:val="20"/>
                <w:szCs w:val="20"/>
              </w:rPr>
              <w:t>Improves confidence by mentally simulating successful performance scenarios.</w:t>
            </w:r>
          </w:p>
        </w:tc>
        <w:tc>
          <w:tcPr>
            <w:tcW w:w="2880" w:type="dxa"/>
            <w:tcBorders>
              <w:top w:val="single" w:sz="4" w:space="0" w:color="auto"/>
              <w:left w:val="single" w:sz="4" w:space="0" w:color="auto"/>
              <w:bottom w:val="single" w:sz="4" w:space="0" w:color="auto"/>
              <w:right w:val="single" w:sz="4" w:space="0" w:color="auto"/>
            </w:tcBorders>
            <w:hideMark/>
          </w:tcPr>
          <w:p w14:paraId="40862CA7" w14:textId="77777777" w:rsidR="00C21DD5" w:rsidRPr="000E16E8" w:rsidRDefault="00C21DD5" w:rsidP="007E5BF7">
            <w:pPr>
              <w:rPr>
                <w:rFonts w:ascii="Arial" w:hAnsi="Arial" w:cs="Arial"/>
                <w:sz w:val="20"/>
                <w:szCs w:val="20"/>
              </w:rPr>
            </w:pPr>
            <w:r w:rsidRPr="000E16E8">
              <w:rPr>
                <w:rFonts w:ascii="Arial" w:hAnsi="Arial" w:cs="Arial"/>
                <w:sz w:val="20"/>
                <w:szCs w:val="20"/>
              </w:rPr>
              <w:t>Visualization of stage scenarios, mental repetition, pairing with physical practice</w:t>
            </w:r>
          </w:p>
        </w:tc>
      </w:tr>
      <w:tr w:rsidR="00C21DD5" w:rsidRPr="000E16E8" w14:paraId="4BB3EF51" w14:textId="77777777" w:rsidTr="007E5BF7">
        <w:tc>
          <w:tcPr>
            <w:tcW w:w="2880" w:type="dxa"/>
            <w:tcBorders>
              <w:top w:val="single" w:sz="4" w:space="0" w:color="auto"/>
              <w:left w:val="single" w:sz="4" w:space="0" w:color="auto"/>
              <w:bottom w:val="single" w:sz="4" w:space="0" w:color="auto"/>
              <w:right w:val="single" w:sz="4" w:space="0" w:color="auto"/>
            </w:tcBorders>
            <w:hideMark/>
          </w:tcPr>
          <w:p w14:paraId="2036F896" w14:textId="77777777" w:rsidR="00C21DD5" w:rsidRPr="000E16E8" w:rsidRDefault="00C21DD5" w:rsidP="007E5BF7">
            <w:pPr>
              <w:rPr>
                <w:rFonts w:ascii="Arial" w:hAnsi="Arial" w:cs="Arial"/>
                <w:sz w:val="20"/>
                <w:szCs w:val="20"/>
              </w:rPr>
            </w:pPr>
            <w:r w:rsidRPr="000E16E8">
              <w:rPr>
                <w:rFonts w:ascii="Arial" w:hAnsi="Arial" w:cs="Arial"/>
                <w:sz w:val="20"/>
                <w:szCs w:val="20"/>
              </w:rPr>
              <w:t>Systematic Desensitization</w:t>
            </w:r>
          </w:p>
        </w:tc>
        <w:tc>
          <w:tcPr>
            <w:tcW w:w="2880" w:type="dxa"/>
            <w:tcBorders>
              <w:top w:val="single" w:sz="4" w:space="0" w:color="auto"/>
              <w:left w:val="single" w:sz="4" w:space="0" w:color="auto"/>
              <w:bottom w:val="single" w:sz="4" w:space="0" w:color="auto"/>
              <w:right w:val="single" w:sz="4" w:space="0" w:color="auto"/>
            </w:tcBorders>
            <w:hideMark/>
          </w:tcPr>
          <w:p w14:paraId="77EB51CE" w14:textId="77777777" w:rsidR="00C21DD5" w:rsidRPr="000E16E8" w:rsidRDefault="00C21DD5" w:rsidP="007E5BF7">
            <w:pPr>
              <w:rPr>
                <w:rFonts w:ascii="Arial" w:hAnsi="Arial" w:cs="Arial"/>
                <w:sz w:val="20"/>
                <w:szCs w:val="20"/>
              </w:rPr>
            </w:pPr>
            <w:r w:rsidRPr="000E16E8">
              <w:rPr>
                <w:rFonts w:ascii="Arial" w:hAnsi="Arial" w:cs="Arial"/>
                <w:sz w:val="20"/>
                <w:szCs w:val="20"/>
              </w:rPr>
              <w:t>Gradual exposure to performance situations to reduce fear response.</w:t>
            </w:r>
          </w:p>
        </w:tc>
        <w:tc>
          <w:tcPr>
            <w:tcW w:w="2880" w:type="dxa"/>
            <w:tcBorders>
              <w:top w:val="single" w:sz="4" w:space="0" w:color="auto"/>
              <w:left w:val="single" w:sz="4" w:space="0" w:color="auto"/>
              <w:bottom w:val="single" w:sz="4" w:space="0" w:color="auto"/>
              <w:right w:val="single" w:sz="4" w:space="0" w:color="auto"/>
            </w:tcBorders>
            <w:hideMark/>
          </w:tcPr>
          <w:p w14:paraId="19AE3856" w14:textId="77777777" w:rsidR="00C21DD5" w:rsidRPr="000E16E8" w:rsidRDefault="00C21DD5" w:rsidP="007E5BF7">
            <w:pPr>
              <w:rPr>
                <w:rFonts w:ascii="Arial" w:hAnsi="Arial" w:cs="Arial"/>
                <w:sz w:val="20"/>
                <w:szCs w:val="20"/>
              </w:rPr>
            </w:pPr>
            <w:r w:rsidRPr="000E16E8">
              <w:rPr>
                <w:rFonts w:ascii="Arial" w:hAnsi="Arial" w:cs="Arial"/>
                <w:sz w:val="20"/>
                <w:szCs w:val="20"/>
              </w:rPr>
              <w:t>Hierarchy of anxiety-provoking tasks, pairing exposure with relaxation, gradual progression</w:t>
            </w:r>
          </w:p>
        </w:tc>
      </w:tr>
      <w:tr w:rsidR="00C21DD5" w:rsidRPr="000E16E8" w14:paraId="7B4CF5DE" w14:textId="77777777" w:rsidTr="007E5BF7">
        <w:tc>
          <w:tcPr>
            <w:tcW w:w="2880" w:type="dxa"/>
            <w:tcBorders>
              <w:top w:val="single" w:sz="4" w:space="0" w:color="auto"/>
              <w:left w:val="single" w:sz="4" w:space="0" w:color="auto"/>
              <w:bottom w:val="single" w:sz="4" w:space="0" w:color="auto"/>
              <w:right w:val="single" w:sz="4" w:space="0" w:color="auto"/>
            </w:tcBorders>
            <w:hideMark/>
          </w:tcPr>
          <w:p w14:paraId="50F0D97B" w14:textId="77777777" w:rsidR="00C21DD5" w:rsidRPr="000E16E8" w:rsidRDefault="00C21DD5" w:rsidP="007E5BF7">
            <w:pPr>
              <w:rPr>
                <w:rFonts w:ascii="Arial" w:hAnsi="Arial" w:cs="Arial"/>
                <w:sz w:val="20"/>
                <w:szCs w:val="20"/>
              </w:rPr>
            </w:pPr>
            <w:r w:rsidRPr="000E16E8">
              <w:rPr>
                <w:rFonts w:ascii="Arial" w:hAnsi="Arial" w:cs="Arial"/>
                <w:sz w:val="20"/>
                <w:szCs w:val="20"/>
              </w:rPr>
              <w:t>Cognitive Restructuring</w:t>
            </w:r>
          </w:p>
        </w:tc>
        <w:tc>
          <w:tcPr>
            <w:tcW w:w="2880" w:type="dxa"/>
            <w:tcBorders>
              <w:top w:val="single" w:sz="4" w:space="0" w:color="auto"/>
              <w:left w:val="single" w:sz="4" w:space="0" w:color="auto"/>
              <w:bottom w:val="single" w:sz="4" w:space="0" w:color="auto"/>
              <w:right w:val="single" w:sz="4" w:space="0" w:color="auto"/>
            </w:tcBorders>
            <w:hideMark/>
          </w:tcPr>
          <w:p w14:paraId="42D42278" w14:textId="77777777" w:rsidR="00C21DD5" w:rsidRPr="000E16E8" w:rsidRDefault="00C21DD5" w:rsidP="007E5BF7">
            <w:pPr>
              <w:rPr>
                <w:rFonts w:ascii="Arial" w:hAnsi="Arial" w:cs="Arial"/>
                <w:sz w:val="20"/>
                <w:szCs w:val="20"/>
              </w:rPr>
            </w:pPr>
            <w:r w:rsidRPr="000E16E8">
              <w:rPr>
                <w:rFonts w:ascii="Arial" w:hAnsi="Arial" w:cs="Arial"/>
                <w:sz w:val="20"/>
                <w:szCs w:val="20"/>
              </w:rPr>
              <w:t>Replaces negative automatic thoughts with rational, supportive alternatives.</w:t>
            </w:r>
          </w:p>
        </w:tc>
        <w:tc>
          <w:tcPr>
            <w:tcW w:w="2880" w:type="dxa"/>
            <w:tcBorders>
              <w:top w:val="single" w:sz="4" w:space="0" w:color="auto"/>
              <w:left w:val="single" w:sz="4" w:space="0" w:color="auto"/>
              <w:bottom w:val="single" w:sz="4" w:space="0" w:color="auto"/>
              <w:right w:val="single" w:sz="4" w:space="0" w:color="auto"/>
            </w:tcBorders>
            <w:hideMark/>
          </w:tcPr>
          <w:p w14:paraId="5F3B26D0" w14:textId="77777777" w:rsidR="00C21DD5" w:rsidRPr="000E16E8" w:rsidRDefault="00C21DD5" w:rsidP="007E5BF7">
            <w:pPr>
              <w:rPr>
                <w:rFonts w:ascii="Arial" w:hAnsi="Arial" w:cs="Arial"/>
                <w:sz w:val="20"/>
                <w:szCs w:val="20"/>
              </w:rPr>
            </w:pPr>
            <w:r w:rsidRPr="000E16E8">
              <w:rPr>
                <w:rFonts w:ascii="Arial" w:hAnsi="Arial" w:cs="Arial"/>
                <w:sz w:val="20"/>
                <w:szCs w:val="20"/>
              </w:rPr>
              <w:t>Identifying negative thoughts, reframing, mindfulness, self-affirmation</w:t>
            </w:r>
          </w:p>
        </w:tc>
      </w:tr>
      <w:tr w:rsidR="00C21DD5" w:rsidRPr="000E16E8" w14:paraId="410B284F" w14:textId="77777777" w:rsidTr="007E5BF7">
        <w:tc>
          <w:tcPr>
            <w:tcW w:w="2880" w:type="dxa"/>
            <w:tcBorders>
              <w:top w:val="single" w:sz="4" w:space="0" w:color="auto"/>
              <w:left w:val="single" w:sz="4" w:space="0" w:color="auto"/>
              <w:bottom w:val="single" w:sz="4" w:space="0" w:color="auto"/>
              <w:right w:val="single" w:sz="4" w:space="0" w:color="auto"/>
            </w:tcBorders>
            <w:hideMark/>
          </w:tcPr>
          <w:p w14:paraId="52812C99" w14:textId="77777777" w:rsidR="00C21DD5" w:rsidRPr="000E16E8" w:rsidRDefault="00C21DD5" w:rsidP="007E5BF7">
            <w:pPr>
              <w:rPr>
                <w:rFonts w:ascii="Arial" w:hAnsi="Arial" w:cs="Arial"/>
                <w:sz w:val="20"/>
                <w:szCs w:val="20"/>
              </w:rPr>
            </w:pPr>
            <w:r w:rsidRPr="000E16E8">
              <w:rPr>
                <w:rFonts w:ascii="Arial" w:hAnsi="Arial" w:cs="Arial"/>
                <w:sz w:val="20"/>
                <w:szCs w:val="20"/>
              </w:rPr>
              <w:t>Routines and Preparation</w:t>
            </w:r>
          </w:p>
        </w:tc>
        <w:tc>
          <w:tcPr>
            <w:tcW w:w="2880" w:type="dxa"/>
            <w:tcBorders>
              <w:top w:val="single" w:sz="4" w:space="0" w:color="auto"/>
              <w:left w:val="single" w:sz="4" w:space="0" w:color="auto"/>
              <w:bottom w:val="single" w:sz="4" w:space="0" w:color="auto"/>
              <w:right w:val="single" w:sz="4" w:space="0" w:color="auto"/>
            </w:tcBorders>
            <w:hideMark/>
          </w:tcPr>
          <w:p w14:paraId="4098D99A" w14:textId="77777777" w:rsidR="00C21DD5" w:rsidRPr="000E16E8" w:rsidRDefault="00C21DD5" w:rsidP="007E5BF7">
            <w:pPr>
              <w:rPr>
                <w:rFonts w:ascii="Arial" w:hAnsi="Arial" w:cs="Arial"/>
                <w:sz w:val="20"/>
                <w:szCs w:val="20"/>
              </w:rPr>
            </w:pPr>
            <w:r w:rsidRPr="000E16E8">
              <w:rPr>
                <w:rFonts w:ascii="Arial" w:hAnsi="Arial" w:cs="Arial"/>
                <w:sz w:val="20"/>
                <w:szCs w:val="20"/>
              </w:rPr>
              <w:t>Reduces uncertainty and enhances control through structured rehearsal and pre-performance rituals.</w:t>
            </w:r>
          </w:p>
        </w:tc>
        <w:tc>
          <w:tcPr>
            <w:tcW w:w="2880" w:type="dxa"/>
            <w:tcBorders>
              <w:top w:val="single" w:sz="4" w:space="0" w:color="auto"/>
              <w:left w:val="single" w:sz="4" w:space="0" w:color="auto"/>
              <w:bottom w:val="single" w:sz="4" w:space="0" w:color="auto"/>
              <w:right w:val="single" w:sz="4" w:space="0" w:color="auto"/>
            </w:tcBorders>
            <w:hideMark/>
          </w:tcPr>
          <w:p w14:paraId="42E0B1A0" w14:textId="77777777" w:rsidR="00C21DD5" w:rsidRPr="000E16E8" w:rsidRDefault="00C21DD5" w:rsidP="007E5BF7">
            <w:pPr>
              <w:rPr>
                <w:rFonts w:ascii="Arial" w:hAnsi="Arial" w:cs="Arial"/>
                <w:sz w:val="20"/>
                <w:szCs w:val="20"/>
              </w:rPr>
            </w:pPr>
            <w:r w:rsidRPr="000E16E8">
              <w:rPr>
                <w:rFonts w:ascii="Arial" w:hAnsi="Arial" w:cs="Arial"/>
                <w:sz w:val="20"/>
                <w:szCs w:val="20"/>
              </w:rPr>
              <w:t>Simulated performance, warm-up routines, reviewing past successes</w:t>
            </w:r>
          </w:p>
        </w:tc>
      </w:tr>
    </w:tbl>
    <w:p w14:paraId="4878F418" w14:textId="77777777" w:rsidR="00C21DD5" w:rsidRDefault="00C21DD5" w:rsidP="008E497B">
      <w:pPr>
        <w:spacing w:line="360" w:lineRule="auto"/>
        <w:jc w:val="both"/>
        <w:rPr>
          <w:rFonts w:ascii="Arial" w:hAnsi="Arial" w:cs="Arial"/>
          <w:sz w:val="24"/>
          <w:szCs w:val="24"/>
        </w:rPr>
      </w:pPr>
    </w:p>
    <w:p w14:paraId="2CCCFD58" w14:textId="77777777" w:rsidR="00C21DD5" w:rsidRDefault="00C21DD5" w:rsidP="008E497B">
      <w:pPr>
        <w:spacing w:line="360" w:lineRule="auto"/>
        <w:jc w:val="both"/>
        <w:rPr>
          <w:rFonts w:ascii="Arial" w:hAnsi="Arial" w:cs="Arial"/>
          <w:sz w:val="24"/>
          <w:szCs w:val="24"/>
        </w:rPr>
      </w:pPr>
    </w:p>
    <w:p w14:paraId="162332DA" w14:textId="77777777" w:rsidR="00C21DD5" w:rsidRDefault="00C21DD5" w:rsidP="008E497B">
      <w:pPr>
        <w:spacing w:line="360" w:lineRule="auto"/>
        <w:jc w:val="both"/>
        <w:rPr>
          <w:rFonts w:ascii="Arial" w:hAnsi="Arial" w:cs="Arial"/>
          <w:sz w:val="24"/>
          <w:szCs w:val="24"/>
        </w:rPr>
      </w:pPr>
    </w:p>
    <w:p w14:paraId="61AC2575" w14:textId="77777777" w:rsidR="00C21DD5" w:rsidRDefault="00C21DD5" w:rsidP="008E497B">
      <w:pPr>
        <w:spacing w:line="360" w:lineRule="auto"/>
        <w:jc w:val="both"/>
        <w:rPr>
          <w:rFonts w:ascii="Arial" w:hAnsi="Arial" w:cs="Arial"/>
          <w:sz w:val="24"/>
          <w:szCs w:val="24"/>
        </w:rPr>
      </w:pPr>
    </w:p>
    <w:p w14:paraId="5C6B6EA5" w14:textId="77777777" w:rsidR="00C21DD5" w:rsidRDefault="00C21DD5" w:rsidP="008E497B">
      <w:pPr>
        <w:spacing w:line="360" w:lineRule="auto"/>
        <w:jc w:val="both"/>
        <w:rPr>
          <w:rFonts w:ascii="Arial" w:hAnsi="Arial" w:cs="Arial"/>
          <w:sz w:val="24"/>
          <w:szCs w:val="24"/>
        </w:rPr>
      </w:pPr>
    </w:p>
    <w:p w14:paraId="007A1514" w14:textId="77777777" w:rsidR="00C21DD5" w:rsidRDefault="00C21DD5" w:rsidP="008E497B">
      <w:pPr>
        <w:spacing w:line="360" w:lineRule="auto"/>
        <w:jc w:val="both"/>
        <w:rPr>
          <w:rFonts w:ascii="Arial" w:hAnsi="Arial" w:cs="Arial"/>
          <w:sz w:val="24"/>
          <w:szCs w:val="24"/>
        </w:rPr>
      </w:pPr>
    </w:p>
    <w:p w14:paraId="71AFC5AB" w14:textId="77777777" w:rsidR="00C21DD5" w:rsidRDefault="00C21DD5" w:rsidP="008E497B">
      <w:pPr>
        <w:spacing w:line="360" w:lineRule="auto"/>
        <w:jc w:val="both"/>
        <w:rPr>
          <w:rFonts w:ascii="Arial" w:hAnsi="Arial" w:cs="Arial"/>
          <w:sz w:val="24"/>
          <w:szCs w:val="24"/>
        </w:rPr>
      </w:pPr>
    </w:p>
    <w:p w14:paraId="2D99DB37" w14:textId="77777777" w:rsidR="00C21DD5" w:rsidRDefault="00C21DD5" w:rsidP="008E497B">
      <w:pPr>
        <w:spacing w:line="360" w:lineRule="auto"/>
        <w:jc w:val="both"/>
        <w:rPr>
          <w:rFonts w:ascii="Arial" w:hAnsi="Arial" w:cs="Arial"/>
          <w:sz w:val="24"/>
          <w:szCs w:val="24"/>
        </w:rPr>
      </w:pPr>
    </w:p>
    <w:p w14:paraId="0C6F12D5" w14:textId="77777777" w:rsidR="00C21DD5" w:rsidRDefault="00C21DD5" w:rsidP="008E497B">
      <w:pPr>
        <w:spacing w:line="360" w:lineRule="auto"/>
        <w:jc w:val="both"/>
        <w:rPr>
          <w:rFonts w:ascii="Arial" w:hAnsi="Arial" w:cs="Arial"/>
          <w:b/>
          <w:bCs/>
          <w:sz w:val="24"/>
          <w:szCs w:val="24"/>
        </w:rPr>
      </w:pPr>
    </w:p>
    <w:p w14:paraId="249C6029" w14:textId="4DA7E6D2" w:rsidR="00C21DD5" w:rsidRDefault="00C21DD5" w:rsidP="00C21DD5">
      <w:pPr>
        <w:spacing w:line="360" w:lineRule="auto"/>
        <w:jc w:val="both"/>
        <w:rPr>
          <w:rFonts w:ascii="Arial" w:hAnsi="Arial" w:cs="Arial"/>
          <w:b/>
          <w:bCs/>
          <w:sz w:val="24"/>
          <w:szCs w:val="24"/>
        </w:rPr>
      </w:pPr>
      <w:r w:rsidRPr="00C21DD5">
        <w:rPr>
          <w:rFonts w:ascii="Arial" w:hAnsi="Arial" w:cs="Arial"/>
          <w:b/>
          <w:bCs/>
          <w:sz w:val="24"/>
          <w:szCs w:val="24"/>
        </w:rPr>
        <w:lastRenderedPageBreak/>
        <w:t>Table A2</w:t>
      </w:r>
    </w:p>
    <w:p w14:paraId="13BB4BDC" w14:textId="77777777" w:rsidR="00C21DD5" w:rsidRDefault="00C21DD5" w:rsidP="00C21DD5">
      <w:pPr>
        <w:spacing w:line="360" w:lineRule="auto"/>
        <w:jc w:val="both"/>
        <w:rPr>
          <w:rFonts w:ascii="Arial" w:hAnsi="Arial" w:cs="Arial"/>
          <w:b/>
          <w:bCs/>
          <w:sz w:val="24"/>
          <w:szCs w:val="24"/>
        </w:rPr>
      </w:pPr>
    </w:p>
    <w:p w14:paraId="5DA389C1" w14:textId="493F8349" w:rsidR="00C21DD5" w:rsidRPr="006E3DA7" w:rsidRDefault="00C21DD5" w:rsidP="00C21DD5">
      <w:pPr>
        <w:spacing w:line="360" w:lineRule="auto"/>
        <w:jc w:val="both"/>
        <w:rPr>
          <w:rFonts w:ascii="Arial" w:eastAsia="MS Gothic" w:hAnsi="Arial" w:cs="Arial"/>
          <w:b/>
          <w:bCs/>
          <w:sz w:val="28"/>
          <w:szCs w:val="28"/>
        </w:rPr>
      </w:pPr>
      <w:r w:rsidRPr="006E3DA7">
        <w:rPr>
          <w:rFonts w:ascii="Arial" w:eastAsia="MS Gothic" w:hAnsi="Arial" w:cs="Arial"/>
          <w:b/>
          <w:bCs/>
          <w:sz w:val="24"/>
          <w:szCs w:val="24"/>
        </w:rPr>
        <w:t xml:space="preserve">Summary Table: MPA Treatment Strategies Identified by </w:t>
      </w:r>
      <w:r w:rsidRPr="006E3DA7">
        <w:rPr>
          <w:rFonts w:ascii="Arial" w:eastAsia="MS Gothic" w:hAnsi="Arial" w:cs="Arial"/>
          <w:b/>
          <w:bCs/>
        </w:rPr>
        <w:t>Kenny (2005)</w:t>
      </w:r>
    </w:p>
    <w:tbl>
      <w:tblPr>
        <w:tblStyle w:val="TabelacomGrelha"/>
        <w:tblW w:w="0" w:type="auto"/>
        <w:tblInd w:w="0" w:type="dxa"/>
        <w:tblLook w:val="04A0" w:firstRow="1" w:lastRow="0" w:firstColumn="1" w:lastColumn="0" w:noHBand="0" w:noVBand="1"/>
      </w:tblPr>
      <w:tblGrid>
        <w:gridCol w:w="2125"/>
        <w:gridCol w:w="2102"/>
        <w:gridCol w:w="2157"/>
        <w:gridCol w:w="2110"/>
      </w:tblGrid>
      <w:tr w:rsidR="00C21DD5" w:rsidRPr="006E3DA7" w14:paraId="09E75ECE"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65E8A074" w14:textId="77777777" w:rsidR="00C21DD5" w:rsidRPr="006E3DA7" w:rsidRDefault="00C21DD5" w:rsidP="007E5BF7">
            <w:pPr>
              <w:rPr>
                <w:rFonts w:ascii="Arial" w:hAnsi="Arial" w:cs="Arial"/>
                <w:sz w:val="20"/>
                <w:szCs w:val="20"/>
              </w:rPr>
            </w:pPr>
            <w:r w:rsidRPr="006E3DA7">
              <w:rPr>
                <w:rFonts w:ascii="Arial" w:hAnsi="Arial" w:cs="Arial"/>
                <w:sz w:val="20"/>
                <w:szCs w:val="20"/>
              </w:rPr>
              <w:t>Treatment Type</w:t>
            </w:r>
          </w:p>
        </w:tc>
        <w:tc>
          <w:tcPr>
            <w:tcW w:w="2160" w:type="dxa"/>
            <w:tcBorders>
              <w:top w:val="single" w:sz="4" w:space="0" w:color="auto"/>
              <w:left w:val="single" w:sz="4" w:space="0" w:color="auto"/>
              <w:bottom w:val="single" w:sz="4" w:space="0" w:color="auto"/>
              <w:right w:val="single" w:sz="4" w:space="0" w:color="auto"/>
            </w:tcBorders>
            <w:hideMark/>
          </w:tcPr>
          <w:p w14:paraId="28607F33" w14:textId="77777777" w:rsidR="00C21DD5" w:rsidRPr="006E3DA7" w:rsidRDefault="00C21DD5" w:rsidP="007E5BF7">
            <w:pPr>
              <w:rPr>
                <w:rFonts w:ascii="Arial" w:hAnsi="Arial" w:cs="Arial"/>
                <w:sz w:val="20"/>
                <w:szCs w:val="20"/>
              </w:rPr>
            </w:pPr>
            <w:r w:rsidRPr="006E3DA7">
              <w:rPr>
                <w:rFonts w:ascii="Arial" w:hAnsi="Arial" w:cs="Arial"/>
                <w:sz w:val="20"/>
                <w:szCs w:val="20"/>
              </w:rPr>
              <w:t>Description</w:t>
            </w:r>
          </w:p>
        </w:tc>
        <w:tc>
          <w:tcPr>
            <w:tcW w:w="2160" w:type="dxa"/>
            <w:tcBorders>
              <w:top w:val="single" w:sz="4" w:space="0" w:color="auto"/>
              <w:left w:val="single" w:sz="4" w:space="0" w:color="auto"/>
              <w:bottom w:val="single" w:sz="4" w:space="0" w:color="auto"/>
              <w:right w:val="single" w:sz="4" w:space="0" w:color="auto"/>
            </w:tcBorders>
            <w:hideMark/>
          </w:tcPr>
          <w:p w14:paraId="18FC8113" w14:textId="77777777" w:rsidR="00C21DD5" w:rsidRPr="006E3DA7" w:rsidRDefault="00C21DD5" w:rsidP="007E5BF7">
            <w:pPr>
              <w:rPr>
                <w:rFonts w:ascii="Arial" w:hAnsi="Arial" w:cs="Arial"/>
                <w:sz w:val="20"/>
                <w:szCs w:val="20"/>
              </w:rPr>
            </w:pPr>
            <w:r w:rsidRPr="006E3DA7">
              <w:rPr>
                <w:rFonts w:ascii="Arial" w:hAnsi="Arial" w:cs="Arial"/>
                <w:sz w:val="20"/>
                <w:szCs w:val="20"/>
              </w:rPr>
              <w:t>Key Techniques</w:t>
            </w:r>
          </w:p>
        </w:tc>
        <w:tc>
          <w:tcPr>
            <w:tcW w:w="2160" w:type="dxa"/>
            <w:tcBorders>
              <w:top w:val="single" w:sz="4" w:space="0" w:color="auto"/>
              <w:left w:val="single" w:sz="4" w:space="0" w:color="auto"/>
              <w:bottom w:val="single" w:sz="4" w:space="0" w:color="auto"/>
              <w:right w:val="single" w:sz="4" w:space="0" w:color="auto"/>
            </w:tcBorders>
            <w:hideMark/>
          </w:tcPr>
          <w:p w14:paraId="29F07C90" w14:textId="77777777" w:rsidR="00C21DD5" w:rsidRPr="006E3DA7" w:rsidRDefault="00C21DD5" w:rsidP="007E5BF7">
            <w:pPr>
              <w:rPr>
                <w:rFonts w:ascii="Arial" w:hAnsi="Arial" w:cs="Arial"/>
                <w:sz w:val="20"/>
                <w:szCs w:val="20"/>
              </w:rPr>
            </w:pPr>
            <w:r w:rsidRPr="006E3DA7">
              <w:rPr>
                <w:rFonts w:ascii="Arial" w:hAnsi="Arial" w:cs="Arial"/>
                <w:sz w:val="20"/>
                <w:szCs w:val="20"/>
              </w:rPr>
              <w:t>Effectiveness</w:t>
            </w:r>
          </w:p>
        </w:tc>
      </w:tr>
      <w:tr w:rsidR="00C21DD5" w:rsidRPr="006E3DA7" w14:paraId="3A114A43"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0C2CCB0C" w14:textId="77777777" w:rsidR="00C21DD5" w:rsidRPr="006E3DA7" w:rsidRDefault="00C21DD5" w:rsidP="007E5BF7">
            <w:pPr>
              <w:rPr>
                <w:rFonts w:ascii="Arial" w:hAnsi="Arial" w:cs="Arial"/>
                <w:sz w:val="20"/>
                <w:szCs w:val="20"/>
              </w:rPr>
            </w:pPr>
            <w:r w:rsidRPr="006E3DA7">
              <w:rPr>
                <w:rFonts w:ascii="Arial" w:hAnsi="Arial" w:cs="Arial"/>
                <w:sz w:val="20"/>
                <w:szCs w:val="20"/>
              </w:rPr>
              <w:t>Behavioral</w:t>
            </w:r>
          </w:p>
        </w:tc>
        <w:tc>
          <w:tcPr>
            <w:tcW w:w="2160" w:type="dxa"/>
            <w:tcBorders>
              <w:top w:val="single" w:sz="4" w:space="0" w:color="auto"/>
              <w:left w:val="single" w:sz="4" w:space="0" w:color="auto"/>
              <w:bottom w:val="single" w:sz="4" w:space="0" w:color="auto"/>
              <w:right w:val="single" w:sz="4" w:space="0" w:color="auto"/>
            </w:tcBorders>
            <w:hideMark/>
          </w:tcPr>
          <w:p w14:paraId="2D764668" w14:textId="77777777" w:rsidR="00C21DD5" w:rsidRPr="006E3DA7" w:rsidRDefault="00C21DD5" w:rsidP="007E5BF7">
            <w:pPr>
              <w:rPr>
                <w:rFonts w:ascii="Arial" w:hAnsi="Arial" w:cs="Arial"/>
                <w:sz w:val="20"/>
                <w:szCs w:val="20"/>
              </w:rPr>
            </w:pPr>
            <w:r w:rsidRPr="006E3DA7">
              <w:rPr>
                <w:rFonts w:ascii="Arial" w:hAnsi="Arial" w:cs="Arial"/>
                <w:sz w:val="20"/>
                <w:szCs w:val="20"/>
              </w:rPr>
              <w:t>Focus on altering physical reactions and behaviors</w:t>
            </w:r>
          </w:p>
        </w:tc>
        <w:tc>
          <w:tcPr>
            <w:tcW w:w="2160" w:type="dxa"/>
            <w:tcBorders>
              <w:top w:val="single" w:sz="4" w:space="0" w:color="auto"/>
              <w:left w:val="single" w:sz="4" w:space="0" w:color="auto"/>
              <w:bottom w:val="single" w:sz="4" w:space="0" w:color="auto"/>
              <w:right w:val="single" w:sz="4" w:space="0" w:color="auto"/>
            </w:tcBorders>
            <w:hideMark/>
          </w:tcPr>
          <w:p w14:paraId="2D77BC5B" w14:textId="77777777" w:rsidR="00C21DD5" w:rsidRPr="006E3DA7" w:rsidRDefault="00C21DD5" w:rsidP="007E5BF7">
            <w:pPr>
              <w:rPr>
                <w:rFonts w:ascii="Arial" w:hAnsi="Arial" w:cs="Arial"/>
                <w:sz w:val="20"/>
                <w:szCs w:val="20"/>
              </w:rPr>
            </w:pPr>
            <w:r w:rsidRPr="006E3DA7">
              <w:rPr>
                <w:rFonts w:ascii="Arial" w:hAnsi="Arial" w:cs="Arial"/>
                <w:sz w:val="20"/>
                <w:szCs w:val="20"/>
              </w:rPr>
              <w:t>Systematic desensitization, progressive muscle relaxation, behavioral rehearsal</w:t>
            </w:r>
          </w:p>
        </w:tc>
        <w:tc>
          <w:tcPr>
            <w:tcW w:w="2160" w:type="dxa"/>
            <w:tcBorders>
              <w:top w:val="single" w:sz="4" w:space="0" w:color="auto"/>
              <w:left w:val="single" w:sz="4" w:space="0" w:color="auto"/>
              <w:bottom w:val="single" w:sz="4" w:space="0" w:color="auto"/>
              <w:right w:val="single" w:sz="4" w:space="0" w:color="auto"/>
            </w:tcBorders>
            <w:hideMark/>
          </w:tcPr>
          <w:p w14:paraId="6581A7DA" w14:textId="77777777" w:rsidR="00C21DD5" w:rsidRPr="006E3DA7" w:rsidRDefault="00C21DD5" w:rsidP="007E5BF7">
            <w:pPr>
              <w:rPr>
                <w:rFonts w:ascii="Arial" w:hAnsi="Arial" w:cs="Arial"/>
                <w:sz w:val="20"/>
                <w:szCs w:val="20"/>
              </w:rPr>
            </w:pPr>
            <w:r w:rsidRPr="006E3DA7">
              <w:rPr>
                <w:rFonts w:ascii="Arial" w:hAnsi="Arial" w:cs="Arial"/>
                <w:sz w:val="20"/>
                <w:szCs w:val="20"/>
              </w:rPr>
              <w:t>Reduces physical symptoms (e.g., heart rate, muscle tension); inconsistent impact on performance quality</w:t>
            </w:r>
          </w:p>
        </w:tc>
      </w:tr>
      <w:tr w:rsidR="00C21DD5" w:rsidRPr="006E3DA7" w14:paraId="297982AB"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445AADAD" w14:textId="77777777" w:rsidR="00C21DD5" w:rsidRPr="006E3DA7" w:rsidRDefault="00C21DD5" w:rsidP="007E5BF7">
            <w:pPr>
              <w:rPr>
                <w:rFonts w:ascii="Arial" w:hAnsi="Arial" w:cs="Arial"/>
                <w:sz w:val="20"/>
                <w:szCs w:val="20"/>
              </w:rPr>
            </w:pPr>
            <w:r w:rsidRPr="006E3DA7">
              <w:rPr>
                <w:rFonts w:ascii="Arial" w:hAnsi="Arial" w:cs="Arial"/>
                <w:sz w:val="20"/>
                <w:szCs w:val="20"/>
              </w:rPr>
              <w:t>Cognitive</w:t>
            </w:r>
          </w:p>
        </w:tc>
        <w:tc>
          <w:tcPr>
            <w:tcW w:w="2160" w:type="dxa"/>
            <w:tcBorders>
              <w:top w:val="single" w:sz="4" w:space="0" w:color="auto"/>
              <w:left w:val="single" w:sz="4" w:space="0" w:color="auto"/>
              <w:bottom w:val="single" w:sz="4" w:space="0" w:color="auto"/>
              <w:right w:val="single" w:sz="4" w:space="0" w:color="auto"/>
            </w:tcBorders>
            <w:hideMark/>
          </w:tcPr>
          <w:p w14:paraId="65C5AEAC" w14:textId="77777777" w:rsidR="00C21DD5" w:rsidRPr="006E3DA7" w:rsidRDefault="00C21DD5" w:rsidP="007E5BF7">
            <w:pPr>
              <w:rPr>
                <w:rFonts w:ascii="Arial" w:hAnsi="Arial" w:cs="Arial"/>
                <w:sz w:val="20"/>
                <w:szCs w:val="20"/>
              </w:rPr>
            </w:pPr>
            <w:r w:rsidRPr="006E3DA7">
              <w:rPr>
                <w:rFonts w:ascii="Arial" w:hAnsi="Arial" w:cs="Arial"/>
                <w:sz w:val="20"/>
                <w:szCs w:val="20"/>
              </w:rPr>
              <w:t>Targets negative or irrational thought patterns</w:t>
            </w:r>
          </w:p>
        </w:tc>
        <w:tc>
          <w:tcPr>
            <w:tcW w:w="2160" w:type="dxa"/>
            <w:tcBorders>
              <w:top w:val="single" w:sz="4" w:space="0" w:color="auto"/>
              <w:left w:val="single" w:sz="4" w:space="0" w:color="auto"/>
              <w:bottom w:val="single" w:sz="4" w:space="0" w:color="auto"/>
              <w:right w:val="single" w:sz="4" w:space="0" w:color="auto"/>
            </w:tcBorders>
            <w:hideMark/>
          </w:tcPr>
          <w:p w14:paraId="6BCADABE" w14:textId="77777777" w:rsidR="00C21DD5" w:rsidRPr="006E3DA7" w:rsidRDefault="00C21DD5" w:rsidP="007E5BF7">
            <w:pPr>
              <w:rPr>
                <w:rFonts w:ascii="Arial" w:hAnsi="Arial" w:cs="Arial"/>
                <w:sz w:val="20"/>
                <w:szCs w:val="20"/>
              </w:rPr>
            </w:pPr>
            <w:r w:rsidRPr="006E3DA7">
              <w:rPr>
                <w:rFonts w:ascii="Arial" w:hAnsi="Arial" w:cs="Arial"/>
                <w:sz w:val="20"/>
                <w:szCs w:val="20"/>
              </w:rPr>
              <w:t>Cognitive restructuring, positive self-talk, self-instruction</w:t>
            </w:r>
          </w:p>
        </w:tc>
        <w:tc>
          <w:tcPr>
            <w:tcW w:w="2160" w:type="dxa"/>
            <w:tcBorders>
              <w:top w:val="single" w:sz="4" w:space="0" w:color="auto"/>
              <w:left w:val="single" w:sz="4" w:space="0" w:color="auto"/>
              <w:bottom w:val="single" w:sz="4" w:space="0" w:color="auto"/>
              <w:right w:val="single" w:sz="4" w:space="0" w:color="auto"/>
            </w:tcBorders>
            <w:hideMark/>
          </w:tcPr>
          <w:p w14:paraId="60369831" w14:textId="77777777" w:rsidR="00C21DD5" w:rsidRPr="006E3DA7" w:rsidRDefault="00C21DD5" w:rsidP="007E5BF7">
            <w:pPr>
              <w:rPr>
                <w:rFonts w:ascii="Arial" w:hAnsi="Arial" w:cs="Arial"/>
                <w:sz w:val="20"/>
                <w:szCs w:val="20"/>
              </w:rPr>
            </w:pPr>
            <w:r w:rsidRPr="006E3DA7">
              <w:rPr>
                <w:rFonts w:ascii="Arial" w:hAnsi="Arial" w:cs="Arial"/>
                <w:sz w:val="20"/>
                <w:szCs w:val="20"/>
              </w:rPr>
              <w:t>Helpful in reducing anxiety and improving self-efficacy; limited evidence on performance improvement</w:t>
            </w:r>
          </w:p>
        </w:tc>
      </w:tr>
      <w:tr w:rsidR="00C21DD5" w:rsidRPr="006E3DA7" w14:paraId="53403C53"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35969F0E" w14:textId="77777777" w:rsidR="00C21DD5" w:rsidRPr="006E3DA7" w:rsidRDefault="00C21DD5" w:rsidP="007E5BF7">
            <w:pPr>
              <w:rPr>
                <w:rFonts w:ascii="Arial" w:hAnsi="Arial" w:cs="Arial"/>
                <w:sz w:val="20"/>
                <w:szCs w:val="20"/>
              </w:rPr>
            </w:pPr>
            <w:r w:rsidRPr="006E3DA7">
              <w:rPr>
                <w:rFonts w:ascii="Arial" w:hAnsi="Arial" w:cs="Arial"/>
                <w:sz w:val="20"/>
                <w:szCs w:val="20"/>
              </w:rPr>
              <w:t>Cognitive-Behavioral</w:t>
            </w:r>
          </w:p>
        </w:tc>
        <w:tc>
          <w:tcPr>
            <w:tcW w:w="2160" w:type="dxa"/>
            <w:tcBorders>
              <w:top w:val="single" w:sz="4" w:space="0" w:color="auto"/>
              <w:left w:val="single" w:sz="4" w:space="0" w:color="auto"/>
              <w:bottom w:val="single" w:sz="4" w:space="0" w:color="auto"/>
              <w:right w:val="single" w:sz="4" w:space="0" w:color="auto"/>
            </w:tcBorders>
            <w:hideMark/>
          </w:tcPr>
          <w:p w14:paraId="6E60BA1E" w14:textId="77777777" w:rsidR="00C21DD5" w:rsidRPr="006E3DA7" w:rsidRDefault="00C21DD5" w:rsidP="007E5BF7">
            <w:pPr>
              <w:rPr>
                <w:rFonts w:ascii="Arial" w:hAnsi="Arial" w:cs="Arial"/>
                <w:sz w:val="20"/>
                <w:szCs w:val="20"/>
              </w:rPr>
            </w:pPr>
            <w:r w:rsidRPr="006E3DA7">
              <w:rPr>
                <w:rFonts w:ascii="Arial" w:hAnsi="Arial" w:cs="Arial"/>
                <w:sz w:val="20"/>
                <w:szCs w:val="20"/>
              </w:rPr>
              <w:t>Integrates cognitive and behavioral methods</w:t>
            </w:r>
          </w:p>
        </w:tc>
        <w:tc>
          <w:tcPr>
            <w:tcW w:w="2160" w:type="dxa"/>
            <w:tcBorders>
              <w:top w:val="single" w:sz="4" w:space="0" w:color="auto"/>
              <w:left w:val="single" w:sz="4" w:space="0" w:color="auto"/>
              <w:bottom w:val="single" w:sz="4" w:space="0" w:color="auto"/>
              <w:right w:val="single" w:sz="4" w:space="0" w:color="auto"/>
            </w:tcBorders>
            <w:hideMark/>
          </w:tcPr>
          <w:p w14:paraId="0FD10F88" w14:textId="77777777" w:rsidR="00C21DD5" w:rsidRPr="006E3DA7" w:rsidRDefault="00C21DD5" w:rsidP="007E5BF7">
            <w:pPr>
              <w:rPr>
                <w:rFonts w:ascii="Arial" w:hAnsi="Arial" w:cs="Arial"/>
                <w:sz w:val="20"/>
                <w:szCs w:val="20"/>
              </w:rPr>
            </w:pPr>
            <w:r w:rsidRPr="006E3DA7">
              <w:rPr>
                <w:rFonts w:ascii="Arial" w:hAnsi="Arial" w:cs="Arial"/>
                <w:sz w:val="20"/>
                <w:szCs w:val="20"/>
              </w:rPr>
              <w:t>CBT with relaxation, attention training, performance simulation</w:t>
            </w:r>
          </w:p>
        </w:tc>
        <w:tc>
          <w:tcPr>
            <w:tcW w:w="2160" w:type="dxa"/>
            <w:tcBorders>
              <w:top w:val="single" w:sz="4" w:space="0" w:color="auto"/>
              <w:left w:val="single" w:sz="4" w:space="0" w:color="auto"/>
              <w:bottom w:val="single" w:sz="4" w:space="0" w:color="auto"/>
              <w:right w:val="single" w:sz="4" w:space="0" w:color="auto"/>
            </w:tcBorders>
            <w:hideMark/>
          </w:tcPr>
          <w:p w14:paraId="624D86FB" w14:textId="77777777" w:rsidR="00C21DD5" w:rsidRPr="006E3DA7" w:rsidRDefault="00C21DD5" w:rsidP="007E5BF7">
            <w:pPr>
              <w:rPr>
                <w:rFonts w:ascii="Arial" w:hAnsi="Arial" w:cs="Arial"/>
                <w:sz w:val="20"/>
                <w:szCs w:val="20"/>
              </w:rPr>
            </w:pPr>
            <w:r w:rsidRPr="006E3DA7">
              <w:rPr>
                <w:rFonts w:ascii="Arial" w:hAnsi="Arial" w:cs="Arial"/>
                <w:sz w:val="20"/>
                <w:szCs w:val="20"/>
              </w:rPr>
              <w:t>Strongest evidence; consistently improves anxiety, self-efficacy, and performance quality</w:t>
            </w:r>
          </w:p>
        </w:tc>
      </w:tr>
      <w:tr w:rsidR="00C21DD5" w:rsidRPr="006E3DA7" w14:paraId="2F3DEB77"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625720A1" w14:textId="77777777" w:rsidR="00C21DD5" w:rsidRPr="006E3DA7" w:rsidRDefault="00C21DD5" w:rsidP="007E5BF7">
            <w:pPr>
              <w:rPr>
                <w:rFonts w:ascii="Arial" w:hAnsi="Arial" w:cs="Arial"/>
                <w:sz w:val="20"/>
                <w:szCs w:val="20"/>
              </w:rPr>
            </w:pPr>
            <w:r w:rsidRPr="006E3DA7">
              <w:rPr>
                <w:rFonts w:ascii="Arial" w:hAnsi="Arial" w:cs="Arial"/>
                <w:sz w:val="20"/>
                <w:szCs w:val="20"/>
              </w:rPr>
              <w:t>Combined Interventions</w:t>
            </w:r>
          </w:p>
        </w:tc>
        <w:tc>
          <w:tcPr>
            <w:tcW w:w="2160" w:type="dxa"/>
            <w:tcBorders>
              <w:top w:val="single" w:sz="4" w:space="0" w:color="auto"/>
              <w:left w:val="single" w:sz="4" w:space="0" w:color="auto"/>
              <w:bottom w:val="single" w:sz="4" w:space="0" w:color="auto"/>
              <w:right w:val="single" w:sz="4" w:space="0" w:color="auto"/>
            </w:tcBorders>
            <w:hideMark/>
          </w:tcPr>
          <w:p w14:paraId="438BB095" w14:textId="77777777" w:rsidR="00C21DD5" w:rsidRPr="006E3DA7" w:rsidRDefault="00C21DD5" w:rsidP="007E5BF7">
            <w:pPr>
              <w:rPr>
                <w:rFonts w:ascii="Arial" w:hAnsi="Arial" w:cs="Arial"/>
                <w:sz w:val="20"/>
                <w:szCs w:val="20"/>
              </w:rPr>
            </w:pPr>
            <w:r w:rsidRPr="006E3DA7">
              <w:rPr>
                <w:rFonts w:ascii="Arial" w:hAnsi="Arial" w:cs="Arial"/>
                <w:sz w:val="20"/>
                <w:szCs w:val="20"/>
              </w:rPr>
              <w:t>Mix of CBT with other strategies</w:t>
            </w:r>
          </w:p>
        </w:tc>
        <w:tc>
          <w:tcPr>
            <w:tcW w:w="2160" w:type="dxa"/>
            <w:tcBorders>
              <w:top w:val="single" w:sz="4" w:space="0" w:color="auto"/>
              <w:left w:val="single" w:sz="4" w:space="0" w:color="auto"/>
              <w:bottom w:val="single" w:sz="4" w:space="0" w:color="auto"/>
              <w:right w:val="single" w:sz="4" w:space="0" w:color="auto"/>
            </w:tcBorders>
            <w:hideMark/>
          </w:tcPr>
          <w:p w14:paraId="610213C7" w14:textId="77777777" w:rsidR="00C21DD5" w:rsidRPr="006E3DA7" w:rsidRDefault="00C21DD5" w:rsidP="007E5BF7">
            <w:pPr>
              <w:rPr>
                <w:rFonts w:ascii="Arial" w:hAnsi="Arial" w:cs="Arial"/>
                <w:sz w:val="20"/>
                <w:szCs w:val="20"/>
              </w:rPr>
            </w:pPr>
            <w:r w:rsidRPr="006E3DA7">
              <w:rPr>
                <w:rFonts w:ascii="Arial" w:hAnsi="Arial" w:cs="Arial"/>
                <w:sz w:val="20"/>
                <w:szCs w:val="20"/>
              </w:rPr>
              <w:t>CBT + biofeedback, CBT + relaxation/meditation, CBT + rehearsal routines</w:t>
            </w:r>
          </w:p>
        </w:tc>
        <w:tc>
          <w:tcPr>
            <w:tcW w:w="2160" w:type="dxa"/>
            <w:tcBorders>
              <w:top w:val="single" w:sz="4" w:space="0" w:color="auto"/>
              <w:left w:val="single" w:sz="4" w:space="0" w:color="auto"/>
              <w:bottom w:val="single" w:sz="4" w:space="0" w:color="auto"/>
              <w:right w:val="single" w:sz="4" w:space="0" w:color="auto"/>
            </w:tcBorders>
            <w:hideMark/>
          </w:tcPr>
          <w:p w14:paraId="27BD965B" w14:textId="77777777" w:rsidR="00C21DD5" w:rsidRPr="006E3DA7" w:rsidRDefault="00C21DD5" w:rsidP="007E5BF7">
            <w:pPr>
              <w:rPr>
                <w:rFonts w:ascii="Arial" w:hAnsi="Arial" w:cs="Arial"/>
                <w:sz w:val="20"/>
                <w:szCs w:val="20"/>
              </w:rPr>
            </w:pPr>
            <w:r w:rsidRPr="006E3DA7">
              <w:rPr>
                <w:rFonts w:ascii="Arial" w:hAnsi="Arial" w:cs="Arial"/>
                <w:sz w:val="20"/>
                <w:szCs w:val="20"/>
              </w:rPr>
              <w:t>Promising but not significantly better than CBT alone; requires further research</w:t>
            </w:r>
          </w:p>
        </w:tc>
      </w:tr>
      <w:tr w:rsidR="00C21DD5" w:rsidRPr="006E3DA7" w14:paraId="384EB719"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757EF5DD" w14:textId="77777777" w:rsidR="00C21DD5" w:rsidRPr="006E3DA7" w:rsidRDefault="00C21DD5" w:rsidP="007E5BF7">
            <w:pPr>
              <w:rPr>
                <w:rFonts w:ascii="Arial" w:hAnsi="Arial" w:cs="Arial"/>
                <w:sz w:val="20"/>
                <w:szCs w:val="20"/>
              </w:rPr>
            </w:pPr>
            <w:r w:rsidRPr="006E3DA7">
              <w:rPr>
                <w:rFonts w:ascii="Arial" w:hAnsi="Arial" w:cs="Arial"/>
                <w:sz w:val="20"/>
                <w:szCs w:val="20"/>
              </w:rPr>
              <w:t>Meditation</w:t>
            </w:r>
          </w:p>
        </w:tc>
        <w:tc>
          <w:tcPr>
            <w:tcW w:w="2160" w:type="dxa"/>
            <w:tcBorders>
              <w:top w:val="single" w:sz="4" w:space="0" w:color="auto"/>
              <w:left w:val="single" w:sz="4" w:space="0" w:color="auto"/>
              <w:bottom w:val="single" w:sz="4" w:space="0" w:color="auto"/>
              <w:right w:val="single" w:sz="4" w:space="0" w:color="auto"/>
            </w:tcBorders>
            <w:hideMark/>
          </w:tcPr>
          <w:p w14:paraId="22AB23FC" w14:textId="77777777" w:rsidR="00C21DD5" w:rsidRPr="006E3DA7" w:rsidRDefault="00C21DD5" w:rsidP="007E5BF7">
            <w:pPr>
              <w:rPr>
                <w:rFonts w:ascii="Arial" w:hAnsi="Arial" w:cs="Arial"/>
                <w:sz w:val="20"/>
                <w:szCs w:val="20"/>
              </w:rPr>
            </w:pPr>
            <w:r w:rsidRPr="006E3DA7">
              <w:rPr>
                <w:rFonts w:ascii="Arial" w:hAnsi="Arial" w:cs="Arial"/>
                <w:sz w:val="20"/>
                <w:szCs w:val="20"/>
              </w:rPr>
              <w:t>Uses focused attention and relaxation techniques</w:t>
            </w:r>
          </w:p>
        </w:tc>
        <w:tc>
          <w:tcPr>
            <w:tcW w:w="2160" w:type="dxa"/>
            <w:tcBorders>
              <w:top w:val="single" w:sz="4" w:space="0" w:color="auto"/>
              <w:left w:val="single" w:sz="4" w:space="0" w:color="auto"/>
              <w:bottom w:val="single" w:sz="4" w:space="0" w:color="auto"/>
              <w:right w:val="single" w:sz="4" w:space="0" w:color="auto"/>
            </w:tcBorders>
            <w:hideMark/>
          </w:tcPr>
          <w:p w14:paraId="1A904866" w14:textId="77777777" w:rsidR="00C21DD5" w:rsidRPr="006E3DA7" w:rsidRDefault="00C21DD5" w:rsidP="007E5BF7">
            <w:pPr>
              <w:rPr>
                <w:rFonts w:ascii="Arial" w:hAnsi="Arial" w:cs="Arial"/>
                <w:sz w:val="20"/>
                <w:szCs w:val="20"/>
              </w:rPr>
            </w:pPr>
            <w:r w:rsidRPr="006E3DA7">
              <w:rPr>
                <w:rFonts w:ascii="Arial" w:hAnsi="Arial" w:cs="Arial"/>
                <w:sz w:val="20"/>
                <w:szCs w:val="20"/>
              </w:rPr>
              <w:t>Mindfulness meditation (e.g., 8-week training)</w:t>
            </w:r>
          </w:p>
        </w:tc>
        <w:tc>
          <w:tcPr>
            <w:tcW w:w="2160" w:type="dxa"/>
            <w:tcBorders>
              <w:top w:val="single" w:sz="4" w:space="0" w:color="auto"/>
              <w:left w:val="single" w:sz="4" w:space="0" w:color="auto"/>
              <w:bottom w:val="single" w:sz="4" w:space="0" w:color="auto"/>
              <w:right w:val="single" w:sz="4" w:space="0" w:color="auto"/>
            </w:tcBorders>
            <w:hideMark/>
          </w:tcPr>
          <w:p w14:paraId="2C364055" w14:textId="77777777" w:rsidR="00C21DD5" w:rsidRPr="006E3DA7" w:rsidRDefault="00C21DD5" w:rsidP="007E5BF7">
            <w:pPr>
              <w:rPr>
                <w:rFonts w:ascii="Arial" w:hAnsi="Arial" w:cs="Arial"/>
                <w:sz w:val="20"/>
                <w:szCs w:val="20"/>
              </w:rPr>
            </w:pPr>
            <w:r w:rsidRPr="006E3DA7">
              <w:rPr>
                <w:rFonts w:ascii="Arial" w:hAnsi="Arial" w:cs="Arial"/>
                <w:sz w:val="20"/>
                <w:szCs w:val="20"/>
              </w:rPr>
              <w:t>Minimal effect; small studies with weak outcomes</w:t>
            </w:r>
          </w:p>
        </w:tc>
      </w:tr>
      <w:tr w:rsidR="00C21DD5" w:rsidRPr="006E3DA7" w14:paraId="348592D5"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3ED31917" w14:textId="77777777" w:rsidR="00C21DD5" w:rsidRPr="006E3DA7" w:rsidRDefault="00C21DD5" w:rsidP="007E5BF7">
            <w:pPr>
              <w:rPr>
                <w:rFonts w:ascii="Arial" w:hAnsi="Arial" w:cs="Arial"/>
                <w:sz w:val="20"/>
                <w:szCs w:val="20"/>
              </w:rPr>
            </w:pPr>
            <w:r w:rsidRPr="006E3DA7">
              <w:rPr>
                <w:rFonts w:ascii="Arial" w:hAnsi="Arial" w:cs="Arial"/>
                <w:sz w:val="20"/>
                <w:szCs w:val="20"/>
              </w:rPr>
              <w:t>Biofeedback</w:t>
            </w:r>
          </w:p>
        </w:tc>
        <w:tc>
          <w:tcPr>
            <w:tcW w:w="2160" w:type="dxa"/>
            <w:tcBorders>
              <w:top w:val="single" w:sz="4" w:space="0" w:color="auto"/>
              <w:left w:val="single" w:sz="4" w:space="0" w:color="auto"/>
              <w:bottom w:val="single" w:sz="4" w:space="0" w:color="auto"/>
              <w:right w:val="single" w:sz="4" w:space="0" w:color="auto"/>
            </w:tcBorders>
            <w:hideMark/>
          </w:tcPr>
          <w:p w14:paraId="43766D7C" w14:textId="77777777" w:rsidR="00C21DD5" w:rsidRPr="006E3DA7" w:rsidRDefault="00C21DD5" w:rsidP="007E5BF7">
            <w:pPr>
              <w:rPr>
                <w:rFonts w:ascii="Arial" w:hAnsi="Arial" w:cs="Arial"/>
                <w:sz w:val="20"/>
                <w:szCs w:val="20"/>
              </w:rPr>
            </w:pPr>
            <w:r w:rsidRPr="006E3DA7">
              <w:rPr>
                <w:rFonts w:ascii="Arial" w:hAnsi="Arial" w:cs="Arial"/>
                <w:sz w:val="20"/>
                <w:szCs w:val="20"/>
              </w:rPr>
              <w:t>Uses real-time physiological feedback to regulate anxiety responses</w:t>
            </w:r>
          </w:p>
        </w:tc>
        <w:tc>
          <w:tcPr>
            <w:tcW w:w="2160" w:type="dxa"/>
            <w:tcBorders>
              <w:top w:val="single" w:sz="4" w:space="0" w:color="auto"/>
              <w:left w:val="single" w:sz="4" w:space="0" w:color="auto"/>
              <w:bottom w:val="single" w:sz="4" w:space="0" w:color="auto"/>
              <w:right w:val="single" w:sz="4" w:space="0" w:color="auto"/>
            </w:tcBorders>
            <w:hideMark/>
          </w:tcPr>
          <w:p w14:paraId="3152F7A1" w14:textId="77777777" w:rsidR="00C21DD5" w:rsidRPr="006E3DA7" w:rsidRDefault="00C21DD5" w:rsidP="007E5BF7">
            <w:pPr>
              <w:rPr>
                <w:rFonts w:ascii="Arial" w:hAnsi="Arial" w:cs="Arial"/>
                <w:sz w:val="20"/>
                <w:szCs w:val="20"/>
              </w:rPr>
            </w:pPr>
            <w:r w:rsidRPr="006E3DA7">
              <w:rPr>
                <w:rFonts w:ascii="Arial" w:hAnsi="Arial" w:cs="Arial"/>
                <w:sz w:val="20"/>
                <w:szCs w:val="20"/>
              </w:rPr>
              <w:t>Skin temperature training, heart rate biofeedback</w:t>
            </w:r>
          </w:p>
        </w:tc>
        <w:tc>
          <w:tcPr>
            <w:tcW w:w="2160" w:type="dxa"/>
            <w:tcBorders>
              <w:top w:val="single" w:sz="4" w:space="0" w:color="auto"/>
              <w:left w:val="single" w:sz="4" w:space="0" w:color="auto"/>
              <w:bottom w:val="single" w:sz="4" w:space="0" w:color="auto"/>
              <w:right w:val="single" w:sz="4" w:space="0" w:color="auto"/>
            </w:tcBorders>
            <w:hideMark/>
          </w:tcPr>
          <w:p w14:paraId="56F29D33" w14:textId="77777777" w:rsidR="00C21DD5" w:rsidRPr="006E3DA7" w:rsidRDefault="00C21DD5" w:rsidP="007E5BF7">
            <w:pPr>
              <w:rPr>
                <w:rFonts w:ascii="Arial" w:hAnsi="Arial" w:cs="Arial"/>
                <w:sz w:val="20"/>
                <w:szCs w:val="20"/>
              </w:rPr>
            </w:pPr>
            <w:r w:rsidRPr="006E3DA7">
              <w:rPr>
                <w:rFonts w:ascii="Arial" w:hAnsi="Arial" w:cs="Arial"/>
                <w:sz w:val="20"/>
                <w:szCs w:val="20"/>
              </w:rPr>
              <w:t>Some success in anxiety reduction; limited or no effect on performance quality</w:t>
            </w:r>
          </w:p>
        </w:tc>
      </w:tr>
      <w:tr w:rsidR="00C21DD5" w:rsidRPr="006E3DA7" w14:paraId="31654BB7"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035EBF0A" w14:textId="77777777" w:rsidR="00C21DD5" w:rsidRPr="006E3DA7" w:rsidRDefault="00C21DD5" w:rsidP="007E5BF7">
            <w:pPr>
              <w:rPr>
                <w:rFonts w:ascii="Arial" w:hAnsi="Arial" w:cs="Arial"/>
                <w:sz w:val="20"/>
                <w:szCs w:val="20"/>
              </w:rPr>
            </w:pPr>
            <w:r w:rsidRPr="006E3DA7">
              <w:rPr>
                <w:rFonts w:ascii="Arial" w:hAnsi="Arial" w:cs="Arial"/>
                <w:sz w:val="20"/>
                <w:szCs w:val="20"/>
              </w:rPr>
              <w:t>Music Therapy</w:t>
            </w:r>
          </w:p>
        </w:tc>
        <w:tc>
          <w:tcPr>
            <w:tcW w:w="2160" w:type="dxa"/>
            <w:tcBorders>
              <w:top w:val="single" w:sz="4" w:space="0" w:color="auto"/>
              <w:left w:val="single" w:sz="4" w:space="0" w:color="auto"/>
              <w:bottom w:val="single" w:sz="4" w:space="0" w:color="auto"/>
              <w:right w:val="single" w:sz="4" w:space="0" w:color="auto"/>
            </w:tcBorders>
            <w:hideMark/>
          </w:tcPr>
          <w:p w14:paraId="64D384F3" w14:textId="77777777" w:rsidR="00C21DD5" w:rsidRPr="006E3DA7" w:rsidRDefault="00C21DD5" w:rsidP="007E5BF7">
            <w:pPr>
              <w:rPr>
                <w:rFonts w:ascii="Arial" w:hAnsi="Arial" w:cs="Arial"/>
                <w:sz w:val="20"/>
                <w:szCs w:val="20"/>
              </w:rPr>
            </w:pPr>
            <w:r w:rsidRPr="006E3DA7">
              <w:rPr>
                <w:rFonts w:ascii="Arial" w:hAnsi="Arial" w:cs="Arial"/>
                <w:sz w:val="20"/>
                <w:szCs w:val="20"/>
              </w:rPr>
              <w:t>Creative expression and group support through musical activities</w:t>
            </w:r>
          </w:p>
        </w:tc>
        <w:tc>
          <w:tcPr>
            <w:tcW w:w="2160" w:type="dxa"/>
            <w:tcBorders>
              <w:top w:val="single" w:sz="4" w:space="0" w:color="auto"/>
              <w:left w:val="single" w:sz="4" w:space="0" w:color="auto"/>
              <w:bottom w:val="single" w:sz="4" w:space="0" w:color="auto"/>
              <w:right w:val="single" w:sz="4" w:space="0" w:color="auto"/>
            </w:tcBorders>
            <w:hideMark/>
          </w:tcPr>
          <w:p w14:paraId="21A03F76" w14:textId="77777777" w:rsidR="00C21DD5" w:rsidRPr="006E3DA7" w:rsidRDefault="00C21DD5" w:rsidP="007E5BF7">
            <w:pPr>
              <w:rPr>
                <w:rFonts w:ascii="Arial" w:hAnsi="Arial" w:cs="Arial"/>
                <w:sz w:val="20"/>
                <w:szCs w:val="20"/>
              </w:rPr>
            </w:pPr>
            <w:r w:rsidRPr="006E3DA7">
              <w:rPr>
                <w:rFonts w:ascii="Arial" w:hAnsi="Arial" w:cs="Arial"/>
                <w:sz w:val="20"/>
                <w:szCs w:val="20"/>
              </w:rPr>
              <w:t>Improvisation, group performances, discussion</w:t>
            </w:r>
          </w:p>
        </w:tc>
        <w:tc>
          <w:tcPr>
            <w:tcW w:w="2160" w:type="dxa"/>
            <w:tcBorders>
              <w:top w:val="single" w:sz="4" w:space="0" w:color="auto"/>
              <w:left w:val="single" w:sz="4" w:space="0" w:color="auto"/>
              <w:bottom w:val="single" w:sz="4" w:space="0" w:color="auto"/>
              <w:right w:val="single" w:sz="4" w:space="0" w:color="auto"/>
            </w:tcBorders>
            <w:hideMark/>
          </w:tcPr>
          <w:p w14:paraId="1BAF5BE6" w14:textId="77777777" w:rsidR="00C21DD5" w:rsidRPr="006E3DA7" w:rsidRDefault="00C21DD5" w:rsidP="007E5BF7">
            <w:pPr>
              <w:rPr>
                <w:rFonts w:ascii="Arial" w:hAnsi="Arial" w:cs="Arial"/>
                <w:sz w:val="20"/>
                <w:szCs w:val="20"/>
              </w:rPr>
            </w:pPr>
            <w:r w:rsidRPr="006E3DA7">
              <w:rPr>
                <w:rFonts w:ascii="Arial" w:hAnsi="Arial" w:cs="Arial"/>
                <w:sz w:val="20"/>
                <w:szCs w:val="20"/>
              </w:rPr>
              <w:t>Large improvements in confidence, reduced stress; small samples, but very promising</w:t>
            </w:r>
          </w:p>
        </w:tc>
      </w:tr>
      <w:tr w:rsidR="00C21DD5" w:rsidRPr="006E3DA7" w14:paraId="26663C55"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1616780F" w14:textId="77777777" w:rsidR="00C21DD5" w:rsidRPr="006E3DA7" w:rsidRDefault="00C21DD5" w:rsidP="007E5BF7">
            <w:pPr>
              <w:rPr>
                <w:rFonts w:ascii="Arial" w:hAnsi="Arial" w:cs="Arial"/>
                <w:sz w:val="20"/>
                <w:szCs w:val="20"/>
              </w:rPr>
            </w:pPr>
            <w:proofErr w:type="spellStart"/>
            <w:r w:rsidRPr="006E3DA7">
              <w:rPr>
                <w:rFonts w:ascii="Arial" w:hAnsi="Arial" w:cs="Arial"/>
                <w:sz w:val="20"/>
                <w:szCs w:val="20"/>
              </w:rPr>
              <w:t>Ericksonian</w:t>
            </w:r>
            <w:proofErr w:type="spellEnd"/>
            <w:r w:rsidRPr="006E3DA7">
              <w:rPr>
                <w:rFonts w:ascii="Arial" w:hAnsi="Arial" w:cs="Arial"/>
                <w:sz w:val="20"/>
                <w:szCs w:val="20"/>
              </w:rPr>
              <w:t xml:space="preserve"> Resource Retrieval</w:t>
            </w:r>
          </w:p>
        </w:tc>
        <w:tc>
          <w:tcPr>
            <w:tcW w:w="2160" w:type="dxa"/>
            <w:tcBorders>
              <w:top w:val="single" w:sz="4" w:space="0" w:color="auto"/>
              <w:left w:val="single" w:sz="4" w:space="0" w:color="auto"/>
              <w:bottom w:val="single" w:sz="4" w:space="0" w:color="auto"/>
              <w:right w:val="single" w:sz="4" w:space="0" w:color="auto"/>
            </w:tcBorders>
            <w:hideMark/>
          </w:tcPr>
          <w:p w14:paraId="7708A359" w14:textId="77777777" w:rsidR="00C21DD5" w:rsidRPr="006E3DA7" w:rsidRDefault="00C21DD5" w:rsidP="007E5BF7">
            <w:pPr>
              <w:rPr>
                <w:rFonts w:ascii="Arial" w:hAnsi="Arial" w:cs="Arial"/>
                <w:sz w:val="20"/>
                <w:szCs w:val="20"/>
              </w:rPr>
            </w:pPr>
            <w:r w:rsidRPr="006E3DA7">
              <w:rPr>
                <w:rFonts w:ascii="Arial" w:hAnsi="Arial" w:cs="Arial"/>
                <w:sz w:val="20"/>
                <w:szCs w:val="20"/>
              </w:rPr>
              <w:t>Accesses unconscious strengths from past experiences</w:t>
            </w:r>
          </w:p>
        </w:tc>
        <w:tc>
          <w:tcPr>
            <w:tcW w:w="2160" w:type="dxa"/>
            <w:tcBorders>
              <w:top w:val="single" w:sz="4" w:space="0" w:color="auto"/>
              <w:left w:val="single" w:sz="4" w:space="0" w:color="auto"/>
              <w:bottom w:val="single" w:sz="4" w:space="0" w:color="auto"/>
              <w:right w:val="single" w:sz="4" w:space="0" w:color="auto"/>
            </w:tcBorders>
            <w:hideMark/>
          </w:tcPr>
          <w:p w14:paraId="216F8D9D" w14:textId="77777777" w:rsidR="00C21DD5" w:rsidRPr="006E3DA7" w:rsidRDefault="00C21DD5" w:rsidP="007E5BF7">
            <w:pPr>
              <w:rPr>
                <w:rFonts w:ascii="Arial" w:hAnsi="Arial" w:cs="Arial"/>
                <w:sz w:val="20"/>
                <w:szCs w:val="20"/>
              </w:rPr>
            </w:pPr>
            <w:r w:rsidRPr="006E3DA7">
              <w:rPr>
                <w:rFonts w:ascii="Arial" w:hAnsi="Arial" w:cs="Arial"/>
                <w:sz w:val="20"/>
                <w:szCs w:val="20"/>
              </w:rPr>
              <w:t>Guided cognitive-emotional recall of coping memories</w:t>
            </w:r>
          </w:p>
        </w:tc>
        <w:tc>
          <w:tcPr>
            <w:tcW w:w="2160" w:type="dxa"/>
            <w:tcBorders>
              <w:top w:val="single" w:sz="4" w:space="0" w:color="auto"/>
              <w:left w:val="single" w:sz="4" w:space="0" w:color="auto"/>
              <w:bottom w:val="single" w:sz="4" w:space="0" w:color="auto"/>
              <w:right w:val="single" w:sz="4" w:space="0" w:color="auto"/>
            </w:tcBorders>
            <w:hideMark/>
          </w:tcPr>
          <w:p w14:paraId="4F987250" w14:textId="77777777" w:rsidR="00C21DD5" w:rsidRPr="006E3DA7" w:rsidRDefault="00C21DD5" w:rsidP="007E5BF7">
            <w:pPr>
              <w:rPr>
                <w:rFonts w:ascii="Arial" w:hAnsi="Arial" w:cs="Arial"/>
                <w:sz w:val="20"/>
                <w:szCs w:val="20"/>
              </w:rPr>
            </w:pPr>
            <w:r w:rsidRPr="006E3DA7">
              <w:rPr>
                <w:rFonts w:ascii="Arial" w:hAnsi="Arial" w:cs="Arial"/>
                <w:sz w:val="20"/>
                <w:szCs w:val="20"/>
              </w:rPr>
              <w:t>Comparable to relaxation; results mixed due to small sample sizes</w:t>
            </w:r>
          </w:p>
        </w:tc>
      </w:tr>
      <w:tr w:rsidR="00C21DD5" w:rsidRPr="006E3DA7" w14:paraId="0553BD93"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3B25577B" w14:textId="77777777" w:rsidR="00C21DD5" w:rsidRPr="006E3DA7" w:rsidRDefault="00C21DD5" w:rsidP="007E5BF7">
            <w:pPr>
              <w:rPr>
                <w:rFonts w:ascii="Arial" w:hAnsi="Arial" w:cs="Arial"/>
                <w:sz w:val="20"/>
                <w:szCs w:val="20"/>
              </w:rPr>
            </w:pPr>
            <w:r w:rsidRPr="006E3DA7">
              <w:rPr>
                <w:rFonts w:ascii="Arial" w:hAnsi="Arial" w:cs="Arial"/>
                <w:sz w:val="20"/>
                <w:szCs w:val="20"/>
              </w:rPr>
              <w:t>Hypnotherapy</w:t>
            </w:r>
          </w:p>
        </w:tc>
        <w:tc>
          <w:tcPr>
            <w:tcW w:w="2160" w:type="dxa"/>
            <w:tcBorders>
              <w:top w:val="single" w:sz="4" w:space="0" w:color="auto"/>
              <w:left w:val="single" w:sz="4" w:space="0" w:color="auto"/>
              <w:bottom w:val="single" w:sz="4" w:space="0" w:color="auto"/>
              <w:right w:val="single" w:sz="4" w:space="0" w:color="auto"/>
            </w:tcBorders>
            <w:hideMark/>
          </w:tcPr>
          <w:p w14:paraId="2299D1EB" w14:textId="77777777" w:rsidR="00C21DD5" w:rsidRPr="006E3DA7" w:rsidRDefault="00C21DD5" w:rsidP="007E5BF7">
            <w:pPr>
              <w:rPr>
                <w:rFonts w:ascii="Arial" w:hAnsi="Arial" w:cs="Arial"/>
                <w:sz w:val="20"/>
                <w:szCs w:val="20"/>
              </w:rPr>
            </w:pPr>
            <w:r w:rsidRPr="006E3DA7">
              <w:rPr>
                <w:rFonts w:ascii="Arial" w:hAnsi="Arial" w:cs="Arial"/>
                <w:sz w:val="20"/>
                <w:szCs w:val="20"/>
              </w:rPr>
              <w:t>Uses guided hypnosis to address anxiety</w:t>
            </w:r>
          </w:p>
        </w:tc>
        <w:tc>
          <w:tcPr>
            <w:tcW w:w="2160" w:type="dxa"/>
            <w:tcBorders>
              <w:top w:val="single" w:sz="4" w:space="0" w:color="auto"/>
              <w:left w:val="single" w:sz="4" w:space="0" w:color="auto"/>
              <w:bottom w:val="single" w:sz="4" w:space="0" w:color="auto"/>
              <w:right w:val="single" w:sz="4" w:space="0" w:color="auto"/>
            </w:tcBorders>
            <w:hideMark/>
          </w:tcPr>
          <w:p w14:paraId="0216DBBF" w14:textId="77777777" w:rsidR="00C21DD5" w:rsidRPr="006E3DA7" w:rsidRDefault="00C21DD5" w:rsidP="007E5BF7">
            <w:pPr>
              <w:rPr>
                <w:rFonts w:ascii="Arial" w:hAnsi="Arial" w:cs="Arial"/>
                <w:sz w:val="20"/>
                <w:szCs w:val="20"/>
              </w:rPr>
            </w:pPr>
            <w:r w:rsidRPr="006E3DA7">
              <w:rPr>
                <w:rFonts w:ascii="Arial" w:hAnsi="Arial" w:cs="Arial"/>
                <w:sz w:val="20"/>
                <w:szCs w:val="20"/>
              </w:rPr>
              <w:t>Two-session intervention</w:t>
            </w:r>
          </w:p>
        </w:tc>
        <w:tc>
          <w:tcPr>
            <w:tcW w:w="2160" w:type="dxa"/>
            <w:tcBorders>
              <w:top w:val="single" w:sz="4" w:space="0" w:color="auto"/>
              <w:left w:val="single" w:sz="4" w:space="0" w:color="auto"/>
              <w:bottom w:val="single" w:sz="4" w:space="0" w:color="auto"/>
              <w:right w:val="single" w:sz="4" w:space="0" w:color="auto"/>
            </w:tcBorders>
            <w:hideMark/>
          </w:tcPr>
          <w:p w14:paraId="41F8EAC7" w14:textId="77777777" w:rsidR="00C21DD5" w:rsidRPr="006E3DA7" w:rsidRDefault="00C21DD5" w:rsidP="007E5BF7">
            <w:pPr>
              <w:rPr>
                <w:rFonts w:ascii="Arial" w:hAnsi="Arial" w:cs="Arial"/>
                <w:sz w:val="20"/>
                <w:szCs w:val="20"/>
              </w:rPr>
            </w:pPr>
            <w:r w:rsidRPr="006E3DA7">
              <w:rPr>
                <w:rFonts w:ascii="Arial" w:hAnsi="Arial" w:cs="Arial"/>
                <w:sz w:val="20"/>
                <w:szCs w:val="20"/>
              </w:rPr>
              <w:t xml:space="preserve">Significant reduction in anxiety post-treatment </w:t>
            </w:r>
            <w:proofErr w:type="gramStart"/>
            <w:r w:rsidRPr="006E3DA7">
              <w:rPr>
                <w:rFonts w:ascii="Arial" w:hAnsi="Arial" w:cs="Arial"/>
                <w:sz w:val="20"/>
                <w:szCs w:val="20"/>
              </w:rPr>
              <w:t>and at</w:t>
            </w:r>
            <w:proofErr w:type="gramEnd"/>
            <w:r w:rsidRPr="006E3DA7">
              <w:rPr>
                <w:rFonts w:ascii="Arial" w:hAnsi="Arial" w:cs="Arial"/>
                <w:sz w:val="20"/>
                <w:szCs w:val="20"/>
              </w:rPr>
              <w:t xml:space="preserve"> 6-month follow-up; needs replication</w:t>
            </w:r>
          </w:p>
        </w:tc>
      </w:tr>
      <w:tr w:rsidR="00C21DD5" w:rsidRPr="006E3DA7" w14:paraId="4E8A1345"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789C5C62" w14:textId="77777777" w:rsidR="00C21DD5" w:rsidRPr="006E3DA7" w:rsidRDefault="00C21DD5" w:rsidP="007E5BF7">
            <w:pPr>
              <w:rPr>
                <w:rFonts w:ascii="Arial" w:hAnsi="Arial" w:cs="Arial"/>
                <w:sz w:val="20"/>
                <w:szCs w:val="20"/>
              </w:rPr>
            </w:pPr>
            <w:r w:rsidRPr="006E3DA7">
              <w:rPr>
                <w:rFonts w:ascii="Arial" w:hAnsi="Arial" w:cs="Arial"/>
                <w:sz w:val="20"/>
                <w:szCs w:val="20"/>
              </w:rPr>
              <w:t>Alexander Technique</w:t>
            </w:r>
          </w:p>
        </w:tc>
        <w:tc>
          <w:tcPr>
            <w:tcW w:w="2160" w:type="dxa"/>
            <w:tcBorders>
              <w:top w:val="single" w:sz="4" w:space="0" w:color="auto"/>
              <w:left w:val="single" w:sz="4" w:space="0" w:color="auto"/>
              <w:bottom w:val="single" w:sz="4" w:space="0" w:color="auto"/>
              <w:right w:val="single" w:sz="4" w:space="0" w:color="auto"/>
            </w:tcBorders>
            <w:hideMark/>
          </w:tcPr>
          <w:p w14:paraId="21910D58" w14:textId="77777777" w:rsidR="00C21DD5" w:rsidRPr="006E3DA7" w:rsidRDefault="00C21DD5" w:rsidP="007E5BF7">
            <w:pPr>
              <w:rPr>
                <w:rFonts w:ascii="Arial" w:hAnsi="Arial" w:cs="Arial"/>
                <w:sz w:val="20"/>
                <w:szCs w:val="20"/>
              </w:rPr>
            </w:pPr>
            <w:r w:rsidRPr="006E3DA7">
              <w:rPr>
                <w:rFonts w:ascii="Arial" w:hAnsi="Arial" w:cs="Arial"/>
                <w:sz w:val="20"/>
                <w:szCs w:val="20"/>
              </w:rPr>
              <w:t>Educational method to improve posture and reduce unnecessary tension</w:t>
            </w:r>
          </w:p>
        </w:tc>
        <w:tc>
          <w:tcPr>
            <w:tcW w:w="2160" w:type="dxa"/>
            <w:tcBorders>
              <w:top w:val="single" w:sz="4" w:space="0" w:color="auto"/>
              <w:left w:val="single" w:sz="4" w:space="0" w:color="auto"/>
              <w:bottom w:val="single" w:sz="4" w:space="0" w:color="auto"/>
              <w:right w:val="single" w:sz="4" w:space="0" w:color="auto"/>
            </w:tcBorders>
            <w:hideMark/>
          </w:tcPr>
          <w:p w14:paraId="54B9B89E" w14:textId="77777777" w:rsidR="00C21DD5" w:rsidRPr="006E3DA7" w:rsidRDefault="00C21DD5" w:rsidP="007E5BF7">
            <w:pPr>
              <w:rPr>
                <w:rFonts w:ascii="Arial" w:hAnsi="Arial" w:cs="Arial"/>
                <w:sz w:val="20"/>
                <w:szCs w:val="20"/>
              </w:rPr>
            </w:pPr>
            <w:r w:rsidRPr="006E3DA7">
              <w:rPr>
                <w:rFonts w:ascii="Arial" w:hAnsi="Arial" w:cs="Arial"/>
                <w:sz w:val="20"/>
                <w:szCs w:val="20"/>
              </w:rPr>
              <w:t>15-session course on postural awareness</w:t>
            </w:r>
          </w:p>
        </w:tc>
        <w:tc>
          <w:tcPr>
            <w:tcW w:w="2160" w:type="dxa"/>
            <w:tcBorders>
              <w:top w:val="single" w:sz="4" w:space="0" w:color="auto"/>
              <w:left w:val="single" w:sz="4" w:space="0" w:color="auto"/>
              <w:bottom w:val="single" w:sz="4" w:space="0" w:color="auto"/>
              <w:right w:val="single" w:sz="4" w:space="0" w:color="auto"/>
            </w:tcBorders>
            <w:hideMark/>
          </w:tcPr>
          <w:p w14:paraId="73EC6275" w14:textId="77777777" w:rsidR="00C21DD5" w:rsidRPr="006E3DA7" w:rsidRDefault="00C21DD5" w:rsidP="007E5BF7">
            <w:pPr>
              <w:rPr>
                <w:rFonts w:ascii="Arial" w:hAnsi="Arial" w:cs="Arial"/>
                <w:sz w:val="20"/>
                <w:szCs w:val="20"/>
              </w:rPr>
            </w:pPr>
            <w:r w:rsidRPr="006E3DA7">
              <w:rPr>
                <w:rFonts w:ascii="Arial" w:hAnsi="Arial" w:cs="Arial"/>
                <w:sz w:val="20"/>
                <w:szCs w:val="20"/>
              </w:rPr>
              <w:t>Weak evidence; slight improvement in technical and musical quality, mood</w:t>
            </w:r>
          </w:p>
        </w:tc>
      </w:tr>
      <w:tr w:rsidR="00C21DD5" w:rsidRPr="006E3DA7" w14:paraId="55180336" w14:textId="77777777" w:rsidTr="007E5BF7">
        <w:tc>
          <w:tcPr>
            <w:tcW w:w="2160" w:type="dxa"/>
            <w:tcBorders>
              <w:top w:val="single" w:sz="4" w:space="0" w:color="auto"/>
              <w:left w:val="single" w:sz="4" w:space="0" w:color="auto"/>
              <w:bottom w:val="single" w:sz="4" w:space="0" w:color="auto"/>
              <w:right w:val="single" w:sz="4" w:space="0" w:color="auto"/>
            </w:tcBorders>
            <w:hideMark/>
          </w:tcPr>
          <w:p w14:paraId="22122625" w14:textId="77777777" w:rsidR="00C21DD5" w:rsidRPr="006E3DA7" w:rsidRDefault="00C21DD5" w:rsidP="007E5BF7">
            <w:pPr>
              <w:rPr>
                <w:rFonts w:ascii="Arial" w:hAnsi="Arial" w:cs="Arial"/>
                <w:sz w:val="20"/>
                <w:szCs w:val="20"/>
              </w:rPr>
            </w:pPr>
            <w:r w:rsidRPr="006E3DA7">
              <w:rPr>
                <w:rFonts w:ascii="Arial" w:hAnsi="Arial" w:cs="Arial"/>
                <w:sz w:val="20"/>
                <w:szCs w:val="20"/>
              </w:rPr>
              <w:lastRenderedPageBreak/>
              <w:t>Pharmacological</w:t>
            </w:r>
          </w:p>
        </w:tc>
        <w:tc>
          <w:tcPr>
            <w:tcW w:w="2160" w:type="dxa"/>
            <w:tcBorders>
              <w:top w:val="single" w:sz="4" w:space="0" w:color="auto"/>
              <w:left w:val="single" w:sz="4" w:space="0" w:color="auto"/>
              <w:bottom w:val="single" w:sz="4" w:space="0" w:color="auto"/>
              <w:right w:val="single" w:sz="4" w:space="0" w:color="auto"/>
            </w:tcBorders>
            <w:hideMark/>
          </w:tcPr>
          <w:p w14:paraId="2D4E1862" w14:textId="77777777" w:rsidR="00C21DD5" w:rsidRPr="006E3DA7" w:rsidRDefault="00C21DD5" w:rsidP="007E5BF7">
            <w:pPr>
              <w:rPr>
                <w:rFonts w:ascii="Arial" w:hAnsi="Arial" w:cs="Arial"/>
                <w:sz w:val="20"/>
                <w:szCs w:val="20"/>
              </w:rPr>
            </w:pPr>
            <w:r w:rsidRPr="006E3DA7">
              <w:rPr>
                <w:rFonts w:ascii="Arial" w:hAnsi="Arial" w:cs="Arial"/>
                <w:sz w:val="20"/>
                <w:szCs w:val="20"/>
              </w:rPr>
              <w:t>Medication to manage physiological symptoms of anxiety</w:t>
            </w:r>
          </w:p>
        </w:tc>
        <w:tc>
          <w:tcPr>
            <w:tcW w:w="2160" w:type="dxa"/>
            <w:tcBorders>
              <w:top w:val="single" w:sz="4" w:space="0" w:color="auto"/>
              <w:left w:val="single" w:sz="4" w:space="0" w:color="auto"/>
              <w:bottom w:val="single" w:sz="4" w:space="0" w:color="auto"/>
              <w:right w:val="single" w:sz="4" w:space="0" w:color="auto"/>
            </w:tcBorders>
            <w:hideMark/>
          </w:tcPr>
          <w:p w14:paraId="280A3142" w14:textId="77777777" w:rsidR="00C21DD5" w:rsidRPr="006E3DA7" w:rsidRDefault="00C21DD5" w:rsidP="007E5BF7">
            <w:pPr>
              <w:rPr>
                <w:rFonts w:ascii="Arial" w:hAnsi="Arial" w:cs="Arial"/>
                <w:sz w:val="20"/>
                <w:szCs w:val="20"/>
              </w:rPr>
            </w:pPr>
            <w:r w:rsidRPr="006E3DA7">
              <w:rPr>
                <w:rFonts w:ascii="Arial" w:hAnsi="Arial" w:cs="Arial"/>
                <w:sz w:val="20"/>
                <w:szCs w:val="20"/>
              </w:rPr>
              <w:t>Beta-blockers (e.g., propranolol), SSRIs</w:t>
            </w:r>
          </w:p>
        </w:tc>
        <w:tc>
          <w:tcPr>
            <w:tcW w:w="2160" w:type="dxa"/>
            <w:tcBorders>
              <w:top w:val="single" w:sz="4" w:space="0" w:color="auto"/>
              <w:left w:val="single" w:sz="4" w:space="0" w:color="auto"/>
              <w:bottom w:val="single" w:sz="4" w:space="0" w:color="auto"/>
              <w:right w:val="single" w:sz="4" w:space="0" w:color="auto"/>
            </w:tcBorders>
            <w:hideMark/>
          </w:tcPr>
          <w:p w14:paraId="2A1079A9" w14:textId="77777777" w:rsidR="00C21DD5" w:rsidRPr="006E3DA7" w:rsidRDefault="00C21DD5" w:rsidP="007E5BF7">
            <w:pPr>
              <w:rPr>
                <w:rFonts w:ascii="Arial" w:hAnsi="Arial" w:cs="Arial"/>
                <w:sz w:val="20"/>
                <w:szCs w:val="20"/>
              </w:rPr>
            </w:pPr>
            <w:r w:rsidRPr="006E3DA7">
              <w:rPr>
                <w:rFonts w:ascii="Arial" w:hAnsi="Arial" w:cs="Arial"/>
                <w:sz w:val="20"/>
                <w:szCs w:val="20"/>
              </w:rPr>
              <w:t xml:space="preserve">Helps physical symptoms (e.g., </w:t>
            </w:r>
            <w:proofErr w:type="gramStart"/>
            <w:r w:rsidRPr="006E3DA7">
              <w:rPr>
                <w:rFonts w:ascii="Arial" w:hAnsi="Arial" w:cs="Arial"/>
                <w:sz w:val="20"/>
                <w:szCs w:val="20"/>
              </w:rPr>
              <w:t>tremor</w:t>
            </w:r>
            <w:proofErr w:type="gramEnd"/>
            <w:r w:rsidRPr="006E3DA7">
              <w:rPr>
                <w:rFonts w:ascii="Arial" w:hAnsi="Arial" w:cs="Arial"/>
                <w:sz w:val="20"/>
                <w:szCs w:val="20"/>
              </w:rPr>
              <w:t>), not effective for psychological aspects; potential side effects</w:t>
            </w:r>
          </w:p>
        </w:tc>
      </w:tr>
    </w:tbl>
    <w:p w14:paraId="15401F03" w14:textId="77777777" w:rsidR="00C21DD5" w:rsidRDefault="00C21DD5" w:rsidP="00C21DD5">
      <w:pPr>
        <w:spacing w:line="360" w:lineRule="auto"/>
        <w:jc w:val="both"/>
        <w:rPr>
          <w:rFonts w:ascii="Arial" w:hAnsi="Arial" w:cs="Arial"/>
          <w:sz w:val="24"/>
          <w:szCs w:val="24"/>
        </w:rPr>
      </w:pPr>
    </w:p>
    <w:p w14:paraId="2F9E0E9E" w14:textId="77777777" w:rsidR="00C21DD5" w:rsidRPr="00C21DD5" w:rsidRDefault="00C21DD5" w:rsidP="008E497B">
      <w:pPr>
        <w:spacing w:line="360" w:lineRule="auto"/>
        <w:jc w:val="both"/>
        <w:rPr>
          <w:rFonts w:ascii="Arial" w:hAnsi="Arial" w:cs="Arial"/>
          <w:b/>
          <w:bCs/>
          <w:sz w:val="24"/>
          <w:szCs w:val="24"/>
        </w:rPr>
      </w:pPr>
    </w:p>
    <w:sectPr w:rsidR="00C21DD5" w:rsidRPr="00C21DD5">
      <w:footerReference w:type="default" r:id="rId8"/>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65F22" w14:textId="77777777" w:rsidR="00C14A53" w:rsidRDefault="00C14A53" w:rsidP="00EE7BFF">
      <w:pPr>
        <w:spacing w:after="0" w:line="240" w:lineRule="auto"/>
      </w:pPr>
      <w:r>
        <w:separator/>
      </w:r>
    </w:p>
  </w:endnote>
  <w:endnote w:type="continuationSeparator" w:id="0">
    <w:p w14:paraId="21A640D5" w14:textId="77777777" w:rsidR="00C14A53" w:rsidRDefault="00C14A53" w:rsidP="00EE7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5491754"/>
      <w:docPartObj>
        <w:docPartGallery w:val="Page Numbers (Bottom of Page)"/>
        <w:docPartUnique/>
      </w:docPartObj>
    </w:sdtPr>
    <w:sdtContent>
      <w:p w14:paraId="646A4630" w14:textId="77777777" w:rsidR="005E6A20" w:rsidRDefault="005E6A20">
        <w:pPr>
          <w:pStyle w:val="Rodap"/>
          <w:jc w:val="right"/>
        </w:pPr>
        <w:r>
          <w:fldChar w:fldCharType="begin"/>
        </w:r>
        <w:r>
          <w:instrText>PAGE   \* MERGEFORMAT</w:instrText>
        </w:r>
        <w:r>
          <w:fldChar w:fldCharType="separate"/>
        </w:r>
        <w:r>
          <w:rPr>
            <w:lang w:val="pt-PT"/>
          </w:rPr>
          <w:t>2</w:t>
        </w:r>
        <w:r>
          <w:fldChar w:fldCharType="end"/>
        </w:r>
      </w:p>
    </w:sdtContent>
  </w:sdt>
  <w:p w14:paraId="5C13827E" w14:textId="77777777" w:rsidR="005E6A20" w:rsidRDefault="005E6A20">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60D26" w14:textId="77777777" w:rsidR="00C14A53" w:rsidRDefault="00C14A53" w:rsidP="00EE7BFF">
      <w:pPr>
        <w:spacing w:after="0" w:line="240" w:lineRule="auto"/>
      </w:pPr>
      <w:r>
        <w:separator/>
      </w:r>
    </w:p>
  </w:footnote>
  <w:footnote w:type="continuationSeparator" w:id="0">
    <w:p w14:paraId="04F3CE82" w14:textId="77777777" w:rsidR="00C14A53" w:rsidRDefault="00C14A53" w:rsidP="00EE7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D16D1"/>
    <w:multiLevelType w:val="multilevel"/>
    <w:tmpl w:val="273EDF9A"/>
    <w:lvl w:ilvl="0">
      <w:start w:val="1"/>
      <w:numFmt w:val="bullet"/>
      <w:lvlText w:val=""/>
      <w:lvlJc w:val="left"/>
      <w:pPr>
        <w:tabs>
          <w:tab w:val="num" w:pos="1494"/>
        </w:tabs>
        <w:ind w:left="1494" w:hanging="360"/>
      </w:pPr>
      <w:rPr>
        <w:rFonts w:ascii="Symbol" w:hAnsi="Symbol" w:hint="default"/>
        <w:sz w:val="20"/>
      </w:rPr>
    </w:lvl>
    <w:lvl w:ilvl="1" w:tentative="1">
      <w:start w:val="1"/>
      <w:numFmt w:val="bullet"/>
      <w:lvlText w:val="o"/>
      <w:lvlJc w:val="left"/>
      <w:pPr>
        <w:tabs>
          <w:tab w:val="num" w:pos="2214"/>
        </w:tabs>
        <w:ind w:left="2214" w:hanging="360"/>
      </w:pPr>
      <w:rPr>
        <w:rFonts w:ascii="Courier New" w:hAnsi="Courier New" w:hint="default"/>
        <w:sz w:val="20"/>
      </w:rPr>
    </w:lvl>
    <w:lvl w:ilvl="2" w:tentative="1">
      <w:start w:val="1"/>
      <w:numFmt w:val="bullet"/>
      <w:lvlText w:val=""/>
      <w:lvlJc w:val="left"/>
      <w:pPr>
        <w:tabs>
          <w:tab w:val="num" w:pos="2934"/>
        </w:tabs>
        <w:ind w:left="2934" w:hanging="360"/>
      </w:pPr>
      <w:rPr>
        <w:rFonts w:ascii="Wingdings" w:hAnsi="Wingdings" w:hint="default"/>
        <w:sz w:val="20"/>
      </w:rPr>
    </w:lvl>
    <w:lvl w:ilvl="3" w:tentative="1">
      <w:start w:val="1"/>
      <w:numFmt w:val="bullet"/>
      <w:lvlText w:val=""/>
      <w:lvlJc w:val="left"/>
      <w:pPr>
        <w:tabs>
          <w:tab w:val="num" w:pos="3654"/>
        </w:tabs>
        <w:ind w:left="3654" w:hanging="360"/>
      </w:pPr>
      <w:rPr>
        <w:rFonts w:ascii="Wingdings" w:hAnsi="Wingdings" w:hint="default"/>
        <w:sz w:val="20"/>
      </w:rPr>
    </w:lvl>
    <w:lvl w:ilvl="4" w:tentative="1">
      <w:start w:val="1"/>
      <w:numFmt w:val="bullet"/>
      <w:lvlText w:val=""/>
      <w:lvlJc w:val="left"/>
      <w:pPr>
        <w:tabs>
          <w:tab w:val="num" w:pos="4374"/>
        </w:tabs>
        <w:ind w:left="4374" w:hanging="360"/>
      </w:pPr>
      <w:rPr>
        <w:rFonts w:ascii="Wingdings" w:hAnsi="Wingdings" w:hint="default"/>
        <w:sz w:val="20"/>
      </w:rPr>
    </w:lvl>
    <w:lvl w:ilvl="5" w:tentative="1">
      <w:start w:val="1"/>
      <w:numFmt w:val="bullet"/>
      <w:lvlText w:val=""/>
      <w:lvlJc w:val="left"/>
      <w:pPr>
        <w:tabs>
          <w:tab w:val="num" w:pos="5094"/>
        </w:tabs>
        <w:ind w:left="5094" w:hanging="360"/>
      </w:pPr>
      <w:rPr>
        <w:rFonts w:ascii="Wingdings" w:hAnsi="Wingdings" w:hint="default"/>
        <w:sz w:val="20"/>
      </w:rPr>
    </w:lvl>
    <w:lvl w:ilvl="6" w:tentative="1">
      <w:start w:val="1"/>
      <w:numFmt w:val="bullet"/>
      <w:lvlText w:val=""/>
      <w:lvlJc w:val="left"/>
      <w:pPr>
        <w:tabs>
          <w:tab w:val="num" w:pos="5814"/>
        </w:tabs>
        <w:ind w:left="5814" w:hanging="360"/>
      </w:pPr>
      <w:rPr>
        <w:rFonts w:ascii="Wingdings" w:hAnsi="Wingdings" w:hint="default"/>
        <w:sz w:val="20"/>
      </w:rPr>
    </w:lvl>
    <w:lvl w:ilvl="7" w:tentative="1">
      <w:start w:val="1"/>
      <w:numFmt w:val="bullet"/>
      <w:lvlText w:val=""/>
      <w:lvlJc w:val="left"/>
      <w:pPr>
        <w:tabs>
          <w:tab w:val="num" w:pos="6534"/>
        </w:tabs>
        <w:ind w:left="6534" w:hanging="360"/>
      </w:pPr>
      <w:rPr>
        <w:rFonts w:ascii="Wingdings" w:hAnsi="Wingdings" w:hint="default"/>
        <w:sz w:val="20"/>
      </w:rPr>
    </w:lvl>
    <w:lvl w:ilvl="8" w:tentative="1">
      <w:start w:val="1"/>
      <w:numFmt w:val="bullet"/>
      <w:lvlText w:val=""/>
      <w:lvlJc w:val="left"/>
      <w:pPr>
        <w:tabs>
          <w:tab w:val="num" w:pos="7254"/>
        </w:tabs>
        <w:ind w:left="7254" w:hanging="360"/>
      </w:pPr>
      <w:rPr>
        <w:rFonts w:ascii="Wingdings" w:hAnsi="Wingdings" w:hint="default"/>
        <w:sz w:val="20"/>
      </w:rPr>
    </w:lvl>
  </w:abstractNum>
  <w:abstractNum w:abstractNumId="1" w15:restartNumberingAfterBreak="0">
    <w:nsid w:val="08D86D51"/>
    <w:multiLevelType w:val="multilevel"/>
    <w:tmpl w:val="991A010E"/>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321340"/>
    <w:multiLevelType w:val="multilevel"/>
    <w:tmpl w:val="51303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82776"/>
    <w:multiLevelType w:val="multilevel"/>
    <w:tmpl w:val="991A010E"/>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631828"/>
    <w:multiLevelType w:val="multilevel"/>
    <w:tmpl w:val="EC8C3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C65B38"/>
    <w:multiLevelType w:val="multilevel"/>
    <w:tmpl w:val="6784B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D96DD2"/>
    <w:multiLevelType w:val="hybridMultilevel"/>
    <w:tmpl w:val="01AC8D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FB33CC4"/>
    <w:multiLevelType w:val="multilevel"/>
    <w:tmpl w:val="D648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129D9"/>
    <w:multiLevelType w:val="multilevel"/>
    <w:tmpl w:val="34C03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1C48C0"/>
    <w:multiLevelType w:val="hybridMultilevel"/>
    <w:tmpl w:val="062643B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3582F77"/>
    <w:multiLevelType w:val="multilevel"/>
    <w:tmpl w:val="E5022EB2"/>
    <w:lvl w:ilvl="0">
      <w:start w:val="1"/>
      <w:numFmt w:val="decimal"/>
      <w:lvlText w:val="%1."/>
      <w:lvlJc w:val="left"/>
      <w:pPr>
        <w:tabs>
          <w:tab w:val="num" w:pos="360"/>
        </w:tabs>
        <w:ind w:left="360" w:hanging="360"/>
      </w:pPr>
    </w:lvl>
    <w:lvl w:ilvl="1">
      <w:start w:val="2"/>
      <w:numFmt w:val="bullet"/>
      <w:lvlText w:val="-"/>
      <w:lvlJc w:val="left"/>
      <w:pPr>
        <w:ind w:left="1440" w:hanging="36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C90015"/>
    <w:multiLevelType w:val="multilevel"/>
    <w:tmpl w:val="991A010E"/>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E23E76"/>
    <w:multiLevelType w:val="multilevel"/>
    <w:tmpl w:val="F2147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085851"/>
    <w:multiLevelType w:val="multilevel"/>
    <w:tmpl w:val="C0C84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241970"/>
    <w:multiLevelType w:val="multilevel"/>
    <w:tmpl w:val="2C423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1E609C"/>
    <w:multiLevelType w:val="hybridMultilevel"/>
    <w:tmpl w:val="3BCA05BC"/>
    <w:lvl w:ilvl="0" w:tplc="FFFFFFFF">
      <w:start w:val="1"/>
      <w:numFmt w:val="decimal"/>
      <w:lvlText w:val="%1."/>
      <w:lvlJc w:val="left"/>
      <w:pPr>
        <w:ind w:left="792" w:hanging="360"/>
      </w:pPr>
    </w:lvl>
    <w:lvl w:ilvl="1" w:tplc="08160019" w:tentative="1">
      <w:start w:val="1"/>
      <w:numFmt w:val="lowerLetter"/>
      <w:lvlText w:val="%2."/>
      <w:lvlJc w:val="left"/>
      <w:pPr>
        <w:ind w:left="1512" w:hanging="360"/>
      </w:pPr>
    </w:lvl>
    <w:lvl w:ilvl="2" w:tplc="0816001B" w:tentative="1">
      <w:start w:val="1"/>
      <w:numFmt w:val="lowerRoman"/>
      <w:lvlText w:val="%3."/>
      <w:lvlJc w:val="right"/>
      <w:pPr>
        <w:ind w:left="2232" w:hanging="180"/>
      </w:pPr>
    </w:lvl>
    <w:lvl w:ilvl="3" w:tplc="0816000F" w:tentative="1">
      <w:start w:val="1"/>
      <w:numFmt w:val="decimal"/>
      <w:lvlText w:val="%4."/>
      <w:lvlJc w:val="left"/>
      <w:pPr>
        <w:ind w:left="2952" w:hanging="360"/>
      </w:pPr>
    </w:lvl>
    <w:lvl w:ilvl="4" w:tplc="08160019" w:tentative="1">
      <w:start w:val="1"/>
      <w:numFmt w:val="lowerLetter"/>
      <w:lvlText w:val="%5."/>
      <w:lvlJc w:val="left"/>
      <w:pPr>
        <w:ind w:left="3672" w:hanging="360"/>
      </w:pPr>
    </w:lvl>
    <w:lvl w:ilvl="5" w:tplc="0816001B" w:tentative="1">
      <w:start w:val="1"/>
      <w:numFmt w:val="lowerRoman"/>
      <w:lvlText w:val="%6."/>
      <w:lvlJc w:val="right"/>
      <w:pPr>
        <w:ind w:left="4392" w:hanging="180"/>
      </w:pPr>
    </w:lvl>
    <w:lvl w:ilvl="6" w:tplc="0816000F" w:tentative="1">
      <w:start w:val="1"/>
      <w:numFmt w:val="decimal"/>
      <w:lvlText w:val="%7."/>
      <w:lvlJc w:val="left"/>
      <w:pPr>
        <w:ind w:left="5112" w:hanging="360"/>
      </w:pPr>
    </w:lvl>
    <w:lvl w:ilvl="7" w:tplc="08160019" w:tentative="1">
      <w:start w:val="1"/>
      <w:numFmt w:val="lowerLetter"/>
      <w:lvlText w:val="%8."/>
      <w:lvlJc w:val="left"/>
      <w:pPr>
        <w:ind w:left="5832" w:hanging="360"/>
      </w:pPr>
    </w:lvl>
    <w:lvl w:ilvl="8" w:tplc="0816001B" w:tentative="1">
      <w:start w:val="1"/>
      <w:numFmt w:val="lowerRoman"/>
      <w:lvlText w:val="%9."/>
      <w:lvlJc w:val="right"/>
      <w:pPr>
        <w:ind w:left="6552" w:hanging="180"/>
      </w:pPr>
    </w:lvl>
  </w:abstractNum>
  <w:abstractNum w:abstractNumId="16" w15:restartNumberingAfterBreak="0">
    <w:nsid w:val="2D03796B"/>
    <w:multiLevelType w:val="multilevel"/>
    <w:tmpl w:val="7F041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D3145F"/>
    <w:multiLevelType w:val="multilevel"/>
    <w:tmpl w:val="E5022EB2"/>
    <w:lvl w:ilvl="0">
      <w:start w:val="1"/>
      <w:numFmt w:val="decimal"/>
      <w:lvlText w:val="%1."/>
      <w:lvlJc w:val="left"/>
      <w:pPr>
        <w:tabs>
          <w:tab w:val="num" w:pos="360"/>
        </w:tabs>
        <w:ind w:left="360" w:hanging="360"/>
      </w:pPr>
    </w:lvl>
    <w:lvl w:ilvl="1">
      <w:start w:val="2"/>
      <w:numFmt w:val="bullet"/>
      <w:lvlText w:val="-"/>
      <w:lvlJc w:val="left"/>
      <w:pPr>
        <w:ind w:left="1440" w:hanging="36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35A484B"/>
    <w:multiLevelType w:val="multilevel"/>
    <w:tmpl w:val="5A223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F357B8"/>
    <w:multiLevelType w:val="hybridMultilevel"/>
    <w:tmpl w:val="9230C888"/>
    <w:lvl w:ilvl="0" w:tplc="37E6EF36">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0" w15:restartNumberingAfterBreak="0">
    <w:nsid w:val="388A46BB"/>
    <w:multiLevelType w:val="multilevel"/>
    <w:tmpl w:val="E5022EB2"/>
    <w:lvl w:ilvl="0">
      <w:start w:val="1"/>
      <w:numFmt w:val="decimal"/>
      <w:lvlText w:val="%1."/>
      <w:lvlJc w:val="left"/>
      <w:pPr>
        <w:tabs>
          <w:tab w:val="num" w:pos="360"/>
        </w:tabs>
        <w:ind w:left="360" w:hanging="360"/>
      </w:pPr>
    </w:lvl>
    <w:lvl w:ilvl="1">
      <w:start w:val="2"/>
      <w:numFmt w:val="bullet"/>
      <w:lvlText w:val="-"/>
      <w:lvlJc w:val="left"/>
      <w:pPr>
        <w:ind w:left="1440" w:hanging="36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A174F92"/>
    <w:multiLevelType w:val="multilevel"/>
    <w:tmpl w:val="E5022EB2"/>
    <w:lvl w:ilvl="0">
      <w:start w:val="1"/>
      <w:numFmt w:val="decimal"/>
      <w:lvlText w:val="%1."/>
      <w:lvlJc w:val="left"/>
      <w:pPr>
        <w:tabs>
          <w:tab w:val="num" w:pos="360"/>
        </w:tabs>
        <w:ind w:left="360" w:hanging="360"/>
      </w:pPr>
    </w:lvl>
    <w:lvl w:ilvl="1">
      <w:start w:val="2"/>
      <w:numFmt w:val="bullet"/>
      <w:lvlText w:val="-"/>
      <w:lvlJc w:val="left"/>
      <w:pPr>
        <w:ind w:left="1440" w:hanging="36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2421571"/>
    <w:multiLevelType w:val="hybridMultilevel"/>
    <w:tmpl w:val="F27887E0"/>
    <w:lvl w:ilvl="0" w:tplc="FB00B75C">
      <w:numFmt w:val="bullet"/>
      <w:lvlText w:val="-"/>
      <w:lvlJc w:val="left"/>
      <w:pPr>
        <w:ind w:left="720" w:hanging="360"/>
      </w:pPr>
      <w:rPr>
        <w:rFonts w:ascii="Arial" w:eastAsiaTheme="minorHAnsi" w:hAnsi="Arial" w:cs="Arial" w:hint="default"/>
        <w:b w:val="0"/>
        <w:color w:val="auto"/>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44313C7A"/>
    <w:multiLevelType w:val="multilevel"/>
    <w:tmpl w:val="BEB23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D6B58F8"/>
    <w:multiLevelType w:val="multilevel"/>
    <w:tmpl w:val="EAC41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FC2750"/>
    <w:multiLevelType w:val="multilevel"/>
    <w:tmpl w:val="AB3C9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4631AE"/>
    <w:multiLevelType w:val="multilevel"/>
    <w:tmpl w:val="19367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FE52CD"/>
    <w:multiLevelType w:val="hybridMultilevel"/>
    <w:tmpl w:val="A9B2A344"/>
    <w:lvl w:ilvl="0" w:tplc="37E6EF36">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8" w15:restartNumberingAfterBreak="0">
    <w:nsid w:val="56B22AF2"/>
    <w:multiLevelType w:val="multilevel"/>
    <w:tmpl w:val="9678E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890EC4"/>
    <w:multiLevelType w:val="multilevel"/>
    <w:tmpl w:val="75222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BB173D"/>
    <w:multiLevelType w:val="multilevel"/>
    <w:tmpl w:val="642A3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BC3DD0"/>
    <w:multiLevelType w:val="hybridMultilevel"/>
    <w:tmpl w:val="452AB326"/>
    <w:lvl w:ilvl="0" w:tplc="0980F45E">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2" w15:restartNumberingAfterBreak="0">
    <w:nsid w:val="65CF7DFE"/>
    <w:multiLevelType w:val="multilevel"/>
    <w:tmpl w:val="8618A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5B133C"/>
    <w:multiLevelType w:val="multilevel"/>
    <w:tmpl w:val="383E2B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28044E"/>
    <w:multiLevelType w:val="multilevel"/>
    <w:tmpl w:val="91C26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51035C"/>
    <w:multiLevelType w:val="hybridMultilevel"/>
    <w:tmpl w:val="0B3C75EE"/>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36" w15:restartNumberingAfterBreak="0">
    <w:nsid w:val="75A1791D"/>
    <w:multiLevelType w:val="multilevel"/>
    <w:tmpl w:val="44606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247970"/>
    <w:multiLevelType w:val="multilevel"/>
    <w:tmpl w:val="111C9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CB2062"/>
    <w:multiLevelType w:val="multilevel"/>
    <w:tmpl w:val="0F92A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3225524">
    <w:abstractNumId w:val="35"/>
  </w:num>
  <w:num w:numId="2" w16cid:durableId="1867525106">
    <w:abstractNumId w:val="27"/>
  </w:num>
  <w:num w:numId="3" w16cid:durableId="1835487991">
    <w:abstractNumId w:val="6"/>
  </w:num>
  <w:num w:numId="4" w16cid:durableId="1983148709">
    <w:abstractNumId w:val="31"/>
  </w:num>
  <w:num w:numId="5" w16cid:durableId="647397277">
    <w:abstractNumId w:val="22"/>
  </w:num>
  <w:num w:numId="6" w16cid:durableId="1730417002">
    <w:abstractNumId w:val="33"/>
  </w:num>
  <w:num w:numId="7" w16cid:durableId="365720428">
    <w:abstractNumId w:val="36"/>
  </w:num>
  <w:num w:numId="8" w16cid:durableId="177351172">
    <w:abstractNumId w:val="28"/>
  </w:num>
  <w:num w:numId="9" w16cid:durableId="1567762457">
    <w:abstractNumId w:val="14"/>
  </w:num>
  <w:num w:numId="10" w16cid:durableId="1807043030">
    <w:abstractNumId w:val="4"/>
  </w:num>
  <w:num w:numId="11" w16cid:durableId="1607692648">
    <w:abstractNumId w:val="30"/>
  </w:num>
  <w:num w:numId="12" w16cid:durableId="674965375">
    <w:abstractNumId w:val="38"/>
  </w:num>
  <w:num w:numId="13" w16cid:durableId="106313063">
    <w:abstractNumId w:val="5"/>
  </w:num>
  <w:num w:numId="14" w16cid:durableId="337316202">
    <w:abstractNumId w:val="29"/>
  </w:num>
  <w:num w:numId="15" w16cid:durableId="1494225668">
    <w:abstractNumId w:val="32"/>
  </w:num>
  <w:num w:numId="16" w16cid:durableId="627592660">
    <w:abstractNumId w:val="18"/>
  </w:num>
  <w:num w:numId="17" w16cid:durableId="693044016">
    <w:abstractNumId w:val="37"/>
  </w:num>
  <w:num w:numId="18" w16cid:durableId="1570112926">
    <w:abstractNumId w:val="8"/>
  </w:num>
  <w:num w:numId="19" w16cid:durableId="643048178">
    <w:abstractNumId w:val="16"/>
  </w:num>
  <w:num w:numId="20" w16cid:durableId="1361005831">
    <w:abstractNumId w:val="13"/>
  </w:num>
  <w:num w:numId="21" w16cid:durableId="1667780898">
    <w:abstractNumId w:val="0"/>
  </w:num>
  <w:num w:numId="22" w16cid:durableId="1652560625">
    <w:abstractNumId w:val="25"/>
  </w:num>
  <w:num w:numId="23" w16cid:durableId="189540145">
    <w:abstractNumId w:val="34"/>
  </w:num>
  <w:num w:numId="24" w16cid:durableId="910044096">
    <w:abstractNumId w:val="24"/>
  </w:num>
  <w:num w:numId="25" w16cid:durableId="1360856909">
    <w:abstractNumId w:val="2"/>
  </w:num>
  <w:num w:numId="26" w16cid:durableId="1826625571">
    <w:abstractNumId w:val="26"/>
  </w:num>
  <w:num w:numId="27" w16cid:durableId="1739014961">
    <w:abstractNumId w:val="7"/>
  </w:num>
  <w:num w:numId="28" w16cid:durableId="1384595032">
    <w:abstractNumId w:val="12"/>
  </w:num>
  <w:num w:numId="29" w16cid:durableId="1643801665">
    <w:abstractNumId w:val="10"/>
  </w:num>
  <w:num w:numId="30" w16cid:durableId="259145283">
    <w:abstractNumId w:val="3"/>
  </w:num>
  <w:num w:numId="31" w16cid:durableId="318854246">
    <w:abstractNumId w:val="1"/>
  </w:num>
  <w:num w:numId="32" w16cid:durableId="650327127">
    <w:abstractNumId w:val="11"/>
  </w:num>
  <w:num w:numId="33" w16cid:durableId="278804778">
    <w:abstractNumId w:val="19"/>
  </w:num>
  <w:num w:numId="34" w16cid:durableId="703529831">
    <w:abstractNumId w:val="21"/>
  </w:num>
  <w:num w:numId="35" w16cid:durableId="1144158277">
    <w:abstractNumId w:val="20"/>
  </w:num>
  <w:num w:numId="36" w16cid:durableId="1431856339">
    <w:abstractNumId w:val="17"/>
  </w:num>
  <w:num w:numId="37" w16cid:durableId="595209071">
    <w:abstractNumId w:val="9"/>
  </w:num>
  <w:num w:numId="38" w16cid:durableId="879317162">
    <w:abstractNumId w:val="23"/>
  </w:num>
  <w:num w:numId="39" w16cid:durableId="9413384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attachedTemplate r:id="rId1"/>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3D0"/>
    <w:rsid w:val="00000617"/>
    <w:rsid w:val="00006CA9"/>
    <w:rsid w:val="00024791"/>
    <w:rsid w:val="00026808"/>
    <w:rsid w:val="00032AFC"/>
    <w:rsid w:val="00047324"/>
    <w:rsid w:val="00061A50"/>
    <w:rsid w:val="00062437"/>
    <w:rsid w:val="00071FA8"/>
    <w:rsid w:val="00072D08"/>
    <w:rsid w:val="000744C5"/>
    <w:rsid w:val="00085CF9"/>
    <w:rsid w:val="000877E1"/>
    <w:rsid w:val="000973D4"/>
    <w:rsid w:val="000A5DB9"/>
    <w:rsid w:val="000B172D"/>
    <w:rsid w:val="000B49F0"/>
    <w:rsid w:val="000C32E0"/>
    <w:rsid w:val="000C3E5F"/>
    <w:rsid w:val="000D6C77"/>
    <w:rsid w:val="000E16E8"/>
    <w:rsid w:val="000E5B4F"/>
    <w:rsid w:val="000F396B"/>
    <w:rsid w:val="000F6D78"/>
    <w:rsid w:val="00102513"/>
    <w:rsid w:val="001049BE"/>
    <w:rsid w:val="00107338"/>
    <w:rsid w:val="00114AE5"/>
    <w:rsid w:val="00116CC9"/>
    <w:rsid w:val="00123B83"/>
    <w:rsid w:val="00131FE8"/>
    <w:rsid w:val="00132ACD"/>
    <w:rsid w:val="00132DFF"/>
    <w:rsid w:val="00134D95"/>
    <w:rsid w:val="00136D74"/>
    <w:rsid w:val="00145D49"/>
    <w:rsid w:val="00145DBF"/>
    <w:rsid w:val="001460D0"/>
    <w:rsid w:val="00153925"/>
    <w:rsid w:val="0019152E"/>
    <w:rsid w:val="0019757C"/>
    <w:rsid w:val="001A6EAE"/>
    <w:rsid w:val="001B0F98"/>
    <w:rsid w:val="001D4F6A"/>
    <w:rsid w:val="001F15C7"/>
    <w:rsid w:val="00205E8C"/>
    <w:rsid w:val="002152F7"/>
    <w:rsid w:val="00224A8B"/>
    <w:rsid w:val="002409F0"/>
    <w:rsid w:val="00241E0B"/>
    <w:rsid w:val="00244A1E"/>
    <w:rsid w:val="00246F0D"/>
    <w:rsid w:val="002675A1"/>
    <w:rsid w:val="002919E5"/>
    <w:rsid w:val="002A2067"/>
    <w:rsid w:val="002B48CA"/>
    <w:rsid w:val="002C24A7"/>
    <w:rsid w:val="002D0013"/>
    <w:rsid w:val="002D2569"/>
    <w:rsid w:val="002D3028"/>
    <w:rsid w:val="002E07A4"/>
    <w:rsid w:val="002E6949"/>
    <w:rsid w:val="002F5B2E"/>
    <w:rsid w:val="00320D15"/>
    <w:rsid w:val="003236CD"/>
    <w:rsid w:val="00324A05"/>
    <w:rsid w:val="00347CC5"/>
    <w:rsid w:val="00360246"/>
    <w:rsid w:val="003635F6"/>
    <w:rsid w:val="00364868"/>
    <w:rsid w:val="003744A0"/>
    <w:rsid w:val="00374AC8"/>
    <w:rsid w:val="00377B92"/>
    <w:rsid w:val="003811C8"/>
    <w:rsid w:val="003819F6"/>
    <w:rsid w:val="003B27A3"/>
    <w:rsid w:val="003B46EF"/>
    <w:rsid w:val="003C1B38"/>
    <w:rsid w:val="003C3A44"/>
    <w:rsid w:val="003C5769"/>
    <w:rsid w:val="003C6187"/>
    <w:rsid w:val="0040545A"/>
    <w:rsid w:val="00407050"/>
    <w:rsid w:val="00421D8C"/>
    <w:rsid w:val="00432AF0"/>
    <w:rsid w:val="0045642E"/>
    <w:rsid w:val="00467B7E"/>
    <w:rsid w:val="0048587C"/>
    <w:rsid w:val="00487190"/>
    <w:rsid w:val="00487382"/>
    <w:rsid w:val="00487C7E"/>
    <w:rsid w:val="00495D0A"/>
    <w:rsid w:val="004A1D54"/>
    <w:rsid w:val="004B5AC2"/>
    <w:rsid w:val="004C4ECF"/>
    <w:rsid w:val="004D3B35"/>
    <w:rsid w:val="004D4057"/>
    <w:rsid w:val="004D7886"/>
    <w:rsid w:val="004E154D"/>
    <w:rsid w:val="004F6E4F"/>
    <w:rsid w:val="00501A66"/>
    <w:rsid w:val="00505E98"/>
    <w:rsid w:val="00506409"/>
    <w:rsid w:val="0053604A"/>
    <w:rsid w:val="005534DD"/>
    <w:rsid w:val="0055502D"/>
    <w:rsid w:val="005703CB"/>
    <w:rsid w:val="005739DA"/>
    <w:rsid w:val="005944C9"/>
    <w:rsid w:val="00596B46"/>
    <w:rsid w:val="005A0BC5"/>
    <w:rsid w:val="005A37D0"/>
    <w:rsid w:val="005B206F"/>
    <w:rsid w:val="005B7B19"/>
    <w:rsid w:val="005C2BE8"/>
    <w:rsid w:val="005D0165"/>
    <w:rsid w:val="005E6A20"/>
    <w:rsid w:val="005E7388"/>
    <w:rsid w:val="005F7BAE"/>
    <w:rsid w:val="0062222A"/>
    <w:rsid w:val="00624901"/>
    <w:rsid w:val="006340BC"/>
    <w:rsid w:val="00637B6F"/>
    <w:rsid w:val="0066194A"/>
    <w:rsid w:val="00663148"/>
    <w:rsid w:val="0066742F"/>
    <w:rsid w:val="006834AD"/>
    <w:rsid w:val="00695C80"/>
    <w:rsid w:val="006A0D39"/>
    <w:rsid w:val="006B4172"/>
    <w:rsid w:val="006E3DA7"/>
    <w:rsid w:val="006F7B9F"/>
    <w:rsid w:val="00716841"/>
    <w:rsid w:val="007336FA"/>
    <w:rsid w:val="00734201"/>
    <w:rsid w:val="007376C9"/>
    <w:rsid w:val="00752DE2"/>
    <w:rsid w:val="00752E31"/>
    <w:rsid w:val="00762C43"/>
    <w:rsid w:val="00765D76"/>
    <w:rsid w:val="007913D8"/>
    <w:rsid w:val="007A25B6"/>
    <w:rsid w:val="007B42D8"/>
    <w:rsid w:val="007C0936"/>
    <w:rsid w:val="007C2590"/>
    <w:rsid w:val="007C77DC"/>
    <w:rsid w:val="007D41BF"/>
    <w:rsid w:val="007D50E3"/>
    <w:rsid w:val="00806294"/>
    <w:rsid w:val="00807E7B"/>
    <w:rsid w:val="00812D96"/>
    <w:rsid w:val="00815E7E"/>
    <w:rsid w:val="00821195"/>
    <w:rsid w:val="0082576E"/>
    <w:rsid w:val="0084458E"/>
    <w:rsid w:val="008458F2"/>
    <w:rsid w:val="00860228"/>
    <w:rsid w:val="00860452"/>
    <w:rsid w:val="00865055"/>
    <w:rsid w:val="00873206"/>
    <w:rsid w:val="008829CC"/>
    <w:rsid w:val="0088392E"/>
    <w:rsid w:val="008900F2"/>
    <w:rsid w:val="00891CDF"/>
    <w:rsid w:val="0089444A"/>
    <w:rsid w:val="00896B5B"/>
    <w:rsid w:val="008A7997"/>
    <w:rsid w:val="008B61CA"/>
    <w:rsid w:val="008C26F5"/>
    <w:rsid w:val="008C4FF3"/>
    <w:rsid w:val="008D43DD"/>
    <w:rsid w:val="008E497B"/>
    <w:rsid w:val="008E609A"/>
    <w:rsid w:val="00900C87"/>
    <w:rsid w:val="00902A48"/>
    <w:rsid w:val="00904B28"/>
    <w:rsid w:val="00905675"/>
    <w:rsid w:val="00912BC4"/>
    <w:rsid w:val="00913C16"/>
    <w:rsid w:val="009302AD"/>
    <w:rsid w:val="00932871"/>
    <w:rsid w:val="00945D07"/>
    <w:rsid w:val="00950521"/>
    <w:rsid w:val="009569D4"/>
    <w:rsid w:val="009634F6"/>
    <w:rsid w:val="009654B2"/>
    <w:rsid w:val="0098727A"/>
    <w:rsid w:val="009876BB"/>
    <w:rsid w:val="00987CFD"/>
    <w:rsid w:val="009A212D"/>
    <w:rsid w:val="009B2644"/>
    <w:rsid w:val="009B394C"/>
    <w:rsid w:val="009C1AA5"/>
    <w:rsid w:val="009E6EFC"/>
    <w:rsid w:val="009F27B6"/>
    <w:rsid w:val="00A127A7"/>
    <w:rsid w:val="00A21591"/>
    <w:rsid w:val="00A32673"/>
    <w:rsid w:val="00A4040E"/>
    <w:rsid w:val="00A406C7"/>
    <w:rsid w:val="00A41E0F"/>
    <w:rsid w:val="00A61328"/>
    <w:rsid w:val="00A61A6E"/>
    <w:rsid w:val="00A63756"/>
    <w:rsid w:val="00A859E7"/>
    <w:rsid w:val="00A90D66"/>
    <w:rsid w:val="00A91B92"/>
    <w:rsid w:val="00AA342F"/>
    <w:rsid w:val="00AA3BEE"/>
    <w:rsid w:val="00AC3CE1"/>
    <w:rsid w:val="00AC4F30"/>
    <w:rsid w:val="00AD394E"/>
    <w:rsid w:val="00AE2CBF"/>
    <w:rsid w:val="00B266CE"/>
    <w:rsid w:val="00B41199"/>
    <w:rsid w:val="00B4389A"/>
    <w:rsid w:val="00B43D6F"/>
    <w:rsid w:val="00B45899"/>
    <w:rsid w:val="00B476DE"/>
    <w:rsid w:val="00B53254"/>
    <w:rsid w:val="00B53632"/>
    <w:rsid w:val="00B63C5E"/>
    <w:rsid w:val="00B6440A"/>
    <w:rsid w:val="00B73E6D"/>
    <w:rsid w:val="00B76E44"/>
    <w:rsid w:val="00B81569"/>
    <w:rsid w:val="00B84620"/>
    <w:rsid w:val="00B92F47"/>
    <w:rsid w:val="00B93A5D"/>
    <w:rsid w:val="00B958DE"/>
    <w:rsid w:val="00BA1A89"/>
    <w:rsid w:val="00BB345E"/>
    <w:rsid w:val="00BC6117"/>
    <w:rsid w:val="00BE4147"/>
    <w:rsid w:val="00BE4D57"/>
    <w:rsid w:val="00BE5298"/>
    <w:rsid w:val="00BE7D7A"/>
    <w:rsid w:val="00BF6BC7"/>
    <w:rsid w:val="00C0719C"/>
    <w:rsid w:val="00C14A53"/>
    <w:rsid w:val="00C21DD5"/>
    <w:rsid w:val="00C263D0"/>
    <w:rsid w:val="00C33DA1"/>
    <w:rsid w:val="00C4678C"/>
    <w:rsid w:val="00C4764B"/>
    <w:rsid w:val="00C52BAF"/>
    <w:rsid w:val="00C77176"/>
    <w:rsid w:val="00C96D86"/>
    <w:rsid w:val="00CA709B"/>
    <w:rsid w:val="00CB3D05"/>
    <w:rsid w:val="00CB572A"/>
    <w:rsid w:val="00CB6E4F"/>
    <w:rsid w:val="00CC2ED2"/>
    <w:rsid w:val="00CD4DC5"/>
    <w:rsid w:val="00CD52AD"/>
    <w:rsid w:val="00CD7978"/>
    <w:rsid w:val="00CE0271"/>
    <w:rsid w:val="00CE5C60"/>
    <w:rsid w:val="00CE61D2"/>
    <w:rsid w:val="00D1093B"/>
    <w:rsid w:val="00D14874"/>
    <w:rsid w:val="00D24AA0"/>
    <w:rsid w:val="00D333BF"/>
    <w:rsid w:val="00D66D04"/>
    <w:rsid w:val="00D81EF9"/>
    <w:rsid w:val="00D83E09"/>
    <w:rsid w:val="00DB032D"/>
    <w:rsid w:val="00DB2440"/>
    <w:rsid w:val="00DD780D"/>
    <w:rsid w:val="00DF31CA"/>
    <w:rsid w:val="00DF43F6"/>
    <w:rsid w:val="00DF6B72"/>
    <w:rsid w:val="00DF729C"/>
    <w:rsid w:val="00E02BED"/>
    <w:rsid w:val="00E134AA"/>
    <w:rsid w:val="00E20660"/>
    <w:rsid w:val="00E22D03"/>
    <w:rsid w:val="00E3622A"/>
    <w:rsid w:val="00E40EB2"/>
    <w:rsid w:val="00E41EEE"/>
    <w:rsid w:val="00E42ADA"/>
    <w:rsid w:val="00E44A06"/>
    <w:rsid w:val="00E4768C"/>
    <w:rsid w:val="00E527ED"/>
    <w:rsid w:val="00EB272D"/>
    <w:rsid w:val="00EC37F6"/>
    <w:rsid w:val="00EC511A"/>
    <w:rsid w:val="00EC64D2"/>
    <w:rsid w:val="00EE55BC"/>
    <w:rsid w:val="00EE7BFF"/>
    <w:rsid w:val="00F0017B"/>
    <w:rsid w:val="00F10989"/>
    <w:rsid w:val="00F17607"/>
    <w:rsid w:val="00F20A27"/>
    <w:rsid w:val="00F27BAC"/>
    <w:rsid w:val="00F467A1"/>
    <w:rsid w:val="00F47281"/>
    <w:rsid w:val="00F56BD1"/>
    <w:rsid w:val="00F614A3"/>
    <w:rsid w:val="00F67706"/>
    <w:rsid w:val="00F744B9"/>
    <w:rsid w:val="00F77200"/>
    <w:rsid w:val="00F84FF8"/>
    <w:rsid w:val="00F858BB"/>
    <w:rsid w:val="00F86FA9"/>
    <w:rsid w:val="00F90F58"/>
    <w:rsid w:val="00F94F90"/>
    <w:rsid w:val="00F955BA"/>
    <w:rsid w:val="00FA7A3C"/>
    <w:rsid w:val="00FB3445"/>
    <w:rsid w:val="00FC12A3"/>
    <w:rsid w:val="00FC1DDA"/>
    <w:rsid w:val="00FE6C81"/>
    <w:rsid w:val="00FF3BD1"/>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D5D0D"/>
  <w15:chartTrackingRefBased/>
  <w15:docId w15:val="{E9D670B8-EFCA-427D-88BE-DDE47A92B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871"/>
    <w:rPr>
      <w:lang w:val="en-US"/>
    </w:rPr>
  </w:style>
  <w:style w:type="paragraph" w:styleId="Ttulo1">
    <w:name w:val="heading 1"/>
    <w:basedOn w:val="Normal"/>
    <w:next w:val="Normal"/>
    <w:link w:val="Ttulo1Carter"/>
    <w:uiPriority w:val="9"/>
    <w:qFormat/>
    <w:rsid w:val="009328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ter"/>
    <w:uiPriority w:val="9"/>
    <w:unhideWhenUsed/>
    <w:qFormat/>
    <w:rsid w:val="009328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ter"/>
    <w:uiPriority w:val="9"/>
    <w:unhideWhenUsed/>
    <w:qFormat/>
    <w:rsid w:val="00932871"/>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ter"/>
    <w:uiPriority w:val="9"/>
    <w:semiHidden/>
    <w:unhideWhenUsed/>
    <w:qFormat/>
    <w:rsid w:val="00932871"/>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ter"/>
    <w:uiPriority w:val="9"/>
    <w:semiHidden/>
    <w:unhideWhenUsed/>
    <w:qFormat/>
    <w:rsid w:val="00932871"/>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ter"/>
    <w:uiPriority w:val="9"/>
    <w:semiHidden/>
    <w:unhideWhenUsed/>
    <w:qFormat/>
    <w:rsid w:val="00932871"/>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932871"/>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932871"/>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932871"/>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932871"/>
    <w:rPr>
      <w:rFonts w:asciiTheme="majorHAnsi" w:eastAsiaTheme="majorEastAsia" w:hAnsiTheme="majorHAnsi" w:cstheme="majorBidi"/>
      <w:color w:val="0F4761" w:themeColor="accent1" w:themeShade="BF"/>
      <w:sz w:val="40"/>
      <w:szCs w:val="40"/>
    </w:rPr>
  </w:style>
  <w:style w:type="character" w:customStyle="1" w:styleId="Ttulo2Carter">
    <w:name w:val="Título 2 Caráter"/>
    <w:basedOn w:val="Tipodeletrapredefinidodopargrafo"/>
    <w:link w:val="Ttulo2"/>
    <w:uiPriority w:val="9"/>
    <w:rsid w:val="00932871"/>
    <w:rPr>
      <w:rFonts w:asciiTheme="majorHAnsi" w:eastAsiaTheme="majorEastAsia" w:hAnsiTheme="majorHAnsi" w:cstheme="majorBidi"/>
      <w:color w:val="0F4761" w:themeColor="accent1" w:themeShade="BF"/>
      <w:sz w:val="32"/>
      <w:szCs w:val="32"/>
    </w:rPr>
  </w:style>
  <w:style w:type="character" w:customStyle="1" w:styleId="Ttulo3Carter">
    <w:name w:val="Título 3 Caráter"/>
    <w:basedOn w:val="Tipodeletrapredefinidodopargrafo"/>
    <w:link w:val="Ttulo3"/>
    <w:uiPriority w:val="9"/>
    <w:rsid w:val="00932871"/>
    <w:rPr>
      <w:rFonts w:eastAsiaTheme="majorEastAsia" w:cstheme="majorBidi"/>
      <w:color w:val="0F4761" w:themeColor="accent1" w:themeShade="BF"/>
      <w:sz w:val="28"/>
      <w:szCs w:val="28"/>
    </w:rPr>
  </w:style>
  <w:style w:type="character" w:customStyle="1" w:styleId="Ttulo4Carter">
    <w:name w:val="Título 4 Caráter"/>
    <w:basedOn w:val="Tipodeletrapredefinidodopargrafo"/>
    <w:link w:val="Ttulo4"/>
    <w:uiPriority w:val="9"/>
    <w:semiHidden/>
    <w:rsid w:val="00932871"/>
    <w:rPr>
      <w:rFonts w:eastAsiaTheme="majorEastAsia" w:cstheme="majorBidi"/>
      <w:i/>
      <w:iCs/>
      <w:color w:val="0F4761" w:themeColor="accent1" w:themeShade="BF"/>
    </w:rPr>
  </w:style>
  <w:style w:type="character" w:customStyle="1" w:styleId="Ttulo5Carter">
    <w:name w:val="Título 5 Caráter"/>
    <w:basedOn w:val="Tipodeletrapredefinidodopargrafo"/>
    <w:link w:val="Ttulo5"/>
    <w:uiPriority w:val="9"/>
    <w:semiHidden/>
    <w:rsid w:val="00932871"/>
    <w:rPr>
      <w:rFonts w:eastAsiaTheme="majorEastAsia" w:cstheme="majorBidi"/>
      <w:color w:val="0F4761" w:themeColor="accent1" w:themeShade="BF"/>
    </w:rPr>
  </w:style>
  <w:style w:type="character" w:customStyle="1" w:styleId="Ttulo6Carter">
    <w:name w:val="Título 6 Caráter"/>
    <w:basedOn w:val="Tipodeletrapredefinidodopargrafo"/>
    <w:link w:val="Ttulo6"/>
    <w:uiPriority w:val="9"/>
    <w:semiHidden/>
    <w:rsid w:val="00932871"/>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932871"/>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932871"/>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932871"/>
    <w:rPr>
      <w:rFonts w:eastAsiaTheme="majorEastAsia" w:cstheme="majorBidi"/>
      <w:color w:val="272727" w:themeColor="text1" w:themeTint="D8"/>
    </w:rPr>
  </w:style>
  <w:style w:type="paragraph" w:styleId="Ttulo">
    <w:name w:val="Title"/>
    <w:basedOn w:val="Normal"/>
    <w:next w:val="Normal"/>
    <w:link w:val="TtuloCarter"/>
    <w:uiPriority w:val="10"/>
    <w:qFormat/>
    <w:rsid w:val="009328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uiPriority w:val="10"/>
    <w:rsid w:val="00932871"/>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1"/>
    <w:qFormat/>
    <w:rsid w:val="00932871"/>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1"/>
    <w:rsid w:val="00932871"/>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932871"/>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932871"/>
    <w:rPr>
      <w:i/>
      <w:iCs/>
      <w:color w:val="404040" w:themeColor="text1" w:themeTint="BF"/>
    </w:rPr>
  </w:style>
  <w:style w:type="paragraph" w:styleId="PargrafodaLista">
    <w:name w:val="List Paragraph"/>
    <w:basedOn w:val="Normal"/>
    <w:uiPriority w:val="34"/>
    <w:qFormat/>
    <w:rsid w:val="00932871"/>
    <w:pPr>
      <w:ind w:left="720"/>
      <w:contextualSpacing/>
    </w:pPr>
  </w:style>
  <w:style w:type="character" w:styleId="nfaseIntensa">
    <w:name w:val="Intense Emphasis"/>
    <w:basedOn w:val="Tipodeletrapredefinidodopargrafo"/>
    <w:uiPriority w:val="21"/>
    <w:qFormat/>
    <w:rsid w:val="00932871"/>
    <w:rPr>
      <w:i/>
      <w:iCs/>
      <w:color w:val="0F4761" w:themeColor="accent1" w:themeShade="BF"/>
    </w:rPr>
  </w:style>
  <w:style w:type="paragraph" w:styleId="CitaoIntensa">
    <w:name w:val="Intense Quote"/>
    <w:basedOn w:val="Normal"/>
    <w:next w:val="Normal"/>
    <w:link w:val="CitaoIntensaCarter"/>
    <w:uiPriority w:val="30"/>
    <w:qFormat/>
    <w:rsid w:val="009328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arter">
    <w:name w:val="Citação Intensa Caráter"/>
    <w:basedOn w:val="Tipodeletrapredefinidodopargrafo"/>
    <w:link w:val="CitaoIntensa"/>
    <w:uiPriority w:val="30"/>
    <w:rsid w:val="00932871"/>
    <w:rPr>
      <w:i/>
      <w:iCs/>
      <w:color w:val="0F4761" w:themeColor="accent1" w:themeShade="BF"/>
    </w:rPr>
  </w:style>
  <w:style w:type="character" w:styleId="RefernciaIntensa">
    <w:name w:val="Intense Reference"/>
    <w:basedOn w:val="Tipodeletrapredefinidodopargrafo"/>
    <w:uiPriority w:val="32"/>
    <w:qFormat/>
    <w:rsid w:val="00932871"/>
    <w:rPr>
      <w:b/>
      <w:bCs/>
      <w:smallCaps/>
      <w:color w:val="0F4761" w:themeColor="accent1" w:themeShade="BF"/>
      <w:spacing w:val="5"/>
    </w:rPr>
  </w:style>
  <w:style w:type="paragraph" w:customStyle="1" w:styleId="PargrafodaLista1">
    <w:name w:val="Parágrafo da Lista1"/>
    <w:basedOn w:val="Normal"/>
    <w:rsid w:val="005B7B19"/>
    <w:pPr>
      <w:spacing w:before="100" w:beforeAutospacing="1" w:after="100" w:afterAutospacing="1" w:line="256" w:lineRule="auto"/>
      <w:contextualSpacing/>
    </w:pPr>
    <w:rPr>
      <w:rFonts w:ascii="Calibri" w:eastAsia="Times New Roman" w:hAnsi="Calibri" w:cs="Times New Roman"/>
      <w:sz w:val="24"/>
      <w:szCs w:val="24"/>
      <w:lang w:val="pt-PT" w:eastAsia="pt-PT"/>
    </w:rPr>
  </w:style>
  <w:style w:type="paragraph" w:styleId="Cabealho">
    <w:name w:val="header"/>
    <w:basedOn w:val="Normal"/>
    <w:link w:val="CabealhoCarter"/>
    <w:uiPriority w:val="99"/>
    <w:unhideWhenUsed/>
    <w:rsid w:val="00EE7BFF"/>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EE7BFF"/>
    <w:rPr>
      <w:lang w:val="en-US"/>
    </w:rPr>
  </w:style>
  <w:style w:type="paragraph" w:styleId="Rodap">
    <w:name w:val="footer"/>
    <w:basedOn w:val="Normal"/>
    <w:link w:val="RodapCarter"/>
    <w:uiPriority w:val="99"/>
    <w:unhideWhenUsed/>
    <w:rsid w:val="00EE7BFF"/>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EE7BFF"/>
    <w:rPr>
      <w:lang w:val="en-US"/>
    </w:rPr>
  </w:style>
  <w:style w:type="paragraph" w:styleId="Bibliografia">
    <w:name w:val="Bibliography"/>
    <w:basedOn w:val="Normal"/>
    <w:next w:val="Normal"/>
    <w:uiPriority w:val="37"/>
    <w:unhideWhenUsed/>
    <w:rsid w:val="008E497B"/>
    <w:pPr>
      <w:spacing w:after="240" w:line="240" w:lineRule="auto"/>
    </w:pPr>
  </w:style>
  <w:style w:type="table" w:styleId="TabelacomGrelha">
    <w:name w:val="Table Grid"/>
    <w:basedOn w:val="Tabelanormal"/>
    <w:uiPriority w:val="59"/>
    <w:rsid w:val="006E3DA7"/>
    <w:pPr>
      <w:spacing w:after="0" w:line="240" w:lineRule="auto"/>
    </w:pPr>
    <w:rPr>
      <w:rFonts w:ascii="Cambria" w:eastAsia="MS Mincho" w:hAnsi="Cambria"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97121">
      <w:bodyDiv w:val="1"/>
      <w:marLeft w:val="0"/>
      <w:marRight w:val="0"/>
      <w:marTop w:val="0"/>
      <w:marBottom w:val="0"/>
      <w:divBdr>
        <w:top w:val="none" w:sz="0" w:space="0" w:color="auto"/>
        <w:left w:val="none" w:sz="0" w:space="0" w:color="auto"/>
        <w:bottom w:val="none" w:sz="0" w:space="0" w:color="auto"/>
        <w:right w:val="none" w:sz="0" w:space="0" w:color="auto"/>
      </w:divBdr>
    </w:div>
    <w:div w:id="71052586">
      <w:bodyDiv w:val="1"/>
      <w:marLeft w:val="0"/>
      <w:marRight w:val="0"/>
      <w:marTop w:val="0"/>
      <w:marBottom w:val="0"/>
      <w:divBdr>
        <w:top w:val="none" w:sz="0" w:space="0" w:color="auto"/>
        <w:left w:val="none" w:sz="0" w:space="0" w:color="auto"/>
        <w:bottom w:val="none" w:sz="0" w:space="0" w:color="auto"/>
        <w:right w:val="none" w:sz="0" w:space="0" w:color="auto"/>
      </w:divBdr>
    </w:div>
    <w:div w:id="101919844">
      <w:bodyDiv w:val="1"/>
      <w:marLeft w:val="0"/>
      <w:marRight w:val="0"/>
      <w:marTop w:val="0"/>
      <w:marBottom w:val="0"/>
      <w:divBdr>
        <w:top w:val="none" w:sz="0" w:space="0" w:color="auto"/>
        <w:left w:val="none" w:sz="0" w:space="0" w:color="auto"/>
        <w:bottom w:val="none" w:sz="0" w:space="0" w:color="auto"/>
        <w:right w:val="none" w:sz="0" w:space="0" w:color="auto"/>
      </w:divBdr>
    </w:div>
    <w:div w:id="105276453">
      <w:bodyDiv w:val="1"/>
      <w:marLeft w:val="0"/>
      <w:marRight w:val="0"/>
      <w:marTop w:val="0"/>
      <w:marBottom w:val="0"/>
      <w:divBdr>
        <w:top w:val="none" w:sz="0" w:space="0" w:color="auto"/>
        <w:left w:val="none" w:sz="0" w:space="0" w:color="auto"/>
        <w:bottom w:val="none" w:sz="0" w:space="0" w:color="auto"/>
        <w:right w:val="none" w:sz="0" w:space="0" w:color="auto"/>
      </w:divBdr>
    </w:div>
    <w:div w:id="105348968">
      <w:bodyDiv w:val="1"/>
      <w:marLeft w:val="0"/>
      <w:marRight w:val="0"/>
      <w:marTop w:val="0"/>
      <w:marBottom w:val="0"/>
      <w:divBdr>
        <w:top w:val="none" w:sz="0" w:space="0" w:color="auto"/>
        <w:left w:val="none" w:sz="0" w:space="0" w:color="auto"/>
        <w:bottom w:val="none" w:sz="0" w:space="0" w:color="auto"/>
        <w:right w:val="none" w:sz="0" w:space="0" w:color="auto"/>
      </w:divBdr>
    </w:div>
    <w:div w:id="182136197">
      <w:bodyDiv w:val="1"/>
      <w:marLeft w:val="0"/>
      <w:marRight w:val="0"/>
      <w:marTop w:val="0"/>
      <w:marBottom w:val="0"/>
      <w:divBdr>
        <w:top w:val="none" w:sz="0" w:space="0" w:color="auto"/>
        <w:left w:val="none" w:sz="0" w:space="0" w:color="auto"/>
        <w:bottom w:val="none" w:sz="0" w:space="0" w:color="auto"/>
        <w:right w:val="none" w:sz="0" w:space="0" w:color="auto"/>
      </w:divBdr>
    </w:div>
    <w:div w:id="270357944">
      <w:bodyDiv w:val="1"/>
      <w:marLeft w:val="0"/>
      <w:marRight w:val="0"/>
      <w:marTop w:val="0"/>
      <w:marBottom w:val="0"/>
      <w:divBdr>
        <w:top w:val="none" w:sz="0" w:space="0" w:color="auto"/>
        <w:left w:val="none" w:sz="0" w:space="0" w:color="auto"/>
        <w:bottom w:val="none" w:sz="0" w:space="0" w:color="auto"/>
        <w:right w:val="none" w:sz="0" w:space="0" w:color="auto"/>
      </w:divBdr>
    </w:div>
    <w:div w:id="283662115">
      <w:bodyDiv w:val="1"/>
      <w:marLeft w:val="0"/>
      <w:marRight w:val="0"/>
      <w:marTop w:val="0"/>
      <w:marBottom w:val="0"/>
      <w:divBdr>
        <w:top w:val="none" w:sz="0" w:space="0" w:color="auto"/>
        <w:left w:val="none" w:sz="0" w:space="0" w:color="auto"/>
        <w:bottom w:val="none" w:sz="0" w:space="0" w:color="auto"/>
        <w:right w:val="none" w:sz="0" w:space="0" w:color="auto"/>
      </w:divBdr>
    </w:div>
    <w:div w:id="283846892">
      <w:bodyDiv w:val="1"/>
      <w:marLeft w:val="0"/>
      <w:marRight w:val="0"/>
      <w:marTop w:val="0"/>
      <w:marBottom w:val="0"/>
      <w:divBdr>
        <w:top w:val="none" w:sz="0" w:space="0" w:color="auto"/>
        <w:left w:val="none" w:sz="0" w:space="0" w:color="auto"/>
        <w:bottom w:val="none" w:sz="0" w:space="0" w:color="auto"/>
        <w:right w:val="none" w:sz="0" w:space="0" w:color="auto"/>
      </w:divBdr>
    </w:div>
    <w:div w:id="328601762">
      <w:bodyDiv w:val="1"/>
      <w:marLeft w:val="0"/>
      <w:marRight w:val="0"/>
      <w:marTop w:val="0"/>
      <w:marBottom w:val="0"/>
      <w:divBdr>
        <w:top w:val="none" w:sz="0" w:space="0" w:color="auto"/>
        <w:left w:val="none" w:sz="0" w:space="0" w:color="auto"/>
        <w:bottom w:val="none" w:sz="0" w:space="0" w:color="auto"/>
        <w:right w:val="none" w:sz="0" w:space="0" w:color="auto"/>
      </w:divBdr>
    </w:div>
    <w:div w:id="348727265">
      <w:bodyDiv w:val="1"/>
      <w:marLeft w:val="0"/>
      <w:marRight w:val="0"/>
      <w:marTop w:val="0"/>
      <w:marBottom w:val="0"/>
      <w:divBdr>
        <w:top w:val="none" w:sz="0" w:space="0" w:color="auto"/>
        <w:left w:val="none" w:sz="0" w:space="0" w:color="auto"/>
        <w:bottom w:val="none" w:sz="0" w:space="0" w:color="auto"/>
        <w:right w:val="none" w:sz="0" w:space="0" w:color="auto"/>
      </w:divBdr>
    </w:div>
    <w:div w:id="425809358">
      <w:bodyDiv w:val="1"/>
      <w:marLeft w:val="0"/>
      <w:marRight w:val="0"/>
      <w:marTop w:val="0"/>
      <w:marBottom w:val="0"/>
      <w:divBdr>
        <w:top w:val="none" w:sz="0" w:space="0" w:color="auto"/>
        <w:left w:val="none" w:sz="0" w:space="0" w:color="auto"/>
        <w:bottom w:val="none" w:sz="0" w:space="0" w:color="auto"/>
        <w:right w:val="none" w:sz="0" w:space="0" w:color="auto"/>
      </w:divBdr>
    </w:div>
    <w:div w:id="451628429">
      <w:bodyDiv w:val="1"/>
      <w:marLeft w:val="0"/>
      <w:marRight w:val="0"/>
      <w:marTop w:val="0"/>
      <w:marBottom w:val="0"/>
      <w:divBdr>
        <w:top w:val="none" w:sz="0" w:space="0" w:color="auto"/>
        <w:left w:val="none" w:sz="0" w:space="0" w:color="auto"/>
        <w:bottom w:val="none" w:sz="0" w:space="0" w:color="auto"/>
        <w:right w:val="none" w:sz="0" w:space="0" w:color="auto"/>
      </w:divBdr>
    </w:div>
    <w:div w:id="455366533">
      <w:bodyDiv w:val="1"/>
      <w:marLeft w:val="0"/>
      <w:marRight w:val="0"/>
      <w:marTop w:val="0"/>
      <w:marBottom w:val="0"/>
      <w:divBdr>
        <w:top w:val="none" w:sz="0" w:space="0" w:color="auto"/>
        <w:left w:val="none" w:sz="0" w:space="0" w:color="auto"/>
        <w:bottom w:val="none" w:sz="0" w:space="0" w:color="auto"/>
        <w:right w:val="none" w:sz="0" w:space="0" w:color="auto"/>
      </w:divBdr>
    </w:div>
    <w:div w:id="456141528">
      <w:bodyDiv w:val="1"/>
      <w:marLeft w:val="0"/>
      <w:marRight w:val="0"/>
      <w:marTop w:val="0"/>
      <w:marBottom w:val="0"/>
      <w:divBdr>
        <w:top w:val="none" w:sz="0" w:space="0" w:color="auto"/>
        <w:left w:val="none" w:sz="0" w:space="0" w:color="auto"/>
        <w:bottom w:val="none" w:sz="0" w:space="0" w:color="auto"/>
        <w:right w:val="none" w:sz="0" w:space="0" w:color="auto"/>
      </w:divBdr>
    </w:div>
    <w:div w:id="465588904">
      <w:bodyDiv w:val="1"/>
      <w:marLeft w:val="0"/>
      <w:marRight w:val="0"/>
      <w:marTop w:val="0"/>
      <w:marBottom w:val="0"/>
      <w:divBdr>
        <w:top w:val="none" w:sz="0" w:space="0" w:color="auto"/>
        <w:left w:val="none" w:sz="0" w:space="0" w:color="auto"/>
        <w:bottom w:val="none" w:sz="0" w:space="0" w:color="auto"/>
        <w:right w:val="none" w:sz="0" w:space="0" w:color="auto"/>
      </w:divBdr>
    </w:div>
    <w:div w:id="483277146">
      <w:bodyDiv w:val="1"/>
      <w:marLeft w:val="0"/>
      <w:marRight w:val="0"/>
      <w:marTop w:val="0"/>
      <w:marBottom w:val="0"/>
      <w:divBdr>
        <w:top w:val="none" w:sz="0" w:space="0" w:color="auto"/>
        <w:left w:val="none" w:sz="0" w:space="0" w:color="auto"/>
        <w:bottom w:val="none" w:sz="0" w:space="0" w:color="auto"/>
        <w:right w:val="none" w:sz="0" w:space="0" w:color="auto"/>
      </w:divBdr>
    </w:div>
    <w:div w:id="532958242">
      <w:bodyDiv w:val="1"/>
      <w:marLeft w:val="0"/>
      <w:marRight w:val="0"/>
      <w:marTop w:val="0"/>
      <w:marBottom w:val="0"/>
      <w:divBdr>
        <w:top w:val="none" w:sz="0" w:space="0" w:color="auto"/>
        <w:left w:val="none" w:sz="0" w:space="0" w:color="auto"/>
        <w:bottom w:val="none" w:sz="0" w:space="0" w:color="auto"/>
        <w:right w:val="none" w:sz="0" w:space="0" w:color="auto"/>
      </w:divBdr>
    </w:div>
    <w:div w:id="643437092">
      <w:bodyDiv w:val="1"/>
      <w:marLeft w:val="0"/>
      <w:marRight w:val="0"/>
      <w:marTop w:val="0"/>
      <w:marBottom w:val="0"/>
      <w:divBdr>
        <w:top w:val="none" w:sz="0" w:space="0" w:color="auto"/>
        <w:left w:val="none" w:sz="0" w:space="0" w:color="auto"/>
        <w:bottom w:val="none" w:sz="0" w:space="0" w:color="auto"/>
        <w:right w:val="none" w:sz="0" w:space="0" w:color="auto"/>
      </w:divBdr>
    </w:div>
    <w:div w:id="649136488">
      <w:bodyDiv w:val="1"/>
      <w:marLeft w:val="0"/>
      <w:marRight w:val="0"/>
      <w:marTop w:val="0"/>
      <w:marBottom w:val="0"/>
      <w:divBdr>
        <w:top w:val="none" w:sz="0" w:space="0" w:color="auto"/>
        <w:left w:val="none" w:sz="0" w:space="0" w:color="auto"/>
        <w:bottom w:val="none" w:sz="0" w:space="0" w:color="auto"/>
        <w:right w:val="none" w:sz="0" w:space="0" w:color="auto"/>
      </w:divBdr>
    </w:div>
    <w:div w:id="662396714">
      <w:bodyDiv w:val="1"/>
      <w:marLeft w:val="0"/>
      <w:marRight w:val="0"/>
      <w:marTop w:val="0"/>
      <w:marBottom w:val="0"/>
      <w:divBdr>
        <w:top w:val="none" w:sz="0" w:space="0" w:color="auto"/>
        <w:left w:val="none" w:sz="0" w:space="0" w:color="auto"/>
        <w:bottom w:val="none" w:sz="0" w:space="0" w:color="auto"/>
        <w:right w:val="none" w:sz="0" w:space="0" w:color="auto"/>
      </w:divBdr>
    </w:div>
    <w:div w:id="679045632">
      <w:bodyDiv w:val="1"/>
      <w:marLeft w:val="0"/>
      <w:marRight w:val="0"/>
      <w:marTop w:val="0"/>
      <w:marBottom w:val="0"/>
      <w:divBdr>
        <w:top w:val="none" w:sz="0" w:space="0" w:color="auto"/>
        <w:left w:val="none" w:sz="0" w:space="0" w:color="auto"/>
        <w:bottom w:val="none" w:sz="0" w:space="0" w:color="auto"/>
        <w:right w:val="none" w:sz="0" w:space="0" w:color="auto"/>
      </w:divBdr>
    </w:div>
    <w:div w:id="691154246">
      <w:bodyDiv w:val="1"/>
      <w:marLeft w:val="0"/>
      <w:marRight w:val="0"/>
      <w:marTop w:val="0"/>
      <w:marBottom w:val="0"/>
      <w:divBdr>
        <w:top w:val="none" w:sz="0" w:space="0" w:color="auto"/>
        <w:left w:val="none" w:sz="0" w:space="0" w:color="auto"/>
        <w:bottom w:val="none" w:sz="0" w:space="0" w:color="auto"/>
        <w:right w:val="none" w:sz="0" w:space="0" w:color="auto"/>
      </w:divBdr>
    </w:div>
    <w:div w:id="725302728">
      <w:bodyDiv w:val="1"/>
      <w:marLeft w:val="0"/>
      <w:marRight w:val="0"/>
      <w:marTop w:val="0"/>
      <w:marBottom w:val="0"/>
      <w:divBdr>
        <w:top w:val="none" w:sz="0" w:space="0" w:color="auto"/>
        <w:left w:val="none" w:sz="0" w:space="0" w:color="auto"/>
        <w:bottom w:val="none" w:sz="0" w:space="0" w:color="auto"/>
        <w:right w:val="none" w:sz="0" w:space="0" w:color="auto"/>
      </w:divBdr>
    </w:div>
    <w:div w:id="758480455">
      <w:bodyDiv w:val="1"/>
      <w:marLeft w:val="0"/>
      <w:marRight w:val="0"/>
      <w:marTop w:val="0"/>
      <w:marBottom w:val="0"/>
      <w:divBdr>
        <w:top w:val="none" w:sz="0" w:space="0" w:color="auto"/>
        <w:left w:val="none" w:sz="0" w:space="0" w:color="auto"/>
        <w:bottom w:val="none" w:sz="0" w:space="0" w:color="auto"/>
        <w:right w:val="none" w:sz="0" w:space="0" w:color="auto"/>
      </w:divBdr>
    </w:div>
    <w:div w:id="821585524">
      <w:bodyDiv w:val="1"/>
      <w:marLeft w:val="0"/>
      <w:marRight w:val="0"/>
      <w:marTop w:val="0"/>
      <w:marBottom w:val="0"/>
      <w:divBdr>
        <w:top w:val="none" w:sz="0" w:space="0" w:color="auto"/>
        <w:left w:val="none" w:sz="0" w:space="0" w:color="auto"/>
        <w:bottom w:val="none" w:sz="0" w:space="0" w:color="auto"/>
        <w:right w:val="none" w:sz="0" w:space="0" w:color="auto"/>
      </w:divBdr>
    </w:div>
    <w:div w:id="842473675">
      <w:bodyDiv w:val="1"/>
      <w:marLeft w:val="0"/>
      <w:marRight w:val="0"/>
      <w:marTop w:val="0"/>
      <w:marBottom w:val="0"/>
      <w:divBdr>
        <w:top w:val="none" w:sz="0" w:space="0" w:color="auto"/>
        <w:left w:val="none" w:sz="0" w:space="0" w:color="auto"/>
        <w:bottom w:val="none" w:sz="0" w:space="0" w:color="auto"/>
        <w:right w:val="none" w:sz="0" w:space="0" w:color="auto"/>
      </w:divBdr>
    </w:div>
    <w:div w:id="878710686">
      <w:bodyDiv w:val="1"/>
      <w:marLeft w:val="0"/>
      <w:marRight w:val="0"/>
      <w:marTop w:val="0"/>
      <w:marBottom w:val="0"/>
      <w:divBdr>
        <w:top w:val="none" w:sz="0" w:space="0" w:color="auto"/>
        <w:left w:val="none" w:sz="0" w:space="0" w:color="auto"/>
        <w:bottom w:val="none" w:sz="0" w:space="0" w:color="auto"/>
        <w:right w:val="none" w:sz="0" w:space="0" w:color="auto"/>
      </w:divBdr>
    </w:div>
    <w:div w:id="883911069">
      <w:bodyDiv w:val="1"/>
      <w:marLeft w:val="0"/>
      <w:marRight w:val="0"/>
      <w:marTop w:val="0"/>
      <w:marBottom w:val="0"/>
      <w:divBdr>
        <w:top w:val="none" w:sz="0" w:space="0" w:color="auto"/>
        <w:left w:val="none" w:sz="0" w:space="0" w:color="auto"/>
        <w:bottom w:val="none" w:sz="0" w:space="0" w:color="auto"/>
        <w:right w:val="none" w:sz="0" w:space="0" w:color="auto"/>
      </w:divBdr>
    </w:div>
    <w:div w:id="891573788">
      <w:bodyDiv w:val="1"/>
      <w:marLeft w:val="0"/>
      <w:marRight w:val="0"/>
      <w:marTop w:val="0"/>
      <w:marBottom w:val="0"/>
      <w:divBdr>
        <w:top w:val="none" w:sz="0" w:space="0" w:color="auto"/>
        <w:left w:val="none" w:sz="0" w:space="0" w:color="auto"/>
        <w:bottom w:val="none" w:sz="0" w:space="0" w:color="auto"/>
        <w:right w:val="none" w:sz="0" w:space="0" w:color="auto"/>
      </w:divBdr>
    </w:div>
    <w:div w:id="912131038">
      <w:bodyDiv w:val="1"/>
      <w:marLeft w:val="0"/>
      <w:marRight w:val="0"/>
      <w:marTop w:val="0"/>
      <w:marBottom w:val="0"/>
      <w:divBdr>
        <w:top w:val="none" w:sz="0" w:space="0" w:color="auto"/>
        <w:left w:val="none" w:sz="0" w:space="0" w:color="auto"/>
        <w:bottom w:val="none" w:sz="0" w:space="0" w:color="auto"/>
        <w:right w:val="none" w:sz="0" w:space="0" w:color="auto"/>
      </w:divBdr>
    </w:div>
    <w:div w:id="919827381">
      <w:bodyDiv w:val="1"/>
      <w:marLeft w:val="0"/>
      <w:marRight w:val="0"/>
      <w:marTop w:val="0"/>
      <w:marBottom w:val="0"/>
      <w:divBdr>
        <w:top w:val="none" w:sz="0" w:space="0" w:color="auto"/>
        <w:left w:val="none" w:sz="0" w:space="0" w:color="auto"/>
        <w:bottom w:val="none" w:sz="0" w:space="0" w:color="auto"/>
        <w:right w:val="none" w:sz="0" w:space="0" w:color="auto"/>
      </w:divBdr>
    </w:div>
    <w:div w:id="939874437">
      <w:bodyDiv w:val="1"/>
      <w:marLeft w:val="0"/>
      <w:marRight w:val="0"/>
      <w:marTop w:val="0"/>
      <w:marBottom w:val="0"/>
      <w:divBdr>
        <w:top w:val="none" w:sz="0" w:space="0" w:color="auto"/>
        <w:left w:val="none" w:sz="0" w:space="0" w:color="auto"/>
        <w:bottom w:val="none" w:sz="0" w:space="0" w:color="auto"/>
        <w:right w:val="none" w:sz="0" w:space="0" w:color="auto"/>
      </w:divBdr>
    </w:div>
    <w:div w:id="970860158">
      <w:bodyDiv w:val="1"/>
      <w:marLeft w:val="0"/>
      <w:marRight w:val="0"/>
      <w:marTop w:val="0"/>
      <w:marBottom w:val="0"/>
      <w:divBdr>
        <w:top w:val="none" w:sz="0" w:space="0" w:color="auto"/>
        <w:left w:val="none" w:sz="0" w:space="0" w:color="auto"/>
        <w:bottom w:val="none" w:sz="0" w:space="0" w:color="auto"/>
        <w:right w:val="none" w:sz="0" w:space="0" w:color="auto"/>
      </w:divBdr>
    </w:div>
    <w:div w:id="1019772216">
      <w:bodyDiv w:val="1"/>
      <w:marLeft w:val="0"/>
      <w:marRight w:val="0"/>
      <w:marTop w:val="0"/>
      <w:marBottom w:val="0"/>
      <w:divBdr>
        <w:top w:val="none" w:sz="0" w:space="0" w:color="auto"/>
        <w:left w:val="none" w:sz="0" w:space="0" w:color="auto"/>
        <w:bottom w:val="none" w:sz="0" w:space="0" w:color="auto"/>
        <w:right w:val="none" w:sz="0" w:space="0" w:color="auto"/>
      </w:divBdr>
    </w:div>
    <w:div w:id="1036347205">
      <w:bodyDiv w:val="1"/>
      <w:marLeft w:val="0"/>
      <w:marRight w:val="0"/>
      <w:marTop w:val="0"/>
      <w:marBottom w:val="0"/>
      <w:divBdr>
        <w:top w:val="none" w:sz="0" w:space="0" w:color="auto"/>
        <w:left w:val="none" w:sz="0" w:space="0" w:color="auto"/>
        <w:bottom w:val="none" w:sz="0" w:space="0" w:color="auto"/>
        <w:right w:val="none" w:sz="0" w:space="0" w:color="auto"/>
      </w:divBdr>
    </w:div>
    <w:div w:id="1073624363">
      <w:bodyDiv w:val="1"/>
      <w:marLeft w:val="0"/>
      <w:marRight w:val="0"/>
      <w:marTop w:val="0"/>
      <w:marBottom w:val="0"/>
      <w:divBdr>
        <w:top w:val="none" w:sz="0" w:space="0" w:color="auto"/>
        <w:left w:val="none" w:sz="0" w:space="0" w:color="auto"/>
        <w:bottom w:val="none" w:sz="0" w:space="0" w:color="auto"/>
        <w:right w:val="none" w:sz="0" w:space="0" w:color="auto"/>
      </w:divBdr>
    </w:div>
    <w:div w:id="1158959028">
      <w:bodyDiv w:val="1"/>
      <w:marLeft w:val="0"/>
      <w:marRight w:val="0"/>
      <w:marTop w:val="0"/>
      <w:marBottom w:val="0"/>
      <w:divBdr>
        <w:top w:val="none" w:sz="0" w:space="0" w:color="auto"/>
        <w:left w:val="none" w:sz="0" w:space="0" w:color="auto"/>
        <w:bottom w:val="none" w:sz="0" w:space="0" w:color="auto"/>
        <w:right w:val="none" w:sz="0" w:space="0" w:color="auto"/>
      </w:divBdr>
    </w:div>
    <w:div w:id="1163010678">
      <w:bodyDiv w:val="1"/>
      <w:marLeft w:val="0"/>
      <w:marRight w:val="0"/>
      <w:marTop w:val="0"/>
      <w:marBottom w:val="0"/>
      <w:divBdr>
        <w:top w:val="none" w:sz="0" w:space="0" w:color="auto"/>
        <w:left w:val="none" w:sz="0" w:space="0" w:color="auto"/>
        <w:bottom w:val="none" w:sz="0" w:space="0" w:color="auto"/>
        <w:right w:val="none" w:sz="0" w:space="0" w:color="auto"/>
      </w:divBdr>
    </w:div>
    <w:div w:id="1174150631">
      <w:bodyDiv w:val="1"/>
      <w:marLeft w:val="0"/>
      <w:marRight w:val="0"/>
      <w:marTop w:val="0"/>
      <w:marBottom w:val="0"/>
      <w:divBdr>
        <w:top w:val="none" w:sz="0" w:space="0" w:color="auto"/>
        <w:left w:val="none" w:sz="0" w:space="0" w:color="auto"/>
        <w:bottom w:val="none" w:sz="0" w:space="0" w:color="auto"/>
        <w:right w:val="none" w:sz="0" w:space="0" w:color="auto"/>
      </w:divBdr>
    </w:div>
    <w:div w:id="1184631797">
      <w:bodyDiv w:val="1"/>
      <w:marLeft w:val="0"/>
      <w:marRight w:val="0"/>
      <w:marTop w:val="0"/>
      <w:marBottom w:val="0"/>
      <w:divBdr>
        <w:top w:val="none" w:sz="0" w:space="0" w:color="auto"/>
        <w:left w:val="none" w:sz="0" w:space="0" w:color="auto"/>
        <w:bottom w:val="none" w:sz="0" w:space="0" w:color="auto"/>
        <w:right w:val="none" w:sz="0" w:space="0" w:color="auto"/>
      </w:divBdr>
    </w:div>
    <w:div w:id="1193574160">
      <w:bodyDiv w:val="1"/>
      <w:marLeft w:val="0"/>
      <w:marRight w:val="0"/>
      <w:marTop w:val="0"/>
      <w:marBottom w:val="0"/>
      <w:divBdr>
        <w:top w:val="none" w:sz="0" w:space="0" w:color="auto"/>
        <w:left w:val="none" w:sz="0" w:space="0" w:color="auto"/>
        <w:bottom w:val="none" w:sz="0" w:space="0" w:color="auto"/>
        <w:right w:val="none" w:sz="0" w:space="0" w:color="auto"/>
      </w:divBdr>
    </w:div>
    <w:div w:id="1195264305">
      <w:bodyDiv w:val="1"/>
      <w:marLeft w:val="0"/>
      <w:marRight w:val="0"/>
      <w:marTop w:val="0"/>
      <w:marBottom w:val="0"/>
      <w:divBdr>
        <w:top w:val="none" w:sz="0" w:space="0" w:color="auto"/>
        <w:left w:val="none" w:sz="0" w:space="0" w:color="auto"/>
        <w:bottom w:val="none" w:sz="0" w:space="0" w:color="auto"/>
        <w:right w:val="none" w:sz="0" w:space="0" w:color="auto"/>
      </w:divBdr>
    </w:div>
    <w:div w:id="1266572532">
      <w:bodyDiv w:val="1"/>
      <w:marLeft w:val="0"/>
      <w:marRight w:val="0"/>
      <w:marTop w:val="0"/>
      <w:marBottom w:val="0"/>
      <w:divBdr>
        <w:top w:val="none" w:sz="0" w:space="0" w:color="auto"/>
        <w:left w:val="none" w:sz="0" w:space="0" w:color="auto"/>
        <w:bottom w:val="none" w:sz="0" w:space="0" w:color="auto"/>
        <w:right w:val="none" w:sz="0" w:space="0" w:color="auto"/>
      </w:divBdr>
    </w:div>
    <w:div w:id="1307396612">
      <w:bodyDiv w:val="1"/>
      <w:marLeft w:val="0"/>
      <w:marRight w:val="0"/>
      <w:marTop w:val="0"/>
      <w:marBottom w:val="0"/>
      <w:divBdr>
        <w:top w:val="none" w:sz="0" w:space="0" w:color="auto"/>
        <w:left w:val="none" w:sz="0" w:space="0" w:color="auto"/>
        <w:bottom w:val="none" w:sz="0" w:space="0" w:color="auto"/>
        <w:right w:val="none" w:sz="0" w:space="0" w:color="auto"/>
      </w:divBdr>
    </w:div>
    <w:div w:id="1357347929">
      <w:bodyDiv w:val="1"/>
      <w:marLeft w:val="0"/>
      <w:marRight w:val="0"/>
      <w:marTop w:val="0"/>
      <w:marBottom w:val="0"/>
      <w:divBdr>
        <w:top w:val="none" w:sz="0" w:space="0" w:color="auto"/>
        <w:left w:val="none" w:sz="0" w:space="0" w:color="auto"/>
        <w:bottom w:val="none" w:sz="0" w:space="0" w:color="auto"/>
        <w:right w:val="none" w:sz="0" w:space="0" w:color="auto"/>
      </w:divBdr>
    </w:div>
    <w:div w:id="1385593769">
      <w:bodyDiv w:val="1"/>
      <w:marLeft w:val="0"/>
      <w:marRight w:val="0"/>
      <w:marTop w:val="0"/>
      <w:marBottom w:val="0"/>
      <w:divBdr>
        <w:top w:val="none" w:sz="0" w:space="0" w:color="auto"/>
        <w:left w:val="none" w:sz="0" w:space="0" w:color="auto"/>
        <w:bottom w:val="none" w:sz="0" w:space="0" w:color="auto"/>
        <w:right w:val="none" w:sz="0" w:space="0" w:color="auto"/>
      </w:divBdr>
    </w:div>
    <w:div w:id="1390805689">
      <w:bodyDiv w:val="1"/>
      <w:marLeft w:val="0"/>
      <w:marRight w:val="0"/>
      <w:marTop w:val="0"/>
      <w:marBottom w:val="0"/>
      <w:divBdr>
        <w:top w:val="none" w:sz="0" w:space="0" w:color="auto"/>
        <w:left w:val="none" w:sz="0" w:space="0" w:color="auto"/>
        <w:bottom w:val="none" w:sz="0" w:space="0" w:color="auto"/>
        <w:right w:val="none" w:sz="0" w:space="0" w:color="auto"/>
      </w:divBdr>
    </w:div>
    <w:div w:id="1394231137">
      <w:bodyDiv w:val="1"/>
      <w:marLeft w:val="0"/>
      <w:marRight w:val="0"/>
      <w:marTop w:val="0"/>
      <w:marBottom w:val="0"/>
      <w:divBdr>
        <w:top w:val="none" w:sz="0" w:space="0" w:color="auto"/>
        <w:left w:val="none" w:sz="0" w:space="0" w:color="auto"/>
        <w:bottom w:val="none" w:sz="0" w:space="0" w:color="auto"/>
        <w:right w:val="none" w:sz="0" w:space="0" w:color="auto"/>
      </w:divBdr>
    </w:div>
    <w:div w:id="1399744393">
      <w:bodyDiv w:val="1"/>
      <w:marLeft w:val="0"/>
      <w:marRight w:val="0"/>
      <w:marTop w:val="0"/>
      <w:marBottom w:val="0"/>
      <w:divBdr>
        <w:top w:val="none" w:sz="0" w:space="0" w:color="auto"/>
        <w:left w:val="none" w:sz="0" w:space="0" w:color="auto"/>
        <w:bottom w:val="none" w:sz="0" w:space="0" w:color="auto"/>
        <w:right w:val="none" w:sz="0" w:space="0" w:color="auto"/>
      </w:divBdr>
    </w:div>
    <w:div w:id="1458260784">
      <w:bodyDiv w:val="1"/>
      <w:marLeft w:val="0"/>
      <w:marRight w:val="0"/>
      <w:marTop w:val="0"/>
      <w:marBottom w:val="0"/>
      <w:divBdr>
        <w:top w:val="none" w:sz="0" w:space="0" w:color="auto"/>
        <w:left w:val="none" w:sz="0" w:space="0" w:color="auto"/>
        <w:bottom w:val="none" w:sz="0" w:space="0" w:color="auto"/>
        <w:right w:val="none" w:sz="0" w:space="0" w:color="auto"/>
      </w:divBdr>
    </w:div>
    <w:div w:id="1507793310">
      <w:bodyDiv w:val="1"/>
      <w:marLeft w:val="0"/>
      <w:marRight w:val="0"/>
      <w:marTop w:val="0"/>
      <w:marBottom w:val="0"/>
      <w:divBdr>
        <w:top w:val="none" w:sz="0" w:space="0" w:color="auto"/>
        <w:left w:val="none" w:sz="0" w:space="0" w:color="auto"/>
        <w:bottom w:val="none" w:sz="0" w:space="0" w:color="auto"/>
        <w:right w:val="none" w:sz="0" w:space="0" w:color="auto"/>
      </w:divBdr>
    </w:div>
    <w:div w:id="1510101899">
      <w:bodyDiv w:val="1"/>
      <w:marLeft w:val="0"/>
      <w:marRight w:val="0"/>
      <w:marTop w:val="0"/>
      <w:marBottom w:val="0"/>
      <w:divBdr>
        <w:top w:val="none" w:sz="0" w:space="0" w:color="auto"/>
        <w:left w:val="none" w:sz="0" w:space="0" w:color="auto"/>
        <w:bottom w:val="none" w:sz="0" w:space="0" w:color="auto"/>
        <w:right w:val="none" w:sz="0" w:space="0" w:color="auto"/>
      </w:divBdr>
    </w:div>
    <w:div w:id="1548949715">
      <w:bodyDiv w:val="1"/>
      <w:marLeft w:val="0"/>
      <w:marRight w:val="0"/>
      <w:marTop w:val="0"/>
      <w:marBottom w:val="0"/>
      <w:divBdr>
        <w:top w:val="none" w:sz="0" w:space="0" w:color="auto"/>
        <w:left w:val="none" w:sz="0" w:space="0" w:color="auto"/>
        <w:bottom w:val="none" w:sz="0" w:space="0" w:color="auto"/>
        <w:right w:val="none" w:sz="0" w:space="0" w:color="auto"/>
      </w:divBdr>
    </w:div>
    <w:div w:id="1554343214">
      <w:bodyDiv w:val="1"/>
      <w:marLeft w:val="0"/>
      <w:marRight w:val="0"/>
      <w:marTop w:val="0"/>
      <w:marBottom w:val="0"/>
      <w:divBdr>
        <w:top w:val="none" w:sz="0" w:space="0" w:color="auto"/>
        <w:left w:val="none" w:sz="0" w:space="0" w:color="auto"/>
        <w:bottom w:val="none" w:sz="0" w:space="0" w:color="auto"/>
        <w:right w:val="none" w:sz="0" w:space="0" w:color="auto"/>
      </w:divBdr>
    </w:div>
    <w:div w:id="1561558289">
      <w:bodyDiv w:val="1"/>
      <w:marLeft w:val="0"/>
      <w:marRight w:val="0"/>
      <w:marTop w:val="0"/>
      <w:marBottom w:val="0"/>
      <w:divBdr>
        <w:top w:val="none" w:sz="0" w:space="0" w:color="auto"/>
        <w:left w:val="none" w:sz="0" w:space="0" w:color="auto"/>
        <w:bottom w:val="none" w:sz="0" w:space="0" w:color="auto"/>
        <w:right w:val="none" w:sz="0" w:space="0" w:color="auto"/>
      </w:divBdr>
    </w:div>
    <w:div w:id="1636174558">
      <w:bodyDiv w:val="1"/>
      <w:marLeft w:val="0"/>
      <w:marRight w:val="0"/>
      <w:marTop w:val="0"/>
      <w:marBottom w:val="0"/>
      <w:divBdr>
        <w:top w:val="none" w:sz="0" w:space="0" w:color="auto"/>
        <w:left w:val="none" w:sz="0" w:space="0" w:color="auto"/>
        <w:bottom w:val="none" w:sz="0" w:space="0" w:color="auto"/>
        <w:right w:val="none" w:sz="0" w:space="0" w:color="auto"/>
      </w:divBdr>
    </w:div>
    <w:div w:id="1645701838">
      <w:bodyDiv w:val="1"/>
      <w:marLeft w:val="0"/>
      <w:marRight w:val="0"/>
      <w:marTop w:val="0"/>
      <w:marBottom w:val="0"/>
      <w:divBdr>
        <w:top w:val="none" w:sz="0" w:space="0" w:color="auto"/>
        <w:left w:val="none" w:sz="0" w:space="0" w:color="auto"/>
        <w:bottom w:val="none" w:sz="0" w:space="0" w:color="auto"/>
        <w:right w:val="none" w:sz="0" w:space="0" w:color="auto"/>
      </w:divBdr>
    </w:div>
    <w:div w:id="1657106574">
      <w:bodyDiv w:val="1"/>
      <w:marLeft w:val="0"/>
      <w:marRight w:val="0"/>
      <w:marTop w:val="0"/>
      <w:marBottom w:val="0"/>
      <w:divBdr>
        <w:top w:val="none" w:sz="0" w:space="0" w:color="auto"/>
        <w:left w:val="none" w:sz="0" w:space="0" w:color="auto"/>
        <w:bottom w:val="none" w:sz="0" w:space="0" w:color="auto"/>
        <w:right w:val="none" w:sz="0" w:space="0" w:color="auto"/>
      </w:divBdr>
    </w:div>
    <w:div w:id="1695841507">
      <w:bodyDiv w:val="1"/>
      <w:marLeft w:val="0"/>
      <w:marRight w:val="0"/>
      <w:marTop w:val="0"/>
      <w:marBottom w:val="0"/>
      <w:divBdr>
        <w:top w:val="none" w:sz="0" w:space="0" w:color="auto"/>
        <w:left w:val="none" w:sz="0" w:space="0" w:color="auto"/>
        <w:bottom w:val="none" w:sz="0" w:space="0" w:color="auto"/>
        <w:right w:val="none" w:sz="0" w:space="0" w:color="auto"/>
      </w:divBdr>
    </w:div>
    <w:div w:id="1714423581">
      <w:bodyDiv w:val="1"/>
      <w:marLeft w:val="0"/>
      <w:marRight w:val="0"/>
      <w:marTop w:val="0"/>
      <w:marBottom w:val="0"/>
      <w:divBdr>
        <w:top w:val="none" w:sz="0" w:space="0" w:color="auto"/>
        <w:left w:val="none" w:sz="0" w:space="0" w:color="auto"/>
        <w:bottom w:val="none" w:sz="0" w:space="0" w:color="auto"/>
        <w:right w:val="none" w:sz="0" w:space="0" w:color="auto"/>
      </w:divBdr>
    </w:div>
    <w:div w:id="1721587156">
      <w:bodyDiv w:val="1"/>
      <w:marLeft w:val="0"/>
      <w:marRight w:val="0"/>
      <w:marTop w:val="0"/>
      <w:marBottom w:val="0"/>
      <w:divBdr>
        <w:top w:val="none" w:sz="0" w:space="0" w:color="auto"/>
        <w:left w:val="none" w:sz="0" w:space="0" w:color="auto"/>
        <w:bottom w:val="none" w:sz="0" w:space="0" w:color="auto"/>
        <w:right w:val="none" w:sz="0" w:space="0" w:color="auto"/>
      </w:divBdr>
    </w:div>
    <w:div w:id="1723672124">
      <w:bodyDiv w:val="1"/>
      <w:marLeft w:val="0"/>
      <w:marRight w:val="0"/>
      <w:marTop w:val="0"/>
      <w:marBottom w:val="0"/>
      <w:divBdr>
        <w:top w:val="none" w:sz="0" w:space="0" w:color="auto"/>
        <w:left w:val="none" w:sz="0" w:space="0" w:color="auto"/>
        <w:bottom w:val="none" w:sz="0" w:space="0" w:color="auto"/>
        <w:right w:val="none" w:sz="0" w:space="0" w:color="auto"/>
      </w:divBdr>
    </w:div>
    <w:div w:id="1730415473">
      <w:bodyDiv w:val="1"/>
      <w:marLeft w:val="0"/>
      <w:marRight w:val="0"/>
      <w:marTop w:val="0"/>
      <w:marBottom w:val="0"/>
      <w:divBdr>
        <w:top w:val="none" w:sz="0" w:space="0" w:color="auto"/>
        <w:left w:val="none" w:sz="0" w:space="0" w:color="auto"/>
        <w:bottom w:val="none" w:sz="0" w:space="0" w:color="auto"/>
        <w:right w:val="none" w:sz="0" w:space="0" w:color="auto"/>
      </w:divBdr>
    </w:div>
    <w:div w:id="1766419591">
      <w:bodyDiv w:val="1"/>
      <w:marLeft w:val="0"/>
      <w:marRight w:val="0"/>
      <w:marTop w:val="0"/>
      <w:marBottom w:val="0"/>
      <w:divBdr>
        <w:top w:val="none" w:sz="0" w:space="0" w:color="auto"/>
        <w:left w:val="none" w:sz="0" w:space="0" w:color="auto"/>
        <w:bottom w:val="none" w:sz="0" w:space="0" w:color="auto"/>
        <w:right w:val="none" w:sz="0" w:space="0" w:color="auto"/>
      </w:divBdr>
    </w:div>
    <w:div w:id="1814564791">
      <w:bodyDiv w:val="1"/>
      <w:marLeft w:val="0"/>
      <w:marRight w:val="0"/>
      <w:marTop w:val="0"/>
      <w:marBottom w:val="0"/>
      <w:divBdr>
        <w:top w:val="none" w:sz="0" w:space="0" w:color="auto"/>
        <w:left w:val="none" w:sz="0" w:space="0" w:color="auto"/>
        <w:bottom w:val="none" w:sz="0" w:space="0" w:color="auto"/>
        <w:right w:val="none" w:sz="0" w:space="0" w:color="auto"/>
      </w:divBdr>
    </w:div>
    <w:div w:id="1899784739">
      <w:bodyDiv w:val="1"/>
      <w:marLeft w:val="0"/>
      <w:marRight w:val="0"/>
      <w:marTop w:val="0"/>
      <w:marBottom w:val="0"/>
      <w:divBdr>
        <w:top w:val="none" w:sz="0" w:space="0" w:color="auto"/>
        <w:left w:val="none" w:sz="0" w:space="0" w:color="auto"/>
        <w:bottom w:val="none" w:sz="0" w:space="0" w:color="auto"/>
        <w:right w:val="none" w:sz="0" w:space="0" w:color="auto"/>
      </w:divBdr>
    </w:div>
    <w:div w:id="1942563318">
      <w:bodyDiv w:val="1"/>
      <w:marLeft w:val="0"/>
      <w:marRight w:val="0"/>
      <w:marTop w:val="0"/>
      <w:marBottom w:val="0"/>
      <w:divBdr>
        <w:top w:val="none" w:sz="0" w:space="0" w:color="auto"/>
        <w:left w:val="none" w:sz="0" w:space="0" w:color="auto"/>
        <w:bottom w:val="none" w:sz="0" w:space="0" w:color="auto"/>
        <w:right w:val="none" w:sz="0" w:space="0" w:color="auto"/>
      </w:divBdr>
    </w:div>
    <w:div w:id="1942956106">
      <w:bodyDiv w:val="1"/>
      <w:marLeft w:val="0"/>
      <w:marRight w:val="0"/>
      <w:marTop w:val="0"/>
      <w:marBottom w:val="0"/>
      <w:divBdr>
        <w:top w:val="none" w:sz="0" w:space="0" w:color="auto"/>
        <w:left w:val="none" w:sz="0" w:space="0" w:color="auto"/>
        <w:bottom w:val="none" w:sz="0" w:space="0" w:color="auto"/>
        <w:right w:val="none" w:sz="0" w:space="0" w:color="auto"/>
      </w:divBdr>
    </w:div>
    <w:div w:id="1949387938">
      <w:bodyDiv w:val="1"/>
      <w:marLeft w:val="0"/>
      <w:marRight w:val="0"/>
      <w:marTop w:val="0"/>
      <w:marBottom w:val="0"/>
      <w:divBdr>
        <w:top w:val="none" w:sz="0" w:space="0" w:color="auto"/>
        <w:left w:val="none" w:sz="0" w:space="0" w:color="auto"/>
        <w:bottom w:val="none" w:sz="0" w:space="0" w:color="auto"/>
        <w:right w:val="none" w:sz="0" w:space="0" w:color="auto"/>
      </w:divBdr>
    </w:div>
    <w:div w:id="1962373354">
      <w:bodyDiv w:val="1"/>
      <w:marLeft w:val="0"/>
      <w:marRight w:val="0"/>
      <w:marTop w:val="0"/>
      <w:marBottom w:val="0"/>
      <w:divBdr>
        <w:top w:val="none" w:sz="0" w:space="0" w:color="auto"/>
        <w:left w:val="none" w:sz="0" w:space="0" w:color="auto"/>
        <w:bottom w:val="none" w:sz="0" w:space="0" w:color="auto"/>
        <w:right w:val="none" w:sz="0" w:space="0" w:color="auto"/>
      </w:divBdr>
    </w:div>
    <w:div w:id="1978996712">
      <w:bodyDiv w:val="1"/>
      <w:marLeft w:val="0"/>
      <w:marRight w:val="0"/>
      <w:marTop w:val="0"/>
      <w:marBottom w:val="0"/>
      <w:divBdr>
        <w:top w:val="none" w:sz="0" w:space="0" w:color="auto"/>
        <w:left w:val="none" w:sz="0" w:space="0" w:color="auto"/>
        <w:bottom w:val="none" w:sz="0" w:space="0" w:color="auto"/>
        <w:right w:val="none" w:sz="0" w:space="0" w:color="auto"/>
      </w:divBdr>
    </w:div>
    <w:div w:id="1984233938">
      <w:bodyDiv w:val="1"/>
      <w:marLeft w:val="0"/>
      <w:marRight w:val="0"/>
      <w:marTop w:val="0"/>
      <w:marBottom w:val="0"/>
      <w:divBdr>
        <w:top w:val="none" w:sz="0" w:space="0" w:color="auto"/>
        <w:left w:val="none" w:sz="0" w:space="0" w:color="auto"/>
        <w:bottom w:val="none" w:sz="0" w:space="0" w:color="auto"/>
        <w:right w:val="none" w:sz="0" w:space="0" w:color="auto"/>
      </w:divBdr>
    </w:div>
    <w:div w:id="1990789106">
      <w:bodyDiv w:val="1"/>
      <w:marLeft w:val="0"/>
      <w:marRight w:val="0"/>
      <w:marTop w:val="0"/>
      <w:marBottom w:val="0"/>
      <w:divBdr>
        <w:top w:val="none" w:sz="0" w:space="0" w:color="auto"/>
        <w:left w:val="none" w:sz="0" w:space="0" w:color="auto"/>
        <w:bottom w:val="none" w:sz="0" w:space="0" w:color="auto"/>
        <w:right w:val="none" w:sz="0" w:space="0" w:color="auto"/>
      </w:divBdr>
    </w:div>
    <w:div w:id="2032029956">
      <w:bodyDiv w:val="1"/>
      <w:marLeft w:val="0"/>
      <w:marRight w:val="0"/>
      <w:marTop w:val="0"/>
      <w:marBottom w:val="0"/>
      <w:divBdr>
        <w:top w:val="none" w:sz="0" w:space="0" w:color="auto"/>
        <w:left w:val="none" w:sz="0" w:space="0" w:color="auto"/>
        <w:bottom w:val="none" w:sz="0" w:space="0" w:color="auto"/>
        <w:right w:val="none" w:sz="0" w:space="0" w:color="auto"/>
      </w:divBdr>
    </w:div>
    <w:div w:id="2053458903">
      <w:bodyDiv w:val="1"/>
      <w:marLeft w:val="0"/>
      <w:marRight w:val="0"/>
      <w:marTop w:val="0"/>
      <w:marBottom w:val="0"/>
      <w:divBdr>
        <w:top w:val="none" w:sz="0" w:space="0" w:color="auto"/>
        <w:left w:val="none" w:sz="0" w:space="0" w:color="auto"/>
        <w:bottom w:val="none" w:sz="0" w:space="0" w:color="auto"/>
        <w:right w:val="none" w:sz="0" w:space="0" w:color="auto"/>
      </w:divBdr>
    </w:div>
    <w:div w:id="2071149066">
      <w:bodyDiv w:val="1"/>
      <w:marLeft w:val="0"/>
      <w:marRight w:val="0"/>
      <w:marTop w:val="0"/>
      <w:marBottom w:val="0"/>
      <w:divBdr>
        <w:top w:val="none" w:sz="0" w:space="0" w:color="auto"/>
        <w:left w:val="none" w:sz="0" w:space="0" w:color="auto"/>
        <w:bottom w:val="none" w:sz="0" w:space="0" w:color="auto"/>
        <w:right w:val="none" w:sz="0" w:space="0" w:color="auto"/>
      </w:divBdr>
    </w:div>
    <w:div w:id="2107456409">
      <w:bodyDiv w:val="1"/>
      <w:marLeft w:val="0"/>
      <w:marRight w:val="0"/>
      <w:marTop w:val="0"/>
      <w:marBottom w:val="0"/>
      <w:divBdr>
        <w:top w:val="none" w:sz="0" w:space="0" w:color="auto"/>
        <w:left w:val="none" w:sz="0" w:space="0" w:color="auto"/>
        <w:bottom w:val="none" w:sz="0" w:space="0" w:color="auto"/>
        <w:right w:val="none" w:sz="0" w:space="0" w:color="auto"/>
      </w:divBdr>
    </w:div>
    <w:div w:id="2111075198">
      <w:bodyDiv w:val="1"/>
      <w:marLeft w:val="0"/>
      <w:marRight w:val="0"/>
      <w:marTop w:val="0"/>
      <w:marBottom w:val="0"/>
      <w:divBdr>
        <w:top w:val="none" w:sz="0" w:space="0" w:color="auto"/>
        <w:left w:val="none" w:sz="0" w:space="0" w:color="auto"/>
        <w:bottom w:val="none" w:sz="0" w:space="0" w:color="auto"/>
        <w:right w:val="none" w:sz="0" w:space="0" w:color="auto"/>
      </w:divBdr>
    </w:div>
    <w:div w:id="2121798132">
      <w:bodyDiv w:val="1"/>
      <w:marLeft w:val="0"/>
      <w:marRight w:val="0"/>
      <w:marTop w:val="0"/>
      <w:marBottom w:val="0"/>
      <w:divBdr>
        <w:top w:val="none" w:sz="0" w:space="0" w:color="auto"/>
        <w:left w:val="none" w:sz="0" w:space="0" w:color="auto"/>
        <w:bottom w:val="none" w:sz="0" w:space="0" w:color="auto"/>
        <w:right w:val="none" w:sz="0" w:space="0" w:color="auto"/>
      </w:divBdr>
    </w:div>
    <w:div w:id="2134863793">
      <w:bodyDiv w:val="1"/>
      <w:marLeft w:val="0"/>
      <w:marRight w:val="0"/>
      <w:marTop w:val="0"/>
      <w:marBottom w:val="0"/>
      <w:divBdr>
        <w:top w:val="none" w:sz="0" w:space="0" w:color="auto"/>
        <w:left w:val="none" w:sz="0" w:space="0" w:color="auto"/>
        <w:bottom w:val="none" w:sz="0" w:space="0" w:color="auto"/>
        <w:right w:val="none" w:sz="0" w:space="0" w:color="auto"/>
      </w:divBdr>
    </w:div>
    <w:div w:id="214330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tilizador\Documents\Voice%20Pedagogy\Module%204\Module%205\Margarida%20Silva%20Module%205%20-%20Final.dotx"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B8E80-373B-4F54-B4A2-B9E6AA815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Margarida Silva Module 5 - Final</Template>
  <TotalTime>47</TotalTime>
  <Pages>41</Pages>
  <Words>33219</Words>
  <Characters>179386</Characters>
  <Application>Microsoft Office Word</Application>
  <DocSecurity>0</DocSecurity>
  <Lines>1494</Lines>
  <Paragraphs>424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Utilizador</dc:creator>
  <cp:keywords/>
  <dc:description/>
  <cp:lastModifiedBy>Margarida Silva</cp:lastModifiedBy>
  <cp:revision>7</cp:revision>
  <dcterms:created xsi:type="dcterms:W3CDTF">2025-06-02T19:48:00Z</dcterms:created>
  <dcterms:modified xsi:type="dcterms:W3CDTF">2025-06-02T20:54:00Z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id="8FDkMgNu"/&gt;&lt;style id="http://www.zotero.org/styles/harvard1" locale="pt-PT" hasBibliography="1" bibliographyStyleHasBeenSet="1"/&gt;&lt;prefs&gt;&lt;pref name="fieldType" value="Field"/&gt;&lt;/prefs&gt;&lt;/data&gt;</vt:lpwstr>
  </property>
</Properties>
</file>