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30"/>
          <w:szCs w:val="30"/>
        </w:rPr>
      </w:pPr>
      <w:r w:rsidDel="00000000" w:rsidR="00000000" w:rsidRPr="00000000">
        <w:rPr>
          <w:sz w:val="30"/>
          <w:szCs w:val="30"/>
          <w:rtl w:val="0"/>
        </w:rPr>
        <w:t xml:space="preserve">University of Wales Trinity Saint David’s. </w:t>
      </w:r>
      <w:r w:rsidDel="00000000" w:rsidR="00000000" w:rsidRPr="00000000">
        <w:rPr>
          <w:rtl w:val="0"/>
        </w:rPr>
      </w:r>
    </w:p>
    <w:p w:rsidR="00000000" w:rsidDel="00000000" w:rsidP="00000000" w:rsidRDefault="00000000" w:rsidRPr="00000000" w14:paraId="00000002">
      <w:pPr>
        <w:jc w:val="center"/>
        <w:rPr>
          <w:b w:val="1"/>
          <w:sz w:val="30"/>
          <w:szCs w:val="30"/>
          <w:u w:val="single"/>
        </w:rPr>
      </w:pPr>
      <w:r w:rsidDel="00000000" w:rsidR="00000000" w:rsidRPr="00000000">
        <w:rPr>
          <w:rtl w:val="0"/>
        </w:rPr>
      </w:r>
    </w:p>
    <w:p w:rsidR="00000000" w:rsidDel="00000000" w:rsidP="00000000" w:rsidRDefault="00000000" w:rsidRPr="00000000" w14:paraId="00000003">
      <w:pPr>
        <w:jc w:val="center"/>
        <w:rPr>
          <w:b w:val="1"/>
          <w:sz w:val="30"/>
          <w:szCs w:val="30"/>
          <w:u w:val="single"/>
        </w:rPr>
      </w:pPr>
      <w:r w:rsidDel="00000000" w:rsidR="00000000" w:rsidRPr="00000000">
        <w:rPr>
          <w:rtl w:val="0"/>
        </w:rPr>
      </w:r>
    </w:p>
    <w:p w:rsidR="00000000" w:rsidDel="00000000" w:rsidP="00000000" w:rsidRDefault="00000000" w:rsidRPr="00000000" w14:paraId="00000004">
      <w:pPr>
        <w:jc w:val="center"/>
        <w:rPr>
          <w:b w:val="1"/>
          <w:sz w:val="30"/>
          <w:szCs w:val="30"/>
          <w:u w:val="single"/>
        </w:rPr>
      </w:pPr>
      <w:r w:rsidDel="00000000" w:rsidR="00000000" w:rsidRPr="00000000">
        <w:rPr>
          <w:rtl w:val="0"/>
        </w:rPr>
      </w:r>
    </w:p>
    <w:p w:rsidR="00000000" w:rsidDel="00000000" w:rsidP="00000000" w:rsidRDefault="00000000" w:rsidRPr="00000000" w14:paraId="00000005">
      <w:pPr>
        <w:jc w:val="center"/>
        <w:rPr>
          <w:b w:val="1"/>
          <w:sz w:val="30"/>
          <w:szCs w:val="30"/>
        </w:rPr>
      </w:pPr>
      <w:r w:rsidDel="00000000" w:rsidR="00000000" w:rsidRPr="00000000">
        <w:rPr>
          <w:b w:val="1"/>
          <w:sz w:val="30"/>
          <w:szCs w:val="30"/>
          <w:rtl w:val="0"/>
        </w:rPr>
        <w:t xml:space="preserve">‘What impact does mindfulness based starter activities have on learners' readiness to learn?’ </w:t>
      </w:r>
    </w:p>
    <w:p w:rsidR="00000000" w:rsidDel="00000000" w:rsidP="00000000" w:rsidRDefault="00000000" w:rsidRPr="00000000" w14:paraId="00000006">
      <w:pPr>
        <w:tabs>
          <w:tab w:val="left" w:leader="none" w:pos="720"/>
          <w:tab w:val="left" w:leader="none" w:pos="1440"/>
          <w:tab w:val="left" w:leader="none" w:pos="2160"/>
          <w:tab w:val="left" w:leader="none" w:pos="2880"/>
        </w:tabs>
        <w:spacing w:line="240" w:lineRule="auto"/>
        <w:jc w:val="center"/>
        <w:rPr>
          <w:sz w:val="24"/>
          <w:szCs w:val="24"/>
        </w:rPr>
      </w:pPr>
      <w:r w:rsidDel="00000000" w:rsidR="00000000" w:rsidRPr="00000000">
        <w:rPr>
          <w:rtl w:val="0"/>
        </w:rPr>
      </w:r>
    </w:p>
    <w:p w:rsidR="00000000" w:rsidDel="00000000" w:rsidP="00000000" w:rsidRDefault="00000000" w:rsidRPr="00000000" w14:paraId="00000007">
      <w:pPr>
        <w:tabs>
          <w:tab w:val="left" w:leader="none" w:pos="720"/>
          <w:tab w:val="left" w:leader="none" w:pos="1440"/>
          <w:tab w:val="left" w:leader="none" w:pos="2160"/>
          <w:tab w:val="left" w:leader="none" w:pos="2880"/>
        </w:tabs>
        <w:spacing w:line="240" w:lineRule="auto"/>
        <w:jc w:val="center"/>
        <w:rPr>
          <w:sz w:val="24"/>
          <w:szCs w:val="24"/>
        </w:rPr>
      </w:pPr>
      <w:r w:rsidDel="00000000" w:rsidR="00000000" w:rsidRPr="00000000">
        <w:rPr>
          <w:sz w:val="24"/>
          <w:szCs w:val="24"/>
          <w:rtl w:val="0"/>
        </w:rPr>
        <w:t xml:space="preserve">Design, conduct and critically evaluate a close-to-practice research project focusing on the model of the transformative teacher in developing practice that has a positive impact on the learner</w:t>
      </w:r>
      <w:r w:rsidDel="00000000" w:rsidR="00000000" w:rsidRPr="00000000">
        <w:rPr>
          <w:rtl w:val="0"/>
        </w:rPr>
      </w:r>
    </w:p>
    <w:p w:rsidR="00000000" w:rsidDel="00000000" w:rsidP="00000000" w:rsidRDefault="00000000" w:rsidRPr="00000000" w14:paraId="00000008">
      <w:pPr>
        <w:jc w:val="center"/>
        <w:rPr>
          <w:sz w:val="24"/>
          <w:szCs w:val="24"/>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b w:val="1"/>
        </w:rPr>
      </w:pPr>
      <w:r w:rsidDel="00000000" w:rsidR="00000000" w:rsidRPr="00000000">
        <w:rPr>
          <w:rtl w:val="0"/>
        </w:rPr>
      </w:r>
    </w:p>
    <w:p w:rsidR="00000000" w:rsidDel="00000000" w:rsidP="00000000" w:rsidRDefault="00000000" w:rsidRPr="00000000" w14:paraId="0000000D">
      <w:pPr>
        <w:rPr>
          <w:b w:val="1"/>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rtl w:val="0"/>
        </w:rPr>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jc w:val="center"/>
        <w:rPr>
          <w:b w:val="1"/>
        </w:rPr>
      </w:pPr>
      <w:r w:rsidDel="00000000" w:rsidR="00000000" w:rsidRPr="00000000">
        <w:rPr>
          <w:b w:val="1"/>
          <w:rtl w:val="0"/>
        </w:rPr>
        <w:t xml:space="preserve">Word count: 4050 </w:t>
      </w:r>
      <w:r w:rsidDel="00000000" w:rsidR="00000000" w:rsidRPr="00000000">
        <w:rPr>
          <w:rtl w:val="0"/>
        </w:rPr>
      </w:r>
    </w:p>
    <w:p w:rsidR="00000000" w:rsidDel="00000000" w:rsidP="00000000" w:rsidRDefault="00000000" w:rsidRPr="00000000" w14:paraId="00000014">
      <w:pPr>
        <w:rPr>
          <w:b w:val="1"/>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jc w:val="center"/>
        <w:rPr>
          <w:b w:val="1"/>
        </w:rPr>
      </w:pPr>
      <w:r w:rsidDel="00000000" w:rsidR="00000000" w:rsidRPr="00000000">
        <w:rPr>
          <w:b w:val="1"/>
          <w:rtl w:val="0"/>
        </w:rPr>
        <w:t xml:space="preserve">Isobel Webb </w:t>
      </w:r>
    </w:p>
    <w:p w:rsidR="00000000" w:rsidDel="00000000" w:rsidP="00000000" w:rsidRDefault="00000000" w:rsidRPr="00000000" w14:paraId="00000018">
      <w:pPr>
        <w:jc w:val="center"/>
        <w:rPr>
          <w:b w:val="1"/>
        </w:rPr>
      </w:pPr>
      <w:r w:rsidDel="00000000" w:rsidR="00000000" w:rsidRPr="00000000">
        <w:rPr>
          <w:b w:val="1"/>
          <w:rtl w:val="0"/>
        </w:rPr>
        <w:t xml:space="preserve">2300285 </w:t>
      </w:r>
    </w:p>
    <w:p w:rsidR="00000000" w:rsidDel="00000000" w:rsidP="00000000" w:rsidRDefault="00000000" w:rsidRPr="00000000" w14:paraId="00000019">
      <w:pPr>
        <w:jc w:val="center"/>
        <w:rPr>
          <w:b w:val="1"/>
        </w:rPr>
      </w:pPr>
      <w:r w:rsidDel="00000000" w:rsidR="00000000" w:rsidRPr="00000000">
        <w:rPr>
          <w:b w:val="1"/>
          <w:rtl w:val="0"/>
        </w:rPr>
        <w:t xml:space="preserve">ECAD7004</w:t>
      </w:r>
    </w:p>
    <w:p w:rsidR="00000000" w:rsidDel="00000000" w:rsidP="00000000" w:rsidRDefault="00000000" w:rsidRPr="00000000" w14:paraId="0000001A">
      <w:pPr>
        <w:jc w:val="center"/>
        <w:rPr>
          <w:b w:val="1"/>
        </w:rPr>
      </w:pPr>
      <w:r w:rsidDel="00000000" w:rsidR="00000000" w:rsidRPr="00000000">
        <w:rPr>
          <w:b w:val="1"/>
          <w:rtl w:val="0"/>
        </w:rPr>
        <w:t xml:space="preserve">7th May 2024 </w:t>
      </w:r>
    </w:p>
    <w:p w:rsidR="00000000" w:rsidDel="00000000" w:rsidP="00000000" w:rsidRDefault="00000000" w:rsidRPr="00000000" w14:paraId="0000001B">
      <w:pPr>
        <w:jc w:val="center"/>
        <w:rPr>
          <w:b w:val="1"/>
        </w:rPr>
      </w:pPr>
      <w:r w:rsidDel="00000000" w:rsidR="00000000" w:rsidRPr="00000000">
        <w:rPr>
          <w:rtl w:val="0"/>
        </w:rPr>
      </w:r>
    </w:p>
    <w:p w:rsidR="00000000" w:rsidDel="00000000" w:rsidP="00000000" w:rsidRDefault="00000000" w:rsidRPr="00000000" w14:paraId="0000001C">
      <w:pPr>
        <w:jc w:val="center"/>
        <w:rPr>
          <w:b w:val="1"/>
        </w:rPr>
      </w:pPr>
      <w:r w:rsidDel="00000000" w:rsidR="00000000" w:rsidRPr="00000000">
        <w:rPr>
          <w:rtl w:val="0"/>
        </w:rPr>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b w:val="1"/>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rtl w:val="0"/>
        </w:rPr>
      </w:r>
    </w:p>
    <w:p w:rsidR="00000000" w:rsidDel="00000000" w:rsidP="00000000" w:rsidRDefault="00000000" w:rsidRPr="00000000" w14:paraId="00000020">
      <w:pPr>
        <w:rPr>
          <w:b w:val="1"/>
        </w:rPr>
      </w:pPr>
      <w:r w:rsidDel="00000000" w:rsidR="00000000" w:rsidRPr="00000000">
        <w:rPr>
          <w:rtl w:val="0"/>
        </w:rPr>
      </w:r>
    </w:p>
    <w:p w:rsidR="00000000" w:rsidDel="00000000" w:rsidP="00000000" w:rsidRDefault="00000000" w:rsidRPr="00000000" w14:paraId="00000021">
      <w:pPr>
        <w:rPr>
          <w:b w:val="1"/>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rtl w:val="0"/>
        </w:rPr>
      </w:r>
    </w:p>
    <w:p w:rsidR="00000000" w:rsidDel="00000000" w:rsidP="00000000" w:rsidRDefault="00000000" w:rsidRPr="00000000" w14:paraId="00000023">
      <w:pPr>
        <w:rPr>
          <w:b w:val="1"/>
        </w:rPr>
      </w:pPr>
      <w:r w:rsidDel="00000000" w:rsidR="00000000" w:rsidRPr="00000000">
        <w:rPr>
          <w:rtl w:val="0"/>
        </w:rPr>
      </w:r>
    </w:p>
    <w:p w:rsidR="00000000" w:rsidDel="00000000" w:rsidP="00000000" w:rsidRDefault="00000000" w:rsidRPr="00000000" w14:paraId="00000024">
      <w:pPr>
        <w:rPr>
          <w:b w:val="1"/>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rtl w:val="0"/>
        </w:rPr>
      </w:r>
    </w:p>
    <w:p w:rsidR="00000000" w:rsidDel="00000000" w:rsidP="00000000" w:rsidRDefault="00000000" w:rsidRPr="00000000" w14:paraId="00000026">
      <w:pPr>
        <w:rPr>
          <w:b w:val="1"/>
        </w:rPr>
      </w:pPr>
      <w:r w:rsidDel="00000000" w:rsidR="00000000" w:rsidRPr="00000000">
        <w:rPr>
          <w:rtl w:val="0"/>
        </w:rPr>
      </w:r>
    </w:p>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rtl w:val="0"/>
        </w:rPr>
      </w:r>
    </w:p>
    <w:p w:rsidR="00000000" w:rsidDel="00000000" w:rsidP="00000000" w:rsidRDefault="00000000" w:rsidRPr="00000000" w14:paraId="00000029">
      <w:pPr>
        <w:rPr>
          <w:b w:val="1"/>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rPr>
          <w:b w:val="1"/>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b w:val="1"/>
          <w:rtl w:val="0"/>
        </w:rPr>
        <w:t xml:space="preserve">Aims</w:t>
      </w:r>
    </w:p>
    <w:p w:rsidR="00000000" w:rsidDel="00000000" w:rsidP="00000000" w:rsidRDefault="00000000" w:rsidRPr="00000000" w14:paraId="0000002E">
      <w:pPr>
        <w:spacing w:after="240" w:before="240" w:line="480" w:lineRule="auto"/>
        <w:rPr/>
      </w:pPr>
      <w:r w:rsidDel="00000000" w:rsidR="00000000" w:rsidRPr="00000000">
        <w:rPr>
          <w:rtl w:val="0"/>
        </w:rPr>
        <w:t xml:space="preserve">Lesson starts can be challenging for learners due to the transitional period between lessons, causing behavioural and learning challenges from the get-go (Saloviita, 2013). This present study aims to explore the importance of lesson beginnings and the potential benefits of integrating mindfulness-based interventions into the classroom. There is a key focus on its impact on learners' readiness to learn. Prior to this study, the researcher noticed a recurring pattern at the start of a lesson. There were continuous observations of learners who struggled when entering the classroom and displayed deregulated behaviour when settling into the classroom: erratic behaviour, excessive talking, and low motivation. The researcher detected that the dysregulated behaviour affects their readiness to learn, which proves to be an issue for the duration of the lesson. These continuous observations served as a catalyst for the interest in this topic in investigating the power of starter activities, especially using mindfulness techniques to address learners' well-being. </w:t>
      </w:r>
    </w:p>
    <w:p w:rsidR="00000000" w:rsidDel="00000000" w:rsidP="00000000" w:rsidRDefault="00000000" w:rsidRPr="00000000" w14:paraId="0000002F">
      <w:pPr>
        <w:spacing w:after="240" w:before="240" w:line="480" w:lineRule="auto"/>
        <w:rPr/>
      </w:pPr>
      <w:r w:rsidDel="00000000" w:rsidR="00000000" w:rsidRPr="00000000">
        <w:rPr>
          <w:rtl w:val="0"/>
        </w:rPr>
        <w:t xml:space="preserve">The present research project was conducted at an English-medium secondary school in South Wales. The sample consisted of 5 KS3 learners from a high-set class. It is important to note the school context, as external factors such as location or set could pose limitations to the results. The research question under investigation is, ‘What impact do mindfulness based starter activities have on learners' readiness to learn?’ The researcher hopes to discover how readiness to learn is effected through the use of starter activities, lesson-beginning routines, and mindfulness techniques through researching literature, interviews with experienced staff, observations, and learner perceptions through a questionnaire. </w:t>
      </w:r>
    </w:p>
    <w:p w:rsidR="00000000" w:rsidDel="00000000" w:rsidP="00000000" w:rsidRDefault="00000000" w:rsidRPr="00000000" w14:paraId="00000030">
      <w:pPr>
        <w:spacing w:after="240" w:before="240" w:line="480" w:lineRule="auto"/>
        <w:rPr/>
      </w:pPr>
      <w:r w:rsidDel="00000000" w:rsidR="00000000" w:rsidRPr="00000000">
        <w:rPr>
          <w:rtl w:val="0"/>
        </w:rPr>
        <w:t xml:space="preserve">Undertaking this research not only influences teaching practice within the classroom but also makes teachers lifelong learners who are inquisitive about trying innovative strategies to improve teaching and learning. Undertaking this research study also links to the professional standards of continuing professional learning, managing the learning environment, and learning outcomes and wellbeing.</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b w:val="1"/>
        </w:rPr>
      </w:pPr>
      <w:r w:rsidDel="00000000" w:rsidR="00000000" w:rsidRPr="00000000">
        <w:rPr>
          <w:b w:val="1"/>
          <w:rtl w:val="0"/>
        </w:rPr>
        <w:t xml:space="preserve">Literature review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spacing w:after="240" w:before="240" w:line="480" w:lineRule="auto"/>
        <w:rPr/>
      </w:pPr>
      <w:r w:rsidDel="00000000" w:rsidR="00000000" w:rsidRPr="00000000">
        <w:rPr>
          <w:rtl w:val="0"/>
        </w:rPr>
        <w:t xml:space="preserve">To understand the research question, an exploration of existing literature was undertaken. The literature reviewed had a particular focus on the power of starter activities, lesson beginnings, readiness to learn, wellbeing, and mindfulness. </w:t>
      </w:r>
    </w:p>
    <w:p w:rsidR="00000000" w:rsidDel="00000000" w:rsidP="00000000" w:rsidRDefault="00000000" w:rsidRPr="00000000" w14:paraId="00000036">
      <w:pPr>
        <w:spacing w:after="240" w:before="240" w:line="480" w:lineRule="auto"/>
        <w:rPr/>
      </w:pPr>
      <w:r w:rsidDel="00000000" w:rsidR="00000000" w:rsidRPr="00000000">
        <w:rPr>
          <w:rtl w:val="0"/>
        </w:rPr>
        <w:t xml:space="preserve">The first 10 minutes of a lesson have been considered crucial to capture learner engagement and start lesson content (Mesiti &amp; Clarke 2006). It is suggested that the way in which the first 10 minutes go will significantly determine whether learning will occur (Aung &amp; Tepsuriwong, 2017). Starter activities are a widely used strategy in classrooms at the beginning of lessons. Talbot (2022) defines them as quick, engaging tasks presented at the start of the lesson to engage learners from the moment they enter the classroom. Learning theories are reflected in the thought process of starter activities. Starter activities take elements of the constructivist approach, suggesting learner collaboration is integral to learning (Hein, 1991), and also the engagement theory, as it believes learners must be kept engaged in meaningful activities to learn (Kearsley &amp; Shneiderman, 1998).</w:t>
      </w:r>
    </w:p>
    <w:p w:rsidR="00000000" w:rsidDel="00000000" w:rsidP="00000000" w:rsidRDefault="00000000" w:rsidRPr="00000000" w14:paraId="00000037">
      <w:pPr>
        <w:spacing w:after="240" w:before="240" w:line="480" w:lineRule="auto"/>
        <w:rPr/>
      </w:pPr>
      <w:r w:rsidDel="00000000" w:rsidR="00000000" w:rsidRPr="00000000">
        <w:rPr>
          <w:rtl w:val="0"/>
        </w:rPr>
        <w:t xml:space="preserve">In recent years, schools have increasingly supported the importance of these activities to set a positive tone for learning (Stanchfield, 2018), adopting them as part of their daily routines. In the 20th century, it began to emerge that 'boring' and 'dull' starts to lessons can 'spoil the impression of the teacher and subsequent learning (Wehmeyer &amp; Schwartz, 1998). In more recent studies, empirical evidence exploring the use of starter activities has found that starter activities can capture learners’ attention, achieve instructional goals, activate prior knowledge, and create a sense of curiosity and anticipation for the upcoming lesson content (Schunk &amp; Mullen, 2013, Algozzine, Browder, Karvonen, Test, &amp; Wood, 2001; Capel, Leask, Marily, and Younie, 2016; Naz, A., Nasreen, A., and Rashid, S., 2021). As this empirical evidence contains findings from within the last 10 years and post-COVID, it is credible to suggest that it has reliable findings. From the literature, it is clear that providing a structured and stimulating start to the lesson can enhance learners’ motivation, focus, and participation (Brown &amp; Lee, 2015). This, in turn, increases learners’ readiness to learn.</w:t>
      </w:r>
    </w:p>
    <w:p w:rsidR="00000000" w:rsidDel="00000000" w:rsidP="00000000" w:rsidRDefault="00000000" w:rsidRPr="00000000" w14:paraId="00000038">
      <w:pPr>
        <w:spacing w:after="240" w:before="240" w:line="480" w:lineRule="auto"/>
        <w:rPr/>
      </w:pPr>
      <w:r w:rsidDel="00000000" w:rsidR="00000000" w:rsidRPr="00000000">
        <w:rPr>
          <w:rtl w:val="0"/>
        </w:rPr>
        <w:t xml:space="preserve">Readiness to learn refers to a learner's state of preparedness and receptiveness for learning activities within the classroom environment (Agustiani, Gumartifa and Yaman, 2022). Millians (2011) proposes that readiness to learn involves; cognitive readiness (e.g., prior knowledge, cognitive skills), emotional readiness (e.g., motivation, confidence), and physical readiness (e.g., health, comfort). These are important factors that need to be ready for a child to learn in a lesson. If a child is not ready in either of these areas, they can become dysregulated. Dysregulation can present itself in a lesson as impulsiveness, outbursts, refusing to make contact or speak, and off-task behaviour (Arlin Cuncic, 2023). If a child is dysregulated, they cannot obtain information and have an increased chance of not reaching their full academic potential (McCormack, 2023). It is well known that transitional periods can be overwhelming for learners (Alston, S. 2023); this includes small transitions in the day, such as between lessons, which is why educators often see deregulated behaviours, especially at the beginning of the lesson.</w:t>
      </w:r>
    </w:p>
    <w:p w:rsidR="00000000" w:rsidDel="00000000" w:rsidP="00000000" w:rsidRDefault="00000000" w:rsidRPr="00000000" w14:paraId="00000039">
      <w:pPr>
        <w:spacing w:after="240" w:before="240" w:line="480" w:lineRule="auto"/>
        <w:rPr/>
      </w:pPr>
      <w:r w:rsidDel="00000000" w:rsidR="00000000" w:rsidRPr="00000000">
        <w:rPr>
          <w:rtl w:val="0"/>
        </w:rPr>
        <w:t xml:space="preserve">This means that addressing learners' readiness to learn is crucial for optimising learning outcomes (Glanz, Rimer, and Viswanath 2015). The quicker a learner is regulated and ready to learn, the more effective learning can occur. This is why starter activities are majorly important. Starter activities such as do-nows, bell work, and other engaging tasks particularly use information that is going to link with the lesson. This is great as it can really help learners ease into the content, forming a foundation for the lesson (Field &amp; Hoffman, 1994); however, emotional readiness may still be underfed. </w:t>
      </w:r>
    </w:p>
    <w:p w:rsidR="00000000" w:rsidDel="00000000" w:rsidP="00000000" w:rsidRDefault="00000000" w:rsidRPr="00000000" w14:paraId="0000003A">
      <w:pPr>
        <w:spacing w:after="240" w:before="240" w:line="480" w:lineRule="auto"/>
        <w:rPr/>
      </w:pPr>
      <w:r w:rsidDel="00000000" w:rsidR="00000000" w:rsidRPr="00000000">
        <w:rPr>
          <w:rtl w:val="0"/>
        </w:rPr>
        <w:t xml:space="preserve">Mindfulness involves paying attention to the present moment with openness, curiosity, and acceptance (Kabat-Zinn, 2003). Mindfulness strategies, such as focused breathing and mindful drawing, have gained recognition for their potential to enhance attention, self-regulation, and emotional well-being (Roeser et al., 2013). By utilising mindfulness, learners can develop greater awareness of their thoughts, emotions, and behaviours when they enter the classroom, which can positively impact their readiness to learn (Napoli et al., 2019).</w:t>
      </w:r>
    </w:p>
    <w:p w:rsidR="00000000" w:rsidDel="00000000" w:rsidP="00000000" w:rsidRDefault="00000000" w:rsidRPr="00000000" w14:paraId="0000003B">
      <w:pPr>
        <w:spacing w:after="240" w:before="240" w:line="480" w:lineRule="auto"/>
        <w:rPr/>
      </w:pPr>
      <w:r w:rsidDel="00000000" w:rsidR="00000000" w:rsidRPr="00000000">
        <w:rPr>
          <w:rtl w:val="0"/>
        </w:rPr>
        <w:t xml:space="preserve">Research indicates that mindfulness interventions can have a significant impact on students' readiness to learn (Zenner et al., 2014; Black, Milam, and Sussman, 2009). In both studies, there were notable improvements in learners by promoting self-regulation, reducing stress, and enhancing attentional control. Child Mind Institute (2024) also suggests that self-regulation challenges can be supported by mindfulness and mediation. There is also evidence (Maynard et al., 2017) that mindfulness-based interventions correlate with a reduction in anxiety. This links back to why learners can feel very distressed at the start of lessons due to the transitions (Alston, 2023).</w:t>
      </w:r>
    </w:p>
    <w:p w:rsidR="00000000" w:rsidDel="00000000" w:rsidP="00000000" w:rsidRDefault="00000000" w:rsidRPr="00000000" w14:paraId="0000003C">
      <w:pPr>
        <w:spacing w:after="240" w:before="240" w:line="480" w:lineRule="auto"/>
        <w:rPr/>
      </w:pPr>
      <w:r w:rsidDel="00000000" w:rsidR="00000000" w:rsidRPr="00000000">
        <w:rPr>
          <w:rtl w:val="0"/>
        </w:rPr>
        <w:t xml:space="preserve">The literature reviewed shows empirical evidence of the importance of starter activities for learners; it also provides insights into the potential benefits of mindfulness-based starter activities for regulating behaviour and promoting readiness to learn. By incorporating mindfulness strategies into starter activities, it may enhance learners' ability to self-regulate and engage effectively in learning tasks. While there is growing research on the benefits of mindfulness interventions in education, limited studies have specifically examined the impact of mindfulness starter activities on regulating behaviour and readiness to learn. By researching the question, ‘What impact do mindfulness based starter activities have on learners' readiness to learn?’ It fills a gap in the current literature by exploring innovative approaches to engage learners academically while simultaneously promoting their well-being.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b w:val="1"/>
          <w:rtl w:val="0"/>
        </w:rPr>
        <w:t xml:space="preserve">Explanation of a case study</w:t>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spacing w:after="240" w:before="240" w:line="480" w:lineRule="auto"/>
        <w:rPr/>
      </w:pPr>
      <w:r w:rsidDel="00000000" w:rsidR="00000000" w:rsidRPr="00000000">
        <w:rPr>
          <w:rtl w:val="0"/>
        </w:rPr>
        <w:t xml:space="preserve">A case study is a research method that involves the intensive study of a single person or group. Gustafsson (2017), It typically involves the use of interviews and observations to gather rich data to understand the case that is under investigation. The gathering of data on a specific area of interest allows for great insights into specific contexts. The researcher can take a holistic view of the phenomenon, recording findings from multiple perspectives and methods (Heale &amp; Twycross, 2018). This is especially useful for the current research project, as the researcher is interested in a school environment. By focusing on a specific KS3 classroom setting and a particular group of learners, a case study allows for a rich and detailed understanding of the learning environment. </w:t>
      </w:r>
    </w:p>
    <w:p w:rsidR="00000000" w:rsidDel="00000000" w:rsidP="00000000" w:rsidRDefault="00000000" w:rsidRPr="00000000" w14:paraId="00000042">
      <w:pPr>
        <w:spacing w:after="240" w:before="240" w:line="480" w:lineRule="auto"/>
        <w:rPr/>
      </w:pPr>
      <w:r w:rsidDel="00000000" w:rsidR="00000000" w:rsidRPr="00000000">
        <w:rPr>
          <w:rtl w:val="0"/>
        </w:rPr>
        <w:t xml:space="preserve"> </w:t>
      </w:r>
    </w:p>
    <w:p w:rsidR="00000000" w:rsidDel="00000000" w:rsidP="00000000" w:rsidRDefault="00000000" w:rsidRPr="00000000" w14:paraId="00000043">
      <w:pPr>
        <w:spacing w:after="240" w:before="240" w:line="480" w:lineRule="auto"/>
        <w:rPr/>
      </w:pPr>
      <w:r w:rsidDel="00000000" w:rsidR="00000000" w:rsidRPr="00000000">
        <w:rPr>
          <w:rtl w:val="0"/>
        </w:rPr>
        <w:t xml:space="preserve">Although there is no singular definition of a case study and it has been coined as a 'contested terrain' (Yazan, 2015), Suggesting that case studies are very individualistic, which proposes limitations. One of the limitations is establishing causality. Case studies are suggestive in nature (Simon and Goes, 2013), so researchers can only suggest outcomes rather than prove them. This means that any findings between the variables may show potential themes but not concrete causations. There is also the limitation of limited generalisability, which is how likely the results from the study can be replicated in other contexts, people, and times (Nikolopoulou, 2023) As case studies focus on a small number of people, the sample can be unrepresentative, which means it is hard to generalise the results. </w:t>
      </w:r>
    </w:p>
    <w:p w:rsidR="00000000" w:rsidDel="00000000" w:rsidP="00000000" w:rsidRDefault="00000000" w:rsidRPr="00000000" w14:paraId="00000044">
      <w:pPr>
        <w:spacing w:after="240" w:before="240" w:line="480" w:lineRule="auto"/>
        <w:rPr/>
      </w:pPr>
      <w:r w:rsidDel="00000000" w:rsidR="00000000" w:rsidRPr="00000000">
        <w:rPr>
          <w:rtl w:val="0"/>
        </w:rPr>
        <w:t xml:space="preserve"> </w:t>
      </w:r>
    </w:p>
    <w:p w:rsidR="00000000" w:rsidDel="00000000" w:rsidP="00000000" w:rsidRDefault="00000000" w:rsidRPr="00000000" w14:paraId="00000045">
      <w:pPr>
        <w:spacing w:after="240" w:before="240" w:line="480" w:lineRule="auto"/>
        <w:rPr/>
      </w:pPr>
      <w:r w:rsidDel="00000000" w:rsidR="00000000" w:rsidRPr="00000000">
        <w:rPr>
          <w:rtl w:val="0"/>
        </w:rPr>
        <w:t xml:space="preserve">The participants in the current case study consisted of five mixed-gender KS3 learners. The method used to select participants was an opportunity sample. This approach was chosen due to practical considerations, such as gaining consent and the availability of learners during the designated lesson the researcher undertook. An opportunity sample allows for flexibility in participation selection (Mcleod, 2023), although limitations may arise in terms of representation. The selected sample comes from a top-set KS3 art class. This could lead to a limited representation of learners at this age and provide unrealistic expectations of the effects of mindfulness on learners' readiness to engage. It could be that these learners already have strategies in place to regulate themselves upon entry to a lesson compared to other lower-ability classes. This is supported by Boekaerts and Corno (2005), who suggest that various individual differences, including developmental and environmental, can hinder or facilitate learner regulation. They also found learners who possess well-developed autonomous techniques can regulate against stressors in order to study, compared to those who don’t. This again stresses the importance of having a representative sample to combat these individual differences and increase the validity of the results.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b w:val="1"/>
        </w:rPr>
      </w:pPr>
      <w:r w:rsidDel="00000000" w:rsidR="00000000" w:rsidRPr="00000000">
        <w:rPr>
          <w:b w:val="1"/>
          <w:rtl w:val="0"/>
        </w:rPr>
        <w:t xml:space="preserve">Research methods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spacing w:after="240" w:before="240" w:line="480" w:lineRule="auto"/>
        <w:rPr/>
      </w:pPr>
      <w:r w:rsidDel="00000000" w:rsidR="00000000" w:rsidRPr="00000000">
        <w:rPr>
          <w:rtl w:val="0"/>
        </w:rPr>
        <w:t xml:space="preserve">The researcher selected three research methods to collect data in the present study: observation, interview, and questionnaire. The reasoning for selecting these methods is that they can provide both qualitative and quantitative information about the research question. Having a combination of qualitative and quantitative data increases the validity of a study as it balances out the limitations of using one type of method (Teddlie and Tashakkori, 2009).</w:t>
      </w:r>
    </w:p>
    <w:p w:rsidR="00000000" w:rsidDel="00000000" w:rsidP="00000000" w:rsidRDefault="00000000" w:rsidRPr="00000000" w14:paraId="0000004A">
      <w:pPr>
        <w:spacing w:after="240" w:before="240" w:line="480" w:lineRule="auto"/>
        <w:jc w:val="center"/>
        <w:rPr/>
      </w:pPr>
      <w:r w:rsidDel="00000000" w:rsidR="00000000" w:rsidRPr="00000000">
        <w:rPr>
          <w:rtl w:val="0"/>
        </w:rPr>
        <w:t xml:space="preserve">Observation</w:t>
      </w:r>
    </w:p>
    <w:p w:rsidR="00000000" w:rsidDel="00000000" w:rsidP="00000000" w:rsidRDefault="00000000" w:rsidRPr="00000000" w14:paraId="0000004B">
      <w:pPr>
        <w:spacing w:after="240" w:before="240" w:line="480" w:lineRule="auto"/>
        <w:rPr/>
      </w:pPr>
      <w:r w:rsidDel="00000000" w:rsidR="00000000" w:rsidRPr="00000000">
        <w:rPr>
          <w:rtl w:val="0"/>
        </w:rPr>
        <w:t xml:space="preserve">An observation was conducted as it is a successful way to capture specific characteristics of a group in a moment of time without manipulating any elements (Paul &amp; Price, 2017). The researcher employed a naturalistic observation approach to explore the research question in a typical classroom setting. This method was chosen to provide an authentic representation of learners' behaviour and readiness to learn in their natural environment. The researcher, who is also the class teacher, conducted the observation, increasing the naturalistic aspect of the study. This decision to use naturalistic observation is supported by existing literature. Smith (2024) highlights that using real-world contexts will result in genuine behaviours in the sample.  </w:t>
      </w:r>
    </w:p>
    <w:p w:rsidR="00000000" w:rsidDel="00000000" w:rsidP="00000000" w:rsidRDefault="00000000" w:rsidRPr="00000000" w14:paraId="0000004C">
      <w:pPr>
        <w:spacing w:after="240" w:before="240" w:line="480" w:lineRule="auto"/>
        <w:rPr/>
      </w:pPr>
      <w:r w:rsidDel="00000000" w:rsidR="00000000" w:rsidRPr="00000000">
        <w:rPr>
          <w:rtl w:val="0"/>
        </w:rPr>
        <w:t xml:space="preserve">However, it is important to note that the observation was overt. Participants were debriefed on the prior lesson to gain parental consent and assent. This decision was made to ensure ethical responsibility within the study (BERA 2018). Yet, it does increase the risk of social desirability bias and demand characteristics among participants. If aware of observation, participants may alter their behaviour consciously or unconsciously, resulting in biassed findings (Orne, 2017). </w:t>
      </w:r>
    </w:p>
    <w:p w:rsidR="00000000" w:rsidDel="00000000" w:rsidP="00000000" w:rsidRDefault="00000000" w:rsidRPr="00000000" w14:paraId="0000004D">
      <w:pPr>
        <w:spacing w:after="240" w:before="240" w:line="480" w:lineRule="auto"/>
        <w:rPr/>
      </w:pPr>
      <w:r w:rsidDel="00000000" w:rsidR="00000000" w:rsidRPr="00000000">
        <w:rPr>
          <w:rtl w:val="0"/>
        </w:rPr>
        <w:t xml:space="preserve">Another possible limitation of a naturalistic observation is the dual role of the teacher-researcher; observations may be missed due to other responsibilities during the allocated research study time. To address this, the researcher used an observation schedule for the allocated 15 minutes. This schedule outlines specific behaviours to be observed before, during, and after the intervention. Behaviours included restlessness, focus on instructions, engagement, on/off task behaviour, and mood (see appendices). The selection of observed behaviours was informed by the literature on factors influencing readiness to learn. For instance, research suggests that focus, engagement, and mood can significantly impact students' ability to effectively participate in learning activities (Millians, 2011). By observing these behaviours, the researchers aimed to gain insight into the impact of a mindfulness-based starter activity on learners' readiness to learn. </w:t>
      </w:r>
    </w:p>
    <w:p w:rsidR="00000000" w:rsidDel="00000000" w:rsidP="00000000" w:rsidRDefault="00000000" w:rsidRPr="00000000" w14:paraId="0000004E">
      <w:pPr>
        <w:spacing w:after="240" w:before="240" w:line="480" w:lineRule="auto"/>
        <w:jc w:val="center"/>
        <w:rPr/>
      </w:pPr>
      <w:r w:rsidDel="00000000" w:rsidR="00000000" w:rsidRPr="00000000">
        <w:rPr>
          <w:rtl w:val="0"/>
        </w:rPr>
      </w:r>
    </w:p>
    <w:p w:rsidR="00000000" w:rsidDel="00000000" w:rsidP="00000000" w:rsidRDefault="00000000" w:rsidRPr="00000000" w14:paraId="0000004F">
      <w:pPr>
        <w:spacing w:after="240" w:before="240" w:line="480" w:lineRule="auto"/>
        <w:jc w:val="center"/>
        <w:rPr/>
      </w:pPr>
      <w:r w:rsidDel="00000000" w:rsidR="00000000" w:rsidRPr="00000000">
        <w:rPr>
          <w:rtl w:val="0"/>
        </w:rPr>
        <w:t xml:space="preserve">Interview</w:t>
      </w:r>
    </w:p>
    <w:p w:rsidR="00000000" w:rsidDel="00000000" w:rsidP="00000000" w:rsidRDefault="00000000" w:rsidRPr="00000000" w14:paraId="00000050">
      <w:pPr>
        <w:spacing w:after="240" w:before="240" w:line="480" w:lineRule="auto"/>
        <w:rPr/>
      </w:pPr>
      <w:r w:rsidDel="00000000" w:rsidR="00000000" w:rsidRPr="00000000">
        <w:rPr>
          <w:rtl w:val="0"/>
        </w:rPr>
        <w:t xml:space="preserve">The research question investigates a widely researched area in education: the importance of lesson beginnings. An interview was conducted with an experienced member of staff to gain in-depth insights into the area of interest. Literature suggests that interviews are successful tools for gathering rich, detailed information that may not be captured by other methods (Rubin &amp; Rubin, 2012). </w:t>
      </w:r>
    </w:p>
    <w:p w:rsidR="00000000" w:rsidDel="00000000" w:rsidP="00000000" w:rsidRDefault="00000000" w:rsidRPr="00000000" w14:paraId="00000051">
      <w:pPr>
        <w:spacing w:after="240" w:before="240" w:line="480" w:lineRule="auto"/>
        <w:rPr/>
      </w:pPr>
      <w:r w:rsidDel="00000000" w:rsidR="00000000" w:rsidRPr="00000000">
        <w:rPr>
          <w:rtl w:val="0"/>
        </w:rPr>
        <w:t xml:space="preserve">The interview questions were designed to explore the staff member's experiences, strategies, and perceptions regarding lesson beginnings and starter activities and their impact on learner engagement, behaviour, and readiness. The interview style was semi-structured, with five open-ended questions to encourage detailed responses (see appendices). </w:t>
      </w:r>
    </w:p>
    <w:p w:rsidR="00000000" w:rsidDel="00000000" w:rsidP="00000000" w:rsidRDefault="00000000" w:rsidRPr="00000000" w14:paraId="00000052">
      <w:pPr>
        <w:spacing w:after="240" w:before="240" w:line="480" w:lineRule="auto"/>
        <w:jc w:val="center"/>
        <w:rPr/>
      </w:pPr>
      <w:r w:rsidDel="00000000" w:rsidR="00000000" w:rsidRPr="00000000">
        <w:rPr>
          <w:rtl w:val="0"/>
        </w:rPr>
        <w:t xml:space="preserve"> Questionnaire </w:t>
      </w:r>
    </w:p>
    <w:p w:rsidR="00000000" w:rsidDel="00000000" w:rsidP="00000000" w:rsidRDefault="00000000" w:rsidRPr="00000000" w14:paraId="00000053">
      <w:pPr>
        <w:spacing w:after="240" w:before="240" w:line="480" w:lineRule="auto"/>
        <w:rPr/>
      </w:pPr>
      <w:r w:rsidDel="00000000" w:rsidR="00000000" w:rsidRPr="00000000">
        <w:rPr>
          <w:rtl w:val="0"/>
        </w:rPr>
        <w:t xml:space="preserve"> The questionnaire designed for this study aimed to identify the participants’ opinions on the mindfulness-based starter activity and how it impacted their mood and readiness to learn. The questionnaire incorporated both open and closed questions, as well as a Likert scale to assess participants' readiness before and after the activity. The inclusion of closed-ended questions with a Likert scale allows for the collection of quantitative data, which means a numerical analysis of participants' readiness to learn can be identified (Babbie, 2016). This approach means statistical comparisons can be made during result analysis, providing indicators of the impact of the mindfulness-based starter activity on participants' readiness to learn.  </w:t>
      </w:r>
    </w:p>
    <w:p w:rsidR="00000000" w:rsidDel="00000000" w:rsidP="00000000" w:rsidRDefault="00000000" w:rsidRPr="00000000" w14:paraId="00000054">
      <w:pPr>
        <w:spacing w:after="240" w:before="240" w:line="480" w:lineRule="auto"/>
        <w:rPr/>
      </w:pPr>
      <w:r w:rsidDel="00000000" w:rsidR="00000000" w:rsidRPr="00000000">
        <w:rPr>
          <w:rtl w:val="0"/>
        </w:rPr>
        <w:t xml:space="preserve">Including open-ended questions will provide qualitative insights into participants' opinions and experiences; literature suggests that this will give a deeper understanding of the impact of the activity on participants (Creswell &amp; Creswell, 2017). Although the subjective nature of qualitative data may introduce researcher bias during analysis (Huberman, 2014), which could influence the interpretation of participants' responses, To combat this, the researcher must act ethically with the data and analyse it as objectively as possible. </w:t>
      </w:r>
    </w:p>
    <w:p w:rsidR="00000000" w:rsidDel="00000000" w:rsidP="00000000" w:rsidRDefault="00000000" w:rsidRPr="00000000" w14:paraId="00000055">
      <w:pPr>
        <w:spacing w:after="240" w:before="240" w:line="480" w:lineRule="auto"/>
        <w:rPr/>
      </w:pPr>
      <w:r w:rsidDel="00000000" w:rsidR="00000000" w:rsidRPr="00000000">
        <w:rPr>
          <w:rtl w:val="0"/>
        </w:rPr>
        <w:t xml:space="preserve">The chosen sample may also pose limitations for the study. As the learners are in KS3, developmentally, the sample could vary. Factors such as literacy levels and familiarity with mindfulness practices may differ among participants, potentially impacting the reliability and validity of their responses. It is important to acknowledge these limitations so that the results can be as valid as possible.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b w:val="1"/>
        </w:rPr>
      </w:pPr>
      <w:r w:rsidDel="00000000" w:rsidR="00000000" w:rsidRPr="00000000">
        <w:rPr>
          <w:b w:val="1"/>
          <w:rtl w:val="0"/>
        </w:rPr>
        <w:t xml:space="preserve">Data presentation / analysis method </w:t>
      </w:r>
    </w:p>
    <w:p w:rsidR="00000000" w:rsidDel="00000000" w:rsidP="00000000" w:rsidRDefault="00000000" w:rsidRPr="00000000" w14:paraId="00000058">
      <w:pPr>
        <w:rPr>
          <w:b w:val="1"/>
        </w:rPr>
      </w:pPr>
      <w:r w:rsidDel="00000000" w:rsidR="00000000" w:rsidRPr="00000000">
        <w:rPr>
          <w:rtl w:val="0"/>
        </w:rPr>
      </w:r>
    </w:p>
    <w:p w:rsidR="00000000" w:rsidDel="00000000" w:rsidP="00000000" w:rsidRDefault="00000000" w:rsidRPr="00000000" w14:paraId="00000059">
      <w:pPr>
        <w:spacing w:after="240" w:before="240" w:line="480" w:lineRule="auto"/>
        <w:rPr/>
      </w:pPr>
      <w:r w:rsidDel="00000000" w:rsidR="00000000" w:rsidRPr="00000000">
        <w:rPr>
          <w:rtl w:val="0"/>
        </w:rPr>
        <w:t xml:space="preserve">The chosen data analysis for this research study is a thematic analysis. A thematic analysis is one of the most common forms of analysis for qualitative data and allows the researcher to identify patterns in meaning across the data to acquire themes (Braun and Clarke, 2006). </w:t>
      </w:r>
    </w:p>
    <w:p w:rsidR="00000000" w:rsidDel="00000000" w:rsidP="00000000" w:rsidRDefault="00000000" w:rsidRPr="00000000" w14:paraId="0000005A">
      <w:pPr>
        <w:spacing w:after="240" w:before="240" w:line="480" w:lineRule="auto"/>
        <w:rPr/>
      </w:pPr>
      <w:r w:rsidDel="00000000" w:rsidR="00000000" w:rsidRPr="00000000">
        <w:rPr>
          <w:rtl w:val="0"/>
        </w:rPr>
        <w:t xml:space="preserve">An advantage of using this data analysis for the present research is that, as it’s a qualitative data-heavy study, it can be used to match themes from the three different research methods. Also, this data analysis method is often recommended for novice researchers due to its accessible approach (Creswell and Poth, 2016), the researcher is a student teacher engaging in research for the first time so this is advantageous. However, a limitation of this approach is that the data can be subjective and hard to interpret, which may cause biases in the findings. To accurately analyse the data, the researcher will closely examine the data to identify common themes, topics, ideas, and patterns that are repeated from the interview, observation, and questionnaire to deduce meaning. </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b w:val="1"/>
          <w:rtl w:val="0"/>
        </w:rPr>
        <w:t xml:space="preserve">Ethical considerations </w:t>
      </w:r>
      <w:r w:rsidDel="00000000" w:rsidR="00000000" w:rsidRPr="00000000">
        <w:rPr>
          <w:rtl w:val="0"/>
        </w:rPr>
      </w:r>
    </w:p>
    <w:p w:rsidR="00000000" w:rsidDel="00000000" w:rsidP="00000000" w:rsidRDefault="00000000" w:rsidRPr="00000000" w14:paraId="0000005E">
      <w:pPr>
        <w:spacing w:after="240" w:before="240" w:line="480" w:lineRule="auto"/>
        <w:rPr/>
      </w:pPr>
      <w:r w:rsidDel="00000000" w:rsidR="00000000" w:rsidRPr="00000000">
        <w:rPr>
          <w:rtl w:val="0"/>
        </w:rPr>
        <w:t xml:space="preserve">Ethics are a set of rules of conduct to follow when conducting a research study (Robson, 2002:65). In the present research project, ethical considerations need to be addressed to keep participants safe, especially as the sample will consist of children under 18. Using BERA (2018) guidelines, it is essential that the researcher gain consent from the parents of the learners and assent from the learners themselves in the study to ensure informed consent has been given. </w:t>
      </w:r>
    </w:p>
    <w:p w:rsidR="00000000" w:rsidDel="00000000" w:rsidP="00000000" w:rsidRDefault="00000000" w:rsidRPr="00000000" w14:paraId="0000005F">
      <w:pPr>
        <w:spacing w:after="240" w:before="240" w:line="480" w:lineRule="auto"/>
        <w:rPr/>
      </w:pPr>
      <w:r w:rsidDel="00000000" w:rsidR="00000000" w:rsidRPr="00000000">
        <w:rPr>
          <w:rtl w:val="0"/>
        </w:rPr>
        <w:t xml:space="preserve">During the study, participants should understand what the study is about, and the right to withdraw should be made clear to them at the start and at several points during the study to make sure ascent is clearly given. The researcher will also provide participants with red and green cards to indicate withdrawal at any point. The anonymity and confidentiality of participants and their data will need to be addressed. ‘The confidential and anonymous treatment of participants’ data is considered the norm for the conduct of research’ (BERA, 2018:21). In the research project, the researcher will be using observation, interviews, and a questionnaire as the research methods. This means that all data will be kept confidential when discussing results such as ’participant A demonstrated X behaviour’ rather than describing any identifiable attributes. Anonymity will also be maintained by questionnaires. Questionnaires will not collect any identifiable data, such as names. Following these ethical guidelines will ensure that the researcher acts ethically during the research. </w:t>
      </w:r>
    </w:p>
    <w:p w:rsidR="00000000" w:rsidDel="00000000" w:rsidP="00000000" w:rsidRDefault="00000000" w:rsidRPr="00000000" w14:paraId="00000060">
      <w:pPr>
        <w:spacing w:after="240" w:before="240" w:line="480" w:lineRule="auto"/>
        <w:rPr/>
      </w:pPr>
      <w:r w:rsidDel="00000000" w:rsidR="00000000" w:rsidRPr="00000000">
        <w:rPr>
          <w:rtl w:val="0"/>
        </w:rPr>
        <w:t xml:space="preserve">As detailed or explained in the ethics form (see appendices), the researcher has acknowledged all possible ethical breaches and has outlined what will be put in place to prevent them. For example, the research question involves mindfulness and elements of wellbeing. The researcher made it clear in the questionnaire that the learners can speak to the class teacher or go to wellbeing if any of the questions have affected their wellbeing. To prevent any emotional distress and ensure protection from harm, a multiple-choice question on wellbeing was selected rather than asking the learners to answer any intrusive questions about feelings.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b w:val="1"/>
          <w:color w:val="222222"/>
          <w:highlight w:val="white"/>
        </w:rPr>
      </w:pPr>
      <w:r w:rsidDel="00000000" w:rsidR="00000000" w:rsidRPr="00000000">
        <w:rPr>
          <w:b w:val="1"/>
          <w:color w:val="222222"/>
          <w:highlight w:val="white"/>
          <w:rtl w:val="0"/>
        </w:rPr>
        <w:t xml:space="preserve">Results / analysis of results / discussion </w:t>
      </w:r>
    </w:p>
    <w:p w:rsidR="00000000" w:rsidDel="00000000" w:rsidP="00000000" w:rsidRDefault="00000000" w:rsidRPr="00000000" w14:paraId="00000063">
      <w:pPr>
        <w:rPr>
          <w:color w:val="222222"/>
          <w:sz w:val="20"/>
          <w:szCs w:val="20"/>
          <w:highlight w:val="white"/>
        </w:rPr>
      </w:pPr>
      <w:r w:rsidDel="00000000" w:rsidR="00000000" w:rsidRPr="00000000">
        <w:rPr>
          <w:rtl w:val="0"/>
        </w:rPr>
      </w:r>
    </w:p>
    <w:p w:rsidR="00000000" w:rsidDel="00000000" w:rsidP="00000000" w:rsidRDefault="00000000" w:rsidRPr="00000000" w14:paraId="00000064">
      <w:pPr>
        <w:spacing w:after="240" w:before="240" w:line="480" w:lineRule="auto"/>
        <w:rPr>
          <w:color w:val="222222"/>
          <w:highlight w:val="white"/>
        </w:rPr>
      </w:pPr>
      <w:r w:rsidDel="00000000" w:rsidR="00000000" w:rsidRPr="00000000">
        <w:rPr>
          <w:color w:val="222222"/>
          <w:highlight w:val="white"/>
          <w:rtl w:val="0"/>
        </w:rPr>
        <w:t xml:space="preserve">This results section will contain results from an interview conducted with an experienced staff member about lesson beginnings and readiness to learn, observations obtained from the observation schedule used in the allocated research time, and questionnaire results from learner participants. This section will discuss the data, and the researcher will reflect on how it links to previous literature and the research question. </w:t>
      </w:r>
    </w:p>
    <w:p w:rsidR="00000000" w:rsidDel="00000000" w:rsidP="00000000" w:rsidRDefault="00000000" w:rsidRPr="00000000" w14:paraId="00000065">
      <w:pPr>
        <w:spacing w:after="240" w:before="240" w:line="480" w:lineRule="auto"/>
        <w:jc w:val="center"/>
        <w:rPr>
          <w:color w:val="222222"/>
          <w:highlight w:val="white"/>
        </w:rPr>
      </w:pPr>
      <w:r w:rsidDel="00000000" w:rsidR="00000000" w:rsidRPr="00000000">
        <w:rPr>
          <w:color w:val="222222"/>
          <w:highlight w:val="white"/>
          <w:rtl w:val="0"/>
        </w:rPr>
        <w:t xml:space="preserve">Interview </w:t>
      </w:r>
    </w:p>
    <w:p w:rsidR="00000000" w:rsidDel="00000000" w:rsidP="00000000" w:rsidRDefault="00000000" w:rsidRPr="00000000" w14:paraId="00000066">
      <w:pPr>
        <w:spacing w:after="240" w:before="240" w:line="480" w:lineRule="auto"/>
        <w:rPr>
          <w:color w:val="222222"/>
          <w:highlight w:val="white"/>
        </w:rPr>
      </w:pPr>
      <w:r w:rsidDel="00000000" w:rsidR="00000000" w:rsidRPr="00000000">
        <w:rPr>
          <w:color w:val="222222"/>
          <w:highlight w:val="white"/>
          <w:rtl w:val="0"/>
        </w:rPr>
        <w:t xml:space="preserve">The interview consisted of five open questions (see appendices for interview questions). Several key findings emerged regarding the use of starter activities, their effectiveness in engaging learners, and their impact on behaviour and engagement. </w:t>
      </w:r>
    </w:p>
    <w:p w:rsidR="00000000" w:rsidDel="00000000" w:rsidP="00000000" w:rsidRDefault="00000000" w:rsidRPr="00000000" w14:paraId="00000067">
      <w:pPr>
        <w:spacing w:after="240" w:before="240" w:line="480" w:lineRule="auto"/>
        <w:rPr>
          <w:color w:val="222222"/>
          <w:highlight w:val="white"/>
        </w:rPr>
      </w:pPr>
      <w:r w:rsidDel="00000000" w:rsidR="00000000" w:rsidRPr="00000000">
        <w:rPr>
          <w:color w:val="222222"/>
          <w:highlight w:val="white"/>
          <w:rtl w:val="0"/>
        </w:rPr>
        <w:t xml:space="preserve">The staff member described how the school employs a ‘door, desk, do now’ as a lesson-beginning routine inspired by Lemov (2010). The routine involves greeting learners at the door for a well-being check, a seating plan, and the completion of a quick, engaging independent task on the board. This routine provides structure and consistency, aligning with the previously mentioned literature by Stanchfield (2018). It was also noted that pupil and parental voices highlighted the need for structure in the class to "cope" with integrating back into school. </w:t>
      </w:r>
    </w:p>
    <w:p w:rsidR="00000000" w:rsidDel="00000000" w:rsidP="00000000" w:rsidRDefault="00000000" w:rsidRPr="00000000" w14:paraId="00000068">
      <w:pPr>
        <w:spacing w:after="240" w:before="240" w:line="480" w:lineRule="auto"/>
        <w:rPr>
          <w:color w:val="222222"/>
          <w:highlight w:val="white"/>
        </w:rPr>
      </w:pPr>
      <w:r w:rsidDel="00000000" w:rsidR="00000000" w:rsidRPr="00000000">
        <w:rPr>
          <w:color w:val="222222"/>
          <w:highlight w:val="white"/>
          <w:rtl w:val="0"/>
        </w:rPr>
        <w:t xml:space="preserve">Answering question 3, starter activities were found to significantly reduce behaviour incidents (37%) and learner defiance at the beginning of lessons due to the embedded routine. The interviewee acknowledged the challenges of a whole school approach to starter activities, such as maintaining consistency and prompt delivery across the school; this limitation is shared by Wehmeyer, Agran, &amp; Hughes (2000), who consider the starter activity the most challenging part of the lesson plan. However, organisation and preparation were highlighted as key ways to combat this. The school favours the use of simple ‘do now’ tasks to recall prior learning or introduce new concepts. While mindfulness techniques are not yet used in the school, the interviewee expressed openness to purposeful implementation, particularly after lunch or during the last lesson when learners are most dysregulated. </w:t>
      </w:r>
    </w:p>
    <w:p w:rsidR="00000000" w:rsidDel="00000000" w:rsidP="00000000" w:rsidRDefault="00000000" w:rsidRPr="00000000" w14:paraId="00000069">
      <w:pPr>
        <w:spacing w:after="240" w:before="240" w:line="480" w:lineRule="auto"/>
        <w:rPr>
          <w:color w:val="222222"/>
          <w:highlight w:val="white"/>
        </w:rPr>
      </w:pPr>
      <w:r w:rsidDel="00000000" w:rsidR="00000000" w:rsidRPr="00000000">
        <w:rPr>
          <w:color w:val="222222"/>
          <w:highlight w:val="white"/>
          <w:rtl w:val="0"/>
        </w:rPr>
        <w:t xml:space="preserve">Overall, the interview findings highlight the positive impact of structured starter activities on learner engagement and behaviour. It also highlights how mindfulness techniques could be implemented purposefully at distinct times of the day to positively impact learners' readiness to learn. </w:t>
      </w:r>
    </w:p>
    <w:p w:rsidR="00000000" w:rsidDel="00000000" w:rsidP="00000000" w:rsidRDefault="00000000" w:rsidRPr="00000000" w14:paraId="0000006A">
      <w:pPr>
        <w:spacing w:after="240" w:before="240" w:line="480" w:lineRule="auto"/>
        <w:rPr>
          <w:color w:val="222222"/>
          <w:highlight w:val="white"/>
        </w:rPr>
      </w:pPr>
      <w:r w:rsidDel="00000000" w:rsidR="00000000" w:rsidRPr="00000000">
        <w:rPr>
          <w:rtl w:val="0"/>
        </w:rPr>
      </w:r>
    </w:p>
    <w:p w:rsidR="00000000" w:rsidDel="00000000" w:rsidP="00000000" w:rsidRDefault="00000000" w:rsidRPr="00000000" w14:paraId="0000006B">
      <w:pPr>
        <w:spacing w:after="240" w:before="240" w:line="480" w:lineRule="auto"/>
        <w:jc w:val="center"/>
        <w:rPr>
          <w:color w:val="222222"/>
          <w:highlight w:val="white"/>
        </w:rPr>
      </w:pPr>
      <w:r w:rsidDel="00000000" w:rsidR="00000000" w:rsidRPr="00000000">
        <w:rPr>
          <w:color w:val="222222"/>
          <w:highlight w:val="white"/>
          <w:rtl w:val="0"/>
        </w:rPr>
        <w:t xml:space="preserve">Observation </w:t>
      </w:r>
    </w:p>
    <w:p w:rsidR="00000000" w:rsidDel="00000000" w:rsidP="00000000" w:rsidRDefault="00000000" w:rsidRPr="00000000" w14:paraId="0000006C">
      <w:pPr>
        <w:spacing w:after="240" w:before="240" w:line="480" w:lineRule="auto"/>
        <w:rPr>
          <w:color w:val="222222"/>
          <w:highlight w:val="white"/>
        </w:rPr>
      </w:pPr>
      <w:r w:rsidDel="00000000" w:rsidR="00000000" w:rsidRPr="00000000">
        <w:rPr>
          <w:color w:val="222222"/>
          <w:highlight w:val="white"/>
          <w:rtl w:val="0"/>
        </w:rPr>
        <w:t xml:space="preserve"> Using an observation schedule, the sample was observed for 15 minutes, focusing on three key phases: learners entering the class (before the intervention), engaging in the mindfulness activity (during), and their readiness to learn in the lesson (after). Before the intervention, all 5 participants entered the lesson in a dysregulated state, with varying levels of engagement and 2 showing off-task behaviour. During the mindfulness activity, behaviours ranged from calmly drawing to rushed completion, possibly reflecting individual differences in regulation or personality. Following the activity, participant observations showed varying levels of engagement and calmness. Three participants exhibited sustained attention, while two needed prompts to stay on task.</w:t>
      </w:r>
    </w:p>
    <w:p w:rsidR="00000000" w:rsidDel="00000000" w:rsidP="00000000" w:rsidRDefault="00000000" w:rsidRPr="00000000" w14:paraId="0000006D">
      <w:pPr>
        <w:spacing w:after="240" w:before="240" w:line="480" w:lineRule="auto"/>
        <w:rPr>
          <w:color w:val="222222"/>
          <w:highlight w:val="white"/>
        </w:rPr>
      </w:pPr>
      <w:r w:rsidDel="00000000" w:rsidR="00000000" w:rsidRPr="00000000">
        <w:rPr>
          <w:color w:val="222222"/>
          <w:highlight w:val="white"/>
          <w:rtl w:val="0"/>
        </w:rPr>
        <w:t xml:space="preserve">These findings suggest the potential positive impact of mindfulness activities on readiness to learn. Some participants' initial challenges in emotion regulation may stem from a lack of understanding of mindfulness techniques. Additionally, embedded routines like "do nows" may have hindered receptiveness to new interventions. Further analysis or a multiple-case study would be needed to explore the long-term impacts of continued mindfulness based starter activities on learners' readiness to learn. It is recommended that a multiple-case study be used to explore effects, as it gives more reliable observations (Heale and Twycross, 2018).</w:t>
      </w:r>
    </w:p>
    <w:p w:rsidR="00000000" w:rsidDel="00000000" w:rsidP="00000000" w:rsidRDefault="00000000" w:rsidRPr="00000000" w14:paraId="0000006E">
      <w:pPr>
        <w:spacing w:after="240" w:before="240" w:line="480" w:lineRule="auto"/>
        <w:jc w:val="center"/>
        <w:rPr>
          <w:color w:val="222222"/>
          <w:highlight w:val="white"/>
        </w:rPr>
      </w:pPr>
      <w:r w:rsidDel="00000000" w:rsidR="00000000" w:rsidRPr="00000000">
        <w:rPr>
          <w:color w:val="222222"/>
          <w:highlight w:val="white"/>
          <w:rtl w:val="0"/>
        </w:rPr>
        <w:t xml:space="preserve">Questionnaire </w:t>
      </w:r>
    </w:p>
    <w:p w:rsidR="00000000" w:rsidDel="00000000" w:rsidP="00000000" w:rsidRDefault="00000000" w:rsidRPr="00000000" w14:paraId="0000006F">
      <w:pPr>
        <w:spacing w:after="240" w:before="240" w:line="480" w:lineRule="auto"/>
        <w:rPr>
          <w:color w:val="222222"/>
          <w:highlight w:val="white"/>
        </w:rPr>
      </w:pPr>
      <w:r w:rsidDel="00000000" w:rsidR="00000000" w:rsidRPr="00000000">
        <w:rPr>
          <w:color w:val="222222"/>
          <w:highlight w:val="white"/>
          <w:rtl w:val="0"/>
        </w:rPr>
        <w:t xml:space="preserve"> The key findings from the pupil questionnaire are: </w:t>
      </w:r>
    </w:p>
    <w:p w:rsidR="00000000" w:rsidDel="00000000" w:rsidP="00000000" w:rsidRDefault="00000000" w:rsidRPr="00000000" w14:paraId="00000070">
      <w:pPr>
        <w:numPr>
          <w:ilvl w:val="0"/>
          <w:numId w:val="1"/>
        </w:numPr>
        <w:spacing w:after="0" w:afterAutospacing="0" w:before="240" w:line="480" w:lineRule="auto"/>
        <w:ind w:left="720" w:hanging="360"/>
        <w:rPr>
          <w:highlight w:val="white"/>
        </w:rPr>
      </w:pPr>
      <w:r w:rsidDel="00000000" w:rsidR="00000000" w:rsidRPr="00000000">
        <w:rPr>
          <w:color w:val="222222"/>
          <w:highlight w:val="white"/>
          <w:rtl w:val="0"/>
        </w:rPr>
        <w:t xml:space="preserve">4/5 of the learners correctly described mindfulness, mentioning concepts such as 'being in the moment'  and providing examples of mindfulness techniques, while 1 expressed uncertainty. </w:t>
      </w:r>
    </w:p>
    <w:p w:rsidR="00000000" w:rsidDel="00000000" w:rsidP="00000000" w:rsidRDefault="00000000" w:rsidRPr="00000000" w14:paraId="00000071">
      <w:pPr>
        <w:numPr>
          <w:ilvl w:val="0"/>
          <w:numId w:val="1"/>
        </w:numPr>
        <w:spacing w:after="0" w:afterAutospacing="0" w:before="0" w:beforeAutospacing="0" w:line="480" w:lineRule="auto"/>
        <w:ind w:left="720" w:hanging="360"/>
        <w:rPr>
          <w:highlight w:val="white"/>
        </w:rPr>
      </w:pPr>
      <w:r w:rsidDel="00000000" w:rsidR="00000000" w:rsidRPr="00000000">
        <w:rPr>
          <w:color w:val="222222"/>
          <w:highlight w:val="white"/>
          <w:rtl w:val="0"/>
        </w:rPr>
        <w:t xml:space="preserve">All learners demonstrated understanding of readiness to learn, using words like ‘focused’ and'ready'. </w:t>
      </w:r>
    </w:p>
    <w:p w:rsidR="00000000" w:rsidDel="00000000" w:rsidP="00000000" w:rsidRDefault="00000000" w:rsidRPr="00000000" w14:paraId="00000072">
      <w:pPr>
        <w:numPr>
          <w:ilvl w:val="0"/>
          <w:numId w:val="1"/>
        </w:numPr>
        <w:spacing w:after="0" w:afterAutospacing="0" w:before="0" w:beforeAutospacing="0" w:line="480" w:lineRule="auto"/>
        <w:ind w:left="720" w:hanging="360"/>
        <w:rPr>
          <w:highlight w:val="white"/>
        </w:rPr>
      </w:pPr>
      <w:r w:rsidDel="00000000" w:rsidR="00000000" w:rsidRPr="00000000">
        <w:rPr>
          <w:color w:val="222222"/>
          <w:highlight w:val="white"/>
          <w:rtl w:val="0"/>
        </w:rPr>
        <w:t xml:space="preserve">Upon entry, all learners indicated feeling somewhat ready to learn, with emotional responses ranging from "fine" to "okay." After the activity, there was a mixture of ‘relaxed’ and ‘calm’ feelings.</w:t>
      </w:r>
    </w:p>
    <w:p w:rsidR="00000000" w:rsidDel="00000000" w:rsidP="00000000" w:rsidRDefault="00000000" w:rsidRPr="00000000" w14:paraId="00000073">
      <w:pPr>
        <w:numPr>
          <w:ilvl w:val="0"/>
          <w:numId w:val="1"/>
        </w:numPr>
        <w:spacing w:after="240" w:before="0" w:beforeAutospacing="0" w:line="480" w:lineRule="auto"/>
        <w:ind w:left="720" w:hanging="360"/>
        <w:rPr>
          <w:highlight w:val="white"/>
        </w:rPr>
      </w:pPr>
      <w:r w:rsidDel="00000000" w:rsidR="00000000" w:rsidRPr="00000000">
        <w:rPr>
          <w:color w:val="222222"/>
          <w:highlight w:val="white"/>
          <w:rtl w:val="0"/>
        </w:rPr>
        <w:t xml:space="preserve">4 learners expressed a preference for relaxing before starting the lesson (completing the mindfulness activity), while 1 preferred to begin lesson content straight away (do now regular routine).</w:t>
      </w:r>
    </w:p>
    <w:p w:rsidR="00000000" w:rsidDel="00000000" w:rsidP="00000000" w:rsidRDefault="00000000" w:rsidRPr="00000000" w14:paraId="00000074">
      <w:pPr>
        <w:spacing w:after="240" w:before="240" w:line="480" w:lineRule="auto"/>
        <w:rPr>
          <w:color w:val="222222"/>
          <w:highlight w:val="white"/>
        </w:rPr>
      </w:pPr>
      <w:r w:rsidDel="00000000" w:rsidR="00000000" w:rsidRPr="00000000">
        <w:rPr>
          <w:color w:val="222222"/>
          <w:highlight w:val="white"/>
          <w:rtl w:val="0"/>
        </w:rPr>
        <w:t xml:space="preserve"> These results suggest that participants have an understanding of mindfulness and are ready to learn after the activity. The answers given suggest that most learners enjoyed the activity and had a positive impact on their readiness to learn, as observed in the observation of on-task behaviour. </w:t>
      </w:r>
    </w:p>
    <w:p w:rsidR="00000000" w:rsidDel="00000000" w:rsidP="00000000" w:rsidRDefault="00000000" w:rsidRPr="00000000" w14:paraId="00000075">
      <w:pPr>
        <w:spacing w:after="240" w:before="240" w:line="480" w:lineRule="auto"/>
        <w:rPr>
          <w:color w:val="222222"/>
          <w:highlight w:val="white"/>
        </w:rPr>
      </w:pPr>
      <w:r w:rsidDel="00000000" w:rsidR="00000000" w:rsidRPr="00000000">
        <w:rPr>
          <w:color w:val="222222"/>
          <w:highlight w:val="white"/>
          <w:rtl w:val="0"/>
        </w:rPr>
        <w:t xml:space="preserve">There is a recurring theme in all of the results from each method: lesson beginnings need structure, and the well-being of learners is very important for learning to occur. There is a theme: starter activities are effective in the classroom, and mindfulness-based intervention has promising positive impacts. Yet, further exploration is needed to investigate how incorporating and teaching mindfulness practices could have the desired positive impacts of regulating behaviour through mindfulness-based starter activities. </w:t>
      </w:r>
    </w:p>
    <w:p w:rsidR="00000000" w:rsidDel="00000000" w:rsidP="00000000" w:rsidRDefault="00000000" w:rsidRPr="00000000" w14:paraId="00000076">
      <w:pPr>
        <w:rPr>
          <w:color w:val="222222"/>
          <w:highlight w:val="white"/>
        </w:rPr>
      </w:pPr>
      <w:r w:rsidDel="00000000" w:rsidR="00000000" w:rsidRPr="00000000">
        <w:rPr>
          <w:rtl w:val="0"/>
        </w:rPr>
      </w:r>
    </w:p>
    <w:p w:rsidR="00000000" w:rsidDel="00000000" w:rsidP="00000000" w:rsidRDefault="00000000" w:rsidRPr="00000000" w14:paraId="00000077">
      <w:pPr>
        <w:rPr>
          <w:color w:val="222222"/>
          <w:sz w:val="20"/>
          <w:szCs w:val="20"/>
          <w:highlight w:val="white"/>
        </w:rPr>
      </w:pPr>
      <w:r w:rsidDel="00000000" w:rsidR="00000000" w:rsidRPr="00000000">
        <w:rPr>
          <w:rtl w:val="0"/>
        </w:rPr>
      </w:r>
    </w:p>
    <w:p w:rsidR="00000000" w:rsidDel="00000000" w:rsidP="00000000" w:rsidRDefault="00000000" w:rsidRPr="00000000" w14:paraId="00000078">
      <w:pPr>
        <w:rPr>
          <w:color w:val="222222"/>
          <w:sz w:val="20"/>
          <w:szCs w:val="20"/>
          <w:highlight w:val="white"/>
        </w:rPr>
      </w:pPr>
      <w:r w:rsidDel="00000000" w:rsidR="00000000" w:rsidRPr="00000000">
        <w:rPr>
          <w:rtl w:val="0"/>
        </w:rPr>
      </w:r>
    </w:p>
    <w:p w:rsidR="00000000" w:rsidDel="00000000" w:rsidP="00000000" w:rsidRDefault="00000000" w:rsidRPr="00000000" w14:paraId="00000079">
      <w:pPr>
        <w:rPr>
          <w:b w:val="1"/>
          <w:color w:val="222222"/>
          <w:sz w:val="20"/>
          <w:szCs w:val="20"/>
          <w:highlight w:val="white"/>
        </w:rPr>
      </w:pPr>
      <w:r w:rsidDel="00000000" w:rsidR="00000000" w:rsidRPr="00000000">
        <w:rPr>
          <w:b w:val="1"/>
          <w:color w:val="222222"/>
          <w:sz w:val="20"/>
          <w:szCs w:val="20"/>
          <w:highlight w:val="white"/>
          <w:rtl w:val="0"/>
        </w:rPr>
        <w:t xml:space="preserve">Conclusions </w:t>
      </w:r>
    </w:p>
    <w:p w:rsidR="00000000" w:rsidDel="00000000" w:rsidP="00000000" w:rsidRDefault="00000000" w:rsidRPr="00000000" w14:paraId="0000007A">
      <w:pPr>
        <w:rPr>
          <w:color w:val="222222"/>
          <w:sz w:val="20"/>
          <w:szCs w:val="20"/>
          <w:highlight w:val="white"/>
        </w:rPr>
      </w:pPr>
      <w:r w:rsidDel="00000000" w:rsidR="00000000" w:rsidRPr="00000000">
        <w:rPr>
          <w:rtl w:val="0"/>
        </w:rPr>
      </w:r>
    </w:p>
    <w:p w:rsidR="00000000" w:rsidDel="00000000" w:rsidP="00000000" w:rsidRDefault="00000000" w:rsidRPr="00000000" w14:paraId="0000007B">
      <w:pPr>
        <w:spacing w:after="240" w:before="240" w:line="480" w:lineRule="auto"/>
        <w:rPr>
          <w:color w:val="222222"/>
          <w:sz w:val="20"/>
          <w:szCs w:val="20"/>
          <w:highlight w:val="white"/>
        </w:rPr>
      </w:pPr>
      <w:r w:rsidDel="00000000" w:rsidR="00000000" w:rsidRPr="00000000">
        <w:rPr>
          <w:color w:val="222222"/>
          <w:sz w:val="20"/>
          <w:szCs w:val="20"/>
          <w:highlight w:val="white"/>
          <w:rtl w:val="0"/>
        </w:rPr>
        <w:t xml:space="preserve">After comparing the data through a thematic analysis and looking for patterns between the interview, observation, and questionnaire data, a consistent theme was discovered. The recurring theme from this research is that structured starter activities and mindfulness interventions positively impact learner engagement and readiness to learn. The results suggest that integrating mindfulness based starter activities into lesson beginnings holds potential for a positive impact on learners' readiness to learn. However, future research should explore the long-term impacts of mindfulness practices on emotional well-being and readiness to learn among diverse learner populations to increase the reliability and validity of the findings. </w:t>
      </w:r>
    </w:p>
    <w:p w:rsidR="00000000" w:rsidDel="00000000" w:rsidP="00000000" w:rsidRDefault="00000000" w:rsidRPr="00000000" w14:paraId="0000007C">
      <w:pPr>
        <w:spacing w:after="240" w:before="240" w:line="480" w:lineRule="auto"/>
        <w:rPr>
          <w:color w:val="222222"/>
          <w:sz w:val="20"/>
          <w:szCs w:val="20"/>
          <w:highlight w:val="white"/>
        </w:rPr>
      </w:pPr>
      <w:r w:rsidDel="00000000" w:rsidR="00000000" w:rsidRPr="00000000">
        <w:rPr>
          <w:color w:val="222222"/>
          <w:sz w:val="20"/>
          <w:szCs w:val="20"/>
          <w:highlight w:val="white"/>
          <w:rtl w:val="0"/>
        </w:rPr>
        <w:t xml:space="preserve">While the study highlights the potential benefits of mindfulness based started activities, it's crucial to consider the ongoing effectiveness of traditional "do now" activities. Moreover, the study acknowledges limitations, such as the need for sustained mindfulness teaching and understanding among learners so that the mindfulness elements are purposeful. Despite these limitations, findings suggest a positive impact on learners' readiness to learn, particularly in regulating emotions and creating calmness. In conclusion, structured lesson beginnings are vital for learner readiness, with mindfulness-based activities showing promise to positively impact the emotional readiness component of readiness to learn, especially during dysregulatory times in the school day.</w:t>
      </w:r>
    </w:p>
    <w:p w:rsidR="00000000" w:rsidDel="00000000" w:rsidP="00000000" w:rsidRDefault="00000000" w:rsidRPr="00000000" w14:paraId="0000007D">
      <w:pPr>
        <w:rPr>
          <w:color w:val="222222"/>
          <w:sz w:val="20"/>
          <w:szCs w:val="20"/>
          <w:highlight w:val="white"/>
        </w:rPr>
      </w:pPr>
      <w:r w:rsidDel="00000000" w:rsidR="00000000" w:rsidRPr="00000000">
        <w:rPr>
          <w:rtl w:val="0"/>
        </w:rPr>
      </w:r>
    </w:p>
    <w:p w:rsidR="00000000" w:rsidDel="00000000" w:rsidP="00000000" w:rsidRDefault="00000000" w:rsidRPr="00000000" w14:paraId="0000007E">
      <w:pPr>
        <w:rPr>
          <w:b w:val="1"/>
          <w:color w:val="222222"/>
          <w:sz w:val="20"/>
          <w:szCs w:val="20"/>
          <w:highlight w:val="white"/>
        </w:rPr>
      </w:pPr>
      <w:r w:rsidDel="00000000" w:rsidR="00000000" w:rsidRPr="00000000">
        <w:rPr>
          <w:b w:val="1"/>
          <w:color w:val="222222"/>
          <w:sz w:val="20"/>
          <w:szCs w:val="20"/>
          <w:highlight w:val="white"/>
          <w:rtl w:val="0"/>
        </w:rPr>
        <w:t xml:space="preserve">Recommendations </w:t>
      </w:r>
    </w:p>
    <w:p w:rsidR="00000000" w:rsidDel="00000000" w:rsidP="00000000" w:rsidRDefault="00000000" w:rsidRPr="00000000" w14:paraId="0000007F">
      <w:pPr>
        <w:rPr>
          <w:b w:val="1"/>
          <w:color w:val="222222"/>
          <w:sz w:val="20"/>
          <w:szCs w:val="20"/>
          <w:highlight w:val="white"/>
        </w:rPr>
      </w:pPr>
      <w:r w:rsidDel="00000000" w:rsidR="00000000" w:rsidRPr="00000000">
        <w:rPr>
          <w:rtl w:val="0"/>
        </w:rPr>
      </w:r>
    </w:p>
    <w:p w:rsidR="00000000" w:rsidDel="00000000" w:rsidP="00000000" w:rsidRDefault="00000000" w:rsidRPr="00000000" w14:paraId="00000080">
      <w:pPr>
        <w:spacing w:after="240" w:before="240" w:line="480" w:lineRule="auto"/>
        <w:rPr>
          <w:color w:val="222222"/>
          <w:sz w:val="20"/>
          <w:szCs w:val="20"/>
          <w:highlight w:val="white"/>
        </w:rPr>
      </w:pPr>
      <w:r w:rsidDel="00000000" w:rsidR="00000000" w:rsidRPr="00000000">
        <w:rPr>
          <w:color w:val="222222"/>
          <w:sz w:val="20"/>
          <w:szCs w:val="20"/>
          <w:highlight w:val="white"/>
          <w:rtl w:val="0"/>
        </w:rPr>
        <w:t xml:space="preserve">A key recommendation of this study is to further study this phenomenon in order to establish a clearer correlation between mindfulness interventions and learners' readiness to learn. To do this, a multiple-case study method would be recommended. Gaining a multitude of observations will allow the researcher to better identify recurring themes and patterns between mindfulness-based starter activities and learners' readiness to learn.  </w:t>
      </w:r>
    </w:p>
    <w:p w:rsidR="00000000" w:rsidDel="00000000" w:rsidP="00000000" w:rsidRDefault="00000000" w:rsidRPr="00000000" w14:paraId="00000081">
      <w:pPr>
        <w:spacing w:after="240" w:before="240" w:line="480" w:lineRule="auto"/>
        <w:rPr>
          <w:color w:val="222222"/>
          <w:sz w:val="20"/>
          <w:szCs w:val="20"/>
          <w:highlight w:val="white"/>
        </w:rPr>
      </w:pPr>
      <w:r w:rsidDel="00000000" w:rsidR="00000000" w:rsidRPr="00000000">
        <w:rPr>
          <w:color w:val="222222"/>
          <w:sz w:val="20"/>
          <w:szCs w:val="20"/>
          <w:highlight w:val="white"/>
          <w:rtl w:val="0"/>
        </w:rPr>
        <w:t xml:space="preserve">Future studies should aim to test mindfulness-based starter activities at various times of the day, particularly after breaks or lunch, to explore the potential impacts when learners are most dysregulated.  </w:t>
      </w:r>
    </w:p>
    <w:p w:rsidR="00000000" w:rsidDel="00000000" w:rsidP="00000000" w:rsidRDefault="00000000" w:rsidRPr="00000000" w14:paraId="00000082">
      <w:pPr>
        <w:spacing w:after="240" w:before="240" w:line="480" w:lineRule="auto"/>
        <w:rPr>
          <w:color w:val="222222"/>
          <w:sz w:val="20"/>
          <w:szCs w:val="20"/>
          <w:highlight w:val="white"/>
        </w:rPr>
      </w:pPr>
      <w:r w:rsidDel="00000000" w:rsidR="00000000" w:rsidRPr="00000000">
        <w:rPr>
          <w:color w:val="222222"/>
          <w:sz w:val="20"/>
          <w:szCs w:val="20"/>
          <w:highlight w:val="white"/>
          <w:rtl w:val="0"/>
        </w:rPr>
        <w:t xml:space="preserve">Additionally, expanding the sample size would enhance the study's generalisability and combat the study’s limitations of a small, unrepresentative sample. It would be suggested to deliver the mindfulness-based starter activity and observe the effects across a KS3-year group rather than just one class. </w:t>
      </w:r>
    </w:p>
    <w:p w:rsidR="00000000" w:rsidDel="00000000" w:rsidP="00000000" w:rsidRDefault="00000000" w:rsidRPr="00000000" w14:paraId="00000083">
      <w:pPr>
        <w:spacing w:after="240" w:before="240" w:line="480" w:lineRule="auto"/>
        <w:rPr>
          <w:color w:val="222222"/>
          <w:sz w:val="20"/>
          <w:szCs w:val="20"/>
          <w:highlight w:val="white"/>
        </w:rPr>
      </w:pPr>
      <w:r w:rsidDel="00000000" w:rsidR="00000000" w:rsidRPr="00000000">
        <w:rPr>
          <w:color w:val="222222"/>
          <w:sz w:val="20"/>
          <w:szCs w:val="20"/>
          <w:highlight w:val="white"/>
          <w:rtl w:val="0"/>
        </w:rPr>
        <w:t xml:space="preserve">These recommendations aim to deepen understanding of how mindfulness-based activities can be strategically integrated into lesson beginnings to optimise learner readiness and engagement.</w:t>
      </w:r>
    </w:p>
    <w:p w:rsidR="00000000" w:rsidDel="00000000" w:rsidP="00000000" w:rsidRDefault="00000000" w:rsidRPr="00000000" w14:paraId="00000084">
      <w:pPr>
        <w:rPr>
          <w:color w:val="222222"/>
          <w:sz w:val="20"/>
          <w:szCs w:val="20"/>
          <w:highlight w:val="white"/>
        </w:rPr>
      </w:pPr>
      <w:r w:rsidDel="00000000" w:rsidR="00000000" w:rsidRPr="00000000">
        <w:rPr>
          <w:rtl w:val="0"/>
        </w:rPr>
      </w:r>
    </w:p>
    <w:p w:rsidR="00000000" w:rsidDel="00000000" w:rsidP="00000000" w:rsidRDefault="00000000" w:rsidRPr="00000000" w14:paraId="00000085">
      <w:pPr>
        <w:rPr>
          <w:color w:val="222222"/>
          <w:sz w:val="20"/>
          <w:szCs w:val="20"/>
          <w:highlight w:val="white"/>
        </w:rPr>
      </w:pPr>
      <w:r w:rsidDel="00000000" w:rsidR="00000000" w:rsidRPr="00000000">
        <w:rPr>
          <w:rtl w:val="0"/>
        </w:rPr>
      </w:r>
    </w:p>
    <w:p w:rsidR="00000000" w:rsidDel="00000000" w:rsidP="00000000" w:rsidRDefault="00000000" w:rsidRPr="00000000" w14:paraId="00000086">
      <w:pPr>
        <w:rPr>
          <w:color w:val="222222"/>
          <w:sz w:val="20"/>
          <w:szCs w:val="20"/>
          <w:highlight w:val="white"/>
        </w:rPr>
      </w:pPr>
      <w:r w:rsidDel="00000000" w:rsidR="00000000" w:rsidRPr="00000000">
        <w:rPr>
          <w:rtl w:val="0"/>
        </w:rPr>
      </w:r>
    </w:p>
    <w:p w:rsidR="00000000" w:rsidDel="00000000" w:rsidP="00000000" w:rsidRDefault="00000000" w:rsidRPr="00000000" w14:paraId="00000087">
      <w:pPr>
        <w:rPr>
          <w:color w:val="222222"/>
          <w:sz w:val="20"/>
          <w:szCs w:val="20"/>
          <w:highlight w:val="white"/>
        </w:rPr>
      </w:pPr>
      <w:r w:rsidDel="00000000" w:rsidR="00000000" w:rsidRPr="00000000">
        <w:rPr>
          <w:rtl w:val="0"/>
        </w:rPr>
      </w:r>
    </w:p>
    <w:p w:rsidR="00000000" w:rsidDel="00000000" w:rsidP="00000000" w:rsidRDefault="00000000" w:rsidRPr="00000000" w14:paraId="00000088">
      <w:pPr>
        <w:rPr>
          <w:color w:val="222222"/>
          <w:sz w:val="20"/>
          <w:szCs w:val="20"/>
          <w:highlight w:val="white"/>
        </w:rPr>
      </w:pPr>
      <w:r w:rsidDel="00000000" w:rsidR="00000000" w:rsidRPr="00000000">
        <w:rPr>
          <w:b w:val="1"/>
          <w:color w:val="222222"/>
          <w:sz w:val="20"/>
          <w:szCs w:val="20"/>
          <w:highlight w:val="white"/>
          <w:rtl w:val="0"/>
        </w:rPr>
        <w:t xml:space="preserve">References</w:t>
      </w:r>
      <w:r w:rsidDel="00000000" w:rsidR="00000000" w:rsidRPr="00000000">
        <w:rPr>
          <w:rtl w:val="0"/>
        </w:rPr>
      </w:r>
    </w:p>
    <w:p w:rsidR="00000000" w:rsidDel="00000000" w:rsidP="00000000" w:rsidRDefault="00000000" w:rsidRPr="00000000" w14:paraId="00000089">
      <w:pPr>
        <w:rPr>
          <w:color w:val="222222"/>
          <w:sz w:val="20"/>
          <w:szCs w:val="20"/>
          <w:highlight w:val="white"/>
        </w:rPr>
      </w:pPr>
      <w:r w:rsidDel="00000000" w:rsidR="00000000" w:rsidRPr="00000000">
        <w:rPr>
          <w:rtl w:val="0"/>
        </w:rPr>
      </w:r>
    </w:p>
    <w:p w:rsidR="00000000" w:rsidDel="00000000" w:rsidP="00000000" w:rsidRDefault="00000000" w:rsidRPr="00000000" w14:paraId="0000008A">
      <w:pPr>
        <w:spacing w:line="480" w:lineRule="auto"/>
        <w:ind w:left="720" w:firstLine="0"/>
        <w:rPr/>
      </w:pPr>
      <w:r w:rsidDel="00000000" w:rsidR="00000000" w:rsidRPr="00000000">
        <w:rPr>
          <w:rtl w:val="0"/>
        </w:rPr>
        <w:t xml:space="preserve">Agustiani, I.W.D., Gumartifa, A.G. and Yaman, H.Y. (2022). Readiness To Learn: Principles. Contributing Factors And How It Affects Learning. English Community Journal, 5(2), pp.102-119.</w:t>
      </w:r>
    </w:p>
    <w:p w:rsidR="00000000" w:rsidDel="00000000" w:rsidP="00000000" w:rsidRDefault="00000000" w:rsidRPr="00000000" w14:paraId="0000008B">
      <w:pPr>
        <w:spacing w:line="480" w:lineRule="auto"/>
        <w:ind w:left="720" w:firstLine="0"/>
        <w:rPr/>
      </w:pPr>
      <w:r w:rsidDel="00000000" w:rsidR="00000000" w:rsidRPr="00000000">
        <w:rPr>
          <w:rtl w:val="0"/>
        </w:rPr>
      </w:r>
    </w:p>
    <w:p w:rsidR="00000000" w:rsidDel="00000000" w:rsidP="00000000" w:rsidRDefault="00000000" w:rsidRPr="00000000" w14:paraId="0000008C">
      <w:pPr>
        <w:spacing w:line="480" w:lineRule="auto"/>
        <w:ind w:left="720" w:firstLine="0"/>
        <w:rPr/>
      </w:pPr>
      <w:r w:rsidDel="00000000" w:rsidR="00000000" w:rsidRPr="00000000">
        <w:rPr>
          <w:rtl w:val="0"/>
        </w:rPr>
        <w:t xml:space="preserve">Algozzine, B., Browder, D., Karvonen, M., Test, D.W. and Wood, W.M. (2001). Effects of interventions to promote self-determination for individuals with disabilities. Review of Educational Research, 71(2), pp.219-277.</w:t>
      </w:r>
    </w:p>
    <w:p w:rsidR="00000000" w:rsidDel="00000000" w:rsidP="00000000" w:rsidRDefault="00000000" w:rsidRPr="00000000" w14:paraId="0000008D">
      <w:pPr>
        <w:spacing w:line="480" w:lineRule="auto"/>
        <w:ind w:left="720" w:firstLine="0"/>
        <w:rPr/>
      </w:pPr>
      <w:r w:rsidDel="00000000" w:rsidR="00000000" w:rsidRPr="00000000">
        <w:rPr>
          <w:rtl w:val="0"/>
        </w:rPr>
      </w:r>
    </w:p>
    <w:p w:rsidR="00000000" w:rsidDel="00000000" w:rsidP="00000000" w:rsidRDefault="00000000" w:rsidRPr="00000000" w14:paraId="0000008E">
      <w:pPr>
        <w:spacing w:line="480" w:lineRule="auto"/>
        <w:ind w:left="720" w:firstLine="0"/>
        <w:rPr/>
      </w:pPr>
      <w:r w:rsidDel="00000000" w:rsidR="00000000" w:rsidRPr="00000000">
        <w:rPr>
          <w:rtl w:val="0"/>
        </w:rPr>
        <w:t xml:space="preserve">Alston, S. (2023). Supporting transitions within the School Day, Headteacher update. Available at: https://www.headteacher-update.com/content/best-practice/supporting-transitions-within-the-school-day/ (Accessed: 25 April 2024).</w:t>
      </w:r>
    </w:p>
    <w:p w:rsidR="00000000" w:rsidDel="00000000" w:rsidP="00000000" w:rsidRDefault="00000000" w:rsidRPr="00000000" w14:paraId="0000008F">
      <w:pPr>
        <w:spacing w:line="480" w:lineRule="auto"/>
        <w:ind w:left="720" w:firstLine="0"/>
        <w:rPr/>
      </w:pPr>
      <w:r w:rsidDel="00000000" w:rsidR="00000000" w:rsidRPr="00000000">
        <w:rPr>
          <w:rtl w:val="0"/>
        </w:rPr>
      </w:r>
    </w:p>
    <w:p w:rsidR="00000000" w:rsidDel="00000000" w:rsidP="00000000" w:rsidRDefault="00000000" w:rsidRPr="00000000" w14:paraId="00000090">
      <w:pPr>
        <w:spacing w:line="480" w:lineRule="auto"/>
        <w:ind w:left="720" w:firstLine="0"/>
        <w:rPr/>
      </w:pPr>
      <w:r w:rsidDel="00000000" w:rsidR="00000000" w:rsidRPr="00000000">
        <w:rPr>
          <w:rtl w:val="0"/>
        </w:rPr>
        <w:t xml:space="preserve">Aung, K.S.M. and Tepsuriwong, S. (2017). Lesson Openings: How teachers begin lessons in an English class. In Online Proceedings of the International Conference: DRAL 3/19th ESEA 2017 (pp. 252-253).</w:t>
      </w:r>
    </w:p>
    <w:p w:rsidR="00000000" w:rsidDel="00000000" w:rsidP="00000000" w:rsidRDefault="00000000" w:rsidRPr="00000000" w14:paraId="00000091">
      <w:pPr>
        <w:spacing w:line="480" w:lineRule="auto"/>
        <w:ind w:left="720" w:firstLine="0"/>
        <w:rPr/>
      </w:pPr>
      <w:r w:rsidDel="00000000" w:rsidR="00000000" w:rsidRPr="00000000">
        <w:rPr>
          <w:rtl w:val="0"/>
        </w:rPr>
      </w:r>
    </w:p>
    <w:p w:rsidR="00000000" w:rsidDel="00000000" w:rsidP="00000000" w:rsidRDefault="00000000" w:rsidRPr="00000000" w14:paraId="00000092">
      <w:pPr>
        <w:spacing w:line="480" w:lineRule="auto"/>
        <w:ind w:left="720" w:firstLine="0"/>
        <w:rPr/>
      </w:pPr>
      <w:r w:rsidDel="00000000" w:rsidR="00000000" w:rsidRPr="00000000">
        <w:rPr>
          <w:rtl w:val="0"/>
        </w:rPr>
        <w:t xml:space="preserve">Arlin Cuncic, M. (2023). Dysregulation: What it means and how to Cope, Verywell Mind. Available at: https://www.verywellmind.com/what-is-dysregulation-5073868#:~:text=Summary-,What%20Is%20Dysregulation%3F,in%20mood%2C%20or%20emotional%20lability. (Accessed: 01 May 2024).</w:t>
      </w:r>
    </w:p>
    <w:p w:rsidR="00000000" w:rsidDel="00000000" w:rsidP="00000000" w:rsidRDefault="00000000" w:rsidRPr="00000000" w14:paraId="00000093">
      <w:pPr>
        <w:spacing w:line="480" w:lineRule="auto"/>
        <w:ind w:left="720" w:firstLine="0"/>
        <w:rPr/>
      </w:pPr>
      <w:r w:rsidDel="00000000" w:rsidR="00000000" w:rsidRPr="00000000">
        <w:rPr>
          <w:rtl w:val="0"/>
        </w:rPr>
      </w:r>
    </w:p>
    <w:p w:rsidR="00000000" w:rsidDel="00000000" w:rsidP="00000000" w:rsidRDefault="00000000" w:rsidRPr="00000000" w14:paraId="00000094">
      <w:pPr>
        <w:spacing w:line="480" w:lineRule="auto"/>
        <w:ind w:left="720" w:firstLine="0"/>
        <w:rPr/>
      </w:pPr>
      <w:r w:rsidDel="00000000" w:rsidR="00000000" w:rsidRPr="00000000">
        <w:rPr>
          <w:rtl w:val="0"/>
        </w:rPr>
        <w:t xml:space="preserve">Babbie, E. (2016). *The Basics of Social Research.* Cengage Learning.</w:t>
      </w:r>
    </w:p>
    <w:p w:rsidR="00000000" w:rsidDel="00000000" w:rsidP="00000000" w:rsidRDefault="00000000" w:rsidRPr="00000000" w14:paraId="00000095">
      <w:pPr>
        <w:spacing w:line="480" w:lineRule="auto"/>
        <w:ind w:left="720" w:firstLine="0"/>
        <w:rPr/>
      </w:pPr>
      <w:r w:rsidDel="00000000" w:rsidR="00000000" w:rsidRPr="00000000">
        <w:rPr>
          <w:rtl w:val="0"/>
        </w:rPr>
        <w:t xml:space="preserve">Bera (2018) </w:t>
      </w:r>
      <w:r w:rsidDel="00000000" w:rsidR="00000000" w:rsidRPr="00000000">
        <w:rPr>
          <w:b w:val="1"/>
          <w:rtl w:val="0"/>
        </w:rPr>
        <w:t xml:space="preserve"> </w:t>
      </w:r>
      <w:r w:rsidDel="00000000" w:rsidR="00000000" w:rsidRPr="00000000">
        <w:rPr>
          <w:rtl w:val="0"/>
        </w:rPr>
        <w:t xml:space="preserve">Ethical Guidelines for Educational Research, fourth edition (2018)</w:t>
      </w:r>
    </w:p>
    <w:p w:rsidR="00000000" w:rsidDel="00000000" w:rsidP="00000000" w:rsidRDefault="00000000" w:rsidRPr="00000000" w14:paraId="00000096">
      <w:pPr>
        <w:spacing w:line="480" w:lineRule="auto"/>
        <w:ind w:left="720" w:firstLine="0"/>
        <w:rPr/>
      </w:pPr>
      <w:r w:rsidDel="00000000" w:rsidR="00000000" w:rsidRPr="00000000">
        <w:rPr>
          <w:rtl w:val="0"/>
        </w:rPr>
      </w:r>
    </w:p>
    <w:p w:rsidR="00000000" w:rsidDel="00000000" w:rsidP="00000000" w:rsidRDefault="00000000" w:rsidRPr="00000000" w14:paraId="00000097">
      <w:pPr>
        <w:spacing w:line="480" w:lineRule="auto"/>
        <w:ind w:left="720" w:firstLine="0"/>
        <w:rPr/>
      </w:pPr>
      <w:r w:rsidDel="00000000" w:rsidR="00000000" w:rsidRPr="00000000">
        <w:rPr>
          <w:rtl w:val="0"/>
        </w:rPr>
      </w:r>
    </w:p>
    <w:p w:rsidR="00000000" w:rsidDel="00000000" w:rsidP="00000000" w:rsidRDefault="00000000" w:rsidRPr="00000000" w14:paraId="00000098">
      <w:pPr>
        <w:spacing w:line="480" w:lineRule="auto"/>
        <w:ind w:left="720" w:firstLine="0"/>
        <w:rPr/>
      </w:pPr>
      <w:r w:rsidDel="00000000" w:rsidR="00000000" w:rsidRPr="00000000">
        <w:rPr>
          <w:rtl w:val="0"/>
        </w:rPr>
        <w:t xml:space="preserve">Black, D.S., Milam, J. and Sussman, S. (2009). Sitting-meditation interventions among youth: A review of treatment efficacy. Pediatrics, 124(3), pp.e532-e541.</w:t>
      </w:r>
    </w:p>
    <w:p w:rsidR="00000000" w:rsidDel="00000000" w:rsidP="00000000" w:rsidRDefault="00000000" w:rsidRPr="00000000" w14:paraId="00000099">
      <w:pPr>
        <w:spacing w:line="480" w:lineRule="auto"/>
        <w:ind w:left="720" w:firstLine="0"/>
        <w:rPr/>
      </w:pPr>
      <w:r w:rsidDel="00000000" w:rsidR="00000000" w:rsidRPr="00000000">
        <w:rPr>
          <w:rtl w:val="0"/>
        </w:rPr>
      </w:r>
    </w:p>
    <w:p w:rsidR="00000000" w:rsidDel="00000000" w:rsidP="00000000" w:rsidRDefault="00000000" w:rsidRPr="00000000" w14:paraId="0000009A">
      <w:pPr>
        <w:spacing w:line="480" w:lineRule="auto"/>
        <w:ind w:left="720" w:firstLine="0"/>
        <w:rPr/>
      </w:pPr>
      <w:r w:rsidDel="00000000" w:rsidR="00000000" w:rsidRPr="00000000">
        <w:rPr>
          <w:highlight w:val="white"/>
          <w:rtl w:val="0"/>
        </w:rPr>
        <w:t xml:space="preserve">Boekaerts, M. and Corno, L., 2005. Self‐regulation in the classroom: A perspective on assessment and intervention. </w:t>
      </w:r>
      <w:r w:rsidDel="00000000" w:rsidR="00000000" w:rsidRPr="00000000">
        <w:rPr>
          <w:i w:val="1"/>
          <w:rtl w:val="0"/>
        </w:rPr>
        <w:t xml:space="preserve">Applied psychology</w:t>
      </w:r>
      <w:r w:rsidDel="00000000" w:rsidR="00000000" w:rsidRPr="00000000">
        <w:rPr>
          <w:highlight w:val="white"/>
          <w:rtl w:val="0"/>
        </w:rPr>
        <w:t xml:space="preserve">, </w:t>
      </w:r>
      <w:r w:rsidDel="00000000" w:rsidR="00000000" w:rsidRPr="00000000">
        <w:rPr>
          <w:i w:val="1"/>
          <w:rtl w:val="0"/>
        </w:rPr>
        <w:t xml:space="preserve">54</w:t>
      </w:r>
      <w:r w:rsidDel="00000000" w:rsidR="00000000" w:rsidRPr="00000000">
        <w:rPr>
          <w:highlight w:val="white"/>
          <w:rtl w:val="0"/>
        </w:rPr>
        <w:t xml:space="preserve">(2), pp.199-231.</w:t>
      </w:r>
      <w:r w:rsidDel="00000000" w:rsidR="00000000" w:rsidRPr="00000000">
        <w:rPr>
          <w:rtl w:val="0"/>
        </w:rPr>
      </w:r>
    </w:p>
    <w:p w:rsidR="00000000" w:rsidDel="00000000" w:rsidP="00000000" w:rsidRDefault="00000000" w:rsidRPr="00000000" w14:paraId="0000009B">
      <w:pPr>
        <w:spacing w:line="480" w:lineRule="auto"/>
        <w:ind w:left="720" w:firstLine="0"/>
        <w:rPr/>
      </w:pPr>
      <w:r w:rsidDel="00000000" w:rsidR="00000000" w:rsidRPr="00000000">
        <w:rPr>
          <w:rtl w:val="0"/>
        </w:rPr>
      </w:r>
    </w:p>
    <w:p w:rsidR="00000000" w:rsidDel="00000000" w:rsidP="00000000" w:rsidRDefault="00000000" w:rsidRPr="00000000" w14:paraId="0000009C">
      <w:pPr>
        <w:spacing w:line="480" w:lineRule="auto"/>
        <w:ind w:left="720" w:firstLine="0"/>
        <w:rPr/>
      </w:pPr>
      <w:r w:rsidDel="00000000" w:rsidR="00000000" w:rsidRPr="00000000">
        <w:rPr>
          <w:rtl w:val="0"/>
        </w:rPr>
        <w:t xml:space="preserve">Bowen, N. K., &amp; Guo, S. (2016). Structural equation modeling. Oxford University Press.</w:t>
      </w:r>
    </w:p>
    <w:p w:rsidR="00000000" w:rsidDel="00000000" w:rsidP="00000000" w:rsidRDefault="00000000" w:rsidRPr="00000000" w14:paraId="0000009D">
      <w:pPr>
        <w:spacing w:line="480" w:lineRule="auto"/>
        <w:ind w:left="720" w:firstLine="0"/>
        <w:rPr/>
      </w:pPr>
      <w:r w:rsidDel="00000000" w:rsidR="00000000" w:rsidRPr="00000000">
        <w:rPr>
          <w:rtl w:val="0"/>
        </w:rPr>
      </w:r>
    </w:p>
    <w:p w:rsidR="00000000" w:rsidDel="00000000" w:rsidP="00000000" w:rsidRDefault="00000000" w:rsidRPr="00000000" w14:paraId="0000009E">
      <w:pPr>
        <w:spacing w:line="480" w:lineRule="auto"/>
        <w:ind w:left="720" w:firstLine="0"/>
        <w:rPr/>
      </w:pPr>
      <w:r w:rsidDel="00000000" w:rsidR="00000000" w:rsidRPr="00000000">
        <w:rPr>
          <w:highlight w:val="white"/>
          <w:rtl w:val="0"/>
        </w:rPr>
        <w:t xml:space="preserve">Braun, V. and Clarke, V., 2006. Using thematic analysis in psychology. </w:t>
      </w:r>
      <w:r w:rsidDel="00000000" w:rsidR="00000000" w:rsidRPr="00000000">
        <w:rPr>
          <w:i w:val="1"/>
          <w:rtl w:val="0"/>
        </w:rPr>
        <w:t xml:space="preserve">Qualitative research in psychology</w:t>
      </w:r>
      <w:r w:rsidDel="00000000" w:rsidR="00000000" w:rsidRPr="00000000">
        <w:rPr>
          <w:highlight w:val="white"/>
          <w:rtl w:val="0"/>
        </w:rPr>
        <w:t xml:space="preserve">, </w:t>
      </w:r>
      <w:r w:rsidDel="00000000" w:rsidR="00000000" w:rsidRPr="00000000">
        <w:rPr>
          <w:i w:val="1"/>
          <w:rtl w:val="0"/>
        </w:rPr>
        <w:t xml:space="preserve">3</w:t>
      </w:r>
      <w:r w:rsidDel="00000000" w:rsidR="00000000" w:rsidRPr="00000000">
        <w:rPr>
          <w:highlight w:val="white"/>
          <w:rtl w:val="0"/>
        </w:rPr>
        <w:t xml:space="preserve">(2), pp.77-101.</w:t>
      </w:r>
      <w:r w:rsidDel="00000000" w:rsidR="00000000" w:rsidRPr="00000000">
        <w:rPr>
          <w:rtl w:val="0"/>
        </w:rPr>
      </w:r>
    </w:p>
    <w:p w:rsidR="00000000" w:rsidDel="00000000" w:rsidP="00000000" w:rsidRDefault="00000000" w:rsidRPr="00000000" w14:paraId="0000009F">
      <w:pPr>
        <w:spacing w:line="480" w:lineRule="auto"/>
        <w:ind w:left="720" w:firstLine="0"/>
        <w:rPr/>
      </w:pPr>
      <w:r w:rsidDel="00000000" w:rsidR="00000000" w:rsidRPr="00000000">
        <w:rPr>
          <w:rtl w:val="0"/>
        </w:rPr>
      </w:r>
    </w:p>
    <w:p w:rsidR="00000000" w:rsidDel="00000000" w:rsidP="00000000" w:rsidRDefault="00000000" w:rsidRPr="00000000" w14:paraId="000000A0">
      <w:pPr>
        <w:spacing w:line="480" w:lineRule="auto"/>
        <w:ind w:left="720" w:firstLine="0"/>
        <w:rPr/>
      </w:pPr>
      <w:r w:rsidDel="00000000" w:rsidR="00000000" w:rsidRPr="00000000">
        <w:rPr>
          <w:rtl w:val="0"/>
        </w:rPr>
        <w:t xml:space="preserve">Brown, H.D. and Lee, H. (2015). Teaching by principles: An interactive approach to language pedagogy. Pearson.</w:t>
      </w:r>
    </w:p>
    <w:p w:rsidR="00000000" w:rsidDel="00000000" w:rsidP="00000000" w:rsidRDefault="00000000" w:rsidRPr="00000000" w14:paraId="000000A1">
      <w:pPr>
        <w:spacing w:line="480" w:lineRule="auto"/>
        <w:ind w:left="720" w:firstLine="0"/>
        <w:rPr/>
      </w:pPr>
      <w:r w:rsidDel="00000000" w:rsidR="00000000" w:rsidRPr="00000000">
        <w:rPr>
          <w:rtl w:val="0"/>
        </w:rPr>
      </w:r>
    </w:p>
    <w:p w:rsidR="00000000" w:rsidDel="00000000" w:rsidP="00000000" w:rsidRDefault="00000000" w:rsidRPr="00000000" w14:paraId="000000A2">
      <w:pPr>
        <w:spacing w:line="480" w:lineRule="auto"/>
        <w:ind w:left="720" w:firstLine="0"/>
        <w:rPr/>
      </w:pPr>
      <w:r w:rsidDel="00000000" w:rsidR="00000000" w:rsidRPr="00000000">
        <w:rPr>
          <w:rtl w:val="0"/>
        </w:rPr>
        <w:t xml:space="preserve">Capel, S., Leask, M. and Younie, S. (2013). Learning to teach in the secondary school: A companion to school experience. Routledge.</w:t>
      </w:r>
    </w:p>
    <w:p w:rsidR="00000000" w:rsidDel="00000000" w:rsidP="00000000" w:rsidRDefault="00000000" w:rsidRPr="00000000" w14:paraId="000000A3">
      <w:pPr>
        <w:spacing w:line="480" w:lineRule="auto"/>
        <w:ind w:left="720" w:firstLine="0"/>
        <w:rPr/>
      </w:pPr>
      <w:r w:rsidDel="00000000" w:rsidR="00000000" w:rsidRPr="00000000">
        <w:rPr>
          <w:rtl w:val="0"/>
        </w:rPr>
      </w:r>
    </w:p>
    <w:p w:rsidR="00000000" w:rsidDel="00000000" w:rsidP="00000000" w:rsidRDefault="00000000" w:rsidRPr="00000000" w14:paraId="000000A4">
      <w:pPr>
        <w:spacing w:line="480" w:lineRule="auto"/>
        <w:ind w:left="720" w:firstLine="0"/>
        <w:rPr/>
      </w:pPr>
      <w:r w:rsidDel="00000000" w:rsidR="00000000" w:rsidRPr="00000000">
        <w:rPr>
          <w:rtl w:val="0"/>
        </w:rPr>
        <w:t xml:space="preserve">Child Mind Institute (2024). How can we help kids with self-regulation?. Available at: https://childmind.org/article/can-help-kids-self-regulation/ (Accessed: 01 May 2024).</w:t>
      </w:r>
    </w:p>
    <w:p w:rsidR="00000000" w:rsidDel="00000000" w:rsidP="00000000" w:rsidRDefault="00000000" w:rsidRPr="00000000" w14:paraId="000000A5">
      <w:pPr>
        <w:spacing w:line="480" w:lineRule="auto"/>
        <w:ind w:left="720" w:firstLine="0"/>
        <w:rPr/>
      </w:pPr>
      <w:r w:rsidDel="00000000" w:rsidR="00000000" w:rsidRPr="00000000">
        <w:rPr>
          <w:rtl w:val="0"/>
        </w:rPr>
      </w:r>
    </w:p>
    <w:p w:rsidR="00000000" w:rsidDel="00000000" w:rsidP="00000000" w:rsidRDefault="00000000" w:rsidRPr="00000000" w14:paraId="000000A6">
      <w:pPr>
        <w:spacing w:line="480" w:lineRule="auto"/>
        <w:ind w:left="720" w:firstLine="0"/>
        <w:rPr/>
      </w:pPr>
      <w:r w:rsidDel="00000000" w:rsidR="00000000" w:rsidRPr="00000000">
        <w:rPr>
          <w:rtl w:val="0"/>
        </w:rPr>
        <w:t xml:space="preserve">Creswell, J. W., &amp; Creswell, J. D. (2017). *Research Design: Qualitative, Quantitative, and Mixed Methods Approaches.* Sage Publications.</w:t>
      </w:r>
    </w:p>
    <w:p w:rsidR="00000000" w:rsidDel="00000000" w:rsidP="00000000" w:rsidRDefault="00000000" w:rsidRPr="00000000" w14:paraId="000000A7">
      <w:pPr>
        <w:spacing w:line="480" w:lineRule="auto"/>
        <w:ind w:left="720" w:firstLine="0"/>
        <w:rPr/>
      </w:pPr>
      <w:r w:rsidDel="00000000" w:rsidR="00000000" w:rsidRPr="00000000">
        <w:rPr>
          <w:highlight w:val="white"/>
          <w:rtl w:val="0"/>
        </w:rPr>
        <w:t xml:space="preserve">Creswell, J.W. and Poth, C.N., 2016. </w:t>
      </w:r>
      <w:r w:rsidDel="00000000" w:rsidR="00000000" w:rsidRPr="00000000">
        <w:rPr>
          <w:i w:val="1"/>
          <w:rtl w:val="0"/>
        </w:rPr>
        <w:t xml:space="preserve">Qualitative inquiry and research design: Choosing among five approaches</w:t>
      </w:r>
      <w:r w:rsidDel="00000000" w:rsidR="00000000" w:rsidRPr="00000000">
        <w:rPr>
          <w:highlight w:val="white"/>
          <w:rtl w:val="0"/>
        </w:rPr>
        <w:t xml:space="preserve">. Sage publications.</w:t>
      </w:r>
      <w:r w:rsidDel="00000000" w:rsidR="00000000" w:rsidRPr="00000000">
        <w:rPr>
          <w:rtl w:val="0"/>
        </w:rPr>
      </w:r>
    </w:p>
    <w:p w:rsidR="00000000" w:rsidDel="00000000" w:rsidP="00000000" w:rsidRDefault="00000000" w:rsidRPr="00000000" w14:paraId="000000A8">
      <w:pPr>
        <w:spacing w:line="480" w:lineRule="auto"/>
        <w:ind w:left="720" w:firstLine="0"/>
        <w:rPr/>
      </w:pPr>
      <w:r w:rsidDel="00000000" w:rsidR="00000000" w:rsidRPr="00000000">
        <w:rPr>
          <w:rtl w:val="0"/>
        </w:rPr>
      </w:r>
    </w:p>
    <w:p w:rsidR="00000000" w:rsidDel="00000000" w:rsidP="00000000" w:rsidRDefault="00000000" w:rsidRPr="00000000" w14:paraId="000000A9">
      <w:pPr>
        <w:spacing w:line="480" w:lineRule="auto"/>
        <w:ind w:left="720" w:firstLine="0"/>
        <w:rPr/>
      </w:pPr>
      <w:r w:rsidDel="00000000" w:rsidR="00000000" w:rsidRPr="00000000">
        <w:rPr>
          <w:rtl w:val="0"/>
        </w:rPr>
        <w:t xml:space="preserve">Field, S., &amp; Hoffman, A. (1994). Development of a model for self-determination. Career Development for Exceptional Individuals, 17, 159–169.</w:t>
      </w:r>
    </w:p>
    <w:p w:rsidR="00000000" w:rsidDel="00000000" w:rsidP="00000000" w:rsidRDefault="00000000" w:rsidRPr="00000000" w14:paraId="000000AA">
      <w:pPr>
        <w:spacing w:line="480" w:lineRule="auto"/>
        <w:ind w:left="720" w:firstLine="0"/>
        <w:rPr/>
      </w:pPr>
      <w:r w:rsidDel="00000000" w:rsidR="00000000" w:rsidRPr="00000000">
        <w:rPr>
          <w:rtl w:val="0"/>
        </w:rPr>
      </w:r>
    </w:p>
    <w:p w:rsidR="00000000" w:rsidDel="00000000" w:rsidP="00000000" w:rsidRDefault="00000000" w:rsidRPr="00000000" w14:paraId="000000AB">
      <w:pPr>
        <w:spacing w:line="480" w:lineRule="auto"/>
        <w:ind w:left="720" w:firstLine="0"/>
        <w:rPr/>
      </w:pPr>
      <w:r w:rsidDel="00000000" w:rsidR="00000000" w:rsidRPr="00000000">
        <w:rPr>
          <w:rtl w:val="0"/>
        </w:rPr>
        <w:t xml:space="preserve">Glanz, K., Rimer, B.K. and Viswanath, K. (2015). Health behavior: Theory, research, and practice. John Wiley &amp; Sons.</w:t>
      </w:r>
    </w:p>
    <w:p w:rsidR="00000000" w:rsidDel="00000000" w:rsidP="00000000" w:rsidRDefault="00000000" w:rsidRPr="00000000" w14:paraId="000000AC">
      <w:pPr>
        <w:spacing w:line="480" w:lineRule="auto"/>
        <w:ind w:left="720" w:firstLine="0"/>
        <w:rPr/>
      </w:pPr>
      <w:r w:rsidDel="00000000" w:rsidR="00000000" w:rsidRPr="00000000">
        <w:rPr>
          <w:rtl w:val="0"/>
        </w:rPr>
      </w:r>
    </w:p>
    <w:p w:rsidR="00000000" w:rsidDel="00000000" w:rsidP="00000000" w:rsidRDefault="00000000" w:rsidRPr="00000000" w14:paraId="000000AD">
      <w:pPr>
        <w:spacing w:line="480" w:lineRule="auto"/>
        <w:ind w:left="720" w:firstLine="0"/>
        <w:rPr/>
      </w:pPr>
      <w:r w:rsidDel="00000000" w:rsidR="00000000" w:rsidRPr="00000000">
        <w:rPr>
          <w:rtl w:val="0"/>
        </w:rPr>
        <w:t xml:space="preserve">Gustafsson, J. (2017). Single case studies vs. multiple case studies: A comparative study.</w:t>
      </w:r>
    </w:p>
    <w:p w:rsidR="00000000" w:rsidDel="00000000" w:rsidP="00000000" w:rsidRDefault="00000000" w:rsidRPr="00000000" w14:paraId="000000AE">
      <w:pPr>
        <w:spacing w:line="480" w:lineRule="auto"/>
        <w:ind w:left="720" w:firstLine="0"/>
        <w:rPr/>
      </w:pPr>
      <w:r w:rsidDel="00000000" w:rsidR="00000000" w:rsidRPr="00000000">
        <w:rPr>
          <w:rtl w:val="0"/>
        </w:rPr>
      </w:r>
    </w:p>
    <w:p w:rsidR="00000000" w:rsidDel="00000000" w:rsidP="00000000" w:rsidRDefault="00000000" w:rsidRPr="00000000" w14:paraId="000000AF">
      <w:pPr>
        <w:spacing w:line="480" w:lineRule="auto"/>
        <w:ind w:left="720" w:firstLine="0"/>
        <w:rPr/>
      </w:pPr>
      <w:r w:rsidDel="00000000" w:rsidR="00000000" w:rsidRPr="00000000">
        <w:rPr>
          <w:highlight w:val="white"/>
          <w:rtl w:val="0"/>
        </w:rPr>
        <w:t xml:space="preserve">Heale, R. and Twycross, A., 2018. What is a case study?. </w:t>
      </w:r>
      <w:r w:rsidDel="00000000" w:rsidR="00000000" w:rsidRPr="00000000">
        <w:rPr>
          <w:i w:val="1"/>
          <w:rtl w:val="0"/>
        </w:rPr>
        <w:t xml:space="preserve">Evidence-based nursing</w:t>
      </w:r>
      <w:r w:rsidDel="00000000" w:rsidR="00000000" w:rsidRPr="00000000">
        <w:rPr>
          <w:highlight w:val="white"/>
          <w:rtl w:val="0"/>
        </w:rPr>
        <w:t xml:space="preserve">, </w:t>
      </w:r>
      <w:r w:rsidDel="00000000" w:rsidR="00000000" w:rsidRPr="00000000">
        <w:rPr>
          <w:i w:val="1"/>
          <w:rtl w:val="0"/>
        </w:rPr>
        <w:t xml:space="preserve">21</w:t>
      </w:r>
      <w:r w:rsidDel="00000000" w:rsidR="00000000" w:rsidRPr="00000000">
        <w:rPr>
          <w:highlight w:val="white"/>
          <w:rtl w:val="0"/>
        </w:rPr>
        <w:t xml:space="preserve">(1), pp.7-8.)</w:t>
      </w:r>
      <w:r w:rsidDel="00000000" w:rsidR="00000000" w:rsidRPr="00000000">
        <w:rPr>
          <w:rtl w:val="0"/>
        </w:rPr>
        <w:t xml:space="preserve"> </w:t>
      </w:r>
    </w:p>
    <w:p w:rsidR="00000000" w:rsidDel="00000000" w:rsidP="00000000" w:rsidRDefault="00000000" w:rsidRPr="00000000" w14:paraId="000000B0">
      <w:pPr>
        <w:spacing w:line="480" w:lineRule="auto"/>
        <w:ind w:left="720" w:firstLine="0"/>
        <w:rPr/>
      </w:pPr>
      <w:r w:rsidDel="00000000" w:rsidR="00000000" w:rsidRPr="00000000">
        <w:rPr>
          <w:rtl w:val="0"/>
        </w:rPr>
      </w:r>
    </w:p>
    <w:p w:rsidR="00000000" w:rsidDel="00000000" w:rsidP="00000000" w:rsidRDefault="00000000" w:rsidRPr="00000000" w14:paraId="000000B1">
      <w:pPr>
        <w:spacing w:line="480" w:lineRule="auto"/>
        <w:ind w:left="720" w:firstLine="0"/>
        <w:rPr/>
      </w:pPr>
      <w:r w:rsidDel="00000000" w:rsidR="00000000" w:rsidRPr="00000000">
        <w:rPr>
          <w:rtl w:val="0"/>
        </w:rPr>
        <w:t xml:space="preserve">Hein, G.E. (1991). Constructivist learning theory. Institute for Inquiry. Available at:/http://www. exploratorium. edu/ifi/resources/constructivistlearning. htmlS.</w:t>
      </w:r>
    </w:p>
    <w:p w:rsidR="00000000" w:rsidDel="00000000" w:rsidP="00000000" w:rsidRDefault="00000000" w:rsidRPr="00000000" w14:paraId="000000B2">
      <w:pPr>
        <w:spacing w:line="480" w:lineRule="auto"/>
        <w:ind w:left="720" w:firstLine="0"/>
        <w:rPr/>
      </w:pPr>
      <w:r w:rsidDel="00000000" w:rsidR="00000000" w:rsidRPr="00000000">
        <w:rPr>
          <w:rtl w:val="0"/>
        </w:rPr>
      </w:r>
    </w:p>
    <w:p w:rsidR="00000000" w:rsidDel="00000000" w:rsidP="00000000" w:rsidRDefault="00000000" w:rsidRPr="00000000" w14:paraId="000000B3">
      <w:pPr>
        <w:spacing w:line="480" w:lineRule="auto"/>
        <w:ind w:left="720" w:firstLine="0"/>
        <w:rPr/>
      </w:pPr>
      <w:r w:rsidDel="00000000" w:rsidR="00000000" w:rsidRPr="00000000">
        <w:rPr>
          <w:rtl w:val="0"/>
        </w:rPr>
        <w:t xml:space="preserve">How can we help kids with self-regulation? (2024). Child Mind Institute. Available at: https://childmind.org/article/can-help-kids-self-regulation/ (Accessed: 01 May 2024).</w:t>
      </w:r>
    </w:p>
    <w:p w:rsidR="00000000" w:rsidDel="00000000" w:rsidP="00000000" w:rsidRDefault="00000000" w:rsidRPr="00000000" w14:paraId="000000B4">
      <w:pPr>
        <w:spacing w:line="480" w:lineRule="auto"/>
        <w:ind w:left="720" w:firstLine="0"/>
        <w:rPr/>
      </w:pPr>
      <w:r w:rsidDel="00000000" w:rsidR="00000000" w:rsidRPr="00000000">
        <w:rPr>
          <w:rtl w:val="0"/>
        </w:rPr>
      </w:r>
    </w:p>
    <w:p w:rsidR="00000000" w:rsidDel="00000000" w:rsidP="00000000" w:rsidRDefault="00000000" w:rsidRPr="00000000" w14:paraId="000000B5">
      <w:pPr>
        <w:spacing w:line="480" w:lineRule="auto"/>
        <w:ind w:left="720" w:firstLine="0"/>
        <w:rPr>
          <w:highlight w:val="white"/>
        </w:rPr>
      </w:pPr>
      <w:r w:rsidDel="00000000" w:rsidR="00000000" w:rsidRPr="00000000">
        <w:rPr>
          <w:highlight w:val="white"/>
          <w:rtl w:val="0"/>
        </w:rPr>
        <w:t xml:space="preserve">Huberman, A., 2014. Qualitative data analysis a methods sourcebook.</w:t>
      </w:r>
    </w:p>
    <w:p w:rsidR="00000000" w:rsidDel="00000000" w:rsidP="00000000" w:rsidRDefault="00000000" w:rsidRPr="00000000" w14:paraId="000000B6">
      <w:pPr>
        <w:spacing w:line="480" w:lineRule="auto"/>
        <w:ind w:left="720" w:firstLine="0"/>
        <w:rPr/>
      </w:pPr>
      <w:r w:rsidDel="00000000" w:rsidR="00000000" w:rsidRPr="00000000">
        <w:rPr>
          <w:rtl w:val="0"/>
        </w:rPr>
      </w:r>
    </w:p>
    <w:p w:rsidR="00000000" w:rsidDel="00000000" w:rsidP="00000000" w:rsidRDefault="00000000" w:rsidRPr="00000000" w14:paraId="000000B7">
      <w:pPr>
        <w:spacing w:line="480" w:lineRule="auto"/>
        <w:ind w:left="720" w:firstLine="0"/>
        <w:rPr/>
      </w:pPr>
      <w:r w:rsidDel="00000000" w:rsidR="00000000" w:rsidRPr="00000000">
        <w:rPr>
          <w:rtl w:val="0"/>
        </w:rPr>
        <w:t xml:space="preserve">Kabat-Zinn, J. (2003). Mindfulness-based interventions in context: past, present, and future.</w:t>
      </w:r>
    </w:p>
    <w:p w:rsidR="00000000" w:rsidDel="00000000" w:rsidP="00000000" w:rsidRDefault="00000000" w:rsidRPr="00000000" w14:paraId="000000B8">
      <w:pPr>
        <w:spacing w:line="480" w:lineRule="auto"/>
        <w:ind w:left="720" w:firstLine="0"/>
        <w:rPr/>
      </w:pPr>
      <w:r w:rsidDel="00000000" w:rsidR="00000000" w:rsidRPr="00000000">
        <w:rPr>
          <w:rtl w:val="0"/>
        </w:rPr>
      </w:r>
    </w:p>
    <w:p w:rsidR="00000000" w:rsidDel="00000000" w:rsidP="00000000" w:rsidRDefault="00000000" w:rsidRPr="00000000" w14:paraId="000000B9">
      <w:pPr>
        <w:spacing w:line="480" w:lineRule="auto"/>
        <w:ind w:left="720" w:firstLine="0"/>
        <w:rPr/>
      </w:pPr>
      <w:r w:rsidDel="00000000" w:rsidR="00000000" w:rsidRPr="00000000">
        <w:rPr>
          <w:rtl w:val="0"/>
        </w:rPr>
        <w:t xml:space="preserve">Kearsley, G. and Shneiderman, B. (1998). Engagement theory: A framework for technology-based teaching and learning. Educational technology, 38(5), pp.20-23.</w:t>
      </w:r>
    </w:p>
    <w:p w:rsidR="00000000" w:rsidDel="00000000" w:rsidP="00000000" w:rsidRDefault="00000000" w:rsidRPr="00000000" w14:paraId="000000BA">
      <w:pPr>
        <w:spacing w:line="480" w:lineRule="auto"/>
        <w:ind w:left="720" w:firstLine="0"/>
        <w:rPr/>
      </w:pPr>
      <w:r w:rsidDel="00000000" w:rsidR="00000000" w:rsidRPr="00000000">
        <w:rPr>
          <w:rtl w:val="0"/>
        </w:rPr>
      </w:r>
    </w:p>
    <w:p w:rsidR="00000000" w:rsidDel="00000000" w:rsidP="00000000" w:rsidRDefault="00000000" w:rsidRPr="00000000" w14:paraId="000000BB">
      <w:pPr>
        <w:spacing w:line="480" w:lineRule="auto"/>
        <w:ind w:left="720" w:firstLine="0"/>
        <w:rPr/>
      </w:pPr>
      <w:r w:rsidDel="00000000" w:rsidR="00000000" w:rsidRPr="00000000">
        <w:rPr>
          <w:rtl w:val="0"/>
        </w:rPr>
        <w:t xml:space="preserve">Lemov, D. (2010). Teach like a champion: 49 techniques that put students on the path to college (K-12). John Wiley &amp; Sons.</w:t>
      </w:r>
    </w:p>
    <w:p w:rsidR="00000000" w:rsidDel="00000000" w:rsidP="00000000" w:rsidRDefault="00000000" w:rsidRPr="00000000" w14:paraId="000000BC">
      <w:pPr>
        <w:spacing w:line="480" w:lineRule="auto"/>
        <w:ind w:left="720" w:firstLine="0"/>
        <w:rPr/>
      </w:pPr>
      <w:r w:rsidDel="00000000" w:rsidR="00000000" w:rsidRPr="00000000">
        <w:rPr>
          <w:rtl w:val="0"/>
        </w:rPr>
      </w:r>
    </w:p>
    <w:p w:rsidR="00000000" w:rsidDel="00000000" w:rsidP="00000000" w:rsidRDefault="00000000" w:rsidRPr="00000000" w14:paraId="000000BD">
      <w:pPr>
        <w:spacing w:line="480" w:lineRule="auto"/>
        <w:ind w:left="720" w:firstLine="0"/>
        <w:rPr/>
      </w:pPr>
      <w:r w:rsidDel="00000000" w:rsidR="00000000" w:rsidRPr="00000000">
        <w:rPr>
          <w:rtl w:val="0"/>
        </w:rPr>
        <w:t xml:space="preserve">Maynard, B. R., Solis, M., Miller, V. L., &amp; Brendel, K. E. (2017). Mindfulness-based interventions for improving cognition, academic achievement, behaviour, and socioemotional functioning of primary and secondary school students. Campbell Systematic Reviews, 13(1), 1-144.</w:t>
      </w:r>
    </w:p>
    <w:p w:rsidR="00000000" w:rsidDel="00000000" w:rsidP="00000000" w:rsidRDefault="00000000" w:rsidRPr="00000000" w14:paraId="000000BE">
      <w:pPr>
        <w:spacing w:line="480" w:lineRule="auto"/>
        <w:ind w:left="720" w:firstLine="0"/>
        <w:rPr/>
      </w:pPr>
      <w:r w:rsidDel="00000000" w:rsidR="00000000" w:rsidRPr="00000000">
        <w:rPr>
          <w:rtl w:val="0"/>
        </w:rPr>
      </w:r>
    </w:p>
    <w:p w:rsidR="00000000" w:rsidDel="00000000" w:rsidP="00000000" w:rsidRDefault="00000000" w:rsidRPr="00000000" w14:paraId="000000BF">
      <w:pPr>
        <w:spacing w:line="480" w:lineRule="auto"/>
        <w:ind w:left="720" w:firstLine="0"/>
        <w:rPr/>
      </w:pPr>
      <w:r w:rsidDel="00000000" w:rsidR="00000000" w:rsidRPr="00000000">
        <w:rPr>
          <w:rtl w:val="0"/>
        </w:rPr>
        <w:t xml:space="preserve">McCormack, H. (2023). Self-regulation series: What happens if a child cannot co/self-regulate?, SEND Network. Available at: https://send-network.co.uk/posts/self-regulation-series-what-happens-if-a-child-cannot-co-self-regulate (Accessed: 01 May 2024).</w:t>
      </w:r>
    </w:p>
    <w:p w:rsidR="00000000" w:rsidDel="00000000" w:rsidP="00000000" w:rsidRDefault="00000000" w:rsidRPr="00000000" w14:paraId="000000C0">
      <w:pPr>
        <w:spacing w:line="480" w:lineRule="auto"/>
        <w:ind w:left="720" w:firstLine="0"/>
        <w:rPr/>
      </w:pPr>
      <w:r w:rsidDel="00000000" w:rsidR="00000000" w:rsidRPr="00000000">
        <w:rPr>
          <w:rtl w:val="0"/>
        </w:rPr>
      </w:r>
    </w:p>
    <w:p w:rsidR="00000000" w:rsidDel="00000000" w:rsidP="00000000" w:rsidRDefault="00000000" w:rsidRPr="00000000" w14:paraId="000000C1">
      <w:pPr>
        <w:spacing w:line="480" w:lineRule="auto"/>
        <w:ind w:left="720" w:firstLine="0"/>
        <w:rPr/>
      </w:pPr>
      <w:r w:rsidDel="00000000" w:rsidR="00000000" w:rsidRPr="00000000">
        <w:rPr>
          <w:rtl w:val="0"/>
        </w:rPr>
      </w:r>
    </w:p>
    <w:p w:rsidR="00000000" w:rsidDel="00000000" w:rsidP="00000000" w:rsidRDefault="00000000" w:rsidRPr="00000000" w14:paraId="000000C2">
      <w:pPr>
        <w:spacing w:line="480" w:lineRule="auto"/>
        <w:ind w:left="720" w:firstLine="0"/>
        <w:rPr/>
      </w:pPr>
      <w:r w:rsidDel="00000000" w:rsidR="00000000" w:rsidRPr="00000000">
        <w:rPr>
          <w:rtl w:val="0"/>
        </w:rPr>
        <w:t xml:space="preserve">Mcleod, S. (2023). Sampling methods in research: Types, techniques, &amp; examples, Simply Psychology. Available at: https://www.simplypsychology.org/sampling.html (Accessed: 02 April 2024)</w:t>
      </w:r>
    </w:p>
    <w:p w:rsidR="00000000" w:rsidDel="00000000" w:rsidP="00000000" w:rsidRDefault="00000000" w:rsidRPr="00000000" w14:paraId="000000C3">
      <w:pPr>
        <w:spacing w:line="480" w:lineRule="auto"/>
        <w:ind w:left="720" w:firstLine="0"/>
        <w:rPr/>
      </w:pPr>
      <w:r w:rsidDel="00000000" w:rsidR="00000000" w:rsidRPr="00000000">
        <w:rPr>
          <w:rtl w:val="0"/>
        </w:rPr>
      </w:r>
    </w:p>
    <w:p w:rsidR="00000000" w:rsidDel="00000000" w:rsidP="00000000" w:rsidRDefault="00000000" w:rsidRPr="00000000" w14:paraId="000000C4">
      <w:pPr>
        <w:spacing w:line="480" w:lineRule="auto"/>
        <w:ind w:left="720" w:firstLine="0"/>
        <w:rPr/>
      </w:pPr>
      <w:r w:rsidDel="00000000" w:rsidR="00000000" w:rsidRPr="00000000">
        <w:rPr>
          <w:rtl w:val="0"/>
        </w:rPr>
        <w:t xml:space="preserve">Mesiti, C. and Clarke, D. (2006). Beginning the lesson: The first ten minutes. In Making connections (pp. 47-71).</w:t>
      </w:r>
    </w:p>
    <w:p w:rsidR="00000000" w:rsidDel="00000000" w:rsidP="00000000" w:rsidRDefault="00000000" w:rsidRPr="00000000" w14:paraId="000000C5">
      <w:pPr>
        <w:spacing w:line="480" w:lineRule="auto"/>
        <w:ind w:left="720" w:firstLine="0"/>
        <w:rPr/>
      </w:pPr>
      <w:r w:rsidDel="00000000" w:rsidR="00000000" w:rsidRPr="00000000">
        <w:rPr>
          <w:rtl w:val="0"/>
        </w:rPr>
      </w:r>
    </w:p>
    <w:p w:rsidR="00000000" w:rsidDel="00000000" w:rsidP="00000000" w:rsidRDefault="00000000" w:rsidRPr="00000000" w14:paraId="000000C6">
      <w:pPr>
        <w:spacing w:line="480" w:lineRule="auto"/>
        <w:ind w:left="720" w:firstLine="0"/>
        <w:rPr/>
      </w:pPr>
      <w:r w:rsidDel="00000000" w:rsidR="00000000" w:rsidRPr="00000000">
        <w:rPr>
          <w:rtl w:val="0"/>
        </w:rPr>
        <w:t xml:space="preserve">Millians, M. (2011). Learning readiness. Encyclopedia of child behavior and development. https://doi. org/10.1007/978-0-387-79061-9_1631.</w:t>
      </w:r>
    </w:p>
    <w:p w:rsidR="00000000" w:rsidDel="00000000" w:rsidP="00000000" w:rsidRDefault="00000000" w:rsidRPr="00000000" w14:paraId="000000C7">
      <w:pPr>
        <w:spacing w:line="480" w:lineRule="auto"/>
        <w:ind w:left="720" w:firstLine="0"/>
        <w:rPr/>
      </w:pPr>
      <w:r w:rsidDel="00000000" w:rsidR="00000000" w:rsidRPr="00000000">
        <w:rPr>
          <w:rtl w:val="0"/>
        </w:rPr>
      </w:r>
    </w:p>
    <w:p w:rsidR="00000000" w:rsidDel="00000000" w:rsidP="00000000" w:rsidRDefault="00000000" w:rsidRPr="00000000" w14:paraId="000000C8">
      <w:pPr>
        <w:spacing w:line="480" w:lineRule="auto"/>
        <w:ind w:left="720" w:firstLine="0"/>
        <w:rPr/>
      </w:pPr>
      <w:r w:rsidDel="00000000" w:rsidR="00000000" w:rsidRPr="00000000">
        <w:rPr>
          <w:rtl w:val="0"/>
        </w:rPr>
      </w:r>
    </w:p>
    <w:p w:rsidR="00000000" w:rsidDel="00000000" w:rsidP="00000000" w:rsidRDefault="00000000" w:rsidRPr="00000000" w14:paraId="000000C9">
      <w:pPr>
        <w:spacing w:line="480" w:lineRule="auto"/>
        <w:ind w:left="720" w:firstLine="0"/>
        <w:rPr/>
      </w:pPr>
      <w:r w:rsidDel="00000000" w:rsidR="00000000" w:rsidRPr="00000000">
        <w:rPr>
          <w:rtl w:val="0"/>
        </w:rPr>
        <w:t xml:space="preserve">Napoli, M., Krech, P.R. and Holley, L.C. (2005). Mindfulness training for elementary school students: The attention academy. Journal of applied school psychology, 21(1), pp.99-125.</w:t>
      </w:r>
    </w:p>
    <w:p w:rsidR="00000000" w:rsidDel="00000000" w:rsidP="00000000" w:rsidRDefault="00000000" w:rsidRPr="00000000" w14:paraId="000000CA">
      <w:pPr>
        <w:spacing w:line="480" w:lineRule="auto"/>
        <w:ind w:left="720" w:firstLine="0"/>
        <w:rPr/>
      </w:pPr>
      <w:r w:rsidDel="00000000" w:rsidR="00000000" w:rsidRPr="00000000">
        <w:rPr>
          <w:rtl w:val="0"/>
        </w:rPr>
      </w:r>
    </w:p>
    <w:p w:rsidR="00000000" w:rsidDel="00000000" w:rsidP="00000000" w:rsidRDefault="00000000" w:rsidRPr="00000000" w14:paraId="000000CB">
      <w:pPr>
        <w:spacing w:line="480" w:lineRule="auto"/>
        <w:ind w:left="720" w:firstLine="0"/>
        <w:rPr/>
      </w:pPr>
      <w:r w:rsidDel="00000000" w:rsidR="00000000" w:rsidRPr="00000000">
        <w:rPr>
          <w:rtl w:val="0"/>
        </w:rPr>
        <w:t xml:space="preserve">Naz, A., Nasreen, A. and Rashid, S. (2021). The Starter Activity of the Lesson; Considerable Categories and Dynamics. sjesr, 4(1), pp.350-357.</w:t>
      </w:r>
    </w:p>
    <w:p w:rsidR="00000000" w:rsidDel="00000000" w:rsidP="00000000" w:rsidRDefault="00000000" w:rsidRPr="00000000" w14:paraId="000000CC">
      <w:pPr>
        <w:spacing w:line="480" w:lineRule="auto"/>
        <w:ind w:left="720" w:firstLine="0"/>
        <w:rPr/>
      </w:pPr>
      <w:r w:rsidDel="00000000" w:rsidR="00000000" w:rsidRPr="00000000">
        <w:rPr>
          <w:rtl w:val="0"/>
        </w:rPr>
      </w:r>
    </w:p>
    <w:p w:rsidR="00000000" w:rsidDel="00000000" w:rsidP="00000000" w:rsidRDefault="00000000" w:rsidRPr="00000000" w14:paraId="000000CD">
      <w:pPr>
        <w:spacing w:line="480" w:lineRule="auto"/>
        <w:ind w:left="720" w:firstLine="0"/>
        <w:rPr/>
      </w:pPr>
      <w:r w:rsidDel="00000000" w:rsidR="00000000" w:rsidRPr="00000000">
        <w:rPr>
          <w:rtl w:val="0"/>
        </w:rPr>
        <w:t xml:space="preserve">Nikolopoulou, K. (2023). What is generalisability?: Definition &amp; examples, Scribbr. Available at: https://www.scribbr.co.uk/bias-in-research/generalisability/ (Accessed: 04 April 2024).</w:t>
      </w:r>
    </w:p>
    <w:p w:rsidR="00000000" w:rsidDel="00000000" w:rsidP="00000000" w:rsidRDefault="00000000" w:rsidRPr="00000000" w14:paraId="000000CE">
      <w:pPr>
        <w:spacing w:line="480" w:lineRule="auto"/>
        <w:ind w:left="720" w:firstLine="0"/>
        <w:rPr/>
      </w:pPr>
      <w:r w:rsidDel="00000000" w:rsidR="00000000" w:rsidRPr="00000000">
        <w:rPr>
          <w:rtl w:val="0"/>
        </w:rPr>
      </w:r>
    </w:p>
    <w:p w:rsidR="00000000" w:rsidDel="00000000" w:rsidP="00000000" w:rsidRDefault="00000000" w:rsidRPr="00000000" w14:paraId="000000CF">
      <w:pPr>
        <w:spacing w:line="480" w:lineRule="auto"/>
        <w:ind w:left="720" w:firstLine="0"/>
        <w:rPr/>
      </w:pPr>
      <w:r w:rsidDel="00000000" w:rsidR="00000000" w:rsidRPr="00000000">
        <w:rPr>
          <w:rtl w:val="0"/>
        </w:rPr>
      </w:r>
    </w:p>
    <w:p w:rsidR="00000000" w:rsidDel="00000000" w:rsidP="00000000" w:rsidRDefault="00000000" w:rsidRPr="00000000" w14:paraId="000000D0">
      <w:pPr>
        <w:spacing w:line="480" w:lineRule="auto"/>
        <w:ind w:left="720" w:firstLine="0"/>
        <w:rPr>
          <w:highlight w:val="white"/>
        </w:rPr>
      </w:pPr>
      <w:r w:rsidDel="00000000" w:rsidR="00000000" w:rsidRPr="00000000">
        <w:rPr>
          <w:highlight w:val="white"/>
          <w:rtl w:val="0"/>
        </w:rPr>
        <w:t xml:space="preserve">Orne, M.T., 2017. On the social psychology of the psychological experiment: With particular reference to demand characteristics and their implications. In </w:t>
      </w:r>
      <w:r w:rsidDel="00000000" w:rsidR="00000000" w:rsidRPr="00000000">
        <w:rPr>
          <w:i w:val="1"/>
          <w:highlight w:val="white"/>
          <w:rtl w:val="0"/>
        </w:rPr>
        <w:t xml:space="preserve">Sociological methods</w:t>
      </w:r>
      <w:r w:rsidDel="00000000" w:rsidR="00000000" w:rsidRPr="00000000">
        <w:rPr>
          <w:highlight w:val="white"/>
          <w:rtl w:val="0"/>
        </w:rPr>
        <w:t xml:space="preserve">(pp. 279-299). Routledge.</w:t>
      </w:r>
    </w:p>
    <w:p w:rsidR="00000000" w:rsidDel="00000000" w:rsidP="00000000" w:rsidRDefault="00000000" w:rsidRPr="00000000" w14:paraId="000000D1">
      <w:pPr>
        <w:spacing w:line="480" w:lineRule="auto"/>
        <w:ind w:left="720" w:firstLine="0"/>
        <w:rPr>
          <w:highlight w:val="white"/>
        </w:rPr>
      </w:pPr>
      <w:r w:rsidDel="00000000" w:rsidR="00000000" w:rsidRPr="00000000">
        <w:rPr>
          <w:rtl w:val="0"/>
        </w:rPr>
      </w:r>
    </w:p>
    <w:p w:rsidR="00000000" w:rsidDel="00000000" w:rsidP="00000000" w:rsidRDefault="00000000" w:rsidRPr="00000000" w14:paraId="000000D2">
      <w:pPr>
        <w:spacing w:line="480" w:lineRule="auto"/>
        <w:ind w:left="720" w:firstLine="0"/>
        <w:rPr>
          <w:highlight w:val="white"/>
        </w:rPr>
      </w:pPr>
      <w:r w:rsidDel="00000000" w:rsidR="00000000" w:rsidRPr="00000000">
        <w:rPr>
          <w:highlight w:val="white"/>
          <w:rtl w:val="0"/>
        </w:rPr>
        <w:t xml:space="preserve">Paul C. Price, R.S.J. (2017) </w:t>
      </w:r>
      <w:r w:rsidDel="00000000" w:rsidR="00000000" w:rsidRPr="00000000">
        <w:rPr>
          <w:i w:val="1"/>
          <w:highlight w:val="white"/>
          <w:rtl w:val="0"/>
        </w:rPr>
        <w:t xml:space="preserve">Research methods in psychology</w:t>
      </w:r>
      <w:r w:rsidDel="00000000" w:rsidR="00000000" w:rsidRPr="00000000">
        <w:rPr>
          <w:highlight w:val="white"/>
          <w:rtl w:val="0"/>
        </w:rPr>
        <w:t xml:space="preserve">. Available at: https://opentext.wsu.edu/carriecuttler/chapter/observational-research/ (Accessed: 02 April 2024). </w:t>
      </w:r>
    </w:p>
    <w:p w:rsidR="00000000" w:rsidDel="00000000" w:rsidP="00000000" w:rsidRDefault="00000000" w:rsidRPr="00000000" w14:paraId="000000D3">
      <w:pPr>
        <w:spacing w:line="480" w:lineRule="auto"/>
        <w:ind w:left="720" w:firstLine="0"/>
        <w:rPr>
          <w:highlight w:val="white"/>
        </w:rPr>
      </w:pPr>
      <w:r w:rsidDel="00000000" w:rsidR="00000000" w:rsidRPr="00000000">
        <w:rPr>
          <w:highlight w:val="white"/>
          <w:rtl w:val="0"/>
        </w:rPr>
        <w:t xml:space="preserve">Robson, C. and McCartan, K., 2002. </w:t>
      </w:r>
      <w:r w:rsidDel="00000000" w:rsidR="00000000" w:rsidRPr="00000000">
        <w:rPr>
          <w:i w:val="1"/>
          <w:rtl w:val="0"/>
        </w:rPr>
        <w:t xml:space="preserve">Real world research</w:t>
      </w:r>
      <w:r w:rsidDel="00000000" w:rsidR="00000000" w:rsidRPr="00000000">
        <w:rPr>
          <w:highlight w:val="white"/>
          <w:rtl w:val="0"/>
        </w:rPr>
        <w:t xml:space="preserve"> (Vol. 2). Oxford: Blackwell.</w:t>
      </w:r>
    </w:p>
    <w:p w:rsidR="00000000" w:rsidDel="00000000" w:rsidP="00000000" w:rsidRDefault="00000000" w:rsidRPr="00000000" w14:paraId="000000D4">
      <w:pPr>
        <w:spacing w:line="480" w:lineRule="auto"/>
        <w:ind w:left="720" w:firstLine="0"/>
        <w:rPr>
          <w:highlight w:val="white"/>
        </w:rPr>
      </w:pPr>
      <w:r w:rsidDel="00000000" w:rsidR="00000000" w:rsidRPr="00000000">
        <w:rPr>
          <w:rtl w:val="0"/>
        </w:rPr>
      </w:r>
    </w:p>
    <w:p w:rsidR="00000000" w:rsidDel="00000000" w:rsidP="00000000" w:rsidRDefault="00000000" w:rsidRPr="00000000" w14:paraId="000000D5">
      <w:pPr>
        <w:spacing w:line="480" w:lineRule="auto"/>
        <w:ind w:left="720" w:firstLine="0"/>
        <w:rPr/>
      </w:pPr>
      <w:r w:rsidDel="00000000" w:rsidR="00000000" w:rsidRPr="00000000">
        <w:rPr>
          <w:rtl w:val="0"/>
        </w:rPr>
        <w:t xml:space="preserve">Roeser, R.W., Schonert-Reichl, K.A., Jha, A., Cullen, M., Wallace, L., Wilensky, R., Oberle, E., Thomson, K., Taylor, C. and Harrison, J. (2013). Mindfulness training and reductions in teacher stress and burnout: Results from two randomized, waitlist-control field trials. Journal of educational psychology, 105(3), p.787.</w:t>
      </w:r>
    </w:p>
    <w:p w:rsidR="00000000" w:rsidDel="00000000" w:rsidP="00000000" w:rsidRDefault="00000000" w:rsidRPr="00000000" w14:paraId="000000D6">
      <w:pPr>
        <w:spacing w:line="480" w:lineRule="auto"/>
        <w:ind w:left="720" w:firstLine="0"/>
        <w:rPr/>
      </w:pPr>
      <w:r w:rsidDel="00000000" w:rsidR="00000000" w:rsidRPr="00000000">
        <w:rPr>
          <w:rtl w:val="0"/>
        </w:rPr>
      </w:r>
    </w:p>
    <w:p w:rsidR="00000000" w:rsidDel="00000000" w:rsidP="00000000" w:rsidRDefault="00000000" w:rsidRPr="00000000" w14:paraId="000000D7">
      <w:pPr>
        <w:spacing w:line="480" w:lineRule="auto"/>
        <w:ind w:left="720" w:firstLine="0"/>
        <w:rPr/>
      </w:pPr>
      <w:r w:rsidDel="00000000" w:rsidR="00000000" w:rsidRPr="00000000">
        <w:rPr>
          <w:rtl w:val="0"/>
        </w:rPr>
        <w:t xml:space="preserve">Rubin, H. J., &amp; Rubin, I. S. (2012). Qualitative interviewing: The art of hearing data (3rd ed.). Sage Publications.</w:t>
      </w:r>
    </w:p>
    <w:p w:rsidR="00000000" w:rsidDel="00000000" w:rsidP="00000000" w:rsidRDefault="00000000" w:rsidRPr="00000000" w14:paraId="000000D8">
      <w:pPr>
        <w:spacing w:line="480" w:lineRule="auto"/>
        <w:ind w:left="720" w:firstLine="0"/>
        <w:rPr/>
      </w:pPr>
      <w:r w:rsidDel="00000000" w:rsidR="00000000" w:rsidRPr="00000000">
        <w:rPr>
          <w:rtl w:val="0"/>
        </w:rPr>
      </w:r>
    </w:p>
    <w:p w:rsidR="00000000" w:rsidDel="00000000" w:rsidP="00000000" w:rsidRDefault="00000000" w:rsidRPr="00000000" w14:paraId="000000D9">
      <w:pPr>
        <w:spacing w:line="480" w:lineRule="auto"/>
        <w:ind w:left="720" w:firstLine="0"/>
        <w:rPr/>
      </w:pPr>
      <w:r w:rsidDel="00000000" w:rsidR="00000000" w:rsidRPr="00000000">
        <w:rPr>
          <w:rtl w:val="0"/>
        </w:rPr>
        <w:t xml:space="preserve">Saloviita, T. (2013). Classroom management and loss of time at the lesson start: A preliminary study. European Journal of Educational Research, 2(4), pp.167-170.</w:t>
      </w:r>
    </w:p>
    <w:p w:rsidR="00000000" w:rsidDel="00000000" w:rsidP="00000000" w:rsidRDefault="00000000" w:rsidRPr="00000000" w14:paraId="000000DA">
      <w:pPr>
        <w:spacing w:line="480" w:lineRule="auto"/>
        <w:ind w:left="720" w:firstLine="0"/>
        <w:rPr/>
      </w:pPr>
      <w:r w:rsidDel="00000000" w:rsidR="00000000" w:rsidRPr="00000000">
        <w:rPr>
          <w:rtl w:val="0"/>
        </w:rPr>
      </w:r>
    </w:p>
    <w:p w:rsidR="00000000" w:rsidDel="00000000" w:rsidP="00000000" w:rsidRDefault="00000000" w:rsidRPr="00000000" w14:paraId="000000DB">
      <w:pPr>
        <w:spacing w:line="480" w:lineRule="auto"/>
        <w:ind w:left="720" w:firstLine="0"/>
        <w:rPr/>
      </w:pPr>
      <w:r w:rsidDel="00000000" w:rsidR="00000000" w:rsidRPr="00000000">
        <w:rPr>
          <w:rtl w:val="0"/>
        </w:rPr>
        <w:t xml:space="preserve">Schunk, D.H. and Mullen, C.A. (2013). Toward a conceptual model of mentoring research: Integration with self-regulated learning. Educational Psychology Review, 25, pp.361-389.</w:t>
      </w:r>
    </w:p>
    <w:p w:rsidR="00000000" w:rsidDel="00000000" w:rsidP="00000000" w:rsidRDefault="00000000" w:rsidRPr="00000000" w14:paraId="000000DC">
      <w:pPr>
        <w:spacing w:line="480" w:lineRule="auto"/>
        <w:ind w:left="720" w:firstLine="0"/>
        <w:rPr/>
      </w:pPr>
      <w:r w:rsidDel="00000000" w:rsidR="00000000" w:rsidRPr="00000000">
        <w:rPr>
          <w:rtl w:val="0"/>
        </w:rPr>
      </w:r>
    </w:p>
    <w:p w:rsidR="00000000" w:rsidDel="00000000" w:rsidP="00000000" w:rsidRDefault="00000000" w:rsidRPr="00000000" w14:paraId="000000DD">
      <w:pPr>
        <w:spacing w:line="480" w:lineRule="auto"/>
        <w:ind w:left="720" w:firstLine="0"/>
        <w:rPr/>
      </w:pPr>
      <w:r w:rsidDel="00000000" w:rsidR="00000000" w:rsidRPr="00000000">
        <w:rPr>
          <w:rtl w:val="0"/>
        </w:rPr>
        <w:t xml:space="preserve">Simon, M.K. and Goes, J. (2013). Scope, limitations, and delimitations</w:t>
      </w:r>
    </w:p>
    <w:p w:rsidR="00000000" w:rsidDel="00000000" w:rsidP="00000000" w:rsidRDefault="00000000" w:rsidRPr="00000000" w14:paraId="000000DE">
      <w:pPr>
        <w:spacing w:line="480" w:lineRule="auto"/>
        <w:ind w:left="720" w:firstLine="0"/>
        <w:rPr/>
      </w:pPr>
      <w:r w:rsidDel="00000000" w:rsidR="00000000" w:rsidRPr="00000000">
        <w:rPr>
          <w:rtl w:val="0"/>
        </w:rPr>
      </w:r>
    </w:p>
    <w:p w:rsidR="00000000" w:rsidDel="00000000" w:rsidP="00000000" w:rsidRDefault="00000000" w:rsidRPr="00000000" w14:paraId="000000DF">
      <w:pPr>
        <w:spacing w:line="480" w:lineRule="auto"/>
        <w:ind w:left="720" w:firstLine="0"/>
        <w:rPr/>
      </w:pPr>
      <w:r w:rsidDel="00000000" w:rsidR="00000000" w:rsidRPr="00000000">
        <w:rPr>
          <w:highlight w:val="white"/>
          <w:rtl w:val="0"/>
        </w:rPr>
        <w:t xml:space="preserve">Smith, J.A., 2024. Qualitative psychology: A practical guide to research methods.</w:t>
      </w:r>
      <w:r w:rsidDel="00000000" w:rsidR="00000000" w:rsidRPr="00000000">
        <w:rPr>
          <w:rtl w:val="0"/>
        </w:rPr>
      </w:r>
    </w:p>
    <w:p w:rsidR="00000000" w:rsidDel="00000000" w:rsidP="00000000" w:rsidRDefault="00000000" w:rsidRPr="00000000" w14:paraId="000000E0">
      <w:pPr>
        <w:spacing w:line="480" w:lineRule="auto"/>
        <w:ind w:left="720" w:firstLine="0"/>
        <w:rPr/>
      </w:pPr>
      <w:r w:rsidDel="00000000" w:rsidR="00000000" w:rsidRPr="00000000">
        <w:rPr>
          <w:rtl w:val="0"/>
        </w:rPr>
      </w:r>
    </w:p>
    <w:p w:rsidR="00000000" w:rsidDel="00000000" w:rsidP="00000000" w:rsidRDefault="00000000" w:rsidRPr="00000000" w14:paraId="000000E1">
      <w:pPr>
        <w:spacing w:line="480" w:lineRule="auto"/>
        <w:ind w:left="720" w:firstLine="0"/>
        <w:rPr/>
      </w:pPr>
      <w:r w:rsidDel="00000000" w:rsidR="00000000" w:rsidRPr="00000000">
        <w:rPr>
          <w:rtl w:val="0"/>
        </w:rPr>
        <w:t xml:space="preserve">Stanchfield, J. (2018). Setting the tone: Creating a positive environment for learning - experiential tools, Experiential Tools -. Available at: https://blog.experientialtools.com/2016/09/19/setting-the-tone-creating-a-positive-environment-for-learning/#:~:text=Set%20the%20tone%20with%20appropriate,commonalities%20develops%20trust%20and%20empathy. (Accessed: 03 May 2024).</w:t>
      </w:r>
    </w:p>
    <w:p w:rsidR="00000000" w:rsidDel="00000000" w:rsidP="00000000" w:rsidRDefault="00000000" w:rsidRPr="00000000" w14:paraId="000000E2">
      <w:pPr>
        <w:spacing w:line="480" w:lineRule="auto"/>
        <w:ind w:left="720" w:firstLine="0"/>
        <w:rPr/>
      </w:pPr>
      <w:r w:rsidDel="00000000" w:rsidR="00000000" w:rsidRPr="00000000">
        <w:rPr>
          <w:rtl w:val="0"/>
        </w:rPr>
      </w:r>
    </w:p>
    <w:p w:rsidR="00000000" w:rsidDel="00000000" w:rsidP="00000000" w:rsidRDefault="00000000" w:rsidRPr="00000000" w14:paraId="000000E3">
      <w:pPr>
        <w:spacing w:line="480" w:lineRule="auto"/>
        <w:ind w:left="720" w:firstLine="0"/>
        <w:rPr/>
      </w:pPr>
      <w:r w:rsidDel="00000000" w:rsidR="00000000" w:rsidRPr="00000000">
        <w:rPr>
          <w:rtl w:val="0"/>
        </w:rPr>
        <w:t xml:space="preserve">Talbot, C. (2022). 3 quick and effective lesson starters, Savvas Learning Company. Available at: </w:t>
      </w:r>
      <w:hyperlink r:id="rId6">
        <w:r w:rsidDel="00000000" w:rsidR="00000000" w:rsidRPr="00000000">
          <w:rPr>
            <w:u w:val="single"/>
            <w:rtl w:val="0"/>
          </w:rPr>
          <w:t xml:space="preserve">https://www.savvas.com/resource-center/blogs-and-podcasts/f</w:t>
        </w:r>
      </w:hyperlink>
      <w:r w:rsidDel="00000000" w:rsidR="00000000" w:rsidRPr="00000000">
        <w:rPr>
          <w:rtl w:val="0"/>
        </w:rPr>
      </w:r>
    </w:p>
    <w:p w:rsidR="00000000" w:rsidDel="00000000" w:rsidP="00000000" w:rsidRDefault="00000000" w:rsidRPr="00000000" w14:paraId="000000E4">
      <w:pPr>
        <w:spacing w:line="480" w:lineRule="auto"/>
        <w:ind w:left="720" w:firstLine="0"/>
        <w:rPr/>
      </w:pPr>
      <w:r w:rsidDel="00000000" w:rsidR="00000000" w:rsidRPr="00000000">
        <w:rPr>
          <w:rtl w:val="0"/>
        </w:rPr>
      </w:r>
    </w:p>
    <w:p w:rsidR="00000000" w:rsidDel="00000000" w:rsidP="00000000" w:rsidRDefault="00000000" w:rsidRPr="00000000" w14:paraId="000000E5">
      <w:pPr>
        <w:spacing w:line="480" w:lineRule="auto"/>
        <w:ind w:left="720" w:firstLine="0"/>
        <w:rPr>
          <w:highlight w:val="white"/>
        </w:rPr>
      </w:pPr>
      <w:r w:rsidDel="00000000" w:rsidR="00000000" w:rsidRPr="00000000">
        <w:rPr>
          <w:highlight w:val="white"/>
          <w:rtl w:val="0"/>
        </w:rPr>
        <w:t xml:space="preserve">Teddlie, C. and Tashakkori, A., 2009. </w:t>
      </w:r>
      <w:r w:rsidDel="00000000" w:rsidR="00000000" w:rsidRPr="00000000">
        <w:rPr>
          <w:i w:val="1"/>
          <w:highlight w:val="white"/>
          <w:rtl w:val="0"/>
        </w:rPr>
        <w:t xml:space="preserve">Foundations of mixed methods research: Integrating quantitative and qualitative approaches in the social and behavioral sciences</w:t>
      </w:r>
      <w:r w:rsidDel="00000000" w:rsidR="00000000" w:rsidRPr="00000000">
        <w:rPr>
          <w:highlight w:val="white"/>
          <w:rtl w:val="0"/>
        </w:rPr>
        <w:t xml:space="preserve">. Sage.</w:t>
      </w:r>
    </w:p>
    <w:p w:rsidR="00000000" w:rsidDel="00000000" w:rsidP="00000000" w:rsidRDefault="00000000" w:rsidRPr="00000000" w14:paraId="000000E6">
      <w:pPr>
        <w:spacing w:line="480" w:lineRule="auto"/>
        <w:ind w:left="720" w:firstLine="0"/>
        <w:rPr/>
      </w:pPr>
      <w:r w:rsidDel="00000000" w:rsidR="00000000" w:rsidRPr="00000000">
        <w:rPr>
          <w:rtl w:val="0"/>
        </w:rPr>
      </w:r>
    </w:p>
    <w:p w:rsidR="00000000" w:rsidDel="00000000" w:rsidP="00000000" w:rsidRDefault="00000000" w:rsidRPr="00000000" w14:paraId="000000E7">
      <w:pPr>
        <w:spacing w:line="480" w:lineRule="auto"/>
        <w:ind w:left="720" w:firstLine="0"/>
        <w:rPr/>
      </w:pPr>
      <w:r w:rsidDel="00000000" w:rsidR="00000000" w:rsidRPr="00000000">
        <w:rPr>
          <w:rtl w:val="0"/>
        </w:rPr>
        <w:t xml:space="preserve">Verywell Mind. Available at: https://www.verywellmind.com/what-is-dysregulation-5073868#:~:text=Summary-,What%20Is%20Dysregulation%3F,in%20mood%2C%20or%20emotional%20lability. (Accessed: 01 May 2024).</w:t>
      </w:r>
    </w:p>
    <w:p w:rsidR="00000000" w:rsidDel="00000000" w:rsidP="00000000" w:rsidRDefault="00000000" w:rsidRPr="00000000" w14:paraId="000000E8">
      <w:pPr>
        <w:spacing w:line="480" w:lineRule="auto"/>
        <w:ind w:left="720" w:firstLine="0"/>
        <w:rPr/>
      </w:pPr>
      <w:r w:rsidDel="00000000" w:rsidR="00000000" w:rsidRPr="00000000">
        <w:rPr>
          <w:rtl w:val="0"/>
        </w:rPr>
      </w:r>
    </w:p>
    <w:p w:rsidR="00000000" w:rsidDel="00000000" w:rsidP="00000000" w:rsidRDefault="00000000" w:rsidRPr="00000000" w14:paraId="000000E9">
      <w:pPr>
        <w:spacing w:line="480" w:lineRule="auto"/>
        <w:ind w:left="720" w:firstLine="0"/>
        <w:rPr>
          <w:highlight w:val="white"/>
        </w:rPr>
      </w:pPr>
      <w:r w:rsidDel="00000000" w:rsidR="00000000" w:rsidRPr="00000000">
        <w:rPr>
          <w:highlight w:val="white"/>
          <w:rtl w:val="0"/>
        </w:rPr>
        <w:t xml:space="preserve">Wehmeyer, M.L. and Schwartz, M., 1998. The self determination focus of transition goals for students with mental retardation. </w:t>
      </w:r>
      <w:r w:rsidDel="00000000" w:rsidR="00000000" w:rsidRPr="00000000">
        <w:rPr>
          <w:i w:val="1"/>
          <w:rtl w:val="0"/>
        </w:rPr>
        <w:t xml:space="preserve">Career Development for Exceptional Individuals</w:t>
      </w:r>
      <w:r w:rsidDel="00000000" w:rsidR="00000000" w:rsidRPr="00000000">
        <w:rPr>
          <w:highlight w:val="white"/>
          <w:rtl w:val="0"/>
        </w:rPr>
        <w:t xml:space="preserve">, </w:t>
      </w:r>
      <w:r w:rsidDel="00000000" w:rsidR="00000000" w:rsidRPr="00000000">
        <w:rPr>
          <w:i w:val="1"/>
          <w:rtl w:val="0"/>
        </w:rPr>
        <w:t xml:space="preserve">21</w:t>
      </w:r>
      <w:r w:rsidDel="00000000" w:rsidR="00000000" w:rsidRPr="00000000">
        <w:rPr>
          <w:highlight w:val="white"/>
          <w:rtl w:val="0"/>
        </w:rPr>
        <w:t xml:space="preserve">(1), pp.75-86.</w:t>
      </w:r>
    </w:p>
    <w:p w:rsidR="00000000" w:rsidDel="00000000" w:rsidP="00000000" w:rsidRDefault="00000000" w:rsidRPr="00000000" w14:paraId="000000EA">
      <w:pPr>
        <w:spacing w:line="480" w:lineRule="auto"/>
        <w:ind w:left="720" w:firstLine="0"/>
        <w:rPr>
          <w:highlight w:val="white"/>
        </w:rPr>
      </w:pPr>
      <w:r w:rsidDel="00000000" w:rsidR="00000000" w:rsidRPr="00000000">
        <w:rPr>
          <w:rtl w:val="0"/>
        </w:rPr>
      </w:r>
    </w:p>
    <w:p w:rsidR="00000000" w:rsidDel="00000000" w:rsidP="00000000" w:rsidRDefault="00000000" w:rsidRPr="00000000" w14:paraId="000000EB">
      <w:pPr>
        <w:spacing w:line="480" w:lineRule="auto"/>
        <w:ind w:left="720" w:firstLine="0"/>
        <w:rPr/>
      </w:pPr>
      <w:r w:rsidDel="00000000" w:rsidR="00000000" w:rsidRPr="00000000">
        <w:rPr>
          <w:rtl w:val="0"/>
        </w:rPr>
        <w:t xml:space="preserve">Yazan, B. (2015) Three Approaches to Case Study Methods in Education: Yin, Merriam, and Stake, The Qualitative Report, Vol 20, pp.134-152.</w:t>
      </w:r>
    </w:p>
    <w:p w:rsidR="00000000" w:rsidDel="00000000" w:rsidP="00000000" w:rsidRDefault="00000000" w:rsidRPr="00000000" w14:paraId="000000EC">
      <w:pPr>
        <w:spacing w:line="480" w:lineRule="auto"/>
        <w:ind w:left="720" w:firstLine="0"/>
        <w:rPr/>
      </w:pPr>
      <w:r w:rsidDel="00000000" w:rsidR="00000000" w:rsidRPr="00000000">
        <w:rPr>
          <w:rtl w:val="0"/>
        </w:rPr>
      </w:r>
    </w:p>
    <w:p w:rsidR="00000000" w:rsidDel="00000000" w:rsidP="00000000" w:rsidRDefault="00000000" w:rsidRPr="00000000" w14:paraId="000000ED">
      <w:pPr>
        <w:spacing w:line="480" w:lineRule="auto"/>
        <w:ind w:left="720" w:firstLine="0"/>
        <w:rPr/>
      </w:pPr>
      <w:r w:rsidDel="00000000" w:rsidR="00000000" w:rsidRPr="00000000">
        <w:rPr>
          <w:rtl w:val="0"/>
        </w:rPr>
        <w:t xml:space="preserve">Zenner, C., Herrnleben-Kurz, S. and Walach, H. (2014). Mindfulness-based interventions in schools—a systematic review and meta-analysis. Frontiers in psychology, 5, p.89024</w:t>
      </w:r>
    </w:p>
    <w:p w:rsidR="00000000" w:rsidDel="00000000" w:rsidP="00000000" w:rsidRDefault="00000000" w:rsidRPr="00000000" w14:paraId="000000EE">
      <w:pPr>
        <w:rPr>
          <w:color w:val="222222"/>
          <w:sz w:val="20"/>
          <w:szCs w:val="20"/>
          <w:highlight w:val="white"/>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b w:val="0"/>
        <w:i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savvas.com/resource-center/blogs-and-podcasts/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