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7047D2F">
      <w:pPr>
        <w:jc w:val="center"/>
        <w:rPr>
          <w:rFonts w:hint="default" w:ascii="Arial" w:hAnsi="Arial" w:cs="Arial"/>
          <w:b/>
          <w:bCs/>
          <w:lang w:val="en-US"/>
        </w:rPr>
      </w:pPr>
      <w:r>
        <w:rPr>
          <w:rFonts w:hint="default" w:ascii="Arial" w:hAnsi="Arial" w:cs="Arial"/>
          <w:b/>
          <w:bCs/>
          <w:lang w:val="en-US"/>
        </w:rPr>
        <w:drawing>
          <wp:inline distT="0" distB="0" distL="114300" distR="114300">
            <wp:extent cx="3550920" cy="1353185"/>
            <wp:effectExtent l="0" t="0" r="5080" b="5715"/>
            <wp:docPr id="2" name="Picture 2" descr="uni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ni logo"/>
                    <pic:cNvPicPr>
                      <a:picLocks noChangeAspect="1"/>
                    </pic:cNvPicPr>
                  </pic:nvPicPr>
                  <pic:blipFill>
                    <a:blip r:embed="rId4"/>
                    <a:stretch>
                      <a:fillRect/>
                    </a:stretch>
                  </pic:blipFill>
                  <pic:spPr>
                    <a:xfrm>
                      <a:off x="0" y="0"/>
                      <a:ext cx="3550920" cy="1353185"/>
                    </a:xfrm>
                    <a:prstGeom prst="rect">
                      <a:avLst/>
                    </a:prstGeom>
                  </pic:spPr>
                </pic:pic>
              </a:graphicData>
            </a:graphic>
          </wp:inline>
        </w:drawing>
      </w:r>
    </w:p>
    <w:p w14:paraId="6912321E">
      <w:pPr>
        <w:jc w:val="center"/>
        <w:rPr>
          <w:rFonts w:ascii="Arial" w:hAnsi="Arial" w:cs="Arial"/>
          <w:b/>
          <w:bCs/>
        </w:rPr>
      </w:pPr>
    </w:p>
    <w:p w14:paraId="541C89FC">
      <w:pPr>
        <w:jc w:val="center"/>
        <w:rPr>
          <w:rFonts w:ascii="Arial" w:hAnsi="Arial" w:cs="Arial"/>
          <w:b/>
          <w:bCs/>
        </w:rPr>
      </w:pPr>
    </w:p>
    <w:p w14:paraId="1361E790">
      <w:pPr>
        <w:jc w:val="center"/>
        <w:rPr>
          <w:rFonts w:ascii="Arial" w:hAnsi="Arial" w:cs="Arial"/>
          <w:b/>
          <w:bCs/>
        </w:rPr>
      </w:pPr>
    </w:p>
    <w:p w14:paraId="2E879C0E">
      <w:pPr>
        <w:jc w:val="center"/>
        <w:rPr>
          <w:rFonts w:ascii="Arial" w:hAnsi="Arial" w:cs="Arial"/>
          <w:b/>
          <w:bCs/>
        </w:rPr>
      </w:pPr>
    </w:p>
    <w:p w14:paraId="02C8EC66">
      <w:pPr>
        <w:jc w:val="center"/>
        <w:rPr>
          <w:rFonts w:ascii="Arial" w:hAnsi="Arial" w:cs="Arial"/>
          <w:b/>
          <w:bCs/>
        </w:rPr>
      </w:pPr>
    </w:p>
    <w:p w14:paraId="037A9684">
      <w:pPr>
        <w:jc w:val="center"/>
        <w:rPr>
          <w:rFonts w:ascii="Arial" w:hAnsi="Arial" w:cs="Arial"/>
          <w:b/>
          <w:bCs/>
        </w:rPr>
      </w:pPr>
    </w:p>
    <w:p w14:paraId="1025FB5B">
      <w:pPr>
        <w:jc w:val="both"/>
        <w:rPr>
          <w:rFonts w:ascii="Arial" w:hAnsi="Arial" w:cs="Arial"/>
          <w:b/>
          <w:bCs/>
        </w:rPr>
      </w:pPr>
    </w:p>
    <w:p w14:paraId="2772ED31">
      <w:pPr>
        <w:jc w:val="center"/>
        <w:rPr>
          <w:rFonts w:ascii="Arial" w:hAnsi="Arial" w:cs="Arial"/>
          <w:b/>
          <w:bCs/>
        </w:rPr>
      </w:pPr>
    </w:p>
    <w:p w14:paraId="7F8EAF2A">
      <w:pPr>
        <w:jc w:val="center"/>
        <w:rPr>
          <w:rFonts w:ascii="Arial" w:hAnsi="Arial" w:cs="Arial"/>
          <w:b/>
          <w:bCs/>
        </w:rPr>
      </w:pPr>
    </w:p>
    <w:p w14:paraId="6F34EACD">
      <w:pPr>
        <w:jc w:val="center"/>
        <w:rPr>
          <w:rFonts w:ascii="Arial" w:hAnsi="Arial" w:cs="Arial"/>
          <w:b/>
          <w:bCs/>
        </w:rPr>
      </w:pPr>
    </w:p>
    <w:p w14:paraId="66B83E02">
      <w:pPr>
        <w:jc w:val="center"/>
        <w:rPr>
          <w:rFonts w:ascii="Arial" w:hAnsi="Arial" w:cs="Arial"/>
          <w:b/>
          <w:bCs/>
        </w:rPr>
      </w:pPr>
    </w:p>
    <w:p w14:paraId="329371A8">
      <w:pPr>
        <w:jc w:val="center"/>
        <w:rPr>
          <w:rFonts w:ascii="Arial" w:hAnsi="Arial" w:cs="Arial"/>
          <w:b/>
          <w:bCs/>
        </w:rPr>
      </w:pPr>
    </w:p>
    <w:p w14:paraId="020B9CFF">
      <w:pPr>
        <w:jc w:val="center"/>
        <w:rPr>
          <w:rFonts w:hint="default" w:ascii="Arial" w:hAnsi="Arial" w:cs="Arial"/>
          <w:b/>
          <w:bCs/>
          <w:sz w:val="24"/>
          <w:szCs w:val="24"/>
          <w:lang w:val="en-US"/>
        </w:rPr>
      </w:pPr>
      <w:r>
        <w:rPr>
          <w:rFonts w:ascii="Arial" w:hAnsi="Arial" w:cs="Arial"/>
          <w:b/>
          <w:bCs/>
          <w:sz w:val="24"/>
          <w:szCs w:val="24"/>
        </w:rPr>
        <w:t>Student Name:</w:t>
      </w:r>
      <w:r>
        <w:rPr>
          <w:rFonts w:hint="default" w:ascii="Arial" w:hAnsi="Arial" w:cs="Arial"/>
          <w:b/>
          <w:bCs/>
          <w:sz w:val="24"/>
          <w:szCs w:val="24"/>
          <w:lang w:val="en-US"/>
        </w:rPr>
        <w:t xml:space="preserve"> </w:t>
      </w:r>
      <w:r>
        <w:rPr>
          <w:rFonts w:hint="default" w:ascii="Arial" w:hAnsi="Arial"/>
          <w:b/>
          <w:bCs/>
          <w:sz w:val="24"/>
          <w:szCs w:val="24"/>
          <w:lang w:val="en-US"/>
        </w:rPr>
        <w:t>Haroon Ahmad</w:t>
      </w:r>
    </w:p>
    <w:p w14:paraId="2AAC98E7">
      <w:pPr>
        <w:jc w:val="center"/>
        <w:rPr>
          <w:rFonts w:ascii="Arial" w:hAnsi="Arial" w:cs="Arial"/>
          <w:b/>
          <w:bCs/>
          <w:sz w:val="24"/>
          <w:szCs w:val="24"/>
        </w:rPr>
      </w:pPr>
    </w:p>
    <w:p w14:paraId="586C6996">
      <w:pPr>
        <w:jc w:val="center"/>
        <w:rPr>
          <w:rFonts w:hint="default" w:ascii="Arial" w:hAnsi="Arial" w:cs="Arial"/>
          <w:b/>
          <w:bCs/>
          <w:sz w:val="24"/>
          <w:szCs w:val="24"/>
          <w:lang w:val="en-US"/>
        </w:rPr>
      </w:pPr>
      <w:r>
        <w:rPr>
          <w:rFonts w:ascii="Arial" w:hAnsi="Arial" w:cs="Arial"/>
          <w:b/>
          <w:bCs/>
          <w:sz w:val="24"/>
          <w:szCs w:val="24"/>
        </w:rPr>
        <w:t>Student ID:</w:t>
      </w:r>
      <w:r>
        <w:rPr>
          <w:rFonts w:hint="default" w:ascii="Arial" w:hAnsi="Arial" w:cs="Arial"/>
          <w:b w:val="0"/>
          <w:bCs w:val="0"/>
          <w:sz w:val="24"/>
          <w:szCs w:val="24"/>
          <w:lang w:val="en-US"/>
        </w:rPr>
        <w:t xml:space="preserve"> </w:t>
      </w:r>
      <w:r>
        <w:rPr>
          <w:rFonts w:hint="default" w:ascii="Arial" w:hAnsi="Arial"/>
          <w:b/>
          <w:bCs/>
          <w:sz w:val="24"/>
          <w:szCs w:val="24"/>
          <w:lang w:val="en-US"/>
        </w:rPr>
        <w:t>2437163</w:t>
      </w:r>
    </w:p>
    <w:p w14:paraId="63080C9E">
      <w:pPr>
        <w:jc w:val="center"/>
        <w:rPr>
          <w:rFonts w:ascii="Arial" w:hAnsi="Arial" w:cs="Arial"/>
          <w:sz w:val="24"/>
          <w:szCs w:val="24"/>
        </w:rPr>
      </w:pPr>
    </w:p>
    <w:p w14:paraId="3D7751B6">
      <w:pPr>
        <w:jc w:val="center"/>
        <w:rPr>
          <w:rFonts w:ascii="Arial" w:hAnsi="Arial" w:cs="Arial"/>
          <w:sz w:val="24"/>
          <w:szCs w:val="24"/>
        </w:rPr>
      </w:pPr>
    </w:p>
    <w:p w14:paraId="37F10C9F">
      <w:pPr>
        <w:jc w:val="center"/>
        <w:rPr>
          <w:rFonts w:ascii="Arial" w:hAnsi="Arial" w:cs="Arial"/>
          <w:b/>
          <w:bCs/>
          <w:sz w:val="24"/>
          <w:szCs w:val="24"/>
        </w:rPr>
      </w:pPr>
      <w:r>
        <w:rPr>
          <w:rFonts w:ascii="Arial" w:hAnsi="Arial" w:cs="Arial"/>
          <w:b/>
          <w:bCs/>
          <w:sz w:val="24"/>
          <w:szCs w:val="24"/>
        </w:rPr>
        <w:t xml:space="preserve">Module Name: </w:t>
      </w:r>
      <w:r>
        <w:rPr>
          <w:rFonts w:hint="default" w:ascii="Arial" w:hAnsi="Arial"/>
          <w:b/>
          <w:bCs/>
          <w:sz w:val="24"/>
          <w:szCs w:val="24"/>
          <w:lang w:val="en-US"/>
        </w:rPr>
        <w:t>Financial</w:t>
      </w:r>
      <w:r>
        <w:rPr>
          <w:rFonts w:hint="default" w:ascii="Arial" w:hAnsi="Arial"/>
          <w:b/>
          <w:bCs/>
          <w:sz w:val="24"/>
          <w:szCs w:val="24"/>
        </w:rPr>
        <w:t xml:space="preserve"> </w:t>
      </w:r>
      <w:r>
        <w:rPr>
          <w:rFonts w:hint="default" w:ascii="Arial" w:hAnsi="Arial"/>
          <w:b/>
          <w:bCs/>
          <w:sz w:val="24"/>
          <w:szCs w:val="24"/>
          <w:lang w:val="en-US"/>
        </w:rPr>
        <w:t>M</w:t>
      </w:r>
      <w:r>
        <w:rPr>
          <w:rFonts w:hint="default" w:ascii="Arial" w:hAnsi="Arial"/>
          <w:b/>
          <w:bCs/>
          <w:sz w:val="24"/>
          <w:szCs w:val="24"/>
        </w:rPr>
        <w:t>anagement</w:t>
      </w:r>
    </w:p>
    <w:p w14:paraId="1F614A44">
      <w:pPr>
        <w:jc w:val="center"/>
        <w:rPr>
          <w:rFonts w:ascii="Arial" w:hAnsi="Arial" w:cs="Arial"/>
          <w:b/>
          <w:bCs/>
          <w:sz w:val="24"/>
          <w:szCs w:val="24"/>
        </w:rPr>
      </w:pPr>
    </w:p>
    <w:p w14:paraId="0794A99E">
      <w:pPr>
        <w:jc w:val="center"/>
        <w:rPr>
          <w:rFonts w:hint="default" w:ascii="Arial" w:hAnsi="Arial" w:cs="Arial"/>
          <w:b/>
          <w:bCs/>
          <w:sz w:val="24"/>
          <w:szCs w:val="24"/>
          <w:lang w:val="en-US"/>
        </w:rPr>
      </w:pPr>
      <w:r>
        <w:rPr>
          <w:rFonts w:ascii="Arial" w:hAnsi="Arial" w:cs="Arial"/>
          <w:b/>
          <w:bCs/>
          <w:sz w:val="24"/>
          <w:szCs w:val="24"/>
        </w:rPr>
        <w:t xml:space="preserve">Module Code: </w:t>
      </w:r>
      <w:r>
        <w:rPr>
          <w:rFonts w:hint="default" w:ascii="Arial" w:hAnsi="Arial"/>
          <w:b/>
          <w:bCs/>
          <w:sz w:val="24"/>
          <w:szCs w:val="24"/>
        </w:rPr>
        <w:t>LCMB70</w:t>
      </w:r>
      <w:r>
        <w:rPr>
          <w:rFonts w:hint="default" w:ascii="Arial" w:hAnsi="Arial"/>
          <w:b/>
          <w:bCs/>
          <w:sz w:val="24"/>
          <w:szCs w:val="24"/>
          <w:lang w:val="en-US"/>
        </w:rPr>
        <w:t>02</w:t>
      </w:r>
    </w:p>
    <w:p w14:paraId="242318AB">
      <w:pPr>
        <w:jc w:val="center"/>
        <w:rPr>
          <w:rFonts w:ascii="Arial" w:hAnsi="Arial" w:cs="Arial"/>
          <w:b/>
          <w:bCs/>
          <w:sz w:val="24"/>
          <w:szCs w:val="24"/>
        </w:rPr>
      </w:pPr>
    </w:p>
    <w:p w14:paraId="5A962802">
      <w:pPr>
        <w:jc w:val="center"/>
        <w:rPr>
          <w:rFonts w:ascii="Arial" w:hAnsi="Arial" w:cs="Arial"/>
          <w:b/>
          <w:bCs/>
          <w:sz w:val="24"/>
          <w:szCs w:val="24"/>
        </w:rPr>
      </w:pPr>
    </w:p>
    <w:p w14:paraId="38F1A035">
      <w:pPr>
        <w:jc w:val="center"/>
        <w:rPr>
          <w:rFonts w:ascii="Arial" w:hAnsi="Arial" w:cs="Arial"/>
          <w:b/>
          <w:bCs/>
          <w:sz w:val="24"/>
          <w:szCs w:val="24"/>
        </w:rPr>
      </w:pPr>
    </w:p>
    <w:p w14:paraId="7E74A1F6">
      <w:pPr>
        <w:jc w:val="center"/>
        <w:rPr>
          <w:rFonts w:ascii="Arial" w:hAnsi="Arial" w:cs="Arial"/>
          <w:b/>
          <w:bCs/>
          <w:sz w:val="24"/>
          <w:szCs w:val="24"/>
        </w:rPr>
      </w:pPr>
    </w:p>
    <w:p w14:paraId="1C05EEAE">
      <w:pPr>
        <w:jc w:val="center"/>
        <w:rPr>
          <w:rFonts w:hint="default" w:ascii="Arial" w:hAnsi="Arial" w:cs="Arial"/>
          <w:b/>
          <w:bCs/>
          <w:sz w:val="24"/>
          <w:szCs w:val="24"/>
          <w:lang w:val="en-US"/>
        </w:rPr>
      </w:pPr>
      <w:r>
        <w:rPr>
          <w:rFonts w:ascii="Arial" w:hAnsi="Arial" w:cs="Arial"/>
          <w:b/>
          <w:bCs/>
          <w:sz w:val="24"/>
          <w:szCs w:val="24"/>
        </w:rPr>
        <w:t>Lecturer’s Name:</w:t>
      </w:r>
      <w:r>
        <w:rPr>
          <w:rFonts w:hint="default" w:ascii="Arial" w:hAnsi="Arial" w:cs="Arial"/>
          <w:b/>
          <w:bCs/>
          <w:sz w:val="24"/>
          <w:szCs w:val="24"/>
          <w:lang w:val="en-US"/>
        </w:rPr>
        <w:t xml:space="preserve"> </w:t>
      </w:r>
      <w:r>
        <w:rPr>
          <w:rFonts w:hint="default" w:ascii="Arial" w:hAnsi="Arial"/>
          <w:b/>
          <w:bCs/>
          <w:sz w:val="24"/>
          <w:szCs w:val="24"/>
          <w:lang w:val="en-US"/>
        </w:rPr>
        <w:t>Shengfeng Mei (London)</w:t>
      </w:r>
    </w:p>
    <w:p w14:paraId="2534BC8F">
      <w:pPr>
        <w:jc w:val="center"/>
        <w:rPr>
          <w:rFonts w:ascii="Arial" w:hAnsi="Arial" w:cs="Arial"/>
          <w:b/>
          <w:bCs/>
          <w:sz w:val="24"/>
          <w:szCs w:val="24"/>
        </w:rPr>
      </w:pPr>
    </w:p>
    <w:p w14:paraId="70E1BD2A">
      <w:pPr>
        <w:jc w:val="center"/>
        <w:rPr>
          <w:rFonts w:ascii="Arial" w:hAnsi="Arial" w:cs="Arial"/>
          <w:b/>
          <w:bCs/>
          <w:sz w:val="24"/>
          <w:szCs w:val="24"/>
        </w:rPr>
      </w:pPr>
    </w:p>
    <w:p w14:paraId="55B10977">
      <w:pPr>
        <w:rPr>
          <w:rFonts w:ascii="Arial" w:hAnsi="Arial" w:cs="Arial"/>
          <w:b/>
          <w:bCs/>
          <w:sz w:val="24"/>
          <w:szCs w:val="24"/>
        </w:rPr>
      </w:pPr>
    </w:p>
    <w:p w14:paraId="39FE983B">
      <w:pPr>
        <w:jc w:val="center"/>
        <w:rPr>
          <w:rFonts w:hint="default" w:ascii="Arial" w:hAnsi="Arial" w:cs="Arial"/>
          <w:b/>
          <w:bCs/>
          <w:sz w:val="24"/>
          <w:szCs w:val="24"/>
          <w:lang w:val="en-US"/>
        </w:rPr>
      </w:pPr>
      <w:r>
        <w:rPr>
          <w:rFonts w:ascii="Arial" w:hAnsi="Arial" w:cs="Arial"/>
          <w:b/>
          <w:bCs/>
          <w:sz w:val="24"/>
          <w:szCs w:val="24"/>
        </w:rPr>
        <w:t>Work Count:</w:t>
      </w:r>
      <w:r>
        <w:rPr>
          <w:rFonts w:hint="default" w:ascii="Arial" w:hAnsi="Arial" w:cs="Arial"/>
          <w:b/>
          <w:bCs/>
          <w:sz w:val="24"/>
          <w:szCs w:val="24"/>
          <w:lang w:val="en-US"/>
        </w:rPr>
        <w:t xml:space="preserve"> 5279</w:t>
      </w:r>
    </w:p>
    <w:p w14:paraId="2CC2A054">
      <w:pPr>
        <w:jc w:val="center"/>
        <w:rPr>
          <w:rFonts w:ascii="Arial" w:hAnsi="Arial" w:cs="Arial"/>
          <w:b/>
          <w:bCs/>
          <w:sz w:val="24"/>
          <w:szCs w:val="24"/>
        </w:rPr>
      </w:pPr>
    </w:p>
    <w:p w14:paraId="6A8F56C7">
      <w:pPr>
        <w:jc w:val="center"/>
        <w:rPr>
          <w:rFonts w:ascii="Arial" w:hAnsi="Arial" w:cs="Arial"/>
          <w:b/>
          <w:bCs/>
          <w:sz w:val="24"/>
          <w:szCs w:val="24"/>
        </w:rPr>
      </w:pPr>
    </w:p>
    <w:p w14:paraId="74532E5F">
      <w:pPr>
        <w:jc w:val="center"/>
        <w:rPr>
          <w:rFonts w:ascii="Arial" w:hAnsi="Arial" w:cs="Arial"/>
          <w:b/>
          <w:bCs/>
          <w:sz w:val="24"/>
          <w:szCs w:val="24"/>
        </w:rPr>
      </w:pPr>
    </w:p>
    <w:p w14:paraId="102B9D5E">
      <w:pPr>
        <w:jc w:val="center"/>
        <w:rPr>
          <w:rFonts w:ascii="Arial" w:hAnsi="Arial" w:cs="Arial"/>
          <w:b/>
          <w:bCs/>
          <w:sz w:val="24"/>
          <w:szCs w:val="24"/>
        </w:rPr>
      </w:pPr>
    </w:p>
    <w:p w14:paraId="76B4AC18">
      <w:pPr>
        <w:jc w:val="center"/>
        <w:rPr>
          <w:rFonts w:ascii="Arial" w:hAnsi="Arial" w:cs="Arial"/>
          <w:b/>
          <w:bCs/>
          <w:sz w:val="24"/>
          <w:szCs w:val="24"/>
        </w:rPr>
      </w:pPr>
    </w:p>
    <w:p w14:paraId="3D7042D2">
      <w:pPr>
        <w:jc w:val="center"/>
        <w:rPr>
          <w:rFonts w:ascii="Arial" w:hAnsi="Arial" w:cs="Arial"/>
          <w:b/>
          <w:bCs/>
          <w:sz w:val="24"/>
          <w:szCs w:val="24"/>
        </w:rPr>
      </w:pPr>
      <w:r>
        <w:rPr>
          <w:rFonts w:ascii="Arial" w:hAnsi="Arial" w:cs="Arial"/>
          <w:b/>
          <w:bCs/>
          <w:sz w:val="24"/>
          <w:szCs w:val="24"/>
        </w:rPr>
        <w:t>Term 1</w:t>
      </w:r>
    </w:p>
    <w:p w14:paraId="5C85F99D">
      <w:pPr>
        <w:rPr>
          <w:rFonts w:hint="default"/>
          <w:lang w:val="en-US"/>
        </w:rPr>
      </w:pPr>
      <w:r>
        <w:rPr>
          <w:rFonts w:hint="default"/>
          <w:lang w:val="en-US"/>
        </w:rPr>
        <w:br w:type="page"/>
      </w:r>
    </w:p>
    <w:sdt>
      <w:sdtPr>
        <w:rPr>
          <w:rFonts w:ascii="SimSun" w:hAnsi="SimSun" w:eastAsia="SimSun" w:cstheme="minorBidi"/>
          <w:sz w:val="21"/>
          <w:lang w:val="en-US" w:eastAsia="zh-CN" w:bidi="ar-SA"/>
        </w:rPr>
        <w:id w:val="147460566"/>
        <w15:color w:val="DBDBDB"/>
        <w:docPartObj>
          <w:docPartGallery w:val="Table of Contents"/>
          <w:docPartUnique/>
        </w:docPartObj>
      </w:sdtPr>
      <w:sdtEndPr>
        <w:rPr>
          <w:rFonts w:ascii="SimSun" w:hAnsi="SimSun" w:eastAsia="SimSun" w:cstheme="minorBidi"/>
          <w:b/>
          <w:sz w:val="21"/>
          <w:lang w:val="en-US" w:eastAsia="zh-CN" w:bidi="ar-SA"/>
        </w:rPr>
      </w:sdtEndPr>
      <w:sdtContent>
        <w:p w14:paraId="4E484E20">
          <w:pPr>
            <w:spacing w:before="0" w:beforeLines="0" w:after="0" w:afterLines="0" w:line="360" w:lineRule="auto"/>
            <w:ind w:left="0" w:leftChars="0" w:right="0" w:rightChars="0" w:firstLine="0" w:firstLineChars="0"/>
            <w:jc w:val="center"/>
            <w:rPr>
              <w:rFonts w:hint="default" w:ascii="Times New Roman" w:hAnsi="Times New Roman" w:cs="Times New Roman"/>
              <w:sz w:val="24"/>
              <w:szCs w:val="24"/>
              <w:lang w:val="en-US"/>
            </w:rPr>
          </w:pPr>
          <w:r>
            <w:rPr>
              <w:rFonts w:hint="default" w:ascii="Times New Roman" w:hAnsi="Times New Roman" w:eastAsia="SimSun" w:cs="Times New Roman"/>
              <w:sz w:val="24"/>
              <w:szCs w:val="24"/>
              <w:lang w:val="en-US" w:eastAsia="zh-CN" w:bidi="ar-SA"/>
            </w:rPr>
            <w:t>Table of Content</w:t>
          </w:r>
        </w:p>
        <w:p w14:paraId="5E3EE0C5">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TOC \o "1-2" \h \u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_Toc7319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 Financial Health Check</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_Toc7319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461C642">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_Toc30563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1.1 Overview of Financial Performance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_Toc30563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769B85B">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_Toc13557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1.2 Profitability Ratio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_Toc13557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6138F79">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_Toc11853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1.3 Liquidity Ratio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_Toc11853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0B75771">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_Toc6220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1.4 Efficiency (Activity) Ratio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_Toc6220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088DCE9">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_Toc21414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1.5 Gearing and Solvency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_Toc21414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21DCB13">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_Toc833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1.6 Cash Flow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_Toc833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EA0D6C9">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_Toc9829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1.7 Corporate Failure Risk: Altman Z-Score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_Toc9829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2264E5A">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_Toc25162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2. Working Capital Management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_Toc25162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7871CF8">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_Toc19737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2.1 Assessment of the Cash Operating Cycle</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_Toc19737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CE64200">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_Toc17892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2.2 Liquidity Challenges and Working Capital Risks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_Toc17892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B85A689">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_Toc12749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2.3 Strategies to Improve Liquidity through Working Capital Reforms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_Toc12749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2A10B1">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_Toc9575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2.4 Short Term versus Long Term Financing Options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_Toc9575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6DCBC1A0">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_Toc13833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3. Strategic Financial Restructuring Plan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_Toc13833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39D382B">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_Toc19846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3.1 Recommended Financial Restructuring Options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_Toc19846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11</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F02A622">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_Toc18390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3.2 Impact on Shareholder Value, Debt Structure, and Operational Flexibility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_Toc18390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13</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A2BD8F0">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_Toc32701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3.3 International and Ethical Considerations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_Toc32701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14</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1D716F1">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_Toc26612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 Investment Appraisal and Capital Budgeting</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_Toc26612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23034BF">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_Toc12857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4.1 Importance of Capital Budgeting in the Current Financial Context</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_Toc12857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6874BD3">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_Toc29343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4.2 Project Cash Flow Profiles and Risk Characteristics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_Toc29343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15</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31F9D0D">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_Toc7168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4.3 Payback Period (PBP) Analysis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_Toc7168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1363ECB">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_Toc18323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4.4 Accounting Rate of Return (ARR)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_Toc18323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16</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0FAF30E4">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_Toc22374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4.5 Net Present Value (NPV)</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_Toc22374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1A851FC1">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_Toc4920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4.6 Profitability Index (PI)</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_Toc4920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111933C">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_Toc29967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4.7 Internal Rate of Return (IRR)</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_Toc29967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2E807601">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_Toc18967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4.8 Capital Rationing and Investment Feasibility</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_Toc18967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18</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4FA00AAF">
          <w:pPr>
            <w:pStyle w:val="143"/>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_Toc27655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4.9 Final Investment Recommendation</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_Toc27655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19</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565511ED">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_Toc12551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5. Appendices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_Toc12551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20</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3B9ED3AF">
          <w:pPr>
            <w:pStyle w:val="142"/>
            <w:tabs>
              <w:tab w:val="right" w:leader="dot" w:pos="9746"/>
            </w:tabs>
            <w:spacing w:line="360" w:lineRule="auto"/>
            <w:rPr>
              <w:rFonts w:hint="default" w:ascii="Times New Roman" w:hAnsi="Times New Roman" w:cs="Times New Roman"/>
              <w:sz w:val="24"/>
              <w:szCs w:val="24"/>
            </w:rPr>
          </w:pP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HYPERLINK \l _Toc30664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lang w:val="en-US"/>
            </w:rPr>
            <w:t>6. References</w:t>
          </w:r>
          <w:r>
            <w:rPr>
              <w:rFonts w:hint="default" w:ascii="Times New Roman" w:hAnsi="Times New Roman" w:cs="Times New Roman"/>
              <w:sz w:val="24"/>
              <w:szCs w:val="24"/>
            </w:rPr>
            <w:tab/>
          </w:r>
          <w:r>
            <w:rPr>
              <w:rFonts w:hint="default" w:ascii="Times New Roman" w:hAnsi="Times New Roman" w:cs="Times New Roman"/>
              <w:sz w:val="24"/>
              <w:szCs w:val="24"/>
            </w:rPr>
            <w:fldChar w:fldCharType="begin"/>
          </w:r>
          <w:r>
            <w:rPr>
              <w:rFonts w:hint="default" w:ascii="Times New Roman" w:hAnsi="Times New Roman" w:cs="Times New Roman"/>
              <w:sz w:val="24"/>
              <w:szCs w:val="24"/>
            </w:rPr>
            <w:instrText xml:space="preserve"> PAGEREF _Toc30664 \h </w:instrText>
          </w:r>
          <w:r>
            <w:rPr>
              <w:rFonts w:hint="default" w:ascii="Times New Roman" w:hAnsi="Times New Roman" w:cs="Times New Roman"/>
              <w:sz w:val="24"/>
              <w:szCs w:val="24"/>
            </w:rPr>
            <w:fldChar w:fldCharType="separate"/>
          </w:r>
          <w:r>
            <w:rPr>
              <w:rFonts w:hint="default" w:ascii="Times New Roman" w:hAnsi="Times New Roman" w:cs="Times New Roman"/>
              <w:sz w:val="24"/>
              <w:szCs w:val="24"/>
            </w:rPr>
            <w:t>27</w:t>
          </w:r>
          <w:r>
            <w:rPr>
              <w:rFonts w:hint="default" w:ascii="Times New Roman" w:hAnsi="Times New Roman" w:cs="Times New Roman"/>
              <w:sz w:val="24"/>
              <w:szCs w:val="24"/>
            </w:rPr>
            <w:fldChar w:fldCharType="end"/>
          </w:r>
          <w:r>
            <w:rPr>
              <w:rFonts w:hint="default" w:ascii="Times New Roman" w:hAnsi="Times New Roman" w:cs="Times New Roman"/>
              <w:sz w:val="24"/>
              <w:szCs w:val="24"/>
            </w:rPr>
            <w:fldChar w:fldCharType="end"/>
          </w:r>
        </w:p>
        <w:p w14:paraId="7C52415D">
          <w:pPr>
            <w:spacing w:line="360" w:lineRule="auto"/>
            <w:rPr>
              <w:b/>
            </w:rPr>
          </w:pPr>
          <w:r>
            <w:rPr>
              <w:rFonts w:hint="default" w:ascii="Times New Roman" w:hAnsi="Times New Roman" w:cs="Times New Roman"/>
              <w:sz w:val="24"/>
              <w:szCs w:val="24"/>
            </w:rPr>
            <w:fldChar w:fldCharType="end"/>
          </w:r>
        </w:p>
      </w:sdtContent>
    </w:sdt>
    <w:p w14:paraId="6EF1F748">
      <w:pPr>
        <w:rPr>
          <w:b/>
        </w:rPr>
      </w:pPr>
    </w:p>
    <w:p w14:paraId="6FBF3474">
      <w:pPr>
        <w:rPr>
          <w:rFonts w:hint="default"/>
          <w:lang w:val="en-US"/>
        </w:rPr>
      </w:pPr>
      <w:r>
        <w:rPr>
          <w:rFonts w:hint="default"/>
          <w:lang w:val="en-US"/>
        </w:rPr>
        <w:br w:type="page"/>
      </w:r>
    </w:p>
    <w:p w14:paraId="0BD1516B">
      <w:pPr>
        <w:pStyle w:val="2"/>
        <w:bidi w:val="0"/>
        <w:spacing w:line="240" w:lineRule="auto"/>
        <w:rPr>
          <w:rFonts w:hint="default"/>
          <w:lang w:val="en-US"/>
        </w:rPr>
      </w:pPr>
      <w:bookmarkStart w:id="0" w:name="_Toc7319"/>
      <w:r>
        <w:rPr>
          <w:rFonts w:hint="default"/>
          <w:lang w:val="en-US"/>
        </w:rPr>
        <w:t>1. Financial Health Check</w:t>
      </w:r>
      <w:bookmarkEnd w:id="0"/>
    </w:p>
    <w:p w14:paraId="7596C7F3">
      <w:pPr>
        <w:pStyle w:val="3"/>
        <w:bidi w:val="0"/>
        <w:spacing w:line="240" w:lineRule="auto"/>
        <w:rPr>
          <w:rFonts w:hint="default"/>
          <w:lang w:val="en-US"/>
        </w:rPr>
      </w:pPr>
      <w:bookmarkStart w:id="1" w:name="_Toc30563"/>
      <w:r>
        <w:rPr>
          <w:rFonts w:hint="default"/>
          <w:lang w:val="en-US"/>
        </w:rPr>
        <w:t>1.1 Overview of Financial Performance</w:t>
      </w:r>
      <w:bookmarkEnd w:id="1"/>
    </w:p>
    <w:p w14:paraId="3D2A193F">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An overall assessment of the financial performance of General Electronics across the five-year span between 2020 and 2024 can demonstrate that the company enjoyed a steady and significant decline of its financial well-being, especially in 2023. Although the organisation showed fairly stable profitability and operational capacity in the years of 2020 and 2021, the following ones are defined by the decreasing revenues, deteriorating margins, operating losses, and decreasing liquidity ratios. As the newly hired Chief Financial Officer (CFO), these events loom large concerns as to how the firm will be able to survive without urgent financial and strategic support.</w:t>
      </w:r>
    </w:p>
    <w:p w14:paraId="47ADCD09">
      <w:pPr>
        <w:spacing w:line="360" w:lineRule="auto"/>
        <w:jc w:val="both"/>
        <w:rPr>
          <w:rFonts w:hint="default" w:ascii="Times New Roman" w:hAnsi="Times New Roman"/>
          <w:sz w:val="24"/>
          <w:szCs w:val="24"/>
          <w:lang w:val="en-US"/>
        </w:rPr>
      </w:pPr>
    </w:p>
    <w:p w14:paraId="7302F48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total net sales became lower by about 36 percent, with a decrease of between 2020 and 2024 being experienced by a decrease from 614,680m to 394,879m. This prolonged deterioration represents the decrease of competitiveness on the market,</w:t>
      </w:r>
      <w:bookmarkStart w:id="29" w:name="_GoBack"/>
      <w:bookmarkEnd w:id="29"/>
      <w:r>
        <w:rPr>
          <w:rFonts w:hint="default" w:ascii="Times New Roman" w:hAnsi="Times New Roman"/>
          <w:sz w:val="24"/>
          <w:szCs w:val="24"/>
          <w:lang w:val="en-US"/>
        </w:rPr>
        <w:t xml:space="preserve"> high competition in the world consumer electronics market, pressure on prices and possibly loss of brand relevance. Though the cost of sales also went down within the period, the decrease was not comparative to the decrease in the revenue, causing squeezed profitability. This throws into focus frugality of cost adaptability and the inability to reshape the cost structure adequately in reaction to declining demand.</w:t>
      </w:r>
    </w:p>
    <w:p w14:paraId="733A2F86">
      <w:pPr>
        <w:spacing w:line="360" w:lineRule="auto"/>
        <w:jc w:val="both"/>
        <w:rPr>
          <w:rFonts w:hint="default" w:ascii="Times New Roman" w:hAnsi="Times New Roman"/>
          <w:sz w:val="24"/>
          <w:szCs w:val="24"/>
          <w:lang w:val="en-US"/>
        </w:rPr>
      </w:pPr>
    </w:p>
    <w:p w14:paraId="6DCE7890">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most important issue is a transition to stable profits in 2020, 2021 at the level of net losses in 2023 and 2024. The net income became negative and dropped to a loss of 98,238m in 2023 and a later loss of 24,029m in 2024. This trend does not just reflect operational inefficiency but also an increased financial risk which means that the problems facing the firm are becoming more structural and less cycle-driven.</w:t>
      </w:r>
    </w:p>
    <w:p w14:paraId="6E44808B">
      <w:pPr>
        <w:spacing w:line="360" w:lineRule="auto"/>
        <w:jc w:val="both"/>
        <w:rPr>
          <w:rFonts w:hint="default" w:ascii="Times New Roman" w:hAnsi="Times New Roman"/>
          <w:sz w:val="24"/>
          <w:szCs w:val="24"/>
          <w:lang w:val="en-US"/>
        </w:rPr>
      </w:pPr>
    </w:p>
    <w:p w14:paraId="49983664">
      <w:pPr>
        <w:pStyle w:val="3"/>
        <w:bidi w:val="0"/>
        <w:spacing w:line="240" w:lineRule="auto"/>
        <w:rPr>
          <w:rFonts w:hint="default"/>
          <w:lang w:val="en-US"/>
        </w:rPr>
      </w:pPr>
      <w:bookmarkStart w:id="2" w:name="_Toc13557"/>
      <w:r>
        <w:rPr>
          <w:rFonts w:hint="default"/>
          <w:lang w:val="en-US"/>
        </w:rPr>
        <w:t>1.2 Profitability Ratio Analysis</w:t>
      </w:r>
      <w:bookmarkEnd w:id="2"/>
    </w:p>
    <w:p w14:paraId="485EBEC7">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Profitability ratios offer an understanding of how the firm is able to make profits in comparison to its sales, assets, and equity (Rashid, 2021). The gross profit margin has been relatively constant throughout the years, with an approximate of 28.7 percent and 28.9 percent in 2020 and 2024 respectively. But this seeming stability covers vast volatility in in-between years, especially the conceptual steep drop seen in 2023. The fact that the gross margin had not improved significantly even as sales declined indicates low pricing strength, little product differentiation, and supply chain inefficiencies that do not harbour competitive strategy in one of the technology-driven market.</w:t>
      </w:r>
    </w:p>
    <w:p w14:paraId="658F912A">
      <w:pPr>
        <w:spacing w:line="360" w:lineRule="auto"/>
        <w:jc w:val="both"/>
        <w:rPr>
          <w:rFonts w:hint="default" w:ascii="Times New Roman" w:hAnsi="Times New Roman"/>
          <w:sz w:val="24"/>
          <w:szCs w:val="24"/>
          <w:lang w:val="en-US"/>
        </w:rPr>
      </w:pPr>
    </w:p>
    <w:p w14:paraId="1B4D00D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operating profit margin went down substantially to -3.9 percent in the year 2024 as compared to 6.1 percent in 2020 with a lowest extreme of -20.3 percent in 2023. This decline is indicative of a huge rise in the cost of operations in comparison to revenue. In 2023, the operating expenses were higher than the gross profit which means the entrenched overheads and lack of flexibility in terms of the operational scalability. Failure to cut costs of operation in proportion of the shrinking revenues put the firm at long term losses in times of shrinking demand.</w:t>
      </w:r>
    </w:p>
    <w:p w14:paraId="008FBB22">
      <w:pPr>
        <w:spacing w:line="360" w:lineRule="auto"/>
        <w:jc w:val="both"/>
        <w:rPr>
          <w:rFonts w:hint="default" w:ascii="Times New Roman" w:hAnsi="Times New Roman"/>
          <w:sz w:val="24"/>
          <w:szCs w:val="24"/>
          <w:lang w:val="en-US"/>
        </w:rPr>
      </w:pPr>
    </w:p>
    <w:p w14:paraId="008D3B11">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In the same vein, the net profit margin being negative with 6.1 percent in the year 2024 as compared to the 6.3 percent stated in the year 2020. Continuous net losses imply that there has been excessive investment in financing, impairment charges and weak cost controls than revenue generating ability. This continual loss is massive value destruction to the shareholders.</w:t>
      </w:r>
    </w:p>
    <w:p w14:paraId="06A8AE93">
      <w:pPr>
        <w:spacing w:line="360" w:lineRule="auto"/>
        <w:jc w:val="both"/>
        <w:rPr>
          <w:rFonts w:hint="default" w:ascii="Times New Roman" w:hAnsi="Times New Roman"/>
          <w:sz w:val="24"/>
          <w:szCs w:val="24"/>
          <w:lang w:val="en-US"/>
        </w:rPr>
      </w:pPr>
    </w:p>
    <w:p w14:paraId="05B2AEEE">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ratio of return on assets (ROA) deteriorated significantly as it was around 7.6 percent in 2020 and at 2024, it was in the range of -7.4 percent, indicating a decline in the efficiency of assets utilisation. The firm has failed to ensure sufficient operating returns on the large asset base which indicates underutilised capacity and ineffective deployment of capital.</w:t>
      </w:r>
    </w:p>
    <w:p w14:paraId="706D4C4E">
      <w:pPr>
        <w:spacing w:line="360" w:lineRule="auto"/>
        <w:jc w:val="both"/>
        <w:rPr>
          <w:rFonts w:hint="default" w:ascii="Times New Roman" w:hAnsi="Times New Roman"/>
          <w:sz w:val="24"/>
          <w:szCs w:val="24"/>
          <w:lang w:val="en-US"/>
        </w:rPr>
      </w:pPr>
    </w:p>
    <w:p w14:paraId="0849E0AC">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It is also the same with the return on equity (ROE) which is decreasing to -15.7 percent in 2024 after being 12.3 percent in 2020. This is because this fall is supported by net loss as well as a decline in the equity of the shareholders as a result of accumulated losses. Negative ROE is an indicator of intense loss of shareholder value and aggravates investor confidence. (Appendix 1)</w:t>
      </w:r>
    </w:p>
    <w:p w14:paraId="2EECB256">
      <w:pPr>
        <w:spacing w:line="360" w:lineRule="auto"/>
        <w:jc w:val="both"/>
        <w:rPr>
          <w:rFonts w:hint="default" w:ascii="Times New Roman" w:hAnsi="Times New Roman"/>
          <w:sz w:val="24"/>
          <w:szCs w:val="24"/>
          <w:lang w:val="en-US"/>
        </w:rPr>
      </w:pPr>
    </w:p>
    <w:p w14:paraId="0E96F1DF">
      <w:pPr>
        <w:pStyle w:val="3"/>
        <w:bidi w:val="0"/>
        <w:spacing w:line="240" w:lineRule="auto"/>
        <w:rPr>
          <w:rFonts w:hint="default"/>
          <w:lang w:val="en-US"/>
        </w:rPr>
      </w:pPr>
      <w:bookmarkStart w:id="3" w:name="_Toc11853"/>
      <w:r>
        <w:rPr>
          <w:rFonts w:hint="default"/>
          <w:lang w:val="en-US"/>
        </w:rPr>
        <w:t>1.3 Liquidity Ratio Analysis</w:t>
      </w:r>
      <w:bookmarkEnd w:id="3"/>
    </w:p>
    <w:p w14:paraId="0C4C6EE3">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Liquidity ratios are the measures of the company to fulfil the current liabilities as they become due (Lalithchandra and Rajendhiran, 2021). It is found that the current ratio has decreased by around 1.82 in 2020 and 1.53 in 2024. The ratio is still above the traditional threshold of 1.0 but the downward strategy shows short-term liquidity tightening, especially with regard to reduction in profitability, and cash reserves.</w:t>
      </w:r>
    </w:p>
    <w:p w14:paraId="189AC176">
      <w:pPr>
        <w:spacing w:line="360" w:lineRule="auto"/>
        <w:jc w:val="both"/>
        <w:rPr>
          <w:rFonts w:hint="default" w:ascii="Times New Roman" w:hAnsi="Times New Roman"/>
          <w:sz w:val="24"/>
          <w:szCs w:val="24"/>
          <w:lang w:val="en-US"/>
        </w:rPr>
      </w:pPr>
    </w:p>
    <w:p w14:paraId="2D1F773C">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quick ratio was also on the downward performance as it was 1.15 in 2020 but was now around 1.03 in 2024. This decrease is an indication of the growing dependency of inventory on current assets by the firm. The firm is at risk of liquidity risk since the technological obsolescence rate is high in consumer electronics business and relies on inventory as a liquidation strategy.</w:t>
      </w:r>
    </w:p>
    <w:p w14:paraId="4A895F70">
      <w:pPr>
        <w:spacing w:line="360" w:lineRule="auto"/>
        <w:jc w:val="both"/>
        <w:rPr>
          <w:rFonts w:hint="default" w:ascii="Times New Roman" w:hAnsi="Times New Roman"/>
          <w:sz w:val="24"/>
          <w:szCs w:val="24"/>
          <w:lang w:val="en-US"/>
        </w:rPr>
      </w:pPr>
    </w:p>
    <w:p w14:paraId="1E64BB19">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ratio of cash showed a steep drop of 0.32 in 2020 to 0.17 in 2024 showing that there was rash diminution in the immediately available cash as compared to current liabilities. This depreciation severely constrains the capacity of the firm to take financial shocks on a short period without financial leverage, leading to heightened sensitivity to narrowing the credit and refinancing risk. (Appendix 1)</w:t>
      </w:r>
    </w:p>
    <w:p w14:paraId="6FDCC1A7">
      <w:pPr>
        <w:spacing w:line="360" w:lineRule="auto"/>
        <w:jc w:val="both"/>
        <w:rPr>
          <w:rFonts w:hint="default" w:ascii="Times New Roman" w:hAnsi="Times New Roman"/>
          <w:sz w:val="24"/>
          <w:szCs w:val="24"/>
          <w:lang w:val="en-US"/>
        </w:rPr>
      </w:pPr>
    </w:p>
    <w:p w14:paraId="143D3D65">
      <w:pPr>
        <w:pStyle w:val="3"/>
        <w:bidi w:val="0"/>
        <w:spacing w:line="240" w:lineRule="auto"/>
        <w:rPr>
          <w:rFonts w:hint="default"/>
          <w:lang w:val="en-US"/>
        </w:rPr>
      </w:pPr>
      <w:bookmarkStart w:id="4" w:name="_Toc6220"/>
      <w:r>
        <w:rPr>
          <w:rFonts w:hint="default"/>
          <w:lang w:val="en-US"/>
        </w:rPr>
        <w:t>1.4 Efficiency (Activity) Ratio Analysis</w:t>
      </w:r>
      <w:bookmarkEnd w:id="4"/>
    </w:p>
    <w:p w14:paraId="5DE4BB15">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Efficiency ratios compare the efficiency with which the company utilises its working capital and assets base (Noviyana et al., 2023). There was a significant decrease in inventory turnover during the period, which shows the slower supply of goods and undrafted inventories. Inventory reduced by 2024 but it is still high when compared to lower sales volumes. This implies that there are flaws in demand forecasting, production planning and inventory management.</w:t>
      </w:r>
    </w:p>
    <w:p w14:paraId="11B3AEA6">
      <w:pPr>
        <w:spacing w:line="360" w:lineRule="auto"/>
        <w:jc w:val="both"/>
        <w:rPr>
          <w:rFonts w:hint="default" w:ascii="Times New Roman" w:hAnsi="Times New Roman"/>
          <w:sz w:val="24"/>
          <w:szCs w:val="24"/>
          <w:lang w:val="en-US"/>
        </w:rPr>
      </w:pPr>
    </w:p>
    <w:p w14:paraId="5B329C05">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Turnover of receivables worsened slightly, which presupposes prolonged collections. The trend is harmful to operating cash flows and it heightens the default risk of the customers especially in the international markets.</w:t>
      </w:r>
    </w:p>
    <w:p w14:paraId="50FA20D4">
      <w:pPr>
        <w:spacing w:line="360" w:lineRule="auto"/>
        <w:jc w:val="both"/>
        <w:rPr>
          <w:rFonts w:hint="default" w:ascii="Times New Roman" w:hAnsi="Times New Roman"/>
          <w:sz w:val="24"/>
          <w:szCs w:val="24"/>
          <w:lang w:val="en-US"/>
        </w:rPr>
      </w:pPr>
    </w:p>
    <w:p w14:paraId="37B03F21">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total assets turnover was low and fluctuating, and was in general worse than the previous years. Even though the total assets have declined, the company has not realised the corresponding revenue efficiency growth and this is an indication of underutilised or inefficient assets. (Appendix 1)</w:t>
      </w:r>
    </w:p>
    <w:p w14:paraId="0E07D89A">
      <w:pPr>
        <w:spacing w:line="360" w:lineRule="auto"/>
        <w:jc w:val="both"/>
        <w:rPr>
          <w:rFonts w:hint="default" w:ascii="Times New Roman" w:hAnsi="Times New Roman"/>
          <w:sz w:val="24"/>
          <w:szCs w:val="24"/>
          <w:lang w:val="en-US"/>
        </w:rPr>
      </w:pPr>
    </w:p>
    <w:p w14:paraId="5C8ED872">
      <w:pPr>
        <w:pStyle w:val="3"/>
        <w:bidi w:val="0"/>
        <w:spacing w:line="240" w:lineRule="auto"/>
        <w:rPr>
          <w:rFonts w:hint="default"/>
          <w:lang w:val="en-US"/>
        </w:rPr>
      </w:pPr>
      <w:bookmarkStart w:id="5" w:name="_Toc21414"/>
      <w:r>
        <w:rPr>
          <w:rFonts w:hint="default"/>
          <w:lang w:val="en-US"/>
        </w:rPr>
        <w:t>1.5 Gearing and Solvency Analysis</w:t>
      </w:r>
      <w:bookmarkEnd w:id="5"/>
    </w:p>
    <w:p w14:paraId="2FB2DE73">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Gearing ratios evaluate the risk of financial stability and capital structure (Tulung et al., 2024). The debt to equity ratio has grown substantially in 2024 as compared to 2020 as it now stands at 1.11 as compared to 0.63 previously. This growth is more of a decrease in equity instead of a generous growth in borrowing thus making the capital structure more delicate and diminishing the financial flexibility.</w:t>
      </w:r>
    </w:p>
    <w:p w14:paraId="7E337095">
      <w:pPr>
        <w:spacing w:line="360" w:lineRule="auto"/>
        <w:jc w:val="both"/>
        <w:rPr>
          <w:rFonts w:hint="default" w:ascii="Times New Roman" w:hAnsi="Times New Roman"/>
          <w:sz w:val="24"/>
          <w:szCs w:val="24"/>
          <w:lang w:val="en-US"/>
        </w:rPr>
      </w:pPr>
    </w:p>
    <w:p w14:paraId="5F8008DE">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Even the interest coverage ratio became negative and worsened significantly in 2023 and 2024 because of operating losses. This means that operating income is no longer adequate to finance interest spending, which raises the default risk and dependence on refinancing facilities and short-term credit facilities. (Appendix 1)</w:t>
      </w:r>
    </w:p>
    <w:p w14:paraId="46083CDE">
      <w:pPr>
        <w:spacing w:line="360" w:lineRule="auto"/>
        <w:jc w:val="both"/>
        <w:rPr>
          <w:rFonts w:hint="default" w:ascii="Times New Roman" w:hAnsi="Times New Roman"/>
          <w:sz w:val="24"/>
          <w:szCs w:val="24"/>
          <w:lang w:val="en-US"/>
        </w:rPr>
      </w:pPr>
    </w:p>
    <w:p w14:paraId="26F98A73">
      <w:pPr>
        <w:pStyle w:val="3"/>
        <w:bidi w:val="0"/>
        <w:spacing w:line="240" w:lineRule="auto"/>
        <w:rPr>
          <w:rFonts w:hint="default"/>
          <w:lang w:val="en-US"/>
        </w:rPr>
      </w:pPr>
      <w:bookmarkStart w:id="6" w:name="_Toc833"/>
      <w:r>
        <w:rPr>
          <w:rFonts w:hint="default"/>
          <w:lang w:val="en-US"/>
        </w:rPr>
        <w:t>1.6 Cash Flow Analysis</w:t>
      </w:r>
      <w:bookmarkEnd w:id="6"/>
    </w:p>
    <w:p w14:paraId="71A6C22B">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Although accounting losses were recorded, operating cash flow (OCF) has been positive in 2023 (25,190m) and 2024 (14,822m). This was however a positive cash generation but was mainly caused by non-cash items like depreciation, impairment losses and working capital adjustments as opposed to the operation performance. Reduction in OCF between 2023 and 2024 is the indication of loss of underlining cash-generating capacity.</w:t>
      </w:r>
    </w:p>
    <w:p w14:paraId="528082C5">
      <w:pPr>
        <w:spacing w:line="360" w:lineRule="auto"/>
        <w:jc w:val="both"/>
        <w:rPr>
          <w:rFonts w:hint="default" w:ascii="Times New Roman" w:hAnsi="Times New Roman"/>
          <w:sz w:val="24"/>
          <w:szCs w:val="24"/>
          <w:lang w:val="en-US"/>
        </w:rPr>
      </w:pPr>
    </w:p>
    <w:p w14:paraId="676126B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free cash flow (FCF) is also limited after taking into consideration the continuous capital expenditures. Ongoing investment in property, plant and equipment and intangible assets where profitability is unlikely to be good or weak implies that there is the possibility of over, and poor capital allocation discipline.</w:t>
      </w:r>
    </w:p>
    <w:p w14:paraId="6A4DDDA8">
      <w:pPr>
        <w:spacing w:line="360" w:lineRule="auto"/>
        <w:jc w:val="both"/>
        <w:rPr>
          <w:rFonts w:hint="default" w:ascii="Times New Roman" w:hAnsi="Times New Roman"/>
          <w:sz w:val="24"/>
          <w:szCs w:val="24"/>
          <w:lang w:val="en-US"/>
        </w:rPr>
      </w:pPr>
    </w:p>
    <w:p w14:paraId="4D1D9653">
      <w:pPr>
        <w:pStyle w:val="3"/>
        <w:bidi w:val="0"/>
        <w:spacing w:line="240" w:lineRule="auto"/>
        <w:rPr>
          <w:rFonts w:hint="default"/>
          <w:lang w:val="en-US"/>
        </w:rPr>
      </w:pPr>
      <w:bookmarkStart w:id="7" w:name="_Toc9829"/>
      <w:r>
        <w:rPr>
          <w:rFonts w:hint="default"/>
          <w:lang w:val="en-US"/>
        </w:rPr>
        <w:t>1.7 Corporate Failure Risk: Altman Z-Score</w:t>
      </w:r>
      <w:bookmarkEnd w:id="7"/>
    </w:p>
    <w:p w14:paraId="16986B44">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There is the risk of corporate failure and the Altman Z-Score manufacturing model is used to determine the risk (Rashid et al., 2023), using the 2024 financial information.</w:t>
      </w:r>
    </w:p>
    <w:p w14:paraId="50145328">
      <w:pPr>
        <w:spacing w:line="360" w:lineRule="auto"/>
        <w:jc w:val="both"/>
        <w:rPr>
          <w:rFonts w:hint="default" w:ascii="Times New Roman" w:hAnsi="Times New Roman"/>
          <w:sz w:val="24"/>
          <w:szCs w:val="24"/>
          <w:lang w:val="en-US"/>
        </w:rPr>
      </w:pPr>
    </w:p>
    <w:p w14:paraId="6733F1C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Working capital to total assets ratio (X 1 ) is 0.26, which means that despite the fact that working capital is not negative, short time liquidity strength is not high and it has deteriorated with time.</w:t>
      </w:r>
    </w:p>
    <w:p w14:paraId="0DB12E72">
      <w:pPr>
        <w:spacing w:line="360" w:lineRule="auto"/>
        <w:jc w:val="both"/>
        <w:rPr>
          <w:rFonts w:hint="default" w:ascii="Times New Roman" w:hAnsi="Times New Roman"/>
          <w:sz w:val="24"/>
          <w:szCs w:val="24"/>
          <w:lang w:val="en-US"/>
        </w:rPr>
      </w:pPr>
    </w:p>
    <w:p w14:paraId="4837D841">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Retained earnings to total assets ratio (X 2 ) is 0.64, which reflects a decrease in the previous years as a result of losses incurred. This shows weaker internal financing capability and the decrease of dependency on the retained profits.</w:t>
      </w:r>
    </w:p>
    <w:p w14:paraId="24FD8DA4">
      <w:pPr>
        <w:spacing w:line="360" w:lineRule="auto"/>
        <w:jc w:val="both"/>
        <w:rPr>
          <w:rFonts w:hint="default" w:ascii="Times New Roman" w:hAnsi="Times New Roman"/>
          <w:sz w:val="24"/>
          <w:szCs w:val="24"/>
          <w:lang w:val="en-US"/>
        </w:rPr>
      </w:pPr>
    </w:p>
    <w:p w14:paraId="4F4501F2">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EBIT to total assets ratio (X 3 ) is-0.05 the operating losses. This negative figure is a grave distress indicator as it shows that assets are not earning it enough as operating returns.</w:t>
      </w:r>
    </w:p>
    <w:p w14:paraId="5B855A1F">
      <w:pPr>
        <w:spacing w:line="360" w:lineRule="auto"/>
        <w:jc w:val="both"/>
        <w:rPr>
          <w:rFonts w:hint="default" w:ascii="Times New Roman" w:hAnsi="Times New Roman"/>
          <w:sz w:val="24"/>
          <w:szCs w:val="24"/>
          <w:lang w:val="en-US"/>
        </w:rPr>
      </w:pPr>
    </w:p>
    <w:p w14:paraId="5FB65E7F">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ratio of equity to total liabilities (X 4) is 0.90 which reveals that the equity of shareholders cover the total liabilities by a very slim margin. This narrow solvency margin makes it vulnerable to any time of prolonged losses.</w:t>
      </w:r>
    </w:p>
    <w:p w14:paraId="24EF1912">
      <w:pPr>
        <w:spacing w:line="360" w:lineRule="auto"/>
        <w:jc w:val="both"/>
        <w:rPr>
          <w:rFonts w:hint="default" w:ascii="Times New Roman" w:hAnsi="Times New Roman"/>
          <w:sz w:val="24"/>
          <w:szCs w:val="24"/>
          <w:lang w:val="en-US"/>
        </w:rPr>
      </w:pPr>
    </w:p>
    <w:p w14:paraId="75A13D5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sales to total assets ratio (X 5) is 1.22, that is also pretty decent but a decrease compared with previous years and indicates a decline of the productivity of the assets.</w:t>
      </w:r>
    </w:p>
    <w:p w14:paraId="2B45CC94">
      <w:pPr>
        <w:spacing w:line="360" w:lineRule="auto"/>
        <w:jc w:val="both"/>
        <w:rPr>
          <w:rFonts w:hint="default" w:ascii="Times New Roman" w:hAnsi="Times New Roman"/>
          <w:sz w:val="24"/>
          <w:szCs w:val="24"/>
          <w:lang w:val="en-US"/>
        </w:rPr>
      </w:pPr>
    </w:p>
    <w:p w14:paraId="6E42AF5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On the values, the total Z-Score of the firm is 2.80, which also compares General Electronics in the grey zone. This means that, the firm is not at the risk of bankruptcy yet, however, it stands high risk of going bankrupt in case the current trends continue. (Appendix 2)</w:t>
      </w:r>
      <w:r>
        <w:rPr>
          <w:rFonts w:hint="default" w:ascii="Times New Roman" w:hAnsi="Times New Roman"/>
          <w:sz w:val="24"/>
          <w:szCs w:val="24"/>
          <w:lang w:val="en-US"/>
        </w:rPr>
        <w:br w:type="page"/>
      </w:r>
    </w:p>
    <w:p w14:paraId="25659F62">
      <w:pPr>
        <w:pStyle w:val="2"/>
        <w:bidi w:val="0"/>
        <w:spacing w:line="240" w:lineRule="auto"/>
        <w:rPr>
          <w:rFonts w:hint="default"/>
          <w:lang w:val="en-US"/>
        </w:rPr>
      </w:pPr>
      <w:bookmarkStart w:id="8" w:name="_Toc25162"/>
      <w:r>
        <w:rPr>
          <w:rFonts w:hint="default"/>
          <w:lang w:val="en-US"/>
        </w:rPr>
        <w:t>2. Working Capital Management Analysis</w:t>
      </w:r>
      <w:bookmarkEnd w:id="8"/>
    </w:p>
    <w:p w14:paraId="50B81356">
      <w:pPr>
        <w:pStyle w:val="3"/>
        <w:bidi w:val="0"/>
        <w:spacing w:line="240" w:lineRule="auto"/>
        <w:rPr>
          <w:rFonts w:hint="default"/>
          <w:lang w:val="en-US"/>
        </w:rPr>
      </w:pPr>
      <w:bookmarkStart w:id="9" w:name="_Toc19737"/>
      <w:r>
        <w:rPr>
          <w:rFonts w:hint="default"/>
          <w:lang w:val="en-US"/>
        </w:rPr>
        <w:t>2.1 Assessment of the Cash Operating Cycle</w:t>
      </w:r>
      <w:bookmarkEnd w:id="9"/>
    </w:p>
    <w:p w14:paraId="3D60892B">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working capital management is required to achieve the reinstatement of liquidity and operation stability in General Electronics given its dwindling cash reserves over the last few years, and increasing dependence on short-term borrowing. A major measurement of short-term financial efficiency is the cash operating cycle, which can be described as the window that exists between the cash payments on production and cash receipts on sales. The cash operating cycle in the 2020 to 2024 period has extended indicating that the firm is not efficient in terms of inventory management, receivables collection and payables administration (Ibrahim et al., 2021).</w:t>
      </w:r>
    </w:p>
    <w:p w14:paraId="7E227062">
      <w:pPr>
        <w:spacing w:line="360" w:lineRule="auto"/>
        <w:jc w:val="both"/>
        <w:rPr>
          <w:rFonts w:hint="default" w:ascii="Times New Roman" w:hAnsi="Times New Roman"/>
          <w:sz w:val="24"/>
          <w:szCs w:val="24"/>
          <w:lang w:val="en-US"/>
        </w:rPr>
      </w:pPr>
    </w:p>
    <w:p w14:paraId="31E5EC9E">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Although the inventory levels continue to fall in absolute numbers by 2024, they get relatively high in comparison of the decreased sales base, which implies the slower inventory turnover. This ties cash in stocked goods and escalated the chances of obsolescence in the fast changing consumer electronics industry. At the same time, the accounts receivable are high of 114,182m even with falling revenues which imply a possibility of rising days sales outstanding perhaps as a result of lengthening the credit terms with an aim of maintaining the sales volumes. Conversely, the accounts payable have decreased to a lower of 72,031m, which indicates a reduction in payment period to the vendor-suppliers- which could be due to the more stringent terms of credit or the suppliers will not want to take risks with the company. The overall impact of these dynamics is the prolongation of the cash operating cycle, which consumes the liquidity and creates an extra burden on the financial sustainability of the firm in the short term (Zaher and Illescas, 2022).</w:t>
      </w:r>
    </w:p>
    <w:p w14:paraId="2835772A">
      <w:pPr>
        <w:spacing w:line="360" w:lineRule="auto"/>
        <w:jc w:val="both"/>
        <w:rPr>
          <w:rFonts w:hint="default" w:ascii="Times New Roman" w:hAnsi="Times New Roman"/>
          <w:sz w:val="24"/>
          <w:szCs w:val="24"/>
          <w:lang w:val="en-US"/>
        </w:rPr>
      </w:pPr>
    </w:p>
    <w:p w14:paraId="3A24C446">
      <w:pPr>
        <w:pStyle w:val="3"/>
        <w:bidi w:val="0"/>
        <w:spacing w:line="240" w:lineRule="auto"/>
        <w:rPr>
          <w:rFonts w:hint="default"/>
          <w:lang w:val="en-US"/>
        </w:rPr>
      </w:pPr>
      <w:bookmarkStart w:id="10" w:name="_Toc17892"/>
      <w:r>
        <w:rPr>
          <w:rFonts w:hint="default"/>
          <w:lang w:val="en-US"/>
        </w:rPr>
        <w:t>2.2 Liquidity Challenges and Working Capital Risks</w:t>
      </w:r>
      <w:bookmarkEnd w:id="10"/>
    </w:p>
    <w:p w14:paraId="75711880">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longer periods of cash operating cycle has increased the liquidity risk in General Electronics. Even though the operating cash flows were upbeat in 2023 and 2024, this was due to non-cash accounting adjustments and not solid performance, as indicated by the company. The cash ratio of 0.17 in 2024 indicates inadequate availability of cash that can be utilised at once to supply the short-term liabilities, and the cash restriction exposes the firm to unforeseen cash requirements.</w:t>
      </w:r>
    </w:p>
    <w:p w14:paraId="6E7F5D21">
      <w:pPr>
        <w:spacing w:line="360" w:lineRule="auto"/>
        <w:jc w:val="both"/>
        <w:rPr>
          <w:rFonts w:hint="default" w:ascii="Times New Roman" w:hAnsi="Times New Roman"/>
          <w:sz w:val="24"/>
          <w:szCs w:val="24"/>
          <w:lang w:val="en-US"/>
        </w:rPr>
      </w:pPr>
    </w:p>
    <w:p w14:paraId="0E1CC503">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firm is also still largely dependent on short-term lines of credit, which stood at £36,960m in 2024. Such reliance poses the company to fluctuation in interest rate, refinancing risk, and even possible reduction in credit supply especially in tighter market conditions. As far as financial management is concerned, the current working capital structure is not sustainable in the medium term. Unless corrective action is taken, further drain on cash reserves and excessive dependence on outside funding may lead to acute liquidity pressure, although operating losses may be reduced (Heliani, 2023).</w:t>
      </w:r>
    </w:p>
    <w:p w14:paraId="7D50CDA5">
      <w:pPr>
        <w:spacing w:line="360" w:lineRule="auto"/>
        <w:jc w:val="both"/>
        <w:rPr>
          <w:rFonts w:hint="default" w:ascii="Times New Roman" w:hAnsi="Times New Roman"/>
          <w:sz w:val="24"/>
          <w:szCs w:val="24"/>
          <w:lang w:val="en-US"/>
        </w:rPr>
      </w:pPr>
    </w:p>
    <w:p w14:paraId="3D78CAB5">
      <w:pPr>
        <w:pStyle w:val="3"/>
        <w:bidi w:val="0"/>
        <w:spacing w:line="240" w:lineRule="auto"/>
        <w:rPr>
          <w:rFonts w:hint="default"/>
          <w:lang w:val="en-US"/>
        </w:rPr>
      </w:pPr>
      <w:bookmarkStart w:id="11" w:name="_Toc12749"/>
      <w:r>
        <w:rPr>
          <w:rFonts w:hint="default"/>
          <w:lang w:val="en-US"/>
        </w:rPr>
        <w:t>2.3 Strategies to Improve Liquidity through Working Capital Reforms</w:t>
      </w:r>
      <w:bookmarkEnd w:id="11"/>
    </w:p>
    <w:p w14:paraId="34324782">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Targeted changes in the inventory, receivables and payables are needed to enhance liquidity and reduction of the cash operating cycle. Managing inventory should be a priority by adopting the use of sophisticated predictive demand, control over just-in-time and rationalisation of the product lines. Termination of low-margin products or slow moving products and short-term clearance would decrease inventory holding costs, cash in hand as well as eliminate obsolescence risks. These do not only increase the liquidity, but also the efficiency of operations (Pamungkas, 2023).</w:t>
      </w:r>
    </w:p>
    <w:p w14:paraId="613DBC91">
      <w:pPr>
        <w:spacing w:line="360" w:lineRule="auto"/>
        <w:jc w:val="both"/>
        <w:rPr>
          <w:rFonts w:hint="default" w:ascii="Times New Roman" w:hAnsi="Times New Roman"/>
          <w:sz w:val="24"/>
          <w:szCs w:val="24"/>
          <w:lang w:val="en-US"/>
        </w:rPr>
      </w:pPr>
    </w:p>
    <w:p w14:paraId="4592545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Credit policy and collection must be tightened in regards to receivables management. The extension of credit by selective use of customer credit worthiness, the implementation of incentive of early payment and the increased monitoring of receivables would make the cash inflows to accelerate (Putra et al., 2024). There is an added benefit in leveraging the administrative delays by utilising digital invoicing and automated collection systems. On the same note, payables management ought to be renegotiated. Balancing out of operating cycle, by extending supplier payment terms where possible, especially non-critical suppliers, and matching payables with receivables would lead the company to allocate less reliance on short-term borrowing. When done together, these efforts would be able to free up stagnant cash, enhance liquidity, and generate a sustainable working capital base.</w:t>
      </w:r>
    </w:p>
    <w:p w14:paraId="411F4E95">
      <w:pPr>
        <w:spacing w:line="360" w:lineRule="auto"/>
        <w:jc w:val="both"/>
        <w:rPr>
          <w:rFonts w:hint="default" w:ascii="Times New Roman" w:hAnsi="Times New Roman"/>
          <w:sz w:val="24"/>
          <w:szCs w:val="24"/>
          <w:lang w:val="en-US"/>
        </w:rPr>
      </w:pPr>
    </w:p>
    <w:p w14:paraId="43EE4BB1">
      <w:pPr>
        <w:pStyle w:val="3"/>
        <w:bidi w:val="0"/>
        <w:spacing w:line="240" w:lineRule="auto"/>
        <w:rPr>
          <w:rFonts w:hint="default"/>
          <w:lang w:val="en-US"/>
        </w:rPr>
      </w:pPr>
      <w:bookmarkStart w:id="12" w:name="_Toc9575"/>
      <w:r>
        <w:rPr>
          <w:rFonts w:hint="default"/>
          <w:lang w:val="en-US"/>
        </w:rPr>
        <w:t>2.4 Short Term versus Long Term Financing Options</w:t>
      </w:r>
      <w:bookmarkEnd w:id="12"/>
    </w:p>
    <w:p w14:paraId="30AF8A9C">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With ongoing liquidity constraints, funding choices have to be struck to balance urgency, cost and risk. Short term funding, like credit lines as a financing option, is quick in providing money and it has played a key role in meeting any imminent cash gaps (Greenwald et al., 2025). Nevertheless, over dependence on short-term debt exposes one to exposure to refinancing risk, interest rate risk, and possible covenant breach. Constant reliance on short-term funding to fund the operations with no improvements can unavoidably worsen the financial health.</w:t>
      </w:r>
    </w:p>
    <w:p w14:paraId="5CEF2FEB">
      <w:pPr>
        <w:spacing w:line="360" w:lineRule="auto"/>
        <w:jc w:val="both"/>
        <w:rPr>
          <w:rFonts w:hint="default" w:ascii="Times New Roman" w:hAnsi="Times New Roman"/>
          <w:sz w:val="24"/>
          <w:szCs w:val="24"/>
          <w:lang w:val="en-US"/>
        </w:rPr>
      </w:pPr>
    </w:p>
    <w:p w14:paraId="36B5839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On the other hand, long-term funding tools and instruments such as term loans, bonds or, equity-linked options offer stability which best suits and aligns its maturities to asset base and long term recovery strategy of the firm. Though these instruments might entail elevated prices or dilution of shareholders, they mitigate rollover risk, and became more financially resilient. As a CFO, a moderate solution is preferable: slowing the reliance on short-term credit, and finding long-term financing at the same time as implementing stubborn working capital solutions. The strategy would be sustainable in terms of boosting liquidity, improving operational inefficiencies, and facilitating the turnaround goals of the firm.</w:t>
      </w:r>
      <w:r>
        <w:rPr>
          <w:rFonts w:hint="default" w:ascii="Times New Roman" w:hAnsi="Times New Roman"/>
          <w:sz w:val="24"/>
          <w:szCs w:val="24"/>
          <w:lang w:val="en-US"/>
        </w:rPr>
        <w:br w:type="page"/>
      </w:r>
    </w:p>
    <w:p w14:paraId="6E87F88A">
      <w:pPr>
        <w:pStyle w:val="2"/>
        <w:bidi w:val="0"/>
        <w:spacing w:line="240" w:lineRule="auto"/>
        <w:rPr>
          <w:rFonts w:hint="default"/>
          <w:lang w:val="en-US"/>
        </w:rPr>
      </w:pPr>
      <w:bookmarkStart w:id="13" w:name="_Toc13833"/>
      <w:r>
        <w:rPr>
          <w:rFonts w:hint="default"/>
          <w:lang w:val="en-US"/>
        </w:rPr>
        <w:t>3. Strategic Financial Restructuring Plan</w:t>
      </w:r>
      <w:bookmarkEnd w:id="13"/>
    </w:p>
    <w:p w14:paraId="7582D7E7">
      <w:pPr>
        <w:pStyle w:val="3"/>
        <w:bidi w:val="0"/>
        <w:spacing w:line="240" w:lineRule="auto"/>
        <w:rPr>
          <w:rFonts w:hint="default"/>
          <w:lang w:val="en-US"/>
        </w:rPr>
      </w:pPr>
      <w:bookmarkStart w:id="14" w:name="_Toc19846"/>
      <w:r>
        <w:rPr>
          <w:rFonts w:hint="default"/>
          <w:lang w:val="en-US"/>
        </w:rPr>
        <w:t>3.1 Recommended Financial Restructuring Options</w:t>
      </w:r>
      <w:bookmarkEnd w:id="14"/>
    </w:p>
    <w:p w14:paraId="5AF8B8D1">
      <w:pPr>
        <w:spacing w:line="360" w:lineRule="auto"/>
        <w:jc w:val="both"/>
        <w:rPr>
          <w:rFonts w:hint="default" w:ascii="Times New Roman" w:hAnsi="Times New Roman"/>
          <w:b/>
          <w:bCs/>
          <w:sz w:val="24"/>
          <w:szCs w:val="24"/>
          <w:lang w:val="en-US"/>
        </w:rPr>
      </w:pPr>
      <w:r>
        <w:rPr>
          <w:rFonts w:hint="default" w:ascii="Times New Roman" w:hAnsi="Times New Roman"/>
          <w:b/>
          <w:bCs/>
          <w:sz w:val="24"/>
          <w:szCs w:val="24"/>
          <w:lang w:val="en-US"/>
        </w:rPr>
        <w:t>Rationale for Financial Restructuring</w:t>
      </w:r>
    </w:p>
    <w:p w14:paraId="6B2F4F9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As the financial analysis in Sections 1 and 2 indicates, General Electronics is facing serious financial strains, which can be indicated by the fact that its revenues are decreasing, its operating losses are sustained, its liquidity ratios are continuing to deteriorate, and its financial leverage is increasing. Though this firm is not in bankruptcy yet, its Altman Z-Score of 2.80 indicates that the company is squarely in the grey side, which is an indicator of a high risk of corporate bankruptcy. In the eyes of the Chief Financial Officer (CFO) that is a win-or-lose financial re-structuring that must be carried out, and not gradual corrective actions.</w:t>
      </w:r>
    </w:p>
    <w:p w14:paraId="2F40EBC9">
      <w:pPr>
        <w:spacing w:line="360" w:lineRule="auto"/>
        <w:jc w:val="both"/>
        <w:rPr>
          <w:rFonts w:hint="default" w:ascii="Times New Roman" w:hAnsi="Times New Roman"/>
          <w:sz w:val="24"/>
          <w:szCs w:val="24"/>
          <w:lang w:val="en-US"/>
        </w:rPr>
      </w:pPr>
    </w:p>
    <w:p w14:paraId="57A615F3">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primary objectives of the restructuring strategy are to:</w:t>
      </w:r>
    </w:p>
    <w:p w14:paraId="26FB2F0A">
      <w:pPr>
        <w:numPr>
          <w:ilvl w:val="0"/>
          <w:numId w:val="11"/>
        </w:numPr>
        <w:spacing w:line="360" w:lineRule="auto"/>
        <w:ind w:left="845" w:leftChars="0" w:hanging="425" w:firstLineChars="0"/>
        <w:jc w:val="both"/>
        <w:rPr>
          <w:rFonts w:hint="default" w:ascii="Times New Roman" w:hAnsi="Times New Roman"/>
          <w:sz w:val="24"/>
          <w:szCs w:val="24"/>
          <w:lang w:val="en-US"/>
        </w:rPr>
      </w:pPr>
      <w:r>
        <w:rPr>
          <w:rFonts w:hint="default" w:ascii="Times New Roman" w:hAnsi="Times New Roman"/>
          <w:sz w:val="24"/>
          <w:szCs w:val="24"/>
          <w:lang w:val="en-US"/>
        </w:rPr>
        <w:t>Strengthen the capital structure by reducing leverage and restoring liquidity;</w:t>
      </w:r>
    </w:p>
    <w:p w14:paraId="75F8EB56">
      <w:pPr>
        <w:numPr>
          <w:ilvl w:val="0"/>
          <w:numId w:val="11"/>
        </w:numPr>
        <w:spacing w:line="360" w:lineRule="auto"/>
        <w:ind w:left="845" w:leftChars="0" w:hanging="425" w:firstLineChars="0"/>
        <w:jc w:val="both"/>
        <w:rPr>
          <w:rFonts w:hint="default" w:ascii="Times New Roman" w:hAnsi="Times New Roman"/>
          <w:sz w:val="24"/>
          <w:szCs w:val="24"/>
          <w:lang w:val="en-US"/>
        </w:rPr>
      </w:pPr>
      <w:r>
        <w:rPr>
          <w:rFonts w:hint="default" w:ascii="Times New Roman" w:hAnsi="Times New Roman"/>
          <w:sz w:val="24"/>
          <w:szCs w:val="24"/>
          <w:lang w:val="en-US"/>
        </w:rPr>
        <w:t>Protect and rebuild shareholder value by halting equity erosion and restoring profitability;</w:t>
      </w:r>
    </w:p>
    <w:p w14:paraId="51C01FB0">
      <w:pPr>
        <w:numPr>
          <w:ilvl w:val="0"/>
          <w:numId w:val="11"/>
        </w:numPr>
        <w:spacing w:line="360" w:lineRule="auto"/>
        <w:ind w:left="845" w:leftChars="0" w:hanging="425" w:firstLineChars="0"/>
        <w:jc w:val="both"/>
        <w:rPr>
          <w:rFonts w:hint="default" w:ascii="Times New Roman" w:hAnsi="Times New Roman"/>
          <w:sz w:val="24"/>
          <w:szCs w:val="24"/>
          <w:lang w:val="en-US"/>
        </w:rPr>
      </w:pPr>
      <w:r>
        <w:rPr>
          <w:rFonts w:hint="default" w:ascii="Times New Roman" w:hAnsi="Times New Roman"/>
          <w:sz w:val="24"/>
          <w:szCs w:val="24"/>
          <w:lang w:val="en-US"/>
        </w:rPr>
        <w:t>Enhance operational flexibility to support strategic realignment in a highly competitive global electronics market.</w:t>
      </w:r>
    </w:p>
    <w:p w14:paraId="7B3B9904">
      <w:pPr>
        <w:spacing w:line="360" w:lineRule="auto"/>
        <w:jc w:val="both"/>
        <w:rPr>
          <w:rFonts w:hint="default" w:ascii="Times New Roman" w:hAnsi="Times New Roman"/>
          <w:sz w:val="24"/>
          <w:szCs w:val="24"/>
          <w:lang w:val="en-US"/>
        </w:rPr>
      </w:pPr>
    </w:p>
    <w:p w14:paraId="05409DA2">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To achieve these objectives, a combination of asset restructuring, equity injection, debt restructuring, and strategic alliances or mergers is recommended.</w:t>
      </w:r>
    </w:p>
    <w:p w14:paraId="7F51FD56">
      <w:pPr>
        <w:spacing w:line="360" w:lineRule="auto"/>
        <w:jc w:val="both"/>
        <w:rPr>
          <w:rFonts w:hint="default" w:ascii="Times New Roman" w:hAnsi="Times New Roman"/>
          <w:sz w:val="24"/>
          <w:szCs w:val="24"/>
          <w:lang w:val="en-US"/>
        </w:rPr>
      </w:pPr>
    </w:p>
    <w:p w14:paraId="594599F1">
      <w:pPr>
        <w:spacing w:line="360" w:lineRule="auto"/>
        <w:jc w:val="both"/>
        <w:rPr>
          <w:rFonts w:hint="default" w:ascii="Times New Roman" w:hAnsi="Times New Roman"/>
          <w:b/>
          <w:bCs/>
          <w:sz w:val="24"/>
          <w:szCs w:val="24"/>
          <w:lang w:val="en-US"/>
        </w:rPr>
      </w:pPr>
      <w:r>
        <w:rPr>
          <w:rFonts w:hint="default" w:ascii="Times New Roman" w:hAnsi="Times New Roman"/>
          <w:b/>
          <w:bCs/>
          <w:sz w:val="24"/>
          <w:szCs w:val="24"/>
          <w:lang w:val="en-US"/>
        </w:rPr>
        <w:t>Asset Restructuring and Divestiture</w:t>
      </w:r>
    </w:p>
    <w:p w14:paraId="5C89CEFB">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targeted pillar of the restructuring plan is focused on asset divestiture. Even as the revenues and returns on assets are declining, the General Electronics still retains a relatively large asset base. This implies that it has non-performing and non-core resources, such as excess manufacturing plants, excess property, plant and equipment (PPE), and non-strategic intangible assets (Lee, 2021).</w:t>
      </w:r>
    </w:p>
    <w:p w14:paraId="110341AC">
      <w:pPr>
        <w:spacing w:line="360" w:lineRule="auto"/>
        <w:jc w:val="both"/>
        <w:rPr>
          <w:rFonts w:hint="default" w:ascii="Times New Roman" w:hAnsi="Times New Roman"/>
          <w:sz w:val="24"/>
          <w:szCs w:val="24"/>
          <w:lang w:val="en-US"/>
        </w:rPr>
      </w:pPr>
    </w:p>
    <w:p w14:paraId="231D2BFF">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sale of such assets would bring in cash flows which can be used to minimise short term borrowings and increase liquidity without raising the leverage. Strategically, divestiture enables the management to narrow down its core competencies as well as high profitable product lines. Whereas the sale of assets can help mitigate scale, liquidating low-paying assets enhances the overall effectiveness and creation of value in the long run (Feldman, 2021).</w:t>
      </w:r>
    </w:p>
    <w:p w14:paraId="39CEDF2C">
      <w:pPr>
        <w:spacing w:line="360" w:lineRule="auto"/>
        <w:jc w:val="both"/>
        <w:rPr>
          <w:rFonts w:hint="default" w:ascii="Times New Roman" w:hAnsi="Times New Roman"/>
          <w:sz w:val="24"/>
          <w:szCs w:val="24"/>
          <w:lang w:val="en-US"/>
        </w:rPr>
      </w:pPr>
    </w:p>
    <w:p w14:paraId="5EA0F92D">
      <w:pPr>
        <w:spacing w:line="360" w:lineRule="auto"/>
        <w:jc w:val="both"/>
        <w:rPr>
          <w:rFonts w:hint="default" w:ascii="Times New Roman" w:hAnsi="Times New Roman"/>
          <w:b/>
          <w:bCs/>
          <w:sz w:val="24"/>
          <w:szCs w:val="24"/>
          <w:lang w:val="en-US"/>
        </w:rPr>
      </w:pPr>
      <w:r>
        <w:rPr>
          <w:rFonts w:hint="default" w:ascii="Times New Roman" w:hAnsi="Times New Roman"/>
          <w:b/>
          <w:bCs/>
          <w:sz w:val="24"/>
          <w:szCs w:val="24"/>
          <w:lang w:val="en-US"/>
        </w:rPr>
        <w:t>Equity Injection and Capital Structure Rebalancing</w:t>
      </w:r>
    </w:p>
    <w:p w14:paraId="23F6B851">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Intescible of the poor performance of the shareholders equity and the growth of the debt to equity ratio at 1.11 in 2024, an equity injection is an important restructuring decision that is necessary. This may be done either by way of rights issue, private placement or strategic equity participation by institutional or industry investors.</w:t>
      </w:r>
    </w:p>
    <w:p w14:paraId="68F9AFC0">
      <w:pPr>
        <w:spacing w:line="360" w:lineRule="auto"/>
        <w:jc w:val="both"/>
        <w:rPr>
          <w:rFonts w:hint="default" w:ascii="Times New Roman" w:hAnsi="Times New Roman"/>
          <w:sz w:val="24"/>
          <w:szCs w:val="24"/>
          <w:lang w:val="en-US"/>
        </w:rPr>
      </w:pPr>
    </w:p>
    <w:p w14:paraId="1F0F49CA">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Direct impact of equity injection would be the direct boost equity capital on the balance sheet resulting in the ratios of financial leverages and solvency. Even though dilution of the already existing shareholders in the short-term might be experienced, the long-term advantages would be a positive financial stability, lesser risk of bankruptcy and residual shareholder value (Ippolito et al., 2022).</w:t>
      </w:r>
    </w:p>
    <w:p w14:paraId="5DA89088">
      <w:pPr>
        <w:spacing w:line="360" w:lineRule="auto"/>
        <w:jc w:val="both"/>
        <w:rPr>
          <w:rFonts w:hint="default" w:ascii="Times New Roman" w:hAnsi="Times New Roman"/>
          <w:sz w:val="24"/>
          <w:szCs w:val="24"/>
          <w:lang w:val="en-US"/>
        </w:rPr>
      </w:pPr>
    </w:p>
    <w:p w14:paraId="5A5AE6A9">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Non-financial advantages may also be provided by strategic equity partners including technological competency, supply-chain alignment, or new market penetration, and therefore help the firm turnaround to regain its operations. Nonetheless, the implications of governance should be well regulated so that they do not harm to the prevailing shareholder interests and strategic control is not lost.</w:t>
      </w:r>
    </w:p>
    <w:p w14:paraId="6F664325">
      <w:pPr>
        <w:spacing w:line="360" w:lineRule="auto"/>
        <w:jc w:val="both"/>
        <w:rPr>
          <w:rFonts w:hint="default" w:ascii="Times New Roman" w:hAnsi="Times New Roman"/>
          <w:sz w:val="24"/>
          <w:szCs w:val="24"/>
          <w:lang w:val="en-US"/>
        </w:rPr>
      </w:pPr>
    </w:p>
    <w:p w14:paraId="754B7B7F">
      <w:pPr>
        <w:spacing w:line="360" w:lineRule="auto"/>
        <w:jc w:val="both"/>
        <w:rPr>
          <w:rFonts w:hint="default" w:ascii="Times New Roman" w:hAnsi="Times New Roman"/>
          <w:b/>
          <w:bCs/>
          <w:sz w:val="24"/>
          <w:szCs w:val="24"/>
          <w:lang w:val="en-US"/>
        </w:rPr>
      </w:pPr>
      <w:r>
        <w:rPr>
          <w:rFonts w:hint="default" w:ascii="Times New Roman" w:hAnsi="Times New Roman"/>
          <w:b/>
          <w:bCs/>
          <w:sz w:val="24"/>
          <w:szCs w:val="24"/>
          <w:lang w:val="en-US"/>
        </w:rPr>
        <w:t>Debt Restructuring and Refinancing</w:t>
      </w:r>
    </w:p>
    <w:p w14:paraId="695EFAC0">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There should also be debt restructuring to mitigate the declining interest coverage ratio and overdependence on short term credit facilities of the firm. The existing capital structure puts General Electronics at risk of refinancing and interest rate risk especially in an inflationary environment (Friewald et al., 2022).</w:t>
      </w:r>
    </w:p>
    <w:p w14:paraId="00FD9AFC">
      <w:pPr>
        <w:spacing w:line="360" w:lineRule="auto"/>
        <w:jc w:val="both"/>
        <w:rPr>
          <w:rFonts w:hint="default" w:ascii="Times New Roman" w:hAnsi="Times New Roman"/>
          <w:sz w:val="24"/>
          <w:szCs w:val="24"/>
          <w:lang w:val="en-US"/>
        </w:rPr>
      </w:pPr>
    </w:p>
    <w:p w14:paraId="3DD8473C">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One of the recommendations is returning to the profiling of the current debt, transforming short-term borrowings into long-term. This would not only relieve liquidity pressure in the short term but also would accord the debt maturities to the time frame of recovery of the firm. Other options might be such as renegotiating interest rates, gaining covenant relief, or obtaining temporary deferrals to payments.</w:t>
      </w:r>
    </w:p>
    <w:p w14:paraId="2DE15F91">
      <w:pPr>
        <w:spacing w:line="360" w:lineRule="auto"/>
        <w:jc w:val="both"/>
        <w:rPr>
          <w:rFonts w:hint="default" w:ascii="Times New Roman" w:hAnsi="Times New Roman"/>
          <w:sz w:val="24"/>
          <w:szCs w:val="24"/>
          <w:lang w:val="en-US"/>
        </w:rPr>
      </w:pPr>
    </w:p>
    <w:p w14:paraId="59770A04">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As debt restructuring helps minimise the chance of the financial distress and the risk of value destruction. Nonetheless, it should be done very sparingly lest the concessions to the creditors would be too many, to the point of impairing the shareholder value. The goal is to assist operational recoveries as opposed to just delaying financial ruin.</w:t>
      </w:r>
    </w:p>
    <w:p w14:paraId="387F9AD9">
      <w:pPr>
        <w:spacing w:line="360" w:lineRule="auto"/>
        <w:jc w:val="both"/>
        <w:rPr>
          <w:rFonts w:hint="default" w:ascii="Times New Roman" w:hAnsi="Times New Roman"/>
          <w:sz w:val="24"/>
          <w:szCs w:val="24"/>
          <w:lang w:val="en-US"/>
        </w:rPr>
      </w:pPr>
    </w:p>
    <w:p w14:paraId="71B51FF4">
      <w:pPr>
        <w:bidi w:val="0"/>
        <w:spacing w:line="360" w:lineRule="auto"/>
        <w:rPr>
          <w:rFonts w:hint="default" w:ascii="Times New Roman" w:hAnsi="Times New Roman" w:cs="Times New Roman"/>
          <w:b/>
          <w:bCs/>
          <w:sz w:val="24"/>
          <w:szCs w:val="24"/>
          <w:lang w:val="en-US"/>
        </w:rPr>
      </w:pPr>
      <w:r>
        <w:rPr>
          <w:rFonts w:hint="default" w:ascii="Times New Roman" w:hAnsi="Times New Roman" w:cs="Times New Roman"/>
          <w:b/>
          <w:bCs/>
          <w:sz w:val="24"/>
          <w:szCs w:val="24"/>
          <w:lang w:val="en-US"/>
        </w:rPr>
        <w:t>Strategic Merger or Alliance</w:t>
      </w:r>
    </w:p>
    <w:p w14:paraId="689D922F">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In addition to internal restructuring, General Electronics must evaluate the possibility of strategic merger or alliance with a stronger firm in terms of finances. These partnerships may offer access to capital, new technologies and a wide distribution network besides sharing of risks (Ryan-Charleton et al., 2022).</w:t>
      </w:r>
    </w:p>
    <w:p w14:paraId="562785E7">
      <w:pPr>
        <w:spacing w:line="360" w:lineRule="auto"/>
        <w:jc w:val="both"/>
        <w:rPr>
          <w:rFonts w:hint="default" w:ascii="Times New Roman" w:hAnsi="Times New Roman"/>
          <w:sz w:val="24"/>
          <w:szCs w:val="24"/>
          <w:lang w:val="en-US"/>
        </w:rPr>
      </w:pPr>
    </w:p>
    <w:p w14:paraId="77072BF7">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An organised merge would provide economies of scale, cost synergies and improved market penetration. Nevertheless, the issue of integration, cultural disparities, and possible watering down of strategic independence have to be considered in detail. Value creation currently can be viewed as a shareholder perspective, where the synergy realisation and post-merger integration should be disciplined.</w:t>
      </w:r>
    </w:p>
    <w:p w14:paraId="229F4A0A">
      <w:pPr>
        <w:spacing w:line="360" w:lineRule="auto"/>
        <w:jc w:val="both"/>
        <w:rPr>
          <w:rFonts w:hint="default" w:ascii="Times New Roman" w:hAnsi="Times New Roman"/>
          <w:sz w:val="24"/>
          <w:szCs w:val="24"/>
          <w:lang w:val="en-US"/>
        </w:rPr>
      </w:pPr>
    </w:p>
    <w:p w14:paraId="5004AC3E">
      <w:pPr>
        <w:pStyle w:val="3"/>
        <w:bidi w:val="0"/>
        <w:spacing w:line="240" w:lineRule="auto"/>
        <w:rPr>
          <w:rFonts w:hint="default"/>
          <w:lang w:val="en-US"/>
        </w:rPr>
      </w:pPr>
      <w:bookmarkStart w:id="15" w:name="_Toc18390"/>
      <w:r>
        <w:rPr>
          <w:rFonts w:hint="default"/>
          <w:lang w:val="en-US"/>
        </w:rPr>
        <w:t>3.2 Impact on Shareholder Value, Debt Structure, and Operational Flexibility</w:t>
      </w:r>
      <w:bookmarkEnd w:id="15"/>
    </w:p>
    <w:p w14:paraId="48397B66">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restructuring actions that have been proposed are all meant to stabilise and provide value to the shareholders. Divestiture and capital infusion enhance efficient use of capital, mitigate financial risks, and prevent the loss of equity. The firm enhances the equity base, and leverage reduces the solvency profile, and chances of financial distress.</w:t>
      </w:r>
    </w:p>
    <w:p w14:paraId="3BD81BB6">
      <w:pPr>
        <w:spacing w:line="360" w:lineRule="auto"/>
        <w:jc w:val="both"/>
        <w:rPr>
          <w:rFonts w:hint="default" w:ascii="Times New Roman" w:hAnsi="Times New Roman"/>
          <w:sz w:val="24"/>
          <w:szCs w:val="24"/>
          <w:lang w:val="en-US"/>
        </w:rPr>
      </w:pPr>
    </w:p>
    <w:p w14:paraId="6875673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In the debt structure perspective, the transition between short-term and long-term financing structures decrease the refinancing risk and covers the interests over time. Reduced leverage increases credit quality, which may lead to a decreased cost of funds and access to the capital markets.</w:t>
      </w:r>
    </w:p>
    <w:p w14:paraId="5CB07CD8">
      <w:pPr>
        <w:spacing w:line="360" w:lineRule="auto"/>
        <w:jc w:val="both"/>
        <w:rPr>
          <w:rFonts w:hint="default" w:ascii="Times New Roman" w:hAnsi="Times New Roman"/>
          <w:sz w:val="24"/>
          <w:szCs w:val="24"/>
          <w:lang w:val="en-US"/>
        </w:rPr>
      </w:pPr>
    </w:p>
    <w:p w14:paraId="49BFCC40">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Flexibility of operations is also improved tremendously. A lean asset base makes the fixed costs leaner and helps them to scale better so General Electronics will be more responsive to demand volatility, technological change and industry pressure (Charupat and Sarkar, 2025). Greater strategic freedom is offered to management in terms of enhanced financial stability to invest in innovation, reorganise the operations and reposition the firm in the international market.</w:t>
      </w:r>
    </w:p>
    <w:p w14:paraId="10D7F1D3">
      <w:pPr>
        <w:spacing w:line="360" w:lineRule="auto"/>
        <w:jc w:val="both"/>
        <w:rPr>
          <w:rFonts w:hint="default" w:ascii="Times New Roman" w:hAnsi="Times New Roman"/>
          <w:sz w:val="24"/>
          <w:szCs w:val="24"/>
          <w:lang w:val="en-US"/>
        </w:rPr>
      </w:pPr>
    </w:p>
    <w:p w14:paraId="7D3951B7">
      <w:pPr>
        <w:pStyle w:val="3"/>
        <w:bidi w:val="0"/>
        <w:spacing w:line="240" w:lineRule="auto"/>
        <w:rPr>
          <w:rFonts w:hint="default"/>
          <w:lang w:val="en-US"/>
        </w:rPr>
      </w:pPr>
      <w:bookmarkStart w:id="16" w:name="_Toc32701"/>
      <w:r>
        <w:rPr>
          <w:rFonts w:hint="default"/>
          <w:lang w:val="en-US"/>
        </w:rPr>
        <w:t>3.3 International and Ethical Considerations</w:t>
      </w:r>
      <w:bookmarkEnd w:id="16"/>
    </w:p>
    <w:p w14:paraId="0A6477F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Being a multinational company, General Electronics has to incorporate internationalism and ethical facets of financial restructuring strategy. There are high tax consequences to an asset divestiture and equity transaction that require capital gains taxation and transfer pricing. Restructuring should be made in a manner that would reduce leakage in taxes and comply with the local and international laws.</w:t>
      </w:r>
    </w:p>
    <w:p w14:paraId="16D2CA5F">
      <w:pPr>
        <w:spacing w:line="360" w:lineRule="auto"/>
        <w:jc w:val="both"/>
        <w:rPr>
          <w:rFonts w:hint="default" w:ascii="Times New Roman" w:hAnsi="Times New Roman"/>
          <w:sz w:val="24"/>
          <w:szCs w:val="24"/>
          <w:lang w:val="en-US"/>
        </w:rPr>
      </w:pPr>
    </w:p>
    <w:p w14:paraId="1DC96CA4">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Another important issue is the currency risk. The exchange rate volatility of foreign-denominated debt and cross-border equity investments exposes the firm to increased real liabilities burden, as a result of which these liabilities may grow. Cash flows and financial equity should be hedged to ensure cash flow security.</w:t>
      </w:r>
    </w:p>
    <w:p w14:paraId="130E0D5C">
      <w:pPr>
        <w:spacing w:line="360" w:lineRule="auto"/>
        <w:jc w:val="both"/>
        <w:rPr>
          <w:rFonts w:hint="default" w:ascii="Times New Roman" w:hAnsi="Times New Roman"/>
          <w:sz w:val="24"/>
          <w:szCs w:val="24"/>
          <w:lang w:val="en-US"/>
        </w:rPr>
      </w:pPr>
    </w:p>
    <w:p w14:paraId="156C7010">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risk of inflation in major markets raises operating expenses as well as borrowing rates that have supported the value of cost discipline and wise financial management (Lopez-Salido and Loria, 2024). Ethics is also a major concern especially in relation to workforce restructuring, relationship with suppliers and the environment. In order to keep stakeholders trusting and in the long run sustainable, it is vital to have an open line of communication, a well-treated workforce, and a high level of corporate social responsibility (CSR).</w:t>
      </w:r>
    </w:p>
    <w:p w14:paraId="420E67F3">
      <w:pPr>
        <w:spacing w:line="360" w:lineRule="auto"/>
        <w:jc w:val="both"/>
        <w:rPr>
          <w:rFonts w:hint="default" w:ascii="Times New Roman" w:hAnsi="Times New Roman"/>
          <w:sz w:val="24"/>
          <w:szCs w:val="24"/>
          <w:lang w:val="en-US"/>
        </w:rPr>
      </w:pPr>
    </w:p>
    <w:p w14:paraId="4F1E67B2">
      <w:pPr>
        <w:rPr>
          <w:rFonts w:hint="default" w:ascii="Times New Roman" w:hAnsi="Times New Roman"/>
          <w:sz w:val="24"/>
          <w:szCs w:val="24"/>
          <w:lang w:val="en-US"/>
        </w:rPr>
      </w:pPr>
      <w:r>
        <w:rPr>
          <w:rFonts w:hint="default" w:ascii="Times New Roman" w:hAnsi="Times New Roman"/>
          <w:sz w:val="24"/>
          <w:szCs w:val="24"/>
          <w:lang w:val="en-US"/>
        </w:rPr>
        <w:br w:type="page"/>
      </w:r>
    </w:p>
    <w:p w14:paraId="63E0F17C">
      <w:pPr>
        <w:pStyle w:val="2"/>
        <w:bidi w:val="0"/>
        <w:spacing w:line="240" w:lineRule="auto"/>
        <w:rPr>
          <w:rFonts w:hint="default"/>
          <w:lang w:val="en-US"/>
        </w:rPr>
      </w:pPr>
      <w:bookmarkStart w:id="17" w:name="_Toc26612"/>
      <w:r>
        <w:rPr>
          <w:rFonts w:hint="default"/>
          <w:lang w:val="en-US"/>
        </w:rPr>
        <w:t>4. Investment Appraisal and Capital Budgeting</w:t>
      </w:r>
      <w:bookmarkEnd w:id="17"/>
    </w:p>
    <w:p w14:paraId="05BA0901">
      <w:pPr>
        <w:pStyle w:val="3"/>
        <w:bidi w:val="0"/>
        <w:spacing w:line="240" w:lineRule="auto"/>
        <w:rPr>
          <w:rFonts w:hint="default"/>
          <w:lang w:val="en-US"/>
        </w:rPr>
      </w:pPr>
      <w:bookmarkStart w:id="18" w:name="_Toc12857"/>
      <w:r>
        <w:rPr>
          <w:rFonts w:hint="default"/>
          <w:lang w:val="en-US"/>
        </w:rPr>
        <w:t>4.1 Importance of Capital Budgeting in the Current Financial Context</w:t>
      </w:r>
      <w:bookmarkEnd w:id="18"/>
    </w:p>
    <w:p w14:paraId="750EB07E">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Capital budgeting consists of the strategic financial management tool which helps firms to effectively utilise the limited resources available, as well as increase the value creation in the long term (Sureka et al., 2022). In the case of General Electronics that is currently in the decline due to the loss of revenues, operating losses, weakening liquidity, and additional leverage, proper capital budgeting is essential. The Altman Z-Score 2.80 puts the company in the grey zone, which implies the presence of high financial distress. Here, when investment decisions are inefficient those solvency concerns are aggravated, there is increased refinancing strain as well as increased equity erosion. In this light, the CFO should aim to ensure that he/she concentrates on the projects that yield beneficial returns, increase liquidity, and facilitate recovery in the operations, without derailing them of the long-term corporate goals.</w:t>
      </w:r>
    </w:p>
    <w:p w14:paraId="2EE06182">
      <w:pPr>
        <w:spacing w:line="360" w:lineRule="auto"/>
        <w:jc w:val="both"/>
        <w:rPr>
          <w:rFonts w:hint="default" w:ascii="Times New Roman" w:hAnsi="Times New Roman"/>
          <w:sz w:val="24"/>
          <w:szCs w:val="24"/>
          <w:lang w:val="en-US"/>
        </w:rPr>
      </w:pPr>
    </w:p>
    <w:p w14:paraId="20756B43">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business has a capital rationing limit of £60 million and therefore, selection of projects must be done carefully. Capital budgeting systems offer systematic ways of the comparison of investment opportunities according to the profitability, risk and cash flow timing. General Electronics (GE) has presented three, independent projects: A, B, C, that were estimated according to Payback Period (PBP), Accounting rate of Return (ARR), Net present value (NPV), Profitability index (PI) and Internal rate of Returns (IRR). The accounting reflective use of discount rate of 10 percent is used due to the high cost of capital and operating risk of the firm and no straight-line depreciation to zero. This is a systematic method of making sure that the minimal funds are spent on investments that have the greatest wealth to the shareholders and meet the financial stability.</w:t>
      </w:r>
    </w:p>
    <w:p w14:paraId="55E70F67">
      <w:pPr>
        <w:spacing w:line="360" w:lineRule="auto"/>
        <w:jc w:val="both"/>
        <w:rPr>
          <w:rFonts w:hint="default" w:ascii="Times New Roman" w:hAnsi="Times New Roman"/>
          <w:sz w:val="24"/>
          <w:szCs w:val="24"/>
          <w:lang w:val="en-US"/>
        </w:rPr>
      </w:pPr>
    </w:p>
    <w:p w14:paraId="7649D126">
      <w:pPr>
        <w:pStyle w:val="3"/>
        <w:bidi w:val="0"/>
        <w:spacing w:line="240" w:lineRule="auto"/>
        <w:rPr>
          <w:rFonts w:hint="default"/>
          <w:lang w:val="en-US"/>
        </w:rPr>
      </w:pPr>
      <w:bookmarkStart w:id="19" w:name="_Toc29343"/>
      <w:r>
        <w:rPr>
          <w:rFonts w:hint="default"/>
          <w:lang w:val="en-US"/>
        </w:rPr>
        <w:t>4.2 Project Cash Flow Profiles and Risk Characteristics</w:t>
      </w:r>
      <w:bookmarkEnd w:id="19"/>
    </w:p>
    <w:p w14:paraId="6FBE1314">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three projects suggested have great difference in the magnitude, cash flows timing and risk, and it is imperative to evaluate them considering the liquidity and profitability requirements of the firm. Project A will need 40 million pound and bring an uneven stream of 10 million pounds, 12 million pounds, 14 million pounds, 10 million pounds and 8 million pounds within five years. This trend offers moderate initial liquidity with reducing inflow in the last year is a sign of moderate risk to cash coverage. The project qualifies as the operational needs and moderately returns invested capital in the short term.</w:t>
      </w:r>
    </w:p>
    <w:p w14:paraId="48D9EE95">
      <w:pPr>
        <w:spacing w:line="360" w:lineRule="auto"/>
        <w:jc w:val="both"/>
        <w:rPr>
          <w:rFonts w:hint="default" w:ascii="Times New Roman" w:hAnsi="Times New Roman"/>
          <w:sz w:val="24"/>
          <w:szCs w:val="24"/>
          <w:lang w:val="en-US"/>
        </w:rPr>
      </w:pPr>
    </w:p>
    <w:p w14:paraId="433E4BB2">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Project B is a project that is invested in at a rate of 30 million pounds with an inflows of 6 million continuously after every one year. Despite being predictable and stable, the low levels of cash inflows restrict the capacity of the project in regard to the creation of shareholder value. This predictability minimises risk but does not help in solving the urgent need of this firm to restore profitability. Project C, which will cost 50 million pounds, has inflows back-loaded on 5,10,20,25 and 15 million pound. The initial inflows are poor but the project is providing good long-term returns, which has the best promise of restoring equity and profitability. With the liquidity limitation facing General Electronics, the Project C would be a strategic project albeit moderate short-term cash flow risk because it balances the early cash recovery with long-term creation of values. (Appendix 3)</w:t>
      </w:r>
    </w:p>
    <w:p w14:paraId="088294F8">
      <w:pPr>
        <w:spacing w:line="360" w:lineRule="auto"/>
        <w:jc w:val="both"/>
        <w:rPr>
          <w:rFonts w:hint="default" w:ascii="Times New Roman" w:hAnsi="Times New Roman"/>
          <w:sz w:val="24"/>
          <w:szCs w:val="24"/>
          <w:lang w:val="en-US"/>
        </w:rPr>
      </w:pPr>
    </w:p>
    <w:p w14:paraId="0F7BA7D5">
      <w:pPr>
        <w:pStyle w:val="3"/>
        <w:bidi w:val="0"/>
        <w:spacing w:line="240" w:lineRule="auto"/>
        <w:rPr>
          <w:rFonts w:hint="default"/>
          <w:lang w:val="en-US"/>
        </w:rPr>
      </w:pPr>
      <w:bookmarkStart w:id="20" w:name="_Toc7168"/>
      <w:r>
        <w:rPr>
          <w:rFonts w:hint="default"/>
          <w:lang w:val="en-US"/>
        </w:rPr>
        <w:t>4.3 Payback Period (PBP) Analysis</w:t>
      </w:r>
      <w:bookmarkEnd w:id="20"/>
    </w:p>
    <w:p w14:paraId="789F3D3A">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Payback Period is used to estimate the period it takes to recover the initial investment, and this gives an insight into the contribution of a project towards liquidity (Cotter, 2023). The financially strained firm such as General Electronics would have better projects with shorter payback time since it would be important to maintain the cash flow. Project A is realised in about 3.4 years, and this implies that there is a balance in the size of investment and the early cash inflows. The project B that has a payback period of five years ties up more funds throughout the course of the project period, which boosts the risk in liquidity and flexibility.</w:t>
      </w:r>
    </w:p>
    <w:p w14:paraId="6879F10A">
      <w:pPr>
        <w:spacing w:line="360" w:lineRule="auto"/>
        <w:jc w:val="both"/>
        <w:rPr>
          <w:rFonts w:hint="default" w:ascii="Times New Roman" w:hAnsi="Times New Roman"/>
          <w:sz w:val="24"/>
          <w:szCs w:val="24"/>
          <w:lang w:val="en-US"/>
        </w:rPr>
      </w:pPr>
    </w:p>
    <w:p w14:paraId="0BA02DAF">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Project C will pay back in approximately 3.6 years, marginally higher than project A but quicker than project B due to high inflows during the third and the fourth year. Its initial outlay is more, but its timely liquidity is available in the mid-term to help the operations and alleviate the pressure of refinancing. All in all, PBP analysis places Projects A and C as more favourable alternatives when compared to Project B especially in the case of limited financial capacity of the company. (Appendix 4)</w:t>
      </w:r>
    </w:p>
    <w:p w14:paraId="70904B23">
      <w:pPr>
        <w:spacing w:line="360" w:lineRule="auto"/>
        <w:jc w:val="both"/>
        <w:rPr>
          <w:rFonts w:hint="default" w:ascii="Times New Roman" w:hAnsi="Times New Roman"/>
          <w:sz w:val="24"/>
          <w:szCs w:val="24"/>
          <w:lang w:val="en-US"/>
        </w:rPr>
      </w:pPr>
    </w:p>
    <w:p w14:paraId="76F18CC1">
      <w:pPr>
        <w:pStyle w:val="3"/>
        <w:bidi w:val="0"/>
        <w:spacing w:line="240" w:lineRule="auto"/>
        <w:rPr>
          <w:rFonts w:hint="default"/>
          <w:lang w:val="en-US"/>
        </w:rPr>
      </w:pPr>
      <w:bookmarkStart w:id="21" w:name="_Toc18323"/>
      <w:r>
        <w:rPr>
          <w:rFonts w:hint="default"/>
          <w:lang w:val="en-US"/>
        </w:rPr>
        <w:t>4.4 Accounting Rate of Return (ARR)</w:t>
      </w:r>
      <w:bookmarkEnd w:id="21"/>
    </w:p>
    <w:p w14:paraId="4A777A7A">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ARR compares the average accounting profit and investment which gives an evaluation of the expected contribution to reported earnings. Project A will have an ARR of 27 percent and this shows moderate enhancement of accounting profitability. This is a good, but bound state of the ROI, in terms of reviving the general ROA and ROE of the firm, which have been feeling the heat in the latest years.</w:t>
      </w:r>
    </w:p>
    <w:p w14:paraId="71CF1587">
      <w:pPr>
        <w:spacing w:line="360" w:lineRule="auto"/>
        <w:jc w:val="both"/>
        <w:rPr>
          <w:rFonts w:hint="default" w:ascii="Times New Roman" w:hAnsi="Times New Roman"/>
          <w:sz w:val="24"/>
          <w:szCs w:val="24"/>
          <w:lang w:val="en-US"/>
        </w:rPr>
      </w:pPr>
    </w:p>
    <w:p w14:paraId="186E7884">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Project B has a low profitability represented by the ARR of 20 percent, which supports that it is not a value-generating project. Project C, in contrast, has the largest ARR of 30 percent, which makes the largest contribution to the recovery of profitability. Considering the operating losses showed and shareholder value loss observed in the company, it is imperative to prioritise projects that can lead to accounting returns. The ARR analysis consequently indicates that Project C is the best option towards topping the earnings and winding up the financial turnaround plan. (Appendix 5)</w:t>
      </w:r>
    </w:p>
    <w:p w14:paraId="05E21485">
      <w:pPr>
        <w:spacing w:line="360" w:lineRule="auto"/>
        <w:jc w:val="both"/>
        <w:rPr>
          <w:rFonts w:hint="default" w:ascii="Times New Roman" w:hAnsi="Times New Roman"/>
          <w:sz w:val="24"/>
          <w:szCs w:val="24"/>
          <w:lang w:val="en-US"/>
        </w:rPr>
      </w:pPr>
    </w:p>
    <w:p w14:paraId="3F6756B5">
      <w:pPr>
        <w:pStyle w:val="3"/>
        <w:bidi w:val="0"/>
        <w:spacing w:line="240" w:lineRule="auto"/>
        <w:rPr>
          <w:rFonts w:hint="default"/>
          <w:lang w:val="en-US"/>
        </w:rPr>
      </w:pPr>
      <w:bookmarkStart w:id="22" w:name="_Toc22374"/>
      <w:r>
        <w:rPr>
          <w:rFonts w:hint="default"/>
          <w:lang w:val="en-US"/>
        </w:rPr>
        <w:t>4.5 Net Present Value (NPV)</w:t>
      </w:r>
      <w:bookmarkEnd w:id="22"/>
    </w:p>
    <w:p w14:paraId="14AA36F7">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NPV is an absolute value that is given to shareholders by evaluating the discounting of future flows in cash and then the evaluation of the initial investment is done (Cotter, 2023). The project A generates a positive NPV of a small value of 1.34 million in the form of marginal value creation. Project B has an NPV of -7.29 million which is a clear indication of value destruction in case it is undertaken. The project C has the highest NPV of 4.21 million in that great value is created despite the increased investment.</w:t>
      </w:r>
    </w:p>
    <w:p w14:paraId="39DFF631">
      <w:pPr>
        <w:spacing w:line="360" w:lineRule="auto"/>
        <w:jc w:val="both"/>
        <w:rPr>
          <w:rFonts w:hint="default" w:ascii="Times New Roman" w:hAnsi="Times New Roman"/>
          <w:sz w:val="24"/>
          <w:szCs w:val="24"/>
          <w:lang w:val="en-US"/>
        </w:rPr>
      </w:pPr>
    </w:p>
    <w:p w14:paraId="0283BD0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use of NPV analysis is especially acute in the realm of financial distress since the projects should add to the shareholder wealth and company stability towards the positive. Project C also benefits the firm as well as contribute to its overall financial restructuring, which makes it the most strategic choice. Project B on the other hand does not satisfy minimum value creating criteria and hence inappropriate. (Appendix 6)</w:t>
      </w:r>
    </w:p>
    <w:p w14:paraId="23EEFE46">
      <w:pPr>
        <w:spacing w:line="360" w:lineRule="auto"/>
        <w:jc w:val="both"/>
        <w:rPr>
          <w:rFonts w:hint="default" w:ascii="Times New Roman" w:hAnsi="Times New Roman"/>
          <w:sz w:val="24"/>
          <w:szCs w:val="24"/>
          <w:lang w:val="en-US"/>
        </w:rPr>
      </w:pPr>
    </w:p>
    <w:p w14:paraId="53B767B4">
      <w:pPr>
        <w:pStyle w:val="3"/>
        <w:bidi w:val="0"/>
        <w:spacing w:line="240" w:lineRule="auto"/>
        <w:rPr>
          <w:rFonts w:hint="default"/>
          <w:lang w:val="en-US"/>
        </w:rPr>
      </w:pPr>
      <w:bookmarkStart w:id="23" w:name="_Toc4920"/>
      <w:r>
        <w:rPr>
          <w:rFonts w:hint="default"/>
          <w:lang w:val="en-US"/>
        </w:rPr>
        <w:t>4.6 Profitability Index (PI)</w:t>
      </w:r>
      <w:bookmarkEnd w:id="23"/>
    </w:p>
    <w:p w14:paraId="66AB4D1E">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Profitability Index, which determine value per unit of investment is particularly applicable in capital rationing (Al-Rikabi, 2021). Project A yields PI of 1.03 which shows that there is low efficiency in the utilisation of capital. Its inefficiency in making investment is confirmed with project B, having PI of 0.76 and adds to its rejection. Project C has the best PI value of 1.08 which shows that it best utilises the available limited capital and is worth prioritisation within a constraint of £60 million.</w:t>
      </w:r>
    </w:p>
    <w:p w14:paraId="05A39166">
      <w:pPr>
        <w:spacing w:line="360" w:lineRule="auto"/>
        <w:jc w:val="both"/>
        <w:rPr>
          <w:rFonts w:hint="default" w:ascii="Times New Roman" w:hAnsi="Times New Roman"/>
          <w:sz w:val="24"/>
          <w:szCs w:val="24"/>
          <w:lang w:val="en-US"/>
        </w:rPr>
      </w:pPr>
    </w:p>
    <w:p w14:paraId="5FA65EC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When the capital is limited, the PI metric is important in decision-making because it enables the firm to invest in projects that earn the highest rates in terms of returns on an amount of money spent on it. The high PI of project C, in addition to the high NPV and ARR, attests to the fact that the project is the best alternative when it comes to maximising shareholder value as well as contributing to the financial recovery. (Appendix 7)</w:t>
      </w:r>
    </w:p>
    <w:p w14:paraId="67A19C19">
      <w:pPr>
        <w:spacing w:line="360" w:lineRule="auto"/>
        <w:jc w:val="both"/>
        <w:rPr>
          <w:rFonts w:hint="default" w:ascii="Times New Roman" w:hAnsi="Times New Roman"/>
          <w:sz w:val="24"/>
          <w:szCs w:val="24"/>
          <w:lang w:val="en-US"/>
        </w:rPr>
      </w:pPr>
    </w:p>
    <w:p w14:paraId="1EF1169F">
      <w:pPr>
        <w:pStyle w:val="3"/>
        <w:bidi w:val="0"/>
        <w:spacing w:line="240" w:lineRule="auto"/>
        <w:rPr>
          <w:rFonts w:hint="default"/>
          <w:lang w:val="en-US"/>
        </w:rPr>
      </w:pPr>
      <w:bookmarkStart w:id="24" w:name="_Toc29967"/>
      <w:r>
        <w:rPr>
          <w:rFonts w:hint="default"/>
          <w:lang w:val="en-US"/>
        </w:rPr>
        <w:t>4.7 Internal Rate of Return (IRR)</w:t>
      </w:r>
      <w:bookmarkEnd w:id="24"/>
    </w:p>
    <w:p w14:paraId="70CA9756">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IRR is used to represent the projected yearlyised project returns and is risk-adjusted determined in comparison to the cost of capital of the firm (Xie and Chen, 2021). Project A has a somewhat high IRR exceeding the 10% discount rate which shows a moderately acceptable and average risk-return profile. The IRR of Project B is lower than 10 which proves that the venture is not viable because it is not able to pay the required percentage of the firm.</w:t>
      </w:r>
    </w:p>
    <w:p w14:paraId="169625C9">
      <w:pPr>
        <w:spacing w:line="360" w:lineRule="auto"/>
        <w:jc w:val="both"/>
        <w:rPr>
          <w:rFonts w:hint="default" w:ascii="Times New Roman" w:hAnsi="Times New Roman"/>
          <w:sz w:val="24"/>
          <w:szCs w:val="24"/>
          <w:lang w:val="en-US"/>
        </w:rPr>
      </w:pPr>
    </w:p>
    <w:p w14:paraId="48BEA8BA">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Project C, which has the IRR of about 12.5, has a statistically significant risk-adjusted yield that is above the discount rate. In the case of a company that has been subjected to high financial and operating risk, Project C has provided a payback profile that can cover the variability of the cash flows, as well as increase the profitability and shareholder value in the long term. The IRR also justifies the choice of Project C as the best investment to make within the existing constraints. (Appendix 8)</w:t>
      </w:r>
    </w:p>
    <w:p w14:paraId="07C3C2CC">
      <w:pPr>
        <w:spacing w:line="360" w:lineRule="auto"/>
        <w:jc w:val="both"/>
        <w:rPr>
          <w:rFonts w:hint="default" w:ascii="Times New Roman" w:hAnsi="Times New Roman"/>
          <w:sz w:val="24"/>
          <w:szCs w:val="24"/>
          <w:lang w:val="en-US"/>
        </w:rPr>
      </w:pPr>
    </w:p>
    <w:p w14:paraId="7564BB94">
      <w:pPr>
        <w:pStyle w:val="3"/>
        <w:bidi w:val="0"/>
        <w:spacing w:line="240" w:lineRule="auto"/>
        <w:rPr>
          <w:rFonts w:hint="default"/>
          <w:lang w:val="en-US"/>
        </w:rPr>
      </w:pPr>
      <w:bookmarkStart w:id="25" w:name="_Toc18967"/>
      <w:r>
        <w:rPr>
          <w:rFonts w:hint="default"/>
          <w:lang w:val="en-US"/>
        </w:rPr>
        <w:t>4.8 Capital Rationing and Investment Feasibility</w:t>
      </w:r>
      <w:bookmarkEnd w:id="25"/>
    </w:p>
    <w:p w14:paraId="79EFF2F5">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The highest amount of capital that can be invested is of 60 million, and accordingly, this has some options, among which is the Project A on its own (capital of 40 million), Project B on its own (capital of 30 million) or Project C on its own (capital of 50 million). Two-project combinations require more capital than is available causing a lack of flexibility. Project analysis (NPV, PI, PBP) can confirm that the choice provided by Project C prevails in the decision set, provides maximum, and efficient use of capital and sufficient liquidity recovery.</w:t>
      </w:r>
    </w:p>
    <w:p w14:paraId="39BA99D3">
      <w:pPr>
        <w:spacing w:line="360" w:lineRule="auto"/>
        <w:jc w:val="both"/>
        <w:rPr>
          <w:rFonts w:hint="default" w:ascii="Times New Roman" w:hAnsi="Times New Roman"/>
          <w:sz w:val="24"/>
          <w:szCs w:val="24"/>
          <w:lang w:val="en-US"/>
        </w:rPr>
      </w:pPr>
    </w:p>
    <w:p w14:paraId="4EF3744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Project B and A are relatively lesser and Project B is value destructive and Project A has marginal benefits to offer. Capital rationing also places value-accretive and efficient project as a top priority, which goes in support of the strategic reasons of choosing Project C.</w:t>
      </w:r>
    </w:p>
    <w:p w14:paraId="1EB24C2D">
      <w:pPr>
        <w:spacing w:line="360" w:lineRule="auto"/>
        <w:jc w:val="both"/>
        <w:rPr>
          <w:rFonts w:hint="default" w:ascii="Times New Roman" w:hAnsi="Times New Roman"/>
          <w:sz w:val="24"/>
          <w:szCs w:val="24"/>
          <w:lang w:val="en-US"/>
        </w:rPr>
      </w:pPr>
    </w:p>
    <w:p w14:paraId="1227FAEF">
      <w:pPr>
        <w:pStyle w:val="3"/>
        <w:bidi w:val="0"/>
        <w:spacing w:line="240" w:lineRule="auto"/>
        <w:rPr>
          <w:rFonts w:hint="default"/>
          <w:lang w:val="en-US"/>
        </w:rPr>
      </w:pPr>
      <w:bookmarkStart w:id="26" w:name="_Toc27655"/>
      <w:r>
        <w:rPr>
          <w:rFonts w:hint="default"/>
          <w:lang w:val="en-US"/>
        </w:rPr>
        <w:t>4.9 Final Investment Recommendation</w:t>
      </w:r>
      <w:bookmarkEnd w:id="26"/>
    </w:p>
    <w:p w14:paraId="7118CCF8">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According to the comprehensive evaluation, Project C is the best single investment to choose. The maximisation of shareholder value is achieved by the highest NPV, efficiency in the usage of scarce capital with top PI, accounting profitability with 30% ARR and an acceptable payback period of 3.6 years. This is further evidenced by its IRR of 12.5% which indicates that the project has a significant payoff exceeding the cost of capital that pays back the risk and the form of variability in cash flows.</w:t>
      </w:r>
    </w:p>
    <w:p w14:paraId="7B5F3C7B">
      <w:pPr>
        <w:spacing w:line="360" w:lineRule="auto"/>
        <w:jc w:val="both"/>
        <w:rPr>
          <w:rFonts w:hint="default" w:ascii="Times New Roman" w:hAnsi="Times New Roman"/>
          <w:sz w:val="24"/>
          <w:szCs w:val="24"/>
          <w:lang w:val="en-US"/>
        </w:rPr>
      </w:pPr>
    </w:p>
    <w:p w14:paraId="62EA3DCD">
      <w:pPr>
        <w:spacing w:line="360" w:lineRule="auto"/>
        <w:jc w:val="both"/>
        <w:rPr>
          <w:rFonts w:hint="default" w:ascii="Times New Roman" w:hAnsi="Times New Roman"/>
          <w:sz w:val="24"/>
          <w:szCs w:val="24"/>
          <w:lang w:val="en-US"/>
        </w:rPr>
      </w:pPr>
      <w:r>
        <w:rPr>
          <w:rFonts w:hint="default" w:ascii="Times New Roman" w:hAnsi="Times New Roman"/>
          <w:sz w:val="24"/>
          <w:szCs w:val="24"/>
          <w:lang w:val="en-US"/>
        </w:rPr>
        <w:t>Other rejected alternatives are project B, which passes all criteria and kills the value, and project A, which brings about fair advantages. General Electronics can meet its financial recovery goals, long-term value creation, and operational stability objectives by making a decision in favour of Project C and making good use of the capital at its disposal on limited rationing. Investment also goes hand in hand with continuous restructuring which sustains liquidity, profitability, and strategic flexibility to grow in future.</w:t>
      </w:r>
    </w:p>
    <w:p w14:paraId="4B0A7713">
      <w:pPr>
        <w:rPr>
          <w:rFonts w:hint="default" w:ascii="Times New Roman" w:hAnsi="Times New Roman"/>
          <w:sz w:val="24"/>
          <w:szCs w:val="24"/>
          <w:lang w:val="en-US"/>
        </w:rPr>
      </w:pPr>
      <w:r>
        <w:rPr>
          <w:rFonts w:hint="default" w:ascii="Times New Roman" w:hAnsi="Times New Roman"/>
          <w:sz w:val="24"/>
          <w:szCs w:val="24"/>
          <w:lang w:val="en-US"/>
        </w:rPr>
        <w:br w:type="page"/>
      </w:r>
    </w:p>
    <w:p w14:paraId="1351C292">
      <w:pPr>
        <w:pStyle w:val="2"/>
        <w:bidi w:val="0"/>
        <w:spacing w:line="240" w:lineRule="auto"/>
        <w:rPr>
          <w:rFonts w:hint="default"/>
          <w:lang w:val="en-US"/>
        </w:rPr>
      </w:pPr>
      <w:bookmarkStart w:id="27" w:name="_Toc12551"/>
      <w:r>
        <w:rPr>
          <w:rFonts w:hint="default"/>
          <w:lang w:val="en-US"/>
        </w:rPr>
        <w:t>5. Appendices</w:t>
      </w:r>
      <w:bookmarkEnd w:id="27"/>
    </w:p>
    <w:p w14:paraId="160B085B">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1</w:t>
      </w:r>
    </w:p>
    <w:p w14:paraId="446FEC28">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Ratio Analysis</w:t>
      </w:r>
    </w:p>
    <w:tbl>
      <w:tblPr>
        <w:tblStyle w:val="111"/>
        <w:tblW w:w="99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54"/>
        <w:gridCol w:w="1528"/>
        <w:gridCol w:w="1393"/>
        <w:gridCol w:w="1539"/>
        <w:gridCol w:w="1585"/>
        <w:gridCol w:w="1404"/>
        <w:gridCol w:w="1461"/>
      </w:tblGrid>
      <w:tr w14:paraId="294831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5D2F5928">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Ratio</w:t>
            </w:r>
          </w:p>
        </w:tc>
        <w:tc>
          <w:tcPr>
            <w:tcW w:w="1528" w:type="dxa"/>
          </w:tcPr>
          <w:p w14:paraId="61F11F89">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Formula</w:t>
            </w:r>
          </w:p>
        </w:tc>
        <w:tc>
          <w:tcPr>
            <w:tcW w:w="1393" w:type="dxa"/>
          </w:tcPr>
          <w:p w14:paraId="4A2CD59C">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2024</w:t>
            </w:r>
          </w:p>
        </w:tc>
        <w:tc>
          <w:tcPr>
            <w:tcW w:w="1539" w:type="dxa"/>
          </w:tcPr>
          <w:p w14:paraId="4A49DFF5">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2023</w:t>
            </w:r>
          </w:p>
        </w:tc>
        <w:tc>
          <w:tcPr>
            <w:tcW w:w="1585" w:type="dxa"/>
          </w:tcPr>
          <w:p w14:paraId="59CE15E0">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2022</w:t>
            </w:r>
          </w:p>
        </w:tc>
        <w:tc>
          <w:tcPr>
            <w:tcW w:w="1404" w:type="dxa"/>
          </w:tcPr>
          <w:p w14:paraId="021B4F10">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2021</w:t>
            </w:r>
          </w:p>
        </w:tc>
        <w:tc>
          <w:tcPr>
            <w:tcW w:w="1461" w:type="dxa"/>
          </w:tcPr>
          <w:p w14:paraId="2F3A8565">
            <w:pPr>
              <w:widowControl w:val="0"/>
              <w:numPr>
                <w:ilvl w:val="0"/>
                <w:numId w:val="0"/>
              </w:numPr>
              <w:spacing w:line="360" w:lineRule="auto"/>
              <w:jc w:val="center"/>
              <w:rPr>
                <w:rFonts w:hint="default" w:ascii="Times New Roman" w:hAnsi="Times New Roman" w:cs="Times New Roman"/>
                <w:b/>
                <w:bCs/>
                <w:sz w:val="24"/>
                <w:szCs w:val="24"/>
                <w:vertAlign w:val="baseline"/>
                <w:lang w:val="en-US"/>
              </w:rPr>
            </w:pPr>
            <w:r>
              <w:rPr>
                <w:rFonts w:hint="default" w:ascii="Times New Roman" w:hAnsi="Times New Roman" w:cs="Times New Roman"/>
                <w:b/>
                <w:bCs/>
                <w:sz w:val="24"/>
                <w:szCs w:val="24"/>
                <w:vertAlign w:val="baseline"/>
                <w:lang w:val="en-US"/>
              </w:rPr>
              <w:t>2020</w:t>
            </w:r>
          </w:p>
        </w:tc>
      </w:tr>
      <w:tr w14:paraId="6D1AA8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4CDFE0F4">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Current Ratio</w:t>
            </w:r>
          </w:p>
        </w:tc>
        <w:tc>
          <w:tcPr>
            <w:tcW w:w="1528" w:type="dxa"/>
          </w:tcPr>
          <w:p w14:paraId="07FFFB9C">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Current Assets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Current Liabilities</w:t>
            </w:r>
          </w:p>
        </w:tc>
        <w:tc>
          <w:tcPr>
            <w:tcW w:w="1393" w:type="dxa"/>
          </w:tcPr>
          <w:p w14:paraId="5CEBD68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242,494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158,291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1.53</w:t>
            </w:r>
          </w:p>
        </w:tc>
        <w:tc>
          <w:tcPr>
            <w:tcW w:w="1539" w:type="dxa"/>
          </w:tcPr>
          <w:p w14:paraId="64321F4E">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258,851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161,148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1.61</w:t>
            </w:r>
          </w:p>
        </w:tc>
        <w:tc>
          <w:tcPr>
            <w:tcW w:w="1585" w:type="dxa"/>
          </w:tcPr>
          <w:p w14:paraId="5A9FAD94">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338,040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216,473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1.56</w:t>
            </w:r>
          </w:p>
        </w:tc>
        <w:tc>
          <w:tcPr>
            <w:tcW w:w="1404" w:type="dxa"/>
          </w:tcPr>
          <w:p w14:paraId="5C38DA8B">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337,146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216,787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1.55</w:t>
            </w:r>
          </w:p>
        </w:tc>
        <w:tc>
          <w:tcPr>
            <w:tcW w:w="1461" w:type="dxa"/>
          </w:tcPr>
          <w:p w14:paraId="157273B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326,843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179,510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1.82</w:t>
            </w:r>
          </w:p>
        </w:tc>
      </w:tr>
      <w:tr w14:paraId="15EF90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58240F1E">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Quick Ratio</w:t>
            </w:r>
          </w:p>
        </w:tc>
        <w:tc>
          <w:tcPr>
            <w:tcW w:w="1528" w:type="dxa"/>
          </w:tcPr>
          <w:p w14:paraId="2FCB513C">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(Current Assets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Inventories)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Current Liabilities</w:t>
            </w:r>
          </w:p>
        </w:tc>
        <w:tc>
          <w:tcPr>
            <w:tcW w:w="1393" w:type="dxa"/>
          </w:tcPr>
          <w:p w14:paraId="12F1D6A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(242,494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79,355)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158,291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1.04</w:t>
            </w:r>
          </w:p>
        </w:tc>
        <w:tc>
          <w:tcPr>
            <w:tcW w:w="1539" w:type="dxa"/>
          </w:tcPr>
          <w:p w14:paraId="4C76B54E">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(258,851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88,273)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161,148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1.05</w:t>
            </w:r>
          </w:p>
        </w:tc>
        <w:tc>
          <w:tcPr>
            <w:tcW w:w="1585" w:type="dxa"/>
          </w:tcPr>
          <w:p w14:paraId="75A2152C">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(338,040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140,181)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216,473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0.91</w:t>
            </w:r>
          </w:p>
        </w:tc>
        <w:tc>
          <w:tcPr>
            <w:tcW w:w="1404" w:type="dxa"/>
          </w:tcPr>
          <w:p w14:paraId="7247B9B4">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(337,146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134,469)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216,787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0.94</w:t>
            </w:r>
          </w:p>
        </w:tc>
        <w:tc>
          <w:tcPr>
            <w:tcW w:w="1461" w:type="dxa"/>
          </w:tcPr>
          <w:p w14:paraId="1DEBB07A">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(326,843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120,430)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179,510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1.14</w:t>
            </w:r>
          </w:p>
        </w:tc>
      </w:tr>
      <w:tr w14:paraId="52F758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1437BB28">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Cash Ratio</w:t>
            </w:r>
          </w:p>
        </w:tc>
        <w:tc>
          <w:tcPr>
            <w:tcW w:w="1528" w:type="dxa"/>
          </w:tcPr>
          <w:p w14:paraId="12B936CC">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Cash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Current Liabilities</w:t>
            </w:r>
          </w:p>
        </w:tc>
        <w:tc>
          <w:tcPr>
            <w:tcW w:w="1393" w:type="dxa"/>
          </w:tcPr>
          <w:p w14:paraId="689C37E8">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26,783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158,291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0.17</w:t>
            </w:r>
          </w:p>
        </w:tc>
        <w:tc>
          <w:tcPr>
            <w:tcW w:w="1539" w:type="dxa"/>
          </w:tcPr>
          <w:p w14:paraId="6F1B532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42,751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161,148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0.27</w:t>
            </w:r>
          </w:p>
        </w:tc>
        <w:tc>
          <w:tcPr>
            <w:tcW w:w="1585" w:type="dxa"/>
          </w:tcPr>
          <w:p w14:paraId="0526C9CC">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66,740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216,473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0.31</w:t>
            </w:r>
          </w:p>
        </w:tc>
        <w:tc>
          <w:tcPr>
            <w:tcW w:w="1404" w:type="dxa"/>
          </w:tcPr>
          <w:p w14:paraId="2710210B">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60,813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216,787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0.28</w:t>
            </w:r>
          </w:p>
        </w:tc>
        <w:tc>
          <w:tcPr>
            <w:tcW w:w="1461" w:type="dxa"/>
          </w:tcPr>
          <w:p w14:paraId="7993BB97">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57,153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179,510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0.32</w:t>
            </w:r>
          </w:p>
        </w:tc>
      </w:tr>
      <w:tr w14:paraId="2DC38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4DFC638E">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Inventory Turnover (Times)</w:t>
            </w:r>
          </w:p>
        </w:tc>
        <w:tc>
          <w:tcPr>
            <w:tcW w:w="1528" w:type="dxa"/>
          </w:tcPr>
          <w:p w14:paraId="44B4F824">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Cost of Sales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Average Inventory</w:t>
            </w:r>
          </w:p>
        </w:tc>
        <w:tc>
          <w:tcPr>
            <w:tcW w:w="1393" w:type="dxa"/>
          </w:tcPr>
          <w:p w14:paraId="2136F424">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280,885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79,355+</w:t>
            </w:r>
          </w:p>
          <w:p w14:paraId="0782D54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88,273</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b w:val="0"/>
                <w:bCs w:val="0"/>
                <w:sz w:val="24"/>
                <w:szCs w:val="24"/>
              </w:rPr>
              <w:t>3.</w:t>
            </w:r>
            <w:r>
              <w:rPr>
                <w:rFonts w:hint="default" w:ascii="Times New Roman" w:hAnsi="Times New Roman" w:eastAsia="SimSun" w:cs="Times New Roman"/>
                <w:b w:val="0"/>
                <w:bCs w:val="0"/>
                <w:sz w:val="24"/>
                <w:szCs w:val="24"/>
                <w:lang w:val="en-US"/>
              </w:rPr>
              <w:t>35</w:t>
            </w:r>
          </w:p>
        </w:tc>
        <w:tc>
          <w:tcPr>
            <w:tcW w:w="1539" w:type="dxa"/>
          </w:tcPr>
          <w:p w14:paraId="076CA4CE">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322,897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88,273+</w:t>
            </w:r>
          </w:p>
          <w:p w14:paraId="56B1C796">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79,355</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b w:val="0"/>
                <w:bCs w:val="0"/>
                <w:sz w:val="24"/>
                <w:szCs w:val="24"/>
                <w:lang w:val="en-US"/>
              </w:rPr>
              <w:t>3.85</w:t>
            </w:r>
          </w:p>
        </w:tc>
        <w:tc>
          <w:tcPr>
            <w:tcW w:w="1585" w:type="dxa"/>
          </w:tcPr>
          <w:p w14:paraId="5C83B75D">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390,459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((140,181+</w:t>
            </w:r>
          </w:p>
          <w:p w14:paraId="50AE6DCA">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88,273)/2)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b w:val="0"/>
                <w:bCs w:val="0"/>
                <w:sz w:val="24"/>
                <w:szCs w:val="24"/>
              </w:rPr>
              <w:t>3.</w:t>
            </w:r>
            <w:r>
              <w:rPr>
                <w:rFonts w:hint="default" w:ascii="Times New Roman" w:hAnsi="Times New Roman" w:eastAsia="SimSun" w:cs="Times New Roman"/>
                <w:b w:val="0"/>
                <w:bCs w:val="0"/>
                <w:sz w:val="24"/>
                <w:szCs w:val="24"/>
                <w:lang w:val="en-US"/>
              </w:rPr>
              <w:t>41</w:t>
            </w:r>
          </w:p>
        </w:tc>
        <w:tc>
          <w:tcPr>
            <w:tcW w:w="1404" w:type="dxa"/>
          </w:tcPr>
          <w:p w14:paraId="539F19DB">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428,586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((134,469+</w:t>
            </w:r>
          </w:p>
          <w:p w14:paraId="568699F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140,181)/2)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b w:val="0"/>
                <w:bCs w:val="0"/>
                <w:sz w:val="24"/>
                <w:szCs w:val="24"/>
              </w:rPr>
              <w:t>3.1</w:t>
            </w:r>
            <w:r>
              <w:rPr>
                <w:rFonts w:hint="default" w:ascii="Times New Roman" w:hAnsi="Times New Roman" w:eastAsia="SimSun" w:cs="Times New Roman"/>
                <w:b w:val="0"/>
                <w:bCs w:val="0"/>
                <w:sz w:val="24"/>
                <w:szCs w:val="24"/>
                <w:lang w:val="en-US"/>
              </w:rPr>
              <w:t>2</w:t>
            </w:r>
          </w:p>
        </w:tc>
        <w:tc>
          <w:tcPr>
            <w:tcW w:w="1461" w:type="dxa"/>
          </w:tcPr>
          <w:p w14:paraId="4389BF53">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438,424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((120,430+134,469)/2)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b w:val="0"/>
                <w:bCs w:val="0"/>
                <w:sz w:val="24"/>
                <w:szCs w:val="24"/>
              </w:rPr>
              <w:t>3.</w:t>
            </w:r>
            <w:r>
              <w:rPr>
                <w:rFonts w:hint="default" w:ascii="Times New Roman" w:hAnsi="Times New Roman" w:eastAsia="SimSun" w:cs="Times New Roman"/>
                <w:b w:val="0"/>
                <w:bCs w:val="0"/>
                <w:sz w:val="24"/>
                <w:szCs w:val="24"/>
                <w:lang w:val="en-US"/>
              </w:rPr>
              <w:t>43</w:t>
            </w:r>
          </w:p>
        </w:tc>
      </w:tr>
      <w:tr w14:paraId="56851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6BF43AE9">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Receivables Turnover (Times)</w:t>
            </w:r>
          </w:p>
        </w:tc>
        <w:tc>
          <w:tcPr>
            <w:tcW w:w="1528" w:type="dxa"/>
          </w:tcPr>
          <w:p w14:paraId="4C33756E">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Net Sales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Average Accounts Receivable</w:t>
            </w:r>
          </w:p>
        </w:tc>
        <w:tc>
          <w:tcPr>
            <w:tcW w:w="1393" w:type="dxa"/>
          </w:tcPr>
          <w:p w14:paraId="56301209">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394,879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((114,182</w:t>
            </w:r>
            <w:r>
              <w:rPr>
                <w:rFonts w:hint="default" w:ascii="Times New Roman" w:hAnsi="Times New Roman" w:eastAsia="SimSun" w:cs="Times New Roman"/>
                <w:sz w:val="24"/>
                <w:szCs w:val="24"/>
                <w:lang w:val="en-US"/>
              </w:rPr>
              <w:t xml:space="preserve"> </w:t>
            </w:r>
            <w:r>
              <w:rPr>
                <w:rFonts w:hint="default" w:ascii="Times New Roman" w:hAnsi="Times New Roman" w:eastAsia="SimSun" w:cs="Times New Roman"/>
                <w:sz w:val="24"/>
                <w:szCs w:val="24"/>
              </w:rPr>
              <w:t>+</w:t>
            </w:r>
          </w:p>
          <w:p w14:paraId="09641CE9">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112,596)/2)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3.4</w:t>
            </w:r>
            <w:r>
              <w:rPr>
                <w:rFonts w:hint="default" w:ascii="Times New Roman" w:hAnsi="Times New Roman" w:eastAsia="SimSun" w:cs="Times New Roman"/>
                <w:sz w:val="24"/>
                <w:szCs w:val="24"/>
                <w:lang w:val="en-US"/>
              </w:rPr>
              <w:t>8</w:t>
            </w:r>
          </w:p>
        </w:tc>
        <w:tc>
          <w:tcPr>
            <w:tcW w:w="1539" w:type="dxa"/>
          </w:tcPr>
          <w:p w14:paraId="2983A095">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420,457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((112,596+</w:t>
            </w:r>
          </w:p>
          <w:p w14:paraId="60E2A5FB">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114,182)/2)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w:t>
            </w:r>
            <w:r>
              <w:rPr>
                <w:rFonts w:hint="default" w:ascii="Times New Roman" w:hAnsi="Times New Roman" w:eastAsia="SimSun" w:cs="Times New Roman"/>
                <w:sz w:val="24"/>
                <w:szCs w:val="24"/>
                <w:lang w:val="en-US"/>
              </w:rPr>
              <w:t>70</w:t>
            </w:r>
          </w:p>
        </w:tc>
        <w:tc>
          <w:tcPr>
            <w:tcW w:w="1585" w:type="dxa"/>
          </w:tcPr>
          <w:p w14:paraId="1641264F">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542,751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((112,346+</w:t>
            </w:r>
          </w:p>
          <w:p w14:paraId="66548F31">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112,596)/2)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4.82</w:t>
            </w:r>
          </w:p>
        </w:tc>
        <w:tc>
          <w:tcPr>
            <w:tcW w:w="1404" w:type="dxa"/>
          </w:tcPr>
          <w:p w14:paraId="00CCAB63">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601,602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((129,215+112,346)/2)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4.9</w:t>
            </w:r>
            <w:r>
              <w:rPr>
                <w:rFonts w:hint="default" w:ascii="Times New Roman" w:hAnsi="Times New Roman" w:eastAsia="SimSun" w:cs="Times New Roman"/>
                <w:sz w:val="24"/>
                <w:szCs w:val="24"/>
                <w:lang w:val="en-US"/>
              </w:rPr>
              <w:t>8</w:t>
            </w:r>
          </w:p>
        </w:tc>
        <w:tc>
          <w:tcPr>
            <w:tcW w:w="1461" w:type="dxa"/>
          </w:tcPr>
          <w:p w14:paraId="2301D757">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614,680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((129,433+129,215)/2)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4.7</w:t>
            </w:r>
            <w:r>
              <w:rPr>
                <w:rFonts w:hint="default" w:ascii="Times New Roman" w:hAnsi="Times New Roman" w:eastAsia="SimSun" w:cs="Times New Roman"/>
                <w:sz w:val="24"/>
                <w:szCs w:val="24"/>
                <w:lang w:val="en-US"/>
              </w:rPr>
              <w:t>5</w:t>
            </w:r>
          </w:p>
        </w:tc>
      </w:tr>
      <w:tr w14:paraId="090BCA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5C31F0FB">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Days Sales Outstanding (DSO)</w:t>
            </w:r>
          </w:p>
        </w:tc>
        <w:tc>
          <w:tcPr>
            <w:tcW w:w="1528" w:type="dxa"/>
          </w:tcPr>
          <w:p w14:paraId="0CCBE45F">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Receivables Turnover</w:t>
            </w:r>
          </w:p>
        </w:tc>
        <w:tc>
          <w:tcPr>
            <w:tcW w:w="1393" w:type="dxa"/>
          </w:tcPr>
          <w:p w14:paraId="5F8A7E13">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3.4</w:t>
            </w:r>
            <w:r>
              <w:rPr>
                <w:rFonts w:hint="default" w:ascii="Times New Roman" w:hAnsi="Times New Roman" w:eastAsia="SimSun" w:cs="Times New Roman"/>
                <w:sz w:val="24"/>
                <w:szCs w:val="24"/>
                <w:lang w:val="en-US"/>
              </w:rPr>
              <w:t>8</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10</w:t>
            </w:r>
            <w:r>
              <w:rPr>
                <w:rFonts w:hint="default" w:ascii="Times New Roman" w:hAnsi="Times New Roman" w:eastAsia="SimSun" w:cs="Times New Roman"/>
                <w:sz w:val="24"/>
                <w:szCs w:val="24"/>
                <w:lang w:val="en-US"/>
              </w:rPr>
              <w:t>5</w:t>
            </w:r>
          </w:p>
        </w:tc>
        <w:tc>
          <w:tcPr>
            <w:tcW w:w="1539" w:type="dxa"/>
          </w:tcPr>
          <w:p w14:paraId="7FC85BD6">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w:t>
            </w:r>
            <w:r>
              <w:rPr>
                <w:rFonts w:hint="default" w:ascii="Times New Roman" w:hAnsi="Times New Roman" w:eastAsia="SimSun" w:cs="Times New Roman"/>
                <w:sz w:val="24"/>
                <w:szCs w:val="24"/>
                <w:lang w:val="en-US"/>
              </w:rPr>
              <w:t>70</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99</w:t>
            </w:r>
          </w:p>
        </w:tc>
        <w:tc>
          <w:tcPr>
            <w:tcW w:w="1585" w:type="dxa"/>
          </w:tcPr>
          <w:p w14:paraId="1160B23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4.82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76</w:t>
            </w:r>
          </w:p>
        </w:tc>
        <w:tc>
          <w:tcPr>
            <w:tcW w:w="1404" w:type="dxa"/>
          </w:tcPr>
          <w:p w14:paraId="7B1CD52C">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4.9</w:t>
            </w:r>
            <w:r>
              <w:rPr>
                <w:rFonts w:hint="default" w:ascii="Times New Roman" w:hAnsi="Times New Roman" w:eastAsia="SimSun" w:cs="Times New Roman"/>
                <w:sz w:val="24"/>
                <w:szCs w:val="24"/>
                <w:lang w:val="en-US"/>
              </w:rPr>
              <w:t>8</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74</w:t>
            </w:r>
          </w:p>
        </w:tc>
        <w:tc>
          <w:tcPr>
            <w:tcW w:w="1461" w:type="dxa"/>
          </w:tcPr>
          <w:p w14:paraId="1C11DC2C">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4.7</w:t>
            </w:r>
            <w:r>
              <w:rPr>
                <w:rFonts w:hint="default" w:ascii="Times New Roman" w:hAnsi="Times New Roman" w:eastAsia="SimSun" w:cs="Times New Roman"/>
                <w:sz w:val="24"/>
                <w:szCs w:val="24"/>
                <w:lang w:val="en-US"/>
              </w:rPr>
              <w:t>5</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77</w:t>
            </w:r>
          </w:p>
        </w:tc>
      </w:tr>
      <w:tr w14:paraId="15B98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3563E398">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Payables Turnover (Times)</w:t>
            </w:r>
          </w:p>
        </w:tc>
        <w:tc>
          <w:tcPr>
            <w:tcW w:w="1528" w:type="dxa"/>
          </w:tcPr>
          <w:p w14:paraId="497E9EBA">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Cost of Sales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Average Accounts Payable</w:t>
            </w:r>
          </w:p>
        </w:tc>
        <w:tc>
          <w:tcPr>
            <w:tcW w:w="1393" w:type="dxa"/>
          </w:tcPr>
          <w:p w14:paraId="0A97F29F">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280,885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((72,031+</w:t>
            </w:r>
          </w:p>
          <w:p w14:paraId="13C3068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57,033)/2)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w:t>
            </w:r>
            <w:r>
              <w:rPr>
                <w:rFonts w:hint="default" w:ascii="Times New Roman" w:hAnsi="Times New Roman" w:eastAsia="SimSun" w:cs="Times New Roman"/>
                <w:sz w:val="24"/>
                <w:szCs w:val="24"/>
                <w:lang w:val="en-US"/>
              </w:rPr>
              <w:t>35</w:t>
            </w:r>
          </w:p>
        </w:tc>
        <w:tc>
          <w:tcPr>
            <w:tcW w:w="1539" w:type="dxa"/>
          </w:tcPr>
          <w:p w14:paraId="35FA4F6E">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322,897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((57,033+</w:t>
            </w:r>
          </w:p>
          <w:p w14:paraId="059C10EB">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72,031)/2)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5.00</w:t>
            </w:r>
          </w:p>
        </w:tc>
        <w:tc>
          <w:tcPr>
            <w:tcW w:w="1585" w:type="dxa"/>
          </w:tcPr>
          <w:p w14:paraId="3DAD0986">
            <w:pPr>
              <w:widowControl w:val="0"/>
              <w:numPr>
                <w:ilvl w:val="0"/>
                <w:numId w:val="0"/>
              </w:numPr>
              <w:spacing w:line="360" w:lineRule="auto"/>
              <w:jc w:val="center"/>
              <w:rPr>
                <w:rFonts w:hint="default" w:ascii="Times New Roman" w:hAnsi="Times New Roman" w:eastAsia="SimSun" w:cs="Times New Roman"/>
                <w:sz w:val="24"/>
                <w:szCs w:val="24"/>
              </w:rPr>
            </w:pPr>
            <w:r>
              <w:rPr>
                <w:rFonts w:hint="default" w:ascii="Times New Roman" w:hAnsi="Times New Roman" w:eastAsia="SimSun" w:cs="Times New Roman"/>
                <w:sz w:val="24"/>
                <w:szCs w:val="24"/>
              </w:rPr>
              <w:t xml:space="preserve">390,459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((71,373+</w:t>
            </w:r>
          </w:p>
          <w:p w14:paraId="08F4A19C">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57,033)/2)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w:t>
            </w:r>
            <w:r>
              <w:rPr>
                <w:rFonts w:hint="default" w:ascii="Times New Roman" w:hAnsi="Times New Roman" w:eastAsia="SimSun" w:cs="Times New Roman"/>
                <w:sz w:val="24"/>
                <w:szCs w:val="24"/>
                <w:lang w:val="en-US"/>
              </w:rPr>
              <w:t>8</w:t>
            </w:r>
          </w:p>
        </w:tc>
        <w:tc>
          <w:tcPr>
            <w:tcW w:w="1404" w:type="dxa"/>
          </w:tcPr>
          <w:p w14:paraId="53FAEBC6">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428,586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((92,707+71,373)/2)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w:t>
            </w:r>
            <w:r>
              <w:rPr>
                <w:rFonts w:hint="default" w:ascii="Times New Roman" w:hAnsi="Times New Roman" w:eastAsia="SimSun" w:cs="Times New Roman"/>
                <w:sz w:val="24"/>
                <w:szCs w:val="24"/>
                <w:lang w:val="en-US"/>
              </w:rPr>
              <w:t>22</w:t>
            </w:r>
          </w:p>
        </w:tc>
        <w:tc>
          <w:tcPr>
            <w:tcW w:w="1461" w:type="dxa"/>
          </w:tcPr>
          <w:p w14:paraId="548CF681">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438,424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((83,229+92,707)/2)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4.98</w:t>
            </w:r>
          </w:p>
        </w:tc>
      </w:tr>
      <w:tr w14:paraId="1073A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2798C94F">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Days Payable Outstanding (DPO)</w:t>
            </w:r>
          </w:p>
        </w:tc>
        <w:tc>
          <w:tcPr>
            <w:tcW w:w="1528" w:type="dxa"/>
          </w:tcPr>
          <w:p w14:paraId="3B6281EF">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Payables Turnover</w:t>
            </w:r>
          </w:p>
        </w:tc>
        <w:tc>
          <w:tcPr>
            <w:tcW w:w="1393" w:type="dxa"/>
          </w:tcPr>
          <w:p w14:paraId="1EE23497">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w:t>
            </w:r>
            <w:r>
              <w:rPr>
                <w:rFonts w:hint="default" w:ascii="Times New Roman" w:hAnsi="Times New Roman" w:eastAsia="SimSun" w:cs="Times New Roman"/>
                <w:sz w:val="24"/>
                <w:szCs w:val="24"/>
                <w:lang w:val="en-US"/>
              </w:rPr>
              <w:t>35</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8</w:t>
            </w:r>
            <w:r>
              <w:rPr>
                <w:rFonts w:hint="default" w:ascii="Times New Roman" w:hAnsi="Times New Roman" w:eastAsia="SimSun" w:cs="Times New Roman"/>
                <w:sz w:val="24"/>
                <w:szCs w:val="24"/>
                <w:lang w:val="en-US"/>
              </w:rPr>
              <w:t>4</w:t>
            </w:r>
          </w:p>
        </w:tc>
        <w:tc>
          <w:tcPr>
            <w:tcW w:w="1539" w:type="dxa"/>
          </w:tcPr>
          <w:p w14:paraId="12268F21">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w:t>
            </w:r>
            <w:r>
              <w:rPr>
                <w:rFonts w:hint="default" w:ascii="Times New Roman" w:hAnsi="Times New Roman" w:eastAsia="SimSun" w:cs="Times New Roman"/>
                <w:sz w:val="24"/>
                <w:szCs w:val="24"/>
                <w:lang w:val="en-US"/>
              </w:rPr>
              <w:t>.0</w:t>
            </w:r>
            <w:r>
              <w:rPr>
                <w:rFonts w:hint="default" w:ascii="Times New Roman" w:hAnsi="Times New Roman" w:eastAsia="SimSun" w:cs="Times New Roman"/>
                <w:sz w:val="24"/>
                <w:szCs w:val="24"/>
              </w:rPr>
              <w:t xml:space="preserve">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73</w:t>
            </w:r>
          </w:p>
        </w:tc>
        <w:tc>
          <w:tcPr>
            <w:tcW w:w="1585" w:type="dxa"/>
          </w:tcPr>
          <w:p w14:paraId="2CE1111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w:t>
            </w:r>
            <w:r>
              <w:rPr>
                <w:rFonts w:hint="default" w:ascii="Times New Roman" w:hAnsi="Times New Roman" w:eastAsia="SimSun" w:cs="Times New Roman"/>
                <w:sz w:val="24"/>
                <w:szCs w:val="24"/>
                <w:lang w:val="en-US"/>
              </w:rPr>
              <w:t>08</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w:t>
            </w:r>
          </w:p>
        </w:tc>
        <w:tc>
          <w:tcPr>
            <w:tcW w:w="1404" w:type="dxa"/>
          </w:tcPr>
          <w:p w14:paraId="7942BBBA">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w:t>
            </w:r>
            <w:r>
              <w:rPr>
                <w:rFonts w:hint="default" w:ascii="Times New Roman" w:hAnsi="Times New Roman" w:eastAsia="SimSun" w:cs="Times New Roman"/>
                <w:sz w:val="24"/>
                <w:szCs w:val="24"/>
                <w:lang w:val="en-US"/>
              </w:rPr>
              <w:t>22</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70</w:t>
            </w:r>
          </w:p>
        </w:tc>
        <w:tc>
          <w:tcPr>
            <w:tcW w:w="1461" w:type="dxa"/>
          </w:tcPr>
          <w:p w14:paraId="56D1BFE8">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365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4.9</w:t>
            </w:r>
            <w:r>
              <w:rPr>
                <w:rFonts w:hint="default" w:ascii="Times New Roman" w:hAnsi="Times New Roman" w:eastAsia="SimSun" w:cs="Times New Roman"/>
                <w:sz w:val="24"/>
                <w:szCs w:val="24"/>
              </w:rPr>
              <w:t xml:space="preserve">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w:t>
            </w:r>
            <w:r>
              <w:rPr>
                <w:rFonts w:hint="default" w:ascii="Times New Roman" w:hAnsi="Times New Roman" w:eastAsia="SimSun" w:cs="Times New Roman"/>
                <w:sz w:val="24"/>
                <w:szCs w:val="24"/>
                <w:lang w:val="en-US"/>
              </w:rPr>
              <w:t>3</w:t>
            </w:r>
          </w:p>
        </w:tc>
      </w:tr>
      <w:tr w14:paraId="4E250C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11276BA8">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Cash Conversion Cycle (Days)</w:t>
            </w:r>
          </w:p>
        </w:tc>
        <w:tc>
          <w:tcPr>
            <w:tcW w:w="1528" w:type="dxa"/>
          </w:tcPr>
          <w:p w14:paraId="571EA0C4">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DSO + Inventory Days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DPO</w:t>
            </w:r>
          </w:p>
        </w:tc>
        <w:tc>
          <w:tcPr>
            <w:tcW w:w="1393" w:type="dxa"/>
          </w:tcPr>
          <w:p w14:paraId="5DE5632C">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10</w:t>
            </w:r>
            <w:r>
              <w:rPr>
                <w:rFonts w:hint="default" w:ascii="Times New Roman" w:hAnsi="Times New Roman" w:eastAsia="SimSun" w:cs="Times New Roman"/>
                <w:sz w:val="24"/>
                <w:szCs w:val="24"/>
                <w:lang w:val="en-US"/>
              </w:rPr>
              <w:t>5</w:t>
            </w:r>
            <w:r>
              <w:rPr>
                <w:rFonts w:hint="default" w:ascii="Times New Roman" w:hAnsi="Times New Roman" w:eastAsia="SimSun" w:cs="Times New Roman"/>
                <w:sz w:val="24"/>
                <w:szCs w:val="24"/>
              </w:rPr>
              <w:t xml:space="preserve"> + 1</w:t>
            </w:r>
            <w:r>
              <w:rPr>
                <w:rFonts w:hint="default" w:ascii="Times New Roman" w:hAnsi="Times New Roman" w:eastAsia="SimSun" w:cs="Times New Roman"/>
                <w:sz w:val="24"/>
                <w:szCs w:val="24"/>
                <w:lang w:val="en-US"/>
              </w:rPr>
              <w:t>09</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8</w:t>
            </w:r>
            <w:r>
              <w:rPr>
                <w:rFonts w:hint="default" w:ascii="Times New Roman" w:hAnsi="Times New Roman" w:eastAsia="SimSun" w:cs="Times New Roman"/>
                <w:sz w:val="24"/>
                <w:szCs w:val="24"/>
                <w:lang w:val="en-US"/>
              </w:rPr>
              <w:t>4</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130</w:t>
            </w:r>
          </w:p>
        </w:tc>
        <w:tc>
          <w:tcPr>
            <w:tcW w:w="1539" w:type="dxa"/>
          </w:tcPr>
          <w:p w14:paraId="54B8BED3">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99 + 9</w:t>
            </w:r>
            <w:r>
              <w:rPr>
                <w:rFonts w:hint="default" w:ascii="Times New Roman" w:hAnsi="Times New Roman" w:eastAsia="SimSun" w:cs="Times New Roman"/>
                <w:sz w:val="24"/>
                <w:szCs w:val="24"/>
                <w:lang w:val="en-US"/>
              </w:rPr>
              <w:t>5</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73</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w:t>
            </w:r>
            <w:r>
              <w:rPr>
                <w:rFonts w:hint="default" w:ascii="Times New Roman" w:hAnsi="Times New Roman" w:eastAsia="SimSun" w:cs="Times New Roman"/>
                <w:sz w:val="24"/>
                <w:szCs w:val="24"/>
                <w:lang w:val="en-US"/>
              </w:rPr>
              <w:t>21</w:t>
            </w:r>
          </w:p>
        </w:tc>
        <w:tc>
          <w:tcPr>
            <w:tcW w:w="1585" w:type="dxa"/>
          </w:tcPr>
          <w:p w14:paraId="434F63DF">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76 + </w:t>
            </w:r>
            <w:r>
              <w:rPr>
                <w:rFonts w:hint="default" w:ascii="Times New Roman" w:hAnsi="Times New Roman" w:eastAsia="SimSun" w:cs="Times New Roman"/>
                <w:sz w:val="24"/>
                <w:szCs w:val="24"/>
                <w:lang w:val="en-US"/>
              </w:rPr>
              <w:t>107</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w:t>
            </w:r>
            <w:r>
              <w:rPr>
                <w:rFonts w:hint="default" w:ascii="Times New Roman" w:hAnsi="Times New Roman" w:eastAsia="SimSun" w:cs="Times New Roman"/>
                <w:sz w:val="24"/>
                <w:szCs w:val="24"/>
                <w:lang w:val="en-US"/>
              </w:rPr>
              <w:t>23</w:t>
            </w:r>
          </w:p>
        </w:tc>
        <w:tc>
          <w:tcPr>
            <w:tcW w:w="1404" w:type="dxa"/>
          </w:tcPr>
          <w:p w14:paraId="17108C4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74 + 117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70</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12</w:t>
            </w:r>
            <w:r>
              <w:rPr>
                <w:rFonts w:hint="default" w:ascii="Times New Roman" w:hAnsi="Times New Roman" w:eastAsia="SimSun" w:cs="Times New Roman"/>
                <w:sz w:val="24"/>
                <w:szCs w:val="24"/>
                <w:lang w:val="en-US"/>
              </w:rPr>
              <w:t>1</w:t>
            </w:r>
          </w:p>
        </w:tc>
        <w:tc>
          <w:tcPr>
            <w:tcW w:w="1461" w:type="dxa"/>
          </w:tcPr>
          <w:p w14:paraId="528EC79B">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77 + 1</w:t>
            </w:r>
            <w:r>
              <w:rPr>
                <w:rFonts w:hint="default" w:ascii="Times New Roman" w:hAnsi="Times New Roman" w:eastAsia="SimSun" w:cs="Times New Roman"/>
                <w:sz w:val="24"/>
                <w:szCs w:val="24"/>
                <w:lang w:val="en-US"/>
              </w:rPr>
              <w:t>06</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w:t>
            </w:r>
            <w:r>
              <w:rPr>
                <w:rFonts w:hint="default" w:ascii="Times New Roman" w:hAnsi="Times New Roman" w:eastAsia="SimSun" w:cs="Times New Roman"/>
                <w:sz w:val="24"/>
                <w:szCs w:val="24"/>
                <w:lang w:val="en-US"/>
              </w:rPr>
              <w:t>3</w:t>
            </w:r>
            <w:r>
              <w:rPr>
                <w:rFonts w:hint="default" w:ascii="Times New Roman" w:hAnsi="Times New Roman" w:eastAsia="SimSun" w:cs="Times New Roman"/>
                <w:sz w:val="24"/>
                <w:szCs w:val="24"/>
              </w:rPr>
              <w:t xml:space="preserv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11</w:t>
            </w:r>
            <w:r>
              <w:rPr>
                <w:rFonts w:hint="default" w:ascii="Times New Roman" w:hAnsi="Times New Roman" w:eastAsia="SimSun" w:cs="Times New Roman"/>
                <w:sz w:val="24"/>
                <w:szCs w:val="24"/>
                <w:lang w:val="en-US"/>
              </w:rPr>
              <w:t>0</w:t>
            </w:r>
          </w:p>
        </w:tc>
      </w:tr>
      <w:tr w14:paraId="351973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67A01768">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Gross Profit Margin (%)</w:t>
            </w:r>
          </w:p>
        </w:tc>
        <w:tc>
          <w:tcPr>
            <w:tcW w:w="1528" w:type="dxa"/>
          </w:tcPr>
          <w:p w14:paraId="160AEEB8">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Gross Profit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Net Sales ×100</w:t>
            </w:r>
          </w:p>
        </w:tc>
        <w:tc>
          <w:tcPr>
            <w:tcW w:w="1393" w:type="dxa"/>
          </w:tcPr>
          <w:p w14:paraId="6086773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113,994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394,879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28.9%</w:t>
            </w:r>
          </w:p>
        </w:tc>
        <w:tc>
          <w:tcPr>
            <w:tcW w:w="1539" w:type="dxa"/>
          </w:tcPr>
          <w:p w14:paraId="27444C6F">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97,560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420,457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23.2%</w:t>
            </w:r>
          </w:p>
        </w:tc>
        <w:tc>
          <w:tcPr>
            <w:tcW w:w="1585" w:type="dxa"/>
          </w:tcPr>
          <w:p w14:paraId="3797A03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152,292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542,751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28.1%</w:t>
            </w:r>
          </w:p>
        </w:tc>
        <w:tc>
          <w:tcPr>
            <w:tcW w:w="1404" w:type="dxa"/>
          </w:tcPr>
          <w:p w14:paraId="50DE3C78">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173,016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601,602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28.8%</w:t>
            </w:r>
          </w:p>
        </w:tc>
        <w:tc>
          <w:tcPr>
            <w:tcW w:w="1461" w:type="dxa"/>
          </w:tcPr>
          <w:p w14:paraId="23EEBF81">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176,256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614,680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28.7%</w:t>
            </w:r>
          </w:p>
        </w:tc>
      </w:tr>
      <w:tr w14:paraId="032D9E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40C927EB">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Operating Profit Margin (%)</w:t>
            </w:r>
          </w:p>
        </w:tc>
        <w:tc>
          <w:tcPr>
            <w:tcW w:w="1528" w:type="dxa"/>
          </w:tcPr>
          <w:p w14:paraId="22F45028">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Operating Income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Net Sales ×100</w:t>
            </w:r>
          </w:p>
        </w:tc>
        <w:tc>
          <w:tcPr>
            <w:tcW w:w="1393" w:type="dxa"/>
          </w:tcPr>
          <w:p w14:paraId="101A96E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-15,297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394,879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-3.87%</w:t>
            </w:r>
          </w:p>
        </w:tc>
        <w:tc>
          <w:tcPr>
            <w:tcW w:w="1539" w:type="dxa"/>
          </w:tcPr>
          <w:p w14:paraId="1A8F83F7">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-85,301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420,457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-20.3%</w:t>
            </w:r>
          </w:p>
        </w:tc>
        <w:tc>
          <w:tcPr>
            <w:tcW w:w="1585" w:type="dxa"/>
          </w:tcPr>
          <w:p w14:paraId="025F4D1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14,548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542,751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2.68%</w:t>
            </w:r>
          </w:p>
        </w:tc>
        <w:tc>
          <w:tcPr>
            <w:tcW w:w="1404" w:type="dxa"/>
          </w:tcPr>
          <w:p w14:paraId="7414EA48">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23,253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601,602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3.87%</w:t>
            </w:r>
          </w:p>
        </w:tc>
        <w:tc>
          <w:tcPr>
            <w:tcW w:w="1461" w:type="dxa"/>
          </w:tcPr>
          <w:p w14:paraId="2777F9A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37,267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614,680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6.06%</w:t>
            </w:r>
          </w:p>
        </w:tc>
      </w:tr>
      <w:tr w14:paraId="6E963B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4D1609B4">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Net Profit Margin (%)</w:t>
            </w:r>
          </w:p>
        </w:tc>
        <w:tc>
          <w:tcPr>
            <w:tcW w:w="1528" w:type="dxa"/>
          </w:tcPr>
          <w:p w14:paraId="14EA23CB">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Net Income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Net Sales ×100</w:t>
            </w:r>
          </w:p>
        </w:tc>
        <w:tc>
          <w:tcPr>
            <w:tcW w:w="1393" w:type="dxa"/>
          </w:tcPr>
          <w:p w14:paraId="36343EC3">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-24,029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394,879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-6.09%</w:t>
            </w:r>
          </w:p>
        </w:tc>
        <w:tc>
          <w:tcPr>
            <w:tcW w:w="1539" w:type="dxa"/>
          </w:tcPr>
          <w:p w14:paraId="76CA9F79">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-98,238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420,457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-23.4%</w:t>
            </w:r>
          </w:p>
        </w:tc>
        <w:tc>
          <w:tcPr>
            <w:tcW w:w="1585" w:type="dxa"/>
          </w:tcPr>
          <w:p w14:paraId="1DE2F2E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407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542,751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0.07%</w:t>
            </w:r>
          </w:p>
        </w:tc>
        <w:tc>
          <w:tcPr>
            <w:tcW w:w="1404" w:type="dxa"/>
          </w:tcPr>
          <w:p w14:paraId="1F6EBC19">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5,301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601,602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0.88%</w:t>
            </w:r>
          </w:p>
        </w:tc>
        <w:tc>
          <w:tcPr>
            <w:tcW w:w="1461" w:type="dxa"/>
          </w:tcPr>
          <w:p w14:paraId="4CF08F55">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38,572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614,680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6.28%</w:t>
            </w:r>
          </w:p>
        </w:tc>
      </w:tr>
      <w:tr w14:paraId="4C604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4FD37E17">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Return on Assets (ROA) (%)</w:t>
            </w:r>
          </w:p>
        </w:tc>
        <w:tc>
          <w:tcPr>
            <w:tcW w:w="1528" w:type="dxa"/>
          </w:tcPr>
          <w:p w14:paraId="733EAD06">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Net Income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Total Assets ×100</w:t>
            </w:r>
          </w:p>
        </w:tc>
        <w:tc>
          <w:tcPr>
            <w:tcW w:w="1393" w:type="dxa"/>
          </w:tcPr>
          <w:p w14:paraId="360B1EE8">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-24,029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323,354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-7.44%</w:t>
            </w:r>
          </w:p>
        </w:tc>
        <w:tc>
          <w:tcPr>
            <w:tcW w:w="1539" w:type="dxa"/>
          </w:tcPr>
          <w:p w14:paraId="5D7938A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-98,238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355,872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-27.6%</w:t>
            </w:r>
          </w:p>
        </w:tc>
        <w:tc>
          <w:tcPr>
            <w:tcW w:w="1585" w:type="dxa"/>
          </w:tcPr>
          <w:p w14:paraId="16020B9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407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504,163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0.08%</w:t>
            </w:r>
          </w:p>
        </w:tc>
        <w:tc>
          <w:tcPr>
            <w:tcW w:w="1404" w:type="dxa"/>
          </w:tcPr>
          <w:p w14:paraId="7D07031B">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5,301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510,348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1.04%</w:t>
            </w:r>
          </w:p>
        </w:tc>
        <w:tc>
          <w:tcPr>
            <w:tcW w:w="1461" w:type="dxa"/>
          </w:tcPr>
          <w:p w14:paraId="7DEF7DB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38,572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510,290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7.56%</w:t>
            </w:r>
          </w:p>
        </w:tc>
      </w:tr>
      <w:tr w14:paraId="6002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189472E5">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Return on Equity (ROE) (%)</w:t>
            </w:r>
          </w:p>
        </w:tc>
        <w:tc>
          <w:tcPr>
            <w:tcW w:w="1528" w:type="dxa"/>
          </w:tcPr>
          <w:p w14:paraId="178277A5">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Net Income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Shareholders’ Equity ×100</w:t>
            </w:r>
          </w:p>
        </w:tc>
        <w:tc>
          <w:tcPr>
            <w:tcW w:w="1393" w:type="dxa"/>
          </w:tcPr>
          <w:p w14:paraId="09231AB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-24,029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153,105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-15.7%</w:t>
            </w:r>
          </w:p>
        </w:tc>
        <w:tc>
          <w:tcPr>
            <w:tcW w:w="1539" w:type="dxa"/>
          </w:tcPr>
          <w:p w14:paraId="4BFAB7C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-98,238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178,920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-54.9%</w:t>
            </w:r>
          </w:p>
        </w:tc>
        <w:tc>
          <w:tcPr>
            <w:tcW w:w="1585" w:type="dxa"/>
          </w:tcPr>
          <w:p w14:paraId="1A49BA45">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407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268,406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0.15%</w:t>
            </w:r>
          </w:p>
        </w:tc>
        <w:tc>
          <w:tcPr>
            <w:tcW w:w="1404" w:type="dxa"/>
          </w:tcPr>
          <w:p w14:paraId="6AAB329F">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5,301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275,949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1.92%</w:t>
            </w:r>
          </w:p>
        </w:tc>
        <w:tc>
          <w:tcPr>
            <w:tcW w:w="1461" w:type="dxa"/>
          </w:tcPr>
          <w:p w14:paraId="253D5C82">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38,572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313,301 ×100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12.3%</w:t>
            </w:r>
          </w:p>
        </w:tc>
      </w:tr>
      <w:tr w14:paraId="0D0E5C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4D7C38B9">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Debt-to-Equity Ratio</w:t>
            </w:r>
          </w:p>
        </w:tc>
        <w:tc>
          <w:tcPr>
            <w:tcW w:w="1528" w:type="dxa"/>
          </w:tcPr>
          <w:p w14:paraId="6A5B724E">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Total Liabilities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Shareholders’ Equity</w:t>
            </w:r>
          </w:p>
        </w:tc>
        <w:tc>
          <w:tcPr>
            <w:tcW w:w="1393" w:type="dxa"/>
          </w:tcPr>
          <w:p w14:paraId="5FB46D97">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170,249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153,105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1.11</w:t>
            </w:r>
          </w:p>
        </w:tc>
        <w:tc>
          <w:tcPr>
            <w:tcW w:w="1539" w:type="dxa"/>
          </w:tcPr>
          <w:p w14:paraId="7310266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176,952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178,920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0.99</w:t>
            </w:r>
          </w:p>
        </w:tc>
        <w:tc>
          <w:tcPr>
            <w:tcW w:w="1585" w:type="dxa"/>
          </w:tcPr>
          <w:p w14:paraId="490A778A">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235,757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268,406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0.88</w:t>
            </w:r>
          </w:p>
        </w:tc>
        <w:tc>
          <w:tcPr>
            <w:tcW w:w="1404" w:type="dxa"/>
          </w:tcPr>
          <w:p w14:paraId="6142A897">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234,399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275,949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0.85</w:t>
            </w:r>
          </w:p>
        </w:tc>
        <w:tc>
          <w:tcPr>
            <w:tcW w:w="1461" w:type="dxa"/>
          </w:tcPr>
          <w:p w14:paraId="5037D16A">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196,989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313,301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0.63</w:t>
            </w:r>
          </w:p>
        </w:tc>
      </w:tr>
      <w:tr w14:paraId="3FED8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54" w:type="dxa"/>
          </w:tcPr>
          <w:p w14:paraId="73CF5348">
            <w:pPr>
              <w:widowControl w:val="0"/>
              <w:numPr>
                <w:ilvl w:val="0"/>
                <w:numId w:val="0"/>
              </w:numPr>
              <w:spacing w:line="360" w:lineRule="auto"/>
              <w:jc w:val="both"/>
              <w:rPr>
                <w:rFonts w:hint="default" w:ascii="Times New Roman" w:hAnsi="Times New Roman" w:cs="Times New Roman"/>
                <w:b/>
                <w:bCs/>
                <w:sz w:val="24"/>
                <w:szCs w:val="24"/>
                <w:vertAlign w:val="baseline"/>
                <w:lang w:val="en-US"/>
              </w:rPr>
            </w:pPr>
            <w:r>
              <w:rPr>
                <w:rFonts w:hint="default" w:ascii="Times New Roman" w:hAnsi="Times New Roman" w:eastAsia="SimSun" w:cs="Times New Roman"/>
                <w:b/>
                <w:bCs/>
                <w:sz w:val="24"/>
                <w:szCs w:val="24"/>
              </w:rPr>
              <w:t>Interest Coverage Ratio (Times)</w:t>
            </w:r>
          </w:p>
        </w:tc>
        <w:tc>
          <w:tcPr>
            <w:tcW w:w="1528" w:type="dxa"/>
          </w:tcPr>
          <w:p w14:paraId="2DA5D480">
            <w:pPr>
              <w:widowControl w:val="0"/>
              <w:numPr>
                <w:ilvl w:val="0"/>
                <w:numId w:val="0"/>
              </w:numPr>
              <w:spacing w:line="360" w:lineRule="auto"/>
              <w:jc w:val="both"/>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Operating Income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Interest Expense</w:t>
            </w:r>
          </w:p>
        </w:tc>
        <w:tc>
          <w:tcPr>
            <w:tcW w:w="1393" w:type="dxa"/>
          </w:tcPr>
          <w:p w14:paraId="22C17B11">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-15,297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3,361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-4.55</w:t>
            </w:r>
          </w:p>
        </w:tc>
        <w:tc>
          <w:tcPr>
            <w:tcW w:w="1539" w:type="dxa"/>
          </w:tcPr>
          <w:p w14:paraId="775AB23D">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-85,301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4,332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-19.7</w:t>
            </w:r>
          </w:p>
        </w:tc>
        <w:tc>
          <w:tcPr>
            <w:tcW w:w="1585" w:type="dxa"/>
          </w:tcPr>
          <w:p w14:paraId="3911B3F0">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14,548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2,200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6.61</w:t>
            </w:r>
          </w:p>
        </w:tc>
        <w:tc>
          <w:tcPr>
            <w:tcW w:w="1404" w:type="dxa"/>
          </w:tcPr>
          <w:p w14:paraId="702F396E">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23,253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566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41.1</w:t>
            </w:r>
          </w:p>
        </w:tc>
        <w:tc>
          <w:tcPr>
            <w:tcW w:w="1461" w:type="dxa"/>
          </w:tcPr>
          <w:p w14:paraId="483B9AFF">
            <w:pPr>
              <w:widowControl w:val="0"/>
              <w:numPr>
                <w:ilvl w:val="0"/>
                <w:numId w:val="0"/>
              </w:numPr>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sz w:val="24"/>
                <w:szCs w:val="24"/>
              </w:rPr>
              <w:t xml:space="preserve">37,267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1,422 </w:t>
            </w:r>
            <w:r>
              <w:rPr>
                <w:rFonts w:hint="default" w:ascii="Times New Roman" w:hAnsi="Times New Roman" w:eastAsia="SimSun" w:cs="Times New Roman"/>
                <w:sz w:val="24"/>
                <w:szCs w:val="24"/>
                <w:lang w:val="en-US"/>
              </w:rPr>
              <w:t>≈</w:t>
            </w:r>
            <w:r>
              <w:rPr>
                <w:rFonts w:hint="default" w:ascii="Times New Roman" w:hAnsi="Times New Roman" w:eastAsia="SimSun" w:cs="Times New Roman"/>
                <w:sz w:val="24"/>
                <w:szCs w:val="24"/>
              </w:rPr>
              <w:t xml:space="preserve"> 26.2</w:t>
            </w:r>
          </w:p>
        </w:tc>
      </w:tr>
    </w:tbl>
    <w:p w14:paraId="6C624278">
      <w:pPr>
        <w:numPr>
          <w:ilvl w:val="0"/>
          <w:numId w:val="0"/>
        </w:numPr>
        <w:spacing w:line="360" w:lineRule="auto"/>
        <w:rPr>
          <w:rFonts w:hint="default" w:ascii="Times New Roman" w:hAnsi="Times New Roman"/>
          <w:sz w:val="24"/>
          <w:szCs w:val="24"/>
          <w:lang w:val="en-US"/>
        </w:rPr>
      </w:pPr>
    </w:p>
    <w:p w14:paraId="62E49BEA">
      <w:pPr>
        <w:numPr>
          <w:ilvl w:val="0"/>
          <w:numId w:val="0"/>
        </w:numPr>
        <w:spacing w:line="360" w:lineRule="auto"/>
        <w:rPr>
          <w:rFonts w:hint="default" w:ascii="Times New Roman" w:hAnsi="Times New Roman"/>
          <w:sz w:val="24"/>
          <w:szCs w:val="24"/>
          <w:lang w:val="en-US"/>
        </w:rPr>
      </w:pPr>
    </w:p>
    <w:p w14:paraId="0C06023F">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2</w:t>
      </w:r>
    </w:p>
    <w:p w14:paraId="79FAD3AE">
      <w:pPr>
        <w:numPr>
          <w:ilvl w:val="0"/>
          <w:numId w:val="0"/>
        </w:numPr>
        <w:spacing w:line="360" w:lineRule="auto"/>
        <w:rPr>
          <w:rFonts w:hint="default" w:ascii="Times New Roman" w:hAnsi="Times New Roman"/>
          <w:sz w:val="24"/>
          <w:szCs w:val="24"/>
          <w:lang w:val="en-US"/>
        </w:rPr>
      </w:pPr>
      <w:r>
        <w:rPr>
          <w:rFonts w:hint="default" w:ascii="Times New Roman" w:hAnsi="Times New Roman"/>
          <w:b/>
          <w:bCs/>
          <w:sz w:val="28"/>
          <w:szCs w:val="28"/>
          <w:lang w:val="en-US"/>
        </w:rPr>
        <w:t>Corporate Failure Risk: Altman Z-Score</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0"/>
        <w:gridCol w:w="1660"/>
        <w:gridCol w:w="1660"/>
        <w:gridCol w:w="1660"/>
        <w:gridCol w:w="1661"/>
        <w:gridCol w:w="1661"/>
      </w:tblGrid>
      <w:tr w14:paraId="3E08C6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6AC997F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Component</w:t>
            </w:r>
          </w:p>
        </w:tc>
        <w:tc>
          <w:tcPr>
            <w:tcW w:w="1660" w:type="dxa"/>
            <w:vAlign w:val="center"/>
          </w:tcPr>
          <w:p w14:paraId="23D36E93">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Formula</w:t>
            </w:r>
          </w:p>
        </w:tc>
        <w:tc>
          <w:tcPr>
            <w:tcW w:w="1660" w:type="dxa"/>
            <w:vAlign w:val="center"/>
          </w:tcPr>
          <w:p w14:paraId="6CD5615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2024 Value (£m)</w:t>
            </w:r>
          </w:p>
        </w:tc>
        <w:tc>
          <w:tcPr>
            <w:tcW w:w="1660" w:type="dxa"/>
            <w:vAlign w:val="center"/>
          </w:tcPr>
          <w:p w14:paraId="1A19665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Ratio (X)</w:t>
            </w:r>
          </w:p>
        </w:tc>
        <w:tc>
          <w:tcPr>
            <w:tcW w:w="1661" w:type="dxa"/>
            <w:vAlign w:val="center"/>
          </w:tcPr>
          <w:p w14:paraId="56EFDE5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Weight</w:t>
            </w:r>
          </w:p>
        </w:tc>
        <w:tc>
          <w:tcPr>
            <w:tcW w:w="1661" w:type="dxa"/>
            <w:vAlign w:val="center"/>
          </w:tcPr>
          <w:p w14:paraId="22000B9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Weighted Score</w:t>
            </w:r>
          </w:p>
        </w:tc>
      </w:tr>
      <w:tr w14:paraId="5D4F68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1DCEDC4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X₁</w:t>
            </w:r>
          </w:p>
        </w:tc>
        <w:tc>
          <w:tcPr>
            <w:tcW w:w="1660" w:type="dxa"/>
            <w:vAlign w:val="center"/>
          </w:tcPr>
          <w:p w14:paraId="1DC94B3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Working Capital / Total Assets ≈ (Current Assets - Current Liabilities) / Total Assets</w:t>
            </w:r>
          </w:p>
        </w:tc>
        <w:tc>
          <w:tcPr>
            <w:tcW w:w="1660" w:type="dxa"/>
            <w:vAlign w:val="center"/>
          </w:tcPr>
          <w:p w14:paraId="4B8AD3C8">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Current Assets ≈ 242,494</w:t>
            </w:r>
          </w:p>
          <w:p w14:paraId="64057B56">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Current Liabilities ≈ 158,291</w:t>
            </w:r>
          </w:p>
          <w:p w14:paraId="4F1AE60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Total Assets ≈ 323,354</w:t>
            </w:r>
          </w:p>
        </w:tc>
        <w:tc>
          <w:tcPr>
            <w:tcW w:w="1660" w:type="dxa"/>
            <w:vAlign w:val="center"/>
          </w:tcPr>
          <w:p w14:paraId="5F7823E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0.26</w:t>
            </w:r>
          </w:p>
        </w:tc>
        <w:tc>
          <w:tcPr>
            <w:tcW w:w="1661" w:type="dxa"/>
            <w:vAlign w:val="center"/>
          </w:tcPr>
          <w:p w14:paraId="68A4C49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1.2</w:t>
            </w:r>
          </w:p>
        </w:tc>
        <w:tc>
          <w:tcPr>
            <w:tcW w:w="1661" w:type="dxa"/>
            <w:vAlign w:val="center"/>
          </w:tcPr>
          <w:p w14:paraId="656BC01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0.31</w:t>
            </w:r>
          </w:p>
        </w:tc>
      </w:tr>
      <w:tr w14:paraId="06A825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125415B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X₂</w:t>
            </w:r>
          </w:p>
        </w:tc>
        <w:tc>
          <w:tcPr>
            <w:tcW w:w="1660" w:type="dxa"/>
            <w:vAlign w:val="center"/>
          </w:tcPr>
          <w:p w14:paraId="058C076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Retained Earnings / Total Assets ≈ Retained Earnings / Total Assets</w:t>
            </w:r>
          </w:p>
        </w:tc>
        <w:tc>
          <w:tcPr>
            <w:tcW w:w="1660" w:type="dxa"/>
            <w:vAlign w:val="center"/>
          </w:tcPr>
          <w:p w14:paraId="4170685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Retained Earnings ≈ 208,431</w:t>
            </w:r>
          </w:p>
          <w:p w14:paraId="57BE803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Total Assets ≈ 323,354</w:t>
            </w:r>
          </w:p>
        </w:tc>
        <w:tc>
          <w:tcPr>
            <w:tcW w:w="1660" w:type="dxa"/>
            <w:vAlign w:val="center"/>
          </w:tcPr>
          <w:p w14:paraId="093AA3B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0.64</w:t>
            </w:r>
          </w:p>
        </w:tc>
        <w:tc>
          <w:tcPr>
            <w:tcW w:w="1661" w:type="dxa"/>
            <w:vAlign w:val="center"/>
          </w:tcPr>
          <w:p w14:paraId="2848C2B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1.4</w:t>
            </w:r>
          </w:p>
        </w:tc>
        <w:tc>
          <w:tcPr>
            <w:tcW w:w="1661" w:type="dxa"/>
            <w:vAlign w:val="center"/>
          </w:tcPr>
          <w:p w14:paraId="4D23CFA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0.90</w:t>
            </w:r>
          </w:p>
        </w:tc>
      </w:tr>
      <w:tr w14:paraId="5058F6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22703AA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X₃</w:t>
            </w:r>
          </w:p>
        </w:tc>
        <w:tc>
          <w:tcPr>
            <w:tcW w:w="1660" w:type="dxa"/>
            <w:vAlign w:val="center"/>
          </w:tcPr>
          <w:p w14:paraId="5B72CE3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EBIT / Total Assets ≈ EBIT / Total Assets</w:t>
            </w:r>
          </w:p>
        </w:tc>
        <w:tc>
          <w:tcPr>
            <w:tcW w:w="1660" w:type="dxa"/>
            <w:vAlign w:val="center"/>
          </w:tcPr>
          <w:p w14:paraId="21B67E1F">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EBIT ≈ -15,297</w:t>
            </w:r>
          </w:p>
          <w:p w14:paraId="5FD4BB0A">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Total Assets ≈ 323,354</w:t>
            </w:r>
          </w:p>
        </w:tc>
        <w:tc>
          <w:tcPr>
            <w:tcW w:w="1660" w:type="dxa"/>
            <w:vAlign w:val="center"/>
          </w:tcPr>
          <w:p w14:paraId="718053B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-0.05</w:t>
            </w:r>
          </w:p>
        </w:tc>
        <w:tc>
          <w:tcPr>
            <w:tcW w:w="1661" w:type="dxa"/>
            <w:vAlign w:val="center"/>
          </w:tcPr>
          <w:p w14:paraId="43DC4D5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3.3</w:t>
            </w:r>
          </w:p>
        </w:tc>
        <w:tc>
          <w:tcPr>
            <w:tcW w:w="1661" w:type="dxa"/>
            <w:vAlign w:val="center"/>
          </w:tcPr>
          <w:p w14:paraId="1368A22A">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-0.17</w:t>
            </w:r>
          </w:p>
        </w:tc>
      </w:tr>
      <w:tr w14:paraId="3DA0A2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132C3FF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X₄</w:t>
            </w:r>
          </w:p>
        </w:tc>
        <w:tc>
          <w:tcPr>
            <w:tcW w:w="1660" w:type="dxa"/>
            <w:vAlign w:val="center"/>
          </w:tcPr>
          <w:p w14:paraId="068FFFD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Market Value of Equity / Total Liabilities ≈ Book Value of Equity / Total Liabilities</w:t>
            </w:r>
          </w:p>
        </w:tc>
        <w:tc>
          <w:tcPr>
            <w:tcW w:w="1660" w:type="dxa"/>
            <w:vAlign w:val="center"/>
          </w:tcPr>
          <w:p w14:paraId="33DBDDD8">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Shareholders’ Equity ≈ 153,105</w:t>
            </w:r>
          </w:p>
          <w:p w14:paraId="7928323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Total Liabilities ≈ 170,249</w:t>
            </w:r>
          </w:p>
        </w:tc>
        <w:tc>
          <w:tcPr>
            <w:tcW w:w="1660" w:type="dxa"/>
            <w:vAlign w:val="center"/>
          </w:tcPr>
          <w:p w14:paraId="2112FCD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0.90</w:t>
            </w:r>
          </w:p>
        </w:tc>
        <w:tc>
          <w:tcPr>
            <w:tcW w:w="1661" w:type="dxa"/>
            <w:vAlign w:val="center"/>
          </w:tcPr>
          <w:p w14:paraId="241DC23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0.6</w:t>
            </w:r>
          </w:p>
        </w:tc>
        <w:tc>
          <w:tcPr>
            <w:tcW w:w="1661" w:type="dxa"/>
            <w:vAlign w:val="center"/>
          </w:tcPr>
          <w:p w14:paraId="46B56F8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0.54</w:t>
            </w:r>
          </w:p>
        </w:tc>
      </w:tr>
      <w:tr w14:paraId="1619A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78B14F58">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X₅</w:t>
            </w:r>
          </w:p>
        </w:tc>
        <w:tc>
          <w:tcPr>
            <w:tcW w:w="1660" w:type="dxa"/>
            <w:vAlign w:val="center"/>
          </w:tcPr>
          <w:p w14:paraId="20F076A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Sales / Total Assets ≈ Net Sales / Total Assets</w:t>
            </w:r>
          </w:p>
        </w:tc>
        <w:tc>
          <w:tcPr>
            <w:tcW w:w="1660" w:type="dxa"/>
            <w:vAlign w:val="center"/>
          </w:tcPr>
          <w:p w14:paraId="5FFA271C">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Net Sales ≈ 394,879</w:t>
            </w:r>
          </w:p>
          <w:p w14:paraId="0AA9428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Total Assets ≈ 323,354</w:t>
            </w:r>
          </w:p>
        </w:tc>
        <w:tc>
          <w:tcPr>
            <w:tcW w:w="1660" w:type="dxa"/>
            <w:vAlign w:val="center"/>
          </w:tcPr>
          <w:p w14:paraId="467C3CD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1.22</w:t>
            </w:r>
          </w:p>
        </w:tc>
        <w:tc>
          <w:tcPr>
            <w:tcW w:w="1661" w:type="dxa"/>
            <w:vAlign w:val="center"/>
          </w:tcPr>
          <w:p w14:paraId="5625455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c>
          <w:tcPr>
            <w:tcW w:w="1661" w:type="dxa"/>
            <w:vAlign w:val="center"/>
          </w:tcPr>
          <w:p w14:paraId="61C49962">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1.22</w:t>
            </w:r>
          </w:p>
        </w:tc>
      </w:tr>
      <w:tr w14:paraId="7CBC5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6C358D2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Style w:val="92"/>
                <w:rFonts w:hint="default" w:ascii="Times New Roman" w:hAnsi="Times New Roman" w:eastAsia="SimSun" w:cs="Times New Roman"/>
                <w:kern w:val="0"/>
                <w:sz w:val="24"/>
                <w:szCs w:val="24"/>
                <w:lang w:val="en-US" w:eastAsia="zh-CN" w:bidi="ar"/>
              </w:rPr>
              <w:t>Total Z Score</w:t>
            </w:r>
          </w:p>
        </w:tc>
        <w:tc>
          <w:tcPr>
            <w:tcW w:w="1660" w:type="dxa"/>
            <w:vAlign w:val="center"/>
          </w:tcPr>
          <w:p w14:paraId="620F8AC3">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Z ≈ 1.2X₁ + 1.4X₂ + 3.3X₃ + 0.6X₄ + 1.0X₅</w:t>
            </w:r>
          </w:p>
        </w:tc>
        <w:tc>
          <w:tcPr>
            <w:tcW w:w="1660" w:type="dxa"/>
            <w:vAlign w:val="center"/>
          </w:tcPr>
          <w:p w14:paraId="4C56EDA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cs="Times New Roman"/>
                <w:sz w:val="24"/>
                <w:szCs w:val="24"/>
                <w:vertAlign w:val="baseline"/>
                <w:lang w:val="en-US"/>
              </w:rPr>
              <w:t>-</w:t>
            </w:r>
          </w:p>
        </w:tc>
        <w:tc>
          <w:tcPr>
            <w:tcW w:w="1660" w:type="dxa"/>
            <w:vAlign w:val="center"/>
          </w:tcPr>
          <w:p w14:paraId="43DE58D2">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cs="Times New Roman"/>
                <w:sz w:val="24"/>
                <w:szCs w:val="24"/>
                <w:vertAlign w:val="baseline"/>
                <w:lang w:val="en-US"/>
              </w:rPr>
              <w:t>-</w:t>
            </w:r>
          </w:p>
        </w:tc>
        <w:tc>
          <w:tcPr>
            <w:tcW w:w="1661" w:type="dxa"/>
            <w:vAlign w:val="center"/>
          </w:tcPr>
          <w:p w14:paraId="2B946F9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cs="Times New Roman"/>
                <w:sz w:val="24"/>
                <w:szCs w:val="24"/>
                <w:vertAlign w:val="baseline"/>
                <w:lang w:val="en-US"/>
              </w:rPr>
              <w:t>-</w:t>
            </w:r>
          </w:p>
        </w:tc>
        <w:tc>
          <w:tcPr>
            <w:tcW w:w="1661" w:type="dxa"/>
            <w:vAlign w:val="center"/>
          </w:tcPr>
          <w:p w14:paraId="0D666D5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Style w:val="92"/>
                <w:rFonts w:hint="default" w:ascii="Times New Roman" w:hAnsi="Times New Roman" w:eastAsia="SimSun" w:cs="Times New Roman"/>
                <w:kern w:val="0"/>
                <w:sz w:val="24"/>
                <w:szCs w:val="24"/>
                <w:lang w:val="en-US" w:eastAsia="zh-CN" w:bidi="ar"/>
              </w:rPr>
              <w:t>2.80</w:t>
            </w:r>
          </w:p>
        </w:tc>
      </w:tr>
    </w:tbl>
    <w:p w14:paraId="4E4CFC0F">
      <w:pPr>
        <w:numPr>
          <w:ilvl w:val="0"/>
          <w:numId w:val="0"/>
        </w:numPr>
        <w:spacing w:line="360" w:lineRule="auto"/>
        <w:rPr>
          <w:rFonts w:hint="default" w:ascii="Times New Roman" w:hAnsi="Times New Roman"/>
          <w:sz w:val="24"/>
          <w:szCs w:val="24"/>
          <w:lang w:val="en-US"/>
        </w:rPr>
      </w:pPr>
    </w:p>
    <w:p w14:paraId="54B1D3CD">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Z Score Interpretation</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981"/>
        <w:gridCol w:w="4981"/>
      </w:tblGrid>
      <w:tr w14:paraId="6F7F35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vAlign w:val="center"/>
          </w:tcPr>
          <w:p w14:paraId="035F9B08">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Z-Score Range</w:t>
            </w:r>
          </w:p>
        </w:tc>
        <w:tc>
          <w:tcPr>
            <w:tcW w:w="4981" w:type="dxa"/>
            <w:vAlign w:val="center"/>
          </w:tcPr>
          <w:p w14:paraId="46875F74">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Risk Category</w:t>
            </w:r>
          </w:p>
        </w:tc>
      </w:tr>
      <w:tr w14:paraId="0B3321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vAlign w:val="center"/>
          </w:tcPr>
          <w:p w14:paraId="0CCF4EA8">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&gt; 2.99</w:t>
            </w:r>
          </w:p>
        </w:tc>
        <w:tc>
          <w:tcPr>
            <w:tcW w:w="4981" w:type="dxa"/>
            <w:vAlign w:val="center"/>
          </w:tcPr>
          <w:p w14:paraId="5DAA7609">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Safe zone</w:t>
            </w:r>
          </w:p>
        </w:tc>
      </w:tr>
      <w:tr w14:paraId="499B0A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vAlign w:val="center"/>
          </w:tcPr>
          <w:p w14:paraId="15B3BC7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1.81 – 2.99</w:t>
            </w:r>
          </w:p>
        </w:tc>
        <w:tc>
          <w:tcPr>
            <w:tcW w:w="4981" w:type="dxa"/>
            <w:vAlign w:val="center"/>
          </w:tcPr>
          <w:p w14:paraId="3937D6C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Grey zone</w:t>
            </w:r>
          </w:p>
        </w:tc>
      </w:tr>
      <w:tr w14:paraId="1F915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981" w:type="dxa"/>
            <w:vAlign w:val="center"/>
          </w:tcPr>
          <w:p w14:paraId="06DC067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&lt; 1.81</w:t>
            </w:r>
          </w:p>
        </w:tc>
        <w:tc>
          <w:tcPr>
            <w:tcW w:w="4981" w:type="dxa"/>
            <w:vAlign w:val="center"/>
          </w:tcPr>
          <w:p w14:paraId="54B3309B">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Distress zone</w:t>
            </w:r>
          </w:p>
        </w:tc>
      </w:tr>
    </w:tbl>
    <w:p w14:paraId="1AB51FA9">
      <w:pPr>
        <w:numPr>
          <w:ilvl w:val="0"/>
          <w:numId w:val="0"/>
        </w:numPr>
        <w:spacing w:line="360" w:lineRule="auto"/>
        <w:rPr>
          <w:rFonts w:hint="default" w:ascii="Times New Roman" w:hAnsi="Times New Roman"/>
          <w:sz w:val="24"/>
          <w:szCs w:val="24"/>
          <w:lang w:val="en-US"/>
        </w:rPr>
      </w:pPr>
    </w:p>
    <w:p w14:paraId="4CCD62B0">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3</w:t>
      </w:r>
    </w:p>
    <w:p w14:paraId="3D4FE483">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Project Cash Flow Profiles</w:t>
      </w:r>
    </w:p>
    <w:tbl>
      <w:tblPr>
        <w:tblStyle w:val="111"/>
        <w:tblW w:w="996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3"/>
        <w:gridCol w:w="1423"/>
        <w:gridCol w:w="1423"/>
        <w:gridCol w:w="1423"/>
        <w:gridCol w:w="1423"/>
        <w:gridCol w:w="1423"/>
        <w:gridCol w:w="1424"/>
      </w:tblGrid>
      <w:tr w14:paraId="1BD668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63FF2963">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Project</w:t>
            </w:r>
          </w:p>
        </w:tc>
        <w:tc>
          <w:tcPr>
            <w:tcW w:w="1423" w:type="dxa"/>
            <w:vAlign w:val="center"/>
          </w:tcPr>
          <w:p w14:paraId="1E080990">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Investment (£m)</w:t>
            </w:r>
          </w:p>
        </w:tc>
        <w:tc>
          <w:tcPr>
            <w:tcW w:w="1423" w:type="dxa"/>
            <w:vAlign w:val="center"/>
          </w:tcPr>
          <w:p w14:paraId="26463A53">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Year 1 (£m)</w:t>
            </w:r>
          </w:p>
        </w:tc>
        <w:tc>
          <w:tcPr>
            <w:tcW w:w="1423" w:type="dxa"/>
            <w:vAlign w:val="center"/>
          </w:tcPr>
          <w:p w14:paraId="7994C02C">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Year 2 (£m)</w:t>
            </w:r>
          </w:p>
        </w:tc>
        <w:tc>
          <w:tcPr>
            <w:tcW w:w="1423" w:type="dxa"/>
            <w:vAlign w:val="center"/>
          </w:tcPr>
          <w:p w14:paraId="4221B0AE">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Year 3 (£m)</w:t>
            </w:r>
          </w:p>
        </w:tc>
        <w:tc>
          <w:tcPr>
            <w:tcW w:w="1423" w:type="dxa"/>
            <w:vAlign w:val="center"/>
          </w:tcPr>
          <w:p w14:paraId="6400BCF1">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Year 4 (£m)</w:t>
            </w:r>
          </w:p>
        </w:tc>
        <w:tc>
          <w:tcPr>
            <w:tcW w:w="1424" w:type="dxa"/>
            <w:vAlign w:val="center"/>
          </w:tcPr>
          <w:p w14:paraId="7498F69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Year 5 (£m)</w:t>
            </w:r>
          </w:p>
        </w:tc>
      </w:tr>
      <w:tr w14:paraId="4C914F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252B75F8">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A</w:t>
            </w:r>
          </w:p>
        </w:tc>
        <w:tc>
          <w:tcPr>
            <w:tcW w:w="1423" w:type="dxa"/>
            <w:vAlign w:val="center"/>
          </w:tcPr>
          <w:p w14:paraId="77F7BEEC">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40</w:t>
            </w:r>
          </w:p>
        </w:tc>
        <w:tc>
          <w:tcPr>
            <w:tcW w:w="1423" w:type="dxa"/>
            <w:vAlign w:val="center"/>
          </w:tcPr>
          <w:p w14:paraId="4BE0D9F0">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c>
          <w:tcPr>
            <w:tcW w:w="1423" w:type="dxa"/>
            <w:vAlign w:val="center"/>
          </w:tcPr>
          <w:p w14:paraId="283C039E">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12</w:t>
            </w:r>
          </w:p>
        </w:tc>
        <w:tc>
          <w:tcPr>
            <w:tcW w:w="1423" w:type="dxa"/>
            <w:vAlign w:val="center"/>
          </w:tcPr>
          <w:p w14:paraId="685EF884">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14</w:t>
            </w:r>
          </w:p>
        </w:tc>
        <w:tc>
          <w:tcPr>
            <w:tcW w:w="1423" w:type="dxa"/>
            <w:vAlign w:val="center"/>
          </w:tcPr>
          <w:p w14:paraId="05C40D3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c>
          <w:tcPr>
            <w:tcW w:w="1424" w:type="dxa"/>
            <w:vAlign w:val="center"/>
          </w:tcPr>
          <w:p w14:paraId="494AA25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8</w:t>
            </w:r>
          </w:p>
        </w:tc>
      </w:tr>
      <w:tr w14:paraId="36E1A2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3658561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B</w:t>
            </w:r>
          </w:p>
        </w:tc>
        <w:tc>
          <w:tcPr>
            <w:tcW w:w="1423" w:type="dxa"/>
            <w:vAlign w:val="center"/>
          </w:tcPr>
          <w:p w14:paraId="01636227">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c>
          <w:tcPr>
            <w:tcW w:w="1423" w:type="dxa"/>
            <w:vAlign w:val="center"/>
          </w:tcPr>
          <w:p w14:paraId="0334AD93">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6</w:t>
            </w:r>
          </w:p>
        </w:tc>
        <w:tc>
          <w:tcPr>
            <w:tcW w:w="1423" w:type="dxa"/>
            <w:vAlign w:val="center"/>
          </w:tcPr>
          <w:p w14:paraId="3EE8BE9E">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6</w:t>
            </w:r>
          </w:p>
        </w:tc>
        <w:tc>
          <w:tcPr>
            <w:tcW w:w="1423" w:type="dxa"/>
            <w:vAlign w:val="center"/>
          </w:tcPr>
          <w:p w14:paraId="3300543A">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6</w:t>
            </w:r>
          </w:p>
        </w:tc>
        <w:tc>
          <w:tcPr>
            <w:tcW w:w="1423" w:type="dxa"/>
            <w:vAlign w:val="center"/>
          </w:tcPr>
          <w:p w14:paraId="3C276D5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6</w:t>
            </w:r>
          </w:p>
        </w:tc>
        <w:tc>
          <w:tcPr>
            <w:tcW w:w="1424" w:type="dxa"/>
            <w:vAlign w:val="center"/>
          </w:tcPr>
          <w:p w14:paraId="33630B0D">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6</w:t>
            </w:r>
          </w:p>
        </w:tc>
      </w:tr>
      <w:tr w14:paraId="31778E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03B9938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C</w:t>
            </w:r>
          </w:p>
        </w:tc>
        <w:tc>
          <w:tcPr>
            <w:tcW w:w="1423" w:type="dxa"/>
            <w:vAlign w:val="center"/>
          </w:tcPr>
          <w:p w14:paraId="04570EFD">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c>
          <w:tcPr>
            <w:tcW w:w="1423" w:type="dxa"/>
            <w:vAlign w:val="center"/>
          </w:tcPr>
          <w:p w14:paraId="12EDBB2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5</w:t>
            </w:r>
          </w:p>
        </w:tc>
        <w:tc>
          <w:tcPr>
            <w:tcW w:w="1423" w:type="dxa"/>
            <w:vAlign w:val="center"/>
          </w:tcPr>
          <w:p w14:paraId="4F6AA3C0">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c>
          <w:tcPr>
            <w:tcW w:w="1423" w:type="dxa"/>
            <w:vAlign w:val="center"/>
          </w:tcPr>
          <w:p w14:paraId="2B75E879">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20</w:t>
            </w:r>
          </w:p>
        </w:tc>
        <w:tc>
          <w:tcPr>
            <w:tcW w:w="1423" w:type="dxa"/>
            <w:vAlign w:val="center"/>
          </w:tcPr>
          <w:p w14:paraId="0032862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25</w:t>
            </w:r>
          </w:p>
        </w:tc>
        <w:tc>
          <w:tcPr>
            <w:tcW w:w="1424" w:type="dxa"/>
            <w:vAlign w:val="center"/>
          </w:tcPr>
          <w:p w14:paraId="017F8E1F">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15</w:t>
            </w:r>
          </w:p>
        </w:tc>
      </w:tr>
    </w:tbl>
    <w:p w14:paraId="5A1879E4">
      <w:pPr>
        <w:numPr>
          <w:ilvl w:val="0"/>
          <w:numId w:val="0"/>
        </w:numPr>
        <w:spacing w:line="360" w:lineRule="auto"/>
        <w:rPr>
          <w:rFonts w:hint="default" w:ascii="Times New Roman" w:hAnsi="Times New Roman"/>
          <w:sz w:val="24"/>
          <w:szCs w:val="24"/>
          <w:lang w:val="en-US"/>
        </w:rPr>
      </w:pPr>
    </w:p>
    <w:p w14:paraId="595B6B0A">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4</w:t>
      </w:r>
    </w:p>
    <w:p w14:paraId="38B3C3C7">
      <w:pPr>
        <w:numPr>
          <w:ilvl w:val="0"/>
          <w:numId w:val="0"/>
        </w:numPr>
        <w:spacing w:line="360" w:lineRule="auto"/>
        <w:rPr>
          <w:rFonts w:hint="default" w:ascii="Times New Roman" w:hAnsi="Times New Roman"/>
          <w:sz w:val="24"/>
          <w:szCs w:val="24"/>
          <w:lang w:val="en-US"/>
        </w:rPr>
      </w:pPr>
      <w:r>
        <w:rPr>
          <w:rFonts w:hint="default" w:ascii="Times New Roman" w:hAnsi="Times New Roman"/>
          <w:b/>
          <w:bCs/>
          <w:sz w:val="28"/>
          <w:szCs w:val="28"/>
          <w:lang w:val="en-US"/>
        </w:rPr>
        <w:t>Payback Period (PBP) Analysis</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0"/>
        <w:gridCol w:w="1660"/>
        <w:gridCol w:w="1660"/>
        <w:gridCol w:w="1660"/>
        <w:gridCol w:w="1661"/>
        <w:gridCol w:w="1661"/>
      </w:tblGrid>
      <w:tr w14:paraId="779AF2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6E87941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Project</w:t>
            </w:r>
          </w:p>
        </w:tc>
        <w:tc>
          <w:tcPr>
            <w:tcW w:w="1660" w:type="dxa"/>
            <w:vAlign w:val="center"/>
          </w:tcPr>
          <w:p w14:paraId="6144181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Investment (£m)</w:t>
            </w:r>
          </w:p>
        </w:tc>
        <w:tc>
          <w:tcPr>
            <w:tcW w:w="1660" w:type="dxa"/>
            <w:vAlign w:val="center"/>
          </w:tcPr>
          <w:p w14:paraId="2F1EA4B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Cumulative Cash Inflows (£m)</w:t>
            </w:r>
          </w:p>
        </w:tc>
        <w:tc>
          <w:tcPr>
            <w:tcW w:w="1660" w:type="dxa"/>
            <w:vAlign w:val="center"/>
          </w:tcPr>
          <w:p w14:paraId="23064B08">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Payback Year</w:t>
            </w:r>
          </w:p>
        </w:tc>
        <w:tc>
          <w:tcPr>
            <w:tcW w:w="1661" w:type="dxa"/>
            <w:vAlign w:val="center"/>
          </w:tcPr>
          <w:p w14:paraId="6DC5631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Fractional Year</w:t>
            </w:r>
          </w:p>
        </w:tc>
        <w:tc>
          <w:tcPr>
            <w:tcW w:w="1661" w:type="dxa"/>
            <w:vAlign w:val="center"/>
          </w:tcPr>
          <w:p w14:paraId="13CA465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Payback Period (Years)</w:t>
            </w:r>
          </w:p>
        </w:tc>
      </w:tr>
      <w:tr w14:paraId="1379A4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020B691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A</w:t>
            </w:r>
          </w:p>
        </w:tc>
        <w:tc>
          <w:tcPr>
            <w:tcW w:w="1660" w:type="dxa"/>
            <w:vAlign w:val="center"/>
          </w:tcPr>
          <w:p w14:paraId="0597B64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40</w:t>
            </w:r>
          </w:p>
        </w:tc>
        <w:tc>
          <w:tcPr>
            <w:tcW w:w="1660" w:type="dxa"/>
            <w:vAlign w:val="center"/>
          </w:tcPr>
          <w:p w14:paraId="7CE60115">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10</w:t>
            </w:r>
          </w:p>
          <w:p w14:paraId="03FC0422">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22</w:t>
            </w:r>
          </w:p>
          <w:p w14:paraId="4D270451">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36</w:t>
            </w:r>
          </w:p>
          <w:p w14:paraId="46F4910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4: 46</w:t>
            </w:r>
          </w:p>
        </w:tc>
        <w:tc>
          <w:tcPr>
            <w:tcW w:w="1660" w:type="dxa"/>
            <w:vAlign w:val="center"/>
          </w:tcPr>
          <w:p w14:paraId="6069CAB3">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4</w:t>
            </w:r>
          </w:p>
        </w:tc>
        <w:tc>
          <w:tcPr>
            <w:tcW w:w="1661" w:type="dxa"/>
            <w:vAlign w:val="center"/>
          </w:tcPr>
          <w:p w14:paraId="1BDF28B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0.4</w:t>
            </w:r>
          </w:p>
        </w:tc>
        <w:tc>
          <w:tcPr>
            <w:tcW w:w="1661" w:type="dxa"/>
            <w:vAlign w:val="center"/>
          </w:tcPr>
          <w:p w14:paraId="4A17021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3.4</w:t>
            </w:r>
          </w:p>
        </w:tc>
      </w:tr>
      <w:tr w14:paraId="1E65FF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0BFD22D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B</w:t>
            </w:r>
          </w:p>
        </w:tc>
        <w:tc>
          <w:tcPr>
            <w:tcW w:w="1660" w:type="dxa"/>
            <w:vAlign w:val="center"/>
          </w:tcPr>
          <w:p w14:paraId="67330FD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c>
          <w:tcPr>
            <w:tcW w:w="1660" w:type="dxa"/>
            <w:vAlign w:val="center"/>
          </w:tcPr>
          <w:p w14:paraId="27DC6F27">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6</w:t>
            </w:r>
          </w:p>
          <w:p w14:paraId="6A17AF0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12</w:t>
            </w:r>
          </w:p>
          <w:p w14:paraId="24C1E8F7">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18</w:t>
            </w:r>
          </w:p>
          <w:p w14:paraId="6DDCFFDA">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24</w:t>
            </w:r>
          </w:p>
          <w:p w14:paraId="3D9C29C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30</w:t>
            </w:r>
          </w:p>
        </w:tc>
        <w:tc>
          <w:tcPr>
            <w:tcW w:w="1660" w:type="dxa"/>
            <w:vAlign w:val="center"/>
          </w:tcPr>
          <w:p w14:paraId="7C1E80A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w:t>
            </w:r>
          </w:p>
        </w:tc>
        <w:tc>
          <w:tcPr>
            <w:tcW w:w="1661" w:type="dxa"/>
            <w:vAlign w:val="center"/>
          </w:tcPr>
          <w:p w14:paraId="76073F6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w:t>
            </w:r>
          </w:p>
        </w:tc>
        <w:tc>
          <w:tcPr>
            <w:tcW w:w="1661" w:type="dxa"/>
            <w:vAlign w:val="center"/>
          </w:tcPr>
          <w:p w14:paraId="77CF8F0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r>
      <w:tr w14:paraId="455C4A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10197E5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C</w:t>
            </w:r>
          </w:p>
        </w:tc>
        <w:tc>
          <w:tcPr>
            <w:tcW w:w="1660" w:type="dxa"/>
            <w:vAlign w:val="center"/>
          </w:tcPr>
          <w:p w14:paraId="3F48941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c>
          <w:tcPr>
            <w:tcW w:w="1660" w:type="dxa"/>
            <w:vAlign w:val="center"/>
          </w:tcPr>
          <w:p w14:paraId="0EC2EE2B">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5</w:t>
            </w:r>
          </w:p>
          <w:p w14:paraId="2B59395E">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15</w:t>
            </w:r>
          </w:p>
          <w:p w14:paraId="2D3D85C5">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35</w:t>
            </w:r>
          </w:p>
          <w:p w14:paraId="69DE4AA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4: 60</w:t>
            </w:r>
          </w:p>
        </w:tc>
        <w:tc>
          <w:tcPr>
            <w:tcW w:w="1660" w:type="dxa"/>
            <w:vAlign w:val="center"/>
          </w:tcPr>
          <w:p w14:paraId="54DED03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4</w:t>
            </w:r>
          </w:p>
        </w:tc>
        <w:tc>
          <w:tcPr>
            <w:tcW w:w="1661" w:type="dxa"/>
            <w:vAlign w:val="center"/>
          </w:tcPr>
          <w:p w14:paraId="1E77F62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0.6</w:t>
            </w:r>
          </w:p>
        </w:tc>
        <w:tc>
          <w:tcPr>
            <w:tcW w:w="1661" w:type="dxa"/>
            <w:vAlign w:val="center"/>
          </w:tcPr>
          <w:p w14:paraId="0D92A10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3.6</w:t>
            </w:r>
          </w:p>
        </w:tc>
      </w:tr>
    </w:tbl>
    <w:p w14:paraId="350896A9">
      <w:pPr>
        <w:numPr>
          <w:ilvl w:val="0"/>
          <w:numId w:val="0"/>
        </w:numPr>
        <w:spacing w:line="360" w:lineRule="auto"/>
        <w:rPr>
          <w:rFonts w:hint="default" w:ascii="Times New Roman" w:hAnsi="Times New Roman"/>
          <w:sz w:val="24"/>
          <w:szCs w:val="24"/>
          <w:lang w:val="en-US"/>
        </w:rPr>
      </w:pPr>
    </w:p>
    <w:p w14:paraId="30777143">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5</w:t>
      </w:r>
    </w:p>
    <w:p w14:paraId="2372FEB8">
      <w:pPr>
        <w:numPr>
          <w:ilvl w:val="0"/>
          <w:numId w:val="0"/>
        </w:numPr>
        <w:spacing w:line="360" w:lineRule="auto"/>
        <w:rPr>
          <w:rFonts w:hint="default" w:ascii="Times New Roman" w:hAnsi="Times New Roman"/>
          <w:sz w:val="24"/>
          <w:szCs w:val="24"/>
          <w:lang w:val="en-US"/>
        </w:rPr>
      </w:pPr>
      <w:r>
        <w:rPr>
          <w:rFonts w:hint="default" w:ascii="Times New Roman" w:hAnsi="Times New Roman"/>
          <w:b/>
          <w:bCs/>
          <w:sz w:val="28"/>
          <w:szCs w:val="28"/>
          <w:lang w:val="en-US"/>
        </w:rPr>
        <w:t>Accounting Rate of Return (ARR)</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0"/>
        <w:gridCol w:w="1660"/>
        <w:gridCol w:w="1660"/>
        <w:gridCol w:w="1660"/>
        <w:gridCol w:w="1661"/>
        <w:gridCol w:w="1661"/>
      </w:tblGrid>
      <w:tr w14:paraId="5A4C0C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2D5219E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Project</w:t>
            </w:r>
          </w:p>
        </w:tc>
        <w:tc>
          <w:tcPr>
            <w:tcW w:w="1660" w:type="dxa"/>
            <w:vAlign w:val="center"/>
          </w:tcPr>
          <w:p w14:paraId="6126B00A">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Investment (£m)</w:t>
            </w:r>
          </w:p>
        </w:tc>
        <w:tc>
          <w:tcPr>
            <w:tcW w:w="1660" w:type="dxa"/>
            <w:vAlign w:val="center"/>
          </w:tcPr>
          <w:p w14:paraId="56FE264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Annual Cash Inflows (£m)</w:t>
            </w:r>
          </w:p>
        </w:tc>
        <w:tc>
          <w:tcPr>
            <w:tcW w:w="1660" w:type="dxa"/>
            <w:vAlign w:val="center"/>
          </w:tcPr>
          <w:p w14:paraId="5965CA48">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Average Annual Inflows (£m)</w:t>
            </w:r>
          </w:p>
        </w:tc>
        <w:tc>
          <w:tcPr>
            <w:tcW w:w="1661" w:type="dxa"/>
            <w:vAlign w:val="center"/>
          </w:tcPr>
          <w:p w14:paraId="56F8A70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ARR Formula</w:t>
            </w:r>
          </w:p>
        </w:tc>
        <w:tc>
          <w:tcPr>
            <w:tcW w:w="1661" w:type="dxa"/>
            <w:vAlign w:val="center"/>
          </w:tcPr>
          <w:p w14:paraId="4C3877A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ARR (%)</w:t>
            </w:r>
          </w:p>
        </w:tc>
      </w:tr>
      <w:tr w14:paraId="72968AF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42ED69B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A</w:t>
            </w:r>
          </w:p>
        </w:tc>
        <w:tc>
          <w:tcPr>
            <w:tcW w:w="1660" w:type="dxa"/>
            <w:vAlign w:val="center"/>
          </w:tcPr>
          <w:p w14:paraId="602E1C6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40</w:t>
            </w:r>
          </w:p>
        </w:tc>
        <w:tc>
          <w:tcPr>
            <w:tcW w:w="1660" w:type="dxa"/>
            <w:vAlign w:val="center"/>
          </w:tcPr>
          <w:p w14:paraId="2469DFC2">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10</w:t>
            </w:r>
          </w:p>
          <w:p w14:paraId="31251F3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12</w:t>
            </w:r>
          </w:p>
          <w:p w14:paraId="6676FF41">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14</w:t>
            </w:r>
          </w:p>
          <w:p w14:paraId="533A2C98">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10</w:t>
            </w:r>
          </w:p>
          <w:p w14:paraId="32ADB92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8</w:t>
            </w:r>
          </w:p>
        </w:tc>
        <w:tc>
          <w:tcPr>
            <w:tcW w:w="1660" w:type="dxa"/>
            <w:vAlign w:val="center"/>
          </w:tcPr>
          <w:p w14:paraId="16E9CF9A">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10.8</w:t>
            </w:r>
          </w:p>
        </w:tc>
        <w:tc>
          <w:tcPr>
            <w:tcW w:w="1661" w:type="dxa"/>
            <w:vAlign w:val="center"/>
          </w:tcPr>
          <w:p w14:paraId="7AFBAC1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10.8/40</w:t>
            </w:r>
          </w:p>
        </w:tc>
        <w:tc>
          <w:tcPr>
            <w:tcW w:w="1661" w:type="dxa"/>
            <w:vAlign w:val="center"/>
          </w:tcPr>
          <w:p w14:paraId="50A5C43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27%</w:t>
            </w:r>
          </w:p>
        </w:tc>
      </w:tr>
      <w:tr w14:paraId="714B0B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521DBEE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B</w:t>
            </w:r>
          </w:p>
        </w:tc>
        <w:tc>
          <w:tcPr>
            <w:tcW w:w="1660" w:type="dxa"/>
            <w:vAlign w:val="center"/>
          </w:tcPr>
          <w:p w14:paraId="4B6D056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c>
          <w:tcPr>
            <w:tcW w:w="1660" w:type="dxa"/>
            <w:vAlign w:val="center"/>
          </w:tcPr>
          <w:p w14:paraId="46189F4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6</w:t>
            </w:r>
          </w:p>
          <w:p w14:paraId="290BC8B0">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6</w:t>
            </w:r>
          </w:p>
          <w:p w14:paraId="2F43F4D7">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6</w:t>
            </w:r>
          </w:p>
          <w:p w14:paraId="5D7D7EF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6</w:t>
            </w:r>
          </w:p>
          <w:p w14:paraId="57AB092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6</w:t>
            </w:r>
          </w:p>
        </w:tc>
        <w:tc>
          <w:tcPr>
            <w:tcW w:w="1660" w:type="dxa"/>
            <w:vAlign w:val="center"/>
          </w:tcPr>
          <w:p w14:paraId="2F7EF658">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6</w:t>
            </w:r>
          </w:p>
        </w:tc>
        <w:tc>
          <w:tcPr>
            <w:tcW w:w="1661" w:type="dxa"/>
            <w:vAlign w:val="center"/>
          </w:tcPr>
          <w:p w14:paraId="07DC7F1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6/30</w:t>
            </w:r>
          </w:p>
        </w:tc>
        <w:tc>
          <w:tcPr>
            <w:tcW w:w="1661" w:type="dxa"/>
            <w:vAlign w:val="center"/>
          </w:tcPr>
          <w:p w14:paraId="32B1DBD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20%</w:t>
            </w:r>
          </w:p>
        </w:tc>
      </w:tr>
      <w:tr w14:paraId="2B4B2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660" w:type="dxa"/>
            <w:vAlign w:val="center"/>
          </w:tcPr>
          <w:p w14:paraId="38B9564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C</w:t>
            </w:r>
          </w:p>
        </w:tc>
        <w:tc>
          <w:tcPr>
            <w:tcW w:w="1660" w:type="dxa"/>
            <w:vAlign w:val="center"/>
          </w:tcPr>
          <w:p w14:paraId="74B599C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c>
          <w:tcPr>
            <w:tcW w:w="1660" w:type="dxa"/>
            <w:vAlign w:val="center"/>
          </w:tcPr>
          <w:p w14:paraId="798924F6">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5</w:t>
            </w:r>
          </w:p>
          <w:p w14:paraId="0579BA51">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10</w:t>
            </w:r>
          </w:p>
          <w:p w14:paraId="7254ADA7">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20</w:t>
            </w:r>
          </w:p>
          <w:p w14:paraId="6E0C0E77">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25</w:t>
            </w:r>
          </w:p>
          <w:p w14:paraId="5DE1F0C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15</w:t>
            </w:r>
          </w:p>
        </w:tc>
        <w:tc>
          <w:tcPr>
            <w:tcW w:w="1660" w:type="dxa"/>
            <w:vAlign w:val="center"/>
          </w:tcPr>
          <w:p w14:paraId="495BCD8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15</w:t>
            </w:r>
          </w:p>
        </w:tc>
        <w:tc>
          <w:tcPr>
            <w:tcW w:w="1661" w:type="dxa"/>
            <w:vAlign w:val="center"/>
          </w:tcPr>
          <w:p w14:paraId="452CCD4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15/50</w:t>
            </w:r>
          </w:p>
        </w:tc>
        <w:tc>
          <w:tcPr>
            <w:tcW w:w="1661" w:type="dxa"/>
            <w:vAlign w:val="center"/>
          </w:tcPr>
          <w:p w14:paraId="7D852CD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r>
    </w:tbl>
    <w:p w14:paraId="6F1AC0E4">
      <w:pPr>
        <w:numPr>
          <w:ilvl w:val="0"/>
          <w:numId w:val="0"/>
        </w:numPr>
        <w:spacing w:line="360" w:lineRule="auto"/>
        <w:rPr>
          <w:rFonts w:hint="default" w:ascii="Times New Roman" w:hAnsi="Times New Roman"/>
          <w:sz w:val="24"/>
          <w:szCs w:val="24"/>
          <w:lang w:val="en-US"/>
        </w:rPr>
      </w:pPr>
    </w:p>
    <w:p w14:paraId="679EB237">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6</w:t>
      </w:r>
    </w:p>
    <w:p w14:paraId="1523A345">
      <w:pPr>
        <w:numPr>
          <w:ilvl w:val="0"/>
          <w:numId w:val="0"/>
        </w:numPr>
        <w:spacing w:line="360" w:lineRule="auto"/>
        <w:rPr>
          <w:rFonts w:hint="default" w:ascii="Times New Roman" w:hAnsi="Times New Roman"/>
          <w:sz w:val="24"/>
          <w:szCs w:val="24"/>
          <w:lang w:val="en-US"/>
        </w:rPr>
      </w:pPr>
      <w:r>
        <w:rPr>
          <w:rFonts w:hint="default" w:ascii="Times New Roman" w:hAnsi="Times New Roman"/>
          <w:b/>
          <w:bCs/>
          <w:sz w:val="28"/>
          <w:szCs w:val="28"/>
          <w:lang w:val="en-US"/>
        </w:rPr>
        <w:t>Net Present Value (NPV)</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23"/>
        <w:gridCol w:w="1423"/>
        <w:gridCol w:w="1423"/>
        <w:gridCol w:w="1548"/>
        <w:gridCol w:w="1298"/>
        <w:gridCol w:w="1423"/>
        <w:gridCol w:w="1424"/>
      </w:tblGrid>
      <w:tr w14:paraId="2ACBDB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7E97B79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Project</w:t>
            </w:r>
          </w:p>
        </w:tc>
        <w:tc>
          <w:tcPr>
            <w:tcW w:w="1423" w:type="dxa"/>
            <w:vAlign w:val="center"/>
          </w:tcPr>
          <w:p w14:paraId="3641CC9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Investment (£m)</w:t>
            </w:r>
          </w:p>
        </w:tc>
        <w:tc>
          <w:tcPr>
            <w:tcW w:w="1423" w:type="dxa"/>
            <w:vAlign w:val="center"/>
          </w:tcPr>
          <w:p w14:paraId="3BD9732A">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Cash Inflows (£m)</w:t>
            </w:r>
          </w:p>
        </w:tc>
        <w:tc>
          <w:tcPr>
            <w:tcW w:w="1548" w:type="dxa"/>
            <w:vAlign w:val="center"/>
          </w:tcPr>
          <w:p w14:paraId="7C2949C3">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Present Value of Inflows (£m)</w:t>
            </w:r>
          </w:p>
        </w:tc>
        <w:tc>
          <w:tcPr>
            <w:tcW w:w="1298" w:type="dxa"/>
            <w:vAlign w:val="center"/>
          </w:tcPr>
          <w:p w14:paraId="62BF902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Total PV (£m)</w:t>
            </w:r>
          </w:p>
        </w:tc>
        <w:tc>
          <w:tcPr>
            <w:tcW w:w="1423" w:type="dxa"/>
            <w:vAlign w:val="center"/>
          </w:tcPr>
          <w:p w14:paraId="3665869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NPV (£m)</w:t>
            </w:r>
          </w:p>
        </w:tc>
        <w:tc>
          <w:tcPr>
            <w:tcW w:w="1424" w:type="dxa"/>
            <w:vAlign w:val="center"/>
          </w:tcPr>
          <w:p w14:paraId="513DED2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Discount Rate</w:t>
            </w:r>
          </w:p>
        </w:tc>
      </w:tr>
      <w:tr w14:paraId="7C805A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6C0950A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A</w:t>
            </w:r>
          </w:p>
        </w:tc>
        <w:tc>
          <w:tcPr>
            <w:tcW w:w="1423" w:type="dxa"/>
            <w:vAlign w:val="center"/>
          </w:tcPr>
          <w:p w14:paraId="6B6DE36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40</w:t>
            </w:r>
          </w:p>
        </w:tc>
        <w:tc>
          <w:tcPr>
            <w:tcW w:w="1423" w:type="dxa"/>
            <w:vAlign w:val="center"/>
          </w:tcPr>
          <w:p w14:paraId="7DBD6BC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10</w:t>
            </w:r>
          </w:p>
          <w:p w14:paraId="41F9E209">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12</w:t>
            </w:r>
          </w:p>
          <w:p w14:paraId="14899354">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14</w:t>
            </w:r>
          </w:p>
          <w:p w14:paraId="2ECB0645">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10</w:t>
            </w:r>
          </w:p>
          <w:p w14:paraId="718A54CA">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8</w:t>
            </w:r>
          </w:p>
        </w:tc>
        <w:tc>
          <w:tcPr>
            <w:tcW w:w="1548" w:type="dxa"/>
            <w:vAlign w:val="center"/>
          </w:tcPr>
          <w:p w14:paraId="6B37E937">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9.09</w:t>
            </w:r>
          </w:p>
          <w:p w14:paraId="245FAA91">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9.92</w:t>
            </w:r>
          </w:p>
          <w:p w14:paraId="15336B1D">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10.53</w:t>
            </w:r>
          </w:p>
          <w:p w14:paraId="1DBC7583">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6.83</w:t>
            </w:r>
          </w:p>
          <w:p w14:paraId="1103787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4.97</w:t>
            </w:r>
          </w:p>
        </w:tc>
        <w:tc>
          <w:tcPr>
            <w:tcW w:w="1298" w:type="dxa"/>
            <w:vAlign w:val="center"/>
          </w:tcPr>
          <w:p w14:paraId="7C16C6B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41.34</w:t>
            </w:r>
          </w:p>
        </w:tc>
        <w:tc>
          <w:tcPr>
            <w:tcW w:w="1423" w:type="dxa"/>
            <w:vAlign w:val="center"/>
          </w:tcPr>
          <w:p w14:paraId="5ACC557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1.34</w:t>
            </w:r>
          </w:p>
        </w:tc>
        <w:tc>
          <w:tcPr>
            <w:tcW w:w="1424" w:type="dxa"/>
            <w:vAlign w:val="center"/>
          </w:tcPr>
          <w:p w14:paraId="16651CD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r>
      <w:tr w14:paraId="73CA7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42C9FB25">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B</w:t>
            </w:r>
          </w:p>
        </w:tc>
        <w:tc>
          <w:tcPr>
            <w:tcW w:w="1423" w:type="dxa"/>
            <w:vAlign w:val="center"/>
          </w:tcPr>
          <w:p w14:paraId="2F76E94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c>
          <w:tcPr>
            <w:tcW w:w="1423" w:type="dxa"/>
            <w:vAlign w:val="center"/>
          </w:tcPr>
          <w:p w14:paraId="42B1D888">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6</w:t>
            </w:r>
          </w:p>
          <w:p w14:paraId="08F1A433">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6</w:t>
            </w:r>
          </w:p>
          <w:p w14:paraId="738431A1">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6</w:t>
            </w:r>
          </w:p>
          <w:p w14:paraId="59E9D461">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6</w:t>
            </w:r>
          </w:p>
          <w:p w14:paraId="0F4EEAA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6</w:t>
            </w:r>
          </w:p>
        </w:tc>
        <w:tc>
          <w:tcPr>
            <w:tcW w:w="1548" w:type="dxa"/>
            <w:vAlign w:val="center"/>
          </w:tcPr>
          <w:p w14:paraId="0679DEFA">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5.45</w:t>
            </w:r>
          </w:p>
          <w:p w14:paraId="0C54715C">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4.95</w:t>
            </w:r>
          </w:p>
          <w:p w14:paraId="4E45D515">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4.50</w:t>
            </w:r>
          </w:p>
          <w:p w14:paraId="14714DF5">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4.09</w:t>
            </w:r>
          </w:p>
          <w:p w14:paraId="54EEED51">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3.72</w:t>
            </w:r>
          </w:p>
        </w:tc>
        <w:tc>
          <w:tcPr>
            <w:tcW w:w="1298" w:type="dxa"/>
            <w:vAlign w:val="center"/>
          </w:tcPr>
          <w:p w14:paraId="021F7C02">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22.71</w:t>
            </w:r>
          </w:p>
        </w:tc>
        <w:tc>
          <w:tcPr>
            <w:tcW w:w="1423" w:type="dxa"/>
            <w:vAlign w:val="center"/>
          </w:tcPr>
          <w:p w14:paraId="2AE16F5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-7.29</w:t>
            </w:r>
          </w:p>
        </w:tc>
        <w:tc>
          <w:tcPr>
            <w:tcW w:w="1424" w:type="dxa"/>
            <w:vAlign w:val="center"/>
          </w:tcPr>
          <w:p w14:paraId="246C0B3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r>
      <w:tr w14:paraId="6B0E96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7F1187B9">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C</w:t>
            </w:r>
          </w:p>
        </w:tc>
        <w:tc>
          <w:tcPr>
            <w:tcW w:w="1423" w:type="dxa"/>
            <w:vAlign w:val="center"/>
          </w:tcPr>
          <w:p w14:paraId="57D22FF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c>
          <w:tcPr>
            <w:tcW w:w="1423" w:type="dxa"/>
            <w:vAlign w:val="center"/>
          </w:tcPr>
          <w:p w14:paraId="5A41B058">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5</w:t>
            </w:r>
          </w:p>
          <w:p w14:paraId="53E89473">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10</w:t>
            </w:r>
          </w:p>
          <w:p w14:paraId="2CE76BBC">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20</w:t>
            </w:r>
          </w:p>
          <w:p w14:paraId="0B7F37B3">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25</w:t>
            </w:r>
          </w:p>
          <w:p w14:paraId="36D123F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15</w:t>
            </w:r>
          </w:p>
        </w:tc>
        <w:tc>
          <w:tcPr>
            <w:tcW w:w="1548" w:type="dxa"/>
            <w:vAlign w:val="center"/>
          </w:tcPr>
          <w:p w14:paraId="6D889A1B">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1: 4.55</w:t>
            </w:r>
          </w:p>
          <w:p w14:paraId="3566847C">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2: 8.26</w:t>
            </w:r>
          </w:p>
          <w:p w14:paraId="07995AAC">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3: 15.03</w:t>
            </w:r>
          </w:p>
          <w:p w14:paraId="42860740">
            <w:pPr>
              <w:keepNext w:val="0"/>
              <w:keepLines w:val="0"/>
              <w:widowControl/>
              <w:suppressLineNumbers w:val="0"/>
              <w:spacing w:line="360" w:lineRule="auto"/>
              <w:jc w:val="center"/>
              <w:rPr>
                <w:rFonts w:hint="default" w:ascii="Times New Roman" w:hAnsi="Times New Roman" w:eastAsia="SimSun" w:cs="Times New Roman"/>
                <w:kern w:val="0"/>
                <w:sz w:val="24"/>
                <w:szCs w:val="24"/>
                <w:lang w:val="en-US" w:eastAsia="zh-CN" w:bidi="ar"/>
              </w:rPr>
            </w:pPr>
            <w:r>
              <w:rPr>
                <w:rFonts w:hint="default" w:ascii="Times New Roman" w:hAnsi="Times New Roman" w:eastAsia="SimSun" w:cs="Times New Roman"/>
                <w:kern w:val="0"/>
                <w:sz w:val="24"/>
                <w:szCs w:val="24"/>
                <w:lang w:val="en-US" w:eastAsia="zh-CN" w:bidi="ar"/>
              </w:rPr>
              <w:t>Year 4: 17.06</w:t>
            </w:r>
          </w:p>
          <w:p w14:paraId="1ECE57C6">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Year 5: 9.31</w:t>
            </w:r>
          </w:p>
        </w:tc>
        <w:tc>
          <w:tcPr>
            <w:tcW w:w="1298" w:type="dxa"/>
            <w:vAlign w:val="center"/>
          </w:tcPr>
          <w:p w14:paraId="18EB819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54.21</w:t>
            </w:r>
          </w:p>
        </w:tc>
        <w:tc>
          <w:tcPr>
            <w:tcW w:w="1423" w:type="dxa"/>
            <w:vAlign w:val="center"/>
          </w:tcPr>
          <w:p w14:paraId="23F219A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4.21</w:t>
            </w:r>
          </w:p>
        </w:tc>
        <w:tc>
          <w:tcPr>
            <w:tcW w:w="1424" w:type="dxa"/>
            <w:vAlign w:val="center"/>
          </w:tcPr>
          <w:p w14:paraId="58312A72">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w:t>
            </w:r>
          </w:p>
        </w:tc>
      </w:tr>
    </w:tbl>
    <w:p w14:paraId="4A6BB2D8">
      <w:pPr>
        <w:numPr>
          <w:ilvl w:val="0"/>
          <w:numId w:val="0"/>
        </w:numPr>
        <w:spacing w:line="360" w:lineRule="auto"/>
        <w:rPr>
          <w:rFonts w:hint="default" w:ascii="Times New Roman" w:hAnsi="Times New Roman"/>
          <w:sz w:val="24"/>
          <w:szCs w:val="24"/>
          <w:lang w:val="en-US"/>
        </w:rPr>
      </w:pPr>
    </w:p>
    <w:p w14:paraId="0674DD60">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7</w:t>
      </w:r>
    </w:p>
    <w:p w14:paraId="76C5BF87">
      <w:pPr>
        <w:numPr>
          <w:ilvl w:val="0"/>
          <w:numId w:val="0"/>
        </w:numPr>
        <w:spacing w:line="360" w:lineRule="auto"/>
        <w:rPr>
          <w:rFonts w:hint="default" w:ascii="Times New Roman" w:hAnsi="Times New Roman"/>
          <w:sz w:val="24"/>
          <w:szCs w:val="24"/>
          <w:lang w:val="en-US"/>
        </w:rPr>
      </w:pPr>
      <w:r>
        <w:rPr>
          <w:rFonts w:hint="default" w:ascii="Times New Roman" w:hAnsi="Times New Roman"/>
          <w:b/>
          <w:bCs/>
          <w:sz w:val="28"/>
          <w:szCs w:val="28"/>
          <w:lang w:val="en-US"/>
        </w:rPr>
        <w:t>Profitability Index (PI)</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992"/>
        <w:gridCol w:w="1992"/>
        <w:gridCol w:w="1992"/>
        <w:gridCol w:w="1993"/>
        <w:gridCol w:w="1993"/>
      </w:tblGrid>
      <w:tr w14:paraId="4BCFE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vAlign w:val="center"/>
          </w:tcPr>
          <w:p w14:paraId="6B7A0EC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Project</w:t>
            </w:r>
          </w:p>
        </w:tc>
        <w:tc>
          <w:tcPr>
            <w:tcW w:w="1992" w:type="dxa"/>
            <w:vAlign w:val="center"/>
          </w:tcPr>
          <w:p w14:paraId="097165C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Investment (£m)</w:t>
            </w:r>
          </w:p>
        </w:tc>
        <w:tc>
          <w:tcPr>
            <w:tcW w:w="1992" w:type="dxa"/>
            <w:vAlign w:val="center"/>
          </w:tcPr>
          <w:p w14:paraId="659E4520">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PV of Cash Inflows (£m)</w:t>
            </w:r>
          </w:p>
        </w:tc>
        <w:tc>
          <w:tcPr>
            <w:tcW w:w="1993" w:type="dxa"/>
            <w:vAlign w:val="center"/>
          </w:tcPr>
          <w:p w14:paraId="12D782D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PI Formula</w:t>
            </w:r>
          </w:p>
        </w:tc>
        <w:tc>
          <w:tcPr>
            <w:tcW w:w="1993" w:type="dxa"/>
            <w:vAlign w:val="center"/>
          </w:tcPr>
          <w:p w14:paraId="191F014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Profitability Index (PI)</w:t>
            </w:r>
          </w:p>
        </w:tc>
      </w:tr>
      <w:tr w14:paraId="13DDB2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vAlign w:val="center"/>
          </w:tcPr>
          <w:p w14:paraId="580AAC5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A</w:t>
            </w:r>
          </w:p>
        </w:tc>
        <w:tc>
          <w:tcPr>
            <w:tcW w:w="1992" w:type="dxa"/>
            <w:vAlign w:val="center"/>
          </w:tcPr>
          <w:p w14:paraId="662498A8">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40</w:t>
            </w:r>
          </w:p>
        </w:tc>
        <w:tc>
          <w:tcPr>
            <w:tcW w:w="1992" w:type="dxa"/>
            <w:vAlign w:val="center"/>
          </w:tcPr>
          <w:p w14:paraId="6BF164A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41.34</w:t>
            </w:r>
          </w:p>
        </w:tc>
        <w:tc>
          <w:tcPr>
            <w:tcW w:w="1993" w:type="dxa"/>
            <w:vAlign w:val="center"/>
          </w:tcPr>
          <w:p w14:paraId="525EFCCF">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41.34/40</w:t>
            </w:r>
          </w:p>
        </w:tc>
        <w:tc>
          <w:tcPr>
            <w:tcW w:w="1993" w:type="dxa"/>
            <w:vAlign w:val="center"/>
          </w:tcPr>
          <w:p w14:paraId="0061D688">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1.03</w:t>
            </w:r>
          </w:p>
        </w:tc>
      </w:tr>
      <w:tr w14:paraId="0F3D00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vAlign w:val="center"/>
          </w:tcPr>
          <w:p w14:paraId="2C3E555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B</w:t>
            </w:r>
          </w:p>
        </w:tc>
        <w:tc>
          <w:tcPr>
            <w:tcW w:w="1992" w:type="dxa"/>
            <w:vAlign w:val="center"/>
          </w:tcPr>
          <w:p w14:paraId="43F7F66B">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c>
          <w:tcPr>
            <w:tcW w:w="1992" w:type="dxa"/>
            <w:vAlign w:val="center"/>
          </w:tcPr>
          <w:p w14:paraId="5148B73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22.71</w:t>
            </w:r>
          </w:p>
        </w:tc>
        <w:tc>
          <w:tcPr>
            <w:tcW w:w="1993" w:type="dxa"/>
            <w:vAlign w:val="center"/>
          </w:tcPr>
          <w:p w14:paraId="506208B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22.71/30</w:t>
            </w:r>
          </w:p>
        </w:tc>
        <w:tc>
          <w:tcPr>
            <w:tcW w:w="1993" w:type="dxa"/>
            <w:vAlign w:val="center"/>
          </w:tcPr>
          <w:p w14:paraId="1CD1177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0.76</w:t>
            </w:r>
          </w:p>
        </w:tc>
      </w:tr>
      <w:tr w14:paraId="2389F1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992" w:type="dxa"/>
            <w:vAlign w:val="center"/>
          </w:tcPr>
          <w:p w14:paraId="296CA1CC">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C</w:t>
            </w:r>
          </w:p>
        </w:tc>
        <w:tc>
          <w:tcPr>
            <w:tcW w:w="1992" w:type="dxa"/>
            <w:vAlign w:val="center"/>
          </w:tcPr>
          <w:p w14:paraId="5FE53B8E">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c>
          <w:tcPr>
            <w:tcW w:w="1992" w:type="dxa"/>
            <w:vAlign w:val="center"/>
          </w:tcPr>
          <w:p w14:paraId="24F4B8C7">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54.21</w:t>
            </w:r>
          </w:p>
        </w:tc>
        <w:tc>
          <w:tcPr>
            <w:tcW w:w="1993" w:type="dxa"/>
            <w:vAlign w:val="center"/>
          </w:tcPr>
          <w:p w14:paraId="1502BC6D">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54.21/50</w:t>
            </w:r>
          </w:p>
        </w:tc>
        <w:tc>
          <w:tcPr>
            <w:tcW w:w="1993" w:type="dxa"/>
            <w:vAlign w:val="center"/>
          </w:tcPr>
          <w:p w14:paraId="31B5E624">
            <w:pPr>
              <w:keepNext w:val="0"/>
              <w:keepLines w:val="0"/>
              <w:widowControl/>
              <w:suppressLineNumbers w:val="0"/>
              <w:spacing w:line="360" w:lineRule="auto"/>
              <w:jc w:val="center"/>
              <w:rPr>
                <w:rFonts w:hint="default" w:ascii="Times New Roman" w:hAnsi="Times New Roman"/>
                <w:sz w:val="24"/>
                <w:szCs w:val="24"/>
                <w:vertAlign w:val="baseline"/>
                <w:lang w:val="en-US"/>
              </w:rPr>
            </w:pPr>
            <w:r>
              <w:rPr>
                <w:rFonts w:hint="default" w:ascii="Times New Roman" w:hAnsi="Times New Roman" w:eastAsia="SimSun" w:cs="Times New Roman"/>
                <w:kern w:val="0"/>
                <w:sz w:val="24"/>
                <w:szCs w:val="24"/>
                <w:lang w:val="en-US" w:eastAsia="zh-CN" w:bidi="ar"/>
              </w:rPr>
              <w:t>1.08</w:t>
            </w:r>
          </w:p>
        </w:tc>
      </w:tr>
    </w:tbl>
    <w:p w14:paraId="01679190">
      <w:pPr>
        <w:numPr>
          <w:ilvl w:val="0"/>
          <w:numId w:val="0"/>
        </w:numPr>
        <w:spacing w:line="360" w:lineRule="auto"/>
        <w:rPr>
          <w:rFonts w:hint="default" w:ascii="Times New Roman" w:hAnsi="Times New Roman"/>
          <w:sz w:val="24"/>
          <w:szCs w:val="24"/>
          <w:lang w:val="en-US"/>
        </w:rPr>
      </w:pPr>
    </w:p>
    <w:p w14:paraId="183BB746">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Appendix 8</w:t>
      </w:r>
    </w:p>
    <w:p w14:paraId="31A0083A">
      <w:pPr>
        <w:numPr>
          <w:ilvl w:val="0"/>
          <w:numId w:val="0"/>
        </w:numPr>
        <w:spacing w:line="360" w:lineRule="auto"/>
        <w:rPr>
          <w:rFonts w:hint="default" w:ascii="Times New Roman" w:hAnsi="Times New Roman"/>
          <w:b/>
          <w:bCs/>
          <w:sz w:val="28"/>
          <w:szCs w:val="28"/>
          <w:lang w:val="en-US"/>
        </w:rPr>
      </w:pPr>
      <w:r>
        <w:rPr>
          <w:rFonts w:hint="default" w:ascii="Times New Roman" w:hAnsi="Times New Roman"/>
          <w:b/>
          <w:bCs/>
          <w:sz w:val="28"/>
          <w:szCs w:val="28"/>
          <w:lang w:val="en-US"/>
        </w:rPr>
        <w:t>Internal Rate of Return (IRR)</w:t>
      </w:r>
    </w:p>
    <w:tbl>
      <w:tblPr>
        <w:tblStyle w:val="11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93"/>
        <w:gridCol w:w="1419"/>
        <w:gridCol w:w="1394"/>
        <w:gridCol w:w="1403"/>
        <w:gridCol w:w="1403"/>
        <w:gridCol w:w="1577"/>
        <w:gridCol w:w="1373"/>
      </w:tblGrid>
      <w:tr w14:paraId="33584A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38F97339">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Project</w:t>
            </w:r>
          </w:p>
        </w:tc>
        <w:tc>
          <w:tcPr>
            <w:tcW w:w="1423" w:type="dxa"/>
            <w:vAlign w:val="center"/>
          </w:tcPr>
          <w:p w14:paraId="2499BD9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Initial Investment (£m)</w:t>
            </w:r>
          </w:p>
        </w:tc>
        <w:tc>
          <w:tcPr>
            <w:tcW w:w="1423" w:type="dxa"/>
            <w:vAlign w:val="center"/>
          </w:tcPr>
          <w:p w14:paraId="326BCD9C">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Cash Inflows (£m)</w:t>
            </w:r>
          </w:p>
        </w:tc>
        <w:tc>
          <w:tcPr>
            <w:tcW w:w="1423" w:type="dxa"/>
            <w:vAlign w:val="center"/>
          </w:tcPr>
          <w:p w14:paraId="413834DB">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NPV at Lower Discount Rate</w:t>
            </w:r>
          </w:p>
        </w:tc>
        <w:tc>
          <w:tcPr>
            <w:tcW w:w="1423" w:type="dxa"/>
            <w:vAlign w:val="center"/>
          </w:tcPr>
          <w:p w14:paraId="3D63E6CB">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NPV at Higher Discount Rate</w:t>
            </w:r>
          </w:p>
        </w:tc>
        <w:tc>
          <w:tcPr>
            <w:tcW w:w="1423" w:type="dxa"/>
            <w:vAlign w:val="center"/>
          </w:tcPr>
          <w:p w14:paraId="0D5FAA91">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IRR Interpolation Formula</w:t>
            </w:r>
          </w:p>
        </w:tc>
        <w:tc>
          <w:tcPr>
            <w:tcW w:w="1424" w:type="dxa"/>
            <w:vAlign w:val="center"/>
          </w:tcPr>
          <w:p w14:paraId="7BB4B289">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b/>
                <w:bCs/>
                <w:kern w:val="0"/>
                <w:sz w:val="24"/>
                <w:szCs w:val="24"/>
                <w:lang w:val="en-US" w:eastAsia="zh-CN" w:bidi="ar"/>
              </w:rPr>
              <w:t>IRR (%)</w:t>
            </w:r>
          </w:p>
        </w:tc>
      </w:tr>
      <w:tr w14:paraId="6EF496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6B70067F">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A</w:t>
            </w:r>
          </w:p>
        </w:tc>
        <w:tc>
          <w:tcPr>
            <w:tcW w:w="1423" w:type="dxa"/>
            <w:vAlign w:val="center"/>
          </w:tcPr>
          <w:p w14:paraId="2C5C187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40</w:t>
            </w:r>
          </w:p>
        </w:tc>
        <w:tc>
          <w:tcPr>
            <w:tcW w:w="1423" w:type="dxa"/>
            <w:vAlign w:val="center"/>
          </w:tcPr>
          <w:p w14:paraId="19B2DC60">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10, 12, 14, 10, 8</w:t>
            </w:r>
          </w:p>
        </w:tc>
        <w:tc>
          <w:tcPr>
            <w:tcW w:w="1423" w:type="dxa"/>
            <w:vAlign w:val="center"/>
          </w:tcPr>
          <w:p w14:paraId="30C6B45B">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 1.33</w:t>
            </w:r>
          </w:p>
        </w:tc>
        <w:tc>
          <w:tcPr>
            <w:tcW w:w="1423" w:type="dxa"/>
            <w:vAlign w:val="center"/>
          </w:tcPr>
          <w:p w14:paraId="5B4ACE5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12%: -0.63</w:t>
            </w:r>
          </w:p>
        </w:tc>
        <w:tc>
          <w:tcPr>
            <w:tcW w:w="1423" w:type="dxa"/>
            <w:vAlign w:val="center"/>
          </w:tcPr>
          <w:p w14:paraId="358B78D8">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 + (1.33 / (1.33 + 0.63)) * (12% - 10%)</w:t>
            </w:r>
          </w:p>
        </w:tc>
        <w:tc>
          <w:tcPr>
            <w:tcW w:w="1424" w:type="dxa"/>
            <w:vAlign w:val="center"/>
          </w:tcPr>
          <w:p w14:paraId="6B7CD3A0">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11.4</w:t>
            </w:r>
          </w:p>
        </w:tc>
      </w:tr>
      <w:tr w14:paraId="4AAABB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3D223074">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B</w:t>
            </w:r>
          </w:p>
        </w:tc>
        <w:tc>
          <w:tcPr>
            <w:tcW w:w="1423" w:type="dxa"/>
            <w:vAlign w:val="center"/>
          </w:tcPr>
          <w:p w14:paraId="0E845D1D">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30</w:t>
            </w:r>
          </w:p>
        </w:tc>
        <w:tc>
          <w:tcPr>
            <w:tcW w:w="1423" w:type="dxa"/>
            <w:vAlign w:val="center"/>
          </w:tcPr>
          <w:p w14:paraId="6CCE06D2">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6, 6, 6, 6, 6</w:t>
            </w:r>
          </w:p>
        </w:tc>
        <w:tc>
          <w:tcPr>
            <w:tcW w:w="1423" w:type="dxa"/>
            <w:vAlign w:val="center"/>
          </w:tcPr>
          <w:p w14:paraId="3B90E918">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 -7.28</w:t>
            </w:r>
          </w:p>
        </w:tc>
        <w:tc>
          <w:tcPr>
            <w:tcW w:w="1423" w:type="dxa"/>
            <w:vAlign w:val="center"/>
          </w:tcPr>
          <w:p w14:paraId="057E30FB">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0%: 0</w:t>
            </w:r>
          </w:p>
        </w:tc>
        <w:tc>
          <w:tcPr>
            <w:tcW w:w="1423" w:type="dxa"/>
            <w:vAlign w:val="center"/>
          </w:tcPr>
          <w:p w14:paraId="1442CABD">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0% + (0 / (0 + 7.28)) * (10% - 0%)</w:t>
            </w:r>
          </w:p>
        </w:tc>
        <w:tc>
          <w:tcPr>
            <w:tcW w:w="1424" w:type="dxa"/>
            <w:vAlign w:val="center"/>
          </w:tcPr>
          <w:p w14:paraId="06B5D009">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0</w:t>
            </w:r>
          </w:p>
        </w:tc>
      </w:tr>
      <w:tr w14:paraId="2521DE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23" w:type="dxa"/>
            <w:vAlign w:val="center"/>
          </w:tcPr>
          <w:p w14:paraId="6CCC85D5">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C</w:t>
            </w:r>
          </w:p>
        </w:tc>
        <w:tc>
          <w:tcPr>
            <w:tcW w:w="1423" w:type="dxa"/>
            <w:vAlign w:val="center"/>
          </w:tcPr>
          <w:p w14:paraId="08165B29">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50</w:t>
            </w:r>
          </w:p>
        </w:tc>
        <w:tc>
          <w:tcPr>
            <w:tcW w:w="1423" w:type="dxa"/>
            <w:vAlign w:val="center"/>
          </w:tcPr>
          <w:p w14:paraId="317558F7">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5, 10, 20, 25, 15</w:t>
            </w:r>
          </w:p>
        </w:tc>
        <w:tc>
          <w:tcPr>
            <w:tcW w:w="1423" w:type="dxa"/>
            <w:vAlign w:val="center"/>
          </w:tcPr>
          <w:p w14:paraId="6F7AA826">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 4.23</w:t>
            </w:r>
          </w:p>
        </w:tc>
        <w:tc>
          <w:tcPr>
            <w:tcW w:w="1423" w:type="dxa"/>
            <w:vAlign w:val="center"/>
          </w:tcPr>
          <w:p w14:paraId="72154067">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15%: -3.19</w:t>
            </w:r>
          </w:p>
        </w:tc>
        <w:tc>
          <w:tcPr>
            <w:tcW w:w="1423" w:type="dxa"/>
            <w:vAlign w:val="center"/>
          </w:tcPr>
          <w:p w14:paraId="557B14B0">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10% + (4.23 / (4.23 + 3.19)) * (15% - 10%)</w:t>
            </w:r>
          </w:p>
        </w:tc>
        <w:tc>
          <w:tcPr>
            <w:tcW w:w="1424" w:type="dxa"/>
            <w:vAlign w:val="center"/>
          </w:tcPr>
          <w:p w14:paraId="07460015">
            <w:pPr>
              <w:keepNext w:val="0"/>
              <w:keepLines w:val="0"/>
              <w:widowControl/>
              <w:suppressLineNumbers w:val="0"/>
              <w:spacing w:line="360" w:lineRule="auto"/>
              <w:jc w:val="center"/>
              <w:rPr>
                <w:rFonts w:hint="default" w:ascii="Times New Roman" w:hAnsi="Times New Roman" w:cs="Times New Roman"/>
                <w:sz w:val="24"/>
                <w:szCs w:val="24"/>
                <w:vertAlign w:val="baseline"/>
                <w:lang w:val="en-US"/>
              </w:rPr>
            </w:pPr>
            <w:r>
              <w:rPr>
                <w:rFonts w:hint="default" w:ascii="Times New Roman" w:hAnsi="Times New Roman" w:eastAsia="SimSun" w:cs="Times New Roman"/>
                <w:kern w:val="0"/>
                <w:sz w:val="24"/>
                <w:szCs w:val="24"/>
                <w:lang w:val="en-US" w:eastAsia="zh-CN" w:bidi="ar"/>
              </w:rPr>
              <w:t>12.9</w:t>
            </w:r>
          </w:p>
        </w:tc>
      </w:tr>
    </w:tbl>
    <w:p w14:paraId="5F6F5E6B">
      <w:pPr>
        <w:numPr>
          <w:ilvl w:val="0"/>
          <w:numId w:val="0"/>
        </w:numPr>
        <w:spacing w:line="360" w:lineRule="auto"/>
        <w:rPr>
          <w:rFonts w:hint="default" w:ascii="Times New Roman" w:hAnsi="Times New Roman"/>
          <w:sz w:val="24"/>
          <w:szCs w:val="24"/>
          <w:lang w:val="en-US"/>
        </w:rPr>
      </w:pPr>
    </w:p>
    <w:p w14:paraId="7736FC24">
      <w:pPr>
        <w:numPr>
          <w:ilvl w:val="0"/>
          <w:numId w:val="0"/>
        </w:numPr>
        <w:spacing w:line="360" w:lineRule="auto"/>
        <w:rPr>
          <w:rFonts w:hint="default" w:ascii="Times New Roman" w:hAnsi="Times New Roman"/>
          <w:sz w:val="24"/>
          <w:szCs w:val="24"/>
          <w:lang w:val="en-US"/>
        </w:rPr>
      </w:pPr>
    </w:p>
    <w:p w14:paraId="7107A98E">
      <w:pPr>
        <w:numPr>
          <w:ilvl w:val="0"/>
          <w:numId w:val="0"/>
        </w:numPr>
        <w:rPr>
          <w:rFonts w:hint="default" w:ascii="Times New Roman" w:hAnsi="Times New Roman"/>
          <w:sz w:val="24"/>
          <w:szCs w:val="24"/>
          <w:lang w:val="en-US"/>
        </w:rPr>
      </w:pPr>
      <w:r>
        <w:rPr>
          <w:rFonts w:hint="default" w:ascii="Times New Roman" w:hAnsi="Times New Roman"/>
          <w:sz w:val="24"/>
          <w:szCs w:val="24"/>
          <w:lang w:val="en-US"/>
        </w:rPr>
        <w:br w:type="page"/>
      </w:r>
    </w:p>
    <w:p w14:paraId="29F3A2AE">
      <w:pPr>
        <w:pStyle w:val="2"/>
        <w:numPr>
          <w:ilvl w:val="0"/>
          <w:numId w:val="12"/>
        </w:numPr>
        <w:bidi w:val="0"/>
        <w:spacing w:line="240" w:lineRule="auto"/>
        <w:rPr>
          <w:rFonts w:hint="default"/>
          <w:lang w:val="en-US"/>
        </w:rPr>
      </w:pPr>
      <w:bookmarkStart w:id="28" w:name="_Toc30664"/>
      <w:r>
        <w:rPr>
          <w:rFonts w:hint="default"/>
          <w:lang w:val="en-US"/>
        </w:rPr>
        <w:t>References</w:t>
      </w:r>
      <w:bookmarkEnd w:id="28"/>
    </w:p>
    <w:p w14:paraId="66279802">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Al-Rikabi, N.S., 2021. Profitability index and its impact on short and long-term decisions. Pt. 2 J. Legal Ethical &amp; Regul. Isses, 24, p.1.</w:t>
      </w:r>
    </w:p>
    <w:p w14:paraId="1CA3FF43">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Charupat, N. and Sarkar, S., 2025. Operating flexibility and optimal capital structure. Accounting &amp; Finance.</w:t>
      </w:r>
    </w:p>
    <w:p w14:paraId="63CBC08F">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Cotter, E., 2023. Net Present Value and Payback Period: An Analysis.</w:t>
      </w:r>
    </w:p>
    <w:p w14:paraId="7FD879E7">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Feldman, E.R., 2021. Restructuring and divestitures (pp. 153-166). New York, NY: Oxford University Press.</w:t>
      </w:r>
    </w:p>
    <w:p w14:paraId="31176AAC">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Friewald, N., Nagler, F. and Wagner, C., 2022. Debt refinancing and equity returns. The Journal of Finance, 77(4), pp.2287-2329.</w:t>
      </w:r>
    </w:p>
    <w:p w14:paraId="65C2BFCC">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Greenwald, D.L., Krainer, J. and Paul, P., 2025. The credit line channel. the Journal of Finance, 80(6), pp.3137-3183.</w:t>
      </w:r>
    </w:p>
    <w:p w14:paraId="61E30BF0">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Heliani, H., 2023. Relationship between Working Capital Management, Corporate Social Responsibility, Liquidity Risk, and Profitability on the Performance and Sustainability. International Journal of Business, Law, and Education, 4(2), pp.1257-1269.</w:t>
      </w:r>
    </w:p>
    <w:p w14:paraId="67A56833">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Ibrahim, K.Y., Usaini, M. and Elijah, S., 2021. Working capital management and business performance. Nigerian Journal of Marketing (NJM) Vol, 7(1), pp.25-38.</w:t>
      </w:r>
    </w:p>
    <w:p w14:paraId="733F0531">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Ippolito, F., Steri, R., Tebaldi, C. and Villa, A., 2022. Levered returns and capital structure imbalances. Available at SSRN 2903515.</w:t>
      </w:r>
    </w:p>
    <w:p w14:paraId="70E50397">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Lalithchandra, B.N. and Rajendhiran, N., 2021. Liquidity ratio: an important financial metrics. Turkish Journal of Computer and Mathematics Education (TURCOMAT), 12(2), pp.1113-1114.</w:t>
      </w:r>
    </w:p>
    <w:p w14:paraId="03C02C2C">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Lee, V.Y., 2021. Corporate asset restructuring through mergers and acquisitions and divestitures (Doctoral dissertation, University of Reading).</w:t>
      </w:r>
    </w:p>
    <w:p w14:paraId="5C21AECF">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Lopez-Salido, D. and Loria, F., 2024. Inflation at risk. Journal of Monetary Economics, 145, p.103570.</w:t>
      </w:r>
    </w:p>
    <w:p w14:paraId="26240B36">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Noviyana, S., Febriyola, A.S. and Koranti, K., 2023. Analysis of financial performance using liquidity ratio, solvency ratio, activity ratio, profitability ratio in pharmaceutical Sub-sector manufacturing companies on the Indonesia stock exchange for the 2018-2020 period in Dki Jakarta. Jurnal Syntax Transformation, 4(8), pp.79-89.</w:t>
      </w:r>
    </w:p>
    <w:p w14:paraId="031CC14A">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Pamungkas, M.S., 2023. Capital Management Strategy for Liquidity Refinancing: A study on SMEs' Restructuring Solutions. SUKUK: INTERNATIONAL JOURNAL OF BANKING, FINANCE, MANAGEMENT AND BUSINESS, 2(II), pp.17-30.</w:t>
      </w:r>
    </w:p>
    <w:p w14:paraId="57DC8159">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Putra, C.I.W., Manurung, A.H. and Machdar, N.M., 2024. Effect of Capital Adequacy Ratio, Credit Policy, Liquidity Risk and Non-Performing Loan on Financial Distress. Greenation International Journal of Economics and Accounting, 2(4), pp.309-322.</w:t>
      </w:r>
    </w:p>
    <w:p w14:paraId="7CDF80BD">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Rashid, C.A., 2021. The efficiency of financial ratios analysis to evaluate company’s profitability. Journal of Global Economics and Business, 2(4), pp.119-132.</w:t>
      </w:r>
    </w:p>
    <w:p w14:paraId="324C5DAA">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Rashid, F., Khan, R.A. and Qureshi, I.H., 2023. A comprehensive review of the altman z-score model across industries. Available at SSRN 5044057.</w:t>
      </w:r>
    </w:p>
    <w:p w14:paraId="096AD6EB">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Ryan-Charleton, T., Gnyawali, D.R. and Oliveira, N., 2022. Strategic alliance outcomes: Consolidation and new directions. Academy of Management Annals, 16(2), pp.719-758.</w:t>
      </w:r>
    </w:p>
    <w:p w14:paraId="7D9C4484">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Sureka, R., Kumar, S., Colombage, S. and Abedin, M.Z., 2022. Five decades of research on capital budgeting–A systematic review and future research agenda. Research in International Business and Finance, 60, p.101609.</w:t>
      </w:r>
    </w:p>
    <w:p w14:paraId="1669F3C4">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Tulung, J.E., Sondakh, J.J., Wangke, S.J.C. and Posumah, R.F.K., 2024. EFFECTS OF CAPITAL RATIO, QUALITY OF RECEIVABLES, LIQUIDITY, AND GEARING RATIO ON PROFITABILITY: A STUDY FINANCIAL INSTITUTIONS’GOVERNANCE. Journal of Governance and Regulation/Volume, 13(3).</w:t>
      </w:r>
    </w:p>
    <w:p w14:paraId="3C155366">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Xie, M. and Chen, W.K., 2021. Research on the modified internal rate of return. Turkish Journal of Computer and Mathematics Education, 12(11), pp.4087-4090.</w:t>
      </w:r>
    </w:p>
    <w:p w14:paraId="40E47063">
      <w:pPr>
        <w:keepNext w:val="0"/>
        <w:keepLines w:val="0"/>
        <w:pageBreakBefore w:val="0"/>
        <w:widowControl/>
        <w:numPr>
          <w:ilvl w:val="0"/>
          <w:numId w:val="0"/>
        </w:numPr>
        <w:kinsoku/>
        <w:wordWrap/>
        <w:overflowPunct/>
        <w:topLinePunct w:val="0"/>
        <w:autoSpaceDE/>
        <w:autoSpaceDN/>
        <w:bidi w:val="0"/>
        <w:adjustRightInd/>
        <w:snapToGrid/>
        <w:spacing w:line="480" w:lineRule="auto"/>
        <w:ind w:left="960" w:hanging="960" w:hangingChars="400"/>
        <w:jc w:val="both"/>
        <w:textAlignment w:val="auto"/>
        <w:rPr>
          <w:rFonts w:hint="default" w:ascii="Times New Roman" w:hAnsi="Times New Roman"/>
          <w:sz w:val="24"/>
          <w:szCs w:val="24"/>
          <w:lang w:val="en-US"/>
        </w:rPr>
      </w:pPr>
      <w:r>
        <w:rPr>
          <w:rFonts w:hint="default" w:ascii="Times New Roman" w:hAnsi="Times New Roman"/>
          <w:sz w:val="24"/>
          <w:szCs w:val="24"/>
          <w:lang w:val="en-US"/>
        </w:rPr>
        <w:t>Zaher, H. and Illescas, G.M., 2022. The Cash Conversion Cycle: A Systematic Literature Review. Economic and Social Development: Book of Proceedings, pp.18-35.</w:t>
      </w:r>
    </w:p>
    <w:sectPr>
      <w:pgSz w:w="11906" w:h="16838"/>
      <w:pgMar w:top="1440" w:right="1080" w:bottom="1440" w:left="1080" w:header="720" w:footer="720" w:gutter="0"/>
      <w:cols w:space="0" w:num="1"/>
      <w:rtlGutter w:val="0"/>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ED6EA4"/>
    <w:multiLevelType w:val="singleLevel"/>
    <w:tmpl w:val="99ED6EA4"/>
    <w:lvl w:ilvl="0" w:tentative="0">
      <w:start w:val="6"/>
      <w:numFmt w:val="decimal"/>
      <w:suff w:val="space"/>
      <w:lvlText w:val="%1."/>
      <w:lvlJc w:val="left"/>
    </w:lvl>
  </w:abstractNum>
  <w:abstractNum w:abstractNumId="1">
    <w:nsid w:val="B693EEA1"/>
    <w:multiLevelType w:val="singleLevel"/>
    <w:tmpl w:val="B693EEA1"/>
    <w:lvl w:ilvl="0" w:tentative="0">
      <w:start w:val="1"/>
      <w:numFmt w:val="decimal"/>
      <w:lvlText w:val="%1."/>
      <w:lvlJc w:val="left"/>
      <w:pPr>
        <w:tabs>
          <w:tab w:val="left" w:pos="845"/>
        </w:tabs>
        <w:ind w:left="845" w:leftChars="0" w:hanging="425" w:firstLineChars="0"/>
      </w:pPr>
      <w:rPr>
        <w:rFonts w:hint="default"/>
      </w:rPr>
    </w:lvl>
  </w:abstractNum>
  <w:abstractNum w:abstractNumId="2">
    <w:nsid w:val="FFFFFF7C"/>
    <w:multiLevelType w:val="singleLevel"/>
    <w:tmpl w:val="FFFFFF7C"/>
    <w:lvl w:ilvl="0" w:tentative="0">
      <w:start w:val="1"/>
      <w:numFmt w:val="decimal"/>
      <w:pStyle w:val="82"/>
      <w:lvlText w:val="%1."/>
      <w:lvlJc w:val="left"/>
      <w:pPr>
        <w:tabs>
          <w:tab w:val="left" w:pos="2040"/>
        </w:tabs>
        <w:ind w:left="2040" w:leftChars="800" w:hanging="360" w:hangingChars="200"/>
      </w:pPr>
    </w:lvl>
  </w:abstractNum>
  <w:abstractNum w:abstractNumId="3">
    <w:nsid w:val="FFFFFF7D"/>
    <w:multiLevelType w:val="singleLevel"/>
    <w:tmpl w:val="FFFFFF7D"/>
    <w:lvl w:ilvl="0" w:tentative="0">
      <w:start w:val="1"/>
      <w:numFmt w:val="decimal"/>
      <w:pStyle w:val="81"/>
      <w:lvlText w:val="%1."/>
      <w:lvlJc w:val="left"/>
      <w:pPr>
        <w:tabs>
          <w:tab w:val="left" w:pos="1620"/>
        </w:tabs>
        <w:ind w:left="1620" w:leftChars="600" w:hanging="360" w:hangingChars="200"/>
      </w:pPr>
    </w:lvl>
  </w:abstractNum>
  <w:abstractNum w:abstractNumId="4">
    <w:nsid w:val="FFFFFF7E"/>
    <w:multiLevelType w:val="singleLevel"/>
    <w:tmpl w:val="FFFFFF7E"/>
    <w:lvl w:ilvl="0" w:tentative="0">
      <w:start w:val="1"/>
      <w:numFmt w:val="decimal"/>
      <w:pStyle w:val="80"/>
      <w:lvlText w:val="%1."/>
      <w:lvlJc w:val="left"/>
      <w:pPr>
        <w:tabs>
          <w:tab w:val="left" w:pos="1200"/>
        </w:tabs>
        <w:ind w:left="1200" w:leftChars="400" w:hanging="360" w:hangingChars="200"/>
      </w:pPr>
    </w:lvl>
  </w:abstractNum>
  <w:abstractNum w:abstractNumId="5">
    <w:nsid w:val="FFFFFF7F"/>
    <w:multiLevelType w:val="singleLevel"/>
    <w:tmpl w:val="FFFFFF7F"/>
    <w:lvl w:ilvl="0" w:tentative="0">
      <w:start w:val="1"/>
      <w:numFmt w:val="decimal"/>
      <w:pStyle w:val="79"/>
      <w:lvlText w:val="%1."/>
      <w:lvlJc w:val="left"/>
      <w:pPr>
        <w:tabs>
          <w:tab w:val="left" w:pos="780"/>
        </w:tabs>
        <w:ind w:left="780" w:leftChars="200" w:hanging="360" w:hangingChars="200"/>
      </w:pPr>
    </w:lvl>
  </w:abstractNum>
  <w:abstractNum w:abstractNumId="6">
    <w:nsid w:val="FFFFFF80"/>
    <w:multiLevelType w:val="singleLevel"/>
    <w:tmpl w:val="FFFFFF80"/>
    <w:lvl w:ilvl="0" w:tentative="0">
      <w:start w:val="1"/>
      <w:numFmt w:val="bullet"/>
      <w:pStyle w:val="72"/>
      <w:lvlText w:val=""/>
      <w:lvlJc w:val="left"/>
      <w:pPr>
        <w:tabs>
          <w:tab w:val="left" w:pos="2040"/>
        </w:tabs>
        <w:ind w:left="2040" w:leftChars="800" w:hanging="360" w:hangingChars="200"/>
      </w:pPr>
      <w:rPr>
        <w:rFonts w:hint="default" w:ascii="Wingdings" w:hAnsi="Wingdings"/>
      </w:rPr>
    </w:lvl>
  </w:abstractNum>
  <w:abstractNum w:abstractNumId="7">
    <w:nsid w:val="FFFFFF81"/>
    <w:multiLevelType w:val="singleLevel"/>
    <w:tmpl w:val="FFFFFF81"/>
    <w:lvl w:ilvl="0" w:tentative="0">
      <w:start w:val="1"/>
      <w:numFmt w:val="bullet"/>
      <w:pStyle w:val="71"/>
      <w:lvlText w:val=""/>
      <w:lvlJc w:val="left"/>
      <w:pPr>
        <w:tabs>
          <w:tab w:val="left" w:pos="1620"/>
        </w:tabs>
        <w:ind w:left="1620" w:leftChars="600" w:hanging="360" w:hangingChars="200"/>
      </w:pPr>
      <w:rPr>
        <w:rFonts w:hint="default" w:ascii="Wingdings" w:hAnsi="Wingdings"/>
      </w:rPr>
    </w:lvl>
  </w:abstractNum>
  <w:abstractNum w:abstractNumId="8">
    <w:nsid w:val="FFFFFF82"/>
    <w:multiLevelType w:val="singleLevel"/>
    <w:tmpl w:val="FFFFFF82"/>
    <w:lvl w:ilvl="0" w:tentative="0">
      <w:start w:val="1"/>
      <w:numFmt w:val="bullet"/>
      <w:pStyle w:val="70"/>
      <w:lvlText w:val=""/>
      <w:lvlJc w:val="left"/>
      <w:pPr>
        <w:tabs>
          <w:tab w:val="left" w:pos="1200"/>
        </w:tabs>
        <w:ind w:left="1200" w:leftChars="400" w:hanging="360" w:hangingChars="200"/>
      </w:pPr>
      <w:rPr>
        <w:rFonts w:hint="default" w:ascii="Wingdings" w:hAnsi="Wingdings"/>
      </w:rPr>
    </w:lvl>
  </w:abstractNum>
  <w:abstractNum w:abstractNumId="9">
    <w:nsid w:val="FFFFFF83"/>
    <w:multiLevelType w:val="singleLevel"/>
    <w:tmpl w:val="FFFFFF83"/>
    <w:lvl w:ilvl="0" w:tentative="0">
      <w:start w:val="1"/>
      <w:numFmt w:val="bullet"/>
      <w:pStyle w:val="69"/>
      <w:lvlText w:val=""/>
      <w:lvlJc w:val="left"/>
      <w:pPr>
        <w:tabs>
          <w:tab w:val="left" w:pos="780"/>
        </w:tabs>
        <w:ind w:left="780" w:leftChars="200" w:hanging="360" w:hangingChars="200"/>
      </w:pPr>
      <w:rPr>
        <w:rFonts w:hint="default" w:ascii="Wingdings" w:hAnsi="Wingdings"/>
      </w:rPr>
    </w:lvl>
  </w:abstractNum>
  <w:abstractNum w:abstractNumId="10">
    <w:nsid w:val="FFFFFF88"/>
    <w:multiLevelType w:val="singleLevel"/>
    <w:tmpl w:val="FFFFFF88"/>
    <w:lvl w:ilvl="0" w:tentative="0">
      <w:start w:val="1"/>
      <w:numFmt w:val="decimal"/>
      <w:pStyle w:val="78"/>
      <w:lvlText w:val="%1."/>
      <w:lvlJc w:val="left"/>
      <w:pPr>
        <w:tabs>
          <w:tab w:val="left" w:pos="360"/>
        </w:tabs>
        <w:ind w:left="360" w:hanging="360" w:hangingChars="200"/>
      </w:pPr>
    </w:lvl>
  </w:abstractNum>
  <w:abstractNum w:abstractNumId="11">
    <w:nsid w:val="FFFFFF89"/>
    <w:multiLevelType w:val="singleLevel"/>
    <w:tmpl w:val="FFFFFF89"/>
    <w:lvl w:ilvl="0" w:tentative="0">
      <w:start w:val="1"/>
      <w:numFmt w:val="bullet"/>
      <w:pStyle w:val="68"/>
      <w:lvlText w:val=""/>
      <w:lvlJc w:val="left"/>
      <w:pPr>
        <w:tabs>
          <w:tab w:val="left" w:pos="360"/>
        </w:tabs>
        <w:ind w:left="360" w:hanging="360" w:hangingChars="200"/>
      </w:pPr>
      <w:rPr>
        <w:rFonts w:hint="default" w:ascii="Wingdings" w:hAnsi="Wingdings"/>
      </w:rPr>
    </w:lvl>
  </w:abstractNum>
  <w:num w:numId="1">
    <w:abstractNumId w:val="11"/>
  </w:num>
  <w:num w:numId="2">
    <w:abstractNumId w:val="9"/>
  </w:num>
  <w:num w:numId="3">
    <w:abstractNumId w:val="8"/>
  </w:num>
  <w:num w:numId="4">
    <w:abstractNumId w:val="7"/>
  </w:num>
  <w:num w:numId="5">
    <w:abstractNumId w:val="6"/>
  </w:num>
  <w:num w:numId="6">
    <w:abstractNumId w:val="10"/>
  </w:num>
  <w:num w:numId="7">
    <w:abstractNumId w:val="5"/>
  </w:num>
  <w:num w:numId="8">
    <w:abstractNumId w:val="4"/>
  </w:num>
  <w:num w:numId="9">
    <w:abstractNumId w:val="3"/>
  </w:num>
  <w:num w:numId="10">
    <w:abstractNumId w:val="2"/>
  </w:num>
  <w:num w:numId="11">
    <w:abstractNumId w:val="1"/>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displayBackgroundShape w:val="1"/>
  <w:embedSystemFonts/>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720"/>
  <w:hyphenationZone w:val="360"/>
  <w:drawingGridVerticalSpacing w:val="156"/>
  <w:displayHorizontalDrawingGridEvery w:val="1"/>
  <w:displayVerticalDrawingGridEvery w:val="1"/>
  <w:noPunctuationKerning w:val="1"/>
  <w:characterSpacingControl w:val="doNotCompress"/>
  <w:compat>
    <w:spaceForUL/>
    <w:doNotLeaveBackslashAlone/>
    <w:ulTrailSpace/>
    <w:doNotExpandShiftReturn/>
    <w:footnoteLayoutLikeWW8/>
    <w:forgetLastTabAlignment/>
    <w:adjustLineHeightInTable/>
    <w:layoutRawTableWidth/>
    <w:layoutTableRowsApart/>
    <w:doNotBreakWrappedTables/>
    <w:doNotSnapToGridInCell/>
    <w:selectFldWithFirstOrLastChar/>
    <w:doNotWrapTextWithPunct/>
    <w:doNotUseEastAsianBreakRules/>
    <w:useWord2002TableStyleRules/>
    <w:growAutofit/>
    <w:useNormalStyleForList/>
    <w:useAltKinsokuLineBreakRules/>
    <w:allowSpaceOfSameStyleInTable/>
    <w:doNotSuppressIndentation/>
    <w:doNotAutofitConstrainedTables/>
    <w:autofitToFirstFixedWidthCell/>
    <w:displayHangulFixedWidth/>
    <w:doNotVertAlignCellWithSp/>
    <w:doNotBreakConstrainedForcedTable/>
    <w:doNotVertAlignInTxbx/>
    <w:useAnsiKerningPairs/>
    <w:cachedColBalan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20D90779"/>
    <w:rsid w:val="00050A31"/>
    <w:rsid w:val="000716D2"/>
    <w:rsid w:val="00071AAB"/>
    <w:rsid w:val="000B76C4"/>
    <w:rsid w:val="000C5610"/>
    <w:rsid w:val="000E6552"/>
    <w:rsid w:val="000F3A4F"/>
    <w:rsid w:val="000F59AC"/>
    <w:rsid w:val="001364FE"/>
    <w:rsid w:val="001368DD"/>
    <w:rsid w:val="00147DB3"/>
    <w:rsid w:val="001518A5"/>
    <w:rsid w:val="00170095"/>
    <w:rsid w:val="00170E4F"/>
    <w:rsid w:val="001743F4"/>
    <w:rsid w:val="00187C33"/>
    <w:rsid w:val="001936B7"/>
    <w:rsid w:val="00196AB1"/>
    <w:rsid w:val="00201333"/>
    <w:rsid w:val="00210FA7"/>
    <w:rsid w:val="00216417"/>
    <w:rsid w:val="0026631D"/>
    <w:rsid w:val="002C2F53"/>
    <w:rsid w:val="0033518C"/>
    <w:rsid w:val="003437C2"/>
    <w:rsid w:val="00377186"/>
    <w:rsid w:val="003A1C03"/>
    <w:rsid w:val="00414627"/>
    <w:rsid w:val="00425D63"/>
    <w:rsid w:val="004643D8"/>
    <w:rsid w:val="00497C24"/>
    <w:rsid w:val="004C7BA5"/>
    <w:rsid w:val="004E7628"/>
    <w:rsid w:val="004F48F2"/>
    <w:rsid w:val="005149B1"/>
    <w:rsid w:val="005647F2"/>
    <w:rsid w:val="005662D1"/>
    <w:rsid w:val="00573A09"/>
    <w:rsid w:val="005A4526"/>
    <w:rsid w:val="005C1B16"/>
    <w:rsid w:val="005E53D0"/>
    <w:rsid w:val="006002EB"/>
    <w:rsid w:val="006128EF"/>
    <w:rsid w:val="006264B4"/>
    <w:rsid w:val="00643033"/>
    <w:rsid w:val="00644CC3"/>
    <w:rsid w:val="00661468"/>
    <w:rsid w:val="006649F0"/>
    <w:rsid w:val="0067245D"/>
    <w:rsid w:val="0068470E"/>
    <w:rsid w:val="00695DCD"/>
    <w:rsid w:val="006A05CC"/>
    <w:rsid w:val="006A35A7"/>
    <w:rsid w:val="007152D7"/>
    <w:rsid w:val="00746C14"/>
    <w:rsid w:val="007C2C59"/>
    <w:rsid w:val="00801F23"/>
    <w:rsid w:val="00837632"/>
    <w:rsid w:val="0085640F"/>
    <w:rsid w:val="008567AA"/>
    <w:rsid w:val="00892712"/>
    <w:rsid w:val="008A680A"/>
    <w:rsid w:val="008B0BB0"/>
    <w:rsid w:val="008E6C4B"/>
    <w:rsid w:val="008F18C0"/>
    <w:rsid w:val="00907648"/>
    <w:rsid w:val="00930FDE"/>
    <w:rsid w:val="00984C93"/>
    <w:rsid w:val="00987CE1"/>
    <w:rsid w:val="0099405C"/>
    <w:rsid w:val="009C600F"/>
    <w:rsid w:val="009D3723"/>
    <w:rsid w:val="009E04F2"/>
    <w:rsid w:val="00A03B7B"/>
    <w:rsid w:val="00A200C9"/>
    <w:rsid w:val="00A250D5"/>
    <w:rsid w:val="00A32F56"/>
    <w:rsid w:val="00A36028"/>
    <w:rsid w:val="00A91424"/>
    <w:rsid w:val="00AA2C77"/>
    <w:rsid w:val="00AC3FB9"/>
    <w:rsid w:val="00AC702A"/>
    <w:rsid w:val="00AD226F"/>
    <w:rsid w:val="00B13A52"/>
    <w:rsid w:val="00B24CF4"/>
    <w:rsid w:val="00B26993"/>
    <w:rsid w:val="00B4570C"/>
    <w:rsid w:val="00B5208C"/>
    <w:rsid w:val="00B74876"/>
    <w:rsid w:val="00BB7C2B"/>
    <w:rsid w:val="00BC1664"/>
    <w:rsid w:val="00BC2546"/>
    <w:rsid w:val="00C05085"/>
    <w:rsid w:val="00C1593D"/>
    <w:rsid w:val="00C56C7E"/>
    <w:rsid w:val="00C776A4"/>
    <w:rsid w:val="00CA2C6C"/>
    <w:rsid w:val="00CC0600"/>
    <w:rsid w:val="00CC78AC"/>
    <w:rsid w:val="00CF7953"/>
    <w:rsid w:val="00D07232"/>
    <w:rsid w:val="00D10245"/>
    <w:rsid w:val="00D21BDD"/>
    <w:rsid w:val="00D65F07"/>
    <w:rsid w:val="00D92BB7"/>
    <w:rsid w:val="00DC76D2"/>
    <w:rsid w:val="00DD30ED"/>
    <w:rsid w:val="00E64C21"/>
    <w:rsid w:val="00EC24C6"/>
    <w:rsid w:val="00EF2933"/>
    <w:rsid w:val="00F05146"/>
    <w:rsid w:val="00F1115D"/>
    <w:rsid w:val="00F3513C"/>
    <w:rsid w:val="00F465C5"/>
    <w:rsid w:val="00F5180D"/>
    <w:rsid w:val="00F51B21"/>
    <w:rsid w:val="00F51D87"/>
    <w:rsid w:val="00F8455C"/>
    <w:rsid w:val="021078AC"/>
    <w:rsid w:val="0EA8661E"/>
    <w:rsid w:val="1F445917"/>
    <w:rsid w:val="20D90779"/>
    <w:rsid w:val="23594B15"/>
    <w:rsid w:val="272A36A0"/>
    <w:rsid w:val="30143937"/>
    <w:rsid w:val="39C20E19"/>
    <w:rsid w:val="3C23784C"/>
    <w:rsid w:val="3CF25326"/>
    <w:rsid w:val="407E22C6"/>
    <w:rsid w:val="4DB308C5"/>
    <w:rsid w:val="501F267E"/>
    <w:rsid w:val="59BE107D"/>
    <w:rsid w:val="5A2F46BE"/>
    <w:rsid w:val="5FBF39BC"/>
    <w:rsid w:val="6F5368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nhideWhenUsed="0" w:uiPriority="0" w:semiHidden="0" w:name="index 1"/>
    <w:lsdException w:qFormat="1" w:unhideWhenUsed="0" w:uiPriority="0" w:semiHidden="0" w:name="index 2"/>
    <w:lsdException w:qFormat="1" w:unhideWhenUsed="0" w:uiPriority="0" w:semiHidden="0" w:name="index 3"/>
    <w:lsdException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unhideWhenUsed="0" w:uiPriority="0" w:semiHidden="0" w:name="toc 1"/>
    <w:lsdException w:qFormat="1" w:unhideWhenUsed="0" w:uiPriority="0" w:semiHidden="0" w:name="toc 2"/>
    <w:lsdException w:qFormat="1" w:unhideWhenUsed="0" w:uiPriority="0"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qFormat="1"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unhideWhenUsed="0" w:uiPriority="0" w:semiHidden="0" w:name="List 3"/>
    <w:lsdException w:qFormat="1" w:unhideWhenUsed="0" w:uiPriority="0" w:semiHidden="0" w:name="List 4"/>
    <w:lsdException w:unhideWhenUsed="0" w:uiPriority="0" w:semiHidden="0" w:name="List 5"/>
    <w:lsdException w:qFormat="1" w:unhideWhenUsed="0" w:uiPriority="0" w:semiHidden="0" w:name="List Bullet 2"/>
    <w:lsdException w:qFormat="1"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0"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unhideWhenUsed="0" w:uiPriority="0" w:semiHidden="0" w:name="HTML Sample"/>
    <w:lsdException w:qFormat="1" w:unhideWhenUsed="0" w:uiPriority="0" w:semiHidden="0" w:name="HTML Typewriter"/>
    <w:lsdException w:qFormat="1" w:unhideWhenUsed="0" w:uiPriority="0" w:semiHidden="0" w:name="HTML Variable"/>
    <w:lsdException w:unhideWhenUsed="0" w:uiPriority="0" w:name="Normal Table"/>
    <w:lsdException w:qFormat="1" w:unhideWhenUsed="0" w:uiPriority="0" w:semiHidden="0" w:name="annotation subject"/>
    <w:lsdException w:qFormat="1" w:unhideWhenUsed="0" w:uiPriority="0" w:semiHidden="0" w:name="Table Simple 1"/>
    <w:lsdException w:qFormat="1" w:unhideWhenUsed="0" w:uiPriority="0" w:semiHidden="0" w:name="Table Simple 2"/>
    <w:lsdException w:qFormat="1" w:unhideWhenUsed="0" w:uiPriority="0" w:semiHidden="0" w:name="Table Simple 3"/>
    <w:lsdException w:qFormat="1" w:unhideWhenUsed="0" w:uiPriority="0" w:semiHidden="0" w:name="Table Classic 1"/>
    <w:lsdException w:qFormat="1" w:unhideWhenUsed="0" w:uiPriority="0" w:semiHidden="0" w:name="Table Classic 2"/>
    <w:lsdException w:qFormat="1" w:unhideWhenUsed="0" w:uiPriority="0" w:semiHidden="0" w:name="Table Classic 3"/>
    <w:lsdException w:unhideWhenUsed="0" w:uiPriority="0" w:semiHidden="0" w:name="Table Classic 4"/>
    <w:lsdException w:qFormat="1" w:unhideWhenUsed="0" w:uiPriority="0" w:semiHidden="0" w:name="Table Colorful 1"/>
    <w:lsdException w:unhideWhenUsed="0" w:uiPriority="0" w:semiHidden="0" w:name="Table Colorful 2"/>
    <w:lsdException w:qFormat="1" w:unhideWhenUsed="0" w:uiPriority="0" w:semiHidden="0" w:name="Table Colorful 3"/>
    <w:lsdException w:qFormat="1" w:unhideWhenUsed="0" w:uiPriority="0" w:semiHidden="0" w:name="Table Columns 1"/>
    <w:lsdException w:unhideWhenUsed="0" w:uiPriority="0" w:semiHidden="0" w:name="Table Columns 2"/>
    <w:lsdException w:qFormat="1" w:unhideWhenUsed="0" w:uiPriority="0" w:semiHidden="0" w:name="Table Columns 3"/>
    <w:lsdException w:qFormat="1" w:unhideWhenUsed="0" w:uiPriority="0" w:semiHidden="0" w:name="Table Columns 4"/>
    <w:lsdException w:qFormat="1" w:unhideWhenUsed="0" w:uiPriority="0" w:semiHidden="0" w:name="Table Columns 5"/>
    <w:lsdException w:qFormat="1" w:unhideWhenUsed="0" w:uiPriority="0" w:semiHidden="0" w:name="Table Grid 1"/>
    <w:lsdException w:unhideWhenUsed="0" w:uiPriority="0" w:semiHidden="0" w:name="Table Grid 2"/>
    <w:lsdException w:qFormat="1" w:unhideWhenUsed="0" w:uiPriority="0" w:semiHidden="0" w:name="Table Grid 3"/>
    <w:lsdException w:unhideWhenUsed="0" w:uiPriority="0" w:semiHidden="0" w:name="Table Grid 4"/>
    <w:lsdException w:qFormat="1" w:unhideWhenUsed="0" w:uiPriority="0" w:semiHidden="0" w:name="Table Grid 5"/>
    <w:lsdException w:qFormat="1" w:unhideWhenUsed="0" w:uiPriority="0" w:semiHidden="0" w:name="Table Grid 6"/>
    <w:lsdException w:qFormat="1" w:unhideWhenUsed="0" w:uiPriority="0" w:semiHidden="0" w:name="Table Grid 7"/>
    <w:lsdException w:qFormat="1" w:unhideWhenUsed="0" w:uiPriority="0" w:semiHidden="0" w:name="Table Grid 8"/>
    <w:lsdException w:qFormat="1" w:unhideWhenUsed="0" w:uiPriority="0" w:semiHidden="0" w:name="Table List 1"/>
    <w:lsdException w:qFormat="1" w:unhideWhenUsed="0" w:uiPriority="0" w:semiHidden="0" w:name="Table List 2"/>
    <w:lsdException w:qFormat="1" w:unhideWhenUsed="0" w:uiPriority="0" w:semiHidden="0" w:name="Table List 3"/>
    <w:lsdException w:qFormat="1" w:unhideWhenUsed="0" w:uiPriority="0" w:semiHidden="0" w:name="Table List 4"/>
    <w:lsdException w:qFormat="1" w:unhideWhenUsed="0" w:uiPriority="0" w:semiHidden="0" w:name="Table List 5"/>
    <w:lsdException w:qFormat="1" w:unhideWhenUsed="0" w:uiPriority="0" w:semiHidden="0" w:name="Table List 6"/>
    <w:lsdException w:qFormat="1" w:unhideWhenUsed="0" w:uiPriority="0" w:semiHidden="0" w:name="Table List 7"/>
    <w:lsdException w:unhideWhenUsed="0" w:uiPriority="0" w:semiHidden="0" w:name="Table List 8"/>
    <w:lsdException w:qFormat="1" w:unhideWhenUsed="0" w:uiPriority="0" w:semiHidden="0" w:name="Table 3D effects 1"/>
    <w:lsdException w:qFormat="1" w:unhideWhenUsed="0" w:uiPriority="0" w:semiHidden="0" w:name="Table 3D effects 2"/>
    <w:lsdException w:qFormat="1" w:unhideWhenUsed="0" w:uiPriority="0" w:semiHidden="0" w:name="Table 3D effects 3"/>
    <w:lsdException w:qFormat="1" w:unhideWhenUsed="0" w:uiPriority="0" w:semiHidden="0" w:name="Table Contemporary"/>
    <w:lsdException w:qFormat="1" w:unhideWhenUsed="0" w:uiPriority="0" w:semiHidden="0" w:name="Table Elegant"/>
    <w:lsdException w:qFormat="1" w:unhideWhenUsed="0" w:uiPriority="0" w:semiHidden="0" w:name="Table Professional"/>
    <w:lsdException w:qFormat="1" w:unhideWhenUsed="0" w:uiPriority="0" w:semiHidden="0" w:name="Table Subtle 1"/>
    <w:lsdException w:qFormat="1" w:unhideWhenUsed="0" w:uiPriority="0" w:semiHidden="0" w:name="Table Subtle 2"/>
    <w:lsdException w:qFormat="1" w:unhideWhenUsed="0" w:uiPriority="0" w:semiHidden="0" w:name="Table Web 1"/>
    <w:lsdException w:qFormat="1"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qFormat="1" w:unhideWhenUsed="0" w:uiPriority="0" w:semiHidden="0" w:name="Table Theme"/>
    <w:lsdException w:unhideWhenUsed="0" w:uiPriority="60" w:semiHidden="0" w:name="Light Shading"/>
    <w:lsdException w:qFormat="1" w:unhideWhenUsed="0" w:uiPriority="61" w:semiHidden="0" w:name="Light List"/>
    <w:lsdException w:qFormat="1" w:unhideWhenUsed="0" w:uiPriority="62" w:semiHidden="0" w:name="Light Grid"/>
    <w:lsdException w:qFormat="1" w:unhideWhenUsed="0" w:uiPriority="63" w:semiHidden="0" w:name="Medium Shading 1"/>
    <w:lsdException w:qFormat="1" w:unhideWhenUsed="0" w:uiPriority="64" w:semiHidden="0" w:name="Medium Shading 2"/>
    <w:lsdException w:unhideWhenUsed="0" w:uiPriority="65" w:semiHidden="0" w:name="Medium List 1"/>
    <w:lsdException w:qFormat="1" w:unhideWhenUsed="0" w:uiPriority="66" w:semiHidden="0" w:name="Medium List 2"/>
    <w:lsdException w:unhideWhenUsed="0" w:uiPriority="67" w:semiHidden="0" w:name="Medium Grid 1"/>
    <w:lsdException w:qFormat="1" w:unhideWhenUsed="0" w:uiPriority="68" w:semiHidden="0" w:name="Medium Grid 2"/>
    <w:lsdException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qFormat="1" w:unhideWhenUsed="0" w:uiPriority="62" w:semiHidden="0" w:name="Light Grid Accent 1"/>
    <w:lsdException w:qFormat="1" w:unhideWhenUsed="0" w:uiPriority="63" w:semiHidden="0" w:name="Medium Shading 1 Accent 1"/>
    <w:lsdException w:qFormat="1" w:unhideWhenUsed="0" w:uiPriority="64" w:semiHidden="0" w:name="Medium Shading 2 Accent 1"/>
    <w:lsdException w:unhideWhenUsed="0" w:uiPriority="65" w:semiHidden="0" w:name="Medium List 1 Accent 1"/>
    <w:lsdException w:unhideWhenUsed="0" w:uiPriority="66" w:semiHidden="0" w:name="Medium List 2 Accent 1"/>
    <w:lsdException w:qFormat="1" w:unhideWhenUsed="0" w:uiPriority="67" w:semiHidden="0" w:name="Medium Grid 1 Accent 1"/>
    <w:lsdException w:unhideWhenUsed="0" w:uiPriority="68" w:semiHidden="0" w:name="Medium Grid 2 Accent 1"/>
    <w:lsdException w:qFormat="1" w:unhideWhenUsed="0" w:uiPriority="69" w:semiHidden="0" w:name="Medium Grid 3 Accent 1"/>
    <w:lsdException w:unhideWhenUsed="0" w:uiPriority="70" w:semiHidden="0" w:name="Dark List Accent 1"/>
    <w:lsdException w:qFormat="1"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qFormat="1" w:unhideWhenUsed="0" w:uiPriority="62" w:semiHidden="0" w:name="Light Grid Accent 2"/>
    <w:lsdException w:unhideWhenUsed="0" w:uiPriority="63" w:semiHidden="0" w:name="Medium Shading 1 Accent 2"/>
    <w:lsdException w:qFormat="1" w:unhideWhenUsed="0" w:uiPriority="64" w:semiHidden="0" w:name="Medium Shading 2 Accent 2"/>
    <w:lsdException w:unhideWhenUsed="0" w:uiPriority="65" w:semiHidden="0" w:name="Medium List 1 Accent 2"/>
    <w:lsdException w:qFormat="1" w:unhideWhenUsed="0" w:uiPriority="66" w:semiHidden="0" w:name="Medium List 2 Accent 2"/>
    <w:lsdException w:unhideWhenUsed="0" w:uiPriority="67" w:semiHidden="0" w:name="Medium Grid 1 Accent 2"/>
    <w:lsdException w:qFormat="1" w:unhideWhenUsed="0" w:uiPriority="68" w:semiHidden="0" w:name="Medium Grid 2 Accent 2"/>
    <w:lsdException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qFormat="1" w:unhideWhenUsed="0" w:uiPriority="61" w:semiHidden="0" w:name="Light List Accent 3"/>
    <w:lsdException w:qFormat="1" w:unhideWhenUsed="0" w:uiPriority="62" w:semiHidden="0" w:name="Light Grid Accent 3"/>
    <w:lsdException w:qFormat="1" w:unhideWhenUsed="0" w:uiPriority="63" w:semiHidden="0" w:name="Medium Shading 1 Accent 3"/>
    <w:lsdException w:qFormat="1"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qFormat="1" w:unhideWhenUsed="0" w:uiPriority="69" w:semiHidden="0" w:name="Medium Grid 3 Accent 3"/>
    <w:lsdException w:unhideWhenUsed="0" w:uiPriority="70" w:semiHidden="0" w:name="Dark List Accent 3"/>
    <w:lsdException w:qFormat="1" w:unhideWhenUsed="0" w:uiPriority="71" w:semiHidden="0" w:name="Colorful Shading Accent 3"/>
    <w:lsdException w:qFormat="1" w:unhideWhenUsed="0" w:uiPriority="72" w:semiHidden="0" w:name="Colorful List Accent 3"/>
    <w:lsdException w:unhideWhenUsed="0" w:uiPriority="73" w:semiHidden="0" w:name="Colorful Grid Accent 3"/>
    <w:lsdException w:qFormat="1" w:unhideWhenUsed="0" w:uiPriority="60" w:semiHidden="0" w:name="Light Shading Accent 4"/>
    <w:lsdException w:unhideWhenUsed="0" w:uiPriority="61" w:semiHidden="0" w:name="Light List Accent 4"/>
    <w:lsdException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unhideWhenUsed="0" w:uiPriority="65" w:semiHidden="0" w:name="Medium List 1 Accent 4"/>
    <w:lsdException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unhideWhenUsed="0" w:uiPriority="62" w:semiHidden="0" w:name="Light Grid Accent 5"/>
    <w:lsdException w:qFormat="1" w:unhideWhenUsed="0" w:uiPriority="63" w:semiHidden="0" w:name="Medium Shading 1 Accent 5"/>
    <w:lsdException w:qFormat="1" w:unhideWhenUsed="0" w:uiPriority="64" w:semiHidden="0" w:name="Medium Shading 2 Accent 5"/>
    <w:lsdException w:unhideWhenUsed="0" w:uiPriority="65" w:semiHidden="0" w:name="Medium List 1 Accent 5"/>
    <w:lsdException w:qFormat="1" w:unhideWhenUsed="0" w:uiPriority="66" w:semiHidden="0" w:name="Medium List 2 Accent 5"/>
    <w:lsdException w:unhideWhenUsed="0" w:uiPriority="67" w:semiHidden="0" w:name="Medium Grid 1 Accent 5"/>
    <w:lsdException w:qFormat="1" w:unhideWhenUsed="0" w:uiPriority="68" w:semiHidden="0" w:name="Medium Grid 2 Accent 5"/>
    <w:lsdException w:unhideWhenUsed="0" w:uiPriority="69" w:semiHidden="0" w:name="Medium Grid 3 Accent 5"/>
    <w:lsdException w:qFormat="1" w:unhideWhenUsed="0" w:uiPriority="70" w:semiHidden="0" w:name="Dark List Accent 5"/>
    <w:lsdException w:qFormat="1" w:unhideWhenUsed="0" w:uiPriority="71" w:semiHidden="0" w:name="Colorful Shading Accent 5"/>
    <w:lsdException w:unhideWhenUsed="0" w:uiPriority="72" w:semiHidden="0" w:name="Colorful List Accent 5"/>
    <w:lsdException w:qFormat="1" w:unhideWhenUsed="0" w:uiPriority="73" w:semiHidden="0" w:name="Colorful Grid Accent 5"/>
    <w:lsdException w:unhideWhenUsed="0" w:uiPriority="60" w:semiHidden="0" w:name="Light Shading Accent 6"/>
    <w:lsdException w:unhideWhenUsed="0" w:uiPriority="61" w:semiHidden="0" w:name="Light List Accent 6"/>
    <w:lsdException w:qFormat="1" w:unhideWhenUsed="0" w:uiPriority="62" w:semiHidden="0" w:name="Light Grid Accent 6"/>
    <w:lsdException w:qFormat="1" w:unhideWhenUsed="0" w:uiPriority="63" w:semiHidden="0" w:name="Medium Shading 1 Accent 6"/>
    <w:lsdException w:unhideWhenUsed="0" w:uiPriority="64" w:semiHidden="0" w:name="Medium Shading 2 Accent 6"/>
    <w:lsdException w:unhideWhenUsed="0" w:uiPriority="65" w:semiHidden="0" w:name="Medium List 1 Accent 6"/>
    <w:lsdException w:qFormat="1" w:unhideWhenUsed="0" w:uiPriority="66" w:semiHidden="0" w:name="Medium List 2 Accent 6"/>
    <w:lsdException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paragraph" w:styleId="2">
    <w:name w:val="heading 1"/>
    <w:basedOn w:val="1"/>
    <w:next w:val="1"/>
    <w:qFormat/>
    <w:uiPriority w:val="0"/>
    <w:pPr>
      <w:keepNext/>
      <w:keepLines/>
      <w:spacing w:before="340" w:after="330" w:line="578" w:lineRule="auto"/>
      <w:outlineLvl w:val="0"/>
    </w:pPr>
    <w:rPr>
      <w:rFonts w:ascii="Times New Roman" w:hAnsi="Times New Roman"/>
      <w:b/>
      <w:bCs/>
      <w:kern w:val="44"/>
      <w:sz w:val="28"/>
      <w:szCs w:val="44"/>
    </w:rPr>
  </w:style>
  <w:style w:type="paragraph" w:styleId="3">
    <w:name w:val="heading 2"/>
    <w:basedOn w:val="1"/>
    <w:next w:val="1"/>
    <w:unhideWhenUsed/>
    <w:qFormat/>
    <w:uiPriority w:val="0"/>
    <w:pPr>
      <w:keepNext/>
      <w:keepLines/>
      <w:spacing w:before="260" w:after="260" w:line="416" w:lineRule="auto"/>
      <w:jc w:val="left"/>
      <w:outlineLvl w:val="1"/>
    </w:pPr>
    <w:rPr>
      <w:rFonts w:ascii="Times New Roman" w:hAnsi="Times New Roman"/>
      <w:b/>
      <w:bCs/>
      <w:sz w:val="28"/>
      <w:szCs w:val="32"/>
    </w:rPr>
  </w:style>
  <w:style w:type="paragraph" w:styleId="4">
    <w:name w:val="heading 3"/>
    <w:basedOn w:val="1"/>
    <w:next w:val="1"/>
    <w:semiHidden/>
    <w:unhideWhenUsed/>
    <w:qFormat/>
    <w:uiPriority w:val="0"/>
    <w:pPr>
      <w:keepNext/>
      <w:keepLines/>
      <w:spacing w:before="260" w:after="260" w:line="416" w:lineRule="auto"/>
      <w:outlineLvl w:val="2"/>
    </w:pPr>
    <w:rPr>
      <w:rFonts w:ascii="Times New Roman" w:hAnsi="Times New Roman"/>
      <w:b/>
      <w:bCs/>
      <w:sz w:val="28"/>
      <w:szCs w:val="32"/>
    </w:rPr>
  </w:style>
  <w:style w:type="paragraph" w:styleId="5">
    <w:name w:val="heading 4"/>
    <w:basedOn w:val="1"/>
    <w:next w:val="1"/>
    <w:semiHidden/>
    <w:unhideWhenUsed/>
    <w:qFormat/>
    <w:uiPriority w:val="0"/>
    <w:pPr>
      <w:keepNext/>
      <w:keepLines/>
      <w:spacing w:before="280" w:after="290" w:line="376" w:lineRule="auto"/>
      <w:outlineLvl w:val="3"/>
    </w:pPr>
    <w:rPr>
      <w:b/>
      <w:bCs/>
      <w:sz w:val="28"/>
      <w:szCs w:val="28"/>
    </w:rPr>
  </w:style>
  <w:style w:type="paragraph" w:styleId="6">
    <w:name w:val="heading 5"/>
    <w:basedOn w:val="1"/>
    <w:next w:val="1"/>
    <w:semiHidden/>
    <w:unhideWhenUsed/>
    <w:qFormat/>
    <w:uiPriority w:val="0"/>
    <w:pPr>
      <w:keepNext/>
      <w:keepLines/>
      <w:spacing w:before="280" w:after="290" w:line="376" w:lineRule="auto"/>
      <w:outlineLvl w:val="4"/>
    </w:pPr>
    <w:rPr>
      <w:b/>
      <w:bCs/>
      <w:sz w:val="28"/>
      <w:szCs w:val="28"/>
    </w:rPr>
  </w:style>
  <w:style w:type="paragraph" w:styleId="7">
    <w:name w:val="heading 6"/>
    <w:basedOn w:val="1"/>
    <w:next w:val="1"/>
    <w:semiHidden/>
    <w:unhideWhenUsed/>
    <w:qFormat/>
    <w:uiPriority w:val="0"/>
    <w:pPr>
      <w:keepNext/>
      <w:keepLines/>
      <w:spacing w:before="240" w:after="64" w:line="320" w:lineRule="auto"/>
      <w:outlineLvl w:val="5"/>
    </w:pPr>
    <w:rPr>
      <w:b/>
      <w:bCs/>
      <w:sz w:val="24"/>
      <w:szCs w:val="24"/>
    </w:rPr>
  </w:style>
  <w:style w:type="paragraph" w:styleId="8">
    <w:name w:val="heading 7"/>
    <w:basedOn w:val="1"/>
    <w:next w:val="1"/>
    <w:semiHidden/>
    <w:unhideWhenUsed/>
    <w:qFormat/>
    <w:uiPriority w:val="0"/>
    <w:pPr>
      <w:keepNext/>
      <w:keepLines/>
      <w:spacing w:before="240" w:after="64" w:line="320" w:lineRule="auto"/>
      <w:outlineLvl w:val="6"/>
    </w:pPr>
    <w:rPr>
      <w:b/>
      <w:bCs/>
      <w:sz w:val="24"/>
      <w:szCs w:val="24"/>
    </w:rPr>
  </w:style>
  <w:style w:type="paragraph" w:styleId="9">
    <w:name w:val="heading 8"/>
    <w:basedOn w:val="1"/>
    <w:next w:val="1"/>
    <w:semiHidden/>
    <w:unhideWhenUsed/>
    <w:qFormat/>
    <w:uiPriority w:val="0"/>
    <w:pPr>
      <w:keepNext/>
      <w:keepLines/>
      <w:spacing w:before="240" w:after="64" w:line="320" w:lineRule="auto"/>
      <w:outlineLvl w:val="7"/>
    </w:pPr>
    <w:rPr>
      <w:sz w:val="24"/>
      <w:szCs w:val="24"/>
    </w:rPr>
  </w:style>
  <w:style w:type="paragraph" w:styleId="10">
    <w:name w:val="heading 9"/>
    <w:basedOn w:val="1"/>
    <w:next w:val="1"/>
    <w:semiHidden/>
    <w:unhideWhenUsed/>
    <w:qFormat/>
    <w:uiPriority w:val="0"/>
    <w:pPr>
      <w:keepNext/>
      <w:keepLines/>
      <w:spacing w:before="240" w:after="64" w:line="320" w:lineRule="auto"/>
      <w:outlineLvl w:val="8"/>
    </w:pPr>
    <w:rPr>
      <w:szCs w:val="21"/>
    </w:rPr>
  </w:style>
  <w:style w:type="character" w:default="1" w:styleId="11">
    <w:name w:val="Default Paragraph Font"/>
    <w:semiHidden/>
    <w:uiPriority w:val="0"/>
  </w:style>
  <w:style w:type="table" w:default="1" w:styleId="12">
    <w:name w:val="Normal Table"/>
    <w:semiHidden/>
    <w:uiPriority w:val="0"/>
    <w:tblPr>
      <w:tblCellMar>
        <w:top w:w="0" w:type="dxa"/>
        <w:left w:w="108" w:type="dxa"/>
        <w:bottom w:w="0" w:type="dxa"/>
        <w:right w:w="108" w:type="dxa"/>
      </w:tblCellMar>
    </w:tblPr>
  </w:style>
  <w:style w:type="paragraph" w:styleId="13">
    <w:name w:val="Balloon Text"/>
    <w:basedOn w:val="1"/>
    <w:uiPriority w:val="0"/>
    <w:rPr>
      <w:sz w:val="16"/>
      <w:szCs w:val="16"/>
    </w:rPr>
  </w:style>
  <w:style w:type="paragraph" w:styleId="14">
    <w:name w:val="Block Text"/>
    <w:basedOn w:val="1"/>
    <w:uiPriority w:val="0"/>
    <w:pPr>
      <w:spacing w:after="120"/>
      <w:ind w:left="1440" w:leftChars="700" w:right="1440" w:rightChars="700"/>
    </w:pPr>
  </w:style>
  <w:style w:type="paragraph" w:styleId="15">
    <w:name w:val="Body Text"/>
    <w:basedOn w:val="1"/>
    <w:qFormat/>
    <w:uiPriority w:val="0"/>
    <w:pPr>
      <w:spacing w:after="120"/>
    </w:pPr>
  </w:style>
  <w:style w:type="paragraph" w:styleId="16">
    <w:name w:val="Body Text 2"/>
    <w:basedOn w:val="1"/>
    <w:uiPriority w:val="0"/>
    <w:pPr>
      <w:spacing w:after="120" w:line="480" w:lineRule="auto"/>
    </w:pPr>
  </w:style>
  <w:style w:type="paragraph" w:styleId="17">
    <w:name w:val="Body Text 3"/>
    <w:basedOn w:val="1"/>
    <w:uiPriority w:val="0"/>
    <w:pPr>
      <w:spacing w:after="120"/>
    </w:pPr>
    <w:rPr>
      <w:sz w:val="16"/>
      <w:szCs w:val="16"/>
    </w:rPr>
  </w:style>
  <w:style w:type="paragraph" w:styleId="18">
    <w:name w:val="Body Text First Indent"/>
    <w:basedOn w:val="15"/>
    <w:qFormat/>
    <w:uiPriority w:val="0"/>
    <w:pPr>
      <w:ind w:firstLine="420" w:firstLineChars="100"/>
    </w:pPr>
  </w:style>
  <w:style w:type="paragraph" w:styleId="19">
    <w:name w:val="Body Text Indent"/>
    <w:basedOn w:val="1"/>
    <w:qFormat/>
    <w:uiPriority w:val="0"/>
    <w:pPr>
      <w:spacing w:after="120"/>
      <w:ind w:left="420" w:leftChars="200"/>
    </w:pPr>
  </w:style>
  <w:style w:type="paragraph" w:styleId="20">
    <w:name w:val="Body Text First Indent 2"/>
    <w:basedOn w:val="19"/>
    <w:qFormat/>
    <w:uiPriority w:val="0"/>
    <w:pPr>
      <w:ind w:firstLine="420" w:firstLineChars="200"/>
    </w:pPr>
  </w:style>
  <w:style w:type="paragraph" w:styleId="21">
    <w:name w:val="Body Text Indent 2"/>
    <w:basedOn w:val="1"/>
    <w:qFormat/>
    <w:uiPriority w:val="0"/>
    <w:pPr>
      <w:spacing w:after="120" w:line="480" w:lineRule="auto"/>
      <w:ind w:left="420" w:leftChars="200"/>
    </w:pPr>
  </w:style>
  <w:style w:type="paragraph" w:styleId="22">
    <w:name w:val="Body Text Indent 3"/>
    <w:basedOn w:val="1"/>
    <w:qFormat/>
    <w:uiPriority w:val="0"/>
    <w:pPr>
      <w:spacing w:after="120"/>
      <w:ind w:left="420" w:leftChars="200"/>
    </w:pPr>
    <w:rPr>
      <w:sz w:val="16"/>
      <w:szCs w:val="16"/>
    </w:rPr>
  </w:style>
  <w:style w:type="paragraph" w:styleId="23">
    <w:name w:val="caption"/>
    <w:basedOn w:val="1"/>
    <w:next w:val="1"/>
    <w:semiHidden/>
    <w:unhideWhenUsed/>
    <w:qFormat/>
    <w:uiPriority w:val="0"/>
    <w:rPr>
      <w:rFonts w:ascii="Arial" w:hAnsi="Arial" w:eastAsia="黑体" w:cs="Arial"/>
      <w:sz w:val="20"/>
    </w:rPr>
  </w:style>
  <w:style w:type="paragraph" w:styleId="24">
    <w:name w:val="Closing"/>
    <w:basedOn w:val="1"/>
    <w:qFormat/>
    <w:uiPriority w:val="0"/>
    <w:pPr>
      <w:ind w:left="100" w:leftChars="2100"/>
    </w:pPr>
  </w:style>
  <w:style w:type="character" w:styleId="25">
    <w:name w:val="annotation reference"/>
    <w:basedOn w:val="11"/>
    <w:qFormat/>
    <w:uiPriority w:val="0"/>
    <w:rPr>
      <w:sz w:val="21"/>
      <w:szCs w:val="21"/>
    </w:rPr>
  </w:style>
  <w:style w:type="paragraph" w:styleId="26">
    <w:name w:val="annotation text"/>
    <w:basedOn w:val="1"/>
    <w:qFormat/>
    <w:uiPriority w:val="0"/>
    <w:pPr>
      <w:jc w:val="left"/>
    </w:pPr>
  </w:style>
  <w:style w:type="paragraph" w:styleId="27">
    <w:name w:val="annotation subject"/>
    <w:basedOn w:val="26"/>
    <w:next w:val="26"/>
    <w:qFormat/>
    <w:uiPriority w:val="0"/>
    <w:rPr>
      <w:b/>
      <w:bCs/>
    </w:rPr>
  </w:style>
  <w:style w:type="paragraph" w:styleId="28">
    <w:name w:val="Date"/>
    <w:basedOn w:val="1"/>
    <w:next w:val="1"/>
    <w:uiPriority w:val="0"/>
    <w:pPr>
      <w:ind w:left="100" w:leftChars="2500"/>
    </w:pPr>
  </w:style>
  <w:style w:type="paragraph" w:styleId="29">
    <w:name w:val="Document Map"/>
    <w:basedOn w:val="1"/>
    <w:qFormat/>
    <w:uiPriority w:val="0"/>
    <w:pPr>
      <w:shd w:val="clear" w:color="auto" w:fill="000080"/>
    </w:pPr>
  </w:style>
  <w:style w:type="paragraph" w:styleId="30">
    <w:name w:val="E-mail Signature"/>
    <w:basedOn w:val="1"/>
    <w:qFormat/>
    <w:uiPriority w:val="0"/>
  </w:style>
  <w:style w:type="character" w:styleId="31">
    <w:name w:val="Emphasis"/>
    <w:basedOn w:val="11"/>
    <w:qFormat/>
    <w:uiPriority w:val="0"/>
    <w:rPr>
      <w:i/>
      <w:iCs/>
    </w:rPr>
  </w:style>
  <w:style w:type="character" w:styleId="32">
    <w:name w:val="endnote reference"/>
    <w:basedOn w:val="11"/>
    <w:qFormat/>
    <w:uiPriority w:val="0"/>
    <w:rPr>
      <w:vertAlign w:val="superscript"/>
    </w:rPr>
  </w:style>
  <w:style w:type="paragraph" w:styleId="33">
    <w:name w:val="endnote text"/>
    <w:basedOn w:val="1"/>
    <w:qFormat/>
    <w:uiPriority w:val="0"/>
    <w:pPr>
      <w:snapToGrid w:val="0"/>
      <w:jc w:val="left"/>
    </w:pPr>
  </w:style>
  <w:style w:type="paragraph" w:styleId="34">
    <w:name w:val="envelope address"/>
    <w:basedOn w:val="1"/>
    <w:uiPriority w:val="0"/>
    <w:pPr>
      <w:framePr w:w="7920" w:h="1980" w:hRule="exact" w:hSpace="180" w:wrap="auto" w:vAnchor="margin" w:hAnchor="page" w:xAlign="center" w:yAlign="bottom"/>
      <w:snapToGrid w:val="0"/>
      <w:ind w:left="100" w:leftChars="1400"/>
    </w:pPr>
    <w:rPr>
      <w:rFonts w:ascii="Arial" w:hAnsi="Arial" w:cs="Arial"/>
      <w:sz w:val="24"/>
      <w:szCs w:val="24"/>
    </w:rPr>
  </w:style>
  <w:style w:type="paragraph" w:styleId="35">
    <w:name w:val="envelope return"/>
    <w:basedOn w:val="1"/>
    <w:qFormat/>
    <w:uiPriority w:val="0"/>
    <w:pPr>
      <w:snapToGrid w:val="0"/>
    </w:pPr>
    <w:rPr>
      <w:rFonts w:ascii="Arial" w:hAnsi="Arial" w:cs="Arial"/>
    </w:rPr>
  </w:style>
  <w:style w:type="character" w:styleId="36">
    <w:name w:val="FollowedHyperlink"/>
    <w:basedOn w:val="11"/>
    <w:qFormat/>
    <w:uiPriority w:val="0"/>
    <w:rPr>
      <w:color w:val="800080"/>
      <w:u w:val="single"/>
    </w:rPr>
  </w:style>
  <w:style w:type="paragraph" w:styleId="37">
    <w:name w:val="footer"/>
    <w:basedOn w:val="1"/>
    <w:qFormat/>
    <w:uiPriority w:val="0"/>
    <w:pPr>
      <w:tabs>
        <w:tab w:val="center" w:pos="4153"/>
        <w:tab w:val="right" w:pos="8306"/>
      </w:tabs>
      <w:snapToGrid w:val="0"/>
      <w:jc w:val="left"/>
    </w:pPr>
    <w:rPr>
      <w:sz w:val="18"/>
      <w:szCs w:val="18"/>
    </w:rPr>
  </w:style>
  <w:style w:type="character" w:styleId="38">
    <w:name w:val="footnote reference"/>
    <w:basedOn w:val="11"/>
    <w:qFormat/>
    <w:uiPriority w:val="0"/>
    <w:rPr>
      <w:vertAlign w:val="superscript"/>
    </w:rPr>
  </w:style>
  <w:style w:type="paragraph" w:styleId="39">
    <w:name w:val="footnote text"/>
    <w:basedOn w:val="1"/>
    <w:qFormat/>
    <w:uiPriority w:val="0"/>
    <w:pPr>
      <w:snapToGrid w:val="0"/>
      <w:jc w:val="left"/>
    </w:pPr>
    <w:rPr>
      <w:sz w:val="18"/>
      <w:szCs w:val="18"/>
    </w:rPr>
  </w:style>
  <w:style w:type="paragraph" w:styleId="40">
    <w:name w:val="header"/>
    <w:basedOn w:val="1"/>
    <w:uiPriority w:val="0"/>
    <w:pPr>
      <w:tabs>
        <w:tab w:val="center" w:pos="4153"/>
        <w:tab w:val="right" w:pos="8306"/>
      </w:tabs>
      <w:snapToGrid w:val="0"/>
    </w:pPr>
    <w:rPr>
      <w:sz w:val="18"/>
      <w:szCs w:val="18"/>
    </w:rPr>
  </w:style>
  <w:style w:type="character" w:styleId="41">
    <w:name w:val="HTML Acronym"/>
    <w:basedOn w:val="11"/>
    <w:qFormat/>
    <w:uiPriority w:val="0"/>
  </w:style>
  <w:style w:type="paragraph" w:styleId="42">
    <w:name w:val="HTML Address"/>
    <w:basedOn w:val="1"/>
    <w:qFormat/>
    <w:uiPriority w:val="0"/>
    <w:rPr>
      <w:i/>
      <w:iCs/>
    </w:rPr>
  </w:style>
  <w:style w:type="character" w:styleId="43">
    <w:name w:val="HTML Cite"/>
    <w:basedOn w:val="11"/>
    <w:qFormat/>
    <w:uiPriority w:val="0"/>
    <w:rPr>
      <w:i/>
      <w:iCs/>
    </w:rPr>
  </w:style>
  <w:style w:type="character" w:styleId="44">
    <w:name w:val="HTML Code"/>
    <w:basedOn w:val="11"/>
    <w:qFormat/>
    <w:uiPriority w:val="0"/>
    <w:rPr>
      <w:rFonts w:ascii="Courier New" w:hAnsi="Courier New" w:cs="Courier New"/>
      <w:sz w:val="20"/>
      <w:szCs w:val="20"/>
    </w:rPr>
  </w:style>
  <w:style w:type="character" w:styleId="45">
    <w:name w:val="HTML Definition"/>
    <w:basedOn w:val="11"/>
    <w:qFormat/>
    <w:uiPriority w:val="0"/>
    <w:rPr>
      <w:i/>
      <w:iCs/>
    </w:rPr>
  </w:style>
  <w:style w:type="character" w:styleId="46">
    <w:name w:val="HTML Keyboard"/>
    <w:basedOn w:val="11"/>
    <w:qFormat/>
    <w:uiPriority w:val="0"/>
    <w:rPr>
      <w:rFonts w:ascii="Courier New" w:hAnsi="Courier New" w:cs="Courier New"/>
      <w:sz w:val="20"/>
      <w:szCs w:val="20"/>
    </w:rPr>
  </w:style>
  <w:style w:type="paragraph" w:styleId="47">
    <w:name w:val="HTML Preformatted"/>
    <w:basedOn w:val="1"/>
    <w:qFormat/>
    <w:uiPriority w:val="0"/>
    <w:rPr>
      <w:rFonts w:ascii="Courier New" w:hAnsi="Courier New" w:cs="Courier New"/>
      <w:sz w:val="20"/>
    </w:rPr>
  </w:style>
  <w:style w:type="character" w:styleId="48">
    <w:name w:val="HTML Sample"/>
    <w:basedOn w:val="11"/>
    <w:uiPriority w:val="0"/>
    <w:rPr>
      <w:rFonts w:ascii="Courier New" w:hAnsi="Courier New" w:cs="Courier New"/>
    </w:rPr>
  </w:style>
  <w:style w:type="character" w:styleId="49">
    <w:name w:val="HTML Typewriter"/>
    <w:basedOn w:val="11"/>
    <w:qFormat/>
    <w:uiPriority w:val="0"/>
    <w:rPr>
      <w:rFonts w:ascii="Courier New" w:hAnsi="Courier New" w:cs="Courier New"/>
      <w:sz w:val="20"/>
      <w:szCs w:val="20"/>
    </w:rPr>
  </w:style>
  <w:style w:type="character" w:styleId="50">
    <w:name w:val="HTML Variable"/>
    <w:basedOn w:val="11"/>
    <w:qFormat/>
    <w:uiPriority w:val="0"/>
    <w:rPr>
      <w:i/>
      <w:iCs/>
    </w:rPr>
  </w:style>
  <w:style w:type="character" w:styleId="51">
    <w:name w:val="Hyperlink"/>
    <w:basedOn w:val="11"/>
    <w:qFormat/>
    <w:uiPriority w:val="0"/>
    <w:rPr>
      <w:color w:val="0000FF"/>
      <w:u w:val="single"/>
    </w:rPr>
  </w:style>
  <w:style w:type="paragraph" w:styleId="52">
    <w:name w:val="index 1"/>
    <w:basedOn w:val="1"/>
    <w:next w:val="1"/>
    <w:qFormat/>
    <w:uiPriority w:val="0"/>
  </w:style>
  <w:style w:type="paragraph" w:styleId="53">
    <w:name w:val="index 2"/>
    <w:basedOn w:val="1"/>
    <w:next w:val="1"/>
    <w:qFormat/>
    <w:uiPriority w:val="0"/>
    <w:pPr>
      <w:ind w:left="200" w:leftChars="200"/>
    </w:pPr>
  </w:style>
  <w:style w:type="paragraph" w:styleId="54">
    <w:name w:val="index 3"/>
    <w:basedOn w:val="1"/>
    <w:next w:val="1"/>
    <w:qFormat/>
    <w:uiPriority w:val="0"/>
    <w:pPr>
      <w:ind w:left="400" w:leftChars="400"/>
    </w:pPr>
  </w:style>
  <w:style w:type="paragraph" w:styleId="55">
    <w:name w:val="index 4"/>
    <w:basedOn w:val="1"/>
    <w:next w:val="1"/>
    <w:uiPriority w:val="0"/>
    <w:pPr>
      <w:ind w:left="600" w:leftChars="600"/>
    </w:pPr>
  </w:style>
  <w:style w:type="paragraph" w:styleId="56">
    <w:name w:val="index 5"/>
    <w:basedOn w:val="1"/>
    <w:next w:val="1"/>
    <w:qFormat/>
    <w:uiPriority w:val="0"/>
    <w:pPr>
      <w:ind w:left="800" w:leftChars="800"/>
    </w:pPr>
  </w:style>
  <w:style w:type="paragraph" w:styleId="57">
    <w:name w:val="index 6"/>
    <w:basedOn w:val="1"/>
    <w:next w:val="1"/>
    <w:qFormat/>
    <w:uiPriority w:val="0"/>
    <w:pPr>
      <w:ind w:left="1000" w:leftChars="1000"/>
    </w:pPr>
  </w:style>
  <w:style w:type="paragraph" w:styleId="58">
    <w:name w:val="index 7"/>
    <w:basedOn w:val="1"/>
    <w:next w:val="1"/>
    <w:qFormat/>
    <w:uiPriority w:val="0"/>
    <w:pPr>
      <w:ind w:left="1200" w:leftChars="1200"/>
    </w:pPr>
  </w:style>
  <w:style w:type="paragraph" w:styleId="59">
    <w:name w:val="index 8"/>
    <w:basedOn w:val="1"/>
    <w:next w:val="1"/>
    <w:qFormat/>
    <w:uiPriority w:val="0"/>
    <w:pPr>
      <w:ind w:left="1400" w:leftChars="1400"/>
    </w:pPr>
  </w:style>
  <w:style w:type="paragraph" w:styleId="60">
    <w:name w:val="index 9"/>
    <w:basedOn w:val="1"/>
    <w:next w:val="1"/>
    <w:qFormat/>
    <w:uiPriority w:val="0"/>
    <w:pPr>
      <w:ind w:left="1600" w:leftChars="1600"/>
    </w:pPr>
  </w:style>
  <w:style w:type="paragraph" w:styleId="61">
    <w:name w:val="index heading"/>
    <w:basedOn w:val="1"/>
    <w:next w:val="52"/>
    <w:qFormat/>
    <w:uiPriority w:val="0"/>
    <w:rPr>
      <w:rFonts w:ascii="Arial" w:hAnsi="Arial" w:cs="Arial"/>
      <w:b/>
      <w:bCs/>
    </w:rPr>
  </w:style>
  <w:style w:type="character" w:styleId="62">
    <w:name w:val="line number"/>
    <w:basedOn w:val="11"/>
    <w:qFormat/>
    <w:uiPriority w:val="0"/>
  </w:style>
  <w:style w:type="paragraph" w:styleId="63">
    <w:name w:val="List"/>
    <w:basedOn w:val="1"/>
    <w:qFormat/>
    <w:uiPriority w:val="0"/>
    <w:pPr>
      <w:ind w:left="200" w:hanging="200" w:hangingChars="200"/>
    </w:pPr>
  </w:style>
  <w:style w:type="paragraph" w:styleId="64">
    <w:name w:val="List 2"/>
    <w:basedOn w:val="1"/>
    <w:qFormat/>
    <w:uiPriority w:val="0"/>
    <w:pPr>
      <w:ind w:left="100" w:leftChars="200" w:hanging="200" w:hangingChars="200"/>
    </w:pPr>
  </w:style>
  <w:style w:type="paragraph" w:styleId="65">
    <w:name w:val="List 3"/>
    <w:basedOn w:val="1"/>
    <w:uiPriority w:val="0"/>
    <w:pPr>
      <w:ind w:left="100" w:leftChars="400" w:hanging="200" w:hangingChars="200"/>
    </w:pPr>
  </w:style>
  <w:style w:type="paragraph" w:styleId="66">
    <w:name w:val="List 4"/>
    <w:basedOn w:val="1"/>
    <w:qFormat/>
    <w:uiPriority w:val="0"/>
    <w:pPr>
      <w:ind w:left="100" w:leftChars="600" w:hanging="200" w:hangingChars="200"/>
    </w:pPr>
  </w:style>
  <w:style w:type="paragraph" w:styleId="67">
    <w:name w:val="List 5"/>
    <w:basedOn w:val="1"/>
    <w:uiPriority w:val="0"/>
    <w:pPr>
      <w:ind w:left="100" w:leftChars="800" w:hanging="200" w:hangingChars="200"/>
    </w:pPr>
  </w:style>
  <w:style w:type="paragraph" w:styleId="68">
    <w:name w:val="List Bullet"/>
    <w:basedOn w:val="1"/>
    <w:qFormat/>
    <w:uiPriority w:val="0"/>
    <w:pPr>
      <w:numPr>
        <w:ilvl w:val="0"/>
        <w:numId w:val="1"/>
      </w:numPr>
    </w:pPr>
  </w:style>
  <w:style w:type="paragraph" w:styleId="69">
    <w:name w:val="List Bullet 2"/>
    <w:basedOn w:val="1"/>
    <w:qFormat/>
    <w:uiPriority w:val="0"/>
    <w:pPr>
      <w:numPr>
        <w:ilvl w:val="0"/>
        <w:numId w:val="2"/>
      </w:numPr>
    </w:pPr>
  </w:style>
  <w:style w:type="paragraph" w:styleId="70">
    <w:name w:val="List Bullet 3"/>
    <w:basedOn w:val="1"/>
    <w:qFormat/>
    <w:uiPriority w:val="0"/>
    <w:pPr>
      <w:numPr>
        <w:ilvl w:val="0"/>
        <w:numId w:val="3"/>
      </w:numPr>
    </w:pPr>
  </w:style>
  <w:style w:type="paragraph" w:styleId="71">
    <w:name w:val="List Bullet 4"/>
    <w:basedOn w:val="1"/>
    <w:uiPriority w:val="0"/>
    <w:pPr>
      <w:numPr>
        <w:ilvl w:val="0"/>
        <w:numId w:val="4"/>
      </w:numPr>
    </w:pPr>
  </w:style>
  <w:style w:type="paragraph" w:styleId="72">
    <w:name w:val="List Bullet 5"/>
    <w:basedOn w:val="1"/>
    <w:uiPriority w:val="0"/>
    <w:pPr>
      <w:numPr>
        <w:ilvl w:val="0"/>
        <w:numId w:val="5"/>
      </w:numPr>
    </w:pPr>
  </w:style>
  <w:style w:type="paragraph" w:styleId="73">
    <w:name w:val="List Continue"/>
    <w:basedOn w:val="1"/>
    <w:qFormat/>
    <w:uiPriority w:val="0"/>
    <w:pPr>
      <w:spacing w:after="120"/>
      <w:ind w:left="420" w:leftChars="200"/>
    </w:pPr>
  </w:style>
  <w:style w:type="paragraph" w:styleId="74">
    <w:name w:val="List Continue 2"/>
    <w:basedOn w:val="1"/>
    <w:uiPriority w:val="0"/>
    <w:pPr>
      <w:spacing w:after="120"/>
      <w:ind w:left="840" w:leftChars="400"/>
    </w:pPr>
  </w:style>
  <w:style w:type="paragraph" w:styleId="75">
    <w:name w:val="List Continue 3"/>
    <w:basedOn w:val="1"/>
    <w:qFormat/>
    <w:uiPriority w:val="0"/>
    <w:pPr>
      <w:spacing w:after="120"/>
      <w:ind w:left="1260" w:leftChars="600"/>
    </w:pPr>
  </w:style>
  <w:style w:type="paragraph" w:styleId="76">
    <w:name w:val="List Continue 4"/>
    <w:basedOn w:val="1"/>
    <w:qFormat/>
    <w:uiPriority w:val="0"/>
    <w:pPr>
      <w:spacing w:after="120"/>
      <w:ind w:left="1680" w:leftChars="800"/>
    </w:pPr>
  </w:style>
  <w:style w:type="paragraph" w:styleId="77">
    <w:name w:val="List Continue 5"/>
    <w:basedOn w:val="1"/>
    <w:uiPriority w:val="0"/>
    <w:pPr>
      <w:spacing w:after="120"/>
      <w:ind w:left="2100" w:leftChars="1000"/>
    </w:pPr>
  </w:style>
  <w:style w:type="paragraph" w:styleId="78">
    <w:name w:val="List Number"/>
    <w:basedOn w:val="1"/>
    <w:qFormat/>
    <w:uiPriority w:val="0"/>
    <w:pPr>
      <w:numPr>
        <w:ilvl w:val="0"/>
        <w:numId w:val="6"/>
      </w:numPr>
    </w:pPr>
  </w:style>
  <w:style w:type="paragraph" w:styleId="79">
    <w:name w:val="List Number 2"/>
    <w:basedOn w:val="1"/>
    <w:qFormat/>
    <w:uiPriority w:val="0"/>
    <w:pPr>
      <w:numPr>
        <w:ilvl w:val="0"/>
        <w:numId w:val="7"/>
      </w:numPr>
    </w:pPr>
  </w:style>
  <w:style w:type="paragraph" w:styleId="80">
    <w:name w:val="List Number 3"/>
    <w:basedOn w:val="1"/>
    <w:qFormat/>
    <w:uiPriority w:val="0"/>
    <w:pPr>
      <w:numPr>
        <w:ilvl w:val="0"/>
        <w:numId w:val="8"/>
      </w:numPr>
    </w:pPr>
  </w:style>
  <w:style w:type="paragraph" w:styleId="81">
    <w:name w:val="List Number 4"/>
    <w:basedOn w:val="1"/>
    <w:qFormat/>
    <w:uiPriority w:val="0"/>
    <w:pPr>
      <w:numPr>
        <w:ilvl w:val="0"/>
        <w:numId w:val="9"/>
      </w:numPr>
    </w:pPr>
  </w:style>
  <w:style w:type="paragraph" w:styleId="82">
    <w:name w:val="List Number 5"/>
    <w:basedOn w:val="1"/>
    <w:qFormat/>
    <w:uiPriority w:val="0"/>
    <w:pPr>
      <w:numPr>
        <w:ilvl w:val="0"/>
        <w:numId w:val="10"/>
      </w:numPr>
    </w:pPr>
  </w:style>
  <w:style w:type="paragraph" w:styleId="83">
    <w:name w:val="macro"/>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cs="Courier New" w:eastAsiaTheme="minorEastAsia"/>
      <w:kern w:val="2"/>
      <w:sz w:val="24"/>
      <w:szCs w:val="24"/>
      <w:lang w:val="en-US" w:eastAsia="zh-CN" w:bidi="ar-SA"/>
    </w:rPr>
  </w:style>
  <w:style w:type="paragraph" w:styleId="84">
    <w:name w:val="Message Header"/>
    <w:basedOn w:val="1"/>
    <w:qFormat/>
    <w:uiPriority w:val="0"/>
    <w:pPr>
      <w:pBdr>
        <w:top w:val="single" w:color="auto" w:sz="6" w:space="1"/>
        <w:left w:val="single" w:color="auto" w:sz="6" w:space="1"/>
        <w:bottom w:val="single" w:color="auto" w:sz="6" w:space="1"/>
        <w:right w:val="single" w:color="auto" w:sz="6" w:space="1"/>
      </w:pBdr>
      <w:shd w:val="pct20" w:color="auto" w:fill="auto"/>
      <w:ind w:left="1080" w:leftChars="500" w:hanging="1080" w:hangingChars="500"/>
    </w:pPr>
    <w:rPr>
      <w:rFonts w:ascii="Arial" w:hAnsi="Arial" w:cs="Arial"/>
      <w:sz w:val="24"/>
      <w:szCs w:val="24"/>
    </w:rPr>
  </w:style>
  <w:style w:type="paragraph" w:styleId="85">
    <w:name w:val="Normal (Web)"/>
    <w:basedOn w:val="1"/>
    <w:qFormat/>
    <w:uiPriority w:val="0"/>
    <w:rPr>
      <w:sz w:val="24"/>
      <w:szCs w:val="24"/>
    </w:rPr>
  </w:style>
  <w:style w:type="paragraph" w:styleId="86">
    <w:name w:val="Normal Indent"/>
    <w:basedOn w:val="1"/>
    <w:qFormat/>
    <w:uiPriority w:val="0"/>
    <w:pPr>
      <w:ind w:firstLine="420" w:firstLineChars="200"/>
    </w:pPr>
  </w:style>
  <w:style w:type="paragraph" w:styleId="87">
    <w:name w:val="Note Heading"/>
    <w:basedOn w:val="1"/>
    <w:next w:val="1"/>
    <w:qFormat/>
    <w:uiPriority w:val="0"/>
    <w:pPr>
      <w:jc w:val="center"/>
    </w:pPr>
  </w:style>
  <w:style w:type="character" w:styleId="88">
    <w:name w:val="page number"/>
    <w:basedOn w:val="11"/>
    <w:qFormat/>
    <w:uiPriority w:val="0"/>
  </w:style>
  <w:style w:type="paragraph" w:styleId="89">
    <w:name w:val="Plain Text"/>
    <w:basedOn w:val="1"/>
    <w:qFormat/>
    <w:uiPriority w:val="0"/>
    <w:rPr>
      <w:rFonts w:ascii="SimSun" w:hAnsi="Courier New" w:cs="Courier New"/>
      <w:szCs w:val="21"/>
    </w:rPr>
  </w:style>
  <w:style w:type="paragraph" w:styleId="90">
    <w:name w:val="Salutation"/>
    <w:basedOn w:val="1"/>
    <w:next w:val="1"/>
    <w:uiPriority w:val="0"/>
  </w:style>
  <w:style w:type="paragraph" w:styleId="91">
    <w:name w:val="Signature"/>
    <w:basedOn w:val="1"/>
    <w:qFormat/>
    <w:uiPriority w:val="0"/>
    <w:pPr>
      <w:ind w:left="100" w:leftChars="2100"/>
    </w:pPr>
  </w:style>
  <w:style w:type="character" w:styleId="92">
    <w:name w:val="Strong"/>
    <w:basedOn w:val="11"/>
    <w:qFormat/>
    <w:uiPriority w:val="0"/>
    <w:rPr>
      <w:b/>
      <w:bCs/>
    </w:rPr>
  </w:style>
  <w:style w:type="paragraph" w:styleId="93">
    <w:name w:val="Subtitle"/>
    <w:basedOn w:val="1"/>
    <w:qFormat/>
    <w:uiPriority w:val="0"/>
    <w:pPr>
      <w:spacing w:before="240" w:after="60" w:line="312" w:lineRule="auto"/>
      <w:jc w:val="center"/>
      <w:outlineLvl w:val="1"/>
    </w:pPr>
    <w:rPr>
      <w:rFonts w:ascii="Arial" w:hAnsi="Arial" w:cs="Arial"/>
      <w:b/>
      <w:bCs/>
      <w:kern w:val="28"/>
      <w:sz w:val="32"/>
      <w:szCs w:val="32"/>
    </w:rPr>
  </w:style>
  <w:style w:type="table" w:styleId="94">
    <w:name w:val="Table 3D effects 1"/>
    <w:basedOn w:val="12"/>
    <w:qFormat/>
    <w:uiPriority w:val="0"/>
    <w:pPr>
      <w:widowControl w:val="0"/>
      <w:jc w:val="both"/>
    </w:pPr>
    <w:tblPr/>
    <w:tcPr>
      <w:shd w:val="solid" w:color="C0C0C0" w:fill="FFFFFF"/>
    </w:tcPr>
    <w:tblStylePr w:type="firstRow">
      <w:rPr>
        <w:b/>
        <w:bCs/>
        <w:color w:val="800080"/>
      </w:rPr>
      <w:tblPr/>
      <w:tcPr>
        <w:tcBorders>
          <w:left w:val="single" w:color="808080" w:sz="6" w:space="0"/>
          <w:tl2br w:val="nil"/>
          <w:tr2bl w:val="nil"/>
        </w:tcBorders>
      </w:tcPr>
    </w:tblStylePr>
    <w:tblStylePr w:type="lastRow">
      <w:tblPr/>
      <w:tcPr>
        <w:tcBorders>
          <w:top w:val="single" w:color="FFFFFF" w:sz="6" w:space="0"/>
          <w:tl2br w:val="nil"/>
          <w:tr2bl w:val="nil"/>
        </w:tcBorders>
      </w:tcPr>
    </w:tblStylePr>
    <w:tblStylePr w:type="firstCol">
      <w:rPr>
        <w:b/>
        <w:bCs/>
      </w:rPr>
      <w:tblPr/>
      <w:tcPr>
        <w:tcBorders>
          <w:right w:val="single" w:color="808080" w:sz="6" w:space="0"/>
          <w:tl2br w:val="nil"/>
          <w:tr2bl w:val="nil"/>
        </w:tcBorders>
      </w:tcPr>
    </w:tblStylePr>
    <w:tblStylePr w:type="lastCol">
      <w:tblPr/>
      <w:tcPr>
        <w:tcBorders>
          <w:bottom w:val="single" w:color="FFFFFF" w:sz="6" w:space="0"/>
          <w:tl2br w:val="nil"/>
          <w:tr2bl w:val="nil"/>
        </w:tcBorders>
      </w:tcPr>
    </w:tblStylePr>
    <w:tblStylePr w:type="neCell">
      <w:tblPr/>
      <w:tcPr>
        <w:tcBorders>
          <w:left w:val="nil"/>
          <w:bottom w:val="nil"/>
          <w:tl2br w:val="nil"/>
          <w:tr2bl w:val="nil"/>
        </w:tcBorders>
      </w:tcPr>
    </w:tblStylePr>
    <w:tblStylePr w:type="nwCell">
      <w:tblPr/>
      <w:tcPr>
        <w:tcBorders>
          <w:left w:val="nil"/>
          <w:right w:val="nil"/>
          <w:tl2br w:val="nil"/>
          <w:tr2bl w:val="nil"/>
        </w:tcBorders>
      </w:tcPr>
    </w:tblStylePr>
    <w:tblStylePr w:type="seCell">
      <w:tblPr/>
      <w:tcPr>
        <w:tcBorders>
          <w:top w:val="nil"/>
          <w:bottom w:val="nil"/>
          <w:tl2br w:val="nil"/>
          <w:tr2bl w:val="nil"/>
        </w:tcBorders>
      </w:tcPr>
    </w:tblStylePr>
    <w:tblStylePr w:type="swCell">
      <w:rPr>
        <w:color w:val="000080"/>
      </w:rPr>
      <w:tblPr/>
      <w:tcPr>
        <w:tcBorders>
          <w:top w:val="nil"/>
          <w:right w:val="nil"/>
          <w:tl2br w:val="nil"/>
          <w:tr2bl w:val="nil"/>
        </w:tcBorders>
      </w:tcPr>
    </w:tblStylePr>
  </w:style>
  <w:style w:type="table" w:styleId="95">
    <w:name w:val="Table 3D effects 2"/>
    <w:basedOn w:val="12"/>
    <w:qFormat/>
    <w:uiPriority w:val="0"/>
    <w:pPr>
      <w:widowControl w:val="0"/>
      <w:jc w:val="both"/>
    </w:pPr>
    <w:tblPr>
      <w:tblStyleRowBandSize w:val="1"/>
    </w:tblPr>
    <w:tcPr>
      <w:shd w:val="solid" w:color="C0C0C0" w:fill="FFFFFF"/>
    </w:tc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6">
    <w:name w:val="Table 3D effects 3"/>
    <w:basedOn w:val="12"/>
    <w:qFormat/>
    <w:uiPriority w:val="0"/>
    <w:pPr>
      <w:widowControl w:val="0"/>
      <w:jc w:val="both"/>
    </w:pPr>
    <w:tblPr>
      <w:tblStyleRowBandSize w:val="1"/>
      <w:tblStyleColBandSize w:val="1"/>
    </w:tblPr>
    <w:tblStylePr w:type="firstRow">
      <w:rPr>
        <w:b/>
        <w:bCs/>
      </w:rPr>
      <w:tblPr/>
      <w:tcPr>
        <w:tcBorders>
          <w:tl2br w:val="nil"/>
          <w:tr2bl w:val="nil"/>
        </w:tcBorders>
      </w:tcPr>
    </w:tblStylePr>
    <w:tblStylePr w:type="firstCol">
      <w:tblPr/>
      <w:tcPr>
        <w:tcBorders>
          <w:top w:val="nil"/>
          <w:left w:val="nil"/>
          <w:right w:val="single" w:color="808080" w:sz="6" w:space="0"/>
          <w:tl2br w:val="nil"/>
          <w:tr2bl w:val="nil"/>
        </w:tcBorders>
      </w:tcPr>
    </w:tblStylePr>
    <w:tblStylePr w:type="lastCol">
      <w:tblPr/>
      <w:tcPr>
        <w:tcBorders>
          <w:right w:val="single" w:color="FFFFFF" w:sz="6" w:space="0"/>
          <w:tl2br w:val="nil"/>
          <w:tr2bl w:val="nil"/>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left w:val="single" w:color="FFFFFF" w:sz="6" w:space="0"/>
          <w:tl2br w:val="nil"/>
          <w:tr2bl w:val="nil"/>
        </w:tcBorders>
      </w:tcPr>
    </w:tblStylePr>
    <w:tblStylePr w:type="swCell">
      <w:rPr>
        <w:b/>
        <w:bCs/>
      </w:rPr>
      <w:tblPr/>
      <w:tcPr>
        <w:tcBorders>
          <w:tl2br w:val="nil"/>
          <w:tr2bl w:val="nil"/>
        </w:tcBorders>
      </w:tcPr>
    </w:tblStylePr>
  </w:style>
  <w:style w:type="table" w:styleId="97">
    <w:name w:val="Table Classic 1"/>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i/>
        <w:i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tblPr/>
      <w:tcPr>
        <w:tcBorders>
          <w:right w:val="single" w:color="000000" w:sz="6" w:space="0"/>
          <w:tl2br w:val="nil"/>
          <w:tr2bl w:val="nil"/>
        </w:tcBorders>
      </w:tcPr>
    </w:tblStylePr>
    <w:tblStylePr w:type="neCell">
      <w:rPr>
        <w:b/>
        <w:bCs/>
        <w:i w:val="0"/>
        <w:iCs w:val="0"/>
      </w:rPr>
      <w:tblPr/>
      <w:tcPr>
        <w:tcBorders>
          <w:tl2br w:val="nil"/>
          <w:tr2bl w:val="nil"/>
        </w:tcBorders>
      </w:tcPr>
    </w:tblStylePr>
    <w:tblStylePr w:type="swCell">
      <w:rPr>
        <w:b/>
        <w:bCs/>
      </w:rPr>
      <w:tblPr/>
      <w:tcPr>
        <w:tcBorders>
          <w:tl2br w:val="nil"/>
          <w:tr2bl w:val="nil"/>
        </w:tcBorders>
      </w:tcPr>
    </w:tblStylePr>
  </w:style>
  <w:style w:type="table" w:styleId="98">
    <w:name w:val="Table Classic 2"/>
    <w:basedOn w:val="12"/>
    <w:qFormat/>
    <w:uiPriority w:val="0"/>
    <w:pPr>
      <w:widowControl w:val="0"/>
      <w:jc w:val="both"/>
    </w:pPr>
    <w:tblPr>
      <w:tblBorders>
        <w:top w:val="single" w:color="000000" w:sz="12" w:space="0"/>
        <w:bottom w:val="single" w:color="000000" w:sz="12" w:space="0"/>
      </w:tblBorders>
    </w:tblPr>
    <w:tcPr>
      <w:shd w:val="clear" w:color="auto" w:fill="auto"/>
    </w:tcPr>
    <w:tblStylePr w:type="firstRow">
      <w:rPr>
        <w:color w:val="FFFFFF"/>
      </w:rPr>
      <w:tblPr/>
      <w:tcPr>
        <w:tcBorders>
          <w:left w:val="single" w:color="000000" w:sz="6" w:space="0"/>
          <w:tl2br w:val="nil"/>
          <w:tr2bl w:val="nil"/>
        </w:tcBorders>
        <w:shd w:val="solid" w:color="800080" w:fill="FFFFFF"/>
      </w:tcPr>
    </w:tblStylePr>
    <w:tblStylePr w:type="lastRow">
      <w:tblPr/>
      <w:tcPr>
        <w:tcBorders>
          <w:top w:val="single" w:color="000000" w:sz="6" w:space="0"/>
          <w:tl2br w:val="nil"/>
          <w:tr2bl w:val="nil"/>
        </w:tcBorders>
      </w:tcPr>
    </w:tblStylePr>
    <w:tblStylePr w:type="firstCol">
      <w:rPr>
        <w:b/>
        <w:bCs/>
      </w:rPr>
      <w:tblPr/>
      <w:tcPr>
        <w:tcBorders>
          <w:tl2br w:val="nil"/>
          <w:tr2bl w:val="nil"/>
        </w:tcBorders>
        <w:shd w:val="solid" w:color="C0C0C0" w:fill="FFFFFF"/>
      </w:tcPr>
    </w:tblStylePr>
    <w:tblStylePr w:type="neCell">
      <w:rPr>
        <w:b/>
        <w:bCs/>
      </w:rPr>
      <w:tblPr/>
      <w:tcPr>
        <w:tcBorders>
          <w:tl2br w:val="nil"/>
          <w:tr2bl w:val="nil"/>
        </w:tcBorders>
      </w:tcPr>
    </w:tblStylePr>
    <w:tblStylePr w:type="nwCell">
      <w:tblPr/>
      <w:tcPr>
        <w:tcBorders>
          <w:tl2br w:val="nil"/>
          <w:tr2bl w:val="nil"/>
        </w:tcBorders>
        <w:shd w:val="solid" w:color="800080" w:fill="FFFFFF"/>
      </w:tcPr>
    </w:tblStylePr>
    <w:tblStylePr w:type="swCell">
      <w:rPr>
        <w:color w:val="000080"/>
      </w:rPr>
      <w:tblPr/>
      <w:tcPr>
        <w:tcBorders>
          <w:tl2br w:val="nil"/>
          <w:tr2bl w:val="nil"/>
        </w:tcBorders>
      </w:tcPr>
    </w:tblStylePr>
  </w:style>
  <w:style w:type="table" w:styleId="99">
    <w:name w:val="Table Classic 3"/>
    <w:basedOn w:val="12"/>
    <w:qFormat/>
    <w:uiPriority w:val="0"/>
    <w:pPr>
      <w:widowControl w:val="0"/>
      <w:jc w:val="both"/>
    </w:pPr>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left w:val="single" w:color="000000" w:sz="6" w:space="0"/>
          <w:tl2br w:val="nil"/>
          <w:tr2bl w:val="nil"/>
        </w:tcBorders>
        <w:shd w:val="solid" w:color="000080" w:fill="FFFFFF"/>
      </w:tcPr>
    </w:tblStylePr>
    <w:tblStylePr w:type="lastRow">
      <w:rPr>
        <w:color w:val="000080"/>
      </w:rPr>
      <w:tblPr/>
      <w:tcPr>
        <w:tcBorders>
          <w:top w:val="single" w:color="000000" w:sz="12" w:space="0"/>
          <w:tl2br w:val="nil"/>
          <w:tr2bl w:val="nil"/>
        </w:tcBorders>
        <w:shd w:val="solid" w:color="FFFFFF" w:fill="FFFFFF"/>
      </w:tcPr>
    </w:tblStylePr>
    <w:tblStylePr w:type="firstCol">
      <w:rPr>
        <w:b/>
        <w:bCs/>
        <w:color w:val="000000"/>
      </w:rPr>
      <w:tblPr/>
      <w:tcPr>
        <w:tcBorders>
          <w:tl2br w:val="nil"/>
          <w:tr2bl w:val="nil"/>
        </w:tcBorders>
      </w:tcPr>
    </w:tblStylePr>
  </w:style>
  <w:style w:type="table" w:styleId="100">
    <w:name w:val="Table Classic 4"/>
    <w:basedOn w:val="12"/>
    <w:uiPriority w:val="0"/>
    <w:pPr>
      <w:widowControl w:val="0"/>
      <w:jc w:val="both"/>
    </w:p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left w:val="single" w:color="000000" w:sz="6" w:space="0"/>
          <w:tl2br w:val="nil"/>
          <w:tr2bl w:val="nil"/>
        </w:tcBorders>
        <w:shd w:val="pct50" w:color="000080" w:fill="FFFFFF"/>
      </w:tcPr>
    </w:tblStylePr>
    <w:tblStylePr w:type="lastRow">
      <w:rPr>
        <w:color w:val="000080"/>
      </w:rPr>
      <w:tblPr/>
      <w:tcPr>
        <w:tcBorders>
          <w:left w:val="single" w:color="000000" w:sz="6" w:space="0"/>
          <w:tl2br w:val="nil"/>
          <w:tr2bl w:val="nil"/>
        </w:tcBorders>
        <w:shd w:val="pct50" w:color="000000" w:fill="FFFFFF"/>
      </w:tcPr>
    </w:tblStylePr>
    <w:tblStylePr w:type="firstCol">
      <w:rPr>
        <w:b/>
        <w:bCs/>
      </w:rPr>
      <w:tblPr/>
      <w:tcPr>
        <w:tcBorders>
          <w:tl2br w:val="nil"/>
          <w:tr2bl w:val="nil"/>
        </w:tcBorders>
      </w:tcPr>
    </w:tblStylePr>
    <w:tblStylePr w:type="nwCell">
      <w:rPr>
        <w:b/>
        <w:bCs/>
      </w:rPr>
      <w:tblPr/>
      <w:tcPr>
        <w:tcBorders>
          <w:tl2br w:val="nil"/>
          <w:tr2bl w:val="nil"/>
        </w:tcBorders>
      </w:tcPr>
    </w:tblStylePr>
    <w:tblStylePr w:type="swCell">
      <w:rPr>
        <w:color w:val="000080"/>
      </w:rPr>
      <w:tblPr/>
      <w:tcPr>
        <w:tcBorders>
          <w:tl2br w:val="nil"/>
          <w:tr2bl w:val="nil"/>
        </w:tcBorders>
      </w:tcPr>
    </w:tblStylePr>
  </w:style>
  <w:style w:type="table" w:styleId="101">
    <w:name w:val="Table Colorful 1"/>
    <w:basedOn w:val="12"/>
    <w:qFormat/>
    <w:uiPriority w:val="0"/>
    <w:pPr>
      <w:widowControl w:val="0"/>
      <w:jc w:val="both"/>
    </w:pPr>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il"/>
          <w:tr2bl w:val="nil"/>
        </w:tcBorders>
        <w:shd w:val="solid" w:color="000000" w:fill="FFFFFF"/>
      </w:tcPr>
    </w:tblStylePr>
    <w:tblStylePr w:type="firstCol">
      <w:rPr>
        <w:b/>
        <w:bCs/>
        <w:i/>
        <w:iCs/>
      </w:rPr>
      <w:tblPr/>
      <w:tcPr>
        <w:tcBorders>
          <w:tl2br w:val="nil"/>
          <w:tr2bl w:val="nil"/>
        </w:tcBorders>
        <w:shd w:val="solid" w:color="000080" w:fill="FFFFFF"/>
      </w:tcPr>
    </w:tblStylePr>
    <w:tblStylePr w:type="nwCell">
      <w:tblPr/>
      <w:tcPr>
        <w:tcBorders>
          <w:tl2br w:val="nil"/>
          <w:tr2bl w:val="nil"/>
        </w:tcBorders>
        <w:shd w:val="solid" w:color="000000" w:fill="FFFFFF"/>
      </w:tcPr>
    </w:tblStylePr>
    <w:tblStylePr w:type="swCell">
      <w:rPr>
        <w:b/>
        <w:bCs/>
        <w:i w:val="0"/>
        <w:iCs w:val="0"/>
      </w:rPr>
      <w:tblPr/>
      <w:tcPr>
        <w:tcBorders>
          <w:tl2br w:val="nil"/>
          <w:tr2bl w:val="nil"/>
        </w:tcBorders>
      </w:tcPr>
    </w:tblStylePr>
  </w:style>
  <w:style w:type="table" w:styleId="102">
    <w:name w:val="Table Colorful 2"/>
    <w:basedOn w:val="12"/>
    <w:uiPriority w:val="0"/>
    <w:pPr>
      <w:widowControl w:val="0"/>
      <w:jc w:val="both"/>
    </w:pPr>
    <w:tblPr>
      <w:tblBorders>
        <w:bottom w:val="single" w:color="000000" w:sz="12" w:space="0"/>
      </w:tblBorders>
    </w:tblPr>
    <w:tcPr>
      <w:shd w:val="pct20" w:color="FFFF00" w:fill="FFFFFF"/>
    </w:tcPr>
    <w:tblStylePr w:type="firstRow">
      <w:rPr>
        <w:b/>
        <w:bCs/>
        <w:i/>
        <w:iCs/>
        <w:color w:val="FFFFFF"/>
      </w:rPr>
      <w:tblPr/>
      <w:tcPr>
        <w:tcBorders>
          <w:left w:val="single" w:color="000000" w:sz="12" w:space="0"/>
          <w:tl2br w:val="nil"/>
          <w:tr2bl w:val="nil"/>
        </w:tcBorders>
        <w:shd w:val="solid" w:color="800000" w:fill="FFFFFF"/>
      </w:tcPr>
    </w:tblStylePr>
    <w:tblStylePr w:type="firstCol">
      <w:rPr>
        <w:b/>
        <w:bCs/>
        <w:i/>
        <w:iCs/>
      </w:rPr>
      <w:tblPr/>
      <w:tcPr>
        <w:tcBorders>
          <w:tl2br w:val="nil"/>
          <w:tr2bl w:val="nil"/>
        </w:tcBorders>
      </w:tcPr>
    </w:tblStylePr>
    <w:tblStylePr w:type="lastCol">
      <w:tblPr/>
      <w:tcPr>
        <w:tcBorders>
          <w:tl2br w:val="nil"/>
          <w:tr2bl w:val="nil"/>
        </w:tcBorders>
        <w:shd w:val="solid" w:color="C0C0C0" w:fill="FFFFFF"/>
      </w:tcPr>
    </w:tblStylePr>
    <w:tblStylePr w:type="swCell">
      <w:rPr>
        <w:b/>
        <w:bCs/>
        <w:i w:val="0"/>
        <w:iCs w:val="0"/>
      </w:rPr>
      <w:tblPr/>
      <w:tcPr>
        <w:tcBorders>
          <w:tl2br w:val="nil"/>
          <w:tr2bl w:val="nil"/>
        </w:tcBorders>
      </w:tcPr>
    </w:tblStylePr>
  </w:style>
  <w:style w:type="table" w:styleId="103">
    <w:name w:val="Table Colorful 3"/>
    <w:basedOn w:val="12"/>
    <w:qFormat/>
    <w:uiPriority w:val="0"/>
    <w:pPr>
      <w:widowControl w:val="0"/>
      <w:jc w:val="both"/>
    </w:p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left w:val="single" w:color="000000" w:sz="6" w:space="0"/>
          <w:tl2br w:val="nil"/>
          <w:tr2bl w:val="nil"/>
        </w:tcBorders>
        <w:shd w:val="solid" w:color="008080" w:fill="FFFFFF"/>
      </w:tcPr>
    </w:tblStylePr>
    <w:tblStylePr w:type="firstCol">
      <w:tblPr/>
      <w:tcPr>
        <w:tcBorders>
          <w:bottom w:val="single" w:color="000000" w:sz="36" w:space="0"/>
          <w:right w:val="single" w:color="000000" w:sz="6" w:space="0"/>
          <w:tl2br w:val="nil"/>
          <w:tr2bl w:val="nil"/>
        </w:tcBorders>
        <w:shd w:val="solid" w:color="008080" w:fill="FFFFFF"/>
      </w:tcPr>
    </w:tblStylePr>
    <w:tblStylePr w:type="nwCell">
      <w:rPr>
        <w:b/>
        <w:bCs/>
        <w:color w:val="FFFFFF"/>
      </w:rPr>
      <w:tblPr/>
      <w:tcPr>
        <w:tcBorders>
          <w:tl2br w:val="nil"/>
          <w:tr2bl w:val="nil"/>
        </w:tcBorders>
        <w:shd w:val="solid" w:color="000000" w:fill="FFFFFF"/>
      </w:tcPr>
    </w:tblStylePr>
  </w:style>
  <w:style w:type="table" w:styleId="104">
    <w:name w:val="Table Columns 1"/>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left w:val="double" w:color="000000" w:sz="6" w:space="0"/>
          <w:tl2br w:val="nil"/>
          <w:tr2bl w:val="nil"/>
        </w:tcBorders>
      </w:tcPr>
    </w:tblStylePr>
    <w:tblStylePr w:type="lastRow">
      <w:rPr>
        <w:b w:val="0"/>
        <w:bCs w:val="0"/>
      </w:rPr>
      <w:tblPr/>
      <w:tcPr>
        <w:tcBorders>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5">
    <w:name w:val="Table Columns 2"/>
    <w:basedOn w:val="12"/>
    <w:uiPriority w:val="0"/>
    <w:pPr>
      <w:widowControl w:val="0"/>
      <w:jc w:val="both"/>
    </w:pPr>
    <w:rPr>
      <w:b/>
      <w:bCs/>
    </w:rPr>
    <w:tblPr>
      <w:tblStyleColBandSize w:val="1"/>
    </w:tblPr>
    <w:tblStylePr w:type="firstRow">
      <w:rPr>
        <w:color w:val="FFFFFF"/>
      </w:rPr>
      <w:tblPr/>
      <w:tcPr>
        <w:tcBorders>
          <w:tl2br w:val="nil"/>
          <w:tr2bl w:val="nil"/>
        </w:tcBorders>
        <w:shd w:val="solid" w:color="000080" w:fill="FFFFFF"/>
      </w:tcPr>
    </w:tblStylePr>
    <w:tblStylePr w:type="lastRow">
      <w:rPr>
        <w:b w:val="0"/>
        <w:bCs w:val="0"/>
      </w:rPr>
      <w:tblPr/>
      <w:tcPr>
        <w:tcBorders>
          <w:tl2br w:val="nil"/>
          <w:tr2bl w:val="nil"/>
        </w:tcBorders>
      </w:tcPr>
    </w:tblStylePr>
    <w:tblStylePr w:type="firstCol">
      <w:rPr>
        <w:b w:val="0"/>
        <w:bCs w:val="0"/>
        <w:color w:val="00000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06">
    <w:name w:val="Table Columns 3"/>
    <w:basedOn w:val="12"/>
    <w:qFormat/>
    <w:uiPriority w:val="0"/>
    <w:pPr>
      <w:widowControl w:val="0"/>
      <w:jc w:val="both"/>
    </w:pPr>
    <w:rPr>
      <w:b/>
      <w:bCs/>
    </w:rPr>
    <w:tblPr>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il"/>
          <w:tr2bl w:val="nil"/>
        </w:tcBorders>
        <w:shd w:val="solid" w:color="000080" w:fill="FFFFFF"/>
      </w:tcPr>
    </w:tblStylePr>
    <w:tblStylePr w:type="lastRow">
      <w:rPr>
        <w:b w:val="0"/>
        <w:bCs w:val="0"/>
      </w:rPr>
      <w:tblPr/>
      <w:tcPr>
        <w:tcBorders>
          <w:top w:val="single" w:color="00008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il"/>
          <w:tr2bl w:val="nil"/>
        </w:tcBorders>
      </w:tcPr>
    </w:tblStylePr>
  </w:style>
  <w:style w:type="table" w:styleId="107">
    <w:name w:val="Table Columns 4"/>
    <w:basedOn w:val="12"/>
    <w:qFormat/>
    <w:uiPriority w:val="0"/>
    <w:pPr>
      <w:widowControl w:val="0"/>
      <w:jc w:val="both"/>
    </w:pPr>
    <w:tblPr>
      <w:tblStyleColBandSize w:val="1"/>
    </w:tblPr>
    <w:tblStylePr w:type="firstRow">
      <w:rPr>
        <w:color w:val="FFFFFF"/>
      </w:rPr>
      <w:tblPr/>
      <w:tcPr>
        <w:tcBorders>
          <w:tl2br w:val="nil"/>
          <w:tr2bl w:val="nil"/>
        </w:tcBorders>
        <w:shd w:val="solid" w:color="0000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108">
    <w:name w:val="Table Columns 5"/>
    <w:basedOn w:val="12"/>
    <w:qFormat/>
    <w:uiPriority w:val="0"/>
    <w:pPr>
      <w:widowControl w:val="0"/>
      <w:jc w:val="both"/>
    </w:pPr>
    <w:tblPr>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left w:val="single" w:color="808080" w:sz="6" w:space="0"/>
          <w:tl2br w:val="nil"/>
          <w:tr2bl w:val="nil"/>
        </w:tcBorders>
      </w:tcPr>
    </w:tblStylePr>
    <w:tblStylePr w:type="lastRow">
      <w:rPr>
        <w:b/>
        <w:bCs/>
      </w:rPr>
      <w:tblPr/>
      <w:tcPr>
        <w:tcBorders>
          <w:top w:val="single" w:color="80808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Vert">
      <w:rPr>
        <w:color w:val="auto"/>
      </w:rPr>
      <w:tblPr/>
      <w:tcPr>
        <w:shd w:val="solid" w:color="C0C0C0" w:fill="FFFFFF"/>
      </w:tcPr>
    </w:tblStylePr>
    <w:tblStylePr w:type="band2Vert">
      <w:rPr>
        <w:color w:val="auto"/>
      </w:rPr>
    </w:tblStylePr>
  </w:style>
  <w:style w:type="table" w:styleId="109">
    <w:name w:val="Table Contemporary"/>
    <w:basedOn w:val="12"/>
    <w:qFormat/>
    <w:uiPriority w:val="0"/>
    <w:pPr>
      <w:widowControl w:val="0"/>
      <w:jc w:val="both"/>
    </w:pPr>
    <w:tblPr>
      <w:tblBorders>
        <w:insideH w:val="single" w:color="FFFFFF" w:sz="18" w:space="0"/>
        <w:insideV w:val="single" w:color="FFFFFF" w:sz="18" w:space="0"/>
      </w:tblBorders>
    </w:tblPr>
    <w:tblStylePr w:type="firstRow">
      <w:rPr>
        <w:b/>
        <w:bCs/>
        <w:color w:val="auto"/>
      </w:rPr>
      <w:tblPr/>
      <w:tcPr>
        <w:tcBorders>
          <w:tl2br w:val="nil"/>
          <w:tr2bl w:val="nil"/>
        </w:tcBorders>
        <w:shd w:val="pct20" w:color="000000" w:fill="FFFFFF"/>
      </w:tcPr>
    </w:tblStylePr>
    <w:tblStylePr w:type="band1Horz">
      <w:rPr>
        <w:color w:val="auto"/>
      </w:rPr>
      <w:tblPr/>
      <w:tcPr>
        <w:tcBorders>
          <w:tl2br w:val="nil"/>
          <w:tr2bl w:val="nil"/>
        </w:tcBorders>
        <w:shd w:val="pct5" w:color="000000" w:fill="FFFFFF"/>
      </w:tcPr>
    </w:tblStylePr>
    <w:tblStylePr w:type="band2Horz">
      <w:rPr>
        <w:color w:val="auto"/>
      </w:rPr>
      <w:tblPr/>
      <w:tcPr>
        <w:tcBorders>
          <w:tl2br w:val="nil"/>
          <w:tr2bl w:val="nil"/>
        </w:tcBorders>
        <w:shd w:val="pct20" w:color="000000" w:fill="FFFFFF"/>
      </w:tcPr>
    </w:tblStylePr>
  </w:style>
  <w:style w:type="table" w:styleId="110">
    <w:name w:val="Table Elegant"/>
    <w:basedOn w:val="12"/>
    <w:qFormat/>
    <w:uiPriority w:val="0"/>
    <w:pPr>
      <w:widowControl w:val="0"/>
      <w:jc w:val="both"/>
    </w:p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il"/>
          <w:tr2bl w:val="nil"/>
        </w:tcBorders>
      </w:tcPr>
    </w:tblStylePr>
  </w:style>
  <w:style w:type="table" w:styleId="111">
    <w:name w:val="Table Grid"/>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12">
    <w:name w:val="Table Grid 1"/>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il"/>
          <w:tr2bl w:val="nil"/>
        </w:tcBorders>
      </w:tcPr>
    </w:tblStylePr>
    <w:tblStylePr w:type="lastCol">
      <w:rPr>
        <w:i/>
        <w:iCs/>
      </w:rPr>
      <w:tblPr/>
      <w:tcPr>
        <w:tcBorders>
          <w:tl2br w:val="nil"/>
          <w:tr2bl w:val="nil"/>
        </w:tcBorders>
      </w:tcPr>
    </w:tblStylePr>
    <w:tblStylePr w:type="nwCell">
      <w:tblPr/>
      <w:tcPr>
        <w:tcBorders>
          <w:tl2br w:val="single" w:color="000000" w:sz="6" w:space="0"/>
          <w:tr2bl w:val="nil"/>
        </w:tcBorders>
      </w:tcPr>
    </w:tblStylePr>
  </w:style>
  <w:style w:type="table" w:styleId="113">
    <w:name w:val="Table Grid 2"/>
    <w:basedOn w:val="12"/>
    <w:uiPriority w:val="0"/>
    <w:pPr>
      <w:widowControl w:val="0"/>
      <w:jc w:val="both"/>
    </w:pPr>
    <w:tblPr>
      <w:tblBorders>
        <w:insideH w:val="single" w:color="000000" w:sz="6" w:space="0"/>
        <w:insideV w:val="single" w:color="000000" w:sz="6" w:space="0"/>
      </w:tblBorders>
    </w:tblPr>
    <w:tcPr>
      <w:shd w:val="clear" w:color="auto" w:fill="auto"/>
    </w:tcPr>
    <w:tblStylePr w:type="firstRow">
      <w:rPr>
        <w:b/>
        <w:bCs/>
      </w:rPr>
      <w:tblPr/>
      <w:tcPr>
        <w:tcBorders>
          <w:tl2br w:val="nil"/>
          <w:tr2bl w:val="nil"/>
        </w:tcBorders>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style>
  <w:style w:type="table" w:styleId="114">
    <w:name w:val="Table Grid 3"/>
    <w:basedOn w:val="12"/>
    <w:qFormat/>
    <w:uiPriority w:val="0"/>
    <w:pPr>
      <w:widowControl w:val="0"/>
      <w:jc w:val="both"/>
    </w:p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left w:val="single" w:color="000000" w:sz="6" w:space="0"/>
          <w:tl2br w:val="nil"/>
          <w:tr2bl w:val="nil"/>
        </w:tcBorders>
        <w:shd w:val="pct30" w:color="FFFF00" w:fill="FFFFFF"/>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5">
    <w:name w:val="Table Grid 4"/>
    <w:basedOn w:val="12"/>
    <w:uiPriority w:val="0"/>
    <w:pPr>
      <w:widowControl w:val="0"/>
      <w:jc w:val="both"/>
    </w:p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left w:val="single" w:color="000000" w:sz="6" w:space="0"/>
          <w:tl2br w:val="nil"/>
          <w:tr2bl w:val="nil"/>
        </w:tcBorders>
        <w:shd w:val="pct30" w:color="FFFF00" w:fill="FFFFFF"/>
      </w:tcPr>
    </w:tblStylePr>
    <w:tblStylePr w:type="lastRow">
      <w:rPr>
        <w:b/>
        <w:bCs/>
        <w:color w:val="auto"/>
      </w:rPr>
      <w:tblPr/>
      <w:tcPr>
        <w:tcBorders>
          <w:top w:val="single" w:color="000000" w:sz="6" w:space="0"/>
          <w:tl2br w:val="nil"/>
          <w:tr2bl w:val="nil"/>
        </w:tcBorders>
        <w:shd w:val="pct30" w:color="FFFF00" w:fill="FFFFFF"/>
      </w:tcPr>
    </w:tblStylePr>
    <w:tblStylePr w:type="lastCol">
      <w:rPr>
        <w:b/>
        <w:bCs/>
        <w:color w:val="auto"/>
      </w:rPr>
      <w:tblPr/>
      <w:tcPr>
        <w:tcBorders>
          <w:tl2br w:val="nil"/>
          <w:tr2bl w:val="nil"/>
        </w:tcBorders>
      </w:tcPr>
    </w:tblStylePr>
  </w:style>
  <w:style w:type="table" w:styleId="116">
    <w:name w:val="Table Grid 5"/>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left w:val="single" w:color="000000" w:sz="12" w:space="0"/>
          <w:tl2br w:val="nil"/>
          <w:tr2bl w:val="nil"/>
        </w:tcBorders>
      </w:tcPr>
    </w:tblStylePr>
    <w:tblStylePr w:type="lastRow">
      <w:rPr>
        <w:b/>
        <w:bCs/>
      </w:rPr>
      <w:tblPr/>
      <w:tcPr>
        <w:tcBorders>
          <w:tl2br w:val="nil"/>
          <w:tr2bl w:val="nil"/>
        </w:tcBorders>
      </w:tcPr>
    </w:tblStylePr>
    <w:tblStylePr w:type="lastCol">
      <w:rPr>
        <w:b/>
        <w:bCs/>
      </w:rPr>
      <w:tblPr/>
      <w:tcPr>
        <w:tcBorders>
          <w:tl2br w:val="nil"/>
          <w:tr2bl w:val="nil"/>
        </w:tcBorders>
      </w:tcPr>
    </w:tblStylePr>
    <w:tblStylePr w:type="nwCell">
      <w:tblPr/>
      <w:tcPr>
        <w:tcBorders>
          <w:tl2br w:val="single" w:color="000000" w:sz="6" w:space="0"/>
          <w:tr2bl w:val="nil"/>
        </w:tcBorders>
      </w:tcPr>
    </w:tblStylePr>
  </w:style>
  <w:style w:type="table" w:styleId="117">
    <w:name w:val="Table Grid 6"/>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left w:val="single" w:color="000000" w:sz="6" w:space="0"/>
          <w:tl2br w:val="nil"/>
          <w:tr2bl w:val="nil"/>
        </w:tcBorders>
      </w:tcPr>
    </w:tblStylePr>
    <w:tblStylePr w:type="lastRow">
      <w:rPr>
        <w:color w:val="auto"/>
      </w:rPr>
      <w:tblPr/>
      <w:tcPr>
        <w:tcBorders>
          <w:top w:val="single" w:color="000000" w:sz="6" w:space="0"/>
          <w:tl2br w:val="nil"/>
          <w:tr2bl w:val="nil"/>
        </w:tcBorders>
      </w:tcPr>
    </w:tblStylePr>
    <w:tblStylePr w:type="firstCol">
      <w:rPr>
        <w:b/>
        <w:bCs/>
      </w:rPr>
      <w:tblPr/>
      <w:tcPr>
        <w:tcBorders>
          <w:tl2br w:val="nil"/>
          <w:tr2bl w:val="nil"/>
        </w:tcBorders>
      </w:tcPr>
    </w:tblStylePr>
    <w:tblStylePr w:type="nwCell">
      <w:tblPr/>
      <w:tcPr>
        <w:tcBorders>
          <w:tl2br w:val="single" w:color="000000" w:sz="6" w:space="0"/>
          <w:tr2bl w:val="nil"/>
        </w:tcBorders>
      </w:tcPr>
    </w:tblStylePr>
  </w:style>
  <w:style w:type="table" w:styleId="118">
    <w:name w:val="Table Grid 7"/>
    <w:basedOn w:val="12"/>
    <w:qFormat/>
    <w:uiPriority w:val="0"/>
    <w:pPr>
      <w:widowControl w:val="0"/>
      <w:jc w:val="both"/>
    </w:pPr>
    <w:rPr>
      <w:b/>
      <w:bCs/>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left w:val="single" w:color="000000" w:sz="12" w:space="0"/>
          <w:tl2br w:val="nil"/>
          <w:tr2bl w:val="nil"/>
        </w:tcBorders>
      </w:tcPr>
    </w:tblStylePr>
    <w:tblStylePr w:type="lastRow">
      <w:rPr>
        <w:b w:val="0"/>
        <w:bCs w:val="0"/>
      </w:rPr>
      <w:tblPr/>
      <w:tcPr>
        <w:tcBorders>
          <w:top w:val="single" w:color="000000" w:sz="6" w:space="0"/>
          <w:tl2br w:val="nil"/>
          <w:tr2bl w:val="nil"/>
        </w:tcBorders>
      </w:tcPr>
    </w:tblStylePr>
    <w:tblStylePr w:type="firstCol">
      <w:rPr>
        <w:b w:val="0"/>
        <w:bCs w:val="0"/>
      </w:rPr>
      <w:tblPr/>
      <w:tcPr>
        <w:tcBorders>
          <w:tl2br w:val="nil"/>
          <w:tr2bl w:val="nil"/>
        </w:tcBorders>
      </w:tcPr>
    </w:tblStylePr>
    <w:tblStylePr w:type="lastCol">
      <w:rPr>
        <w:b w:val="0"/>
        <w:bCs w:val="0"/>
      </w:rPr>
      <w:tblPr/>
      <w:tcPr>
        <w:tcBorders>
          <w:tl2br w:val="nil"/>
          <w:tr2bl w:val="nil"/>
        </w:tcBorders>
      </w:tcPr>
    </w:tblStylePr>
    <w:tblStylePr w:type="nwCell">
      <w:tblPr/>
      <w:tcPr>
        <w:tcBorders>
          <w:tl2br w:val="single" w:color="000000" w:sz="6" w:space="0"/>
          <w:tr2bl w:val="nil"/>
        </w:tcBorders>
      </w:tcPr>
    </w:tblStylePr>
  </w:style>
  <w:style w:type="table" w:styleId="119">
    <w:name w:val="Table Grid 8"/>
    <w:basedOn w:val="12"/>
    <w:qFormat/>
    <w:uiPriority w:val="0"/>
    <w:pPr>
      <w:widowControl w:val="0"/>
      <w:jc w:val="both"/>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il"/>
          <w:tr2bl w:val="nil"/>
        </w:tcBorders>
        <w:shd w:val="solid" w:color="000080" w:fill="FFFFFF"/>
      </w:tcPr>
    </w:tblStylePr>
    <w:tblStylePr w:type="lastRow">
      <w:rPr>
        <w:b/>
        <w:bCs/>
        <w:color w:val="auto"/>
      </w:rPr>
      <w:tblPr/>
      <w:tcPr>
        <w:tcBorders>
          <w:tl2br w:val="nil"/>
          <w:tr2bl w:val="nil"/>
        </w:tcBorders>
      </w:tcPr>
    </w:tblStylePr>
    <w:tblStylePr w:type="lastCol">
      <w:rPr>
        <w:b/>
        <w:bCs/>
        <w:color w:val="auto"/>
      </w:rPr>
      <w:tblPr/>
      <w:tcPr>
        <w:tcBorders>
          <w:tl2br w:val="nil"/>
          <w:tr2bl w:val="nil"/>
        </w:tcBorders>
      </w:tcPr>
    </w:tblStylePr>
  </w:style>
  <w:style w:type="table" w:styleId="120">
    <w:name w:val="Table List 1"/>
    <w:basedOn w:val="12"/>
    <w:qFormat/>
    <w:uiPriority w:val="0"/>
    <w:pPr>
      <w:widowControl w:val="0"/>
      <w:jc w:val="both"/>
    </w:pPr>
    <w:tblPr>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left w:val="single" w:color="000000" w:sz="6" w:space="0"/>
          <w:tl2br w:val="nil"/>
          <w:tr2bl w:val="nil"/>
        </w:tcBorders>
        <w:shd w:val="solid" w:color="C0C0C0" w:fill="FFFFFF"/>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solid" w:color="C0C0C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1">
    <w:name w:val="Table List 2"/>
    <w:basedOn w:val="12"/>
    <w:qFormat/>
    <w:uiPriority w:val="0"/>
    <w:pPr>
      <w:widowControl w:val="0"/>
      <w:jc w:val="both"/>
    </w:pPr>
    <w:tblPr>
      <w:tblBorders>
        <w:bottom w:val="single" w:color="808080" w:sz="12" w:space="0"/>
      </w:tblBorders>
    </w:tblPr>
    <w:tblStylePr w:type="firstRow">
      <w:rPr>
        <w:b/>
        <w:bCs/>
        <w:color w:val="FFFFFF"/>
      </w:rPr>
      <w:tblPr/>
      <w:tcPr>
        <w:tcBorders>
          <w:left w:val="single" w:color="000000" w:sz="6" w:space="0"/>
          <w:tl2br w:val="nil"/>
          <w:tr2bl w:val="nil"/>
        </w:tcBorders>
        <w:shd w:val="pct75" w:color="008080" w:fill="008000"/>
      </w:tcPr>
    </w:tblStylePr>
    <w:tblStylePr w:type="lastRow">
      <w:tblPr/>
      <w:tcPr>
        <w:tcBorders>
          <w:top w:val="single" w:color="000000" w:sz="6" w:space="0"/>
          <w:tl2br w:val="nil"/>
          <w:tr2bl w:val="nil"/>
        </w:tcBorders>
      </w:tcPr>
    </w:tblStylePr>
    <w:tblStylePr w:type="band1Horz">
      <w:rPr>
        <w:color w:val="auto"/>
      </w:rPr>
      <w:tblPr/>
      <w:tcPr>
        <w:tcBorders>
          <w:tl2br w:val="nil"/>
          <w:tr2bl w:val="nil"/>
        </w:tcBorders>
        <w:shd w:val="pct20" w:color="00FF00" w:fill="FFFFFF"/>
      </w:tcPr>
    </w:tblStylePr>
    <w:tblStylePr w:type="band2Horz">
      <w:rPr>
        <w:color w:val="auto"/>
      </w:rPr>
      <w:tblPr/>
      <w:tcPr>
        <w:tcBorders>
          <w:tl2br w:val="nil"/>
          <w:tr2bl w:val="nil"/>
        </w:tcBorders>
      </w:tcPr>
    </w:tblStylePr>
    <w:tblStylePr w:type="swCell">
      <w:rPr>
        <w:b/>
        <w:bCs/>
      </w:rPr>
      <w:tblPr/>
      <w:tcPr>
        <w:tcBorders>
          <w:tl2br w:val="nil"/>
          <w:tr2bl w:val="nil"/>
        </w:tcBorders>
      </w:tcPr>
    </w:tblStylePr>
  </w:style>
  <w:style w:type="table" w:styleId="122">
    <w:name w:val="Table List 3"/>
    <w:basedOn w:val="12"/>
    <w:qFormat/>
    <w:uiPriority w:val="0"/>
    <w:pPr>
      <w:widowControl w:val="0"/>
      <w:jc w:val="both"/>
    </w:p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swCell">
      <w:rPr>
        <w:i/>
        <w:iCs/>
        <w:color w:val="000080"/>
      </w:rPr>
      <w:tblPr/>
      <w:tcPr>
        <w:tcBorders>
          <w:tl2br w:val="nil"/>
          <w:tr2bl w:val="nil"/>
        </w:tcBorders>
      </w:tcPr>
    </w:tblStylePr>
  </w:style>
  <w:style w:type="table" w:styleId="123">
    <w:name w:val="Table List 4"/>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left w:val="single" w:color="000000" w:sz="12" w:space="0"/>
          <w:tl2br w:val="nil"/>
          <w:tr2bl w:val="nil"/>
        </w:tcBorders>
        <w:shd w:val="solid" w:color="808080" w:fill="FFFFFF"/>
      </w:tcPr>
    </w:tblStylePr>
  </w:style>
  <w:style w:type="table" w:styleId="124">
    <w:name w:val="Table List 5"/>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left w:val="single" w:color="000000" w:sz="12" w:space="0"/>
          <w:tl2br w:val="nil"/>
          <w:tr2bl w:val="nil"/>
        </w:tcBorders>
      </w:tcPr>
    </w:tblStylePr>
    <w:tblStylePr w:type="firstCol">
      <w:rPr>
        <w:b/>
        <w:bCs/>
      </w:rPr>
      <w:tblPr/>
      <w:tcPr>
        <w:tcBorders>
          <w:tl2br w:val="nil"/>
          <w:tr2bl w:val="nil"/>
        </w:tcBorders>
      </w:tcPr>
    </w:tblStylePr>
  </w:style>
  <w:style w:type="table" w:styleId="125">
    <w:name w:val="Table List 6"/>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left w:val="single" w:color="000000" w:sz="12" w:space="0"/>
          <w:tl2br w:val="nil"/>
          <w:tr2bl w:val="nil"/>
        </w:tcBorders>
      </w:tcPr>
    </w:tblStylePr>
    <w:tblStylePr w:type="firstCol">
      <w:rPr>
        <w:b/>
        <w:bCs/>
      </w:rPr>
      <w:tblPr/>
      <w:tcPr>
        <w:tcBorders>
          <w:right w:val="single" w:color="000000" w:sz="12" w:space="0"/>
          <w:tl2br w:val="nil"/>
          <w:tr2bl w:val="nil"/>
        </w:tcBorders>
      </w:tcPr>
    </w:tblStylePr>
    <w:tblStylePr w:type="band1Horz">
      <w:tblPr/>
      <w:tcPr>
        <w:tcBorders>
          <w:tl2br w:val="nil"/>
          <w:tr2bl w:val="nil"/>
        </w:tcBorders>
        <w:shd w:val="pct25" w:color="000000" w:fill="FFFFFF"/>
      </w:tcPr>
    </w:tblStylePr>
    <w:tblStylePr w:type="nwCell">
      <w:tblPr/>
      <w:tcPr>
        <w:tcBorders>
          <w:tl2br w:val="single" w:color="000000" w:sz="6" w:space="0"/>
          <w:tr2bl w:val="nil"/>
        </w:tcBorders>
      </w:tcPr>
    </w:tblStylePr>
  </w:style>
  <w:style w:type="table" w:styleId="126">
    <w:name w:val="Table List 7"/>
    <w:basedOn w:val="12"/>
    <w:qFormat/>
    <w:uiPriority w:val="0"/>
    <w:pPr>
      <w:widowControl w:val="0"/>
      <w:jc w:val="both"/>
    </w:pPr>
    <w:tblPr>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left w:val="single" w:color="008000" w:sz="12" w:space="0"/>
          <w:tl2br w:val="nil"/>
          <w:tr2bl w:val="nil"/>
        </w:tcBorders>
        <w:shd w:val="solid" w:color="C0C0C0" w:fill="FFFFFF"/>
      </w:tcPr>
    </w:tblStylePr>
    <w:tblStylePr w:type="lastRow">
      <w:rPr>
        <w:b/>
        <w:bCs/>
      </w:rPr>
      <w:tblPr/>
      <w:tcPr>
        <w:tcBorders>
          <w:top w:val="single" w:color="008000" w:sz="12"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0" w:color="000000" w:fill="FFFFFF"/>
      </w:tcPr>
    </w:tblStylePr>
    <w:tblStylePr w:type="band2Horz">
      <w:tblPr/>
      <w:tcPr>
        <w:tcBorders>
          <w:tl2br w:val="nil"/>
          <w:tr2bl w:val="nil"/>
        </w:tcBorders>
        <w:shd w:val="pct25" w:color="FFFF00" w:fill="FFFFFF"/>
      </w:tcPr>
    </w:tblStylePr>
  </w:style>
  <w:style w:type="table" w:styleId="127">
    <w:name w:val="Table List 8"/>
    <w:basedOn w:val="12"/>
    <w:uiPriority w:val="0"/>
    <w:pPr>
      <w:widowControl w:val="0"/>
      <w:jc w:val="both"/>
    </w:pPr>
    <w:tblPr>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left w:val="single" w:color="000000" w:sz="6" w:space="0"/>
          <w:tl2br w:val="nil"/>
          <w:tr2bl w:val="nil"/>
        </w:tcBorders>
        <w:shd w:val="solid" w:color="FFFF00" w:fill="FFFFFF"/>
      </w:tcPr>
    </w:tblStylePr>
    <w:tblStylePr w:type="lastRow">
      <w:rPr>
        <w:b/>
        <w:bCs/>
      </w:rPr>
      <w:tblPr/>
      <w:tcPr>
        <w:tcBorders>
          <w:top w:val="single" w:color="000000" w:sz="6" w:space="0"/>
          <w:tl2br w:val="nil"/>
          <w:tr2bl w:val="nil"/>
        </w:tcBorders>
      </w:tcPr>
    </w:tblStylePr>
    <w:tblStylePr w:type="firstCol">
      <w:rPr>
        <w:b/>
        <w:bCs/>
      </w:rPr>
      <w:tblPr/>
      <w:tcPr>
        <w:tcBorders>
          <w:tl2br w:val="nil"/>
          <w:tr2bl w:val="nil"/>
        </w:tcBorders>
      </w:tcPr>
    </w:tblStylePr>
    <w:tblStylePr w:type="lastCol">
      <w:rPr>
        <w:b/>
        <w:bCs/>
      </w:rPr>
      <w:tblPr/>
      <w:tcPr>
        <w:tcBorders>
          <w:tl2br w:val="nil"/>
          <w:tr2bl w:val="nil"/>
        </w:tcBorders>
      </w:tcPr>
    </w:tblStylePr>
    <w:tblStylePr w:type="band1Horz">
      <w:rPr>
        <w:color w:val="auto"/>
      </w:rPr>
      <w:tblPr/>
      <w:tcPr>
        <w:tcBorders>
          <w:tl2br w:val="nil"/>
          <w:tr2bl w:val="nil"/>
        </w:tcBorders>
        <w:shd w:val="pct25" w:color="FFFF00" w:fill="FFFFFF"/>
      </w:tcPr>
    </w:tblStylePr>
    <w:tblStylePr w:type="band2Horz">
      <w:tblPr/>
      <w:tcPr>
        <w:tcBorders>
          <w:tl2br w:val="nil"/>
          <w:tr2bl w:val="nil"/>
        </w:tcBorders>
        <w:shd w:val="pct50" w:color="FF0000" w:fill="FFFFFF"/>
      </w:tcPr>
    </w:tblStylePr>
    <w:tblStylePr w:type="nwCell">
      <w:tblPr/>
      <w:tcPr>
        <w:tcBorders>
          <w:tl2br w:val="single" w:color="auto" w:sz="6" w:space="0"/>
          <w:tr2bl w:val="nil"/>
        </w:tcBorders>
      </w:tcPr>
    </w:tblStylePr>
  </w:style>
  <w:style w:type="paragraph" w:styleId="128">
    <w:name w:val="table of authorities"/>
    <w:basedOn w:val="1"/>
    <w:next w:val="1"/>
    <w:qFormat/>
    <w:uiPriority w:val="0"/>
    <w:pPr>
      <w:ind w:left="420" w:leftChars="200"/>
    </w:pPr>
  </w:style>
  <w:style w:type="paragraph" w:styleId="129">
    <w:name w:val="table of figures"/>
    <w:basedOn w:val="1"/>
    <w:next w:val="1"/>
    <w:uiPriority w:val="0"/>
    <w:pPr>
      <w:ind w:leftChars="200" w:hanging="200" w:hangingChars="200"/>
    </w:pPr>
  </w:style>
  <w:style w:type="table" w:styleId="130">
    <w:name w:val="Table Professional"/>
    <w:basedOn w:val="12"/>
    <w:qFormat/>
    <w:uiPriority w:val="0"/>
    <w:pPr>
      <w:widowControl w:val="0"/>
      <w:jc w:val="both"/>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il"/>
          <w:tr2bl w:val="nil"/>
        </w:tcBorders>
        <w:shd w:val="solid" w:color="000000" w:fill="FFFFFF"/>
      </w:tcPr>
    </w:tblStylePr>
  </w:style>
  <w:style w:type="table" w:styleId="131">
    <w:name w:val="Table Simple 1"/>
    <w:basedOn w:val="12"/>
    <w:qFormat/>
    <w:uiPriority w:val="0"/>
    <w:pPr>
      <w:widowControl w:val="0"/>
      <w:jc w:val="both"/>
    </w:pPr>
    <w:tblPr>
      <w:tblBorders>
        <w:top w:val="single" w:color="008000" w:sz="12" w:space="0"/>
        <w:bottom w:val="single" w:color="008000" w:sz="12" w:space="0"/>
      </w:tblBorders>
    </w:tblPr>
    <w:tcPr>
      <w:shd w:val="clear" w:color="auto" w:fill="auto"/>
    </w:tcPr>
    <w:tblStylePr w:type="firstRow">
      <w:tblPr/>
      <w:tcPr>
        <w:tcBorders>
          <w:left w:val="single" w:color="008000" w:sz="6" w:space="0"/>
          <w:tl2br w:val="nil"/>
          <w:tr2bl w:val="nil"/>
        </w:tcBorders>
      </w:tcPr>
    </w:tblStylePr>
    <w:tblStylePr w:type="lastRow">
      <w:tblPr/>
      <w:tcPr>
        <w:tcBorders>
          <w:top w:val="single" w:color="008000" w:sz="6" w:space="0"/>
          <w:tl2br w:val="nil"/>
          <w:tr2bl w:val="nil"/>
        </w:tcBorders>
      </w:tcPr>
    </w:tblStylePr>
  </w:style>
  <w:style w:type="table" w:styleId="132">
    <w:name w:val="Table Simple 2"/>
    <w:basedOn w:val="12"/>
    <w:qFormat/>
    <w:uiPriority w:val="0"/>
    <w:pPr>
      <w:widowControl w:val="0"/>
      <w:jc w:val="both"/>
    </w:pPr>
    <w:tblPr/>
    <w:tblStylePr w:type="firstRow">
      <w:rPr>
        <w:b/>
        <w:bCs/>
      </w:rPr>
      <w:tblPr/>
      <w:tcPr>
        <w:tcBorders>
          <w:left w:val="single" w:color="000000" w:sz="12" w:space="0"/>
          <w:tl2br w:val="nil"/>
          <w:tr2bl w:val="nil"/>
        </w:tcBorders>
      </w:tcPr>
    </w:tblStylePr>
    <w:tblStylePr w:type="lastRow">
      <w:rPr>
        <w:b/>
        <w:bCs/>
        <w:color w:val="auto"/>
      </w:rPr>
      <w:tblPr/>
      <w:tcPr>
        <w:tcBorders>
          <w:top w:val="single" w:color="000000" w:sz="6" w:space="0"/>
          <w:tl2br w:val="nil"/>
          <w:tr2bl w:val="nil"/>
        </w:tcBorders>
      </w:tcPr>
    </w:tblStylePr>
    <w:tblStylePr w:type="firstCol">
      <w:rPr>
        <w:b/>
        <w:bCs/>
      </w:rPr>
      <w:tblPr/>
      <w:tcPr>
        <w:tcBorders>
          <w:right w:val="single" w:color="000000" w:sz="12" w:space="0"/>
          <w:tl2br w:val="nil"/>
          <w:tr2bl w:val="nil"/>
        </w:tcBorders>
      </w:tcPr>
    </w:tblStylePr>
    <w:tblStylePr w:type="lastCol">
      <w:rPr>
        <w:b/>
        <w:bCs/>
      </w:rPr>
      <w:tblPr/>
      <w:tcPr>
        <w:tcBorders>
          <w:bottom w:val="single" w:color="000000" w:sz="6" w:space="0"/>
          <w:tl2br w:val="nil"/>
          <w:tr2bl w:val="nil"/>
        </w:tcBorders>
      </w:tcPr>
    </w:tblStylePr>
    <w:tblStylePr w:type="neCell">
      <w:rPr>
        <w:b/>
        <w:bCs/>
      </w:rPr>
      <w:tblPr/>
      <w:tcPr>
        <w:tcBorders>
          <w:bottom w:val="nil"/>
          <w:tl2br w:val="nil"/>
          <w:tr2bl w:val="nil"/>
        </w:tcBorders>
      </w:tcPr>
    </w:tblStylePr>
    <w:tblStylePr w:type="swCell">
      <w:rPr>
        <w:b/>
        <w:bCs/>
      </w:rPr>
      <w:tblPr/>
      <w:tcPr>
        <w:tcBorders>
          <w:top w:val="nil"/>
          <w:tl2br w:val="nil"/>
          <w:tr2bl w:val="nil"/>
        </w:tcBorders>
      </w:tcPr>
    </w:tblStylePr>
  </w:style>
  <w:style w:type="table" w:styleId="133">
    <w:name w:val="Table Simple 3"/>
    <w:basedOn w:val="12"/>
    <w:qFormat/>
    <w:uiPriority w:val="0"/>
    <w:pPr>
      <w:widowControl w:val="0"/>
      <w:jc w:val="both"/>
    </w:p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il"/>
          <w:tr2bl w:val="nil"/>
        </w:tcBorders>
        <w:shd w:val="solid" w:color="000000" w:fill="FFFFFF"/>
      </w:tcPr>
    </w:tblStylePr>
  </w:style>
  <w:style w:type="table" w:styleId="134">
    <w:name w:val="Table Subtle 1"/>
    <w:basedOn w:val="12"/>
    <w:qFormat/>
    <w:uiPriority w:val="0"/>
    <w:pPr>
      <w:widowControl w:val="0"/>
      <w:jc w:val="both"/>
    </w:pPr>
    <w:tblPr>
      <w:tblStyleRowBandSize w:val="1"/>
    </w:tblPr>
    <w:tblStylePr w:type="firstRow">
      <w:tblPr/>
      <w:tcPr>
        <w:tcBorders>
          <w:top w:val="single" w:color="000000" w:sz="6" w:space="0"/>
          <w:left w:val="single" w:color="000000" w:sz="12" w:space="0"/>
          <w:tl2br w:val="nil"/>
          <w:tr2bl w:val="nil"/>
        </w:tcBorders>
      </w:tcPr>
    </w:tblStylePr>
    <w:tblStylePr w:type="lastRow">
      <w:tblPr/>
      <w:tcPr>
        <w:tcBorders>
          <w:top w:val="single" w:color="000000" w:sz="12" w:space="0"/>
          <w:tl2br w:val="nil"/>
          <w:tr2bl w:val="nil"/>
        </w:tcBorders>
        <w:shd w:val="pct25" w:color="800080" w:fill="FFFFFF"/>
      </w:tcPr>
    </w:tblStylePr>
    <w:tblStylePr w:type="firstCol">
      <w:tblPr/>
      <w:tcPr>
        <w:tcBorders>
          <w:right w:val="single" w:color="000000" w:sz="12" w:space="0"/>
          <w:tl2br w:val="nil"/>
          <w:tr2bl w:val="nil"/>
        </w:tcBorders>
      </w:tcPr>
    </w:tblStylePr>
    <w:tblStylePr w:type="lastCol">
      <w:tblPr/>
      <w:tcPr>
        <w:tcBorders>
          <w:bottom w:val="single" w:color="000000" w:sz="12" w:space="0"/>
          <w:tl2br w:val="nil"/>
          <w:tr2bl w:val="nil"/>
        </w:tcBorders>
      </w:tcPr>
    </w:tblStylePr>
    <w:tblStylePr w:type="band1Horz">
      <w:tblPr/>
      <w:tcPr>
        <w:tcBorders>
          <w:left w:val="single" w:color="000000" w:sz="6"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5">
    <w:name w:val="Table Subtle 2"/>
    <w:basedOn w:val="12"/>
    <w:qFormat/>
    <w:uiPriority w:val="0"/>
    <w:pPr>
      <w:widowControl w:val="0"/>
      <w:jc w:val="both"/>
    </w:pPr>
    <w:tblPr>
      <w:tblBorders>
        <w:left w:val="single" w:color="000000" w:sz="6" w:space="0"/>
        <w:right w:val="single" w:color="000000" w:sz="6" w:space="0"/>
      </w:tblBorders>
    </w:tblPr>
    <w:tblStylePr w:type="firstRow">
      <w:tblPr/>
      <w:tcPr>
        <w:tcBorders>
          <w:left w:val="single" w:color="000000" w:sz="12" w:space="0"/>
          <w:tl2br w:val="nil"/>
          <w:tr2bl w:val="nil"/>
        </w:tcBorders>
      </w:tcPr>
    </w:tblStylePr>
    <w:tblStylePr w:type="lastRow">
      <w:tblPr/>
      <w:tcPr>
        <w:tcBorders>
          <w:top w:val="single" w:color="000000" w:sz="12" w:space="0"/>
          <w:tl2br w:val="nil"/>
          <w:tr2bl w:val="nil"/>
        </w:tcBorders>
      </w:tcPr>
    </w:tblStylePr>
    <w:tblStylePr w:type="firstCol">
      <w:tblPr/>
      <w:tcPr>
        <w:tcBorders>
          <w:right w:val="single" w:color="000000" w:sz="12" w:space="0"/>
          <w:tl2br w:val="nil"/>
          <w:tr2bl w:val="nil"/>
        </w:tcBorders>
        <w:shd w:val="pct25" w:color="008000" w:fill="FFFFFF"/>
      </w:tcPr>
    </w:tblStylePr>
    <w:tblStylePr w:type="lastCol">
      <w:tblPr/>
      <w:tcPr>
        <w:tcBorders>
          <w:bottom w:val="single" w:color="000000" w:sz="12" w:space="0"/>
          <w:tl2br w:val="nil"/>
          <w:tr2bl w:val="nil"/>
        </w:tcBorders>
        <w:shd w:val="pct25" w:color="808000" w:fill="FFFFFF"/>
      </w:tcPr>
    </w:tblStylePr>
    <w:tblStylePr w:type="neCell">
      <w:rPr>
        <w:b/>
        <w:bCs/>
      </w:rPr>
      <w:tblPr/>
      <w:tcPr>
        <w:tcBorders>
          <w:tl2br w:val="nil"/>
          <w:tr2bl w:val="nil"/>
        </w:tcBorders>
      </w:tcPr>
    </w:tblStylePr>
    <w:tblStylePr w:type="swCell">
      <w:rPr>
        <w:b/>
        <w:bCs/>
      </w:rPr>
      <w:tblPr/>
      <w:tcPr>
        <w:tcBorders>
          <w:tl2br w:val="nil"/>
          <w:tr2bl w:val="nil"/>
        </w:tcBorders>
      </w:tcPr>
    </w:tblStylePr>
  </w:style>
  <w:style w:type="table" w:styleId="136">
    <w:name w:val="Table Theme"/>
    <w:basedOn w:val="1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137">
    <w:name w:val="Table Web 1"/>
    <w:basedOn w:val="12"/>
    <w:qFormat/>
    <w:uiPriority w:val="0"/>
    <w:pPr>
      <w:widowControl w:val="0"/>
      <w:jc w:val="both"/>
    </w:p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8">
    <w:name w:val="Table Web 2"/>
    <w:basedOn w:val="12"/>
    <w:qFormat/>
    <w:uiPriority w:val="0"/>
    <w:pPr>
      <w:widowControl w:val="0"/>
      <w:jc w:val="both"/>
    </w:p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table" w:styleId="139">
    <w:name w:val="Table Web 3"/>
    <w:basedOn w:val="12"/>
    <w:uiPriority w:val="0"/>
    <w:pPr>
      <w:widowControl w:val="0"/>
      <w:jc w:val="both"/>
    </w:p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il"/>
          <w:tr2bl w:val="nil"/>
        </w:tcBorders>
      </w:tcPr>
    </w:tblStylePr>
  </w:style>
  <w:style w:type="paragraph" w:styleId="140">
    <w:name w:val="Title"/>
    <w:basedOn w:val="1"/>
    <w:qFormat/>
    <w:uiPriority w:val="0"/>
    <w:pPr>
      <w:spacing w:before="240" w:after="60"/>
      <w:jc w:val="center"/>
      <w:outlineLvl w:val="0"/>
    </w:pPr>
    <w:rPr>
      <w:rFonts w:ascii="Arial" w:hAnsi="Arial" w:cs="Arial"/>
      <w:b/>
      <w:bCs/>
      <w:sz w:val="32"/>
      <w:szCs w:val="32"/>
    </w:rPr>
  </w:style>
  <w:style w:type="paragraph" w:styleId="141">
    <w:name w:val="toa heading"/>
    <w:basedOn w:val="1"/>
    <w:next w:val="1"/>
    <w:qFormat/>
    <w:uiPriority w:val="0"/>
    <w:pPr>
      <w:spacing w:before="120"/>
    </w:pPr>
    <w:rPr>
      <w:rFonts w:ascii="Arial" w:hAnsi="Arial" w:cs="Arial"/>
      <w:sz w:val="24"/>
      <w:szCs w:val="24"/>
    </w:rPr>
  </w:style>
  <w:style w:type="paragraph" w:styleId="142">
    <w:name w:val="toc 1"/>
    <w:basedOn w:val="1"/>
    <w:next w:val="1"/>
    <w:uiPriority w:val="0"/>
  </w:style>
  <w:style w:type="paragraph" w:styleId="143">
    <w:name w:val="toc 2"/>
    <w:basedOn w:val="1"/>
    <w:next w:val="1"/>
    <w:qFormat/>
    <w:uiPriority w:val="0"/>
    <w:pPr>
      <w:ind w:left="420" w:leftChars="200"/>
    </w:pPr>
  </w:style>
  <w:style w:type="paragraph" w:styleId="144">
    <w:name w:val="toc 3"/>
    <w:basedOn w:val="1"/>
    <w:next w:val="1"/>
    <w:qFormat/>
    <w:uiPriority w:val="0"/>
    <w:pPr>
      <w:ind w:left="840" w:leftChars="400"/>
    </w:pPr>
  </w:style>
  <w:style w:type="paragraph" w:styleId="145">
    <w:name w:val="toc 4"/>
    <w:basedOn w:val="1"/>
    <w:next w:val="1"/>
    <w:qFormat/>
    <w:uiPriority w:val="0"/>
    <w:pPr>
      <w:ind w:left="1260" w:leftChars="600"/>
    </w:pPr>
  </w:style>
  <w:style w:type="paragraph" w:styleId="146">
    <w:name w:val="toc 5"/>
    <w:basedOn w:val="1"/>
    <w:next w:val="1"/>
    <w:qFormat/>
    <w:uiPriority w:val="0"/>
    <w:pPr>
      <w:ind w:left="1680" w:leftChars="800"/>
    </w:pPr>
  </w:style>
  <w:style w:type="paragraph" w:styleId="147">
    <w:name w:val="toc 6"/>
    <w:basedOn w:val="1"/>
    <w:next w:val="1"/>
    <w:qFormat/>
    <w:uiPriority w:val="0"/>
    <w:pPr>
      <w:ind w:left="2100" w:leftChars="1000"/>
    </w:pPr>
  </w:style>
  <w:style w:type="paragraph" w:styleId="148">
    <w:name w:val="toc 7"/>
    <w:basedOn w:val="1"/>
    <w:next w:val="1"/>
    <w:qFormat/>
    <w:uiPriority w:val="0"/>
    <w:pPr>
      <w:ind w:left="2520" w:leftChars="1200"/>
    </w:pPr>
  </w:style>
  <w:style w:type="paragraph" w:styleId="149">
    <w:name w:val="toc 8"/>
    <w:basedOn w:val="1"/>
    <w:next w:val="1"/>
    <w:qFormat/>
    <w:uiPriority w:val="0"/>
    <w:pPr>
      <w:ind w:left="2940" w:leftChars="1400"/>
    </w:pPr>
  </w:style>
  <w:style w:type="paragraph" w:styleId="150">
    <w:name w:val="toc 9"/>
    <w:basedOn w:val="1"/>
    <w:next w:val="1"/>
    <w:qFormat/>
    <w:uiPriority w:val="0"/>
    <w:pPr>
      <w:ind w:left="3360" w:leftChars="1600"/>
    </w:pPr>
  </w:style>
  <w:style w:type="table" w:styleId="151">
    <w:name w:val="Light Shading"/>
    <w:basedOn w:val="12"/>
    <w:uiPriority w:val="60"/>
    <w:rPr>
      <w:color w:val="000000"/>
    </w:rPr>
    <w:tblPr>
      <w:tblBorders>
        <w:top w:val="single" w:color="000000" w:sz="8" w:space="0"/>
        <w:bottom w:val="single" w:color="000000" w:sz="8" w:space="0"/>
      </w:tblBorders>
    </w:tblPr>
    <w:tblStylePr w:type="fir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lastRow">
      <w:pPr>
        <w:spacing w:before="0" w:after="0" w:line="240" w:lineRule="auto"/>
      </w:pPr>
      <w:rPr>
        <w:b/>
        <w:bCs/>
      </w:rPr>
      <w:tblPr/>
      <w:tcPr>
        <w:tcBorders>
          <w:top w:val="single" w:color="000000" w:sz="8" w:space="0"/>
          <w:left w:val="single" w:color="000000"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C0C0C0"/>
      </w:tcPr>
    </w:tblStylePr>
    <w:tblStylePr w:type="band1Horz">
      <w:tblPr/>
      <w:tcPr>
        <w:tcBorders>
          <w:bottom w:val="nil"/>
          <w:right w:val="nil"/>
          <w:insideH w:val="nil"/>
          <w:insideV w:val="nil"/>
        </w:tcBorders>
        <w:shd w:val="clear" w:color="auto" w:fill="C0C0C0"/>
      </w:tcPr>
    </w:tblStylePr>
  </w:style>
  <w:style w:type="table" w:styleId="152">
    <w:name w:val="Light Shading Accent 1"/>
    <w:basedOn w:val="12"/>
    <w:uiPriority w:val="60"/>
    <w:rPr>
      <w:color w:val="365F91"/>
    </w:rPr>
    <w:tblPr>
      <w:tblBorders>
        <w:top w:val="single" w:color="4F81BD" w:sz="8" w:space="0"/>
        <w:bottom w:val="single" w:color="4F81BD" w:sz="8" w:space="0"/>
      </w:tblBorders>
    </w:tblPr>
    <w:tblStylePr w:type="fir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lastRow">
      <w:pPr>
        <w:spacing w:before="0" w:after="0" w:line="240" w:lineRule="auto"/>
      </w:pPr>
      <w:rPr>
        <w:b/>
        <w:bCs/>
      </w:rPr>
      <w:tblPr/>
      <w:tcPr>
        <w:tcBorders>
          <w:top w:val="single" w:color="4F81BD" w:sz="8" w:space="0"/>
          <w:left w:val="single" w:color="4F81B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3DFEE"/>
      </w:tcPr>
    </w:tblStylePr>
    <w:tblStylePr w:type="band1Horz">
      <w:tblPr/>
      <w:tcPr>
        <w:tcBorders>
          <w:bottom w:val="nil"/>
          <w:right w:val="nil"/>
          <w:insideH w:val="nil"/>
          <w:insideV w:val="nil"/>
        </w:tcBorders>
        <w:shd w:val="clear" w:color="auto" w:fill="D3DFEE"/>
      </w:tcPr>
    </w:tblStylePr>
  </w:style>
  <w:style w:type="table" w:styleId="153">
    <w:name w:val="Light Shading Accent 2"/>
    <w:basedOn w:val="12"/>
    <w:uiPriority w:val="60"/>
    <w:rPr>
      <w:color w:val="943634"/>
    </w:rPr>
    <w:tblPr>
      <w:tblBorders>
        <w:top w:val="single" w:color="C0504D" w:sz="8" w:space="0"/>
        <w:bottom w:val="single" w:color="C0504D" w:sz="8" w:space="0"/>
      </w:tblBorders>
    </w:tblPr>
    <w:tblStylePr w:type="fir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lastRow">
      <w:pPr>
        <w:spacing w:before="0" w:after="0" w:line="240" w:lineRule="auto"/>
      </w:pPr>
      <w:rPr>
        <w:b/>
        <w:bCs/>
      </w:rPr>
      <w:tblPr/>
      <w:tcPr>
        <w:tcBorders>
          <w:top w:val="single" w:color="C0504D" w:sz="8" w:space="0"/>
          <w:left w:val="single" w:color="C0504D"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FD3D2"/>
      </w:tcPr>
    </w:tblStylePr>
    <w:tblStylePr w:type="band1Horz">
      <w:tblPr/>
      <w:tcPr>
        <w:tcBorders>
          <w:bottom w:val="nil"/>
          <w:right w:val="nil"/>
          <w:insideH w:val="nil"/>
          <w:insideV w:val="nil"/>
        </w:tcBorders>
        <w:shd w:val="clear" w:color="auto" w:fill="EFD3D2"/>
      </w:tcPr>
    </w:tblStylePr>
  </w:style>
  <w:style w:type="table" w:styleId="154">
    <w:name w:val="Light Shading Accent 3"/>
    <w:basedOn w:val="12"/>
    <w:qFormat/>
    <w:uiPriority w:val="60"/>
    <w:rPr>
      <w:color w:val="76923C"/>
    </w:rPr>
    <w:tblPr>
      <w:tblBorders>
        <w:top w:val="single" w:color="9BBB59" w:sz="8" w:space="0"/>
        <w:bottom w:val="single" w:color="9BBB59" w:sz="8" w:space="0"/>
      </w:tblBorders>
    </w:tblPr>
    <w:tblStylePr w:type="fir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lastRow">
      <w:pPr>
        <w:spacing w:before="0" w:after="0" w:line="240" w:lineRule="auto"/>
      </w:pPr>
      <w:rPr>
        <w:b/>
        <w:bCs/>
      </w:rPr>
      <w:tblPr/>
      <w:tcPr>
        <w:tcBorders>
          <w:top w:val="single" w:color="9BBB59" w:sz="8" w:space="0"/>
          <w:left w:val="single" w:color="9BBB59"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E6EED5"/>
      </w:tcPr>
    </w:tblStylePr>
    <w:tblStylePr w:type="band1Horz">
      <w:tblPr/>
      <w:tcPr>
        <w:tcBorders>
          <w:bottom w:val="nil"/>
          <w:right w:val="nil"/>
          <w:insideH w:val="nil"/>
          <w:insideV w:val="nil"/>
        </w:tcBorders>
        <w:shd w:val="clear" w:color="auto" w:fill="E6EED5"/>
      </w:tcPr>
    </w:tblStylePr>
  </w:style>
  <w:style w:type="table" w:styleId="155">
    <w:name w:val="Light Shading Accent 4"/>
    <w:basedOn w:val="12"/>
    <w:qFormat/>
    <w:uiPriority w:val="60"/>
    <w:rPr>
      <w:color w:val="5F497A"/>
    </w:rPr>
    <w:tblPr>
      <w:tblBorders>
        <w:top w:val="single" w:color="8064A2" w:sz="8" w:space="0"/>
        <w:bottom w:val="single" w:color="8064A2" w:sz="8" w:space="0"/>
      </w:tblBorders>
    </w:tblPr>
    <w:tblStylePr w:type="fir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lastRow">
      <w:pPr>
        <w:spacing w:before="0" w:after="0" w:line="240" w:lineRule="auto"/>
      </w:pPr>
      <w:rPr>
        <w:b/>
        <w:bCs/>
      </w:rPr>
      <w:tblPr/>
      <w:tcPr>
        <w:tcBorders>
          <w:top w:val="single" w:color="8064A2" w:sz="8" w:space="0"/>
          <w:left w:val="single" w:color="8064A2"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FD8E8"/>
      </w:tcPr>
    </w:tblStylePr>
    <w:tblStylePr w:type="band1Horz">
      <w:tblPr/>
      <w:tcPr>
        <w:tcBorders>
          <w:bottom w:val="nil"/>
          <w:right w:val="nil"/>
          <w:insideH w:val="nil"/>
          <w:insideV w:val="nil"/>
        </w:tcBorders>
        <w:shd w:val="clear" w:color="auto" w:fill="DFD8E8"/>
      </w:tcPr>
    </w:tblStylePr>
  </w:style>
  <w:style w:type="table" w:styleId="156">
    <w:name w:val="Light Shading Accent 5"/>
    <w:basedOn w:val="12"/>
    <w:qFormat/>
    <w:uiPriority w:val="60"/>
    <w:rPr>
      <w:color w:val="31849B"/>
    </w:rPr>
    <w:tblPr>
      <w:tblBorders>
        <w:top w:val="single" w:color="4BACC6" w:sz="8" w:space="0"/>
        <w:bottom w:val="single" w:color="4BACC6" w:sz="8" w:space="0"/>
      </w:tblBorders>
    </w:tblPr>
    <w:tblStylePr w:type="fir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lastRow">
      <w:pPr>
        <w:spacing w:before="0" w:after="0" w:line="240" w:lineRule="auto"/>
      </w:pPr>
      <w:rPr>
        <w:b/>
        <w:bCs/>
      </w:rPr>
      <w:tblPr/>
      <w:tcPr>
        <w:tcBorders>
          <w:top w:val="single" w:color="4BACC6" w:sz="8" w:space="0"/>
          <w:left w:val="single" w:color="4BACC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D2EAF1"/>
      </w:tcPr>
    </w:tblStylePr>
    <w:tblStylePr w:type="band1Horz">
      <w:tblPr/>
      <w:tcPr>
        <w:tcBorders>
          <w:bottom w:val="nil"/>
          <w:right w:val="nil"/>
          <w:insideH w:val="nil"/>
          <w:insideV w:val="nil"/>
        </w:tcBorders>
        <w:shd w:val="clear" w:color="auto" w:fill="D2EAF1"/>
      </w:tcPr>
    </w:tblStylePr>
  </w:style>
  <w:style w:type="table" w:styleId="157">
    <w:name w:val="Light Shading Accent 6"/>
    <w:basedOn w:val="12"/>
    <w:uiPriority w:val="60"/>
    <w:rPr>
      <w:color w:val="E36C0A"/>
    </w:rPr>
    <w:tblPr>
      <w:tblBorders>
        <w:top w:val="single" w:color="F79646" w:sz="8" w:space="0"/>
        <w:bottom w:val="single" w:color="F79646" w:sz="8" w:space="0"/>
      </w:tblBorders>
    </w:tblPr>
    <w:tblStylePr w:type="fir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lastRow">
      <w:pPr>
        <w:spacing w:before="0" w:after="0" w:line="240" w:lineRule="auto"/>
      </w:pPr>
      <w:rPr>
        <w:b/>
        <w:bCs/>
      </w:rPr>
      <w:tblPr/>
      <w:tcPr>
        <w:tcBorders>
          <w:top w:val="single" w:color="F79646" w:sz="8" w:space="0"/>
          <w:left w:val="single" w:color="F79646" w:sz="8" w:space="0"/>
          <w:bottom w:val="nil"/>
          <w:right w:val="nil"/>
          <w:insideH w:val="nil"/>
          <w:insideV w:val="nil"/>
        </w:tcBorders>
      </w:tcPr>
    </w:tblStylePr>
    <w:tblStylePr w:type="firstCol">
      <w:rPr>
        <w:b/>
        <w:bCs/>
      </w:rPr>
    </w:tblStylePr>
    <w:tblStylePr w:type="lastCol">
      <w:rPr>
        <w:b/>
        <w:bCs/>
      </w:rPr>
    </w:tblStylePr>
    <w:tblStylePr w:type="band1Vert">
      <w:tblPr/>
      <w:tcPr>
        <w:tcBorders>
          <w:bottom w:val="nil"/>
          <w:right w:val="nil"/>
          <w:insideH w:val="nil"/>
          <w:insideV w:val="nil"/>
        </w:tcBorders>
        <w:shd w:val="clear" w:color="auto" w:fill="FDE4D0"/>
      </w:tcPr>
    </w:tblStylePr>
    <w:tblStylePr w:type="band1Horz">
      <w:tblPr/>
      <w:tcPr>
        <w:tcBorders>
          <w:bottom w:val="nil"/>
          <w:right w:val="nil"/>
          <w:insideH w:val="nil"/>
          <w:insideV w:val="nil"/>
        </w:tcBorders>
        <w:shd w:val="clear" w:color="auto" w:fill="FDE4D0"/>
      </w:tcPr>
    </w:tblStylePr>
  </w:style>
  <w:style w:type="table" w:styleId="158">
    <w:name w:val="Light List"/>
    <w:basedOn w:val="12"/>
    <w:qFormat/>
    <w:uiPriority w:val="61"/>
    <w:tblPr>
      <w:tblBorders>
        <w:top w:val="single" w:color="000000" w:sz="8" w:space="0"/>
        <w:left w:val="single" w:color="000000" w:sz="8" w:space="0"/>
        <w:bottom w:val="single" w:color="000000" w:sz="8" w:space="0"/>
        <w:right w:val="single" w:color="000000" w:sz="8" w:space="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color="000000" w:sz="6" w:space="0"/>
          <w:left w:val="single" w:color="000000" w:sz="8" w:space="0"/>
          <w:bottom w:val="single" w:color="000000" w:sz="8" w:space="0"/>
          <w:right w:val="single" w:color="000000" w:sz="8" w:space="0"/>
        </w:tcBorders>
      </w:tcPr>
    </w:tblStylePr>
    <w:tblStylePr w:type="firstCol">
      <w:rPr>
        <w:b/>
        <w:bCs/>
      </w:rPr>
    </w:tblStylePr>
    <w:tblStylePr w:type="lastCol">
      <w:rPr>
        <w:b/>
        <w:bCs/>
      </w:rPr>
    </w:tblStylePr>
    <w:tblStylePr w:type="band1Vert">
      <w:tblPr/>
      <w:tcPr>
        <w:tcBorders>
          <w:top w:val="single" w:color="000000" w:sz="8" w:space="0"/>
          <w:left w:val="single" w:color="000000" w:sz="8" w:space="0"/>
          <w:bottom w:val="single" w:color="000000" w:sz="8" w:space="0"/>
          <w:right w:val="single" w:color="000000" w:sz="8" w:space="0"/>
        </w:tcBorders>
      </w:tcPr>
    </w:tblStylePr>
    <w:tblStylePr w:type="band1Horz">
      <w:tblPr/>
      <w:tcPr>
        <w:tcBorders>
          <w:top w:val="single" w:color="000000" w:sz="8" w:space="0"/>
          <w:left w:val="single" w:color="000000" w:sz="8" w:space="0"/>
          <w:bottom w:val="single" w:color="000000" w:sz="8" w:space="0"/>
          <w:right w:val="single" w:color="000000" w:sz="8" w:space="0"/>
        </w:tcBorders>
      </w:tcPr>
    </w:tblStylePr>
  </w:style>
  <w:style w:type="table" w:styleId="159">
    <w:name w:val="Light List Accent 1"/>
    <w:basedOn w:val="12"/>
    <w:uiPriority w:val="61"/>
    <w:tblPr>
      <w:tblBorders>
        <w:top w:val="single" w:color="4F81BD" w:sz="8" w:space="0"/>
        <w:left w:val="single" w:color="4F81BD" w:sz="8" w:space="0"/>
        <w:bottom w:val="single" w:color="4F81BD" w:sz="8" w:space="0"/>
        <w:right w:val="single" w:color="4F81BD" w:sz="8" w:space="0"/>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color="4F81BD" w:sz="6" w:space="0"/>
          <w:left w:val="single" w:color="4F81BD" w:sz="8" w:space="0"/>
          <w:bottom w:val="single" w:color="4F81BD" w:sz="8" w:space="0"/>
          <w:right w:val="single" w:color="4F81BD" w:sz="8" w:space="0"/>
        </w:tcBorders>
      </w:tcPr>
    </w:tblStylePr>
    <w:tblStylePr w:type="firstCol">
      <w:rPr>
        <w:b/>
        <w:bCs/>
      </w:rPr>
    </w:tblStylePr>
    <w:tblStylePr w:type="lastCol">
      <w:rPr>
        <w:b/>
        <w:bCs/>
      </w:rPr>
    </w:tblStylePr>
    <w:tblStylePr w:type="band1Vert">
      <w:tblPr/>
      <w:tcPr>
        <w:tcBorders>
          <w:top w:val="single" w:color="4F81BD" w:sz="8" w:space="0"/>
          <w:left w:val="single" w:color="4F81BD" w:sz="8" w:space="0"/>
          <w:bottom w:val="single" w:color="4F81BD" w:sz="8" w:space="0"/>
          <w:right w:val="single" w:color="4F81BD" w:sz="8" w:space="0"/>
        </w:tcBorders>
      </w:tcPr>
    </w:tblStylePr>
    <w:tblStylePr w:type="band1Horz">
      <w:tblPr/>
      <w:tcPr>
        <w:tcBorders>
          <w:top w:val="single" w:color="4F81BD" w:sz="8" w:space="0"/>
          <w:left w:val="single" w:color="4F81BD" w:sz="8" w:space="0"/>
          <w:bottom w:val="single" w:color="4F81BD" w:sz="8" w:space="0"/>
          <w:right w:val="single" w:color="4F81BD" w:sz="8" w:space="0"/>
        </w:tcBorders>
      </w:tcPr>
    </w:tblStylePr>
  </w:style>
  <w:style w:type="table" w:styleId="160">
    <w:name w:val="Light List Accent 2"/>
    <w:basedOn w:val="12"/>
    <w:uiPriority w:val="61"/>
    <w:tblPr>
      <w:tblBorders>
        <w:top w:val="single" w:color="C0504D" w:sz="8" w:space="0"/>
        <w:left w:val="single" w:color="C0504D" w:sz="8" w:space="0"/>
        <w:bottom w:val="single" w:color="C0504D" w:sz="8" w:space="0"/>
        <w:right w:val="single" w:color="C0504D" w:sz="8" w:space="0"/>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color="C0504D" w:sz="6" w:space="0"/>
          <w:left w:val="single" w:color="C0504D" w:sz="8" w:space="0"/>
          <w:bottom w:val="single" w:color="C0504D" w:sz="8" w:space="0"/>
          <w:right w:val="single" w:color="C0504D" w:sz="8" w:space="0"/>
        </w:tcBorders>
      </w:tcPr>
    </w:tblStylePr>
    <w:tblStylePr w:type="firstCol">
      <w:rPr>
        <w:b/>
        <w:bCs/>
      </w:rPr>
    </w:tblStylePr>
    <w:tblStylePr w:type="lastCol">
      <w:rPr>
        <w:b/>
        <w:bCs/>
      </w:rPr>
    </w:tblStylePr>
    <w:tblStylePr w:type="band1Vert">
      <w:tblPr/>
      <w:tcPr>
        <w:tcBorders>
          <w:top w:val="single" w:color="C0504D" w:sz="8" w:space="0"/>
          <w:left w:val="single" w:color="C0504D" w:sz="8" w:space="0"/>
          <w:bottom w:val="single" w:color="C0504D" w:sz="8" w:space="0"/>
          <w:right w:val="single" w:color="C0504D" w:sz="8" w:space="0"/>
        </w:tcBorders>
      </w:tcPr>
    </w:tblStylePr>
    <w:tblStylePr w:type="band1Horz">
      <w:tblPr/>
      <w:tcPr>
        <w:tcBorders>
          <w:top w:val="single" w:color="C0504D" w:sz="8" w:space="0"/>
          <w:left w:val="single" w:color="C0504D" w:sz="8" w:space="0"/>
          <w:bottom w:val="single" w:color="C0504D" w:sz="8" w:space="0"/>
          <w:right w:val="single" w:color="C0504D" w:sz="8" w:space="0"/>
        </w:tcBorders>
      </w:tcPr>
    </w:tblStylePr>
  </w:style>
  <w:style w:type="table" w:styleId="161">
    <w:name w:val="Light List Accent 3"/>
    <w:basedOn w:val="12"/>
    <w:qFormat/>
    <w:uiPriority w:val="61"/>
    <w:tblPr>
      <w:tblBorders>
        <w:top w:val="single" w:color="9BBB59" w:sz="8" w:space="0"/>
        <w:left w:val="single" w:color="9BBB59" w:sz="8" w:space="0"/>
        <w:bottom w:val="single" w:color="9BBB59" w:sz="8" w:space="0"/>
        <w:right w:val="single" w:color="9BBB59" w:sz="8" w:space="0"/>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color="9BBB59" w:sz="6" w:space="0"/>
          <w:left w:val="single" w:color="9BBB59" w:sz="8" w:space="0"/>
          <w:bottom w:val="single" w:color="9BBB59" w:sz="8" w:space="0"/>
          <w:right w:val="single" w:color="9BBB59" w:sz="8" w:space="0"/>
        </w:tcBorders>
      </w:tcPr>
    </w:tblStylePr>
    <w:tblStylePr w:type="firstCol">
      <w:rPr>
        <w:b/>
        <w:bCs/>
      </w:rPr>
    </w:tblStylePr>
    <w:tblStylePr w:type="lastCol">
      <w:rPr>
        <w:b/>
        <w:bCs/>
      </w:rPr>
    </w:tblStylePr>
    <w:tblStylePr w:type="band1Vert">
      <w:tblPr/>
      <w:tcPr>
        <w:tcBorders>
          <w:top w:val="single" w:color="9BBB59" w:sz="8" w:space="0"/>
          <w:left w:val="single" w:color="9BBB59" w:sz="8" w:space="0"/>
          <w:bottom w:val="single" w:color="9BBB59" w:sz="8" w:space="0"/>
          <w:right w:val="single" w:color="9BBB59" w:sz="8" w:space="0"/>
        </w:tcBorders>
      </w:tcPr>
    </w:tblStylePr>
    <w:tblStylePr w:type="band1Horz">
      <w:tblPr/>
      <w:tcPr>
        <w:tcBorders>
          <w:top w:val="single" w:color="9BBB59" w:sz="8" w:space="0"/>
          <w:left w:val="single" w:color="9BBB59" w:sz="8" w:space="0"/>
          <w:bottom w:val="single" w:color="9BBB59" w:sz="8" w:space="0"/>
          <w:right w:val="single" w:color="9BBB59" w:sz="8" w:space="0"/>
        </w:tcBorders>
      </w:tcPr>
    </w:tblStylePr>
  </w:style>
  <w:style w:type="table" w:styleId="162">
    <w:name w:val="Light List Accent 4"/>
    <w:basedOn w:val="12"/>
    <w:uiPriority w:val="61"/>
    <w:tblPr>
      <w:tblBorders>
        <w:top w:val="single" w:color="8064A2" w:sz="8" w:space="0"/>
        <w:left w:val="single" w:color="8064A2" w:sz="8" w:space="0"/>
        <w:bottom w:val="single" w:color="8064A2" w:sz="8" w:space="0"/>
        <w:right w:val="single" w:color="8064A2" w:sz="8" w:space="0"/>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color="8064A2" w:sz="6" w:space="0"/>
          <w:left w:val="single" w:color="8064A2" w:sz="8" w:space="0"/>
          <w:bottom w:val="single" w:color="8064A2" w:sz="8" w:space="0"/>
          <w:right w:val="single" w:color="8064A2" w:sz="8" w:space="0"/>
        </w:tcBorders>
      </w:tcPr>
    </w:tblStylePr>
    <w:tblStylePr w:type="firstCol">
      <w:rPr>
        <w:b/>
        <w:bCs/>
      </w:rPr>
    </w:tblStylePr>
    <w:tblStylePr w:type="lastCol">
      <w:rPr>
        <w:b/>
        <w:bCs/>
      </w:rPr>
    </w:tblStylePr>
    <w:tblStylePr w:type="band1Vert">
      <w:tblPr/>
      <w:tcPr>
        <w:tcBorders>
          <w:top w:val="single" w:color="8064A2" w:sz="8" w:space="0"/>
          <w:left w:val="single" w:color="8064A2" w:sz="8" w:space="0"/>
          <w:bottom w:val="single" w:color="8064A2" w:sz="8" w:space="0"/>
          <w:right w:val="single" w:color="8064A2" w:sz="8" w:space="0"/>
        </w:tcBorders>
      </w:tcPr>
    </w:tblStylePr>
    <w:tblStylePr w:type="band1Horz">
      <w:tblPr/>
      <w:tcPr>
        <w:tcBorders>
          <w:top w:val="single" w:color="8064A2" w:sz="8" w:space="0"/>
          <w:left w:val="single" w:color="8064A2" w:sz="8" w:space="0"/>
          <w:bottom w:val="single" w:color="8064A2" w:sz="8" w:space="0"/>
          <w:right w:val="single" w:color="8064A2" w:sz="8" w:space="0"/>
        </w:tcBorders>
      </w:tcPr>
    </w:tblStylePr>
  </w:style>
  <w:style w:type="table" w:styleId="163">
    <w:name w:val="Light List Accent 5"/>
    <w:basedOn w:val="12"/>
    <w:uiPriority w:val="61"/>
    <w:tblPr>
      <w:tblBorders>
        <w:top w:val="single" w:color="4BACC6" w:sz="8" w:space="0"/>
        <w:left w:val="single" w:color="4BACC6" w:sz="8" w:space="0"/>
        <w:bottom w:val="single" w:color="4BACC6" w:sz="8" w:space="0"/>
        <w:right w:val="single" w:color="4BACC6" w:sz="8" w:space="0"/>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color="4BACC6" w:sz="6" w:space="0"/>
          <w:left w:val="single" w:color="4BACC6" w:sz="8" w:space="0"/>
          <w:bottom w:val="single" w:color="4BACC6" w:sz="8" w:space="0"/>
          <w:right w:val="single" w:color="4BACC6" w:sz="8" w:space="0"/>
        </w:tcBorders>
      </w:tcPr>
    </w:tblStylePr>
    <w:tblStylePr w:type="firstCol">
      <w:rPr>
        <w:b/>
        <w:bCs/>
      </w:rPr>
    </w:tblStylePr>
    <w:tblStylePr w:type="lastCol">
      <w:rPr>
        <w:b/>
        <w:bCs/>
      </w:rPr>
    </w:tblStylePr>
    <w:tblStylePr w:type="band1Vert">
      <w:tblPr/>
      <w:tcPr>
        <w:tcBorders>
          <w:top w:val="single" w:color="4BACC6" w:sz="8" w:space="0"/>
          <w:left w:val="single" w:color="4BACC6" w:sz="8" w:space="0"/>
          <w:bottom w:val="single" w:color="4BACC6" w:sz="8" w:space="0"/>
          <w:right w:val="single" w:color="4BACC6" w:sz="8" w:space="0"/>
        </w:tcBorders>
      </w:tcPr>
    </w:tblStylePr>
    <w:tblStylePr w:type="band1Horz">
      <w:tblPr/>
      <w:tcPr>
        <w:tcBorders>
          <w:top w:val="single" w:color="4BACC6" w:sz="8" w:space="0"/>
          <w:left w:val="single" w:color="4BACC6" w:sz="8" w:space="0"/>
          <w:bottom w:val="single" w:color="4BACC6" w:sz="8" w:space="0"/>
          <w:right w:val="single" w:color="4BACC6" w:sz="8" w:space="0"/>
        </w:tcBorders>
      </w:tcPr>
    </w:tblStylePr>
  </w:style>
  <w:style w:type="table" w:styleId="164">
    <w:name w:val="Light List Accent 6"/>
    <w:basedOn w:val="12"/>
    <w:uiPriority w:val="61"/>
    <w:tblPr>
      <w:tblBorders>
        <w:top w:val="single" w:color="F79646" w:sz="8" w:space="0"/>
        <w:left w:val="single" w:color="F79646" w:sz="8" w:space="0"/>
        <w:bottom w:val="single" w:color="F79646" w:sz="8" w:space="0"/>
        <w:right w:val="single" w:color="F79646" w:sz="8" w:space="0"/>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color="F79646" w:sz="6" w:space="0"/>
          <w:left w:val="single" w:color="F79646" w:sz="8" w:space="0"/>
          <w:bottom w:val="single" w:color="F79646" w:sz="8" w:space="0"/>
          <w:right w:val="single" w:color="F79646" w:sz="8" w:space="0"/>
        </w:tcBorders>
      </w:tcPr>
    </w:tblStylePr>
    <w:tblStylePr w:type="firstCol">
      <w:rPr>
        <w:b/>
        <w:bCs/>
      </w:rPr>
    </w:tblStylePr>
    <w:tblStylePr w:type="lastCol">
      <w:rPr>
        <w:b/>
        <w:bCs/>
      </w:rPr>
    </w:tblStylePr>
    <w:tblStylePr w:type="band1Vert">
      <w:tblPr/>
      <w:tcPr>
        <w:tcBorders>
          <w:top w:val="single" w:color="F79646" w:sz="8" w:space="0"/>
          <w:left w:val="single" w:color="F79646" w:sz="8" w:space="0"/>
          <w:bottom w:val="single" w:color="F79646" w:sz="8" w:space="0"/>
          <w:right w:val="single" w:color="F79646" w:sz="8" w:space="0"/>
        </w:tcBorders>
      </w:tcPr>
    </w:tblStylePr>
    <w:tblStylePr w:type="band1Horz">
      <w:tblPr/>
      <w:tcPr>
        <w:tcBorders>
          <w:top w:val="single" w:color="F79646" w:sz="8" w:space="0"/>
          <w:left w:val="single" w:color="F79646" w:sz="8" w:space="0"/>
          <w:bottom w:val="single" w:color="F79646" w:sz="8" w:space="0"/>
          <w:right w:val="single" w:color="F79646" w:sz="8" w:space="0"/>
        </w:tcBorders>
      </w:tcPr>
    </w:tblStylePr>
  </w:style>
  <w:style w:type="table" w:styleId="165">
    <w:name w:val="Light Grid"/>
    <w:basedOn w:val="12"/>
    <w:qFormat/>
    <w:uiPriority w:val="62"/>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blStylePr w:type="firstRow">
      <w:pPr>
        <w:spacing w:before="0" w:after="0" w:line="240" w:lineRule="auto"/>
      </w:pPr>
      <w:rPr>
        <w:rFonts w:cs="Times New Roman"/>
        <w:b/>
        <w:bCs/>
      </w:rPr>
      <w:tblPr/>
      <w:tcPr>
        <w:tcBorders>
          <w:top w:val="single" w:color="000000" w:sz="8" w:space="0"/>
          <w:left w:val="single" w:color="000000" w:sz="18" w:space="0"/>
          <w:bottom w:val="single" w:color="000000" w:sz="8" w:space="0"/>
          <w:right w:val="single" w:color="000000" w:sz="8" w:space="0"/>
          <w:insideH w:val="nil"/>
          <w:insideV w:val="single" w:sz="8" w:space="0"/>
        </w:tcBorders>
      </w:tcPr>
    </w:tblStylePr>
    <w:tblStylePr w:type="lastRow">
      <w:pPr>
        <w:spacing w:before="0" w:after="0" w:line="240" w:lineRule="auto"/>
      </w:pPr>
      <w:rPr>
        <w:rFonts w:cs="Times New Roman"/>
        <w:b/>
        <w:bCs/>
      </w:rPr>
      <w:tblPr/>
      <w:tcPr>
        <w:tcBorders>
          <w:top w:val="double" w:color="000000" w:sz="6" w:space="0"/>
          <w:left w:val="single" w:color="000000" w:sz="8" w:space="0"/>
          <w:bottom w:val="single" w:color="000000" w:sz="8" w:space="0"/>
          <w:right w:val="single" w:color="000000"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000000" w:sz="8" w:space="0"/>
          <w:left w:val="single" w:color="000000" w:sz="8" w:space="0"/>
          <w:bottom w:val="single" w:color="000000" w:sz="8" w:space="0"/>
          <w:right w:val="single" w:color="000000" w:sz="8" w:space="0"/>
        </w:tcBorders>
      </w:tcPr>
    </w:tblStylePr>
    <w:tblStylePr w:type="band1Vert">
      <w:tblPr/>
      <w:tcPr>
        <w:tcBorders>
          <w:top w:val="single" w:color="000000" w:sz="8" w:space="0"/>
          <w:left w:val="single" w:color="000000" w:sz="8" w:space="0"/>
          <w:bottom w:val="single" w:color="000000" w:sz="8" w:space="0"/>
          <w:right w:val="single" w:color="000000" w:sz="8" w:space="0"/>
        </w:tcBorders>
        <w:shd w:val="clear" w:color="auto" w:fill="C0C0C0"/>
      </w:tcPr>
    </w:tblStylePr>
    <w:tblStylePr w:type="band1Horz">
      <w:tblPr/>
      <w:tcPr>
        <w:tcBorders>
          <w:top w:val="single" w:color="000000" w:sz="8" w:space="0"/>
          <w:left w:val="single" w:color="000000" w:sz="8" w:space="0"/>
          <w:bottom w:val="single" w:color="000000" w:sz="8" w:space="0"/>
          <w:right w:val="single" w:color="000000" w:sz="8" w:space="0"/>
          <w:insideV w:val="single" w:sz="8" w:space="0"/>
        </w:tcBorders>
        <w:shd w:val="clear" w:color="auto" w:fill="C0C0C0"/>
      </w:tcPr>
    </w:tblStylePr>
    <w:tblStylePr w:type="band2Horz">
      <w:tblPr/>
      <w:tcPr>
        <w:tcBorders>
          <w:top w:val="single" w:color="000000" w:sz="8" w:space="0"/>
          <w:left w:val="single" w:color="000000" w:sz="8" w:space="0"/>
          <w:bottom w:val="single" w:color="000000" w:sz="8" w:space="0"/>
          <w:right w:val="single" w:color="000000" w:sz="8" w:space="0"/>
          <w:insideV w:val="single" w:sz="8" w:space="0"/>
        </w:tcBorders>
      </w:tcPr>
    </w:tblStylePr>
  </w:style>
  <w:style w:type="table" w:styleId="166">
    <w:name w:val="Light Grid Accent 1"/>
    <w:basedOn w:val="12"/>
    <w:qFormat/>
    <w:uiPriority w:val="62"/>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firstRow">
      <w:pPr>
        <w:spacing w:before="0" w:after="0" w:line="240" w:lineRule="auto"/>
      </w:pPr>
      <w:rPr>
        <w:rFonts w:cs="Times New Roman"/>
        <w:b/>
        <w:bCs/>
      </w:rPr>
      <w:tblPr/>
      <w:tcPr>
        <w:tcBorders>
          <w:top w:val="single" w:color="4F81BD" w:sz="8" w:space="0"/>
          <w:left w:val="single" w:color="4F81BD" w:sz="18" w:space="0"/>
          <w:bottom w:val="single" w:color="4F81BD" w:sz="8" w:space="0"/>
          <w:right w:val="single" w:color="4F81BD" w:sz="8" w:space="0"/>
          <w:insideH w:val="nil"/>
          <w:insideV w:val="single" w:sz="8" w:space="0"/>
        </w:tcBorders>
      </w:tcPr>
    </w:tblStylePr>
    <w:tblStylePr w:type="lastRow">
      <w:pPr>
        <w:spacing w:before="0" w:after="0" w:line="240" w:lineRule="auto"/>
      </w:pPr>
      <w:rPr>
        <w:rFonts w:cs="Times New Roman"/>
        <w:b/>
        <w:bCs/>
      </w:rPr>
      <w:tblPr/>
      <w:tcPr>
        <w:tcBorders>
          <w:top w:val="double" w:color="4F81BD" w:sz="6" w:space="0"/>
          <w:left w:val="single" w:color="4F81BD" w:sz="8" w:space="0"/>
          <w:bottom w:val="single" w:color="4F81BD" w:sz="8" w:space="0"/>
          <w:right w:val="single" w:color="4F81B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F81BD" w:sz="8" w:space="0"/>
          <w:left w:val="single" w:color="4F81BD" w:sz="8" w:space="0"/>
          <w:bottom w:val="single" w:color="4F81BD" w:sz="8" w:space="0"/>
          <w:right w:val="single" w:color="4F81BD" w:sz="8" w:space="0"/>
        </w:tcBorders>
      </w:tcPr>
    </w:tblStylePr>
    <w:tblStylePr w:type="band1Vert">
      <w:tblPr/>
      <w:tcPr>
        <w:tcBorders>
          <w:top w:val="single" w:color="4F81BD" w:sz="8" w:space="0"/>
          <w:left w:val="single" w:color="4F81BD" w:sz="8" w:space="0"/>
          <w:bottom w:val="single" w:color="4F81BD" w:sz="8" w:space="0"/>
          <w:right w:val="single" w:color="4F81BD" w:sz="8" w:space="0"/>
        </w:tcBorders>
        <w:shd w:val="clear" w:color="auto" w:fill="D3DFEE"/>
      </w:tcPr>
    </w:tblStylePr>
    <w:tblStylePr w:type="band1Horz">
      <w:tblPr/>
      <w:tcPr>
        <w:tcBorders>
          <w:top w:val="single" w:color="4F81BD" w:sz="8" w:space="0"/>
          <w:left w:val="single" w:color="4F81BD" w:sz="8" w:space="0"/>
          <w:bottom w:val="single" w:color="4F81BD" w:sz="8" w:space="0"/>
          <w:right w:val="single" w:color="4F81BD" w:sz="8" w:space="0"/>
          <w:insideV w:val="single" w:sz="8" w:space="0"/>
        </w:tcBorders>
        <w:shd w:val="clear" w:color="auto" w:fill="D3DFEE"/>
      </w:tcPr>
    </w:tblStylePr>
    <w:tblStylePr w:type="band2Horz">
      <w:tblPr/>
      <w:tcPr>
        <w:tcBorders>
          <w:top w:val="single" w:color="4F81BD" w:sz="8" w:space="0"/>
          <w:left w:val="single" w:color="4F81BD" w:sz="8" w:space="0"/>
          <w:bottom w:val="single" w:color="4F81BD" w:sz="8" w:space="0"/>
          <w:right w:val="single" w:color="4F81BD" w:sz="8" w:space="0"/>
          <w:insideV w:val="single" w:sz="8" w:space="0"/>
        </w:tcBorders>
      </w:tcPr>
    </w:tblStylePr>
  </w:style>
  <w:style w:type="table" w:styleId="167">
    <w:name w:val="Light Grid Accent 2"/>
    <w:basedOn w:val="12"/>
    <w:qFormat/>
    <w:uiPriority w:val="62"/>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blStylePr w:type="firstRow">
      <w:pPr>
        <w:spacing w:before="0" w:after="0" w:line="240" w:lineRule="auto"/>
      </w:pPr>
      <w:rPr>
        <w:rFonts w:cs="Times New Roman"/>
        <w:b/>
        <w:bCs/>
      </w:rPr>
      <w:tblPr/>
      <w:tcPr>
        <w:tcBorders>
          <w:top w:val="single" w:color="C0504D" w:sz="8" w:space="0"/>
          <w:left w:val="single" w:color="C0504D" w:sz="18" w:space="0"/>
          <w:bottom w:val="single" w:color="C0504D" w:sz="8" w:space="0"/>
          <w:right w:val="single" w:color="C0504D" w:sz="8" w:space="0"/>
          <w:insideH w:val="nil"/>
          <w:insideV w:val="single" w:sz="8" w:space="0"/>
        </w:tcBorders>
      </w:tcPr>
    </w:tblStylePr>
    <w:tblStylePr w:type="lastRow">
      <w:pPr>
        <w:spacing w:before="0" w:after="0" w:line="240" w:lineRule="auto"/>
      </w:pPr>
      <w:rPr>
        <w:rFonts w:cs="Times New Roman"/>
        <w:b/>
        <w:bCs/>
      </w:rPr>
      <w:tblPr/>
      <w:tcPr>
        <w:tcBorders>
          <w:top w:val="double" w:color="C0504D" w:sz="6" w:space="0"/>
          <w:left w:val="single" w:color="C0504D" w:sz="8" w:space="0"/>
          <w:bottom w:val="single" w:color="C0504D" w:sz="8" w:space="0"/>
          <w:right w:val="single" w:color="C0504D"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C0504D" w:sz="8" w:space="0"/>
          <w:left w:val="single" w:color="C0504D" w:sz="8" w:space="0"/>
          <w:bottom w:val="single" w:color="C0504D" w:sz="8" w:space="0"/>
          <w:right w:val="single" w:color="C0504D" w:sz="8" w:space="0"/>
        </w:tcBorders>
      </w:tcPr>
    </w:tblStylePr>
    <w:tblStylePr w:type="band1Vert">
      <w:tblPr/>
      <w:tcPr>
        <w:tcBorders>
          <w:top w:val="single" w:color="C0504D" w:sz="8" w:space="0"/>
          <w:left w:val="single" w:color="C0504D" w:sz="8" w:space="0"/>
          <w:bottom w:val="single" w:color="C0504D" w:sz="8" w:space="0"/>
          <w:right w:val="single" w:color="C0504D" w:sz="8" w:space="0"/>
        </w:tcBorders>
        <w:shd w:val="clear" w:color="auto" w:fill="EFD3D2"/>
      </w:tcPr>
    </w:tblStylePr>
    <w:tblStylePr w:type="band1Horz">
      <w:tblPr/>
      <w:tcPr>
        <w:tcBorders>
          <w:top w:val="single" w:color="C0504D" w:sz="8" w:space="0"/>
          <w:left w:val="single" w:color="C0504D" w:sz="8" w:space="0"/>
          <w:bottom w:val="single" w:color="C0504D" w:sz="8" w:space="0"/>
          <w:right w:val="single" w:color="C0504D" w:sz="8" w:space="0"/>
          <w:insideV w:val="single" w:sz="8" w:space="0"/>
        </w:tcBorders>
        <w:shd w:val="clear" w:color="auto" w:fill="EFD3D2"/>
      </w:tcPr>
    </w:tblStylePr>
    <w:tblStylePr w:type="band2Horz">
      <w:tblPr/>
      <w:tcPr>
        <w:tcBorders>
          <w:top w:val="single" w:color="C0504D" w:sz="8" w:space="0"/>
          <w:left w:val="single" w:color="C0504D" w:sz="8" w:space="0"/>
          <w:bottom w:val="single" w:color="C0504D" w:sz="8" w:space="0"/>
          <w:right w:val="single" w:color="C0504D" w:sz="8" w:space="0"/>
          <w:insideV w:val="single" w:sz="8" w:space="0"/>
        </w:tcBorders>
      </w:tcPr>
    </w:tblStylePr>
  </w:style>
  <w:style w:type="table" w:styleId="168">
    <w:name w:val="Light Grid Accent 3"/>
    <w:basedOn w:val="12"/>
    <w:qFormat/>
    <w:uiPriority w:val="62"/>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blStylePr w:type="firstRow">
      <w:pPr>
        <w:spacing w:before="0" w:after="0" w:line="240" w:lineRule="auto"/>
      </w:pPr>
      <w:rPr>
        <w:rFonts w:cs="Times New Roman"/>
        <w:b/>
        <w:bCs/>
      </w:rPr>
      <w:tblPr/>
      <w:tcPr>
        <w:tcBorders>
          <w:top w:val="single" w:color="9BBB59" w:sz="8" w:space="0"/>
          <w:left w:val="single" w:color="9BBB59" w:sz="18" w:space="0"/>
          <w:bottom w:val="single" w:color="9BBB59" w:sz="8" w:space="0"/>
          <w:right w:val="single" w:color="9BBB59" w:sz="8" w:space="0"/>
          <w:insideH w:val="nil"/>
          <w:insideV w:val="single" w:sz="8" w:space="0"/>
        </w:tcBorders>
      </w:tcPr>
    </w:tblStylePr>
    <w:tblStylePr w:type="lastRow">
      <w:pPr>
        <w:spacing w:before="0" w:after="0" w:line="240" w:lineRule="auto"/>
      </w:pPr>
      <w:rPr>
        <w:rFonts w:cs="Times New Roman"/>
        <w:b/>
        <w:bCs/>
      </w:rPr>
      <w:tblPr/>
      <w:tcPr>
        <w:tcBorders>
          <w:top w:val="double" w:color="9BBB59" w:sz="6" w:space="0"/>
          <w:left w:val="single" w:color="9BBB59" w:sz="8" w:space="0"/>
          <w:bottom w:val="single" w:color="9BBB59" w:sz="8" w:space="0"/>
          <w:right w:val="single" w:color="9BBB59"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9BBB59" w:sz="8" w:space="0"/>
          <w:left w:val="single" w:color="9BBB59" w:sz="8" w:space="0"/>
          <w:bottom w:val="single" w:color="9BBB59" w:sz="8" w:space="0"/>
          <w:right w:val="single" w:color="9BBB59" w:sz="8" w:space="0"/>
        </w:tcBorders>
      </w:tcPr>
    </w:tblStylePr>
    <w:tblStylePr w:type="band1Vert">
      <w:tblPr/>
      <w:tcPr>
        <w:tcBorders>
          <w:top w:val="single" w:color="9BBB59" w:sz="8" w:space="0"/>
          <w:left w:val="single" w:color="9BBB59" w:sz="8" w:space="0"/>
          <w:bottom w:val="single" w:color="9BBB59" w:sz="8" w:space="0"/>
          <w:right w:val="single" w:color="9BBB59" w:sz="8" w:space="0"/>
        </w:tcBorders>
        <w:shd w:val="clear" w:color="auto" w:fill="E6EED5"/>
      </w:tcPr>
    </w:tblStylePr>
    <w:tblStylePr w:type="band1Horz">
      <w:tblPr/>
      <w:tcPr>
        <w:tcBorders>
          <w:top w:val="single" w:color="9BBB59" w:sz="8" w:space="0"/>
          <w:left w:val="single" w:color="9BBB59" w:sz="8" w:space="0"/>
          <w:bottom w:val="single" w:color="9BBB59" w:sz="8" w:space="0"/>
          <w:right w:val="single" w:color="9BBB59" w:sz="8" w:space="0"/>
          <w:insideV w:val="single" w:sz="8" w:space="0"/>
        </w:tcBorders>
        <w:shd w:val="clear" w:color="auto" w:fill="E6EED5"/>
      </w:tcPr>
    </w:tblStylePr>
    <w:tblStylePr w:type="band2Horz">
      <w:tblPr/>
      <w:tcPr>
        <w:tcBorders>
          <w:top w:val="single" w:color="9BBB59" w:sz="8" w:space="0"/>
          <w:left w:val="single" w:color="9BBB59" w:sz="8" w:space="0"/>
          <w:bottom w:val="single" w:color="9BBB59" w:sz="8" w:space="0"/>
          <w:right w:val="single" w:color="9BBB59" w:sz="8" w:space="0"/>
          <w:insideV w:val="single" w:sz="8" w:space="0"/>
        </w:tcBorders>
      </w:tcPr>
    </w:tblStylePr>
  </w:style>
  <w:style w:type="table" w:styleId="169">
    <w:name w:val="Light Grid Accent 4"/>
    <w:basedOn w:val="12"/>
    <w:uiPriority w:val="62"/>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blStylePr w:type="firstRow">
      <w:pPr>
        <w:spacing w:before="0" w:after="0" w:line="240" w:lineRule="auto"/>
      </w:pPr>
      <w:rPr>
        <w:rFonts w:cs="Times New Roman"/>
        <w:b/>
        <w:bCs/>
      </w:rPr>
      <w:tblPr/>
      <w:tcPr>
        <w:tcBorders>
          <w:top w:val="single" w:color="8064A2" w:sz="8" w:space="0"/>
          <w:left w:val="single" w:color="8064A2" w:sz="18" w:space="0"/>
          <w:bottom w:val="single" w:color="8064A2" w:sz="8" w:space="0"/>
          <w:right w:val="single" w:color="8064A2" w:sz="8" w:space="0"/>
          <w:insideH w:val="nil"/>
          <w:insideV w:val="single" w:sz="8" w:space="0"/>
        </w:tcBorders>
      </w:tcPr>
    </w:tblStylePr>
    <w:tblStylePr w:type="lastRow">
      <w:pPr>
        <w:spacing w:before="0" w:after="0" w:line="240" w:lineRule="auto"/>
      </w:pPr>
      <w:rPr>
        <w:rFonts w:cs="Times New Roman"/>
        <w:b/>
        <w:bCs/>
      </w:rPr>
      <w:tblPr/>
      <w:tcPr>
        <w:tcBorders>
          <w:top w:val="double" w:color="8064A2" w:sz="6" w:space="0"/>
          <w:left w:val="single" w:color="8064A2" w:sz="8" w:space="0"/>
          <w:bottom w:val="single" w:color="8064A2" w:sz="8" w:space="0"/>
          <w:right w:val="single" w:color="8064A2"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8064A2" w:sz="8" w:space="0"/>
          <w:left w:val="single" w:color="8064A2" w:sz="8" w:space="0"/>
          <w:bottom w:val="single" w:color="8064A2" w:sz="8" w:space="0"/>
          <w:right w:val="single" w:color="8064A2" w:sz="8" w:space="0"/>
        </w:tcBorders>
      </w:tcPr>
    </w:tblStylePr>
    <w:tblStylePr w:type="band1Vert">
      <w:tblPr/>
      <w:tcPr>
        <w:tcBorders>
          <w:top w:val="single" w:color="8064A2" w:sz="8" w:space="0"/>
          <w:left w:val="single" w:color="8064A2" w:sz="8" w:space="0"/>
          <w:bottom w:val="single" w:color="8064A2" w:sz="8" w:space="0"/>
          <w:right w:val="single" w:color="8064A2" w:sz="8" w:space="0"/>
        </w:tcBorders>
        <w:shd w:val="clear" w:color="auto" w:fill="DFD8E8"/>
      </w:tcPr>
    </w:tblStylePr>
    <w:tblStylePr w:type="band1Horz">
      <w:tblPr/>
      <w:tcPr>
        <w:tcBorders>
          <w:top w:val="single" w:color="8064A2" w:sz="8" w:space="0"/>
          <w:left w:val="single" w:color="8064A2" w:sz="8" w:space="0"/>
          <w:bottom w:val="single" w:color="8064A2" w:sz="8" w:space="0"/>
          <w:right w:val="single" w:color="8064A2" w:sz="8" w:space="0"/>
          <w:insideV w:val="single" w:sz="8" w:space="0"/>
        </w:tcBorders>
        <w:shd w:val="clear" w:color="auto" w:fill="DFD8E8"/>
      </w:tcPr>
    </w:tblStylePr>
    <w:tblStylePr w:type="band2Horz">
      <w:tblPr/>
      <w:tcPr>
        <w:tcBorders>
          <w:top w:val="single" w:color="8064A2" w:sz="8" w:space="0"/>
          <w:left w:val="single" w:color="8064A2" w:sz="8" w:space="0"/>
          <w:bottom w:val="single" w:color="8064A2" w:sz="8" w:space="0"/>
          <w:right w:val="single" w:color="8064A2" w:sz="8" w:space="0"/>
          <w:insideV w:val="single" w:sz="8" w:space="0"/>
        </w:tcBorders>
      </w:tcPr>
    </w:tblStylePr>
  </w:style>
  <w:style w:type="table" w:styleId="170">
    <w:name w:val="Light Grid Accent 5"/>
    <w:basedOn w:val="12"/>
    <w:uiPriority w:val="62"/>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blStylePr w:type="firstRow">
      <w:pPr>
        <w:spacing w:before="0" w:after="0" w:line="240" w:lineRule="auto"/>
      </w:pPr>
      <w:rPr>
        <w:rFonts w:cs="Times New Roman"/>
        <w:b/>
        <w:bCs/>
      </w:rPr>
      <w:tblPr/>
      <w:tcPr>
        <w:tcBorders>
          <w:top w:val="single" w:color="4BACC6" w:sz="8" w:space="0"/>
          <w:left w:val="single" w:color="4BACC6" w:sz="18" w:space="0"/>
          <w:bottom w:val="single" w:color="4BACC6" w:sz="8" w:space="0"/>
          <w:right w:val="single" w:color="4BACC6" w:sz="8" w:space="0"/>
          <w:insideH w:val="nil"/>
          <w:insideV w:val="single" w:sz="8" w:space="0"/>
        </w:tcBorders>
      </w:tcPr>
    </w:tblStylePr>
    <w:tblStylePr w:type="lastRow">
      <w:pPr>
        <w:spacing w:before="0" w:after="0" w:line="240" w:lineRule="auto"/>
      </w:pPr>
      <w:rPr>
        <w:rFonts w:cs="Times New Roman"/>
        <w:b/>
        <w:bCs/>
      </w:rPr>
      <w:tblPr/>
      <w:tcPr>
        <w:tcBorders>
          <w:top w:val="double" w:color="4BACC6" w:sz="6" w:space="0"/>
          <w:left w:val="single" w:color="4BACC6" w:sz="8" w:space="0"/>
          <w:bottom w:val="single" w:color="4BACC6" w:sz="8" w:space="0"/>
          <w:right w:val="single" w:color="4BACC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4BACC6" w:sz="8" w:space="0"/>
          <w:left w:val="single" w:color="4BACC6" w:sz="8" w:space="0"/>
          <w:bottom w:val="single" w:color="4BACC6" w:sz="8" w:space="0"/>
          <w:right w:val="single" w:color="4BACC6" w:sz="8" w:space="0"/>
        </w:tcBorders>
      </w:tcPr>
    </w:tblStylePr>
    <w:tblStylePr w:type="band1Vert">
      <w:tblPr/>
      <w:tcPr>
        <w:tcBorders>
          <w:top w:val="single" w:color="4BACC6" w:sz="8" w:space="0"/>
          <w:left w:val="single" w:color="4BACC6" w:sz="8" w:space="0"/>
          <w:bottom w:val="single" w:color="4BACC6" w:sz="8" w:space="0"/>
          <w:right w:val="single" w:color="4BACC6" w:sz="8" w:space="0"/>
        </w:tcBorders>
        <w:shd w:val="clear" w:color="auto" w:fill="D2EAF1"/>
      </w:tcPr>
    </w:tblStylePr>
    <w:tblStylePr w:type="band1Horz">
      <w:tblPr/>
      <w:tcPr>
        <w:tcBorders>
          <w:top w:val="single" w:color="4BACC6" w:sz="8" w:space="0"/>
          <w:left w:val="single" w:color="4BACC6" w:sz="8" w:space="0"/>
          <w:bottom w:val="single" w:color="4BACC6" w:sz="8" w:space="0"/>
          <w:right w:val="single" w:color="4BACC6" w:sz="8" w:space="0"/>
          <w:insideV w:val="single" w:sz="8" w:space="0"/>
        </w:tcBorders>
        <w:shd w:val="clear" w:color="auto" w:fill="D2EAF1"/>
      </w:tcPr>
    </w:tblStylePr>
    <w:tblStylePr w:type="band2Horz">
      <w:tblPr/>
      <w:tcPr>
        <w:tcBorders>
          <w:top w:val="single" w:color="4BACC6" w:sz="8" w:space="0"/>
          <w:left w:val="single" w:color="4BACC6" w:sz="8" w:space="0"/>
          <w:bottom w:val="single" w:color="4BACC6" w:sz="8" w:space="0"/>
          <w:right w:val="single" w:color="4BACC6" w:sz="8" w:space="0"/>
          <w:insideV w:val="single" w:sz="8" w:space="0"/>
        </w:tcBorders>
      </w:tcPr>
    </w:tblStylePr>
  </w:style>
  <w:style w:type="table" w:styleId="171">
    <w:name w:val="Light Grid Accent 6"/>
    <w:basedOn w:val="12"/>
    <w:qFormat/>
    <w:uiPriority w:val="62"/>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firstRow">
      <w:pPr>
        <w:spacing w:before="0" w:after="0" w:line="240" w:lineRule="auto"/>
      </w:pPr>
      <w:rPr>
        <w:rFonts w:cs="Times New Roman"/>
        <w:b/>
        <w:bCs/>
      </w:rPr>
      <w:tblPr/>
      <w:tcPr>
        <w:tcBorders>
          <w:top w:val="single" w:color="F79646" w:sz="8" w:space="0"/>
          <w:left w:val="single" w:color="F79646" w:sz="18" w:space="0"/>
          <w:bottom w:val="single" w:color="F79646" w:sz="8" w:space="0"/>
          <w:right w:val="single" w:color="F79646" w:sz="8" w:space="0"/>
          <w:insideH w:val="nil"/>
          <w:insideV w:val="single" w:sz="8" w:space="0"/>
        </w:tcBorders>
      </w:tcPr>
    </w:tblStylePr>
    <w:tblStylePr w:type="lastRow">
      <w:pPr>
        <w:spacing w:before="0" w:after="0" w:line="240" w:lineRule="auto"/>
      </w:pPr>
      <w:rPr>
        <w:rFonts w:cs="Times New Roman"/>
        <w:b/>
        <w:bCs/>
      </w:rPr>
      <w:tblPr/>
      <w:tcPr>
        <w:tcBorders>
          <w:top w:val="double" w:color="F79646" w:sz="6" w:space="0"/>
          <w:left w:val="single" w:color="F79646" w:sz="8" w:space="0"/>
          <w:bottom w:val="single" w:color="F79646" w:sz="8" w:space="0"/>
          <w:right w:val="single" w:color="F79646" w:sz="8" w:space="0"/>
          <w:insideH w:val="nil"/>
          <w:insideV w:val="single" w:sz="8" w:space="0"/>
        </w:tcBorders>
      </w:tcPr>
    </w:tblStylePr>
    <w:tblStylePr w:type="firstCol">
      <w:rPr>
        <w:rFonts w:cs="Times New Roman"/>
        <w:b/>
        <w:bCs/>
      </w:rPr>
    </w:tblStylePr>
    <w:tblStylePr w:type="lastCol">
      <w:rPr>
        <w:rFonts w:cs="Times New Roman"/>
        <w:b/>
        <w:bCs/>
      </w:rPr>
      <w:tblPr/>
      <w:tcPr>
        <w:tcBorders>
          <w:top w:val="single" w:color="F79646" w:sz="8" w:space="0"/>
          <w:left w:val="single" w:color="F79646" w:sz="8" w:space="0"/>
          <w:bottom w:val="single" w:color="F79646" w:sz="8" w:space="0"/>
          <w:right w:val="single" w:color="F79646" w:sz="8" w:space="0"/>
        </w:tcBorders>
      </w:tcPr>
    </w:tblStylePr>
    <w:tblStylePr w:type="band1Vert">
      <w:tblPr/>
      <w:tcPr>
        <w:tcBorders>
          <w:top w:val="single" w:color="F79646" w:sz="8" w:space="0"/>
          <w:left w:val="single" w:color="F79646" w:sz="8" w:space="0"/>
          <w:bottom w:val="single" w:color="F79646" w:sz="8" w:space="0"/>
          <w:right w:val="single" w:color="F79646" w:sz="8" w:space="0"/>
        </w:tcBorders>
        <w:shd w:val="clear" w:color="auto" w:fill="FDE4D0"/>
      </w:tcPr>
    </w:tblStylePr>
    <w:tblStylePr w:type="band1Horz">
      <w:tblPr/>
      <w:tcPr>
        <w:tcBorders>
          <w:top w:val="single" w:color="F79646" w:sz="8" w:space="0"/>
          <w:left w:val="single" w:color="F79646" w:sz="8" w:space="0"/>
          <w:bottom w:val="single" w:color="F79646" w:sz="8" w:space="0"/>
          <w:right w:val="single" w:color="F79646" w:sz="8" w:space="0"/>
          <w:insideV w:val="single" w:sz="8" w:space="0"/>
        </w:tcBorders>
        <w:shd w:val="clear" w:color="auto" w:fill="FDE4D0"/>
      </w:tcPr>
    </w:tblStylePr>
    <w:tblStylePr w:type="band2Horz">
      <w:tblPr/>
      <w:tcPr>
        <w:tcBorders>
          <w:top w:val="single" w:color="F79646" w:sz="8" w:space="0"/>
          <w:left w:val="single" w:color="F79646" w:sz="8" w:space="0"/>
          <w:bottom w:val="single" w:color="F79646" w:sz="8" w:space="0"/>
          <w:right w:val="single" w:color="F79646" w:sz="8" w:space="0"/>
          <w:insideV w:val="single" w:sz="8" w:space="0"/>
        </w:tcBorders>
      </w:tcPr>
    </w:tblStylePr>
  </w:style>
  <w:style w:type="table" w:styleId="172">
    <w:name w:val="Medium Shading 1"/>
    <w:basedOn w:val="12"/>
    <w:qFormat/>
    <w:uiPriority w:val="63"/>
    <w:tblPr>
      <w:tblBorders>
        <w:top w:val="single" w:color="404040" w:sz="8" w:space="0"/>
        <w:left w:val="single" w:color="404040" w:sz="8" w:space="0"/>
        <w:bottom w:val="single" w:color="404040" w:sz="8" w:space="0"/>
        <w:right w:val="single" w:color="404040" w:sz="8" w:space="0"/>
        <w:insideH w:val="single" w:color="404040" w:sz="8" w:space="0"/>
      </w:tblBorders>
    </w:tblPr>
    <w:tblStylePr w:type="firstRow">
      <w:pPr>
        <w:spacing w:before="0" w:after="0" w:line="240" w:lineRule="auto"/>
      </w:pPr>
      <w:rPr>
        <w:b/>
        <w:bCs/>
        <w:color w:val="FFFFFF"/>
      </w:rPr>
      <w:tblPr/>
      <w:tcPr>
        <w:tcBorders>
          <w:top w:val="single" w:color="404040" w:sz="8" w:space="0"/>
          <w:left w:val="single" w:color="404040" w:sz="8" w:space="0"/>
          <w:bottom w:val="single" w:color="404040" w:sz="8" w:space="0"/>
          <w:right w:val="single" w:color="404040" w:sz="8" w:space="0"/>
          <w:insideH w:val="nil"/>
          <w:insideV w:val="nil"/>
        </w:tcBorders>
        <w:shd w:val="clear" w:color="auto" w:fill="000000"/>
      </w:tcPr>
    </w:tblStylePr>
    <w:tblStylePr w:type="lastRow">
      <w:pPr>
        <w:spacing w:before="0" w:after="0" w:line="240" w:lineRule="auto"/>
      </w:pPr>
      <w:rPr>
        <w:b/>
        <w:bCs/>
      </w:rPr>
      <w:tblPr/>
      <w:tcPr>
        <w:tcBorders>
          <w:top w:val="double" w:color="404040" w:sz="6" w:space="0"/>
          <w:left w:val="single" w:color="404040" w:sz="8" w:space="0"/>
          <w:bottom w:val="single" w:color="404040" w:sz="8" w:space="0"/>
          <w:right w:val="single" w:color="404040" w:sz="8" w:space="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173">
    <w:name w:val="Medium Shading 1 Accent 1"/>
    <w:basedOn w:val="12"/>
    <w:qFormat/>
    <w:uiPriority w:val="63"/>
    <w:tblPr>
      <w:tblBorders>
        <w:top w:val="single" w:color="7BA0CD" w:sz="8" w:space="0"/>
        <w:left w:val="single" w:color="7BA0CD" w:sz="8" w:space="0"/>
        <w:bottom w:val="single" w:color="7BA0CD" w:sz="8" w:space="0"/>
        <w:right w:val="single" w:color="7BA0CD" w:sz="8" w:space="0"/>
        <w:insideH w:val="single" w:color="7BA0CD" w:sz="8" w:space="0"/>
      </w:tblBorders>
    </w:tblPr>
    <w:tblStylePr w:type="firstRow">
      <w:pPr>
        <w:spacing w:before="0" w:after="0" w:line="240" w:lineRule="auto"/>
      </w:pPr>
      <w:rPr>
        <w:b/>
        <w:bCs/>
        <w:color w:val="FFFFFF"/>
      </w:rPr>
      <w:tblPr/>
      <w:tcPr>
        <w:tcBorders>
          <w:top w:val="single" w:color="7BA0CD" w:sz="8" w:space="0"/>
          <w:left w:val="single" w:color="7BA0CD" w:sz="8" w:space="0"/>
          <w:bottom w:val="single" w:color="7BA0CD" w:sz="8" w:space="0"/>
          <w:right w:val="single" w:color="7BA0CD" w:sz="8" w:space="0"/>
          <w:insideH w:val="nil"/>
          <w:insideV w:val="nil"/>
        </w:tcBorders>
        <w:shd w:val="clear" w:color="auto" w:fill="4F81BD"/>
      </w:tcPr>
    </w:tblStylePr>
    <w:tblStylePr w:type="lastRow">
      <w:pPr>
        <w:spacing w:before="0" w:after="0" w:line="240" w:lineRule="auto"/>
      </w:pPr>
      <w:rPr>
        <w:b/>
        <w:bCs/>
      </w:rPr>
      <w:tblPr/>
      <w:tcPr>
        <w:tcBorders>
          <w:top w:val="double" w:color="7BA0CD" w:sz="6" w:space="0"/>
          <w:left w:val="single" w:color="7BA0CD" w:sz="8" w:space="0"/>
          <w:bottom w:val="single" w:color="7BA0CD" w:sz="8" w:space="0"/>
          <w:right w:val="single" w:color="7BA0CD" w:sz="8" w:space="0"/>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174">
    <w:name w:val="Medium Shading 1 Accent 2"/>
    <w:basedOn w:val="12"/>
    <w:uiPriority w:val="63"/>
    <w:tblPr>
      <w:tblBorders>
        <w:top w:val="single" w:color="CF7B79" w:sz="8" w:space="0"/>
        <w:left w:val="single" w:color="CF7B79" w:sz="8" w:space="0"/>
        <w:bottom w:val="single" w:color="CF7B79" w:sz="8" w:space="0"/>
        <w:right w:val="single" w:color="CF7B79" w:sz="8" w:space="0"/>
        <w:insideH w:val="single" w:color="CF7B79" w:sz="8" w:space="0"/>
      </w:tblBorders>
    </w:tblPr>
    <w:tblStylePr w:type="firstRow">
      <w:pPr>
        <w:spacing w:before="0" w:after="0" w:line="240" w:lineRule="auto"/>
      </w:pPr>
      <w:rPr>
        <w:b/>
        <w:bCs/>
        <w:color w:val="FFFFFF"/>
      </w:rPr>
      <w:tblPr/>
      <w:tcPr>
        <w:tcBorders>
          <w:top w:val="single" w:color="CF7B79" w:sz="8" w:space="0"/>
          <w:left w:val="single" w:color="CF7B79" w:sz="8" w:space="0"/>
          <w:bottom w:val="single" w:color="CF7B79" w:sz="8" w:space="0"/>
          <w:right w:val="single" w:color="CF7B79" w:sz="8" w:space="0"/>
          <w:insideH w:val="nil"/>
          <w:insideV w:val="nil"/>
        </w:tcBorders>
        <w:shd w:val="clear" w:color="auto" w:fill="C0504D"/>
      </w:tcPr>
    </w:tblStylePr>
    <w:tblStylePr w:type="lastRow">
      <w:pPr>
        <w:spacing w:before="0" w:after="0" w:line="240" w:lineRule="auto"/>
      </w:pPr>
      <w:rPr>
        <w:b/>
        <w:bCs/>
      </w:rPr>
      <w:tblPr/>
      <w:tcPr>
        <w:tcBorders>
          <w:top w:val="double" w:color="CF7B79" w:sz="6" w:space="0"/>
          <w:left w:val="single" w:color="CF7B79" w:sz="8" w:space="0"/>
          <w:bottom w:val="single" w:color="CF7B79" w:sz="8" w:space="0"/>
          <w:right w:val="single" w:color="CF7B79" w:sz="8" w:space="0"/>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175">
    <w:name w:val="Medium Shading 1 Accent 3"/>
    <w:basedOn w:val="12"/>
    <w:qFormat/>
    <w:uiPriority w:val="63"/>
    <w:tblPr>
      <w:tblBorders>
        <w:top w:val="single" w:color="B3CC82" w:sz="8" w:space="0"/>
        <w:left w:val="single" w:color="B3CC82" w:sz="8" w:space="0"/>
        <w:bottom w:val="single" w:color="B3CC82" w:sz="8" w:space="0"/>
        <w:right w:val="single" w:color="B3CC82" w:sz="8" w:space="0"/>
        <w:insideH w:val="single" w:color="B3CC82" w:sz="8" w:space="0"/>
      </w:tblBorders>
    </w:tblPr>
    <w:tblStylePr w:type="firstRow">
      <w:pPr>
        <w:spacing w:before="0" w:after="0" w:line="240" w:lineRule="auto"/>
      </w:pPr>
      <w:rPr>
        <w:b/>
        <w:bCs/>
        <w:color w:val="FFFFFF"/>
      </w:rPr>
      <w:tblPr/>
      <w:tcPr>
        <w:tcBorders>
          <w:top w:val="single" w:color="B3CC82" w:sz="8" w:space="0"/>
          <w:left w:val="single" w:color="B3CC82" w:sz="8" w:space="0"/>
          <w:bottom w:val="single" w:color="B3CC82" w:sz="8" w:space="0"/>
          <w:right w:val="single" w:color="B3CC82" w:sz="8" w:space="0"/>
          <w:insideH w:val="nil"/>
          <w:insideV w:val="nil"/>
        </w:tcBorders>
        <w:shd w:val="clear" w:color="auto" w:fill="9BBB59"/>
      </w:tcPr>
    </w:tblStylePr>
    <w:tblStylePr w:type="lastRow">
      <w:pPr>
        <w:spacing w:before="0" w:after="0" w:line="240" w:lineRule="auto"/>
      </w:pPr>
      <w:rPr>
        <w:b/>
        <w:bCs/>
      </w:rPr>
      <w:tblPr/>
      <w:tcPr>
        <w:tcBorders>
          <w:top w:val="double" w:color="B3CC82" w:sz="6" w:space="0"/>
          <w:left w:val="single" w:color="B3CC82" w:sz="8" w:space="0"/>
          <w:bottom w:val="single" w:color="B3CC82" w:sz="8" w:space="0"/>
          <w:right w:val="single" w:color="B3CC82" w:sz="8" w:space="0"/>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176">
    <w:name w:val="Medium Shading 1 Accent 4"/>
    <w:basedOn w:val="12"/>
    <w:qFormat/>
    <w:uiPriority w:val="63"/>
    <w:tblPr>
      <w:tblBorders>
        <w:top w:val="single" w:color="9F8AB9" w:sz="8" w:space="0"/>
        <w:left w:val="single" w:color="9F8AB9" w:sz="8" w:space="0"/>
        <w:bottom w:val="single" w:color="9F8AB9" w:sz="8" w:space="0"/>
        <w:right w:val="single" w:color="9F8AB9" w:sz="8" w:space="0"/>
        <w:insideH w:val="single" w:color="9F8AB9" w:sz="8" w:space="0"/>
      </w:tblBorders>
    </w:tblPr>
    <w:tblStylePr w:type="firstRow">
      <w:pPr>
        <w:spacing w:before="0" w:after="0" w:line="240" w:lineRule="auto"/>
      </w:pPr>
      <w:rPr>
        <w:b/>
        <w:bCs/>
        <w:color w:val="FFFFFF"/>
      </w:rPr>
      <w:tblPr/>
      <w:tcPr>
        <w:tcBorders>
          <w:top w:val="single" w:color="9F8AB9" w:sz="8" w:space="0"/>
          <w:left w:val="single" w:color="9F8AB9" w:sz="8" w:space="0"/>
          <w:bottom w:val="single" w:color="9F8AB9" w:sz="8" w:space="0"/>
          <w:right w:val="single" w:color="9F8AB9" w:sz="8" w:space="0"/>
          <w:insideH w:val="nil"/>
          <w:insideV w:val="nil"/>
        </w:tcBorders>
        <w:shd w:val="clear" w:color="auto" w:fill="8064A2"/>
      </w:tcPr>
    </w:tblStylePr>
    <w:tblStylePr w:type="lastRow">
      <w:pPr>
        <w:spacing w:before="0" w:after="0" w:line="240" w:lineRule="auto"/>
      </w:pPr>
      <w:rPr>
        <w:b/>
        <w:bCs/>
      </w:rPr>
      <w:tblPr/>
      <w:tcPr>
        <w:tcBorders>
          <w:top w:val="double" w:color="9F8AB9" w:sz="6" w:space="0"/>
          <w:left w:val="single" w:color="9F8AB9" w:sz="8" w:space="0"/>
          <w:bottom w:val="single" w:color="9F8AB9" w:sz="8" w:space="0"/>
          <w:right w:val="single" w:color="9F8AB9" w:sz="8" w:space="0"/>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177">
    <w:name w:val="Medium Shading 1 Accent 5"/>
    <w:basedOn w:val="12"/>
    <w:qFormat/>
    <w:uiPriority w:val="63"/>
    <w:tblPr>
      <w:tblBorders>
        <w:top w:val="single" w:color="78C0D4" w:sz="8" w:space="0"/>
        <w:left w:val="single" w:color="78C0D4" w:sz="8" w:space="0"/>
        <w:bottom w:val="single" w:color="78C0D4" w:sz="8" w:space="0"/>
        <w:right w:val="single" w:color="78C0D4" w:sz="8" w:space="0"/>
        <w:insideH w:val="single" w:color="78C0D4" w:sz="8" w:space="0"/>
      </w:tblBorders>
    </w:tblPr>
    <w:tblStylePr w:type="firstRow">
      <w:pPr>
        <w:spacing w:before="0" w:after="0" w:line="240" w:lineRule="auto"/>
      </w:pPr>
      <w:rPr>
        <w:b/>
        <w:bCs/>
        <w:color w:val="FFFFFF"/>
      </w:rPr>
      <w:tblPr/>
      <w:tcPr>
        <w:tcBorders>
          <w:top w:val="single" w:color="78C0D4" w:sz="8" w:space="0"/>
          <w:left w:val="single" w:color="78C0D4" w:sz="8" w:space="0"/>
          <w:bottom w:val="single" w:color="78C0D4" w:sz="8" w:space="0"/>
          <w:right w:val="single" w:color="78C0D4" w:sz="8" w:space="0"/>
          <w:insideH w:val="nil"/>
          <w:insideV w:val="nil"/>
        </w:tcBorders>
        <w:shd w:val="clear" w:color="auto" w:fill="4BACC6"/>
      </w:tcPr>
    </w:tblStylePr>
    <w:tblStylePr w:type="lastRow">
      <w:pPr>
        <w:spacing w:before="0" w:after="0" w:line="240" w:lineRule="auto"/>
      </w:pPr>
      <w:rPr>
        <w:b/>
        <w:bCs/>
      </w:rPr>
      <w:tblPr/>
      <w:tcPr>
        <w:tcBorders>
          <w:top w:val="double" w:color="78C0D4" w:sz="6" w:space="0"/>
          <w:left w:val="single" w:color="78C0D4" w:sz="8" w:space="0"/>
          <w:bottom w:val="single" w:color="78C0D4" w:sz="8" w:space="0"/>
          <w:right w:val="single" w:color="78C0D4" w:sz="8" w:space="0"/>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178">
    <w:name w:val="Medium Shading 1 Accent 6"/>
    <w:basedOn w:val="12"/>
    <w:qFormat/>
    <w:uiPriority w:val="63"/>
    <w:tblPr>
      <w:tblBorders>
        <w:top w:val="single" w:color="F9B074" w:sz="8" w:space="0"/>
        <w:left w:val="single" w:color="F9B074" w:sz="8" w:space="0"/>
        <w:bottom w:val="single" w:color="F9B074" w:sz="8" w:space="0"/>
        <w:right w:val="single" w:color="F9B074" w:sz="8" w:space="0"/>
        <w:insideH w:val="single" w:color="F9B074" w:sz="8" w:space="0"/>
      </w:tblBorders>
    </w:tblPr>
    <w:tblStylePr w:type="firstRow">
      <w:pPr>
        <w:spacing w:before="0" w:after="0" w:line="240" w:lineRule="auto"/>
      </w:pPr>
      <w:rPr>
        <w:b/>
        <w:bCs/>
        <w:color w:val="FFFFFF"/>
      </w:rPr>
      <w:tblPr/>
      <w:tcPr>
        <w:tcBorders>
          <w:top w:val="single" w:color="F9B074" w:sz="8" w:space="0"/>
          <w:left w:val="single" w:color="F9B074" w:sz="8" w:space="0"/>
          <w:bottom w:val="single" w:color="F9B074" w:sz="8" w:space="0"/>
          <w:right w:val="single" w:color="F9B074" w:sz="8" w:space="0"/>
          <w:insideH w:val="nil"/>
          <w:insideV w:val="nil"/>
        </w:tcBorders>
        <w:shd w:val="clear" w:color="auto" w:fill="F79646"/>
      </w:tcPr>
    </w:tblStylePr>
    <w:tblStylePr w:type="lastRow">
      <w:pPr>
        <w:spacing w:before="0" w:after="0" w:line="240" w:lineRule="auto"/>
      </w:pPr>
      <w:rPr>
        <w:b/>
        <w:bCs/>
      </w:rPr>
      <w:tblPr/>
      <w:tcPr>
        <w:tcBorders>
          <w:top w:val="double" w:color="F9B074" w:sz="6" w:space="0"/>
          <w:left w:val="single" w:color="F9B074" w:sz="8" w:space="0"/>
          <w:bottom w:val="single" w:color="F9B074" w:sz="8" w:space="0"/>
          <w:right w:val="single" w:color="F9B074" w:sz="8" w:space="0"/>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179">
    <w:name w:val="Medium Shading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000000"/>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000000"/>
      </w:tcPr>
    </w:tblStylePr>
    <w:tblStylePr w:type="lastCol">
      <w:rPr>
        <w:b/>
        <w:bCs/>
        <w:color w:val="FFFFFF"/>
      </w:rPr>
      <w:tblPr/>
      <w:tcPr>
        <w:tcBorders>
          <w:bottom w:val="nil"/>
          <w:right w:val="nil"/>
          <w:insideH w:val="nil"/>
          <w:insideV w:val="nil"/>
        </w:tcBorders>
        <w:shd w:val="clear" w:color="auto" w:fill="000000"/>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0">
    <w:name w:val="Medium Shading 2 Accent 1"/>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F81B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F81BD"/>
      </w:tcPr>
    </w:tblStylePr>
    <w:tblStylePr w:type="lastCol">
      <w:rPr>
        <w:b/>
        <w:bCs/>
        <w:color w:val="FFFFFF"/>
      </w:rPr>
      <w:tblPr/>
      <w:tcPr>
        <w:tcBorders>
          <w:bottom w:val="nil"/>
          <w:right w:val="nil"/>
          <w:insideH w:val="nil"/>
          <w:insideV w:val="nil"/>
        </w:tcBorders>
        <w:shd w:val="clear" w:color="auto" w:fill="4F81B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1">
    <w:name w:val="Medium Shading 2 Accent 2"/>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C0504D"/>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C0504D"/>
      </w:tcPr>
    </w:tblStylePr>
    <w:tblStylePr w:type="lastCol">
      <w:rPr>
        <w:b/>
        <w:bCs/>
        <w:color w:val="FFFFFF"/>
      </w:rPr>
      <w:tblPr/>
      <w:tcPr>
        <w:tcBorders>
          <w:bottom w:val="nil"/>
          <w:right w:val="nil"/>
          <w:insideH w:val="nil"/>
          <w:insideV w:val="nil"/>
        </w:tcBorders>
        <w:shd w:val="clear" w:color="auto" w:fill="C0504D"/>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2">
    <w:name w:val="Medium Shading 2 Accent 3"/>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9BBB59"/>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9BBB59"/>
      </w:tcPr>
    </w:tblStylePr>
    <w:tblStylePr w:type="lastCol">
      <w:rPr>
        <w:b/>
        <w:bCs/>
        <w:color w:val="FFFFFF"/>
      </w:rPr>
      <w:tblPr/>
      <w:tcPr>
        <w:tcBorders>
          <w:bottom w:val="nil"/>
          <w:right w:val="nil"/>
          <w:insideH w:val="nil"/>
          <w:insideV w:val="nil"/>
        </w:tcBorders>
        <w:shd w:val="clear" w:color="auto" w:fill="9BBB59"/>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3">
    <w:name w:val="Medium Shading 2 Accent 4"/>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8064A2"/>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8064A2"/>
      </w:tcPr>
    </w:tblStylePr>
    <w:tblStylePr w:type="lastCol">
      <w:rPr>
        <w:b/>
        <w:bCs/>
        <w:color w:val="FFFFFF"/>
      </w:rPr>
      <w:tblPr/>
      <w:tcPr>
        <w:tcBorders>
          <w:bottom w:val="nil"/>
          <w:right w:val="nil"/>
          <w:insideH w:val="nil"/>
          <w:insideV w:val="nil"/>
        </w:tcBorders>
        <w:shd w:val="clear" w:color="auto" w:fill="8064A2"/>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4">
    <w:name w:val="Medium Shading 2 Accent 5"/>
    <w:basedOn w:val="12"/>
    <w:qFormat/>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4BACC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4BACC6"/>
      </w:tcPr>
    </w:tblStylePr>
    <w:tblStylePr w:type="lastCol">
      <w:rPr>
        <w:b/>
        <w:bCs/>
        <w:color w:val="FFFFFF"/>
      </w:rPr>
      <w:tblPr/>
      <w:tcPr>
        <w:tcBorders>
          <w:bottom w:val="nil"/>
          <w:right w:val="nil"/>
          <w:insideH w:val="nil"/>
          <w:insideV w:val="nil"/>
        </w:tcBorders>
        <w:shd w:val="clear" w:color="auto" w:fill="4BACC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5">
    <w:name w:val="Medium Shading 2 Accent 6"/>
    <w:basedOn w:val="12"/>
    <w:uiPriority w:val="64"/>
    <w:tblPr>
      <w:tblBorders>
        <w:top w:val="single" w:color="auto" w:sz="18" w:space="0"/>
        <w:bottom w:val="single" w:color="auto" w:sz="18" w:space="0"/>
      </w:tblBorders>
    </w:tblPr>
    <w:tblStylePr w:type="firstRow">
      <w:pPr>
        <w:spacing w:before="0" w:after="0" w:line="240" w:lineRule="auto"/>
      </w:pPr>
      <w:rPr>
        <w:b/>
        <w:bCs/>
        <w:color w:val="FFFFFF"/>
      </w:rPr>
      <w:tblPr/>
      <w:tcPr>
        <w:tcBorders>
          <w:top w:val="single" w:color="auto" w:sz="18" w:space="0"/>
          <w:left w:val="single" w:color="auto" w:sz="18" w:space="0"/>
          <w:bottom w:val="nil"/>
          <w:right w:val="nil"/>
          <w:insideH w:val="nil"/>
          <w:insideV w:val="nil"/>
        </w:tcBorders>
        <w:shd w:val="clear" w:color="auto" w:fill="F79646"/>
      </w:tcPr>
    </w:tblStylePr>
    <w:tblStylePr w:type="lastRow">
      <w:pPr>
        <w:spacing w:before="0" w:after="0" w:line="240" w:lineRule="auto"/>
      </w:pPr>
      <w:rPr>
        <w:color w:val="auto"/>
      </w:rPr>
      <w:tblPr/>
      <w:tcPr>
        <w:tcBorders>
          <w:top w:val="double" w:color="auto" w:sz="6" w:space="0"/>
          <w:left w:val="single" w:color="auto" w:sz="18" w:space="0"/>
          <w:bottom w:val="nil"/>
          <w:right w:val="nil"/>
          <w:insideH w:val="nil"/>
          <w:insideV w:val="nil"/>
        </w:tcBorders>
        <w:shd w:val="clear" w:color="auto" w:fill="FFFFFF"/>
      </w:tcPr>
    </w:tblStylePr>
    <w:tblStylePr w:type="firstCol">
      <w:rPr>
        <w:b/>
        <w:bCs/>
        <w:color w:val="FFFFFF"/>
      </w:rPr>
      <w:tblPr/>
      <w:tcPr>
        <w:tcBorders>
          <w:top w:val="nil"/>
          <w:left w:val="single" w:color="auto" w:sz="18" w:space="0"/>
          <w:bottom w:val="nil"/>
          <w:right w:val="nil"/>
          <w:insideH w:val="nil"/>
          <w:insideV w:val="nil"/>
        </w:tcBorders>
        <w:shd w:val="clear" w:color="auto" w:fill="F79646"/>
      </w:tcPr>
    </w:tblStylePr>
    <w:tblStylePr w:type="lastCol">
      <w:rPr>
        <w:b/>
        <w:bCs/>
        <w:color w:val="FFFFFF"/>
      </w:rPr>
      <w:tblPr/>
      <w:tcPr>
        <w:tcBorders>
          <w:bottom w:val="nil"/>
          <w:right w:val="nil"/>
          <w:insideH w:val="nil"/>
          <w:insideV w:val="nil"/>
        </w:tcBorders>
        <w:shd w:val="clear" w:color="auto" w:fill="F79646"/>
      </w:tcPr>
    </w:tblStylePr>
    <w:tblStylePr w:type="band1Vert">
      <w:tblPr/>
      <w:tcPr>
        <w:tcBorders>
          <w:bottom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color="auto" w:sz="18" w:space="0"/>
          <w:left w:val="single" w:color="auto" w:sz="18" w:space="0"/>
          <w:bottom w:val="nil"/>
          <w:right w:val="nil"/>
          <w:insideH w:val="nil"/>
          <w:insideV w:val="nil"/>
        </w:tcBorders>
      </w:tcPr>
    </w:tblStylePr>
    <w:tblStylePr w:type="nwCell">
      <w:rPr>
        <w:color w:val="FFFFFF"/>
      </w:rPr>
      <w:tblPr/>
      <w:tcPr>
        <w:tcBorders>
          <w:top w:val="single" w:color="auto" w:sz="18" w:space="0"/>
          <w:left w:val="single" w:color="auto" w:sz="18" w:space="0"/>
          <w:bottom w:val="nil"/>
          <w:right w:val="nil"/>
          <w:insideH w:val="nil"/>
          <w:insideV w:val="nil"/>
        </w:tcBorders>
      </w:tcPr>
    </w:tblStylePr>
  </w:style>
  <w:style w:type="table" w:styleId="186">
    <w:name w:val="Medium List 1"/>
    <w:basedOn w:val="12"/>
    <w:uiPriority w:val="65"/>
    <w:rPr>
      <w:color w:val="000000"/>
    </w:rPr>
    <w:tblPr>
      <w:tblBorders>
        <w:top w:val="single" w:color="000000" w:sz="8" w:space="0"/>
        <w:bottom w:val="single" w:color="000000" w:sz="8" w:space="0"/>
      </w:tblBorders>
    </w:tblPr>
    <w:tblStylePr w:type="firstRow">
      <w:rPr>
        <w:rFonts w:cs="Times New Roman"/>
      </w:rPr>
      <w:tblPr/>
      <w:tcPr>
        <w:tcBorders>
          <w:top w:val="nil"/>
          <w:left w:val="single" w:color="000000" w:sz="8" w:space="0"/>
        </w:tcBorders>
      </w:tcPr>
    </w:tblStylePr>
    <w:tblStylePr w:type="lastRow">
      <w:rPr>
        <w:b/>
        <w:bCs/>
        <w:color w:val="1F497D"/>
      </w:rPr>
      <w:tblPr/>
      <w:tcPr>
        <w:tcBorders>
          <w:top w:val="single" w:color="000000" w:sz="8" w:space="0"/>
          <w:left w:val="single" w:color="000000" w:sz="8" w:space="0"/>
        </w:tcBorders>
      </w:tcPr>
    </w:tblStylePr>
    <w:tblStylePr w:type="firstCol">
      <w:rPr>
        <w:b/>
        <w:bCs/>
      </w:rPr>
    </w:tblStylePr>
    <w:tblStylePr w:type="lastCol">
      <w:rPr>
        <w:b/>
        <w:bCs/>
      </w:rPr>
      <w:tblPr/>
      <w:tcPr>
        <w:tcBorders>
          <w:top w:val="single" w:color="000000" w:sz="8" w:space="0"/>
          <w:left w:val="single" w:color="000000" w:sz="8" w:space="0"/>
        </w:tcBorders>
      </w:tcPr>
    </w:tblStylePr>
    <w:tblStylePr w:type="band1Vert">
      <w:tblPr/>
      <w:tcPr>
        <w:shd w:val="clear" w:color="auto" w:fill="C0C0C0"/>
      </w:tcPr>
    </w:tblStylePr>
    <w:tblStylePr w:type="band1Horz">
      <w:tblPr/>
      <w:tcPr>
        <w:shd w:val="clear" w:color="auto" w:fill="C0C0C0"/>
      </w:tcPr>
    </w:tblStylePr>
  </w:style>
  <w:style w:type="table" w:styleId="187">
    <w:name w:val="Medium List 1 Accent 1"/>
    <w:basedOn w:val="12"/>
    <w:uiPriority w:val="65"/>
    <w:rPr>
      <w:color w:val="000000"/>
    </w:rPr>
    <w:tblPr>
      <w:tblBorders>
        <w:top w:val="single" w:color="4F81BD" w:sz="8" w:space="0"/>
        <w:bottom w:val="single" w:color="4F81BD" w:sz="8" w:space="0"/>
      </w:tblBorders>
    </w:tblPr>
    <w:tblStylePr w:type="firstRow">
      <w:rPr>
        <w:rFonts w:cs="Times New Roman"/>
      </w:rPr>
      <w:tblPr/>
      <w:tcPr>
        <w:tcBorders>
          <w:top w:val="nil"/>
          <w:left w:val="single" w:color="4F81BD" w:sz="8" w:space="0"/>
        </w:tcBorders>
      </w:tcPr>
    </w:tblStylePr>
    <w:tblStylePr w:type="lastRow">
      <w:rPr>
        <w:b/>
        <w:bCs/>
        <w:color w:val="1F497D"/>
      </w:rPr>
      <w:tblPr/>
      <w:tcPr>
        <w:tcBorders>
          <w:top w:val="single" w:color="4F81BD" w:sz="8" w:space="0"/>
          <w:left w:val="single" w:color="4F81BD" w:sz="8" w:space="0"/>
        </w:tcBorders>
      </w:tcPr>
    </w:tblStylePr>
    <w:tblStylePr w:type="firstCol">
      <w:rPr>
        <w:b/>
        <w:bCs/>
      </w:rPr>
    </w:tblStylePr>
    <w:tblStylePr w:type="lastCol">
      <w:rPr>
        <w:b/>
        <w:bCs/>
      </w:rPr>
      <w:tblPr/>
      <w:tcPr>
        <w:tcBorders>
          <w:top w:val="single" w:color="4F81BD" w:sz="8" w:space="0"/>
          <w:left w:val="single" w:color="4F81BD" w:sz="8" w:space="0"/>
        </w:tcBorders>
      </w:tcPr>
    </w:tblStylePr>
    <w:tblStylePr w:type="band1Vert">
      <w:tblPr/>
      <w:tcPr>
        <w:shd w:val="clear" w:color="auto" w:fill="D3DFEE"/>
      </w:tcPr>
    </w:tblStylePr>
    <w:tblStylePr w:type="band1Horz">
      <w:tblPr/>
      <w:tcPr>
        <w:shd w:val="clear" w:color="auto" w:fill="D3DFEE"/>
      </w:tcPr>
    </w:tblStylePr>
  </w:style>
  <w:style w:type="table" w:styleId="188">
    <w:name w:val="Medium List 1 Accent 2"/>
    <w:basedOn w:val="12"/>
    <w:uiPriority w:val="65"/>
    <w:rPr>
      <w:color w:val="000000"/>
    </w:rPr>
    <w:tblPr>
      <w:tblBorders>
        <w:top w:val="single" w:color="C0504D" w:sz="8" w:space="0"/>
        <w:bottom w:val="single" w:color="C0504D" w:sz="8" w:space="0"/>
      </w:tblBorders>
    </w:tblPr>
    <w:tblStylePr w:type="firstRow">
      <w:rPr>
        <w:rFonts w:cs="Times New Roman"/>
      </w:rPr>
      <w:tblPr/>
      <w:tcPr>
        <w:tcBorders>
          <w:top w:val="nil"/>
          <w:left w:val="single" w:color="C0504D" w:sz="8" w:space="0"/>
        </w:tcBorders>
      </w:tcPr>
    </w:tblStylePr>
    <w:tblStylePr w:type="lastRow">
      <w:rPr>
        <w:b/>
        <w:bCs/>
        <w:color w:val="1F497D"/>
      </w:rPr>
      <w:tblPr/>
      <w:tcPr>
        <w:tcBorders>
          <w:top w:val="single" w:color="C0504D" w:sz="8" w:space="0"/>
          <w:left w:val="single" w:color="C0504D" w:sz="8" w:space="0"/>
        </w:tcBorders>
      </w:tcPr>
    </w:tblStylePr>
    <w:tblStylePr w:type="firstCol">
      <w:rPr>
        <w:b/>
        <w:bCs/>
      </w:rPr>
    </w:tblStylePr>
    <w:tblStylePr w:type="lastCol">
      <w:rPr>
        <w:b/>
        <w:bCs/>
      </w:rPr>
      <w:tblPr/>
      <w:tcPr>
        <w:tcBorders>
          <w:top w:val="single" w:color="C0504D" w:sz="8" w:space="0"/>
          <w:left w:val="single" w:color="C0504D" w:sz="8" w:space="0"/>
        </w:tcBorders>
      </w:tcPr>
    </w:tblStylePr>
    <w:tblStylePr w:type="band1Vert">
      <w:tblPr/>
      <w:tcPr>
        <w:shd w:val="clear" w:color="auto" w:fill="EFD3D2"/>
      </w:tcPr>
    </w:tblStylePr>
    <w:tblStylePr w:type="band1Horz">
      <w:tblPr/>
      <w:tcPr>
        <w:shd w:val="clear" w:color="auto" w:fill="EFD3D2"/>
      </w:tcPr>
    </w:tblStylePr>
  </w:style>
  <w:style w:type="table" w:styleId="189">
    <w:name w:val="Medium List 1 Accent 3"/>
    <w:basedOn w:val="12"/>
    <w:uiPriority w:val="65"/>
    <w:rPr>
      <w:color w:val="000000"/>
    </w:rPr>
    <w:tblPr>
      <w:tblBorders>
        <w:top w:val="single" w:color="9BBB59" w:sz="8" w:space="0"/>
        <w:bottom w:val="single" w:color="9BBB59" w:sz="8" w:space="0"/>
      </w:tblBorders>
    </w:tblPr>
    <w:tblStylePr w:type="firstRow">
      <w:rPr>
        <w:rFonts w:cs="Times New Roman"/>
      </w:rPr>
      <w:tblPr/>
      <w:tcPr>
        <w:tcBorders>
          <w:top w:val="nil"/>
          <w:left w:val="single" w:color="9BBB59" w:sz="8" w:space="0"/>
        </w:tcBorders>
      </w:tcPr>
    </w:tblStylePr>
    <w:tblStylePr w:type="lastRow">
      <w:rPr>
        <w:b/>
        <w:bCs/>
        <w:color w:val="1F497D"/>
      </w:rPr>
      <w:tblPr/>
      <w:tcPr>
        <w:tcBorders>
          <w:top w:val="single" w:color="9BBB59" w:sz="8" w:space="0"/>
          <w:left w:val="single" w:color="9BBB59" w:sz="8" w:space="0"/>
        </w:tcBorders>
      </w:tcPr>
    </w:tblStylePr>
    <w:tblStylePr w:type="firstCol">
      <w:rPr>
        <w:b/>
        <w:bCs/>
      </w:rPr>
    </w:tblStylePr>
    <w:tblStylePr w:type="lastCol">
      <w:rPr>
        <w:b/>
        <w:bCs/>
      </w:rPr>
      <w:tblPr/>
      <w:tcPr>
        <w:tcBorders>
          <w:top w:val="single" w:color="9BBB59" w:sz="8" w:space="0"/>
          <w:left w:val="single" w:color="9BBB59" w:sz="8" w:space="0"/>
        </w:tcBorders>
      </w:tcPr>
    </w:tblStylePr>
    <w:tblStylePr w:type="band1Vert">
      <w:tblPr/>
      <w:tcPr>
        <w:shd w:val="clear" w:color="auto" w:fill="E6EED5"/>
      </w:tcPr>
    </w:tblStylePr>
    <w:tblStylePr w:type="band1Horz">
      <w:tblPr/>
      <w:tcPr>
        <w:shd w:val="clear" w:color="auto" w:fill="E6EED5"/>
      </w:tcPr>
    </w:tblStylePr>
  </w:style>
  <w:style w:type="table" w:styleId="190">
    <w:name w:val="Medium List 1 Accent 4"/>
    <w:basedOn w:val="12"/>
    <w:uiPriority w:val="65"/>
    <w:rPr>
      <w:color w:val="000000"/>
    </w:rPr>
    <w:tblPr>
      <w:tblBorders>
        <w:top w:val="single" w:color="8064A2" w:sz="8" w:space="0"/>
        <w:bottom w:val="single" w:color="8064A2" w:sz="8" w:space="0"/>
      </w:tblBorders>
    </w:tblPr>
    <w:tblStylePr w:type="firstRow">
      <w:rPr>
        <w:rFonts w:cs="Times New Roman"/>
      </w:rPr>
      <w:tblPr/>
      <w:tcPr>
        <w:tcBorders>
          <w:top w:val="nil"/>
          <w:left w:val="single" w:color="8064A2" w:sz="8" w:space="0"/>
        </w:tcBorders>
      </w:tcPr>
    </w:tblStylePr>
    <w:tblStylePr w:type="lastRow">
      <w:rPr>
        <w:b/>
        <w:bCs/>
        <w:color w:val="1F497D"/>
      </w:rPr>
      <w:tblPr/>
      <w:tcPr>
        <w:tcBorders>
          <w:top w:val="single" w:color="8064A2" w:sz="8" w:space="0"/>
          <w:left w:val="single" w:color="8064A2" w:sz="8" w:space="0"/>
        </w:tcBorders>
      </w:tcPr>
    </w:tblStylePr>
    <w:tblStylePr w:type="firstCol">
      <w:rPr>
        <w:b/>
        <w:bCs/>
      </w:rPr>
    </w:tblStylePr>
    <w:tblStylePr w:type="lastCol">
      <w:rPr>
        <w:b/>
        <w:bCs/>
      </w:rPr>
      <w:tblPr/>
      <w:tcPr>
        <w:tcBorders>
          <w:top w:val="single" w:color="8064A2" w:sz="8" w:space="0"/>
          <w:left w:val="single" w:color="8064A2" w:sz="8" w:space="0"/>
        </w:tcBorders>
      </w:tcPr>
    </w:tblStylePr>
    <w:tblStylePr w:type="band1Vert">
      <w:tblPr/>
      <w:tcPr>
        <w:shd w:val="clear" w:color="auto" w:fill="DFD8E8"/>
      </w:tcPr>
    </w:tblStylePr>
    <w:tblStylePr w:type="band1Horz">
      <w:tblPr/>
      <w:tcPr>
        <w:shd w:val="clear" w:color="auto" w:fill="DFD8E8"/>
      </w:tcPr>
    </w:tblStylePr>
  </w:style>
  <w:style w:type="table" w:styleId="191">
    <w:name w:val="Medium List 1 Accent 5"/>
    <w:basedOn w:val="12"/>
    <w:uiPriority w:val="65"/>
    <w:rPr>
      <w:color w:val="000000"/>
    </w:rPr>
    <w:tblPr>
      <w:tblBorders>
        <w:top w:val="single" w:color="4BACC6" w:sz="8" w:space="0"/>
        <w:bottom w:val="single" w:color="4BACC6" w:sz="8" w:space="0"/>
      </w:tblBorders>
    </w:tblPr>
    <w:tblStylePr w:type="firstRow">
      <w:rPr>
        <w:rFonts w:cs="Times New Roman"/>
      </w:rPr>
      <w:tblPr/>
      <w:tcPr>
        <w:tcBorders>
          <w:top w:val="nil"/>
          <w:left w:val="single" w:color="4BACC6" w:sz="8" w:space="0"/>
        </w:tcBorders>
      </w:tcPr>
    </w:tblStylePr>
    <w:tblStylePr w:type="lastRow">
      <w:rPr>
        <w:b/>
        <w:bCs/>
        <w:color w:val="1F497D"/>
      </w:rPr>
      <w:tblPr/>
      <w:tcPr>
        <w:tcBorders>
          <w:top w:val="single" w:color="4BACC6" w:sz="8" w:space="0"/>
          <w:left w:val="single" w:color="4BACC6" w:sz="8" w:space="0"/>
        </w:tcBorders>
      </w:tcPr>
    </w:tblStylePr>
    <w:tblStylePr w:type="firstCol">
      <w:rPr>
        <w:b/>
        <w:bCs/>
      </w:rPr>
    </w:tblStylePr>
    <w:tblStylePr w:type="lastCol">
      <w:rPr>
        <w:b/>
        <w:bCs/>
      </w:rPr>
      <w:tblPr/>
      <w:tcPr>
        <w:tcBorders>
          <w:top w:val="single" w:color="4BACC6" w:sz="8" w:space="0"/>
          <w:left w:val="single" w:color="4BACC6" w:sz="8" w:space="0"/>
        </w:tcBorders>
      </w:tcPr>
    </w:tblStylePr>
    <w:tblStylePr w:type="band1Vert">
      <w:tblPr/>
      <w:tcPr>
        <w:shd w:val="clear" w:color="auto" w:fill="D2EAF1"/>
      </w:tcPr>
    </w:tblStylePr>
    <w:tblStylePr w:type="band1Horz">
      <w:tblPr/>
      <w:tcPr>
        <w:shd w:val="clear" w:color="auto" w:fill="D2EAF1"/>
      </w:tcPr>
    </w:tblStylePr>
  </w:style>
  <w:style w:type="table" w:styleId="192">
    <w:name w:val="Medium List 1 Accent 6"/>
    <w:basedOn w:val="12"/>
    <w:uiPriority w:val="65"/>
    <w:rPr>
      <w:color w:val="000000"/>
    </w:rPr>
    <w:tblPr>
      <w:tblBorders>
        <w:top w:val="single" w:color="F79646" w:sz="8" w:space="0"/>
        <w:bottom w:val="single" w:color="F79646" w:sz="8" w:space="0"/>
      </w:tblBorders>
    </w:tblPr>
    <w:tblStylePr w:type="firstRow">
      <w:rPr>
        <w:rFonts w:cs="Times New Roman"/>
      </w:rPr>
      <w:tblPr/>
      <w:tcPr>
        <w:tcBorders>
          <w:top w:val="nil"/>
          <w:left w:val="single" w:color="F79646" w:sz="8" w:space="0"/>
        </w:tcBorders>
      </w:tcPr>
    </w:tblStylePr>
    <w:tblStylePr w:type="lastRow">
      <w:rPr>
        <w:b/>
        <w:bCs/>
        <w:color w:val="1F497D"/>
      </w:rPr>
      <w:tblPr/>
      <w:tcPr>
        <w:tcBorders>
          <w:top w:val="single" w:color="F79646" w:sz="8" w:space="0"/>
          <w:left w:val="single" w:color="F79646" w:sz="8" w:space="0"/>
        </w:tcBorders>
      </w:tcPr>
    </w:tblStylePr>
    <w:tblStylePr w:type="firstCol">
      <w:rPr>
        <w:b/>
        <w:bCs/>
      </w:rPr>
    </w:tblStylePr>
    <w:tblStylePr w:type="lastCol">
      <w:rPr>
        <w:b/>
        <w:bCs/>
      </w:rPr>
      <w:tblPr/>
      <w:tcPr>
        <w:tcBorders>
          <w:top w:val="single" w:color="F79646" w:sz="8" w:space="0"/>
          <w:left w:val="single" w:color="F79646" w:sz="8" w:space="0"/>
        </w:tcBorders>
      </w:tcPr>
    </w:tblStylePr>
    <w:tblStylePr w:type="band1Vert">
      <w:tblPr/>
      <w:tcPr>
        <w:shd w:val="clear" w:color="auto" w:fill="FDE4D0"/>
      </w:tcPr>
    </w:tblStylePr>
    <w:tblStylePr w:type="band1Horz">
      <w:tblPr/>
      <w:tcPr>
        <w:shd w:val="clear" w:color="auto" w:fill="FDE4D0"/>
      </w:tcPr>
    </w:tblStylePr>
  </w:style>
  <w:style w:type="table" w:styleId="193">
    <w:name w:val="Medium List 2"/>
    <w:basedOn w:val="12"/>
    <w:qFormat/>
    <w:uiPriority w:val="66"/>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tblBorders>
    </w:tblPr>
    <w:tblStylePr w:type="firstRow">
      <w:rPr>
        <w:sz w:val="24"/>
        <w:szCs w:val="24"/>
      </w:rPr>
      <w:tblPr/>
      <w:tcPr>
        <w:tcBorders>
          <w:top w:val="nil"/>
          <w:left w:val="single" w:color="000000" w:sz="24" w:space="0"/>
          <w:bottom w:val="nil"/>
          <w:right w:val="nil"/>
          <w:insideH w:val="nil"/>
          <w:insideV w:val="nil"/>
        </w:tcBorders>
        <w:shd w:val="clear" w:color="auto" w:fill="FFFFFF"/>
      </w:tcPr>
    </w:tblStylePr>
    <w:tblStylePr w:type="lastRow">
      <w:tblPr/>
      <w:tcPr>
        <w:tcBorders>
          <w:top w:val="single" w:color="000000" w:sz="8" w:space="0"/>
          <w:left w:val="nil"/>
          <w:bottom w:val="nil"/>
          <w:right w:val="nil"/>
          <w:insideH w:val="nil"/>
          <w:insideV w:val="nil"/>
        </w:tcBorders>
        <w:shd w:val="clear" w:color="auto" w:fill="FFFFFF"/>
      </w:tcPr>
    </w:tblStylePr>
    <w:tblStylePr w:type="firstCol">
      <w:tblPr/>
      <w:tcPr>
        <w:tcBorders>
          <w:top w:val="nil"/>
          <w:left w:val="nil"/>
          <w:bottom w:val="nil"/>
          <w:right w:val="single" w:color="000000" w:sz="8" w:space="0"/>
          <w:insideH w:val="nil"/>
          <w:insideV w:val="nil"/>
        </w:tcBorders>
        <w:shd w:val="clear" w:color="auto" w:fill="FFFFFF"/>
      </w:tcPr>
    </w:tblStylePr>
    <w:tblStylePr w:type="lastCol">
      <w:tblPr/>
      <w:tcPr>
        <w:tcBorders>
          <w:top w:val="nil"/>
          <w:left w:val="nil"/>
          <w:bottom w:val="single" w:color="000000"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C0C0C0"/>
      </w:tcPr>
    </w:tblStylePr>
    <w:tblStylePr w:type="band1Horz">
      <w:tblPr/>
      <w:tcPr>
        <w:tcBorders>
          <w:top w:val="nil"/>
          <w:left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194">
    <w:name w:val="Medium List 2 Accent 1"/>
    <w:basedOn w:val="12"/>
    <w:uiPriority w:val="66"/>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tblBorders>
    </w:tblPr>
    <w:tblStylePr w:type="firstRow">
      <w:rPr>
        <w:sz w:val="24"/>
        <w:szCs w:val="24"/>
      </w:rPr>
      <w:tblPr/>
      <w:tcPr>
        <w:tcBorders>
          <w:top w:val="nil"/>
          <w:left w:val="single" w:color="4F81BD" w:sz="24" w:space="0"/>
          <w:bottom w:val="nil"/>
          <w:right w:val="nil"/>
          <w:insideH w:val="nil"/>
          <w:insideV w:val="nil"/>
        </w:tcBorders>
        <w:shd w:val="clear" w:color="auto" w:fill="FFFFFF"/>
      </w:tcPr>
    </w:tblStylePr>
    <w:tblStylePr w:type="lastRow">
      <w:tblPr/>
      <w:tcPr>
        <w:tcBorders>
          <w:top w:val="single" w:color="4F81BD" w:sz="8" w:space="0"/>
          <w:left w:val="nil"/>
          <w:bottom w:val="nil"/>
          <w:right w:val="nil"/>
          <w:insideH w:val="nil"/>
          <w:insideV w:val="nil"/>
        </w:tcBorders>
        <w:shd w:val="clear" w:color="auto" w:fill="FFFFFF"/>
      </w:tcPr>
    </w:tblStylePr>
    <w:tblStylePr w:type="firstCol">
      <w:tblPr/>
      <w:tcPr>
        <w:tcBorders>
          <w:top w:val="nil"/>
          <w:left w:val="nil"/>
          <w:bottom w:val="nil"/>
          <w:right w:val="single" w:color="4F81BD" w:sz="8" w:space="0"/>
          <w:insideH w:val="nil"/>
          <w:insideV w:val="nil"/>
        </w:tcBorders>
        <w:shd w:val="clear" w:color="auto" w:fill="FFFFFF"/>
      </w:tcPr>
    </w:tblStylePr>
    <w:tblStylePr w:type="lastCol">
      <w:tblPr/>
      <w:tcPr>
        <w:tcBorders>
          <w:top w:val="nil"/>
          <w:left w:val="nil"/>
          <w:bottom w:val="single" w:color="4F81B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3DFEE"/>
      </w:tcPr>
    </w:tblStylePr>
    <w:tblStylePr w:type="band1Horz">
      <w:tblPr/>
      <w:tcPr>
        <w:tcBorders>
          <w:top w:val="nil"/>
          <w:left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195">
    <w:name w:val="Medium List 2 Accent 2"/>
    <w:basedOn w:val="12"/>
    <w:qFormat/>
    <w:uiPriority w:val="66"/>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tblBorders>
    </w:tblPr>
    <w:tblStylePr w:type="firstRow">
      <w:rPr>
        <w:sz w:val="24"/>
        <w:szCs w:val="24"/>
      </w:rPr>
      <w:tblPr/>
      <w:tcPr>
        <w:tcBorders>
          <w:top w:val="nil"/>
          <w:left w:val="single" w:color="C0504D" w:sz="24" w:space="0"/>
          <w:bottom w:val="nil"/>
          <w:right w:val="nil"/>
          <w:insideH w:val="nil"/>
          <w:insideV w:val="nil"/>
        </w:tcBorders>
        <w:shd w:val="clear" w:color="auto" w:fill="FFFFFF"/>
      </w:tcPr>
    </w:tblStylePr>
    <w:tblStylePr w:type="lastRow">
      <w:tblPr/>
      <w:tcPr>
        <w:tcBorders>
          <w:top w:val="single" w:color="C0504D" w:sz="8" w:space="0"/>
          <w:left w:val="nil"/>
          <w:bottom w:val="nil"/>
          <w:right w:val="nil"/>
          <w:insideH w:val="nil"/>
          <w:insideV w:val="nil"/>
        </w:tcBorders>
        <w:shd w:val="clear" w:color="auto" w:fill="FFFFFF"/>
      </w:tcPr>
    </w:tblStylePr>
    <w:tblStylePr w:type="firstCol">
      <w:tblPr/>
      <w:tcPr>
        <w:tcBorders>
          <w:top w:val="nil"/>
          <w:left w:val="nil"/>
          <w:bottom w:val="nil"/>
          <w:right w:val="single" w:color="C0504D" w:sz="8" w:space="0"/>
          <w:insideH w:val="nil"/>
          <w:insideV w:val="nil"/>
        </w:tcBorders>
        <w:shd w:val="clear" w:color="auto" w:fill="FFFFFF"/>
      </w:tcPr>
    </w:tblStylePr>
    <w:tblStylePr w:type="lastCol">
      <w:tblPr/>
      <w:tcPr>
        <w:tcBorders>
          <w:top w:val="nil"/>
          <w:left w:val="nil"/>
          <w:bottom w:val="single" w:color="C0504D"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FD3D2"/>
      </w:tcPr>
    </w:tblStylePr>
    <w:tblStylePr w:type="band1Horz">
      <w:tblPr/>
      <w:tcPr>
        <w:tcBorders>
          <w:top w:val="nil"/>
          <w:left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196">
    <w:name w:val="Medium List 2 Accent 3"/>
    <w:basedOn w:val="12"/>
    <w:uiPriority w:val="66"/>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tblBorders>
    </w:tblPr>
    <w:tblStylePr w:type="firstRow">
      <w:rPr>
        <w:sz w:val="24"/>
        <w:szCs w:val="24"/>
      </w:rPr>
      <w:tblPr/>
      <w:tcPr>
        <w:tcBorders>
          <w:top w:val="nil"/>
          <w:left w:val="single" w:color="9BBB59" w:sz="24" w:space="0"/>
          <w:bottom w:val="nil"/>
          <w:right w:val="nil"/>
          <w:insideH w:val="nil"/>
          <w:insideV w:val="nil"/>
        </w:tcBorders>
        <w:shd w:val="clear" w:color="auto" w:fill="FFFFFF"/>
      </w:tcPr>
    </w:tblStylePr>
    <w:tblStylePr w:type="lastRow">
      <w:tblPr/>
      <w:tcPr>
        <w:tcBorders>
          <w:top w:val="single" w:color="9BBB59" w:sz="8" w:space="0"/>
          <w:left w:val="nil"/>
          <w:bottom w:val="nil"/>
          <w:right w:val="nil"/>
          <w:insideH w:val="nil"/>
          <w:insideV w:val="nil"/>
        </w:tcBorders>
        <w:shd w:val="clear" w:color="auto" w:fill="FFFFFF"/>
      </w:tcPr>
    </w:tblStylePr>
    <w:tblStylePr w:type="firstCol">
      <w:tblPr/>
      <w:tcPr>
        <w:tcBorders>
          <w:top w:val="nil"/>
          <w:left w:val="nil"/>
          <w:bottom w:val="nil"/>
          <w:right w:val="single" w:color="9BBB59" w:sz="8" w:space="0"/>
          <w:insideH w:val="nil"/>
          <w:insideV w:val="nil"/>
        </w:tcBorders>
        <w:shd w:val="clear" w:color="auto" w:fill="FFFFFF"/>
      </w:tcPr>
    </w:tblStylePr>
    <w:tblStylePr w:type="lastCol">
      <w:tblPr/>
      <w:tcPr>
        <w:tcBorders>
          <w:top w:val="nil"/>
          <w:left w:val="nil"/>
          <w:bottom w:val="single" w:color="9BBB59"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E6EED5"/>
      </w:tcPr>
    </w:tblStylePr>
    <w:tblStylePr w:type="band1Horz">
      <w:tblPr/>
      <w:tcPr>
        <w:tcBorders>
          <w:top w:val="nil"/>
          <w:left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197">
    <w:name w:val="Medium List 2 Accent 4"/>
    <w:basedOn w:val="12"/>
    <w:uiPriority w:val="66"/>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tblBorders>
    </w:tblPr>
    <w:tblStylePr w:type="firstRow">
      <w:rPr>
        <w:sz w:val="24"/>
        <w:szCs w:val="24"/>
      </w:rPr>
      <w:tblPr/>
      <w:tcPr>
        <w:tcBorders>
          <w:top w:val="nil"/>
          <w:left w:val="single" w:color="8064A2" w:sz="24" w:space="0"/>
          <w:bottom w:val="nil"/>
          <w:right w:val="nil"/>
          <w:insideH w:val="nil"/>
          <w:insideV w:val="nil"/>
        </w:tcBorders>
        <w:shd w:val="clear" w:color="auto" w:fill="FFFFFF"/>
      </w:tcPr>
    </w:tblStylePr>
    <w:tblStylePr w:type="lastRow">
      <w:tblPr/>
      <w:tcPr>
        <w:tcBorders>
          <w:top w:val="single" w:color="8064A2" w:sz="8" w:space="0"/>
          <w:left w:val="nil"/>
          <w:bottom w:val="nil"/>
          <w:right w:val="nil"/>
          <w:insideH w:val="nil"/>
          <w:insideV w:val="nil"/>
        </w:tcBorders>
        <w:shd w:val="clear" w:color="auto" w:fill="FFFFFF"/>
      </w:tcPr>
    </w:tblStylePr>
    <w:tblStylePr w:type="firstCol">
      <w:tblPr/>
      <w:tcPr>
        <w:tcBorders>
          <w:top w:val="nil"/>
          <w:left w:val="nil"/>
          <w:bottom w:val="nil"/>
          <w:right w:val="single" w:color="8064A2" w:sz="8" w:space="0"/>
          <w:insideH w:val="nil"/>
          <w:insideV w:val="nil"/>
        </w:tcBorders>
        <w:shd w:val="clear" w:color="auto" w:fill="FFFFFF"/>
      </w:tcPr>
    </w:tblStylePr>
    <w:tblStylePr w:type="lastCol">
      <w:tblPr/>
      <w:tcPr>
        <w:tcBorders>
          <w:top w:val="nil"/>
          <w:left w:val="nil"/>
          <w:bottom w:val="single" w:color="8064A2"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FD8E8"/>
      </w:tcPr>
    </w:tblStylePr>
    <w:tblStylePr w:type="band1Horz">
      <w:tblPr/>
      <w:tcPr>
        <w:tcBorders>
          <w:top w:val="nil"/>
          <w:left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198">
    <w:name w:val="Medium List 2 Accent 5"/>
    <w:basedOn w:val="12"/>
    <w:qFormat/>
    <w:uiPriority w:val="66"/>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tblBorders>
    </w:tblPr>
    <w:tblStylePr w:type="firstRow">
      <w:rPr>
        <w:sz w:val="24"/>
        <w:szCs w:val="24"/>
      </w:rPr>
      <w:tblPr/>
      <w:tcPr>
        <w:tcBorders>
          <w:top w:val="nil"/>
          <w:left w:val="single" w:color="4BACC6" w:sz="24" w:space="0"/>
          <w:bottom w:val="nil"/>
          <w:right w:val="nil"/>
          <w:insideH w:val="nil"/>
          <w:insideV w:val="nil"/>
        </w:tcBorders>
        <w:shd w:val="clear" w:color="auto" w:fill="FFFFFF"/>
      </w:tcPr>
    </w:tblStylePr>
    <w:tblStylePr w:type="lastRow">
      <w:tblPr/>
      <w:tcPr>
        <w:tcBorders>
          <w:top w:val="single" w:color="4BACC6" w:sz="8" w:space="0"/>
          <w:left w:val="nil"/>
          <w:bottom w:val="nil"/>
          <w:right w:val="nil"/>
          <w:insideH w:val="nil"/>
          <w:insideV w:val="nil"/>
        </w:tcBorders>
        <w:shd w:val="clear" w:color="auto" w:fill="FFFFFF"/>
      </w:tcPr>
    </w:tblStylePr>
    <w:tblStylePr w:type="firstCol">
      <w:tblPr/>
      <w:tcPr>
        <w:tcBorders>
          <w:top w:val="nil"/>
          <w:left w:val="nil"/>
          <w:bottom w:val="nil"/>
          <w:right w:val="single" w:color="4BACC6" w:sz="8" w:space="0"/>
          <w:insideH w:val="nil"/>
          <w:insideV w:val="nil"/>
        </w:tcBorders>
        <w:shd w:val="clear" w:color="auto" w:fill="FFFFFF"/>
      </w:tcPr>
    </w:tblStylePr>
    <w:tblStylePr w:type="lastCol">
      <w:tblPr/>
      <w:tcPr>
        <w:tcBorders>
          <w:top w:val="nil"/>
          <w:left w:val="nil"/>
          <w:bottom w:val="single" w:color="4BACC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D2EAF1"/>
      </w:tcPr>
    </w:tblStylePr>
    <w:tblStylePr w:type="band1Horz">
      <w:tblPr/>
      <w:tcPr>
        <w:tcBorders>
          <w:top w:val="nil"/>
          <w:left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199">
    <w:name w:val="Medium List 2 Accent 6"/>
    <w:basedOn w:val="12"/>
    <w:qFormat/>
    <w:uiPriority w:val="66"/>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tblBorders>
    </w:tblPr>
    <w:tblStylePr w:type="firstRow">
      <w:rPr>
        <w:sz w:val="24"/>
        <w:szCs w:val="24"/>
      </w:rPr>
      <w:tblPr/>
      <w:tcPr>
        <w:tcBorders>
          <w:top w:val="nil"/>
          <w:left w:val="single" w:color="F79646" w:sz="24" w:space="0"/>
          <w:bottom w:val="nil"/>
          <w:right w:val="nil"/>
          <w:insideH w:val="nil"/>
          <w:insideV w:val="nil"/>
        </w:tcBorders>
        <w:shd w:val="clear" w:color="auto" w:fill="FFFFFF"/>
      </w:tcPr>
    </w:tblStylePr>
    <w:tblStylePr w:type="lastRow">
      <w:tblPr/>
      <w:tcPr>
        <w:tcBorders>
          <w:top w:val="single" w:color="F79646" w:sz="8" w:space="0"/>
          <w:left w:val="nil"/>
          <w:bottom w:val="nil"/>
          <w:right w:val="nil"/>
          <w:insideH w:val="nil"/>
          <w:insideV w:val="nil"/>
        </w:tcBorders>
        <w:shd w:val="clear" w:color="auto" w:fill="FFFFFF"/>
      </w:tcPr>
    </w:tblStylePr>
    <w:tblStylePr w:type="firstCol">
      <w:tblPr/>
      <w:tcPr>
        <w:tcBorders>
          <w:top w:val="nil"/>
          <w:left w:val="nil"/>
          <w:bottom w:val="nil"/>
          <w:right w:val="single" w:color="F79646" w:sz="8" w:space="0"/>
          <w:insideH w:val="nil"/>
          <w:insideV w:val="nil"/>
        </w:tcBorders>
        <w:shd w:val="clear" w:color="auto" w:fill="FFFFFF"/>
      </w:tcPr>
    </w:tblStylePr>
    <w:tblStylePr w:type="lastCol">
      <w:tblPr/>
      <w:tcPr>
        <w:tcBorders>
          <w:top w:val="nil"/>
          <w:left w:val="nil"/>
          <w:bottom w:val="single" w:color="F79646" w:sz="8" w:space="0"/>
          <w:right w:val="nil"/>
          <w:insideH w:val="nil"/>
          <w:insideV w:val="nil"/>
        </w:tcBorders>
        <w:shd w:val="clear" w:color="auto" w:fill="FFFFFF"/>
      </w:tcPr>
    </w:tblStylePr>
    <w:tblStylePr w:type="band1Vert">
      <w:tblPr/>
      <w:tcPr>
        <w:tcBorders>
          <w:bottom w:val="nil"/>
          <w:right w:val="nil"/>
          <w:insideH w:val="nil"/>
          <w:insideV w:val="nil"/>
        </w:tcBorders>
        <w:shd w:val="clear" w:color="auto" w:fill="FDE4D0"/>
      </w:tcPr>
    </w:tblStylePr>
    <w:tblStylePr w:type="band1Horz">
      <w:tblPr/>
      <w:tcPr>
        <w:tcBorders>
          <w:top w:val="nil"/>
          <w:left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200">
    <w:name w:val="Medium Grid 1"/>
    <w:basedOn w:val="12"/>
    <w:uiPriority w:val="67"/>
    <w:tblPr>
      <w:tblBorders>
        <w:top w:val="single" w:color="404040" w:sz="8" w:space="0"/>
        <w:left w:val="single" w:color="404040" w:sz="8" w:space="0"/>
        <w:bottom w:val="single" w:color="404040" w:sz="8" w:space="0"/>
        <w:right w:val="single" w:color="404040" w:sz="8" w:space="0"/>
        <w:insideH w:val="single" w:color="404040" w:sz="8" w:space="0"/>
        <w:insideV w:val="single" w:color="404040" w:sz="8" w:space="0"/>
      </w:tblBorders>
    </w:tblPr>
    <w:tcPr>
      <w:shd w:val="clear" w:color="auto" w:fill="C0C0C0"/>
    </w:tcPr>
    <w:tblStylePr w:type="firstRow">
      <w:rPr>
        <w:b/>
        <w:bCs/>
      </w:rPr>
    </w:tblStylePr>
    <w:tblStylePr w:type="lastRow">
      <w:rPr>
        <w:b/>
        <w:bCs/>
      </w:rPr>
      <w:tblPr/>
      <w:tcPr>
        <w:tcBorders>
          <w:top w:val="single" w:color="404040" w:sz="18" w:space="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201">
    <w:name w:val="Medium Grid 1 Accent 1"/>
    <w:basedOn w:val="12"/>
    <w:qFormat/>
    <w:uiPriority w:val="67"/>
    <w:tblPr>
      <w:tblBorders>
        <w:top w:val="single" w:color="7BA0CD" w:sz="8" w:space="0"/>
        <w:left w:val="single" w:color="7BA0CD" w:sz="8" w:space="0"/>
        <w:bottom w:val="single" w:color="7BA0CD" w:sz="8" w:space="0"/>
        <w:right w:val="single" w:color="7BA0CD" w:sz="8" w:space="0"/>
        <w:insideH w:val="single" w:color="7BA0CD" w:sz="8" w:space="0"/>
        <w:insideV w:val="single" w:color="7BA0CD" w:sz="8" w:space="0"/>
      </w:tblBorders>
    </w:tblPr>
    <w:tcPr>
      <w:shd w:val="clear" w:color="auto" w:fill="D3DFEE"/>
    </w:tcPr>
    <w:tblStylePr w:type="firstRow">
      <w:rPr>
        <w:b/>
        <w:bCs/>
      </w:rPr>
    </w:tblStylePr>
    <w:tblStylePr w:type="lastRow">
      <w:rPr>
        <w:b/>
        <w:bCs/>
      </w:rPr>
      <w:tblPr/>
      <w:tcPr>
        <w:tcBorders>
          <w:top w:val="single" w:color="7BA0CD" w:sz="18" w:space="0"/>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202">
    <w:name w:val="Medium Grid 1 Accent 2"/>
    <w:basedOn w:val="12"/>
    <w:uiPriority w:val="67"/>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203">
    <w:name w:val="Medium Grid 1 Accent 3"/>
    <w:basedOn w:val="12"/>
    <w:uiPriority w:val="67"/>
    <w:tblPr>
      <w:tblBorders>
        <w:top w:val="single" w:color="B3CC82" w:sz="8" w:space="0"/>
        <w:left w:val="single" w:color="B3CC82" w:sz="8" w:space="0"/>
        <w:bottom w:val="single" w:color="B3CC82" w:sz="8" w:space="0"/>
        <w:right w:val="single" w:color="B3CC82" w:sz="8" w:space="0"/>
        <w:insideH w:val="single" w:color="B3CC82" w:sz="8" w:space="0"/>
        <w:insideV w:val="single" w:color="B3CC82" w:sz="8" w:space="0"/>
      </w:tblBorders>
    </w:tblPr>
    <w:tcPr>
      <w:shd w:val="clear" w:color="auto" w:fill="E6EED5"/>
    </w:tcPr>
    <w:tblStylePr w:type="firstRow">
      <w:rPr>
        <w:b/>
        <w:bCs/>
      </w:rPr>
    </w:tblStylePr>
    <w:tblStylePr w:type="lastRow">
      <w:rPr>
        <w:b/>
        <w:bCs/>
      </w:rPr>
      <w:tblPr/>
      <w:tcPr>
        <w:tcBorders>
          <w:top w:val="single" w:color="B3CC82" w:sz="18" w:space="0"/>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204">
    <w:name w:val="Medium Grid 1 Accent 4"/>
    <w:basedOn w:val="12"/>
    <w:qFormat/>
    <w:uiPriority w:val="67"/>
    <w:tblPr>
      <w:tblBorders>
        <w:top w:val="single" w:color="9F8AB9" w:sz="8" w:space="0"/>
        <w:left w:val="single" w:color="9F8AB9" w:sz="8" w:space="0"/>
        <w:bottom w:val="single" w:color="9F8AB9" w:sz="8" w:space="0"/>
        <w:right w:val="single" w:color="9F8AB9" w:sz="8" w:space="0"/>
        <w:insideH w:val="single" w:color="9F8AB9" w:sz="8" w:space="0"/>
        <w:insideV w:val="single" w:color="9F8AB9" w:sz="8" w:space="0"/>
      </w:tblBorders>
    </w:tblPr>
    <w:tcPr>
      <w:shd w:val="clear" w:color="auto" w:fill="DFD8E8"/>
    </w:tcPr>
    <w:tblStylePr w:type="firstRow">
      <w:rPr>
        <w:b/>
        <w:bCs/>
      </w:rPr>
    </w:tblStylePr>
    <w:tblStylePr w:type="lastRow">
      <w:rPr>
        <w:b/>
        <w:bCs/>
      </w:rPr>
      <w:tblPr/>
      <w:tcPr>
        <w:tcBorders>
          <w:top w:val="single" w:color="9F8AB9" w:sz="18" w:space="0"/>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205">
    <w:name w:val="Medium Grid 1 Accent 5"/>
    <w:basedOn w:val="12"/>
    <w:uiPriority w:val="67"/>
    <w:tblPr>
      <w:tblBorders>
        <w:top w:val="single" w:color="78C0D4" w:sz="8" w:space="0"/>
        <w:left w:val="single" w:color="78C0D4" w:sz="8" w:space="0"/>
        <w:bottom w:val="single" w:color="78C0D4" w:sz="8" w:space="0"/>
        <w:right w:val="single" w:color="78C0D4" w:sz="8" w:space="0"/>
        <w:insideH w:val="single" w:color="78C0D4" w:sz="8" w:space="0"/>
        <w:insideV w:val="single" w:color="78C0D4" w:sz="8" w:space="0"/>
      </w:tblBorders>
    </w:tblPr>
    <w:tcPr>
      <w:shd w:val="clear" w:color="auto" w:fill="D2EAF1"/>
    </w:tcPr>
    <w:tblStylePr w:type="firstRow">
      <w:rPr>
        <w:b/>
        <w:bCs/>
      </w:rPr>
    </w:tblStylePr>
    <w:tblStylePr w:type="lastRow">
      <w:rPr>
        <w:b/>
        <w:bCs/>
      </w:rPr>
      <w:tblPr/>
      <w:tcPr>
        <w:tcBorders>
          <w:top w:val="single" w:color="78C0D4" w:sz="18" w:space="0"/>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206">
    <w:name w:val="Medium Grid 1 Accent 6"/>
    <w:basedOn w:val="12"/>
    <w:uiPriority w:val="67"/>
    <w:tblPr>
      <w:tblBorders>
        <w:top w:val="single" w:color="F9B074" w:sz="8" w:space="0"/>
        <w:left w:val="single" w:color="F9B074" w:sz="8" w:space="0"/>
        <w:bottom w:val="single" w:color="F9B074" w:sz="8" w:space="0"/>
        <w:right w:val="single" w:color="F9B074" w:sz="8" w:space="0"/>
        <w:insideH w:val="single" w:color="F9B074" w:sz="8" w:space="0"/>
        <w:insideV w:val="single" w:color="F9B074" w:sz="8" w:space="0"/>
      </w:tblBorders>
    </w:tblPr>
    <w:tcPr>
      <w:shd w:val="clear" w:color="auto" w:fill="FDE4D0"/>
    </w:tcPr>
    <w:tblStylePr w:type="firstRow">
      <w:rPr>
        <w:b/>
        <w:bCs/>
      </w:rPr>
    </w:tblStylePr>
    <w:tblStylePr w:type="lastRow">
      <w:rPr>
        <w:b/>
        <w:bCs/>
      </w:rPr>
      <w:tblPr/>
      <w:tcPr>
        <w:tcBorders>
          <w:top w:val="single" w:color="F9B074" w:sz="18" w:space="0"/>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207">
    <w:name w:val="Medium Grid 2"/>
    <w:basedOn w:val="12"/>
    <w:qFormat/>
    <w:uiPriority w:val="68"/>
    <w:rPr>
      <w:rFonts w:ascii="SimSun" w:hAnsi="SimSun" w:eastAsia="Courier New" w:cs="Times New Roman"/>
      <w:color w:val="000000"/>
    </w:rPr>
    <w:tblP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insideV w:val="single" w:sz="6" w:space="0"/>
        </w:tcBorders>
        <w:shd w:val="clear" w:color="auto" w:fill="808080"/>
      </w:tcPr>
    </w:tblStylePr>
    <w:tblStylePr w:type="nwCell">
      <w:tblPr/>
      <w:tcPr>
        <w:shd w:val="clear" w:color="auto" w:fill="FFFFFF"/>
      </w:tcPr>
    </w:tblStylePr>
  </w:style>
  <w:style w:type="table" w:styleId="208">
    <w:name w:val="Medium Grid 2 Accent 1"/>
    <w:basedOn w:val="12"/>
    <w:uiPriority w:val="68"/>
    <w:rPr>
      <w:rFonts w:ascii="SimSun" w:hAnsi="SimSun" w:eastAsia="Courier New" w:cs="Times New Roman"/>
      <w:color w:val="000000"/>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insideV w:val="single" w:sz="6" w:space="0"/>
        </w:tcBorders>
        <w:shd w:val="clear" w:color="auto" w:fill="A7BFDE"/>
      </w:tcPr>
    </w:tblStylePr>
    <w:tblStylePr w:type="nwCell">
      <w:tblPr/>
      <w:tcPr>
        <w:shd w:val="clear" w:color="auto" w:fill="FFFFFF"/>
      </w:tcPr>
    </w:tblStylePr>
  </w:style>
  <w:style w:type="table" w:styleId="209">
    <w:name w:val="Medium Grid 2 Accent 2"/>
    <w:basedOn w:val="12"/>
    <w:qFormat/>
    <w:uiPriority w:val="68"/>
    <w:rPr>
      <w:rFonts w:ascii="SimSun" w:hAnsi="SimSun" w:eastAsia="Courier New" w:cs="Times New Roman"/>
      <w:color w:val="000000"/>
    </w:rPr>
    <w:tblPr>
      <w:tblBorders>
        <w:top w:val="single" w:color="C0504D" w:sz="8" w:space="0"/>
        <w:left w:val="single" w:color="C0504D" w:sz="8" w:space="0"/>
        <w:bottom w:val="single" w:color="C0504D" w:sz="8" w:space="0"/>
        <w:right w:val="single" w:color="C0504D" w:sz="8" w:space="0"/>
        <w:insideH w:val="single" w:color="C0504D" w:sz="8" w:space="0"/>
        <w:insideV w:val="single" w:color="C0504D" w:sz="8" w:space="0"/>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insideV w:val="single" w:sz="6" w:space="0"/>
        </w:tcBorders>
        <w:shd w:val="clear" w:color="auto" w:fill="DFA7A6"/>
      </w:tcPr>
    </w:tblStylePr>
    <w:tblStylePr w:type="nwCell">
      <w:tblPr/>
      <w:tcPr>
        <w:shd w:val="clear" w:color="auto" w:fill="FFFFFF"/>
      </w:tcPr>
    </w:tblStylePr>
  </w:style>
  <w:style w:type="table" w:styleId="210">
    <w:name w:val="Medium Grid 2 Accent 3"/>
    <w:basedOn w:val="12"/>
    <w:uiPriority w:val="68"/>
    <w:rPr>
      <w:rFonts w:ascii="SimSun" w:hAnsi="SimSun" w:eastAsia="Courier New" w:cs="Times New Roman"/>
      <w:color w:val="000000"/>
    </w:rPr>
    <w:tblPr>
      <w:tblBorders>
        <w:top w:val="single" w:color="9BBB59" w:sz="8" w:space="0"/>
        <w:left w:val="single" w:color="9BBB59" w:sz="8" w:space="0"/>
        <w:bottom w:val="single" w:color="9BBB59" w:sz="8" w:space="0"/>
        <w:right w:val="single" w:color="9BBB59" w:sz="8" w:space="0"/>
        <w:insideH w:val="single" w:color="9BBB59" w:sz="8" w:space="0"/>
        <w:insideV w:val="single" w:color="9BBB59" w:sz="8" w:space="0"/>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insideV w:val="single" w:sz="6" w:space="0"/>
        </w:tcBorders>
        <w:shd w:val="clear" w:color="auto" w:fill="CDDDAC"/>
      </w:tcPr>
    </w:tblStylePr>
    <w:tblStylePr w:type="nwCell">
      <w:tblPr/>
      <w:tcPr>
        <w:shd w:val="clear" w:color="auto" w:fill="FFFFFF"/>
      </w:tcPr>
    </w:tblStylePr>
  </w:style>
  <w:style w:type="table" w:styleId="211">
    <w:name w:val="Medium Grid 2 Accent 4"/>
    <w:basedOn w:val="12"/>
    <w:qFormat/>
    <w:uiPriority w:val="68"/>
    <w:rPr>
      <w:rFonts w:ascii="SimSun" w:hAnsi="SimSun" w:eastAsia="Courier New" w:cs="Times New Roman"/>
      <w:color w:val="000000"/>
    </w:rPr>
    <w:tblPr>
      <w:tblBorders>
        <w:top w:val="single" w:color="8064A2" w:sz="8" w:space="0"/>
        <w:left w:val="single" w:color="8064A2" w:sz="8" w:space="0"/>
        <w:bottom w:val="single" w:color="8064A2" w:sz="8" w:space="0"/>
        <w:right w:val="single" w:color="8064A2" w:sz="8" w:space="0"/>
        <w:insideH w:val="single" w:color="8064A2" w:sz="8" w:space="0"/>
        <w:insideV w:val="single" w:color="8064A2" w:sz="8" w:space="0"/>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insideV w:val="single" w:sz="6" w:space="0"/>
        </w:tcBorders>
        <w:shd w:val="clear" w:color="auto" w:fill="BFB1D0"/>
      </w:tcPr>
    </w:tblStylePr>
    <w:tblStylePr w:type="nwCell">
      <w:tblPr/>
      <w:tcPr>
        <w:shd w:val="clear" w:color="auto" w:fill="FFFFFF"/>
      </w:tcPr>
    </w:tblStylePr>
  </w:style>
  <w:style w:type="table" w:styleId="212">
    <w:name w:val="Medium Grid 2 Accent 5"/>
    <w:basedOn w:val="12"/>
    <w:qFormat/>
    <w:uiPriority w:val="68"/>
    <w:rPr>
      <w:rFonts w:ascii="SimSun" w:hAnsi="SimSun" w:eastAsia="Courier New" w:cs="Times New Roman"/>
      <w:color w:val="000000"/>
    </w:rPr>
    <w:tblPr>
      <w:tblBorders>
        <w:top w:val="single" w:color="4BACC6" w:sz="8" w:space="0"/>
        <w:left w:val="single" w:color="4BACC6" w:sz="8" w:space="0"/>
        <w:bottom w:val="single" w:color="4BACC6" w:sz="8" w:space="0"/>
        <w:right w:val="single" w:color="4BACC6" w:sz="8" w:space="0"/>
        <w:insideH w:val="single" w:color="4BACC6" w:sz="8" w:space="0"/>
        <w:insideV w:val="single" w:color="4BACC6" w:sz="8" w:space="0"/>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insideV w:val="single" w:sz="6" w:space="0"/>
        </w:tcBorders>
        <w:shd w:val="clear" w:color="auto" w:fill="A5D5E2"/>
      </w:tcPr>
    </w:tblStylePr>
    <w:tblStylePr w:type="nwCell">
      <w:tblPr/>
      <w:tcPr>
        <w:shd w:val="clear" w:color="auto" w:fill="FFFFFF"/>
      </w:tcPr>
    </w:tblStylePr>
  </w:style>
  <w:style w:type="table" w:styleId="213">
    <w:name w:val="Medium Grid 2 Accent 6"/>
    <w:basedOn w:val="12"/>
    <w:qFormat/>
    <w:uiPriority w:val="68"/>
    <w:rPr>
      <w:rFonts w:ascii="SimSun" w:hAnsi="SimSun" w:eastAsia="Courier New" w:cs="Times New Roman"/>
      <w:color w:val="000000"/>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color="000000" w:sz="12" w:space="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insideV w:val="single" w:sz="6" w:space="0"/>
        </w:tcBorders>
        <w:shd w:val="clear" w:color="auto" w:fill="FBCAA2"/>
      </w:tcPr>
    </w:tblStylePr>
    <w:tblStylePr w:type="nwCell">
      <w:tblPr/>
      <w:tcPr>
        <w:shd w:val="clear" w:color="auto" w:fill="FFFFFF"/>
      </w:tcPr>
    </w:tblStylePr>
  </w:style>
  <w:style w:type="table" w:styleId="214">
    <w:name w:val="Medium Grid 3"/>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C0C0C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000000"/>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000000"/>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000000"/>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000000"/>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80808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808080"/>
      </w:tcPr>
    </w:tblStylePr>
  </w:style>
  <w:style w:type="table" w:styleId="215">
    <w:name w:val="Medium Grid 3 Accent 1"/>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3DFEE"/>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F81B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F81B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F81B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F81B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7BFDE"/>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7BFDE"/>
      </w:tcPr>
    </w:tblStylePr>
  </w:style>
  <w:style w:type="table" w:styleId="216">
    <w:name w:val="Medium Grid 3 Accent 2"/>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FD3D2"/>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C0504D"/>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C0504D"/>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C0504D"/>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C0504D"/>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DFA7A6"/>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DFA7A6"/>
      </w:tcPr>
    </w:tblStylePr>
  </w:style>
  <w:style w:type="table" w:styleId="217">
    <w:name w:val="Medium Grid 3 Accent 3"/>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E6EED5"/>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9BBB59"/>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9BBB59"/>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9BBB59"/>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9BBB59"/>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CDDDAC"/>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CDDDAC"/>
      </w:tcPr>
    </w:tblStylePr>
  </w:style>
  <w:style w:type="table" w:styleId="218">
    <w:name w:val="Medium Grid 3 Accent 4"/>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FD8E8"/>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8064A2"/>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8064A2"/>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8064A2"/>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8064A2"/>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BFB1D0"/>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BFB1D0"/>
      </w:tcPr>
    </w:tblStylePr>
  </w:style>
  <w:style w:type="table" w:styleId="219">
    <w:name w:val="Medium Grid 3 Accent 5"/>
    <w:basedOn w:val="12"/>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D2EAF1"/>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4BACC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4BACC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4BACC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4BACC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A5D5E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A5D5E2"/>
      </w:tcPr>
    </w:tblStylePr>
  </w:style>
  <w:style w:type="table" w:styleId="220">
    <w:name w:val="Medium Grid 3 Accent 6"/>
    <w:basedOn w:val="12"/>
    <w:qFormat/>
    <w:uiPriority w:val="69"/>
    <w:tblPr>
      <w:tblBorders>
        <w:top w:val="single" w:color="FFFFFF" w:sz="8" w:space="0"/>
        <w:left w:val="single" w:color="FFFFFF" w:sz="8" w:space="0"/>
        <w:bottom w:val="single" w:color="FFFFFF" w:sz="8" w:space="0"/>
        <w:right w:val="single" w:color="FFFFFF" w:sz="8" w:space="0"/>
        <w:insideH w:val="single" w:color="FFFFFF" w:sz="6" w:space="0"/>
        <w:insideV w:val="single" w:color="FFFFFF" w:sz="6" w:space="0"/>
      </w:tblBorders>
    </w:tblPr>
    <w:tcPr>
      <w:shd w:val="clear" w:color="auto" w:fill="FDE4D0"/>
    </w:tcPr>
    <w:tblStylePr w:type="firstRow">
      <w:rPr>
        <w:b/>
        <w:bCs/>
        <w:i w:val="0"/>
        <w:iCs w:val="0"/>
        <w:color w:val="FFFFFF"/>
      </w:rPr>
      <w:tblPr/>
      <w:tcPr>
        <w:tcBorders>
          <w:top w:val="single" w:color="FFFFFF" w:sz="8" w:space="0"/>
          <w:left w:val="single" w:color="FFFFFF" w:sz="24" w:space="0"/>
          <w:bottom w:val="single" w:color="FFFFFF" w:sz="8" w:space="0"/>
          <w:right w:val="single" w:color="FFFFFF" w:sz="8" w:space="0"/>
          <w:insideH w:val="nil"/>
          <w:insideV w:val="single" w:sz="8" w:space="0"/>
        </w:tcBorders>
        <w:shd w:val="clear" w:color="auto" w:fill="F79646"/>
      </w:tcPr>
    </w:tblStylePr>
    <w:tblStylePr w:type="lastRow">
      <w:rPr>
        <w:b/>
        <w:bCs/>
        <w:i w:val="0"/>
        <w:iCs w:val="0"/>
        <w:color w:val="FFFFFF"/>
      </w:rPr>
      <w:tblPr/>
      <w:tcPr>
        <w:tcBorders>
          <w:top w:val="single" w:color="FFFFFF" w:sz="24" w:space="0"/>
          <w:left w:val="single" w:color="FFFFFF" w:sz="8" w:space="0"/>
          <w:bottom w:val="single" w:color="FFFFFF" w:sz="8" w:space="0"/>
          <w:right w:val="single" w:color="FFFFFF" w:sz="8" w:space="0"/>
          <w:insideH w:val="nil"/>
          <w:insideV w:val="single" w:sz="8" w:space="0"/>
        </w:tcBorders>
        <w:shd w:val="clear" w:color="auto" w:fill="F79646"/>
      </w:tcPr>
    </w:tblStylePr>
    <w:tblStylePr w:type="firstCol">
      <w:rPr>
        <w:b/>
        <w:bCs/>
        <w:i w:val="0"/>
        <w:iCs w:val="0"/>
        <w:color w:val="FFFFFF"/>
      </w:rPr>
      <w:tblPr/>
      <w:tcPr>
        <w:tcBorders>
          <w:bottom w:val="single" w:color="FFFFFF" w:sz="8" w:space="0"/>
          <w:right w:val="single" w:color="FFFFFF" w:sz="24" w:space="0"/>
          <w:insideH w:val="nil"/>
          <w:insideV w:val="nil"/>
        </w:tcBorders>
        <w:shd w:val="clear" w:color="auto" w:fill="F79646"/>
      </w:tcPr>
    </w:tblStylePr>
    <w:tblStylePr w:type="lastCol">
      <w:rPr>
        <w:b/>
        <w:bCs/>
        <w:i w:val="0"/>
        <w:iCs w:val="0"/>
        <w:color w:val="FFFFFF"/>
      </w:rPr>
      <w:tblPr/>
      <w:tcPr>
        <w:tcBorders>
          <w:top w:val="nil"/>
          <w:left w:val="nil"/>
          <w:bottom w:val="single" w:color="FFFFFF" w:sz="24" w:space="0"/>
          <w:right w:val="nil"/>
          <w:insideH w:val="nil"/>
          <w:insideV w:val="nil"/>
        </w:tcBorders>
        <w:shd w:val="clear" w:color="auto" w:fill="F79646"/>
      </w:tcPr>
    </w:tblStylePr>
    <w:tblStylePr w:type="band1Vert">
      <w:tblPr/>
      <w:tcPr>
        <w:tcBorders>
          <w:top w:val="single" w:color="FFFFFF" w:sz="8" w:space="0"/>
          <w:left w:val="single" w:color="FFFFFF" w:sz="8" w:space="0"/>
          <w:bottom w:val="single" w:color="FFFFFF" w:sz="8" w:space="0"/>
          <w:right w:val="single" w:color="FFFFFF" w:sz="8" w:space="0"/>
          <w:insideH w:val="nil"/>
          <w:insideV w:val="nil"/>
        </w:tcBorders>
        <w:shd w:val="clear" w:color="auto" w:fill="FBCAA2"/>
      </w:tcPr>
    </w:tblStylePr>
    <w:tblStylePr w:type="band1Horz">
      <w:tblPr/>
      <w:tcPr>
        <w:tcBorders>
          <w:top w:val="single" w:color="FFFFFF" w:sz="8" w:space="0"/>
          <w:left w:val="single" w:color="FFFFFF" w:sz="8" w:space="0"/>
          <w:bottom w:val="single" w:color="FFFFFF" w:sz="8" w:space="0"/>
          <w:right w:val="single" w:color="FFFFFF" w:sz="8" w:space="0"/>
          <w:insideH w:val="single" w:sz="8" w:space="0"/>
          <w:insideV w:val="single" w:sz="8" w:space="0"/>
        </w:tcBorders>
        <w:shd w:val="clear" w:color="auto" w:fill="FBCAA2"/>
      </w:tcPr>
    </w:tblStylePr>
  </w:style>
  <w:style w:type="table" w:styleId="221">
    <w:name w:val="Dark List"/>
    <w:basedOn w:val="12"/>
    <w:qFormat/>
    <w:uiPriority w:val="70"/>
    <w:rPr>
      <w:color w:val="FFFFFF"/>
    </w:rPr>
    <w:tblPr>
      <w:tblStyleRowBandSize w:val="1"/>
      <w:tblStyleColBandSize w:val="1"/>
    </w:tblPr>
    <w:tcPr>
      <w:shd w:val="clear" w:color="auto" w:fill="000000"/>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000000"/>
      </w:tcPr>
    </w:tblStylePr>
    <w:tblStylePr w:type="firstCol">
      <w:tblPr/>
      <w:tcPr>
        <w:tcBorders>
          <w:top w:val="nil"/>
          <w:left w:val="nil"/>
          <w:bottom w:val="nil"/>
          <w:right w:val="single" w:color="FFFFFF" w:sz="18" w:space="0"/>
          <w:insideH w:val="nil"/>
          <w:insideV w:val="nil"/>
        </w:tcBorders>
        <w:shd w:val="clear" w:color="auto" w:fill="000000"/>
      </w:tcPr>
    </w:tblStylePr>
    <w:tblStylePr w:type="lastCol">
      <w:tblPr/>
      <w:tcPr>
        <w:tcBorders>
          <w:top w:val="nil"/>
          <w:left w:val="nil"/>
          <w:bottom w:val="single" w:color="FFFFFF" w:sz="18" w:space="0"/>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222">
    <w:name w:val="Dark List Accent 1"/>
    <w:basedOn w:val="12"/>
    <w:uiPriority w:val="70"/>
    <w:rPr>
      <w:color w:val="FFFFFF"/>
    </w:rPr>
    <w:tblPr>
      <w:tblStyleRowBandSize w:val="1"/>
      <w:tblStyleColBandSize w:val="1"/>
    </w:tblPr>
    <w:tcPr>
      <w:shd w:val="clear" w:color="auto" w:fill="4F81B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43F60"/>
      </w:tcPr>
    </w:tblStylePr>
    <w:tblStylePr w:type="firstCol">
      <w:tblPr/>
      <w:tcPr>
        <w:tcBorders>
          <w:top w:val="nil"/>
          <w:left w:val="nil"/>
          <w:bottom w:val="nil"/>
          <w:right w:val="single" w:color="FFFFFF" w:sz="18" w:space="0"/>
          <w:insideH w:val="nil"/>
          <w:insideV w:val="nil"/>
        </w:tcBorders>
        <w:shd w:val="clear" w:color="auto" w:fill="365F91"/>
      </w:tcPr>
    </w:tblStylePr>
    <w:tblStylePr w:type="lastCol">
      <w:tblPr/>
      <w:tcPr>
        <w:tcBorders>
          <w:top w:val="nil"/>
          <w:left w:val="nil"/>
          <w:bottom w:val="single" w:color="FFFFFF" w:sz="18" w:space="0"/>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223">
    <w:name w:val="Dark List Accent 2"/>
    <w:basedOn w:val="12"/>
    <w:qFormat/>
    <w:uiPriority w:val="70"/>
    <w:rPr>
      <w:color w:val="FFFFFF"/>
    </w:rPr>
    <w:tblPr>
      <w:tblStyleRowBandSize w:val="1"/>
      <w:tblStyleColBandSize w:val="1"/>
    </w:tblPr>
    <w:tcPr>
      <w:shd w:val="clear" w:color="auto" w:fill="C0504D"/>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622423"/>
      </w:tcPr>
    </w:tblStylePr>
    <w:tblStylePr w:type="firstCol">
      <w:tblPr/>
      <w:tcPr>
        <w:tcBorders>
          <w:top w:val="nil"/>
          <w:left w:val="nil"/>
          <w:bottom w:val="nil"/>
          <w:right w:val="single" w:color="FFFFFF" w:sz="18" w:space="0"/>
          <w:insideH w:val="nil"/>
          <w:insideV w:val="nil"/>
        </w:tcBorders>
        <w:shd w:val="clear" w:color="auto" w:fill="943634"/>
      </w:tcPr>
    </w:tblStylePr>
    <w:tblStylePr w:type="lastCol">
      <w:tblPr/>
      <w:tcPr>
        <w:tcBorders>
          <w:top w:val="nil"/>
          <w:left w:val="nil"/>
          <w:bottom w:val="single" w:color="FFFFFF" w:sz="18" w:space="0"/>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224">
    <w:name w:val="Dark List Accent 3"/>
    <w:basedOn w:val="12"/>
    <w:uiPriority w:val="70"/>
    <w:rPr>
      <w:color w:val="FFFFFF"/>
    </w:rPr>
    <w:tblPr>
      <w:tblStyleRowBandSize w:val="1"/>
      <w:tblStyleColBandSize w:val="1"/>
    </w:tblPr>
    <w:tcPr>
      <w:shd w:val="clear" w:color="auto" w:fill="9BBB59"/>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4E6128"/>
      </w:tcPr>
    </w:tblStylePr>
    <w:tblStylePr w:type="firstCol">
      <w:tblPr/>
      <w:tcPr>
        <w:tcBorders>
          <w:top w:val="nil"/>
          <w:left w:val="nil"/>
          <w:bottom w:val="nil"/>
          <w:right w:val="single" w:color="FFFFFF" w:sz="18" w:space="0"/>
          <w:insideH w:val="nil"/>
          <w:insideV w:val="nil"/>
        </w:tcBorders>
        <w:shd w:val="clear" w:color="auto" w:fill="76923C"/>
      </w:tcPr>
    </w:tblStylePr>
    <w:tblStylePr w:type="lastCol">
      <w:tblPr/>
      <w:tcPr>
        <w:tcBorders>
          <w:top w:val="nil"/>
          <w:left w:val="nil"/>
          <w:bottom w:val="single" w:color="FFFFFF" w:sz="18" w:space="0"/>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225">
    <w:name w:val="Dark List Accent 4"/>
    <w:basedOn w:val="12"/>
    <w:uiPriority w:val="70"/>
    <w:rPr>
      <w:color w:val="FFFFFF"/>
    </w:rPr>
    <w:tblPr>
      <w:tblStyleRowBandSize w:val="1"/>
      <w:tblStyleColBandSize w:val="1"/>
    </w:tblPr>
    <w:tcPr>
      <w:shd w:val="clear" w:color="auto" w:fill="8064A2"/>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3F3151"/>
      </w:tcPr>
    </w:tblStylePr>
    <w:tblStylePr w:type="firstCol">
      <w:tblPr/>
      <w:tcPr>
        <w:tcBorders>
          <w:top w:val="nil"/>
          <w:left w:val="nil"/>
          <w:bottom w:val="nil"/>
          <w:right w:val="single" w:color="FFFFFF" w:sz="18" w:space="0"/>
          <w:insideH w:val="nil"/>
          <w:insideV w:val="nil"/>
        </w:tcBorders>
        <w:shd w:val="clear" w:color="auto" w:fill="5F497A"/>
      </w:tcPr>
    </w:tblStylePr>
    <w:tblStylePr w:type="lastCol">
      <w:tblPr/>
      <w:tcPr>
        <w:tcBorders>
          <w:top w:val="nil"/>
          <w:left w:val="nil"/>
          <w:bottom w:val="single" w:color="FFFFFF" w:sz="18" w:space="0"/>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226">
    <w:name w:val="Dark List Accent 5"/>
    <w:basedOn w:val="12"/>
    <w:qFormat/>
    <w:uiPriority w:val="70"/>
    <w:rPr>
      <w:color w:val="FFFFFF"/>
    </w:rPr>
    <w:tblPr>
      <w:tblStyleRowBandSize w:val="1"/>
      <w:tblStyleColBandSize w:val="1"/>
    </w:tblPr>
    <w:tcPr>
      <w:shd w:val="clear" w:color="auto" w:fill="4BACC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205867"/>
      </w:tcPr>
    </w:tblStylePr>
    <w:tblStylePr w:type="firstCol">
      <w:tblPr/>
      <w:tcPr>
        <w:tcBorders>
          <w:top w:val="nil"/>
          <w:left w:val="nil"/>
          <w:bottom w:val="nil"/>
          <w:right w:val="single" w:color="FFFFFF" w:sz="18" w:space="0"/>
          <w:insideH w:val="nil"/>
          <w:insideV w:val="nil"/>
        </w:tcBorders>
        <w:shd w:val="clear" w:color="auto" w:fill="31849B"/>
      </w:tcPr>
    </w:tblStylePr>
    <w:tblStylePr w:type="lastCol">
      <w:tblPr/>
      <w:tcPr>
        <w:tcBorders>
          <w:top w:val="nil"/>
          <w:left w:val="nil"/>
          <w:bottom w:val="single" w:color="FFFFFF" w:sz="18" w:space="0"/>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227">
    <w:name w:val="Dark List Accent 6"/>
    <w:basedOn w:val="12"/>
    <w:qFormat/>
    <w:uiPriority w:val="70"/>
    <w:rPr>
      <w:color w:val="FFFFFF"/>
    </w:rPr>
    <w:tblPr>
      <w:tblStyleRowBandSize w:val="1"/>
      <w:tblStyleColBandSize w:val="1"/>
    </w:tblPr>
    <w:tcPr>
      <w:shd w:val="clear" w:color="auto" w:fill="F79646"/>
    </w:tcPr>
    <w:tblStylePr w:type="firstRow">
      <w:rPr>
        <w:b/>
        <w:bCs/>
      </w:rPr>
      <w:tblPr/>
      <w:tcPr>
        <w:tcBorders>
          <w:top w:val="nil"/>
          <w:left w:val="single" w:color="FFFFFF" w:sz="18" w:space="0"/>
          <w:bottom w:val="nil"/>
          <w:right w:val="nil"/>
          <w:insideH w:val="nil"/>
          <w:insideV w:val="nil"/>
        </w:tcBorders>
        <w:shd w:val="clear" w:color="auto" w:fill="000000"/>
      </w:tcPr>
    </w:tblStylePr>
    <w:tblStylePr w:type="lastRow">
      <w:tblPr/>
      <w:tcPr>
        <w:tcBorders>
          <w:top w:val="single" w:color="FFFFFF" w:sz="18" w:space="0"/>
          <w:left w:val="nil"/>
          <w:bottom w:val="nil"/>
          <w:right w:val="nil"/>
          <w:insideH w:val="nil"/>
          <w:insideV w:val="nil"/>
        </w:tcBorders>
        <w:shd w:val="clear" w:color="auto" w:fill="974706"/>
      </w:tcPr>
    </w:tblStylePr>
    <w:tblStylePr w:type="firstCol">
      <w:tblPr/>
      <w:tcPr>
        <w:tcBorders>
          <w:top w:val="nil"/>
          <w:left w:val="nil"/>
          <w:bottom w:val="nil"/>
          <w:right w:val="single" w:color="FFFFFF" w:sz="18" w:space="0"/>
          <w:insideH w:val="nil"/>
          <w:insideV w:val="nil"/>
        </w:tcBorders>
        <w:shd w:val="clear" w:color="auto" w:fill="E36C0A"/>
      </w:tcPr>
    </w:tblStylePr>
    <w:tblStylePr w:type="lastCol">
      <w:tblPr/>
      <w:tcPr>
        <w:tcBorders>
          <w:top w:val="nil"/>
          <w:left w:val="nil"/>
          <w:bottom w:val="single" w:color="FFFFFF" w:sz="18" w:space="0"/>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228">
    <w:name w:val="Colorful Shading"/>
    <w:basedOn w:val="12"/>
    <w:qFormat/>
    <w:uiPriority w:val="71"/>
    <w:rPr>
      <w:color w:val="000000"/>
    </w:rPr>
    <w:tblPr>
      <w:tblBorders>
        <w:top w:val="single" w:color="C0504D" w:sz="24" w:space="0"/>
        <w:left w:val="single" w:color="000000" w:sz="4" w:space="0"/>
        <w:bottom w:val="single" w:color="000000" w:sz="4" w:space="0"/>
        <w:right w:val="single" w:color="000000" w:sz="4" w:space="0"/>
        <w:insideH w:val="single" w:color="FFFFFF" w:sz="4" w:space="0"/>
        <w:insideV w:val="single" w:color="FFFFFF" w:sz="4" w:space="0"/>
      </w:tblBorders>
    </w:tblPr>
    <w:tcPr>
      <w:shd w:val="clear" w:color="auto" w:fill="E6E6E6"/>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000000"/>
      </w:tcPr>
    </w:tblStylePr>
    <w:tblStylePr w:type="firstCol">
      <w:rPr>
        <w:color w:val="FFFFFF"/>
      </w:rPr>
      <w:tblPr/>
      <w:tcPr>
        <w:tcBorders>
          <w:top w:val="nil"/>
          <w:left w:val="nil"/>
          <w:bottom w:val="nil"/>
          <w:right w:val="nil"/>
          <w:insideH w:val="single" w:sz="4" w:space="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229">
    <w:name w:val="Colorful Shading Accent 1"/>
    <w:basedOn w:val="12"/>
    <w:qFormat/>
    <w:uiPriority w:val="71"/>
    <w:rPr>
      <w:color w:val="000000"/>
    </w:rPr>
    <w:tblPr>
      <w:tblBorders>
        <w:top w:val="single" w:color="C0504D" w:sz="24" w:space="0"/>
        <w:left w:val="single" w:color="4F81BD" w:sz="4" w:space="0"/>
        <w:bottom w:val="single" w:color="4F81BD" w:sz="4" w:space="0"/>
        <w:right w:val="single" w:color="4F81BD" w:sz="4" w:space="0"/>
        <w:insideH w:val="single" w:color="FFFFFF" w:sz="4" w:space="0"/>
        <w:insideV w:val="single" w:color="FFFFFF" w:sz="4" w:space="0"/>
      </w:tblBorders>
    </w:tblPr>
    <w:tcPr>
      <w:shd w:val="clear" w:color="auto" w:fill="EDF2F8"/>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C4C74"/>
      </w:tcPr>
    </w:tblStylePr>
    <w:tblStylePr w:type="firstCol">
      <w:rPr>
        <w:color w:val="FFFFFF"/>
      </w:rPr>
      <w:tblPr/>
      <w:tcPr>
        <w:tcBorders>
          <w:top w:val="nil"/>
          <w:left w:val="nil"/>
          <w:bottom w:val="nil"/>
          <w:right w:val="nil"/>
          <w:insideH w:val="single" w:sz="4" w:space="0"/>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230">
    <w:name w:val="Colorful Shading Accent 2"/>
    <w:basedOn w:val="12"/>
    <w:qFormat/>
    <w:uiPriority w:val="71"/>
    <w:rPr>
      <w:color w:val="000000"/>
    </w:rPr>
    <w:tblPr>
      <w:tblBorders>
        <w:top w:val="single" w:color="C0504D" w:sz="24" w:space="0"/>
        <w:left w:val="single" w:color="C0504D" w:sz="4" w:space="0"/>
        <w:bottom w:val="single" w:color="C0504D" w:sz="4" w:space="0"/>
        <w:right w:val="single" w:color="C0504D" w:sz="4" w:space="0"/>
        <w:insideH w:val="single" w:color="FFFFFF" w:sz="4" w:space="0"/>
        <w:insideV w:val="single" w:color="FFFFFF" w:sz="4" w:space="0"/>
      </w:tblBorders>
    </w:tblPr>
    <w:tcPr>
      <w:shd w:val="clear" w:color="auto" w:fill="F8EDED"/>
    </w:tcPr>
    <w:tblStylePr w:type="firstRow">
      <w:rPr>
        <w:b/>
        <w:bCs/>
      </w:rPr>
      <w:tblPr/>
      <w:tcPr>
        <w:tcBorders>
          <w:top w:val="nil"/>
          <w:left w:val="single" w:color="C0504D"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772C2A"/>
      </w:tcPr>
    </w:tblStylePr>
    <w:tblStylePr w:type="firstCol">
      <w:rPr>
        <w:color w:val="FFFFFF"/>
      </w:rPr>
      <w:tblPr/>
      <w:tcPr>
        <w:tcBorders>
          <w:top w:val="nil"/>
          <w:left w:val="nil"/>
          <w:bottom w:val="nil"/>
          <w:right w:val="nil"/>
          <w:insideH w:val="single" w:sz="4" w:space="0"/>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231">
    <w:name w:val="Colorful Shading Accent 3"/>
    <w:basedOn w:val="12"/>
    <w:qFormat/>
    <w:uiPriority w:val="71"/>
    <w:rPr>
      <w:color w:val="000000"/>
    </w:rPr>
    <w:tblPr>
      <w:tblBorders>
        <w:top w:val="single" w:color="8064A2" w:sz="24" w:space="0"/>
        <w:left w:val="single" w:color="9BBB59" w:sz="4" w:space="0"/>
        <w:bottom w:val="single" w:color="9BBB59" w:sz="4" w:space="0"/>
        <w:right w:val="single" w:color="9BBB59" w:sz="4" w:space="0"/>
        <w:insideH w:val="single" w:color="FFFFFF" w:sz="4" w:space="0"/>
        <w:insideV w:val="single" w:color="FFFFFF" w:sz="4" w:space="0"/>
      </w:tblBorders>
    </w:tblPr>
    <w:tcPr>
      <w:shd w:val="clear" w:color="auto" w:fill="F5F8EE"/>
    </w:tcPr>
    <w:tblStylePr w:type="firstRow">
      <w:rPr>
        <w:b/>
        <w:bCs/>
      </w:rPr>
      <w:tblPr/>
      <w:tcPr>
        <w:tcBorders>
          <w:top w:val="nil"/>
          <w:left w:val="single" w:color="8064A2"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5E7530"/>
      </w:tcPr>
    </w:tblStylePr>
    <w:tblStylePr w:type="firstCol">
      <w:rPr>
        <w:color w:val="FFFFFF"/>
      </w:rPr>
      <w:tblPr/>
      <w:tcPr>
        <w:tcBorders>
          <w:top w:val="nil"/>
          <w:left w:val="nil"/>
          <w:bottom w:val="nil"/>
          <w:right w:val="nil"/>
          <w:insideH w:val="single" w:sz="4" w:space="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232">
    <w:name w:val="Colorful Shading Accent 4"/>
    <w:basedOn w:val="12"/>
    <w:uiPriority w:val="71"/>
    <w:rPr>
      <w:color w:val="000000"/>
    </w:rPr>
    <w:tblPr>
      <w:tblBorders>
        <w:top w:val="single" w:color="9BBB59" w:sz="24" w:space="0"/>
        <w:left w:val="single" w:color="8064A2" w:sz="4" w:space="0"/>
        <w:bottom w:val="single" w:color="8064A2" w:sz="4" w:space="0"/>
        <w:right w:val="single" w:color="8064A2" w:sz="4" w:space="0"/>
        <w:insideH w:val="single" w:color="FFFFFF" w:sz="4" w:space="0"/>
        <w:insideV w:val="single" w:color="FFFFFF" w:sz="4" w:space="0"/>
      </w:tblBorders>
    </w:tblPr>
    <w:tcPr>
      <w:shd w:val="clear" w:color="auto" w:fill="F2EFF6"/>
    </w:tcPr>
    <w:tblStylePr w:type="firstRow">
      <w:rPr>
        <w:b/>
        <w:bCs/>
      </w:rPr>
      <w:tblPr/>
      <w:tcPr>
        <w:tcBorders>
          <w:top w:val="nil"/>
          <w:left w:val="single" w:color="9BBB59"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4C3B62"/>
      </w:tcPr>
    </w:tblStylePr>
    <w:tblStylePr w:type="firstCol">
      <w:rPr>
        <w:color w:val="FFFFFF"/>
      </w:rPr>
      <w:tblPr/>
      <w:tcPr>
        <w:tcBorders>
          <w:top w:val="nil"/>
          <w:left w:val="nil"/>
          <w:bottom w:val="nil"/>
          <w:right w:val="nil"/>
          <w:insideH w:val="single" w:sz="4" w:space="0"/>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233">
    <w:name w:val="Colorful Shading Accent 5"/>
    <w:basedOn w:val="12"/>
    <w:qFormat/>
    <w:uiPriority w:val="71"/>
    <w:rPr>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firstRow">
      <w:rPr>
        <w:b/>
        <w:bCs/>
      </w:rPr>
      <w:tblPr/>
      <w:tcPr>
        <w:tcBorders>
          <w:top w:val="nil"/>
          <w:left w:val="single" w:color="F7964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276A7C"/>
      </w:tcPr>
    </w:tblStylePr>
    <w:tblStylePr w:type="firstCol">
      <w:rPr>
        <w:color w:val="FFFFFF"/>
      </w:rPr>
      <w:tblPr/>
      <w:tcPr>
        <w:tcBorders>
          <w:top w:val="nil"/>
          <w:left w:val="nil"/>
          <w:bottom w:val="nil"/>
          <w:right w:val="nil"/>
          <w:insideH w:val="single" w:sz="4" w:space="0"/>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234">
    <w:name w:val="Colorful Shading Accent 6"/>
    <w:basedOn w:val="12"/>
    <w:uiPriority w:val="71"/>
    <w:rPr>
      <w:color w:val="000000"/>
    </w:rPr>
    <w:tblPr>
      <w:tblBorders>
        <w:top w:val="single" w:color="4BACC6" w:sz="24" w:space="0"/>
        <w:left w:val="single" w:color="F79646" w:sz="4" w:space="0"/>
        <w:bottom w:val="single" w:color="F79646" w:sz="4" w:space="0"/>
        <w:right w:val="single" w:color="F79646" w:sz="4" w:space="0"/>
        <w:insideH w:val="single" w:color="FFFFFF" w:sz="4" w:space="0"/>
        <w:insideV w:val="single" w:color="FFFFFF" w:sz="4" w:space="0"/>
      </w:tblBorders>
    </w:tblPr>
    <w:tcPr>
      <w:shd w:val="clear" w:color="auto" w:fill="FEF4EC"/>
    </w:tcPr>
    <w:tblStylePr w:type="firstRow">
      <w:rPr>
        <w:b/>
        <w:bCs/>
      </w:rPr>
      <w:tblPr/>
      <w:tcPr>
        <w:tcBorders>
          <w:top w:val="nil"/>
          <w:left w:val="single" w:color="4BACC6" w:sz="24" w:space="0"/>
          <w:bottom w:val="nil"/>
          <w:right w:val="nil"/>
          <w:insideH w:val="nil"/>
          <w:insideV w:val="nil"/>
        </w:tcBorders>
        <w:shd w:val="clear" w:color="auto" w:fill="FFFFFF"/>
      </w:tcPr>
    </w:tblStylePr>
    <w:tblStylePr w:type="lastRow">
      <w:rPr>
        <w:b/>
        <w:bCs/>
        <w:color w:val="FFFFFF"/>
      </w:rPr>
      <w:tblPr/>
      <w:tcPr>
        <w:tcBorders>
          <w:top w:val="single" w:color="FFFFFF" w:sz="6" w:space="0"/>
        </w:tcBorders>
        <w:shd w:val="clear" w:color="auto" w:fill="B65608"/>
      </w:tcPr>
    </w:tblStylePr>
    <w:tblStylePr w:type="firstCol">
      <w:rPr>
        <w:color w:val="FFFFFF"/>
      </w:rPr>
      <w:tblPr/>
      <w:tcPr>
        <w:tcBorders>
          <w:top w:val="nil"/>
          <w:left w:val="nil"/>
          <w:bottom w:val="nil"/>
          <w:right w:val="nil"/>
          <w:insideH w:val="single" w:sz="4" w:space="0"/>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235">
    <w:name w:val="Colorful List"/>
    <w:basedOn w:val="12"/>
    <w:qFormat/>
    <w:uiPriority w:val="72"/>
    <w:rPr>
      <w:color w:val="000000"/>
    </w:rPr>
    <w:tblPr>
      <w:tblStyleRowBandSize w:val="1"/>
      <w:tblStyleColBandSize w:val="1"/>
    </w:tblPr>
    <w:tcPr>
      <w:shd w:val="clear" w:color="auto" w:fill="E6E6E6"/>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236">
    <w:name w:val="Colorful List Accent 1"/>
    <w:basedOn w:val="12"/>
    <w:uiPriority w:val="72"/>
    <w:rPr>
      <w:color w:val="000000"/>
    </w:rPr>
    <w:tblPr>
      <w:tblStyleRowBandSize w:val="1"/>
      <w:tblStyleColBandSize w:val="1"/>
    </w:tblPr>
    <w:tcPr>
      <w:shd w:val="clear" w:color="auto" w:fill="EDF2F8"/>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237">
    <w:name w:val="Colorful List Accent 2"/>
    <w:basedOn w:val="12"/>
    <w:qFormat/>
    <w:uiPriority w:val="72"/>
    <w:rPr>
      <w:color w:val="000000"/>
    </w:rPr>
    <w:tblPr>
      <w:tblStyleRowBandSize w:val="1"/>
      <w:tblStyleColBandSize w:val="1"/>
    </w:tblPr>
    <w:tcPr>
      <w:shd w:val="clear" w:color="auto" w:fill="F8EDED"/>
    </w:tcPr>
    <w:tblStylePr w:type="firstRow">
      <w:rPr>
        <w:b/>
        <w:bCs/>
        <w:color w:val="FFFFFF"/>
      </w:rPr>
      <w:tblPr/>
      <w:tcPr>
        <w:tcBorders>
          <w:left w:val="single" w:color="FFFFFF" w:sz="12" w:space="0"/>
        </w:tcBorders>
        <w:shd w:val="clear" w:color="auto" w:fill="9E3A38"/>
      </w:tcPr>
    </w:tblStylePr>
    <w:tblStylePr w:type="lastRow">
      <w:rPr>
        <w:b/>
        <w:bCs/>
        <w:color w:val="9E3A38"/>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238">
    <w:name w:val="Colorful List Accent 3"/>
    <w:basedOn w:val="12"/>
    <w:qFormat/>
    <w:uiPriority w:val="72"/>
    <w:rPr>
      <w:color w:val="000000"/>
    </w:rPr>
    <w:tblPr>
      <w:tblStyleRowBandSize w:val="1"/>
      <w:tblStyleColBandSize w:val="1"/>
    </w:tblPr>
    <w:tcPr>
      <w:shd w:val="clear" w:color="auto" w:fill="F5F8EE"/>
    </w:tcPr>
    <w:tblStylePr w:type="firstRow">
      <w:rPr>
        <w:b/>
        <w:bCs/>
        <w:color w:val="FFFFFF"/>
      </w:rPr>
      <w:tblPr/>
      <w:tcPr>
        <w:tcBorders>
          <w:left w:val="single" w:color="FFFFFF" w:sz="12" w:space="0"/>
        </w:tcBorders>
        <w:shd w:val="clear" w:color="auto" w:fill="664E82"/>
      </w:tcPr>
    </w:tblStylePr>
    <w:tblStylePr w:type="lastRow">
      <w:rPr>
        <w:b/>
        <w:bCs/>
        <w:color w:val="664E82"/>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239">
    <w:name w:val="Colorful List Accent 4"/>
    <w:basedOn w:val="12"/>
    <w:qFormat/>
    <w:uiPriority w:val="72"/>
    <w:rPr>
      <w:color w:val="000000"/>
    </w:rPr>
    <w:tblPr>
      <w:tblStyleRowBandSize w:val="1"/>
      <w:tblStyleColBandSize w:val="1"/>
    </w:tblPr>
    <w:tcPr>
      <w:shd w:val="clear" w:color="auto" w:fill="F2EFF6"/>
    </w:tcPr>
    <w:tblStylePr w:type="firstRow">
      <w:rPr>
        <w:b/>
        <w:bCs/>
        <w:color w:val="FFFFFF"/>
      </w:rPr>
      <w:tblPr/>
      <w:tcPr>
        <w:tcBorders>
          <w:left w:val="single" w:color="FFFFFF" w:sz="12" w:space="0"/>
        </w:tcBorders>
        <w:shd w:val="clear" w:color="auto" w:fill="7E9C40"/>
      </w:tcPr>
    </w:tblStylePr>
    <w:tblStylePr w:type="lastRow">
      <w:rPr>
        <w:b/>
        <w:bCs/>
        <w:color w:val="7E9C40"/>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240">
    <w:name w:val="Colorful List Accent 5"/>
    <w:basedOn w:val="12"/>
    <w:uiPriority w:val="72"/>
    <w:rPr>
      <w:color w:val="000000"/>
    </w:rPr>
    <w:tblPr>
      <w:tblStyleRowBandSize w:val="1"/>
      <w:tblStyleColBandSize w:val="1"/>
    </w:tblPr>
    <w:tcPr>
      <w:shd w:val="clear" w:color="auto" w:fill="EDF6F9"/>
    </w:tcPr>
    <w:tblStylePr w:type="firstRow">
      <w:rPr>
        <w:b/>
        <w:bCs/>
        <w:color w:val="FFFFFF"/>
      </w:rPr>
      <w:tblPr/>
      <w:tcPr>
        <w:tcBorders>
          <w:left w:val="single" w:color="FFFFFF" w:sz="12" w:space="0"/>
        </w:tcBorders>
        <w:shd w:val="clear" w:color="auto" w:fill="F2730A"/>
      </w:tcPr>
    </w:tblStylePr>
    <w:tblStylePr w:type="lastRow">
      <w:rPr>
        <w:b/>
        <w:bCs/>
        <w:color w:val="F2730A"/>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241">
    <w:name w:val="Colorful List Accent 6"/>
    <w:basedOn w:val="12"/>
    <w:qFormat/>
    <w:uiPriority w:val="72"/>
    <w:rPr>
      <w:color w:val="000000"/>
    </w:rPr>
    <w:tblPr>
      <w:tblStyleRowBandSize w:val="1"/>
      <w:tblStyleColBandSize w:val="1"/>
    </w:tblPr>
    <w:tcPr>
      <w:shd w:val="clear" w:color="auto" w:fill="FEF4EC"/>
    </w:tcPr>
    <w:tblStylePr w:type="firstRow">
      <w:rPr>
        <w:b/>
        <w:bCs/>
        <w:color w:val="FFFFFF"/>
      </w:rPr>
      <w:tblPr/>
      <w:tcPr>
        <w:tcBorders>
          <w:left w:val="single" w:color="FFFFFF" w:sz="12" w:space="0"/>
        </w:tcBorders>
        <w:shd w:val="clear" w:color="auto" w:fill="348DA5"/>
      </w:tcPr>
    </w:tblStylePr>
    <w:tblStylePr w:type="lastRow">
      <w:rPr>
        <w:b/>
        <w:bCs/>
        <w:color w:val="348DA5"/>
      </w:rPr>
      <w:tblPr/>
      <w:tcPr>
        <w:tcBorders>
          <w:top w:val="single" w:color="000000" w:sz="12" w:space="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242">
    <w:name w:val="Colorful Grid"/>
    <w:basedOn w:val="12"/>
    <w:uiPriority w:val="73"/>
    <w:rPr>
      <w:color w:val="000000"/>
    </w:rPr>
    <w:tblPr>
      <w:tblBorders>
        <w:insideH w:val="single" w:color="FFFFFF" w:sz="4" w:space="0"/>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243">
    <w:name w:val="Colorful Grid Accent 1"/>
    <w:basedOn w:val="12"/>
    <w:uiPriority w:val="73"/>
    <w:rPr>
      <w:color w:val="000000"/>
    </w:rPr>
    <w:tblPr>
      <w:tblBorders>
        <w:insideH w:val="single" w:color="FFFFFF" w:sz="4" w:space="0"/>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244">
    <w:name w:val="Colorful Grid Accent 2"/>
    <w:basedOn w:val="12"/>
    <w:qFormat/>
    <w:uiPriority w:val="73"/>
    <w:rPr>
      <w:color w:val="000000"/>
    </w:rPr>
    <w:tblPr>
      <w:tblBorders>
        <w:insideH w:val="single" w:color="FFFFFF" w:sz="4" w:space="0"/>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245">
    <w:name w:val="Colorful Grid Accent 3"/>
    <w:basedOn w:val="12"/>
    <w:uiPriority w:val="73"/>
    <w:rPr>
      <w:color w:val="000000"/>
    </w:rPr>
    <w:tblPr>
      <w:tblBorders>
        <w:insideH w:val="single" w:color="FFFFFF" w:sz="4" w:space="0"/>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246">
    <w:name w:val="Colorful Grid Accent 4"/>
    <w:basedOn w:val="12"/>
    <w:qFormat/>
    <w:uiPriority w:val="73"/>
    <w:rPr>
      <w:color w:val="000000"/>
    </w:rPr>
    <w:tblPr>
      <w:tblBorders>
        <w:insideH w:val="single" w:color="FFFFFF" w:sz="4" w:space="0"/>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247">
    <w:name w:val="Colorful Grid Accent 5"/>
    <w:basedOn w:val="12"/>
    <w:qFormat/>
    <w:uiPriority w:val="73"/>
    <w:rPr>
      <w:color w:val="000000"/>
    </w:rPr>
    <w:tblPr>
      <w:tblBorders>
        <w:insideH w:val="single" w:color="FFFFFF" w:sz="4" w:space="0"/>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248">
    <w:name w:val="Colorful Grid Accent 6"/>
    <w:basedOn w:val="12"/>
    <w:qFormat/>
    <w:uiPriority w:val="73"/>
    <w:rPr>
      <w:color w:val="000000"/>
    </w:rPr>
    <w:tblPr>
      <w:tblBorders>
        <w:insideH w:val="single" w:color="FFFFFF" w:sz="4" w:space="0"/>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paragraph" w:customStyle="1" w:styleId="249">
    <w:name w:val="WPSOffice手动目录 1"/>
    <w:uiPriority w:val="0"/>
    <w:pPr>
      <w:ind w:leftChars="0"/>
    </w:pPr>
    <w:rPr>
      <w:rFonts w:ascii="Times New Roman" w:hAnsi="Times New Roman" w:eastAsia="SimSun" w:cs="Times New Roman"/>
      <w:sz w:val="20"/>
      <w:szCs w:val="20"/>
    </w:rPr>
  </w:style>
  <w:style w:type="paragraph" w:customStyle="1" w:styleId="250">
    <w:name w:val="WPSOffice手动目录 2"/>
    <w:uiPriority w:val="0"/>
    <w:pPr>
      <w:ind w:leftChars="200"/>
    </w:pPr>
    <w:rPr>
      <w:rFonts w:ascii="Times New Roman" w:hAnsi="Times New Roman" w:eastAsia="SimSun" w:cs="Times New Roman"/>
      <w:sz w:val="20"/>
      <w:szCs w:val="20"/>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29</Pages>
  <Words>0</Words>
  <Characters>0</Characters>
  <Lines>0</Lines>
  <Paragraphs>0</Paragraphs>
  <TotalTime>66</TotalTime>
  <ScaleCrop>false</ScaleCrop>
  <LinksUpToDate>false</LinksUpToDate>
  <CharactersWithSpaces>0</CharactersWithSpaces>
  <Application>WPS Office_12.2.0.23158_F1E327BC-269C-435d-A152-05C5408002CA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2025-12-21T23:22:00Z</dcterms:created>
  <dc:creator>PMYLS</dc:creator>
  <cp:lastModifiedBy>PMYLS</cp:lastModifiedBy>
  <dcterms:modified xsi:type="dcterms:W3CDTF">2025-12-22T03:34:28Z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2057-12.2.0.23158</vt:lpwstr>
  </property>
  <property fmtid="{D5CDD505-2E9C-101B-9397-08002B2CF9AE}" pid="3" name="ICV">
    <vt:lpwstr>621CAE4426EE44EB8AB3153928DCB192_11</vt:lpwstr>
  </property>
</Properties>
</file>