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6FF02" w14:textId="06F21F1E" w:rsidR="001B68F0" w:rsidRDefault="001B68F0" w:rsidP="00BE7277">
      <w:pPr>
        <w:spacing w:line="276" w:lineRule="auto"/>
        <w:jc w:val="both"/>
        <w:rPr>
          <w:rFonts w:ascii="Arial" w:hAnsi="Arial" w:cs="Arial"/>
        </w:rPr>
      </w:pPr>
      <w:r>
        <w:rPr>
          <w:rFonts w:ascii="Arial" w:hAnsi="Arial" w:cs="Arial"/>
        </w:rPr>
        <w:t>Chapter 1: Ex</w:t>
      </w:r>
      <w:r w:rsidR="008161DF">
        <w:rPr>
          <w:rFonts w:ascii="Arial" w:hAnsi="Arial" w:cs="Arial"/>
        </w:rPr>
        <w:t>ecutive Su</w:t>
      </w:r>
      <w:r w:rsidR="005E7A3F">
        <w:rPr>
          <w:rFonts w:ascii="Arial" w:hAnsi="Arial" w:cs="Arial"/>
        </w:rPr>
        <w:t>mmary</w:t>
      </w:r>
    </w:p>
    <w:p w14:paraId="1411B923" w14:textId="7B287394" w:rsidR="00F02F11" w:rsidRPr="009052A7" w:rsidRDefault="00427C1F" w:rsidP="00BE7277">
      <w:pPr>
        <w:spacing w:line="276" w:lineRule="auto"/>
        <w:jc w:val="both"/>
        <w:rPr>
          <w:rFonts w:ascii="Arial" w:hAnsi="Arial" w:cs="Arial"/>
        </w:rPr>
      </w:pPr>
      <w:r w:rsidRPr="009052A7">
        <w:rPr>
          <w:rFonts w:ascii="Arial" w:hAnsi="Arial" w:cs="Arial"/>
        </w:rPr>
        <w:t>Chapter 2: Company Description</w:t>
      </w:r>
    </w:p>
    <w:p w14:paraId="0976FCB3" w14:textId="6869B176" w:rsidR="00427C1F" w:rsidRPr="009052A7" w:rsidRDefault="00427C1F" w:rsidP="00BE7277">
      <w:pPr>
        <w:spacing w:line="276" w:lineRule="auto"/>
        <w:jc w:val="both"/>
        <w:rPr>
          <w:rFonts w:ascii="Arial" w:hAnsi="Arial" w:cs="Arial"/>
        </w:rPr>
      </w:pPr>
      <w:r w:rsidRPr="009052A7">
        <w:rPr>
          <w:rFonts w:ascii="Arial" w:hAnsi="Arial" w:cs="Arial"/>
        </w:rPr>
        <w:t>2.1 Introduction</w:t>
      </w:r>
    </w:p>
    <w:p w14:paraId="21534AFA" w14:textId="048C4AF0" w:rsidR="00427C1F" w:rsidRPr="009052A7" w:rsidRDefault="00427C1F" w:rsidP="00BE7277">
      <w:pPr>
        <w:spacing w:line="276" w:lineRule="auto"/>
        <w:jc w:val="both"/>
        <w:rPr>
          <w:rFonts w:ascii="Arial" w:hAnsi="Arial" w:cs="Arial"/>
        </w:rPr>
      </w:pPr>
      <w:r w:rsidRPr="009052A7">
        <w:rPr>
          <w:rFonts w:ascii="Arial" w:hAnsi="Arial" w:cs="Arial"/>
        </w:rPr>
        <w:t>Sense Mortgage &amp; Residential is a proposed mortgage advisory and financial services firm based in London, designed to deliver transparent, personalised, and technology-enabled advice to clients navigating the UK property finance market. Operating within a highly regulated financial environment, the firm aims to bridge the gap between traditional advisory practices and modern consumer expectations for clarity, efficiency, and digital accessibility. As the UK mortgage sector continues to evolve in response to regulatory reform, digital transformation, and volatile market conditions, the establishment of Sense Mortgage &amp; Residential reflects a timely and strategically aligned business opportunity (UK Finance, 2024; FCA, 2023).</w:t>
      </w:r>
    </w:p>
    <w:p w14:paraId="13701A76" w14:textId="0CE1FE3C" w:rsidR="00427C1F" w:rsidRDefault="008F1C1A" w:rsidP="00BE7277">
      <w:pPr>
        <w:spacing w:line="276" w:lineRule="auto"/>
        <w:jc w:val="both"/>
        <w:rPr>
          <w:rFonts w:ascii="Arial" w:hAnsi="Arial" w:cs="Arial"/>
        </w:rPr>
      </w:pPr>
      <w:r>
        <w:rPr>
          <w:rFonts w:ascii="Arial" w:hAnsi="Arial" w:cs="Arial"/>
        </w:rPr>
        <w:t>This chapter</w:t>
      </w:r>
      <w:r>
        <w:rPr>
          <w:rFonts w:ascii="Arial" w:hAnsi="Arial" w:cs="Arial"/>
        </w:rPr>
        <w:t xml:space="preserve"> </w:t>
      </w:r>
      <w:r>
        <w:rPr>
          <w:rFonts w:ascii="Arial" w:hAnsi="Arial" w:cs="Arial"/>
        </w:rPr>
        <w:t>outline</w:t>
      </w:r>
      <w:r w:rsidR="00270B0E">
        <w:rPr>
          <w:rFonts w:ascii="Arial" w:hAnsi="Arial" w:cs="Arial"/>
        </w:rPr>
        <w:t xml:space="preserve"> the</w:t>
      </w:r>
      <w:r>
        <w:rPr>
          <w:rFonts w:ascii="Arial" w:hAnsi="Arial" w:cs="Arial"/>
        </w:rPr>
        <w:t xml:space="preserve"> triple bottom line framework for demonstrating the sustainability of the business in the </w:t>
      </w:r>
      <w:r w:rsidR="006B7A08">
        <w:rPr>
          <w:rFonts w:ascii="Arial" w:hAnsi="Arial" w:cs="Arial"/>
        </w:rPr>
        <w:t>market.</w:t>
      </w:r>
      <w:r w:rsidR="006B7A08" w:rsidRPr="009052A7">
        <w:rPr>
          <w:rFonts w:ascii="Arial" w:hAnsi="Arial" w:cs="Arial"/>
        </w:rPr>
        <w:t xml:space="preserve"> This</w:t>
      </w:r>
      <w:r w:rsidR="00427C1F" w:rsidRPr="009052A7">
        <w:rPr>
          <w:rFonts w:ascii="Arial" w:hAnsi="Arial" w:cs="Arial"/>
        </w:rPr>
        <w:t xml:space="preserve"> chapter </w:t>
      </w:r>
      <w:r>
        <w:rPr>
          <w:rFonts w:ascii="Arial" w:hAnsi="Arial" w:cs="Arial"/>
        </w:rPr>
        <w:t xml:space="preserve">will also </w:t>
      </w:r>
      <w:r w:rsidR="006B7A08" w:rsidRPr="009052A7">
        <w:rPr>
          <w:rFonts w:ascii="Arial" w:hAnsi="Arial" w:cs="Arial"/>
        </w:rPr>
        <w:t>outline</w:t>
      </w:r>
      <w:r w:rsidR="00427C1F" w:rsidRPr="009052A7">
        <w:rPr>
          <w:rFonts w:ascii="Arial" w:hAnsi="Arial" w:cs="Arial"/>
        </w:rPr>
        <w:t xml:space="preserve"> the organisation’s identity, mission, vision, core values, legal and operational structure, founding inspiration, unique value proposition, and strategic advantages.</w:t>
      </w:r>
      <w:r w:rsidR="00187C0D">
        <w:rPr>
          <w:rFonts w:ascii="Arial" w:hAnsi="Arial" w:cs="Arial"/>
        </w:rPr>
        <w:t xml:space="preserve"> </w:t>
      </w:r>
    </w:p>
    <w:p w14:paraId="40F2FC81" w14:textId="7ABCD0EE" w:rsidR="009C1A50" w:rsidRDefault="00C5739D" w:rsidP="00BE7277">
      <w:pPr>
        <w:spacing w:line="276" w:lineRule="auto"/>
        <w:jc w:val="both"/>
        <w:rPr>
          <w:rFonts w:ascii="Arial" w:hAnsi="Arial" w:cs="Arial"/>
        </w:rPr>
      </w:pPr>
      <w:r>
        <w:rPr>
          <w:rFonts w:ascii="Arial" w:hAnsi="Arial" w:cs="Arial"/>
        </w:rPr>
        <w:t xml:space="preserve">2.1.1 </w:t>
      </w:r>
      <w:r w:rsidR="0015416A">
        <w:rPr>
          <w:rFonts w:ascii="Arial" w:hAnsi="Arial" w:cs="Arial"/>
        </w:rPr>
        <w:t xml:space="preserve">Triple bottom line framework </w:t>
      </w:r>
    </w:p>
    <w:tbl>
      <w:tblPr>
        <w:tblStyle w:val="TableGrid"/>
        <w:tblW w:w="8758" w:type="dxa"/>
        <w:tblInd w:w="488" w:type="dxa"/>
        <w:tblLook w:val="04A0" w:firstRow="1" w:lastRow="0" w:firstColumn="1" w:lastColumn="0" w:noHBand="0" w:noVBand="1"/>
      </w:tblPr>
      <w:tblGrid>
        <w:gridCol w:w="8758"/>
      </w:tblGrid>
      <w:tr w:rsidR="00D32E03" w14:paraId="2000B3B2" w14:textId="77777777" w:rsidTr="007A256E">
        <w:trPr>
          <w:trHeight w:val="4086"/>
        </w:trPr>
        <w:tc>
          <w:tcPr>
            <w:tcW w:w="8758" w:type="dxa"/>
          </w:tcPr>
          <w:p w14:paraId="60A3CFF9" w14:textId="6A490183" w:rsidR="001E55B8" w:rsidRPr="001E55B8" w:rsidRDefault="001E55B8" w:rsidP="007A256E">
            <w:pPr>
              <w:spacing w:line="276" w:lineRule="auto"/>
              <w:jc w:val="center"/>
              <w:rPr>
                <w:rFonts w:ascii="Arial" w:hAnsi="Arial" w:cs="Arial"/>
              </w:rPr>
            </w:pPr>
            <w:r w:rsidRPr="001E55B8">
              <w:rPr>
                <w:rFonts w:ascii="Arial" w:hAnsi="Arial" w:cs="Arial"/>
              </w:rPr>
              <w:drawing>
                <wp:inline distT="0" distB="0" distL="0" distR="0" wp14:anchorId="0EE0C9A1" wp14:editId="33FCAED6">
                  <wp:extent cx="4693920" cy="2726084"/>
                  <wp:effectExtent l="0" t="0" r="0" b="0"/>
                  <wp:docPr id="18269123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19519" cy="2740951"/>
                          </a:xfrm>
                          <a:prstGeom prst="rect">
                            <a:avLst/>
                          </a:prstGeom>
                          <a:noFill/>
                          <a:ln>
                            <a:noFill/>
                          </a:ln>
                        </pic:spPr>
                      </pic:pic>
                    </a:graphicData>
                  </a:graphic>
                </wp:inline>
              </w:drawing>
            </w:r>
          </w:p>
          <w:p w14:paraId="0B60EA14" w14:textId="77777777" w:rsidR="00D32E03" w:rsidRDefault="00D32E03" w:rsidP="00BE7277">
            <w:pPr>
              <w:spacing w:line="276" w:lineRule="auto"/>
              <w:jc w:val="both"/>
              <w:rPr>
                <w:rFonts w:ascii="Arial" w:hAnsi="Arial" w:cs="Arial"/>
              </w:rPr>
            </w:pPr>
          </w:p>
        </w:tc>
      </w:tr>
    </w:tbl>
    <w:p w14:paraId="2823B5C3" w14:textId="239AD21D" w:rsidR="00D9270D" w:rsidRPr="00F66594" w:rsidRDefault="00F66594" w:rsidP="00BE7277">
      <w:pPr>
        <w:spacing w:line="276" w:lineRule="auto"/>
        <w:jc w:val="both"/>
        <w:rPr>
          <w:rFonts w:ascii="Arial" w:hAnsi="Arial" w:cs="Arial"/>
          <w:i/>
          <w:iCs/>
        </w:rPr>
      </w:pPr>
      <w:r w:rsidRPr="00F66594">
        <w:rPr>
          <w:rFonts w:ascii="Arial" w:hAnsi="Arial" w:cs="Arial"/>
          <w:i/>
          <w:iCs/>
        </w:rPr>
        <w:t>Source: Author Illustration (2025)</w:t>
      </w:r>
    </w:p>
    <w:p w14:paraId="3A922D9F" w14:textId="429C91F6" w:rsidR="00492F81" w:rsidRPr="00492F81" w:rsidRDefault="00492F81" w:rsidP="00492F81">
      <w:pPr>
        <w:spacing w:line="276" w:lineRule="auto"/>
        <w:jc w:val="both"/>
        <w:rPr>
          <w:rFonts w:ascii="Arial" w:hAnsi="Arial" w:cs="Arial"/>
        </w:rPr>
      </w:pPr>
      <w:r w:rsidRPr="00492F81">
        <w:rPr>
          <w:rFonts w:ascii="Arial" w:hAnsi="Arial" w:cs="Arial"/>
        </w:rPr>
        <w:t xml:space="preserve">Sense Mortgage &amp; Residential is a newly established mortgage advisory firm designed to operate within the UK’s regulated financial services environment, offering transparent, personalised, and technology-enabled advice to clients across London and Southeast England. While the firm’s primary objective is to support customers in making informed mortgage and protection decisions, its business identity is also shaped by a broader commitment to responsible and sustainable practice. To reflect this wider organisational </w:t>
      </w:r>
      <w:r w:rsidRPr="00492F81">
        <w:rPr>
          <w:rFonts w:ascii="Arial" w:hAnsi="Arial" w:cs="Arial"/>
        </w:rPr>
        <w:lastRenderedPageBreak/>
        <w:t>approach, the Triple Bottom Line (TBL) framework</w:t>
      </w:r>
      <w:r w:rsidR="00BE7B81">
        <w:rPr>
          <w:rFonts w:ascii="Arial" w:hAnsi="Arial" w:cs="Arial"/>
        </w:rPr>
        <w:t xml:space="preserve"> </w:t>
      </w:r>
      <w:r w:rsidRPr="00492F81">
        <w:rPr>
          <w:rFonts w:ascii="Arial" w:hAnsi="Arial" w:cs="Arial"/>
        </w:rPr>
        <w:t>People, Planet, and Profit</w:t>
      </w:r>
      <w:r w:rsidR="00BE7B81">
        <w:rPr>
          <w:rFonts w:ascii="Arial" w:hAnsi="Arial" w:cs="Arial"/>
        </w:rPr>
        <w:t xml:space="preserve"> </w:t>
      </w:r>
      <w:r w:rsidRPr="00492F81">
        <w:rPr>
          <w:rFonts w:ascii="Arial" w:hAnsi="Arial" w:cs="Arial"/>
        </w:rPr>
        <w:t>is incorporated into the foundation of the business model.</w:t>
      </w:r>
    </w:p>
    <w:p w14:paraId="14ECFB11" w14:textId="77777777" w:rsidR="00492F81" w:rsidRPr="00492F81" w:rsidRDefault="00492F81" w:rsidP="00492F81">
      <w:pPr>
        <w:spacing w:line="276" w:lineRule="auto"/>
        <w:jc w:val="both"/>
        <w:rPr>
          <w:rFonts w:ascii="Arial" w:hAnsi="Arial" w:cs="Arial"/>
        </w:rPr>
      </w:pPr>
    </w:p>
    <w:p w14:paraId="62686788" w14:textId="77777777" w:rsidR="00492F81" w:rsidRPr="00492F81" w:rsidRDefault="00492F81" w:rsidP="00492F81">
      <w:pPr>
        <w:spacing w:line="276" w:lineRule="auto"/>
        <w:jc w:val="both"/>
        <w:rPr>
          <w:rFonts w:ascii="Arial" w:hAnsi="Arial" w:cs="Arial"/>
        </w:rPr>
      </w:pPr>
      <w:r w:rsidRPr="00492F81">
        <w:rPr>
          <w:rFonts w:ascii="Arial" w:hAnsi="Arial" w:cs="Arial"/>
        </w:rPr>
        <w:t>From a People perspective, the firm emphasises fair treatment, ethical advice, and transparent communication to ensure that clients receive high-quality guidance throughout the mortgage process. This aligns with the firm’s mission and core values, as well as the FCA’s Consumer Duty requirement to deliver good customer outcomes. Within the organisation, TBL emphasises employee welfare, training, and professional development as essential elements of long-term operational success.</w:t>
      </w:r>
    </w:p>
    <w:p w14:paraId="5A58BAA0" w14:textId="77777777" w:rsidR="00492F81" w:rsidRPr="00492F81" w:rsidRDefault="00492F81" w:rsidP="00492F81">
      <w:pPr>
        <w:spacing w:line="276" w:lineRule="auto"/>
        <w:jc w:val="both"/>
        <w:rPr>
          <w:rFonts w:ascii="Arial" w:hAnsi="Arial" w:cs="Arial"/>
        </w:rPr>
      </w:pPr>
    </w:p>
    <w:p w14:paraId="4EB3D8D7" w14:textId="4A94A776" w:rsidR="00427C1F" w:rsidRPr="009052A7" w:rsidRDefault="00492F81" w:rsidP="00492F81">
      <w:pPr>
        <w:spacing w:line="276" w:lineRule="auto"/>
        <w:jc w:val="both"/>
        <w:rPr>
          <w:rFonts w:ascii="Arial" w:hAnsi="Arial" w:cs="Arial"/>
        </w:rPr>
      </w:pPr>
      <w:r w:rsidRPr="00492F81">
        <w:rPr>
          <w:rFonts w:ascii="Arial" w:hAnsi="Arial" w:cs="Arial"/>
        </w:rPr>
        <w:t>Regarding</w:t>
      </w:r>
      <w:r w:rsidRPr="00492F81">
        <w:rPr>
          <w:rFonts w:ascii="Arial" w:hAnsi="Arial" w:cs="Arial"/>
        </w:rPr>
        <w:t xml:space="preserve"> the Planet dimension, Sense Mortgage &amp; Residential recognises the increasing importance of environmental responsibility within professional service sectors. Although the business model does not involve physical production, it contributes to sustainability through paperless processes, digital documentation, remote working, and reduced carbon emissions associated with travel. This reflects broader trends in financial services where digitalisation supports environmental efficiency (Deloitte, 2023).</w:t>
      </w:r>
    </w:p>
    <w:p w14:paraId="62F40F68" w14:textId="19A655D2" w:rsidR="00427C1F" w:rsidRPr="009052A7" w:rsidRDefault="00427C1F" w:rsidP="00BE7277">
      <w:pPr>
        <w:spacing w:line="276" w:lineRule="auto"/>
        <w:jc w:val="both"/>
        <w:rPr>
          <w:rFonts w:ascii="Arial" w:hAnsi="Arial" w:cs="Arial"/>
        </w:rPr>
      </w:pPr>
      <w:r w:rsidRPr="009052A7">
        <w:rPr>
          <w:rFonts w:ascii="Arial" w:hAnsi="Arial" w:cs="Arial"/>
        </w:rPr>
        <w:t>2.2 Business Identity</w:t>
      </w:r>
    </w:p>
    <w:p w14:paraId="40468CAE" w14:textId="12F9F53F" w:rsidR="00427C1F" w:rsidRPr="009052A7" w:rsidRDefault="00427C1F" w:rsidP="00BE7277">
      <w:pPr>
        <w:spacing w:line="276" w:lineRule="auto"/>
        <w:jc w:val="both"/>
        <w:rPr>
          <w:rFonts w:ascii="Arial" w:hAnsi="Arial" w:cs="Arial"/>
        </w:rPr>
      </w:pPr>
      <w:r w:rsidRPr="009052A7">
        <w:rPr>
          <w:rFonts w:ascii="Arial" w:hAnsi="Arial" w:cs="Arial"/>
        </w:rPr>
        <w:t>Sense Mortgage &amp; Residential positions itself as a client-centred mortgage intermediary offering regulated mortgage and protection advice to first-time buyers, home movers, re-mortgage customers, and property investors. The identity of the business is shaped by three central characteristics:</w:t>
      </w:r>
    </w:p>
    <w:p w14:paraId="427F4E1B" w14:textId="23C54733" w:rsidR="00427C1F" w:rsidRPr="009052A7" w:rsidRDefault="00427C1F" w:rsidP="00BE7277">
      <w:pPr>
        <w:spacing w:line="276" w:lineRule="auto"/>
        <w:jc w:val="both"/>
        <w:rPr>
          <w:rFonts w:ascii="Arial" w:hAnsi="Arial" w:cs="Arial"/>
        </w:rPr>
      </w:pPr>
      <w:r w:rsidRPr="009052A7">
        <w:rPr>
          <w:rFonts w:ascii="Arial" w:hAnsi="Arial" w:cs="Arial"/>
        </w:rPr>
        <w:t>Transparency – providing clear, jargon-free explanations of mortgage products, affordability assessments, and lending decisions.</w:t>
      </w:r>
    </w:p>
    <w:p w14:paraId="58AE4B82" w14:textId="1E8D891B" w:rsidR="00427C1F" w:rsidRPr="009052A7" w:rsidRDefault="00427C1F" w:rsidP="00BE7277">
      <w:pPr>
        <w:spacing w:line="276" w:lineRule="auto"/>
        <w:jc w:val="both"/>
        <w:rPr>
          <w:rFonts w:ascii="Arial" w:hAnsi="Arial" w:cs="Arial"/>
        </w:rPr>
      </w:pPr>
      <w:r w:rsidRPr="009052A7">
        <w:rPr>
          <w:rFonts w:ascii="Arial" w:hAnsi="Arial" w:cs="Arial"/>
        </w:rPr>
        <w:t>Professionalism – upholding rigorous compliance standards in line with the Financial Conduct Authority (FCA).</w:t>
      </w:r>
    </w:p>
    <w:p w14:paraId="068A1781" w14:textId="413DC288" w:rsidR="00427C1F" w:rsidRPr="009052A7" w:rsidRDefault="00427C1F" w:rsidP="00BE7277">
      <w:pPr>
        <w:spacing w:line="276" w:lineRule="auto"/>
        <w:jc w:val="both"/>
        <w:rPr>
          <w:rFonts w:ascii="Arial" w:hAnsi="Arial" w:cs="Arial"/>
        </w:rPr>
      </w:pPr>
      <w:r w:rsidRPr="009052A7">
        <w:rPr>
          <w:rFonts w:ascii="Arial" w:hAnsi="Arial" w:cs="Arial"/>
        </w:rPr>
        <w:t>Technology Integration – utilising digital tools to streamline fact-finding, documentation, case tracking, and client communication.</w:t>
      </w:r>
    </w:p>
    <w:p w14:paraId="721B40A7" w14:textId="1AB2AB67" w:rsidR="00D16229" w:rsidRPr="009052A7" w:rsidRDefault="00427C1F" w:rsidP="00BE7277">
      <w:pPr>
        <w:spacing w:line="276" w:lineRule="auto"/>
        <w:jc w:val="both"/>
        <w:rPr>
          <w:rFonts w:ascii="Arial" w:hAnsi="Arial" w:cs="Arial"/>
        </w:rPr>
      </w:pPr>
      <w:r w:rsidRPr="009052A7">
        <w:rPr>
          <w:rFonts w:ascii="Arial" w:hAnsi="Arial" w:cs="Arial"/>
        </w:rPr>
        <w:t>In a market where clients increasingly expect faster processing, digital documentation, and accessible advisory support, the business identity combines human expertise with digital efficiency to meet modern expectations (PwC, 2023).</w:t>
      </w:r>
    </w:p>
    <w:p w14:paraId="383B6D55" w14:textId="465CED5B" w:rsidR="00427C1F" w:rsidRPr="009052A7" w:rsidRDefault="00427C1F" w:rsidP="00BE7277">
      <w:pPr>
        <w:spacing w:line="276" w:lineRule="auto"/>
        <w:jc w:val="both"/>
        <w:rPr>
          <w:rFonts w:ascii="Arial" w:hAnsi="Arial" w:cs="Arial"/>
        </w:rPr>
      </w:pPr>
      <w:r w:rsidRPr="009052A7">
        <w:rPr>
          <w:rFonts w:ascii="Arial" w:hAnsi="Arial" w:cs="Arial"/>
        </w:rPr>
        <w:t>2.3 Legal Structure and Regulatory Framework</w:t>
      </w:r>
    </w:p>
    <w:p w14:paraId="1EE739D9" w14:textId="77777777" w:rsidR="008527A8" w:rsidRPr="009052A7" w:rsidRDefault="008527A8" w:rsidP="008527A8">
      <w:pPr>
        <w:spacing w:line="276" w:lineRule="auto"/>
        <w:jc w:val="both"/>
        <w:rPr>
          <w:rFonts w:ascii="Arial" w:hAnsi="Arial" w:cs="Arial"/>
        </w:rPr>
      </w:pPr>
      <w:r w:rsidRPr="009052A7">
        <w:rPr>
          <w:rFonts w:ascii="Arial" w:hAnsi="Arial" w:cs="Arial"/>
        </w:rPr>
        <w:t>Legal Structure</w:t>
      </w:r>
    </w:p>
    <w:p w14:paraId="6A518C12" w14:textId="77777777" w:rsidR="00210FD6" w:rsidRDefault="008527A8" w:rsidP="008527A8">
      <w:pPr>
        <w:spacing w:line="276" w:lineRule="auto"/>
        <w:jc w:val="both"/>
        <w:rPr>
          <w:rFonts w:ascii="Arial" w:hAnsi="Arial" w:cs="Arial"/>
        </w:rPr>
      </w:pPr>
      <w:r w:rsidRPr="009052A7">
        <w:rPr>
          <w:rFonts w:ascii="Arial" w:hAnsi="Arial" w:cs="Arial"/>
        </w:rPr>
        <w:t>To ensure regulatory compliance, operational efficiency, and manageable growth, Sense Mortgage &amp; Residential will adopt an Appointed Representative (AR) business model under a Financial Conduct Authority (FCA) authorised network. The selected network will provide regulatory oversight, compliance support, lender access, and continuous monitoring.</w:t>
      </w:r>
    </w:p>
    <w:p w14:paraId="61FA2FAA" w14:textId="6CAAAA3B" w:rsidR="008527A8" w:rsidRPr="009052A7" w:rsidRDefault="008527A8" w:rsidP="008527A8">
      <w:pPr>
        <w:spacing w:line="276" w:lineRule="auto"/>
        <w:jc w:val="both"/>
        <w:rPr>
          <w:rFonts w:ascii="Arial" w:hAnsi="Arial" w:cs="Arial"/>
        </w:rPr>
      </w:pPr>
      <w:r w:rsidRPr="009052A7">
        <w:rPr>
          <w:rFonts w:ascii="Arial" w:hAnsi="Arial" w:cs="Arial"/>
        </w:rPr>
        <w:t>Organisational Structure</w:t>
      </w:r>
    </w:p>
    <w:p w14:paraId="06517DFF" w14:textId="77777777" w:rsidR="009052A7" w:rsidRPr="009052A7" w:rsidRDefault="009052A7" w:rsidP="009052A7">
      <w:pPr>
        <w:spacing w:line="276" w:lineRule="auto"/>
        <w:jc w:val="both"/>
        <w:rPr>
          <w:rFonts w:ascii="Arial" w:hAnsi="Arial" w:cs="Arial"/>
        </w:rPr>
      </w:pPr>
      <w:r w:rsidRPr="009052A7">
        <w:rPr>
          <w:rFonts w:ascii="Arial" w:hAnsi="Arial" w:cs="Arial"/>
        </w:rPr>
        <w:lastRenderedPageBreak/>
        <w:t>Sense Mortgage &amp; Residential will operate as a private limited company (Ltd) registered with Companies House in the United Kingdom. The Ltd structure is the most appropriate for a mortgage intermediary due to its limited liability, clearer governance, tax efficiency, and suitability for future expansion (Companies House, 2024).</w:t>
      </w:r>
    </w:p>
    <w:p w14:paraId="60E1CF6F" w14:textId="3DEE319F" w:rsidR="008527A8" w:rsidRPr="00FD17FA" w:rsidRDefault="008527A8" w:rsidP="008527A8">
      <w:pPr>
        <w:spacing w:line="276" w:lineRule="auto"/>
        <w:jc w:val="both"/>
        <w:rPr>
          <w:rFonts w:ascii="Arial" w:hAnsi="Arial" w:cs="Arial"/>
          <w:u w:val="single"/>
        </w:rPr>
      </w:pPr>
      <w:r w:rsidRPr="009052A7">
        <w:rPr>
          <w:rFonts w:ascii="Arial" w:hAnsi="Arial" w:cs="Arial"/>
          <w:u w:val="single"/>
        </w:rPr>
        <w:t>This legal structure provides several advantages:</w:t>
      </w:r>
    </w:p>
    <w:p w14:paraId="51DFC7BD" w14:textId="77777777" w:rsidR="008527A8" w:rsidRPr="00FD17FA" w:rsidRDefault="008527A8" w:rsidP="00FD17FA">
      <w:pPr>
        <w:pStyle w:val="ListParagraph"/>
        <w:numPr>
          <w:ilvl w:val="0"/>
          <w:numId w:val="1"/>
        </w:numPr>
        <w:spacing w:line="276" w:lineRule="auto"/>
        <w:jc w:val="both"/>
        <w:rPr>
          <w:rFonts w:ascii="Arial" w:hAnsi="Arial" w:cs="Arial"/>
        </w:rPr>
      </w:pPr>
      <w:r w:rsidRPr="00FD17FA">
        <w:rPr>
          <w:rFonts w:ascii="Arial" w:hAnsi="Arial" w:cs="Arial"/>
        </w:rPr>
        <w:t>Limited liability protection for owners and directors.</w:t>
      </w:r>
    </w:p>
    <w:p w14:paraId="10FE8584" w14:textId="77777777" w:rsidR="008527A8" w:rsidRPr="00FD17FA" w:rsidRDefault="008527A8" w:rsidP="00FD17FA">
      <w:pPr>
        <w:pStyle w:val="ListParagraph"/>
        <w:numPr>
          <w:ilvl w:val="0"/>
          <w:numId w:val="1"/>
        </w:numPr>
        <w:spacing w:line="276" w:lineRule="auto"/>
        <w:jc w:val="both"/>
        <w:rPr>
          <w:rFonts w:ascii="Arial" w:hAnsi="Arial" w:cs="Arial"/>
        </w:rPr>
      </w:pPr>
      <w:r w:rsidRPr="00FD17FA">
        <w:rPr>
          <w:rFonts w:ascii="Arial" w:hAnsi="Arial" w:cs="Arial"/>
        </w:rPr>
        <w:t>Clear separation between personal and business finances.</w:t>
      </w:r>
    </w:p>
    <w:p w14:paraId="0F54C2FE" w14:textId="77777777" w:rsidR="008527A8" w:rsidRPr="00FD17FA" w:rsidRDefault="008527A8" w:rsidP="00FD17FA">
      <w:pPr>
        <w:pStyle w:val="ListParagraph"/>
        <w:numPr>
          <w:ilvl w:val="0"/>
          <w:numId w:val="1"/>
        </w:numPr>
        <w:spacing w:line="276" w:lineRule="auto"/>
        <w:jc w:val="both"/>
        <w:rPr>
          <w:rFonts w:ascii="Arial" w:hAnsi="Arial" w:cs="Arial"/>
        </w:rPr>
      </w:pPr>
      <w:r w:rsidRPr="00FD17FA">
        <w:rPr>
          <w:rFonts w:ascii="Arial" w:hAnsi="Arial" w:cs="Arial"/>
        </w:rPr>
        <w:t>Eligibility to become an Appointed Representative under an authorised network.</w:t>
      </w:r>
    </w:p>
    <w:p w14:paraId="41C939EE" w14:textId="77777777" w:rsidR="008527A8" w:rsidRPr="00FD17FA" w:rsidRDefault="008527A8" w:rsidP="00FD17FA">
      <w:pPr>
        <w:pStyle w:val="ListParagraph"/>
        <w:numPr>
          <w:ilvl w:val="0"/>
          <w:numId w:val="1"/>
        </w:numPr>
        <w:spacing w:line="276" w:lineRule="auto"/>
        <w:jc w:val="both"/>
        <w:rPr>
          <w:rFonts w:ascii="Arial" w:hAnsi="Arial" w:cs="Arial"/>
        </w:rPr>
      </w:pPr>
      <w:r w:rsidRPr="00FD17FA">
        <w:rPr>
          <w:rFonts w:ascii="Arial" w:hAnsi="Arial" w:cs="Arial"/>
        </w:rPr>
        <w:t>Professional credibility within the financial services sector.</w:t>
      </w:r>
    </w:p>
    <w:p w14:paraId="61151513" w14:textId="77777777" w:rsidR="00210FD6" w:rsidRDefault="008527A8" w:rsidP="008527A8">
      <w:pPr>
        <w:pStyle w:val="ListParagraph"/>
        <w:numPr>
          <w:ilvl w:val="0"/>
          <w:numId w:val="1"/>
        </w:numPr>
        <w:spacing w:line="276" w:lineRule="auto"/>
        <w:jc w:val="both"/>
        <w:rPr>
          <w:rFonts w:ascii="Arial" w:hAnsi="Arial" w:cs="Arial"/>
        </w:rPr>
      </w:pPr>
      <w:r w:rsidRPr="00FD17FA">
        <w:rPr>
          <w:rFonts w:ascii="Arial" w:hAnsi="Arial" w:cs="Arial"/>
        </w:rPr>
        <w:t>Scalability, enabling additional advisers to be hired or contracted under the business entity.</w:t>
      </w:r>
    </w:p>
    <w:p w14:paraId="14657603" w14:textId="465FB7A5" w:rsidR="008527A8" w:rsidRPr="00210FD6" w:rsidRDefault="008527A8" w:rsidP="00210FD6">
      <w:pPr>
        <w:spacing w:line="276" w:lineRule="auto"/>
        <w:jc w:val="both"/>
        <w:rPr>
          <w:rFonts w:ascii="Arial" w:hAnsi="Arial" w:cs="Arial"/>
        </w:rPr>
      </w:pPr>
      <w:r w:rsidRPr="00210FD6">
        <w:rPr>
          <w:rFonts w:ascii="Arial" w:hAnsi="Arial" w:cs="Arial"/>
        </w:rPr>
        <w:t>Directors of the company will be responsible for strategic decision-making, ensuring compliance with FCA requirements, and overseeing operational activities.</w:t>
      </w:r>
    </w:p>
    <w:p w14:paraId="06E4D120" w14:textId="77777777" w:rsidR="0001260E" w:rsidRPr="00AA6571" w:rsidRDefault="0001260E" w:rsidP="008527A8">
      <w:pPr>
        <w:spacing w:line="276" w:lineRule="auto"/>
        <w:jc w:val="both"/>
        <w:rPr>
          <w:rFonts w:ascii="Arial" w:hAnsi="Arial" w:cs="Arial"/>
        </w:rPr>
      </w:pPr>
    </w:p>
    <w:p w14:paraId="136D10A2" w14:textId="795DC50B" w:rsidR="008527A8" w:rsidRPr="00AA6571" w:rsidRDefault="00724250" w:rsidP="0001260E">
      <w:pPr>
        <w:spacing w:line="276" w:lineRule="auto"/>
        <w:jc w:val="both"/>
        <w:rPr>
          <w:rFonts w:ascii="Arial" w:hAnsi="Arial" w:cs="Arial"/>
        </w:rPr>
      </w:pPr>
      <w:r w:rsidRPr="00AA6571">
        <w:rPr>
          <w:rFonts w:ascii="Arial" w:hAnsi="Arial" w:cs="Arial"/>
        </w:rPr>
        <w:t>2.3.1</w:t>
      </w:r>
      <w:r w:rsidR="00AA6571" w:rsidRPr="00AA6571">
        <w:rPr>
          <w:rFonts w:ascii="Arial" w:hAnsi="Arial" w:cs="Arial"/>
        </w:rPr>
        <w:t xml:space="preserve"> </w:t>
      </w:r>
      <w:r w:rsidR="008527A8" w:rsidRPr="00AA6571">
        <w:rPr>
          <w:rFonts w:ascii="Arial" w:hAnsi="Arial" w:cs="Arial"/>
        </w:rPr>
        <w:t>FCA Authorisation Approach – Appointed Representative (AR) Model</w:t>
      </w:r>
    </w:p>
    <w:p w14:paraId="5A23CB86" w14:textId="77777777" w:rsidR="008527A8" w:rsidRDefault="008527A8" w:rsidP="008527A8">
      <w:pPr>
        <w:spacing w:line="276" w:lineRule="auto"/>
        <w:jc w:val="both"/>
        <w:rPr>
          <w:rFonts w:ascii="Arial" w:hAnsi="Arial" w:cs="Arial"/>
        </w:rPr>
      </w:pPr>
      <w:r w:rsidRPr="009052A7">
        <w:rPr>
          <w:rFonts w:ascii="Arial" w:hAnsi="Arial" w:cs="Arial"/>
        </w:rPr>
        <w:t xml:space="preserve">As an AR, Sense Mortgage &amp; Residential will not require direct FCA authorisation. Instead, the firm will be authorised to conduct regulated mortgage and insurance mediation activities through its financial network. </w:t>
      </w:r>
    </w:p>
    <w:p w14:paraId="31DD6BEE" w14:textId="621D30DB" w:rsidR="00C262A0" w:rsidRPr="009052A7" w:rsidRDefault="00C262A0" w:rsidP="008527A8">
      <w:pPr>
        <w:spacing w:line="276" w:lineRule="auto"/>
        <w:jc w:val="both"/>
        <w:rPr>
          <w:rFonts w:ascii="Arial" w:hAnsi="Arial" w:cs="Arial"/>
        </w:rPr>
      </w:pPr>
      <w:r>
        <w:rPr>
          <w:rFonts w:ascii="Arial" w:hAnsi="Arial" w:cs="Arial"/>
        </w:rPr>
        <w:t xml:space="preserve">Table 1: </w:t>
      </w:r>
      <w:r w:rsidR="00B9743E">
        <w:rPr>
          <w:rFonts w:ascii="Arial" w:hAnsi="Arial" w:cs="Arial"/>
        </w:rPr>
        <w:t>Financial s</w:t>
      </w:r>
      <w:r w:rsidR="001107F9">
        <w:rPr>
          <w:rFonts w:ascii="Arial" w:hAnsi="Arial" w:cs="Arial"/>
        </w:rPr>
        <w:t>tructure as AR model</w:t>
      </w:r>
    </w:p>
    <w:tbl>
      <w:tblPr>
        <w:tblStyle w:val="GridTable4-Accent4"/>
        <w:tblW w:w="0" w:type="auto"/>
        <w:tblInd w:w="359" w:type="dxa"/>
        <w:tblLook w:val="04A0" w:firstRow="1" w:lastRow="0" w:firstColumn="1" w:lastColumn="0" w:noHBand="0" w:noVBand="1"/>
      </w:tblPr>
      <w:tblGrid>
        <w:gridCol w:w="9016"/>
      </w:tblGrid>
      <w:tr w:rsidR="008527A8" w:rsidRPr="009052A7" w14:paraId="05610B15" w14:textId="77777777" w:rsidTr="00B336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top w:val="single" w:sz="4" w:space="0" w:color="auto"/>
              <w:left w:val="single" w:sz="4" w:space="0" w:color="auto"/>
              <w:right w:val="single" w:sz="4" w:space="0" w:color="auto"/>
            </w:tcBorders>
          </w:tcPr>
          <w:p w14:paraId="2A43C81F"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This structure includes:</w:t>
            </w:r>
          </w:p>
        </w:tc>
      </w:tr>
      <w:tr w:rsidR="008527A8" w:rsidRPr="009052A7" w14:paraId="5C81BF2E" w14:textId="77777777" w:rsidTr="00B33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76F2D27B"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Full compliance oversight by the selected network.</w:t>
            </w:r>
          </w:p>
        </w:tc>
      </w:tr>
      <w:tr w:rsidR="008527A8" w:rsidRPr="009052A7" w14:paraId="4CA8ECCA" w14:textId="77777777" w:rsidTr="00B3364D">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78902358"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Approved Person / Senior Management Function (SMF) approval for the Principal Director.</w:t>
            </w:r>
          </w:p>
        </w:tc>
      </w:tr>
      <w:tr w:rsidR="008527A8" w:rsidRPr="009052A7" w14:paraId="5D984FF6" w14:textId="77777777" w:rsidTr="00B33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0790EB1C"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Mandatory compliance audits, training, and ongoing supervision.</w:t>
            </w:r>
          </w:p>
        </w:tc>
      </w:tr>
      <w:tr w:rsidR="008527A8" w:rsidRPr="009052A7" w14:paraId="3E7376B3" w14:textId="77777777" w:rsidTr="00B3364D">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37407273"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Access to lender panels, insurance panels, GI providers, and professional systems.</w:t>
            </w:r>
          </w:p>
        </w:tc>
      </w:tr>
      <w:tr w:rsidR="008527A8" w:rsidRPr="009052A7" w14:paraId="2DE22CF1" w14:textId="77777777" w:rsidTr="00B33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6E9D9175"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The AR model is the preferred structure for new mortgage advisory firms because it lowers regulatory risk and reduces the cost and complexity of initial compliance setup.</w:t>
            </w:r>
          </w:p>
        </w:tc>
      </w:tr>
      <w:tr w:rsidR="008527A8" w:rsidRPr="009052A7" w14:paraId="12F9B386" w14:textId="77777777" w:rsidTr="00B3364D">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58E2E1B5"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Legal and Regulatory Requirements</w:t>
            </w:r>
          </w:p>
        </w:tc>
      </w:tr>
      <w:tr w:rsidR="008527A8" w:rsidRPr="009052A7" w14:paraId="21D42CB4" w14:textId="77777777" w:rsidTr="00B33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1068DC32"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To operate legally within the UK mortgage market, the business will adhere to:</w:t>
            </w:r>
          </w:p>
        </w:tc>
      </w:tr>
      <w:tr w:rsidR="008527A8" w:rsidRPr="009052A7" w14:paraId="65E70AA9" w14:textId="77777777" w:rsidTr="00B3364D">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63C3B441"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Financial Conduct Authority (FCA) Handbook – including MCOB (Mortgage Conduct of Business), SYSC (Systems and Controls), and PRIN (Principles for Businesses).</w:t>
            </w:r>
          </w:p>
        </w:tc>
      </w:tr>
      <w:tr w:rsidR="008527A8" w:rsidRPr="009052A7" w14:paraId="313696C2" w14:textId="77777777" w:rsidTr="00B33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6B90E88F"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Data Protection Act 2018 &amp; UK GDPR – for secure handling of client information.</w:t>
            </w:r>
          </w:p>
        </w:tc>
      </w:tr>
      <w:tr w:rsidR="008527A8" w:rsidRPr="009052A7" w14:paraId="0B1E0C50" w14:textId="77777777" w:rsidTr="00B3364D">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16425E08"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Anti-Money Laundering (AML) Regulations – implementing ID verification, source of funds checks, and AML reporting procedures.</w:t>
            </w:r>
          </w:p>
        </w:tc>
      </w:tr>
      <w:tr w:rsidR="008527A8" w:rsidRPr="009052A7" w14:paraId="786835ED" w14:textId="77777777" w:rsidTr="00B336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right w:val="single" w:sz="4" w:space="0" w:color="auto"/>
            </w:tcBorders>
          </w:tcPr>
          <w:p w14:paraId="1ACAFD68"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Complaints Handling under DISP Rules – ensuring all complaints are managed within FCA guidelines.</w:t>
            </w:r>
          </w:p>
        </w:tc>
      </w:tr>
      <w:tr w:rsidR="008527A8" w:rsidRPr="009052A7" w14:paraId="3177016A" w14:textId="77777777" w:rsidTr="00B3364D">
        <w:tc>
          <w:tcPr>
            <w:cnfStyle w:val="001000000000" w:firstRow="0" w:lastRow="0" w:firstColumn="1" w:lastColumn="0" w:oddVBand="0" w:evenVBand="0" w:oddHBand="0" w:evenHBand="0" w:firstRowFirstColumn="0" w:firstRowLastColumn="0" w:lastRowFirstColumn="0" w:lastRowLastColumn="0"/>
            <w:tcW w:w="9016" w:type="dxa"/>
            <w:tcBorders>
              <w:left w:val="single" w:sz="4" w:space="0" w:color="auto"/>
              <w:bottom w:val="single" w:sz="4" w:space="0" w:color="auto"/>
              <w:right w:val="single" w:sz="4" w:space="0" w:color="auto"/>
            </w:tcBorders>
          </w:tcPr>
          <w:p w14:paraId="50E9B950" w14:textId="77777777" w:rsidR="008527A8" w:rsidRPr="009052A7" w:rsidRDefault="008527A8" w:rsidP="00125C51">
            <w:pPr>
              <w:spacing w:line="276" w:lineRule="auto"/>
              <w:jc w:val="both"/>
              <w:rPr>
                <w:rFonts w:ascii="Arial" w:hAnsi="Arial" w:cs="Arial"/>
                <w:b w:val="0"/>
                <w:bCs w:val="0"/>
              </w:rPr>
            </w:pPr>
            <w:r w:rsidRPr="009052A7">
              <w:rPr>
                <w:rFonts w:ascii="Arial" w:hAnsi="Arial" w:cs="Arial"/>
                <w:b w:val="0"/>
                <w:bCs w:val="0"/>
              </w:rPr>
              <w:t>Professional Indemnity Insurance (PII) – required under FCA policy to protect against advisory risk.</w:t>
            </w:r>
          </w:p>
        </w:tc>
      </w:tr>
    </w:tbl>
    <w:p w14:paraId="779BA8E8" w14:textId="6648555A" w:rsidR="00AA6571" w:rsidRPr="00D236F2" w:rsidRDefault="00D236F2" w:rsidP="00AA6571">
      <w:pPr>
        <w:spacing w:line="276" w:lineRule="auto"/>
        <w:jc w:val="both"/>
        <w:rPr>
          <w:rFonts w:ascii="Arial" w:hAnsi="Arial" w:cs="Arial"/>
          <w:i/>
          <w:iCs/>
        </w:rPr>
      </w:pPr>
      <w:r>
        <w:rPr>
          <w:rFonts w:ascii="Arial" w:hAnsi="Arial" w:cs="Arial"/>
        </w:rPr>
        <w:lastRenderedPageBreak/>
        <w:t xml:space="preserve">     </w:t>
      </w:r>
      <w:r w:rsidRPr="00D236F2">
        <w:rPr>
          <w:rFonts w:ascii="Arial" w:hAnsi="Arial" w:cs="Arial"/>
          <w:i/>
          <w:iCs/>
        </w:rPr>
        <w:t>Source: Author Illustration (2025)</w:t>
      </w:r>
    </w:p>
    <w:p w14:paraId="29ABB3E9" w14:textId="77777777" w:rsidR="00AA6571" w:rsidRPr="009052A7" w:rsidRDefault="00AA6571" w:rsidP="00AA6571">
      <w:pPr>
        <w:spacing w:line="276" w:lineRule="auto"/>
        <w:jc w:val="both"/>
        <w:rPr>
          <w:rFonts w:ascii="Arial" w:hAnsi="Arial" w:cs="Arial"/>
        </w:rPr>
      </w:pPr>
      <w:r w:rsidRPr="009052A7">
        <w:rPr>
          <w:rFonts w:ascii="Arial" w:hAnsi="Arial" w:cs="Arial"/>
        </w:rPr>
        <w:t>This model reduces regulatory burden, lowers operational risk, and accelerates market entry, making it the preferred route for new advisory firms (FCA, 2023).</w:t>
      </w:r>
    </w:p>
    <w:p w14:paraId="3D7E00B2" w14:textId="77777777" w:rsidR="008527A8" w:rsidRPr="009052A7" w:rsidRDefault="008527A8" w:rsidP="008527A8">
      <w:pPr>
        <w:spacing w:line="276" w:lineRule="auto"/>
        <w:jc w:val="both"/>
        <w:rPr>
          <w:rFonts w:ascii="Arial" w:hAnsi="Arial" w:cs="Arial"/>
        </w:rPr>
      </w:pPr>
    </w:p>
    <w:p w14:paraId="25ED878E" w14:textId="77777777" w:rsidR="008527A8" w:rsidRPr="009052A7" w:rsidRDefault="008527A8" w:rsidP="008527A8">
      <w:pPr>
        <w:spacing w:line="276" w:lineRule="auto"/>
        <w:jc w:val="both"/>
        <w:rPr>
          <w:rFonts w:ascii="Arial" w:hAnsi="Arial" w:cs="Arial"/>
        </w:rPr>
      </w:pPr>
      <w:r w:rsidRPr="009052A7">
        <w:rPr>
          <w:rFonts w:ascii="Arial" w:hAnsi="Arial" w:cs="Arial"/>
        </w:rPr>
        <w:t>The business will also prepare all necessary internal documents, including:</w:t>
      </w:r>
    </w:p>
    <w:p w14:paraId="247612BA" w14:textId="5CEEF289" w:rsidR="008527A8" w:rsidRPr="001467F5" w:rsidRDefault="008527A8" w:rsidP="001467F5">
      <w:pPr>
        <w:pStyle w:val="ListParagraph"/>
        <w:numPr>
          <w:ilvl w:val="0"/>
          <w:numId w:val="2"/>
        </w:numPr>
        <w:spacing w:line="276" w:lineRule="auto"/>
        <w:jc w:val="both"/>
        <w:rPr>
          <w:rFonts w:ascii="Arial" w:hAnsi="Arial" w:cs="Arial"/>
        </w:rPr>
      </w:pPr>
      <w:r w:rsidRPr="001467F5">
        <w:rPr>
          <w:rFonts w:ascii="Arial" w:hAnsi="Arial" w:cs="Arial"/>
        </w:rPr>
        <w:t>Treating Customers Fairly (TCF) Policy</w:t>
      </w:r>
    </w:p>
    <w:p w14:paraId="60B92FA0" w14:textId="36F4B0BB" w:rsidR="008527A8" w:rsidRPr="001467F5" w:rsidRDefault="008527A8" w:rsidP="001467F5">
      <w:pPr>
        <w:pStyle w:val="ListParagraph"/>
        <w:numPr>
          <w:ilvl w:val="0"/>
          <w:numId w:val="2"/>
        </w:numPr>
        <w:spacing w:line="276" w:lineRule="auto"/>
        <w:jc w:val="both"/>
        <w:rPr>
          <w:rFonts w:ascii="Arial" w:hAnsi="Arial" w:cs="Arial"/>
        </w:rPr>
      </w:pPr>
      <w:r w:rsidRPr="001467F5">
        <w:rPr>
          <w:rFonts w:ascii="Arial" w:hAnsi="Arial" w:cs="Arial"/>
        </w:rPr>
        <w:t>Compliance Monitoring Plan</w:t>
      </w:r>
    </w:p>
    <w:p w14:paraId="3B6506F6" w14:textId="5BD28993" w:rsidR="008527A8" w:rsidRPr="001467F5" w:rsidRDefault="008527A8" w:rsidP="001467F5">
      <w:pPr>
        <w:pStyle w:val="ListParagraph"/>
        <w:numPr>
          <w:ilvl w:val="0"/>
          <w:numId w:val="2"/>
        </w:numPr>
        <w:spacing w:line="276" w:lineRule="auto"/>
        <w:jc w:val="both"/>
        <w:rPr>
          <w:rFonts w:ascii="Arial" w:hAnsi="Arial" w:cs="Arial"/>
        </w:rPr>
      </w:pPr>
      <w:r w:rsidRPr="001467F5">
        <w:rPr>
          <w:rFonts w:ascii="Arial" w:hAnsi="Arial" w:cs="Arial"/>
        </w:rPr>
        <w:t>Data Protection Policy</w:t>
      </w:r>
    </w:p>
    <w:p w14:paraId="2DC8CC2E" w14:textId="7B99F17F" w:rsidR="008527A8" w:rsidRPr="001467F5" w:rsidRDefault="008527A8" w:rsidP="001467F5">
      <w:pPr>
        <w:pStyle w:val="ListParagraph"/>
        <w:numPr>
          <w:ilvl w:val="0"/>
          <w:numId w:val="2"/>
        </w:numPr>
        <w:spacing w:line="276" w:lineRule="auto"/>
        <w:jc w:val="both"/>
        <w:rPr>
          <w:rFonts w:ascii="Arial" w:hAnsi="Arial" w:cs="Arial"/>
        </w:rPr>
      </w:pPr>
      <w:r w:rsidRPr="001467F5">
        <w:rPr>
          <w:rFonts w:ascii="Arial" w:hAnsi="Arial" w:cs="Arial"/>
        </w:rPr>
        <w:t>Client Engagement Terms / Terms of Business (TOB)</w:t>
      </w:r>
    </w:p>
    <w:p w14:paraId="0B4DDF20" w14:textId="7699F32D" w:rsidR="008527A8" w:rsidRPr="001467F5" w:rsidRDefault="008527A8" w:rsidP="001467F5">
      <w:pPr>
        <w:pStyle w:val="ListParagraph"/>
        <w:numPr>
          <w:ilvl w:val="0"/>
          <w:numId w:val="2"/>
        </w:numPr>
        <w:spacing w:line="276" w:lineRule="auto"/>
        <w:jc w:val="both"/>
        <w:rPr>
          <w:rFonts w:ascii="Arial" w:hAnsi="Arial" w:cs="Arial"/>
        </w:rPr>
      </w:pPr>
      <w:r w:rsidRPr="001467F5">
        <w:rPr>
          <w:rFonts w:ascii="Arial" w:hAnsi="Arial" w:cs="Arial"/>
        </w:rPr>
        <w:t>Complaints Procedure</w:t>
      </w:r>
    </w:p>
    <w:p w14:paraId="45757D01" w14:textId="3BB70079" w:rsidR="008527A8" w:rsidRPr="001467F5" w:rsidRDefault="008527A8" w:rsidP="001467F5">
      <w:pPr>
        <w:pStyle w:val="ListParagraph"/>
        <w:numPr>
          <w:ilvl w:val="0"/>
          <w:numId w:val="2"/>
        </w:numPr>
        <w:spacing w:line="276" w:lineRule="auto"/>
        <w:jc w:val="both"/>
        <w:rPr>
          <w:rFonts w:ascii="Arial" w:hAnsi="Arial" w:cs="Arial"/>
        </w:rPr>
      </w:pPr>
      <w:r w:rsidRPr="001467F5">
        <w:rPr>
          <w:rFonts w:ascii="Arial" w:hAnsi="Arial" w:cs="Arial"/>
        </w:rPr>
        <w:t>Adviser Competency and Training Record</w:t>
      </w:r>
    </w:p>
    <w:p w14:paraId="474979E9" w14:textId="17AFE100" w:rsidR="008527A8" w:rsidRPr="009052A7" w:rsidRDefault="008527A8" w:rsidP="008527A8">
      <w:pPr>
        <w:tabs>
          <w:tab w:val="left" w:pos="8004"/>
        </w:tabs>
        <w:spacing w:line="276" w:lineRule="auto"/>
        <w:jc w:val="both"/>
        <w:rPr>
          <w:rFonts w:ascii="Arial" w:hAnsi="Arial" w:cs="Arial"/>
        </w:rPr>
      </w:pPr>
      <w:r w:rsidRPr="009052A7">
        <w:rPr>
          <w:rFonts w:ascii="Arial" w:hAnsi="Arial" w:cs="Arial"/>
        </w:rPr>
        <w:t>Ownership and Governance</w:t>
      </w:r>
      <w:r w:rsidR="00E00A87">
        <w:rPr>
          <w:rFonts w:ascii="Arial" w:hAnsi="Arial" w:cs="Arial"/>
        </w:rPr>
        <w:t xml:space="preserve">: </w:t>
      </w:r>
      <w:r w:rsidRPr="009052A7">
        <w:rPr>
          <w:rFonts w:ascii="Arial" w:hAnsi="Arial" w:cs="Arial"/>
        </w:rPr>
        <w:tab/>
      </w:r>
    </w:p>
    <w:p w14:paraId="68D6C4B8" w14:textId="77777777" w:rsidR="008527A8" w:rsidRPr="009052A7" w:rsidRDefault="008527A8" w:rsidP="008527A8">
      <w:pPr>
        <w:spacing w:line="276" w:lineRule="auto"/>
        <w:jc w:val="both"/>
        <w:rPr>
          <w:rFonts w:ascii="Arial" w:hAnsi="Arial" w:cs="Arial"/>
        </w:rPr>
      </w:pPr>
      <w:r w:rsidRPr="009052A7">
        <w:rPr>
          <w:rFonts w:ascii="Arial" w:hAnsi="Arial" w:cs="Arial"/>
        </w:rPr>
        <w:t>The company will be owned and overseen by the principal director, who is responsible for:</w:t>
      </w:r>
    </w:p>
    <w:p w14:paraId="1245C853" w14:textId="77777777" w:rsidR="008527A8" w:rsidRPr="00C47773" w:rsidRDefault="008527A8" w:rsidP="00C47773">
      <w:pPr>
        <w:pStyle w:val="ListParagraph"/>
        <w:numPr>
          <w:ilvl w:val="0"/>
          <w:numId w:val="3"/>
        </w:numPr>
        <w:spacing w:line="276" w:lineRule="auto"/>
        <w:jc w:val="both"/>
        <w:rPr>
          <w:rFonts w:ascii="Arial" w:hAnsi="Arial" w:cs="Arial"/>
        </w:rPr>
      </w:pPr>
      <w:r w:rsidRPr="00C47773">
        <w:rPr>
          <w:rFonts w:ascii="Arial" w:hAnsi="Arial" w:cs="Arial"/>
        </w:rPr>
        <w:t>Strategic direction</w:t>
      </w:r>
    </w:p>
    <w:p w14:paraId="1A22C6D6" w14:textId="77777777" w:rsidR="008527A8" w:rsidRPr="00C47773" w:rsidRDefault="008527A8" w:rsidP="00C47773">
      <w:pPr>
        <w:pStyle w:val="ListParagraph"/>
        <w:numPr>
          <w:ilvl w:val="0"/>
          <w:numId w:val="3"/>
        </w:numPr>
        <w:spacing w:line="276" w:lineRule="auto"/>
        <w:jc w:val="both"/>
        <w:rPr>
          <w:rFonts w:ascii="Arial" w:hAnsi="Arial" w:cs="Arial"/>
        </w:rPr>
      </w:pPr>
      <w:r w:rsidRPr="00C47773">
        <w:rPr>
          <w:rFonts w:ascii="Arial" w:hAnsi="Arial" w:cs="Arial"/>
        </w:rPr>
        <w:t>Compliance oversight (in conjunction with the network’s compliance team)</w:t>
      </w:r>
    </w:p>
    <w:p w14:paraId="4332B970" w14:textId="77777777" w:rsidR="008527A8" w:rsidRPr="00C47773" w:rsidRDefault="008527A8" w:rsidP="00C47773">
      <w:pPr>
        <w:pStyle w:val="ListParagraph"/>
        <w:numPr>
          <w:ilvl w:val="0"/>
          <w:numId w:val="3"/>
        </w:numPr>
        <w:spacing w:line="276" w:lineRule="auto"/>
        <w:jc w:val="both"/>
        <w:rPr>
          <w:rFonts w:ascii="Arial" w:hAnsi="Arial" w:cs="Arial"/>
        </w:rPr>
      </w:pPr>
      <w:r w:rsidRPr="00C47773">
        <w:rPr>
          <w:rFonts w:ascii="Arial" w:hAnsi="Arial" w:cs="Arial"/>
        </w:rPr>
        <w:t>Advisor recruitment and training</w:t>
      </w:r>
    </w:p>
    <w:p w14:paraId="0C00D249" w14:textId="77777777" w:rsidR="008527A8" w:rsidRPr="00C47773" w:rsidRDefault="008527A8" w:rsidP="00C47773">
      <w:pPr>
        <w:pStyle w:val="ListParagraph"/>
        <w:numPr>
          <w:ilvl w:val="0"/>
          <w:numId w:val="3"/>
        </w:numPr>
        <w:spacing w:line="276" w:lineRule="auto"/>
        <w:jc w:val="both"/>
        <w:rPr>
          <w:rFonts w:ascii="Arial" w:hAnsi="Arial" w:cs="Arial"/>
        </w:rPr>
      </w:pPr>
      <w:r w:rsidRPr="00C47773">
        <w:rPr>
          <w:rFonts w:ascii="Arial" w:hAnsi="Arial" w:cs="Arial"/>
        </w:rPr>
        <w:t>Financial management</w:t>
      </w:r>
    </w:p>
    <w:p w14:paraId="397A068C" w14:textId="77777777" w:rsidR="00C47773" w:rsidRDefault="00C47773" w:rsidP="008527A8">
      <w:pPr>
        <w:spacing w:line="276" w:lineRule="auto"/>
        <w:jc w:val="both"/>
        <w:rPr>
          <w:rFonts w:ascii="Arial" w:hAnsi="Arial" w:cs="Arial"/>
        </w:rPr>
      </w:pPr>
    </w:p>
    <w:p w14:paraId="2C500357" w14:textId="12BD348F" w:rsidR="00DC5743" w:rsidRDefault="008527A8" w:rsidP="008527A8">
      <w:pPr>
        <w:spacing w:line="276" w:lineRule="auto"/>
        <w:jc w:val="both"/>
        <w:rPr>
          <w:rFonts w:ascii="Arial" w:hAnsi="Arial" w:cs="Arial"/>
        </w:rPr>
      </w:pPr>
      <w:r w:rsidRPr="009052A7">
        <w:rPr>
          <w:rFonts w:ascii="Arial" w:hAnsi="Arial" w:cs="Arial"/>
        </w:rPr>
        <w:t xml:space="preserve">Operational management, including staff and administrative </w:t>
      </w:r>
      <w:r w:rsidR="00E00A87" w:rsidRPr="009052A7">
        <w:rPr>
          <w:rFonts w:ascii="Arial" w:hAnsi="Arial" w:cs="Arial"/>
        </w:rPr>
        <w:t>functions</w:t>
      </w:r>
      <w:r w:rsidR="00E00A87">
        <w:rPr>
          <w:rFonts w:ascii="Arial" w:hAnsi="Arial" w:cs="Arial"/>
        </w:rPr>
        <w:t>.</w:t>
      </w:r>
      <w:r w:rsidR="00E00A87" w:rsidRPr="009052A7">
        <w:rPr>
          <w:rFonts w:ascii="Arial" w:hAnsi="Arial" w:cs="Arial"/>
        </w:rPr>
        <w:t xml:space="preserve"> A</w:t>
      </w:r>
      <w:r w:rsidRPr="009052A7">
        <w:rPr>
          <w:rFonts w:ascii="Arial" w:hAnsi="Arial" w:cs="Arial"/>
        </w:rPr>
        <w:t xml:space="preserve"> governance framework will be established to support decision-making, manage risk, and maintain full compliance with FCA expectations regarding accountability and oversight.</w:t>
      </w:r>
    </w:p>
    <w:p w14:paraId="5020B115" w14:textId="0A57180F" w:rsidR="008527A8" w:rsidRPr="009052A7" w:rsidRDefault="008527A8" w:rsidP="008527A8">
      <w:pPr>
        <w:spacing w:line="276" w:lineRule="auto"/>
        <w:jc w:val="both"/>
        <w:rPr>
          <w:rFonts w:ascii="Arial" w:hAnsi="Arial" w:cs="Arial"/>
        </w:rPr>
      </w:pPr>
      <w:r w:rsidRPr="009052A7">
        <w:rPr>
          <w:rFonts w:ascii="Arial" w:hAnsi="Arial" w:cs="Arial"/>
        </w:rPr>
        <w:t>Employment and Adviser Model</w:t>
      </w:r>
      <w:r w:rsidR="00575009">
        <w:rPr>
          <w:rFonts w:ascii="Arial" w:hAnsi="Arial" w:cs="Arial"/>
        </w:rPr>
        <w:t xml:space="preserve"> will be in place- t</w:t>
      </w:r>
      <w:r w:rsidRPr="009052A7">
        <w:rPr>
          <w:rFonts w:ascii="Arial" w:hAnsi="Arial" w:cs="Arial"/>
        </w:rPr>
        <w:t>he business will employ or contract a combination of Mortgage Advisers (CeMAP-qualified/non-qualified). A paraplanning and Administration Support Staff will be required for smooth run of the business. Compliance and file-checking support (via the network and internal processes)</w:t>
      </w:r>
    </w:p>
    <w:p w14:paraId="0FE15A3F" w14:textId="084748AC" w:rsidR="00F0390C" w:rsidRDefault="008527A8" w:rsidP="00BE7277">
      <w:pPr>
        <w:spacing w:line="276" w:lineRule="auto"/>
        <w:jc w:val="both"/>
        <w:rPr>
          <w:rFonts w:ascii="Arial" w:hAnsi="Arial" w:cs="Arial"/>
        </w:rPr>
      </w:pPr>
      <w:r w:rsidRPr="009052A7">
        <w:rPr>
          <w:rFonts w:ascii="Arial" w:hAnsi="Arial" w:cs="Arial"/>
        </w:rPr>
        <w:t>All advisers will operate under the Sense Mortgage &amp; Residential brand, using the same CRM system, compliance processes, and documentation standards.</w:t>
      </w:r>
    </w:p>
    <w:p w14:paraId="5B1078F3" w14:textId="77777777" w:rsidR="00BB105A" w:rsidRPr="009052A7" w:rsidRDefault="00BB105A" w:rsidP="00BE7277">
      <w:pPr>
        <w:spacing w:line="276" w:lineRule="auto"/>
        <w:jc w:val="both"/>
        <w:rPr>
          <w:rFonts w:ascii="Arial" w:hAnsi="Arial" w:cs="Arial"/>
        </w:rPr>
      </w:pPr>
    </w:p>
    <w:p w14:paraId="377DC644" w14:textId="6C4A1F10" w:rsidR="00427C1F" w:rsidRPr="009052A7" w:rsidRDefault="00427C1F" w:rsidP="00BE7277">
      <w:pPr>
        <w:spacing w:line="276" w:lineRule="auto"/>
        <w:jc w:val="both"/>
        <w:rPr>
          <w:rFonts w:ascii="Arial" w:hAnsi="Arial" w:cs="Arial"/>
        </w:rPr>
      </w:pPr>
      <w:r w:rsidRPr="009052A7">
        <w:rPr>
          <w:rFonts w:ascii="Arial" w:hAnsi="Arial" w:cs="Arial"/>
        </w:rPr>
        <w:t>2.3.2 Compliance Responsibilities</w:t>
      </w:r>
    </w:p>
    <w:p w14:paraId="7F56F45D" w14:textId="68FCAD11" w:rsidR="00427C1F" w:rsidRDefault="00D554B4" w:rsidP="00BE7277">
      <w:pPr>
        <w:spacing w:line="276" w:lineRule="auto"/>
        <w:jc w:val="both"/>
        <w:rPr>
          <w:rFonts w:ascii="Arial" w:hAnsi="Arial" w:cs="Arial"/>
        </w:rPr>
      </w:pPr>
      <w:r w:rsidRPr="00D554B4">
        <w:rPr>
          <w:rFonts w:ascii="Arial" w:hAnsi="Arial" w:cs="Arial"/>
        </w:rPr>
        <w:t xml:space="preserve">Although Sense Mortgage &amp; Residential will operate under the regulatory supervision of its principal FCA-authorised network, the firm retains significant responsibility for upholding core compliance standards across all aspects of its operations. This includes maintaining full adherence to the FCA’s Treating Customers Fairly (TCF) principles, ensuring that all advice and interactions prioritise positive customer outcomes. The firm is additionally required to comply with the Consumer Duty framework, which places an enhanced obligation on financial service providers to deliver transparent products, clear communication, and services that enable customers to make informed decisions. Beyond regulatory expectations, the </w:t>
      </w:r>
      <w:r w:rsidRPr="00D554B4">
        <w:rPr>
          <w:rFonts w:ascii="Arial" w:hAnsi="Arial" w:cs="Arial"/>
        </w:rPr>
        <w:lastRenderedPageBreak/>
        <w:t>organisation must also ensure strict compliance with UK GDPR requirements, protecting client data through secure storage, controlled access, and responsible processing practices. Anti-money laundering (AML) protocols form another critical element of the firm’s responsibilities, requiring robust ID verification processes, monitoring for suspicious activity, and maintaining accurate records to prevent financial crime. Finally, the business must demonstrate full audit readiness through precise and organised documentation, enabling both the network and the FCA to review files, decisions, and procedures at any time. Together, these responsibilities ensure that the firm operates with integrity, transparency, and accountability within a highly regulated industry</w:t>
      </w:r>
      <w:r w:rsidR="00702AC7">
        <w:rPr>
          <w:rFonts w:ascii="Arial" w:hAnsi="Arial" w:cs="Arial"/>
        </w:rPr>
        <w:t xml:space="preserve">. </w:t>
      </w:r>
      <w:r w:rsidR="00427C1F" w:rsidRPr="009052A7">
        <w:rPr>
          <w:rFonts w:ascii="Arial" w:hAnsi="Arial" w:cs="Arial"/>
        </w:rPr>
        <w:t>The AR structure ensures that the firm meets the FCA’s expectations for professional competence, integrity, and consumer protection (FCA, 2022).</w:t>
      </w:r>
    </w:p>
    <w:p w14:paraId="468BCFBC" w14:textId="4EF11DB1" w:rsidR="007D5DDB" w:rsidRPr="007D5DDB" w:rsidRDefault="007D5DDB" w:rsidP="007D5DDB">
      <w:pPr>
        <w:spacing w:line="276" w:lineRule="auto"/>
        <w:jc w:val="both"/>
        <w:rPr>
          <w:rFonts w:ascii="Arial" w:hAnsi="Arial" w:cs="Arial"/>
        </w:rPr>
      </w:pPr>
      <w:r w:rsidRPr="007D5DDB">
        <w:rPr>
          <w:rFonts w:ascii="Arial" w:hAnsi="Arial" w:cs="Arial"/>
        </w:rPr>
        <w:t>2.3.3 Comparison of FCA Networks</w:t>
      </w:r>
    </w:p>
    <w:p w14:paraId="1D0B3EAA" w14:textId="3FD47E16" w:rsidR="007D5DDB" w:rsidRPr="007D5DDB" w:rsidRDefault="007D5DDB" w:rsidP="007D5DDB">
      <w:pPr>
        <w:spacing w:line="276" w:lineRule="auto"/>
        <w:jc w:val="both"/>
        <w:rPr>
          <w:rFonts w:ascii="Arial" w:hAnsi="Arial" w:cs="Arial"/>
        </w:rPr>
      </w:pPr>
      <w:r w:rsidRPr="007D5DDB">
        <w:rPr>
          <w:rFonts w:ascii="Arial" w:hAnsi="Arial" w:cs="Arial"/>
        </w:rPr>
        <w:t>Selecting an FCA-authorised network is an important decision for any Appointed Representative (AR) firm because the network provides supervision, compliance support, training, and access to lenders. For Sense Mortgage &amp; Residential, choosing the right network will shape the long-term stability and growth of the business. This section compares three well-known networks</w:t>
      </w:r>
      <w:r w:rsidR="00C03339">
        <w:rPr>
          <w:rFonts w:ascii="Arial" w:hAnsi="Arial" w:cs="Arial"/>
        </w:rPr>
        <w:t xml:space="preserve"> </w:t>
      </w:r>
      <w:r w:rsidRPr="007D5DDB">
        <w:rPr>
          <w:rFonts w:ascii="Arial" w:hAnsi="Arial" w:cs="Arial"/>
        </w:rPr>
        <w:t>Quilter, Openwork, and City Plus</w:t>
      </w:r>
      <w:r w:rsidR="00E47A36">
        <w:rPr>
          <w:rFonts w:ascii="Arial" w:hAnsi="Arial" w:cs="Arial"/>
        </w:rPr>
        <w:t xml:space="preserve"> </w:t>
      </w:r>
      <w:r w:rsidRPr="007D5DDB">
        <w:rPr>
          <w:rFonts w:ascii="Arial" w:hAnsi="Arial" w:cs="Arial"/>
        </w:rPr>
        <w:t>to understand which organisation offers the best fit for the firm’s regulatory and operational needs.</w:t>
      </w:r>
    </w:p>
    <w:p w14:paraId="536FC2D1" w14:textId="77777777" w:rsidR="007D5DDB" w:rsidRPr="007D5DDB" w:rsidRDefault="007D5DDB" w:rsidP="007D5DDB">
      <w:pPr>
        <w:spacing w:line="276" w:lineRule="auto"/>
        <w:jc w:val="both"/>
        <w:rPr>
          <w:rFonts w:ascii="Arial" w:hAnsi="Arial" w:cs="Arial"/>
        </w:rPr>
      </w:pPr>
      <w:r w:rsidRPr="007D5DDB">
        <w:rPr>
          <w:rFonts w:ascii="Arial" w:hAnsi="Arial" w:cs="Arial"/>
        </w:rPr>
        <w:t>Quilter Financial Planning is one of the largest financial advice networks in the UK and is well known for its strong compliance standards and structured support systems. The network offers extensive adviser training, regular CPD programmes, and a detailed file-checking process. According to Quilter (2024), its compliance framework is designed to reduce adviser risk and maintain high-quality advice. These strengths make the network attractive for firms seeking strong supervision. However, larger networks such as Quilter often charge higher network fees and may have stricter administrative requirements, which can increase workload for smaller or newly formed advisory firms (FCA, 2023).</w:t>
      </w:r>
    </w:p>
    <w:p w14:paraId="73D7C5F2" w14:textId="77777777" w:rsidR="007D5DDB" w:rsidRPr="007D5DDB" w:rsidRDefault="007D5DDB" w:rsidP="007D5DDB">
      <w:pPr>
        <w:spacing w:line="276" w:lineRule="auto"/>
        <w:jc w:val="both"/>
        <w:rPr>
          <w:rFonts w:ascii="Arial" w:hAnsi="Arial" w:cs="Arial"/>
        </w:rPr>
      </w:pPr>
    </w:p>
    <w:p w14:paraId="74B1E4BF" w14:textId="6ECB536A" w:rsidR="00E2602C" w:rsidRDefault="007D5DDB" w:rsidP="007D5DDB">
      <w:pPr>
        <w:spacing w:line="276" w:lineRule="auto"/>
        <w:jc w:val="both"/>
        <w:rPr>
          <w:rFonts w:ascii="Arial" w:hAnsi="Arial" w:cs="Arial"/>
        </w:rPr>
      </w:pPr>
      <w:r w:rsidRPr="007D5DDB">
        <w:rPr>
          <w:rFonts w:ascii="Arial" w:hAnsi="Arial" w:cs="Arial"/>
        </w:rPr>
        <w:t>City Plus Network is much smaller and has a more limited market presence. Smaller networks often provide personalised support and direct access to senior compliance staff, which may be useful for new advisers. However, City Plus does not have the same depth of compliance resources, technology systems, or lender access as larger networks. Smaller networks may also face operational challenges or restrictions depending on FCA oversight cycles. FCA reports (2023) note that smaller networks sometimes have slower onboarding processes or reduced capacity to support firms that wish to scale. Because of this, City Plus may suit individual advisers but may not provide the stability and infrastructure needed for a growing firm like Sense Mortgage &amp; Residential</w:t>
      </w:r>
      <w:r w:rsidR="00667794">
        <w:rPr>
          <w:rFonts w:ascii="Arial" w:hAnsi="Arial" w:cs="Arial"/>
        </w:rPr>
        <w:t>.</w:t>
      </w:r>
    </w:p>
    <w:p w14:paraId="06FB1C4F" w14:textId="77777777" w:rsidR="007D5DDB" w:rsidRPr="007D5DDB" w:rsidRDefault="007D5DDB" w:rsidP="007D5DDB">
      <w:pPr>
        <w:spacing w:line="276" w:lineRule="auto"/>
        <w:jc w:val="both"/>
        <w:rPr>
          <w:rFonts w:ascii="Arial" w:hAnsi="Arial" w:cs="Arial"/>
        </w:rPr>
      </w:pPr>
    </w:p>
    <w:p w14:paraId="207A23E0" w14:textId="20B3DD7B" w:rsidR="007D5DDB" w:rsidRDefault="008D4256" w:rsidP="007D5DDB">
      <w:pPr>
        <w:spacing w:line="276" w:lineRule="auto"/>
        <w:jc w:val="both"/>
        <w:rPr>
          <w:rFonts w:ascii="Arial" w:hAnsi="Arial" w:cs="Arial"/>
        </w:rPr>
      </w:pPr>
      <w:r>
        <w:rPr>
          <w:rFonts w:ascii="Arial" w:hAnsi="Arial" w:cs="Arial"/>
        </w:rPr>
        <w:t>Table 2:</w:t>
      </w:r>
      <w:r w:rsidR="007D5DDB" w:rsidRPr="007D5DDB">
        <w:rPr>
          <w:rFonts w:ascii="Arial" w:hAnsi="Arial" w:cs="Arial"/>
        </w:rPr>
        <w:t xml:space="preserve"> key differences between the three networks are summarised</w:t>
      </w:r>
      <w:r>
        <w:rPr>
          <w:rFonts w:ascii="Arial" w:hAnsi="Arial" w:cs="Arial"/>
        </w:rPr>
        <w:t>.</w:t>
      </w:r>
    </w:p>
    <w:tbl>
      <w:tblPr>
        <w:tblStyle w:val="GridTable5Dark-Accent4"/>
        <w:tblW w:w="9791" w:type="dxa"/>
        <w:tblInd w:w="-5" w:type="dxa"/>
        <w:tblLook w:val="04A0" w:firstRow="1" w:lastRow="0" w:firstColumn="1" w:lastColumn="0" w:noHBand="0" w:noVBand="1"/>
      </w:tblPr>
      <w:tblGrid>
        <w:gridCol w:w="2679"/>
        <w:gridCol w:w="2386"/>
        <w:gridCol w:w="2683"/>
        <w:gridCol w:w="2043"/>
      </w:tblGrid>
      <w:tr w:rsidR="0099469B" w14:paraId="211CE182" w14:textId="77777777" w:rsidTr="00B3364D">
        <w:trPr>
          <w:cnfStyle w:val="100000000000" w:firstRow="1" w:lastRow="0" w:firstColumn="0" w:lastColumn="0" w:oddVBand="0" w:evenVBand="0" w:oddHBand="0" w:evenHBand="0" w:firstRowFirstColumn="0" w:firstRowLastColumn="0" w:lastRowFirstColumn="0" w:lastRowLastColumn="0"/>
          <w:trHeight w:val="591"/>
        </w:trPr>
        <w:tc>
          <w:tcPr>
            <w:cnfStyle w:val="001000000000" w:firstRow="0" w:lastRow="0" w:firstColumn="1" w:lastColumn="0" w:oddVBand="0" w:evenVBand="0" w:oddHBand="0" w:evenHBand="0" w:firstRowFirstColumn="0" w:firstRowLastColumn="0" w:lastRowFirstColumn="0" w:lastRowLastColumn="0"/>
            <w:tcW w:w="2679" w:type="dxa"/>
            <w:tcBorders>
              <w:top w:val="single" w:sz="4" w:space="0" w:color="auto"/>
              <w:left w:val="single" w:sz="4" w:space="0" w:color="auto"/>
            </w:tcBorders>
          </w:tcPr>
          <w:p w14:paraId="34681766" w14:textId="151B8D9A" w:rsidR="0099469B" w:rsidRDefault="00E2602C" w:rsidP="007D5DDB">
            <w:pPr>
              <w:spacing w:line="276" w:lineRule="auto"/>
              <w:jc w:val="both"/>
              <w:rPr>
                <w:rFonts w:ascii="Arial" w:hAnsi="Arial" w:cs="Arial"/>
              </w:rPr>
            </w:pPr>
            <w:r w:rsidRPr="00E2602C">
              <w:rPr>
                <w:rFonts w:ascii="Arial" w:hAnsi="Arial" w:cs="Arial"/>
              </w:rPr>
              <w:t>Criteria</w:t>
            </w:r>
          </w:p>
        </w:tc>
        <w:tc>
          <w:tcPr>
            <w:tcW w:w="2386" w:type="dxa"/>
            <w:tcBorders>
              <w:top w:val="single" w:sz="4" w:space="0" w:color="auto"/>
            </w:tcBorders>
          </w:tcPr>
          <w:p w14:paraId="1856723F" w14:textId="68FAF128" w:rsidR="0099469B" w:rsidRDefault="00E2602C" w:rsidP="007D5DDB">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E2602C">
              <w:rPr>
                <w:rFonts w:ascii="Arial" w:hAnsi="Arial" w:cs="Arial"/>
              </w:rPr>
              <w:t xml:space="preserve">Quilter         </w:t>
            </w:r>
          </w:p>
        </w:tc>
        <w:tc>
          <w:tcPr>
            <w:tcW w:w="2683" w:type="dxa"/>
            <w:tcBorders>
              <w:top w:val="single" w:sz="4" w:space="0" w:color="auto"/>
            </w:tcBorders>
          </w:tcPr>
          <w:p w14:paraId="47698FF9" w14:textId="31958441" w:rsidR="0099469B" w:rsidRDefault="00623807" w:rsidP="007D5DDB">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E2602C">
              <w:rPr>
                <w:rFonts w:ascii="Arial" w:hAnsi="Arial" w:cs="Arial"/>
              </w:rPr>
              <w:t>Openwork</w:t>
            </w:r>
          </w:p>
        </w:tc>
        <w:tc>
          <w:tcPr>
            <w:tcW w:w="2043" w:type="dxa"/>
            <w:tcBorders>
              <w:top w:val="single" w:sz="4" w:space="0" w:color="auto"/>
              <w:right w:val="single" w:sz="4" w:space="0" w:color="auto"/>
            </w:tcBorders>
          </w:tcPr>
          <w:p w14:paraId="37C524AD" w14:textId="1D12CAE4" w:rsidR="0099469B" w:rsidRDefault="00623807" w:rsidP="007D5DDB">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E2602C">
              <w:rPr>
                <w:rFonts w:ascii="Arial" w:hAnsi="Arial" w:cs="Arial"/>
              </w:rPr>
              <w:t xml:space="preserve">City Plus                          </w:t>
            </w:r>
          </w:p>
        </w:tc>
      </w:tr>
      <w:tr w:rsidR="0099469B" w14:paraId="45A8524D" w14:textId="77777777" w:rsidTr="00B3364D">
        <w:trPr>
          <w:cnfStyle w:val="000000100000" w:firstRow="0" w:lastRow="0" w:firstColumn="0" w:lastColumn="0" w:oddVBand="0" w:evenVBand="0" w:oddHBand="1" w:evenHBand="0" w:firstRowFirstColumn="0" w:firstRowLastColumn="0" w:lastRowFirstColumn="0" w:lastRowLastColumn="0"/>
          <w:trHeight w:val="617"/>
        </w:trPr>
        <w:tc>
          <w:tcPr>
            <w:cnfStyle w:val="001000000000" w:firstRow="0" w:lastRow="0" w:firstColumn="1" w:lastColumn="0" w:oddVBand="0" w:evenVBand="0" w:oddHBand="0" w:evenHBand="0" w:firstRowFirstColumn="0" w:firstRowLastColumn="0" w:lastRowFirstColumn="0" w:lastRowLastColumn="0"/>
            <w:tcW w:w="2679" w:type="dxa"/>
            <w:tcBorders>
              <w:left w:val="single" w:sz="4" w:space="0" w:color="auto"/>
            </w:tcBorders>
          </w:tcPr>
          <w:p w14:paraId="6C03F7D7" w14:textId="2D621570" w:rsidR="0099469B" w:rsidRDefault="00B94EED" w:rsidP="007D5DDB">
            <w:pPr>
              <w:spacing w:line="276" w:lineRule="auto"/>
              <w:jc w:val="both"/>
              <w:rPr>
                <w:rFonts w:ascii="Arial" w:hAnsi="Arial" w:cs="Arial"/>
              </w:rPr>
            </w:pPr>
            <w:r w:rsidRPr="00E2602C">
              <w:rPr>
                <w:rFonts w:ascii="Arial" w:hAnsi="Arial" w:cs="Arial"/>
              </w:rPr>
              <w:lastRenderedPageBreak/>
              <w:t>Compliance Strength</w:t>
            </w:r>
          </w:p>
        </w:tc>
        <w:tc>
          <w:tcPr>
            <w:tcW w:w="2386" w:type="dxa"/>
          </w:tcPr>
          <w:p w14:paraId="6F47D51C" w14:textId="26A2E3B6" w:rsidR="0099469B" w:rsidRDefault="00173896"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very strong </w:t>
            </w:r>
          </w:p>
        </w:tc>
        <w:tc>
          <w:tcPr>
            <w:tcW w:w="2683" w:type="dxa"/>
          </w:tcPr>
          <w:p w14:paraId="31C7837E" w14:textId="4EFA0661" w:rsidR="0099469B" w:rsidRDefault="00424CA2"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Strong </w:t>
            </w:r>
          </w:p>
        </w:tc>
        <w:tc>
          <w:tcPr>
            <w:tcW w:w="2043" w:type="dxa"/>
            <w:tcBorders>
              <w:right w:val="single" w:sz="4" w:space="0" w:color="auto"/>
            </w:tcBorders>
          </w:tcPr>
          <w:p w14:paraId="4E0C370A" w14:textId="415DDE4B" w:rsidR="0099469B" w:rsidRDefault="00424CA2"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Limited</w:t>
            </w:r>
          </w:p>
        </w:tc>
      </w:tr>
      <w:tr w:rsidR="0099469B" w14:paraId="67E370BC" w14:textId="77777777" w:rsidTr="00B3364D">
        <w:trPr>
          <w:trHeight w:val="601"/>
        </w:trPr>
        <w:tc>
          <w:tcPr>
            <w:cnfStyle w:val="001000000000" w:firstRow="0" w:lastRow="0" w:firstColumn="1" w:lastColumn="0" w:oddVBand="0" w:evenVBand="0" w:oddHBand="0" w:evenHBand="0" w:firstRowFirstColumn="0" w:firstRowLastColumn="0" w:lastRowFirstColumn="0" w:lastRowLastColumn="0"/>
            <w:tcW w:w="2679" w:type="dxa"/>
            <w:tcBorders>
              <w:left w:val="single" w:sz="4" w:space="0" w:color="auto"/>
            </w:tcBorders>
          </w:tcPr>
          <w:p w14:paraId="656A1B61" w14:textId="56F5C8C1" w:rsidR="0099469B" w:rsidRDefault="00424CA2" w:rsidP="007D5DDB">
            <w:pPr>
              <w:spacing w:line="276" w:lineRule="auto"/>
              <w:jc w:val="both"/>
              <w:rPr>
                <w:rFonts w:ascii="Arial" w:hAnsi="Arial" w:cs="Arial"/>
              </w:rPr>
            </w:pPr>
            <w:r w:rsidRPr="00E2602C">
              <w:rPr>
                <w:rFonts w:ascii="Arial" w:hAnsi="Arial" w:cs="Arial"/>
              </w:rPr>
              <w:t xml:space="preserve">Training &amp; CPD      </w:t>
            </w:r>
          </w:p>
        </w:tc>
        <w:tc>
          <w:tcPr>
            <w:tcW w:w="2386" w:type="dxa"/>
          </w:tcPr>
          <w:p w14:paraId="32A9360D" w14:textId="3D33FC39" w:rsidR="0099469B" w:rsidRDefault="006A15A4"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Extensive </w:t>
            </w:r>
          </w:p>
        </w:tc>
        <w:tc>
          <w:tcPr>
            <w:tcW w:w="2683" w:type="dxa"/>
          </w:tcPr>
          <w:p w14:paraId="208B5416" w14:textId="3D2EA485" w:rsidR="0099469B" w:rsidRDefault="006A15A4"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Strong </w:t>
            </w:r>
          </w:p>
        </w:tc>
        <w:tc>
          <w:tcPr>
            <w:tcW w:w="2043" w:type="dxa"/>
            <w:tcBorders>
              <w:right w:val="single" w:sz="4" w:space="0" w:color="auto"/>
            </w:tcBorders>
          </w:tcPr>
          <w:p w14:paraId="1C258EC9" w14:textId="2FE617C4" w:rsidR="0099469B" w:rsidRDefault="006A15A4"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Basic </w:t>
            </w:r>
          </w:p>
        </w:tc>
      </w:tr>
      <w:tr w:rsidR="0099469B" w14:paraId="6CE3B649" w14:textId="77777777" w:rsidTr="00B3364D">
        <w:trPr>
          <w:cnfStyle w:val="000000100000" w:firstRow="0" w:lastRow="0" w:firstColumn="0" w:lastColumn="0" w:oddVBand="0" w:evenVBand="0" w:oddHBand="1" w:evenHBand="0" w:firstRowFirstColumn="0" w:firstRowLastColumn="0" w:lastRowFirstColumn="0" w:lastRowLastColumn="0"/>
          <w:trHeight w:val="852"/>
        </w:trPr>
        <w:tc>
          <w:tcPr>
            <w:cnfStyle w:val="001000000000" w:firstRow="0" w:lastRow="0" w:firstColumn="1" w:lastColumn="0" w:oddVBand="0" w:evenVBand="0" w:oddHBand="0" w:evenHBand="0" w:firstRowFirstColumn="0" w:firstRowLastColumn="0" w:lastRowFirstColumn="0" w:lastRowLastColumn="0"/>
            <w:tcW w:w="2679" w:type="dxa"/>
            <w:tcBorders>
              <w:left w:val="single" w:sz="4" w:space="0" w:color="auto"/>
            </w:tcBorders>
          </w:tcPr>
          <w:p w14:paraId="1B68D396" w14:textId="3E42EDE7" w:rsidR="0099469B" w:rsidRDefault="00424CA2" w:rsidP="007D5DDB">
            <w:pPr>
              <w:spacing w:line="276" w:lineRule="auto"/>
              <w:jc w:val="both"/>
              <w:rPr>
                <w:rFonts w:ascii="Arial" w:hAnsi="Arial" w:cs="Arial"/>
              </w:rPr>
            </w:pPr>
            <w:r w:rsidRPr="00E2602C">
              <w:rPr>
                <w:rFonts w:ascii="Arial" w:hAnsi="Arial" w:cs="Arial"/>
              </w:rPr>
              <w:t xml:space="preserve">Technology Systems  </w:t>
            </w:r>
          </w:p>
        </w:tc>
        <w:tc>
          <w:tcPr>
            <w:tcW w:w="2386" w:type="dxa"/>
          </w:tcPr>
          <w:p w14:paraId="1F89DB90" w14:textId="30BCB684" w:rsidR="0099469B" w:rsidRDefault="00903E15"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Advance </w:t>
            </w:r>
          </w:p>
        </w:tc>
        <w:tc>
          <w:tcPr>
            <w:tcW w:w="2683" w:type="dxa"/>
          </w:tcPr>
          <w:p w14:paraId="06B8F464" w14:textId="1B8E6180" w:rsidR="0099469B" w:rsidRDefault="00903E15"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Good </w:t>
            </w:r>
          </w:p>
        </w:tc>
        <w:tc>
          <w:tcPr>
            <w:tcW w:w="2043" w:type="dxa"/>
            <w:tcBorders>
              <w:right w:val="single" w:sz="4" w:space="0" w:color="auto"/>
            </w:tcBorders>
          </w:tcPr>
          <w:p w14:paraId="008441FA" w14:textId="639675AA" w:rsidR="0099469B" w:rsidRDefault="006A15A4"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Limited </w:t>
            </w:r>
          </w:p>
        </w:tc>
      </w:tr>
      <w:tr w:rsidR="0099469B" w14:paraId="6F0CEBEB" w14:textId="77777777" w:rsidTr="00B3364D">
        <w:trPr>
          <w:trHeight w:val="887"/>
        </w:trPr>
        <w:tc>
          <w:tcPr>
            <w:cnfStyle w:val="001000000000" w:firstRow="0" w:lastRow="0" w:firstColumn="1" w:lastColumn="0" w:oddVBand="0" w:evenVBand="0" w:oddHBand="0" w:evenHBand="0" w:firstRowFirstColumn="0" w:firstRowLastColumn="0" w:lastRowFirstColumn="0" w:lastRowLastColumn="0"/>
            <w:tcW w:w="2679" w:type="dxa"/>
            <w:tcBorders>
              <w:left w:val="single" w:sz="4" w:space="0" w:color="auto"/>
            </w:tcBorders>
          </w:tcPr>
          <w:p w14:paraId="76D4FDA3" w14:textId="50C33740" w:rsidR="0099469B" w:rsidRDefault="00424CA2" w:rsidP="007D5DDB">
            <w:pPr>
              <w:spacing w:line="276" w:lineRule="auto"/>
              <w:jc w:val="both"/>
              <w:rPr>
                <w:rFonts w:ascii="Arial" w:hAnsi="Arial" w:cs="Arial"/>
              </w:rPr>
            </w:pPr>
            <w:r w:rsidRPr="00E2602C">
              <w:rPr>
                <w:rFonts w:ascii="Arial" w:hAnsi="Arial" w:cs="Arial"/>
              </w:rPr>
              <w:t>Lender</w:t>
            </w:r>
            <w:r>
              <w:rPr>
                <w:rFonts w:ascii="Arial" w:hAnsi="Arial" w:cs="Arial"/>
              </w:rPr>
              <w:t xml:space="preserve"> </w:t>
            </w:r>
            <w:r w:rsidRPr="00E2602C">
              <w:rPr>
                <w:rFonts w:ascii="Arial" w:hAnsi="Arial" w:cs="Arial"/>
              </w:rPr>
              <w:t>Panel Access</w:t>
            </w:r>
          </w:p>
        </w:tc>
        <w:tc>
          <w:tcPr>
            <w:tcW w:w="2386" w:type="dxa"/>
          </w:tcPr>
          <w:p w14:paraId="641349FA" w14:textId="4A0786D5" w:rsidR="0099469B" w:rsidRDefault="00903E15"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Very wide </w:t>
            </w:r>
          </w:p>
        </w:tc>
        <w:tc>
          <w:tcPr>
            <w:tcW w:w="2683" w:type="dxa"/>
          </w:tcPr>
          <w:p w14:paraId="5309EE16" w14:textId="6668F2F2" w:rsidR="0099469B" w:rsidRDefault="00F87FC7"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Wide </w:t>
            </w:r>
          </w:p>
        </w:tc>
        <w:tc>
          <w:tcPr>
            <w:tcW w:w="2043" w:type="dxa"/>
            <w:tcBorders>
              <w:right w:val="single" w:sz="4" w:space="0" w:color="auto"/>
            </w:tcBorders>
          </w:tcPr>
          <w:p w14:paraId="3EFF9BE8" w14:textId="30E99C1C" w:rsidR="0099469B" w:rsidRDefault="00F87FC7"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Narrow </w:t>
            </w:r>
          </w:p>
        </w:tc>
      </w:tr>
      <w:tr w:rsidR="0099469B" w14:paraId="34BCB09B" w14:textId="77777777" w:rsidTr="00B3364D">
        <w:trPr>
          <w:cnfStyle w:val="000000100000" w:firstRow="0" w:lastRow="0" w:firstColumn="0" w:lastColumn="0" w:oddVBand="0" w:evenVBand="0" w:oddHBand="1" w:evenHBand="0" w:firstRowFirstColumn="0" w:firstRowLastColumn="0" w:lastRowFirstColumn="0" w:lastRowLastColumn="0"/>
          <w:trHeight w:val="852"/>
        </w:trPr>
        <w:tc>
          <w:tcPr>
            <w:cnfStyle w:val="001000000000" w:firstRow="0" w:lastRow="0" w:firstColumn="1" w:lastColumn="0" w:oddVBand="0" w:evenVBand="0" w:oddHBand="0" w:evenHBand="0" w:firstRowFirstColumn="0" w:firstRowLastColumn="0" w:lastRowFirstColumn="0" w:lastRowLastColumn="0"/>
            <w:tcW w:w="2679" w:type="dxa"/>
            <w:tcBorders>
              <w:left w:val="single" w:sz="4" w:space="0" w:color="auto"/>
            </w:tcBorders>
          </w:tcPr>
          <w:p w14:paraId="5DC39200" w14:textId="69A6E268" w:rsidR="0099469B" w:rsidRDefault="00424CA2" w:rsidP="007D5DDB">
            <w:pPr>
              <w:spacing w:line="276" w:lineRule="auto"/>
              <w:jc w:val="both"/>
              <w:rPr>
                <w:rFonts w:ascii="Arial" w:hAnsi="Arial" w:cs="Arial"/>
              </w:rPr>
            </w:pPr>
            <w:r w:rsidRPr="00E2602C">
              <w:rPr>
                <w:rFonts w:ascii="Arial" w:hAnsi="Arial" w:cs="Arial"/>
              </w:rPr>
              <w:t xml:space="preserve">Network Fees        </w:t>
            </w:r>
          </w:p>
        </w:tc>
        <w:tc>
          <w:tcPr>
            <w:tcW w:w="2386" w:type="dxa"/>
          </w:tcPr>
          <w:p w14:paraId="32C4FF1D" w14:textId="796E9F18" w:rsidR="0099469B" w:rsidRDefault="00F87FC7"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Higher </w:t>
            </w:r>
          </w:p>
        </w:tc>
        <w:tc>
          <w:tcPr>
            <w:tcW w:w="2683" w:type="dxa"/>
          </w:tcPr>
          <w:p w14:paraId="4A7BD1B4" w14:textId="08403AF6" w:rsidR="0099469B" w:rsidRDefault="00F87FC7"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Moderate </w:t>
            </w:r>
          </w:p>
        </w:tc>
        <w:tc>
          <w:tcPr>
            <w:tcW w:w="2043" w:type="dxa"/>
            <w:tcBorders>
              <w:right w:val="single" w:sz="4" w:space="0" w:color="auto"/>
            </w:tcBorders>
          </w:tcPr>
          <w:p w14:paraId="0B28BBE3" w14:textId="724EEE2E" w:rsidR="0099469B" w:rsidRDefault="00F87FC7" w:rsidP="007D5D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Lower</w:t>
            </w:r>
          </w:p>
        </w:tc>
      </w:tr>
      <w:tr w:rsidR="0099469B" w14:paraId="5EF1350C" w14:textId="77777777" w:rsidTr="00B3364D">
        <w:trPr>
          <w:trHeight w:val="852"/>
        </w:trPr>
        <w:tc>
          <w:tcPr>
            <w:cnfStyle w:val="001000000000" w:firstRow="0" w:lastRow="0" w:firstColumn="1" w:lastColumn="0" w:oddVBand="0" w:evenVBand="0" w:oddHBand="0" w:evenHBand="0" w:firstRowFirstColumn="0" w:firstRowLastColumn="0" w:lastRowFirstColumn="0" w:lastRowLastColumn="0"/>
            <w:tcW w:w="2679" w:type="dxa"/>
            <w:tcBorders>
              <w:left w:val="single" w:sz="4" w:space="0" w:color="auto"/>
            </w:tcBorders>
          </w:tcPr>
          <w:p w14:paraId="45D00C8A" w14:textId="4F58D550" w:rsidR="0099469B" w:rsidRDefault="00424CA2" w:rsidP="007D5DDB">
            <w:pPr>
              <w:spacing w:line="276" w:lineRule="auto"/>
              <w:jc w:val="both"/>
              <w:rPr>
                <w:rFonts w:ascii="Arial" w:hAnsi="Arial" w:cs="Arial"/>
              </w:rPr>
            </w:pPr>
            <w:r w:rsidRPr="00E2602C">
              <w:rPr>
                <w:rFonts w:ascii="Arial" w:hAnsi="Arial" w:cs="Arial"/>
              </w:rPr>
              <w:t xml:space="preserve">Business Stability  </w:t>
            </w:r>
          </w:p>
        </w:tc>
        <w:tc>
          <w:tcPr>
            <w:tcW w:w="2386" w:type="dxa"/>
          </w:tcPr>
          <w:p w14:paraId="597DE8FE" w14:textId="0B1FED62" w:rsidR="0099469B" w:rsidRDefault="00667794"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Very high </w:t>
            </w:r>
          </w:p>
        </w:tc>
        <w:tc>
          <w:tcPr>
            <w:tcW w:w="2683" w:type="dxa"/>
          </w:tcPr>
          <w:p w14:paraId="4E603077" w14:textId="018AFED3" w:rsidR="0099469B" w:rsidRDefault="00667794"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Very high</w:t>
            </w:r>
          </w:p>
        </w:tc>
        <w:tc>
          <w:tcPr>
            <w:tcW w:w="2043" w:type="dxa"/>
            <w:tcBorders>
              <w:right w:val="single" w:sz="4" w:space="0" w:color="auto"/>
            </w:tcBorders>
          </w:tcPr>
          <w:p w14:paraId="5B30170D" w14:textId="4FB4B6E8" w:rsidR="0099469B" w:rsidRDefault="00667794" w:rsidP="007D5D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Moderate </w:t>
            </w:r>
          </w:p>
        </w:tc>
      </w:tr>
      <w:tr w:rsidR="00916400" w14:paraId="2D747803" w14:textId="77777777" w:rsidTr="00B3364D">
        <w:trPr>
          <w:cnfStyle w:val="000000100000" w:firstRow="0" w:lastRow="0" w:firstColumn="0" w:lastColumn="0" w:oddVBand="0" w:evenVBand="0" w:oddHBand="1" w:evenHBand="0" w:firstRowFirstColumn="0" w:firstRowLastColumn="0" w:lastRowFirstColumn="0" w:lastRowLastColumn="0"/>
          <w:trHeight w:val="852"/>
        </w:trPr>
        <w:tc>
          <w:tcPr>
            <w:cnfStyle w:val="001000000000" w:firstRow="0" w:lastRow="0" w:firstColumn="1" w:lastColumn="0" w:oddVBand="0" w:evenVBand="0" w:oddHBand="0" w:evenHBand="0" w:firstRowFirstColumn="0" w:firstRowLastColumn="0" w:lastRowFirstColumn="0" w:lastRowLastColumn="0"/>
            <w:tcW w:w="2679" w:type="dxa"/>
            <w:tcBorders>
              <w:left w:val="single" w:sz="4" w:space="0" w:color="auto"/>
              <w:bottom w:val="single" w:sz="4" w:space="0" w:color="auto"/>
            </w:tcBorders>
          </w:tcPr>
          <w:p w14:paraId="0D56A6A6" w14:textId="2C06368E" w:rsidR="00916400" w:rsidRPr="00E2602C" w:rsidRDefault="00916400" w:rsidP="00916400">
            <w:pPr>
              <w:spacing w:line="276" w:lineRule="auto"/>
              <w:jc w:val="both"/>
              <w:rPr>
                <w:rFonts w:ascii="Arial" w:hAnsi="Arial" w:cs="Arial"/>
              </w:rPr>
            </w:pPr>
            <w:r>
              <w:rPr>
                <w:rFonts w:ascii="Arial" w:hAnsi="Arial" w:cs="Arial"/>
              </w:rPr>
              <w:t xml:space="preserve">Best suited for </w:t>
            </w:r>
          </w:p>
        </w:tc>
        <w:tc>
          <w:tcPr>
            <w:tcW w:w="2386" w:type="dxa"/>
            <w:tcBorders>
              <w:bottom w:val="single" w:sz="4" w:space="0" w:color="auto"/>
            </w:tcBorders>
          </w:tcPr>
          <w:p w14:paraId="5043F4D0" w14:textId="1FF84E14" w:rsidR="00916400" w:rsidRPr="00E2602C" w:rsidRDefault="00916400" w:rsidP="0091640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2602C">
              <w:rPr>
                <w:rFonts w:ascii="Arial" w:hAnsi="Arial" w:cs="Arial"/>
              </w:rPr>
              <w:t>Firms wanting strict compliance and strong support</w:t>
            </w:r>
          </w:p>
        </w:tc>
        <w:tc>
          <w:tcPr>
            <w:tcW w:w="2683" w:type="dxa"/>
            <w:tcBorders>
              <w:bottom w:val="single" w:sz="4" w:space="0" w:color="auto"/>
            </w:tcBorders>
          </w:tcPr>
          <w:p w14:paraId="5A13A67A" w14:textId="60AAC317" w:rsidR="00916400" w:rsidRPr="00E2602C" w:rsidRDefault="00916400" w:rsidP="0091640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2602C">
              <w:rPr>
                <w:rFonts w:ascii="Arial" w:hAnsi="Arial" w:cs="Arial"/>
              </w:rPr>
              <w:t>Firms wanting balance and growth</w:t>
            </w:r>
          </w:p>
        </w:tc>
        <w:tc>
          <w:tcPr>
            <w:tcW w:w="2043" w:type="dxa"/>
            <w:tcBorders>
              <w:bottom w:val="single" w:sz="4" w:space="0" w:color="auto"/>
              <w:right w:val="single" w:sz="4" w:space="0" w:color="auto"/>
            </w:tcBorders>
          </w:tcPr>
          <w:p w14:paraId="3EE68B22" w14:textId="3BAF53B1" w:rsidR="00916400" w:rsidRPr="000856F4" w:rsidRDefault="00916400" w:rsidP="0091640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0856F4">
              <w:rPr>
                <w:rFonts w:ascii="Arial" w:hAnsi="Arial" w:cs="Arial"/>
              </w:rPr>
              <w:t>Small advisers with limited demand</w:t>
            </w:r>
          </w:p>
        </w:tc>
      </w:tr>
    </w:tbl>
    <w:p w14:paraId="33D84A05" w14:textId="26B22F2E" w:rsidR="00D00D17" w:rsidRPr="00F66594" w:rsidRDefault="00D236F2" w:rsidP="007D5DDB">
      <w:pPr>
        <w:spacing w:line="276" w:lineRule="auto"/>
        <w:jc w:val="both"/>
        <w:rPr>
          <w:rFonts w:ascii="Arial" w:hAnsi="Arial" w:cs="Arial"/>
          <w:i/>
          <w:iCs/>
        </w:rPr>
      </w:pPr>
      <w:r w:rsidRPr="00F66594">
        <w:rPr>
          <w:rFonts w:ascii="Arial" w:hAnsi="Arial" w:cs="Arial"/>
          <w:i/>
          <w:iCs/>
        </w:rPr>
        <w:t>Source: Author Illustration (2025)</w:t>
      </w:r>
    </w:p>
    <w:p w14:paraId="0B84E4DC" w14:textId="77777777" w:rsidR="00B57556" w:rsidRPr="007D5DDB" w:rsidRDefault="00B57556" w:rsidP="00B57556">
      <w:pPr>
        <w:spacing w:line="276" w:lineRule="auto"/>
        <w:jc w:val="both"/>
        <w:rPr>
          <w:rFonts w:ascii="Arial" w:hAnsi="Arial" w:cs="Arial"/>
        </w:rPr>
      </w:pPr>
      <w:r w:rsidRPr="007D5DDB">
        <w:rPr>
          <w:rFonts w:ascii="Arial" w:hAnsi="Arial" w:cs="Arial"/>
        </w:rPr>
        <w:t>Openwork Partnership is also a large and long-established UK network, supporting both mortgage and financial advisers. Openwork is known for providing a balanced level of compliance oversight and commercial flexibility. The network offers strong adviser training, good technology systems, and wide access to lender panels. Research from the Intermediary Mortgage Lenders Association (IMLA, 2023) notes that networks like Openwork benefit from stable market relationships and well-organised support structures. Compared with Quilter, Openwork may offer slightly more flexibility and a more collaborative culture, which can help new firms establish themselves without feeling restricted by heavy administrative demands.</w:t>
      </w:r>
    </w:p>
    <w:p w14:paraId="2E6A82DD" w14:textId="77777777" w:rsidR="00B57556" w:rsidRDefault="00B57556" w:rsidP="00BE7277">
      <w:pPr>
        <w:spacing w:line="276" w:lineRule="auto"/>
        <w:jc w:val="both"/>
        <w:rPr>
          <w:rFonts w:ascii="Arial" w:hAnsi="Arial" w:cs="Arial"/>
        </w:rPr>
      </w:pPr>
    </w:p>
    <w:p w14:paraId="3D2865FC" w14:textId="77777777" w:rsidR="00B57556" w:rsidRPr="009052A7" w:rsidRDefault="00B57556" w:rsidP="00BE7277">
      <w:pPr>
        <w:spacing w:line="276" w:lineRule="auto"/>
        <w:jc w:val="both"/>
        <w:rPr>
          <w:rFonts w:ascii="Arial" w:hAnsi="Arial" w:cs="Arial"/>
        </w:rPr>
      </w:pPr>
    </w:p>
    <w:p w14:paraId="4E823747" w14:textId="43F5AA24" w:rsidR="00427C1F" w:rsidRPr="009052A7" w:rsidRDefault="00427C1F" w:rsidP="00BE7277">
      <w:pPr>
        <w:spacing w:line="276" w:lineRule="auto"/>
        <w:jc w:val="both"/>
        <w:rPr>
          <w:rFonts w:ascii="Arial" w:hAnsi="Arial" w:cs="Arial"/>
        </w:rPr>
      </w:pPr>
      <w:r w:rsidRPr="009052A7">
        <w:rPr>
          <w:rFonts w:ascii="Arial" w:hAnsi="Arial" w:cs="Arial"/>
        </w:rPr>
        <w:t>2.4 Mission Statement</w:t>
      </w:r>
    </w:p>
    <w:p w14:paraId="3DA980D2" w14:textId="735769F0" w:rsidR="00427C1F" w:rsidRPr="009052A7" w:rsidRDefault="00427C1F" w:rsidP="00BE7277">
      <w:pPr>
        <w:spacing w:line="276" w:lineRule="auto"/>
        <w:jc w:val="both"/>
        <w:rPr>
          <w:rFonts w:ascii="Arial" w:hAnsi="Arial" w:cs="Arial"/>
        </w:rPr>
      </w:pPr>
      <w:r w:rsidRPr="009052A7">
        <w:rPr>
          <w:rFonts w:ascii="Arial" w:hAnsi="Arial" w:cs="Arial"/>
        </w:rPr>
        <w:t>The mission of Sense Mortgage &amp; Residential is:</w:t>
      </w:r>
    </w:p>
    <w:p w14:paraId="2ABFBFD9" w14:textId="77777777" w:rsidR="00427C1F" w:rsidRPr="00FD30BD" w:rsidRDefault="00427C1F" w:rsidP="00BE7277">
      <w:pPr>
        <w:spacing w:line="276" w:lineRule="auto"/>
        <w:jc w:val="both"/>
        <w:rPr>
          <w:rFonts w:ascii="Arial" w:hAnsi="Arial" w:cs="Arial"/>
          <w:b/>
          <w:bCs/>
          <w:sz w:val="28"/>
          <w:szCs w:val="28"/>
        </w:rPr>
      </w:pPr>
      <w:r w:rsidRPr="00FD30BD">
        <w:rPr>
          <w:rFonts w:ascii="Arial" w:hAnsi="Arial" w:cs="Arial"/>
          <w:b/>
          <w:bCs/>
          <w:sz w:val="28"/>
          <w:szCs w:val="28"/>
        </w:rPr>
        <w:t>“To empower clients to make confident property finance decisions through transparent, compliant, and digitally enhanced mortgage and protection advice.”</w:t>
      </w:r>
    </w:p>
    <w:p w14:paraId="5514F876" w14:textId="77777777" w:rsidR="00427C1F" w:rsidRPr="009052A7" w:rsidRDefault="00427C1F" w:rsidP="00BE7277">
      <w:pPr>
        <w:spacing w:line="276" w:lineRule="auto"/>
        <w:jc w:val="both"/>
        <w:rPr>
          <w:rFonts w:ascii="Arial" w:hAnsi="Arial" w:cs="Arial"/>
        </w:rPr>
      </w:pPr>
      <w:r w:rsidRPr="009052A7">
        <w:rPr>
          <w:rFonts w:ascii="Arial" w:hAnsi="Arial" w:cs="Arial"/>
        </w:rPr>
        <w:t>This mission reflects the organisation’s commitment to safeguarding customers’ interests, simplifying the mortgage process, and promoting financial wellbeing.</w:t>
      </w:r>
    </w:p>
    <w:p w14:paraId="208CACC6" w14:textId="77777777" w:rsidR="00427C1F" w:rsidRPr="009052A7" w:rsidRDefault="00427C1F" w:rsidP="00BE7277">
      <w:pPr>
        <w:spacing w:line="276" w:lineRule="auto"/>
        <w:jc w:val="both"/>
        <w:rPr>
          <w:rFonts w:ascii="Arial" w:hAnsi="Arial" w:cs="Arial"/>
        </w:rPr>
      </w:pPr>
    </w:p>
    <w:p w14:paraId="0137F463" w14:textId="6A532AA7" w:rsidR="00427C1F" w:rsidRPr="009052A7" w:rsidRDefault="00427C1F" w:rsidP="00BE7277">
      <w:pPr>
        <w:spacing w:line="276" w:lineRule="auto"/>
        <w:jc w:val="both"/>
        <w:rPr>
          <w:rFonts w:ascii="Arial" w:hAnsi="Arial" w:cs="Arial"/>
        </w:rPr>
      </w:pPr>
      <w:r w:rsidRPr="009052A7">
        <w:rPr>
          <w:rFonts w:ascii="Arial" w:hAnsi="Arial" w:cs="Arial"/>
        </w:rPr>
        <w:t>2.5 Vision Statement</w:t>
      </w:r>
    </w:p>
    <w:p w14:paraId="5C13C7E0" w14:textId="30331762" w:rsidR="00427C1F" w:rsidRPr="009052A7" w:rsidRDefault="00427C1F" w:rsidP="00BE7277">
      <w:pPr>
        <w:spacing w:line="276" w:lineRule="auto"/>
        <w:jc w:val="both"/>
        <w:rPr>
          <w:rFonts w:ascii="Arial" w:hAnsi="Arial" w:cs="Arial"/>
        </w:rPr>
      </w:pPr>
      <w:r w:rsidRPr="009052A7">
        <w:rPr>
          <w:rFonts w:ascii="Arial" w:hAnsi="Arial" w:cs="Arial"/>
        </w:rPr>
        <w:lastRenderedPageBreak/>
        <w:t>The long-term vision of the firm is:</w:t>
      </w:r>
    </w:p>
    <w:p w14:paraId="3FEF6F01" w14:textId="5236983D" w:rsidR="00427C1F" w:rsidRPr="00444715" w:rsidRDefault="00427C1F" w:rsidP="00BE7277">
      <w:pPr>
        <w:spacing w:line="276" w:lineRule="auto"/>
        <w:jc w:val="both"/>
        <w:rPr>
          <w:rFonts w:ascii="Arial" w:hAnsi="Arial" w:cs="Arial"/>
          <w:b/>
          <w:bCs/>
          <w:sz w:val="28"/>
          <w:szCs w:val="28"/>
        </w:rPr>
      </w:pPr>
      <w:r w:rsidRPr="00AA3406">
        <w:rPr>
          <w:rFonts w:ascii="Arial" w:hAnsi="Arial" w:cs="Arial"/>
          <w:b/>
          <w:bCs/>
          <w:sz w:val="28"/>
          <w:szCs w:val="28"/>
        </w:rPr>
        <w:t>“To become a trusted, innovative, and customer-led mortgage advisory hub in Southeast England, recognised for excellence, compliance, and digital efficiency.”</w:t>
      </w:r>
    </w:p>
    <w:p w14:paraId="5F824138" w14:textId="77777777" w:rsidR="00427C1F" w:rsidRPr="009052A7" w:rsidRDefault="00427C1F" w:rsidP="00BE7277">
      <w:pPr>
        <w:spacing w:line="276" w:lineRule="auto"/>
        <w:jc w:val="both"/>
        <w:rPr>
          <w:rFonts w:ascii="Arial" w:hAnsi="Arial" w:cs="Arial"/>
        </w:rPr>
      </w:pPr>
      <w:r w:rsidRPr="009052A7">
        <w:rPr>
          <w:rFonts w:ascii="Arial" w:hAnsi="Arial" w:cs="Arial"/>
        </w:rPr>
        <w:t>This vision aligns with industry trends toward digital transformation, elevated consumer expectations, and higher regulatory standards (EY, 2023).</w:t>
      </w:r>
    </w:p>
    <w:p w14:paraId="230CE29A" w14:textId="77777777" w:rsidR="00427C1F" w:rsidRPr="009052A7" w:rsidRDefault="00427C1F" w:rsidP="00BE7277">
      <w:pPr>
        <w:spacing w:line="276" w:lineRule="auto"/>
        <w:jc w:val="both"/>
        <w:rPr>
          <w:rFonts w:ascii="Arial" w:hAnsi="Arial" w:cs="Arial"/>
        </w:rPr>
      </w:pPr>
    </w:p>
    <w:p w14:paraId="710A4AF3" w14:textId="4C6F6138" w:rsidR="00427C1F" w:rsidRPr="009052A7" w:rsidRDefault="00427C1F" w:rsidP="00BE7277">
      <w:pPr>
        <w:spacing w:line="276" w:lineRule="auto"/>
        <w:jc w:val="both"/>
        <w:rPr>
          <w:rFonts w:ascii="Arial" w:hAnsi="Arial" w:cs="Arial"/>
        </w:rPr>
      </w:pPr>
      <w:r w:rsidRPr="009052A7">
        <w:rPr>
          <w:rFonts w:ascii="Arial" w:hAnsi="Arial" w:cs="Arial"/>
        </w:rPr>
        <w:t>2.6 Core Values</w:t>
      </w:r>
    </w:p>
    <w:p w14:paraId="5E6E1A4E" w14:textId="1F8F9BD2" w:rsidR="00427C1F" w:rsidRDefault="00F857F8" w:rsidP="00BE7277">
      <w:pPr>
        <w:spacing w:line="276" w:lineRule="auto"/>
        <w:jc w:val="both"/>
        <w:rPr>
          <w:rFonts w:ascii="Arial" w:hAnsi="Arial" w:cs="Arial"/>
        </w:rPr>
      </w:pPr>
      <w:r w:rsidRPr="00F857F8">
        <w:rPr>
          <w:rFonts w:ascii="Arial" w:hAnsi="Arial" w:cs="Arial"/>
        </w:rPr>
        <w:t>The core values of Sense Mortgage &amp; Residential form the foundation of its business culture and guide every aspect of its operational decision-making. Integrity is central to the firm’s identity, ensuring that all client interactions are conducted honestly, ethically, and in full compliance with regulatory standards. Transparency supports this principle by promoting clear communication and full disclosure, enabling clients to understand the rationale behind each recommendation. A commitment to compliance excellence ensures that all advisory activities fully align with FCA expectations, safeguarding both clients and the business. The organisation is equally driven by a client-centred service philosophy, placing customer needs, preferences, and financial well-being at the forefront of every stage in the advisory journey. Innovation plays a complementary role by encouraging the use of digital tools and modern systems to improve efficiency, accuracy, and overall service quality. Finally, professional competence is consistently reinforced through ongoing continuing professional development (CPD), ensuring that advisers maintain up-to-date knowledge of market trends, regulatory changes, and best practices in mortgage advice.</w:t>
      </w:r>
    </w:p>
    <w:p w14:paraId="7B0C96C5" w14:textId="77777777" w:rsidR="00F857F8" w:rsidRPr="009052A7" w:rsidRDefault="00F857F8" w:rsidP="00BE7277">
      <w:pPr>
        <w:spacing w:line="276" w:lineRule="auto"/>
        <w:jc w:val="both"/>
        <w:rPr>
          <w:rFonts w:ascii="Arial" w:hAnsi="Arial" w:cs="Arial"/>
        </w:rPr>
      </w:pPr>
    </w:p>
    <w:p w14:paraId="6E45D7AD" w14:textId="237EC489" w:rsidR="00427C1F" w:rsidRPr="009052A7" w:rsidRDefault="00427C1F" w:rsidP="00BE7277">
      <w:pPr>
        <w:spacing w:line="276" w:lineRule="auto"/>
        <w:jc w:val="both"/>
        <w:rPr>
          <w:rFonts w:ascii="Arial" w:hAnsi="Arial" w:cs="Arial"/>
        </w:rPr>
      </w:pPr>
      <w:r w:rsidRPr="009052A7">
        <w:rPr>
          <w:rFonts w:ascii="Arial" w:hAnsi="Arial" w:cs="Arial"/>
        </w:rPr>
        <w:t>2.7 Founding Background and Business Inspiration</w:t>
      </w:r>
    </w:p>
    <w:p w14:paraId="6C571D40" w14:textId="18D88DA3" w:rsidR="00427C1F" w:rsidRPr="009052A7" w:rsidRDefault="00427C1F" w:rsidP="00BE7277">
      <w:pPr>
        <w:spacing w:line="276" w:lineRule="auto"/>
        <w:jc w:val="both"/>
        <w:rPr>
          <w:rFonts w:ascii="Arial" w:hAnsi="Arial" w:cs="Arial"/>
        </w:rPr>
      </w:pPr>
      <w:r w:rsidRPr="009052A7">
        <w:rPr>
          <w:rFonts w:ascii="Arial" w:hAnsi="Arial" w:cs="Arial"/>
        </w:rPr>
        <w:t xml:space="preserve">The inspiration for Sense Mortgage &amp; Residential emerged from the founder’s </w:t>
      </w:r>
      <w:r w:rsidR="004A7480" w:rsidRPr="009052A7">
        <w:rPr>
          <w:rFonts w:ascii="Arial" w:hAnsi="Arial" w:cs="Arial"/>
        </w:rPr>
        <w:t>personal</w:t>
      </w:r>
      <w:r w:rsidRPr="009052A7">
        <w:rPr>
          <w:rFonts w:ascii="Arial" w:hAnsi="Arial" w:cs="Arial"/>
        </w:rPr>
        <w:t xml:space="preserve"> experience within the UK financial advisory and mortgage sectors. Over the past decade, the industry has faced several challenges</w:t>
      </w:r>
      <w:r w:rsidR="00632503">
        <w:rPr>
          <w:rFonts w:ascii="Arial" w:hAnsi="Arial" w:cs="Arial"/>
        </w:rPr>
        <w:t xml:space="preserve"> such as i</w:t>
      </w:r>
      <w:r w:rsidRPr="009052A7">
        <w:rPr>
          <w:rFonts w:ascii="Arial" w:hAnsi="Arial" w:cs="Arial"/>
        </w:rPr>
        <w:t xml:space="preserve">ncreased regulatory scrutiny under the Mortgage Market Review and Consumer </w:t>
      </w:r>
      <w:r w:rsidR="00632503" w:rsidRPr="009052A7">
        <w:rPr>
          <w:rFonts w:ascii="Arial" w:hAnsi="Arial" w:cs="Arial"/>
        </w:rPr>
        <w:t>Duty</w:t>
      </w:r>
      <w:r w:rsidR="00632503">
        <w:rPr>
          <w:rFonts w:ascii="Arial" w:hAnsi="Arial" w:cs="Arial"/>
        </w:rPr>
        <w:t>.</w:t>
      </w:r>
      <w:r w:rsidR="00632503" w:rsidRPr="009052A7">
        <w:rPr>
          <w:rFonts w:ascii="Arial" w:hAnsi="Arial" w:cs="Arial"/>
        </w:rPr>
        <w:t xml:space="preserve"> Complex</w:t>
      </w:r>
      <w:r w:rsidRPr="009052A7">
        <w:rPr>
          <w:rFonts w:ascii="Arial" w:hAnsi="Arial" w:cs="Arial"/>
        </w:rPr>
        <w:t xml:space="preserve"> lender criteria, making advice more </w:t>
      </w:r>
      <w:r w:rsidR="00ED3626" w:rsidRPr="009052A7">
        <w:rPr>
          <w:rFonts w:ascii="Arial" w:hAnsi="Arial" w:cs="Arial"/>
        </w:rPr>
        <w:t>essential</w:t>
      </w:r>
      <w:r w:rsidR="00ED3626">
        <w:rPr>
          <w:rFonts w:ascii="Arial" w:hAnsi="Arial" w:cs="Arial"/>
        </w:rPr>
        <w:t>.</w:t>
      </w:r>
      <w:r w:rsidR="00ED3626" w:rsidRPr="009052A7">
        <w:rPr>
          <w:rFonts w:ascii="Arial" w:hAnsi="Arial" w:cs="Arial"/>
        </w:rPr>
        <w:t xml:space="preserve"> Fragmented</w:t>
      </w:r>
      <w:r w:rsidRPr="009052A7">
        <w:rPr>
          <w:rFonts w:ascii="Arial" w:hAnsi="Arial" w:cs="Arial"/>
        </w:rPr>
        <w:t xml:space="preserve"> customer service among traditional </w:t>
      </w:r>
      <w:r w:rsidR="00F86396" w:rsidRPr="009052A7">
        <w:rPr>
          <w:rFonts w:ascii="Arial" w:hAnsi="Arial" w:cs="Arial"/>
        </w:rPr>
        <w:t>brokers</w:t>
      </w:r>
      <w:r w:rsidR="00F86396">
        <w:rPr>
          <w:rFonts w:ascii="Arial" w:hAnsi="Arial" w:cs="Arial"/>
        </w:rPr>
        <w:t>.</w:t>
      </w:r>
      <w:r w:rsidR="00F86396" w:rsidRPr="009052A7">
        <w:rPr>
          <w:rFonts w:ascii="Arial" w:hAnsi="Arial" w:cs="Arial"/>
        </w:rPr>
        <w:t xml:space="preserve"> Growing</w:t>
      </w:r>
      <w:r w:rsidRPr="009052A7">
        <w:rPr>
          <w:rFonts w:ascii="Arial" w:hAnsi="Arial" w:cs="Arial"/>
        </w:rPr>
        <w:t xml:space="preserve"> customer demand for hybrid digital-human advisory models</w:t>
      </w:r>
      <w:r w:rsidR="00F86396">
        <w:rPr>
          <w:rFonts w:ascii="Arial" w:hAnsi="Arial" w:cs="Arial"/>
        </w:rPr>
        <w:t>.</w:t>
      </w:r>
    </w:p>
    <w:p w14:paraId="4B72CE9A" w14:textId="2119DB33" w:rsidR="00427C1F" w:rsidRPr="009052A7" w:rsidRDefault="00427C1F" w:rsidP="00BE7277">
      <w:pPr>
        <w:spacing w:line="276" w:lineRule="auto"/>
        <w:jc w:val="both"/>
        <w:rPr>
          <w:rFonts w:ascii="Arial" w:hAnsi="Arial" w:cs="Arial"/>
        </w:rPr>
      </w:pPr>
      <w:r w:rsidRPr="009052A7">
        <w:rPr>
          <w:rFonts w:ascii="Arial" w:hAnsi="Arial" w:cs="Arial"/>
        </w:rPr>
        <w:t>Research by Deloitte (2023) shows that 67% of UK borrowers prefer a combination of online tools and personalised advice. Similarly, UK Finance (2024) notes that clients increasingly expect digital documentation, rapid communication, and proactive updates.</w:t>
      </w:r>
    </w:p>
    <w:p w14:paraId="7AAC9200" w14:textId="3CC60A00" w:rsidR="00427C1F" w:rsidRPr="009052A7" w:rsidRDefault="00427C1F" w:rsidP="00BE7277">
      <w:pPr>
        <w:spacing w:line="276" w:lineRule="auto"/>
        <w:jc w:val="both"/>
        <w:rPr>
          <w:rFonts w:ascii="Arial" w:hAnsi="Arial" w:cs="Arial"/>
        </w:rPr>
      </w:pPr>
      <w:r w:rsidRPr="009052A7">
        <w:rPr>
          <w:rFonts w:ascii="Arial" w:hAnsi="Arial" w:cs="Arial"/>
        </w:rPr>
        <w:t>The founder identified an opportunity to build a firm that is</w:t>
      </w:r>
      <w:r w:rsidR="00F14A8E">
        <w:rPr>
          <w:rFonts w:ascii="Arial" w:hAnsi="Arial" w:cs="Arial"/>
        </w:rPr>
        <w:t xml:space="preserve"> </w:t>
      </w:r>
      <w:r w:rsidRPr="009052A7">
        <w:rPr>
          <w:rFonts w:ascii="Arial" w:hAnsi="Arial" w:cs="Arial"/>
        </w:rPr>
        <w:t>customer-driven rather than sales-driven</w:t>
      </w:r>
      <w:r w:rsidR="00F14A8E">
        <w:rPr>
          <w:rFonts w:ascii="Arial" w:hAnsi="Arial" w:cs="Arial"/>
        </w:rPr>
        <w:t xml:space="preserve">. Introduce a </w:t>
      </w:r>
      <w:r w:rsidRPr="009052A7">
        <w:rPr>
          <w:rFonts w:ascii="Arial" w:hAnsi="Arial" w:cs="Arial"/>
        </w:rPr>
        <w:t>digital-first</w:t>
      </w:r>
      <w:r w:rsidR="000E6CC0">
        <w:rPr>
          <w:rFonts w:ascii="Arial" w:hAnsi="Arial" w:cs="Arial"/>
        </w:rPr>
        <w:t xml:space="preserve"> </w:t>
      </w:r>
      <w:r w:rsidR="00251C7D">
        <w:rPr>
          <w:rFonts w:ascii="Arial" w:hAnsi="Arial" w:cs="Arial"/>
        </w:rPr>
        <w:t>service</w:t>
      </w:r>
      <w:r w:rsidRPr="009052A7">
        <w:rPr>
          <w:rFonts w:ascii="Arial" w:hAnsi="Arial" w:cs="Arial"/>
        </w:rPr>
        <w:t xml:space="preserve"> without losing the human advisory element</w:t>
      </w:r>
      <w:r w:rsidR="00F14A8E">
        <w:rPr>
          <w:rFonts w:ascii="Arial" w:hAnsi="Arial" w:cs="Arial"/>
        </w:rPr>
        <w:t>.</w:t>
      </w:r>
      <w:r w:rsidR="00251C7D">
        <w:rPr>
          <w:rFonts w:ascii="Arial" w:hAnsi="Arial" w:cs="Arial"/>
        </w:rPr>
        <w:t xml:space="preserve"> It will also </w:t>
      </w:r>
      <w:r w:rsidR="00171EF9">
        <w:rPr>
          <w:rFonts w:ascii="Arial" w:hAnsi="Arial" w:cs="Arial"/>
        </w:rPr>
        <w:t xml:space="preserve">be </w:t>
      </w:r>
      <w:r w:rsidRPr="009052A7">
        <w:rPr>
          <w:rFonts w:ascii="Arial" w:hAnsi="Arial" w:cs="Arial"/>
        </w:rPr>
        <w:t>compliance-strong, reducing the risk of regulatory breaches</w:t>
      </w:r>
      <w:r w:rsidR="00171EF9">
        <w:rPr>
          <w:rFonts w:ascii="Arial" w:hAnsi="Arial" w:cs="Arial"/>
        </w:rPr>
        <w:t xml:space="preserve"> </w:t>
      </w:r>
      <w:r w:rsidRPr="009052A7">
        <w:rPr>
          <w:rFonts w:ascii="Arial" w:hAnsi="Arial" w:cs="Arial"/>
        </w:rPr>
        <w:t>operationally efficient through automation and systems integration</w:t>
      </w:r>
      <w:r w:rsidR="00171EF9">
        <w:rPr>
          <w:rFonts w:ascii="Arial" w:hAnsi="Arial" w:cs="Arial"/>
        </w:rPr>
        <w:t>.</w:t>
      </w:r>
    </w:p>
    <w:p w14:paraId="020DF620" w14:textId="1D9880C2" w:rsidR="00427C1F" w:rsidRPr="009052A7" w:rsidRDefault="00427C1F" w:rsidP="00BE7277">
      <w:pPr>
        <w:spacing w:line="276" w:lineRule="auto"/>
        <w:jc w:val="both"/>
        <w:rPr>
          <w:rFonts w:ascii="Arial" w:hAnsi="Arial" w:cs="Arial"/>
        </w:rPr>
      </w:pPr>
      <w:r w:rsidRPr="009052A7">
        <w:rPr>
          <w:rFonts w:ascii="Arial" w:hAnsi="Arial" w:cs="Arial"/>
        </w:rPr>
        <w:lastRenderedPageBreak/>
        <w:t>The firm’s creation reflects a personal and professional motivation to transform the mortgage advisory experience into one that is modern, supportive, and trustworthy.</w:t>
      </w:r>
    </w:p>
    <w:p w14:paraId="6D6C88DA" w14:textId="77777777" w:rsidR="00661031" w:rsidRPr="009052A7" w:rsidRDefault="00661031" w:rsidP="00BE7277">
      <w:pPr>
        <w:spacing w:line="276" w:lineRule="auto"/>
        <w:jc w:val="both"/>
        <w:rPr>
          <w:rFonts w:ascii="Arial" w:hAnsi="Arial" w:cs="Arial"/>
        </w:rPr>
      </w:pPr>
    </w:p>
    <w:p w14:paraId="7DAC2DB2" w14:textId="7FE8B967" w:rsidR="00427C1F" w:rsidRPr="009052A7" w:rsidRDefault="00427C1F" w:rsidP="00BE7277">
      <w:pPr>
        <w:spacing w:line="276" w:lineRule="auto"/>
        <w:jc w:val="both"/>
        <w:rPr>
          <w:rFonts w:ascii="Arial" w:hAnsi="Arial" w:cs="Arial"/>
        </w:rPr>
      </w:pPr>
      <w:r w:rsidRPr="009052A7">
        <w:rPr>
          <w:rFonts w:ascii="Arial" w:hAnsi="Arial" w:cs="Arial"/>
        </w:rPr>
        <w:t>2.8 Unique Value Proposition (UVP)</w:t>
      </w:r>
    </w:p>
    <w:p w14:paraId="516200C5" w14:textId="77777777" w:rsidR="00427C1F" w:rsidRPr="009052A7" w:rsidRDefault="00427C1F" w:rsidP="00BE7277">
      <w:pPr>
        <w:spacing w:line="276" w:lineRule="auto"/>
        <w:jc w:val="both"/>
        <w:rPr>
          <w:rFonts w:ascii="Arial" w:hAnsi="Arial" w:cs="Arial"/>
        </w:rPr>
      </w:pPr>
      <w:r w:rsidRPr="009052A7">
        <w:rPr>
          <w:rFonts w:ascii="Arial" w:hAnsi="Arial" w:cs="Arial"/>
        </w:rPr>
        <w:t>Sense Mortgage &amp; Residential’s unique value proposition is built on the following pillars:</w:t>
      </w:r>
    </w:p>
    <w:p w14:paraId="37C47031" w14:textId="77777777" w:rsidR="00427C1F" w:rsidRPr="009052A7" w:rsidRDefault="00427C1F" w:rsidP="00BE7277">
      <w:pPr>
        <w:spacing w:line="276" w:lineRule="auto"/>
        <w:jc w:val="both"/>
        <w:rPr>
          <w:rFonts w:ascii="Arial" w:hAnsi="Arial" w:cs="Arial"/>
        </w:rPr>
      </w:pPr>
    </w:p>
    <w:p w14:paraId="4DA7E50A" w14:textId="2F747572" w:rsidR="00427C1F" w:rsidRPr="009052A7" w:rsidRDefault="00427C1F" w:rsidP="00BE7277">
      <w:pPr>
        <w:spacing w:line="276" w:lineRule="auto"/>
        <w:jc w:val="both"/>
        <w:rPr>
          <w:rFonts w:ascii="Arial" w:hAnsi="Arial" w:cs="Arial"/>
        </w:rPr>
      </w:pPr>
      <w:r w:rsidRPr="009052A7">
        <w:rPr>
          <w:rFonts w:ascii="Arial" w:hAnsi="Arial" w:cs="Arial"/>
        </w:rPr>
        <w:t>1. Hybrid Digital–Human Advisory</w:t>
      </w:r>
    </w:p>
    <w:p w14:paraId="3D0A860D" w14:textId="77777777" w:rsidR="00427C1F" w:rsidRPr="009052A7" w:rsidRDefault="00427C1F" w:rsidP="00BE7277">
      <w:pPr>
        <w:spacing w:line="276" w:lineRule="auto"/>
        <w:jc w:val="both"/>
        <w:rPr>
          <w:rFonts w:ascii="Arial" w:hAnsi="Arial" w:cs="Arial"/>
        </w:rPr>
      </w:pPr>
      <w:r w:rsidRPr="009052A7">
        <w:rPr>
          <w:rFonts w:ascii="Arial" w:hAnsi="Arial" w:cs="Arial"/>
        </w:rPr>
        <w:t>Clients receive personalised advice supported by automated workflows, leading to faster mortgage processing and fewer errors. Research indicates that hybrid models significantly improve customer satisfaction in financial services (McKinsey, 2023).</w:t>
      </w:r>
    </w:p>
    <w:p w14:paraId="57C57D42" w14:textId="77777777" w:rsidR="00427C1F" w:rsidRPr="009052A7" w:rsidRDefault="00427C1F" w:rsidP="00BE7277">
      <w:pPr>
        <w:spacing w:line="276" w:lineRule="auto"/>
        <w:jc w:val="both"/>
        <w:rPr>
          <w:rFonts w:ascii="Arial" w:hAnsi="Arial" w:cs="Arial"/>
        </w:rPr>
      </w:pPr>
    </w:p>
    <w:p w14:paraId="4EB4FC00" w14:textId="6A3556C9" w:rsidR="00427C1F" w:rsidRPr="009052A7" w:rsidRDefault="00427C1F" w:rsidP="00BE7277">
      <w:pPr>
        <w:spacing w:line="276" w:lineRule="auto"/>
        <w:jc w:val="both"/>
        <w:rPr>
          <w:rFonts w:ascii="Arial" w:hAnsi="Arial" w:cs="Arial"/>
        </w:rPr>
      </w:pPr>
      <w:r w:rsidRPr="009052A7">
        <w:rPr>
          <w:rFonts w:ascii="Arial" w:hAnsi="Arial" w:cs="Arial"/>
        </w:rPr>
        <w:t>2. Compliance-Led Advice</w:t>
      </w:r>
    </w:p>
    <w:p w14:paraId="103467B7" w14:textId="77777777" w:rsidR="00427C1F" w:rsidRPr="009052A7" w:rsidRDefault="00427C1F" w:rsidP="00BE7277">
      <w:pPr>
        <w:spacing w:line="276" w:lineRule="auto"/>
        <w:jc w:val="both"/>
        <w:rPr>
          <w:rFonts w:ascii="Arial" w:hAnsi="Arial" w:cs="Arial"/>
        </w:rPr>
      </w:pPr>
      <w:r w:rsidRPr="009052A7">
        <w:rPr>
          <w:rFonts w:ascii="Arial" w:hAnsi="Arial" w:cs="Arial"/>
        </w:rPr>
        <w:t>Unlike many smaller brokers with inconsistent processes, Sense Mortgage &amp; Residential integrates robust compliance systems, ensuring accuracy, transparency, and adherence to FCA guidelines.</w:t>
      </w:r>
    </w:p>
    <w:p w14:paraId="457B978B" w14:textId="77777777" w:rsidR="00427C1F" w:rsidRPr="009052A7" w:rsidRDefault="00427C1F" w:rsidP="00BE7277">
      <w:pPr>
        <w:spacing w:line="276" w:lineRule="auto"/>
        <w:jc w:val="both"/>
        <w:rPr>
          <w:rFonts w:ascii="Arial" w:hAnsi="Arial" w:cs="Arial"/>
        </w:rPr>
      </w:pPr>
    </w:p>
    <w:p w14:paraId="6D6C05DE" w14:textId="0EDB28F1" w:rsidR="00427C1F" w:rsidRPr="009052A7" w:rsidRDefault="00427C1F" w:rsidP="00BE7277">
      <w:pPr>
        <w:spacing w:line="276" w:lineRule="auto"/>
        <w:jc w:val="both"/>
        <w:rPr>
          <w:rFonts w:ascii="Arial" w:hAnsi="Arial" w:cs="Arial"/>
        </w:rPr>
      </w:pPr>
      <w:r w:rsidRPr="009052A7">
        <w:rPr>
          <w:rFonts w:ascii="Arial" w:hAnsi="Arial" w:cs="Arial"/>
        </w:rPr>
        <w:t>3. Long-Term Client Relationship Approach</w:t>
      </w:r>
    </w:p>
    <w:p w14:paraId="6429FC73" w14:textId="77777777" w:rsidR="00427C1F" w:rsidRPr="009052A7" w:rsidRDefault="00427C1F" w:rsidP="00BE7277">
      <w:pPr>
        <w:spacing w:line="276" w:lineRule="auto"/>
        <w:jc w:val="both"/>
        <w:rPr>
          <w:rFonts w:ascii="Arial" w:hAnsi="Arial" w:cs="Arial"/>
        </w:rPr>
      </w:pPr>
      <w:r w:rsidRPr="009052A7">
        <w:rPr>
          <w:rFonts w:ascii="Arial" w:hAnsi="Arial" w:cs="Arial"/>
        </w:rPr>
        <w:t>The firm provides annual mortgage reviews, protection reassessments, and ongoing financial guidance. This relationship-based approach increases client lifetime value and retention (Kotler &amp; Keller, 2023).</w:t>
      </w:r>
    </w:p>
    <w:p w14:paraId="39C6A9B6" w14:textId="77777777" w:rsidR="00427C1F" w:rsidRPr="009052A7" w:rsidRDefault="00427C1F" w:rsidP="00BE7277">
      <w:pPr>
        <w:spacing w:line="276" w:lineRule="auto"/>
        <w:jc w:val="both"/>
        <w:rPr>
          <w:rFonts w:ascii="Arial" w:hAnsi="Arial" w:cs="Arial"/>
        </w:rPr>
      </w:pPr>
    </w:p>
    <w:p w14:paraId="08B1C420" w14:textId="1A4A4804" w:rsidR="00427C1F" w:rsidRPr="009052A7" w:rsidRDefault="00427C1F" w:rsidP="00BE7277">
      <w:pPr>
        <w:spacing w:line="276" w:lineRule="auto"/>
        <w:jc w:val="both"/>
        <w:rPr>
          <w:rFonts w:ascii="Arial" w:hAnsi="Arial" w:cs="Arial"/>
        </w:rPr>
      </w:pPr>
      <w:r w:rsidRPr="009052A7">
        <w:rPr>
          <w:rFonts w:ascii="Arial" w:hAnsi="Arial" w:cs="Arial"/>
        </w:rPr>
        <w:t>4. Bespoke Support for First-Time Buyers and Investors</w:t>
      </w:r>
    </w:p>
    <w:p w14:paraId="26BDA996" w14:textId="77777777" w:rsidR="00427C1F" w:rsidRPr="009052A7" w:rsidRDefault="00427C1F" w:rsidP="00BE7277">
      <w:pPr>
        <w:spacing w:line="276" w:lineRule="auto"/>
        <w:jc w:val="both"/>
        <w:rPr>
          <w:rFonts w:ascii="Arial" w:hAnsi="Arial" w:cs="Arial"/>
        </w:rPr>
      </w:pPr>
      <w:r w:rsidRPr="009052A7">
        <w:rPr>
          <w:rFonts w:ascii="Arial" w:hAnsi="Arial" w:cs="Arial"/>
        </w:rPr>
        <w:t>Tailored guidance is offered for complex affordability profiles, portfolio lending, and remortgage strategies, differentiating the firm from basic comparison sites.</w:t>
      </w:r>
    </w:p>
    <w:p w14:paraId="551FAE8A" w14:textId="77777777" w:rsidR="00427C1F" w:rsidRPr="009052A7" w:rsidRDefault="00427C1F" w:rsidP="00BE7277">
      <w:pPr>
        <w:spacing w:line="276" w:lineRule="auto"/>
        <w:jc w:val="both"/>
        <w:rPr>
          <w:rFonts w:ascii="Arial" w:hAnsi="Arial" w:cs="Arial"/>
        </w:rPr>
      </w:pPr>
    </w:p>
    <w:p w14:paraId="7F60415A" w14:textId="06E6E398" w:rsidR="00427C1F" w:rsidRPr="009052A7" w:rsidRDefault="00427C1F" w:rsidP="00BE7277">
      <w:pPr>
        <w:spacing w:line="276" w:lineRule="auto"/>
        <w:jc w:val="both"/>
        <w:rPr>
          <w:rFonts w:ascii="Arial" w:hAnsi="Arial" w:cs="Arial"/>
        </w:rPr>
      </w:pPr>
      <w:r w:rsidRPr="009052A7">
        <w:rPr>
          <w:rFonts w:ascii="Arial" w:hAnsi="Arial" w:cs="Arial"/>
        </w:rPr>
        <w:t>5. Faster and Modern Case Management</w:t>
      </w:r>
    </w:p>
    <w:p w14:paraId="7572AAF4" w14:textId="2FD3214E" w:rsidR="00427C1F" w:rsidRPr="009052A7" w:rsidRDefault="004B0D6D" w:rsidP="00BE7277">
      <w:pPr>
        <w:spacing w:line="276" w:lineRule="auto"/>
        <w:jc w:val="both"/>
        <w:rPr>
          <w:rFonts w:ascii="Arial" w:hAnsi="Arial" w:cs="Arial"/>
        </w:rPr>
      </w:pPr>
      <w:r w:rsidRPr="009052A7">
        <w:rPr>
          <w:rFonts w:ascii="Arial" w:hAnsi="Arial" w:cs="Arial"/>
        </w:rPr>
        <w:t>Using</w:t>
      </w:r>
      <w:r w:rsidR="00427C1F" w:rsidRPr="009052A7">
        <w:rPr>
          <w:rFonts w:ascii="Arial" w:hAnsi="Arial" w:cs="Arial"/>
        </w:rPr>
        <w:t xml:space="preserve"> CRM tools, digital ID verification, and automated communication, clients experience a smoother and more transparent journey.</w:t>
      </w:r>
    </w:p>
    <w:p w14:paraId="4B15522B" w14:textId="77777777" w:rsidR="00427C1F" w:rsidRPr="009052A7" w:rsidRDefault="00427C1F" w:rsidP="00BE7277">
      <w:pPr>
        <w:spacing w:line="276" w:lineRule="auto"/>
        <w:jc w:val="both"/>
        <w:rPr>
          <w:rFonts w:ascii="Arial" w:hAnsi="Arial" w:cs="Arial"/>
        </w:rPr>
      </w:pPr>
      <w:r w:rsidRPr="009052A7">
        <w:rPr>
          <w:rFonts w:ascii="Arial" w:hAnsi="Arial" w:cs="Arial"/>
        </w:rPr>
        <w:t>Together, these attributes create a competitive advantage in a crowded market that often lacks innovation.</w:t>
      </w:r>
    </w:p>
    <w:p w14:paraId="0BFE1B75" w14:textId="77777777" w:rsidR="00427C1F" w:rsidRPr="009052A7" w:rsidRDefault="00427C1F" w:rsidP="00BE7277">
      <w:pPr>
        <w:spacing w:line="276" w:lineRule="auto"/>
        <w:jc w:val="both"/>
        <w:rPr>
          <w:rFonts w:ascii="Arial" w:hAnsi="Arial" w:cs="Arial"/>
        </w:rPr>
      </w:pPr>
    </w:p>
    <w:p w14:paraId="1D369BC7" w14:textId="15518929" w:rsidR="00427C1F" w:rsidRPr="009052A7" w:rsidRDefault="00427C1F" w:rsidP="00BE7277">
      <w:pPr>
        <w:spacing w:line="276" w:lineRule="auto"/>
        <w:jc w:val="both"/>
        <w:rPr>
          <w:rFonts w:ascii="Arial" w:hAnsi="Arial" w:cs="Arial"/>
        </w:rPr>
      </w:pPr>
      <w:r w:rsidRPr="009052A7">
        <w:rPr>
          <w:rFonts w:ascii="Arial" w:hAnsi="Arial" w:cs="Arial"/>
        </w:rPr>
        <w:t>2.9 Strategic Advantage</w:t>
      </w:r>
    </w:p>
    <w:p w14:paraId="5302E720" w14:textId="77777777" w:rsidR="00427C1F" w:rsidRPr="009052A7" w:rsidRDefault="00427C1F" w:rsidP="00BE7277">
      <w:pPr>
        <w:spacing w:line="276" w:lineRule="auto"/>
        <w:jc w:val="both"/>
        <w:rPr>
          <w:rFonts w:ascii="Arial" w:hAnsi="Arial" w:cs="Arial"/>
        </w:rPr>
      </w:pPr>
      <w:r w:rsidRPr="009052A7">
        <w:rPr>
          <w:rFonts w:ascii="Arial" w:hAnsi="Arial" w:cs="Arial"/>
        </w:rPr>
        <w:lastRenderedPageBreak/>
        <w:t>Sense Mortgage &amp; Residential possesses several strategic advantages that position the firm strongly within the UK mortgage advisory landscape.</w:t>
      </w:r>
    </w:p>
    <w:p w14:paraId="31699B8E" w14:textId="77777777" w:rsidR="00427C1F" w:rsidRPr="009052A7" w:rsidRDefault="00427C1F" w:rsidP="00BE7277">
      <w:pPr>
        <w:spacing w:line="276" w:lineRule="auto"/>
        <w:jc w:val="both"/>
        <w:rPr>
          <w:rFonts w:ascii="Arial" w:hAnsi="Arial" w:cs="Arial"/>
        </w:rPr>
      </w:pPr>
    </w:p>
    <w:p w14:paraId="6DDD0D20" w14:textId="223F8E88" w:rsidR="00427C1F" w:rsidRPr="009052A7" w:rsidRDefault="00427C1F" w:rsidP="00BE7277">
      <w:pPr>
        <w:spacing w:line="276" w:lineRule="auto"/>
        <w:jc w:val="both"/>
        <w:rPr>
          <w:rFonts w:ascii="Arial" w:hAnsi="Arial" w:cs="Arial"/>
        </w:rPr>
      </w:pPr>
      <w:r w:rsidRPr="009052A7">
        <w:rPr>
          <w:rFonts w:ascii="Arial" w:hAnsi="Arial" w:cs="Arial"/>
        </w:rPr>
        <w:t>2.9.1 Digital Operational Framework</w:t>
      </w:r>
    </w:p>
    <w:p w14:paraId="544D63EF" w14:textId="77777777" w:rsidR="00427C1F" w:rsidRPr="009052A7" w:rsidRDefault="00427C1F" w:rsidP="00BE7277">
      <w:pPr>
        <w:spacing w:line="276" w:lineRule="auto"/>
        <w:jc w:val="both"/>
        <w:rPr>
          <w:rFonts w:ascii="Arial" w:hAnsi="Arial" w:cs="Arial"/>
        </w:rPr>
      </w:pPr>
      <w:r w:rsidRPr="009052A7">
        <w:rPr>
          <w:rFonts w:ascii="Arial" w:hAnsi="Arial" w:cs="Arial"/>
        </w:rPr>
        <w:t>Digital platforms streamline tasks such as case tracking, document collection, and affordability analysis. This reduces administrative burdens and enhances customer experience—an advantage supported by industry-wide digital transformation trends (Accenture, 2023).</w:t>
      </w:r>
    </w:p>
    <w:p w14:paraId="37FFA376" w14:textId="77777777" w:rsidR="00427C1F" w:rsidRPr="009052A7" w:rsidRDefault="00427C1F" w:rsidP="00BE7277">
      <w:pPr>
        <w:spacing w:line="276" w:lineRule="auto"/>
        <w:jc w:val="both"/>
        <w:rPr>
          <w:rFonts w:ascii="Arial" w:hAnsi="Arial" w:cs="Arial"/>
        </w:rPr>
      </w:pPr>
    </w:p>
    <w:p w14:paraId="4E54EABA" w14:textId="060D7195" w:rsidR="00427C1F" w:rsidRPr="009052A7" w:rsidRDefault="00427C1F" w:rsidP="00BE7277">
      <w:pPr>
        <w:spacing w:line="276" w:lineRule="auto"/>
        <w:jc w:val="both"/>
        <w:rPr>
          <w:rFonts w:ascii="Arial" w:hAnsi="Arial" w:cs="Arial"/>
        </w:rPr>
      </w:pPr>
      <w:r w:rsidRPr="009052A7">
        <w:rPr>
          <w:rFonts w:ascii="Arial" w:hAnsi="Arial" w:cs="Arial"/>
        </w:rPr>
        <w:t>2.9.2 Strong Compliance Structure through AR Model</w:t>
      </w:r>
      <w:r w:rsidR="000F5A9A" w:rsidRPr="009052A7">
        <w:rPr>
          <w:rFonts w:ascii="Arial" w:hAnsi="Arial" w:cs="Arial"/>
        </w:rPr>
        <w:t>:</w:t>
      </w:r>
    </w:p>
    <w:p w14:paraId="7D4D800E" w14:textId="629C3FD4" w:rsidR="00427C1F" w:rsidRPr="009052A7" w:rsidRDefault="00427C1F" w:rsidP="00BE7277">
      <w:pPr>
        <w:spacing w:line="276" w:lineRule="auto"/>
        <w:jc w:val="both"/>
        <w:rPr>
          <w:rFonts w:ascii="Arial" w:hAnsi="Arial" w:cs="Arial"/>
        </w:rPr>
      </w:pPr>
      <w:r w:rsidRPr="009052A7">
        <w:rPr>
          <w:rFonts w:ascii="Arial" w:hAnsi="Arial" w:cs="Arial"/>
        </w:rPr>
        <w:t>By leveraging network supervision, the firm benefits from</w:t>
      </w:r>
      <w:r w:rsidR="000F5A9A" w:rsidRPr="009052A7">
        <w:rPr>
          <w:rFonts w:ascii="Arial" w:hAnsi="Arial" w:cs="Arial"/>
        </w:rPr>
        <w:t xml:space="preserve"> </w:t>
      </w:r>
      <w:r w:rsidRPr="009052A7">
        <w:rPr>
          <w:rFonts w:ascii="Arial" w:hAnsi="Arial" w:cs="Arial"/>
        </w:rPr>
        <w:t>reduced regulatory risk</w:t>
      </w:r>
      <w:r w:rsidR="000F5A9A" w:rsidRPr="009052A7">
        <w:rPr>
          <w:rFonts w:ascii="Arial" w:hAnsi="Arial" w:cs="Arial"/>
        </w:rPr>
        <w:t xml:space="preserve">. </w:t>
      </w:r>
      <w:r w:rsidR="00552CA1" w:rsidRPr="009052A7">
        <w:rPr>
          <w:rFonts w:ascii="Arial" w:hAnsi="Arial" w:cs="Arial"/>
        </w:rPr>
        <w:t>A dedicated per</w:t>
      </w:r>
      <w:r w:rsidR="005E6664" w:rsidRPr="009052A7">
        <w:rPr>
          <w:rFonts w:ascii="Arial" w:hAnsi="Arial" w:cs="Arial"/>
        </w:rPr>
        <w:t xml:space="preserve">son will be there for </w:t>
      </w:r>
      <w:r w:rsidRPr="009052A7">
        <w:rPr>
          <w:rFonts w:ascii="Arial" w:hAnsi="Arial" w:cs="Arial"/>
        </w:rPr>
        <w:t>professional file-checking</w:t>
      </w:r>
      <w:r w:rsidR="005E6664" w:rsidRPr="009052A7">
        <w:rPr>
          <w:rFonts w:ascii="Arial" w:hAnsi="Arial" w:cs="Arial"/>
        </w:rPr>
        <w:t xml:space="preserve"> allowing the company </w:t>
      </w:r>
      <w:r w:rsidRPr="009052A7">
        <w:rPr>
          <w:rFonts w:ascii="Arial" w:hAnsi="Arial" w:cs="Arial"/>
        </w:rPr>
        <w:t>establish</w:t>
      </w:r>
      <w:r w:rsidR="00E40D9A" w:rsidRPr="009052A7">
        <w:rPr>
          <w:rFonts w:ascii="Arial" w:hAnsi="Arial" w:cs="Arial"/>
        </w:rPr>
        <w:t>ing</w:t>
      </w:r>
      <w:r w:rsidRPr="009052A7">
        <w:rPr>
          <w:rFonts w:ascii="Arial" w:hAnsi="Arial" w:cs="Arial"/>
        </w:rPr>
        <w:t xml:space="preserve"> lender relationships</w:t>
      </w:r>
      <w:r w:rsidR="00E40D9A" w:rsidRPr="009052A7">
        <w:rPr>
          <w:rFonts w:ascii="Arial" w:hAnsi="Arial" w:cs="Arial"/>
        </w:rPr>
        <w:t xml:space="preserve">. Company will be more audit </w:t>
      </w:r>
      <w:r w:rsidR="00A30299" w:rsidRPr="009052A7">
        <w:rPr>
          <w:rFonts w:ascii="Arial" w:hAnsi="Arial" w:cs="Arial"/>
        </w:rPr>
        <w:t>compliance,</w:t>
      </w:r>
      <w:r w:rsidR="001B72AC" w:rsidRPr="009052A7">
        <w:rPr>
          <w:rFonts w:ascii="Arial" w:hAnsi="Arial" w:cs="Arial"/>
        </w:rPr>
        <w:t xml:space="preserve"> therefore, </w:t>
      </w:r>
      <w:r w:rsidRPr="009052A7">
        <w:rPr>
          <w:rFonts w:ascii="Arial" w:hAnsi="Arial" w:cs="Arial"/>
        </w:rPr>
        <w:t>strengthens credibility and operational reliability.</w:t>
      </w:r>
    </w:p>
    <w:p w14:paraId="43E35EA4" w14:textId="77777777" w:rsidR="00E45994" w:rsidRPr="009052A7" w:rsidRDefault="00E45994" w:rsidP="00BE7277">
      <w:pPr>
        <w:spacing w:line="276" w:lineRule="auto"/>
        <w:jc w:val="both"/>
        <w:rPr>
          <w:rFonts w:ascii="Arial" w:hAnsi="Arial" w:cs="Arial"/>
        </w:rPr>
      </w:pPr>
    </w:p>
    <w:p w14:paraId="48842F01" w14:textId="09873655" w:rsidR="00427C1F" w:rsidRPr="009052A7" w:rsidRDefault="00427C1F" w:rsidP="00BE7277">
      <w:pPr>
        <w:spacing w:line="276" w:lineRule="auto"/>
        <w:jc w:val="both"/>
        <w:rPr>
          <w:rFonts w:ascii="Arial" w:hAnsi="Arial" w:cs="Arial"/>
        </w:rPr>
      </w:pPr>
      <w:r w:rsidRPr="009052A7">
        <w:rPr>
          <w:rFonts w:ascii="Arial" w:hAnsi="Arial" w:cs="Arial"/>
        </w:rPr>
        <w:t>2.9.3 Differentiation in Customer Experience</w:t>
      </w:r>
    </w:p>
    <w:p w14:paraId="7699A8EB" w14:textId="0C11F753" w:rsidR="00427C1F" w:rsidRPr="009052A7" w:rsidRDefault="00427C1F" w:rsidP="00BE7277">
      <w:pPr>
        <w:spacing w:line="276" w:lineRule="auto"/>
        <w:jc w:val="both"/>
        <w:rPr>
          <w:rFonts w:ascii="Arial" w:hAnsi="Arial" w:cs="Arial"/>
        </w:rPr>
      </w:pPr>
      <w:r w:rsidRPr="009052A7">
        <w:rPr>
          <w:rFonts w:ascii="Arial" w:hAnsi="Arial" w:cs="Arial"/>
        </w:rPr>
        <w:t>In contrast to high-volume advisory firms, Sense Mortgage &amp; Residential adopts a boutique service approach that emphasises personalised attention and transparent communication.</w:t>
      </w:r>
    </w:p>
    <w:p w14:paraId="0AAEC577" w14:textId="0F309AA4" w:rsidR="00427C1F" w:rsidRPr="009052A7" w:rsidRDefault="00427C1F" w:rsidP="00BE7277">
      <w:pPr>
        <w:spacing w:line="276" w:lineRule="auto"/>
        <w:jc w:val="both"/>
        <w:rPr>
          <w:rFonts w:ascii="Arial" w:hAnsi="Arial" w:cs="Arial"/>
        </w:rPr>
      </w:pPr>
      <w:r w:rsidRPr="009052A7">
        <w:rPr>
          <w:rFonts w:ascii="Arial" w:hAnsi="Arial" w:cs="Arial"/>
        </w:rPr>
        <w:t>2.9.4 Scalable Business Model</w:t>
      </w:r>
    </w:p>
    <w:p w14:paraId="6DDA161B" w14:textId="77777777" w:rsidR="00427C1F" w:rsidRPr="009052A7" w:rsidRDefault="00427C1F" w:rsidP="00BE7277">
      <w:pPr>
        <w:spacing w:line="276" w:lineRule="auto"/>
        <w:jc w:val="both"/>
        <w:rPr>
          <w:rFonts w:ascii="Arial" w:hAnsi="Arial" w:cs="Arial"/>
        </w:rPr>
      </w:pPr>
      <w:r w:rsidRPr="009052A7">
        <w:rPr>
          <w:rFonts w:ascii="Arial" w:hAnsi="Arial" w:cs="Arial"/>
        </w:rPr>
        <w:t>The organisational structure allows smooth expansion by onboarding additional advisers, paraplanners, and administrative support as demand grows. The digital-first design ensures scalability without significant fixed costs.</w:t>
      </w:r>
    </w:p>
    <w:p w14:paraId="628F0CA2" w14:textId="77777777" w:rsidR="00427C1F" w:rsidRPr="009052A7" w:rsidRDefault="00427C1F" w:rsidP="00BE7277">
      <w:pPr>
        <w:spacing w:line="276" w:lineRule="auto"/>
        <w:jc w:val="both"/>
        <w:rPr>
          <w:rFonts w:ascii="Arial" w:hAnsi="Arial" w:cs="Arial"/>
        </w:rPr>
      </w:pPr>
    </w:p>
    <w:p w14:paraId="6D6ADA24" w14:textId="6A990810" w:rsidR="00427C1F" w:rsidRPr="009052A7" w:rsidRDefault="00427C1F" w:rsidP="00BE7277">
      <w:pPr>
        <w:spacing w:line="276" w:lineRule="auto"/>
        <w:jc w:val="both"/>
        <w:rPr>
          <w:rFonts w:ascii="Arial" w:hAnsi="Arial" w:cs="Arial"/>
        </w:rPr>
      </w:pPr>
      <w:r w:rsidRPr="009052A7">
        <w:rPr>
          <w:rFonts w:ascii="Arial" w:hAnsi="Arial" w:cs="Arial"/>
        </w:rPr>
        <w:t>2.9.5 Strategic Market Positioning</w:t>
      </w:r>
    </w:p>
    <w:p w14:paraId="373F908A" w14:textId="77777777" w:rsidR="00427C1F" w:rsidRPr="009052A7" w:rsidRDefault="00427C1F" w:rsidP="00BE7277">
      <w:pPr>
        <w:spacing w:line="276" w:lineRule="auto"/>
        <w:jc w:val="both"/>
        <w:rPr>
          <w:rFonts w:ascii="Arial" w:hAnsi="Arial" w:cs="Arial"/>
        </w:rPr>
      </w:pPr>
      <w:r w:rsidRPr="009052A7">
        <w:rPr>
          <w:rFonts w:ascii="Arial" w:hAnsi="Arial" w:cs="Arial"/>
        </w:rPr>
        <w:t>Operating in London and Southeast England—regions with the highest property values and transaction volumes—creates access to a strong and resilient client base (ONS, 2024).</w:t>
      </w:r>
    </w:p>
    <w:p w14:paraId="1C98C28B" w14:textId="77777777" w:rsidR="00427C1F" w:rsidRPr="009052A7" w:rsidRDefault="00427C1F" w:rsidP="00BE7277">
      <w:pPr>
        <w:spacing w:line="276" w:lineRule="auto"/>
        <w:jc w:val="both"/>
        <w:rPr>
          <w:rFonts w:ascii="Arial" w:hAnsi="Arial" w:cs="Arial"/>
        </w:rPr>
      </w:pPr>
    </w:p>
    <w:p w14:paraId="6E65A7A5" w14:textId="51212E93" w:rsidR="00427C1F" w:rsidRPr="009052A7" w:rsidRDefault="00427C1F" w:rsidP="00BE7277">
      <w:pPr>
        <w:spacing w:line="276" w:lineRule="auto"/>
        <w:jc w:val="both"/>
        <w:rPr>
          <w:rFonts w:ascii="Arial" w:hAnsi="Arial" w:cs="Arial"/>
        </w:rPr>
      </w:pPr>
      <w:r w:rsidRPr="009052A7">
        <w:rPr>
          <w:rFonts w:ascii="Arial" w:hAnsi="Arial" w:cs="Arial"/>
        </w:rPr>
        <w:t xml:space="preserve">2.10 </w:t>
      </w:r>
      <w:r w:rsidR="00BE7277" w:rsidRPr="009052A7">
        <w:rPr>
          <w:rFonts w:ascii="Arial" w:hAnsi="Arial" w:cs="Arial"/>
        </w:rPr>
        <w:t>Summary</w:t>
      </w:r>
    </w:p>
    <w:p w14:paraId="5E635FCE" w14:textId="3B15FC0E" w:rsidR="004028AA" w:rsidRDefault="00CB3340" w:rsidP="004028AA">
      <w:pPr>
        <w:spacing w:line="276" w:lineRule="auto"/>
        <w:jc w:val="both"/>
        <w:rPr>
          <w:rFonts w:ascii="Arial" w:hAnsi="Arial" w:cs="Arial"/>
        </w:rPr>
      </w:pPr>
      <w:r w:rsidRPr="00CB3340">
        <w:rPr>
          <w:rFonts w:ascii="Arial" w:hAnsi="Arial" w:cs="Arial"/>
        </w:rPr>
        <w:t xml:space="preserve">Chapter 2 outlined the </w:t>
      </w:r>
      <w:r w:rsidR="00C03BFD">
        <w:rPr>
          <w:rFonts w:ascii="Arial" w:hAnsi="Arial" w:cs="Arial"/>
        </w:rPr>
        <w:t xml:space="preserve">triple bottom line framework for assuring the sustainability </w:t>
      </w:r>
      <w:r w:rsidR="00D12A84">
        <w:rPr>
          <w:rFonts w:ascii="Arial" w:hAnsi="Arial" w:cs="Arial"/>
        </w:rPr>
        <w:t>of Sense</w:t>
      </w:r>
      <w:r w:rsidR="00C03BFD">
        <w:rPr>
          <w:rFonts w:ascii="Arial" w:hAnsi="Arial" w:cs="Arial"/>
        </w:rPr>
        <w:t xml:space="preserve"> </w:t>
      </w:r>
      <w:r w:rsidR="00D12A84">
        <w:rPr>
          <w:rFonts w:ascii="Arial" w:hAnsi="Arial" w:cs="Arial"/>
        </w:rPr>
        <w:t>mortgage and resident</w:t>
      </w:r>
      <w:r w:rsidR="00380273">
        <w:rPr>
          <w:rFonts w:ascii="Arial" w:hAnsi="Arial" w:cs="Arial"/>
        </w:rPr>
        <w:t>ial.</w:t>
      </w:r>
      <w:r w:rsidR="00D12A84">
        <w:rPr>
          <w:rFonts w:ascii="Arial" w:hAnsi="Arial" w:cs="Arial"/>
        </w:rPr>
        <w:t xml:space="preserve"> It mentions the </w:t>
      </w:r>
      <w:r w:rsidRPr="00CB3340">
        <w:rPr>
          <w:rFonts w:ascii="Arial" w:hAnsi="Arial" w:cs="Arial"/>
        </w:rPr>
        <w:t>core identity and structure of Sense Mortgage &amp; Residential, describing its mission, vision, values, and legal foundation. The business is positioned as a transparent and client-focused mortgage advisory firm operating under the FCA’s Appointed Representative model. Its core values</w:t>
      </w:r>
      <w:r w:rsidR="00944238">
        <w:rPr>
          <w:rFonts w:ascii="Arial" w:hAnsi="Arial" w:cs="Arial"/>
        </w:rPr>
        <w:t xml:space="preserve"> </w:t>
      </w:r>
      <w:r w:rsidRPr="00CB3340">
        <w:rPr>
          <w:rFonts w:ascii="Arial" w:hAnsi="Arial" w:cs="Arial"/>
        </w:rPr>
        <w:t>integrity, transparency, compliance excellence, innovation, and professional competence</w:t>
      </w:r>
      <w:r w:rsidR="00944238">
        <w:rPr>
          <w:rFonts w:ascii="Arial" w:hAnsi="Arial" w:cs="Arial"/>
        </w:rPr>
        <w:t xml:space="preserve"> </w:t>
      </w:r>
      <w:r w:rsidRPr="00CB3340">
        <w:rPr>
          <w:rFonts w:ascii="Arial" w:hAnsi="Arial" w:cs="Arial"/>
        </w:rPr>
        <w:t xml:space="preserve">shape its service approach and culture. The chapter also explained the founder’s motivation, highlighting gaps in the market relating </w:t>
      </w:r>
      <w:r w:rsidRPr="00CB3340">
        <w:rPr>
          <w:rFonts w:ascii="Arial" w:hAnsi="Arial" w:cs="Arial"/>
        </w:rPr>
        <w:lastRenderedPageBreak/>
        <w:t xml:space="preserve">to inconsistent service standards and limited digital adoption across traditional brokers. Sense Mortgage &amp; Residential aims to address these gaps through a hybrid digital-human advisory </w:t>
      </w:r>
      <w:r w:rsidR="00380273" w:rsidRPr="00CB3340">
        <w:rPr>
          <w:rFonts w:ascii="Arial" w:hAnsi="Arial" w:cs="Arial"/>
        </w:rPr>
        <w:t>model.</w:t>
      </w:r>
      <w:r w:rsidR="00380273">
        <w:rPr>
          <w:rFonts w:ascii="Arial" w:hAnsi="Arial" w:cs="Arial"/>
        </w:rPr>
        <w:t xml:space="preserve"> </w:t>
      </w:r>
      <w:r w:rsidR="00380273" w:rsidRPr="00CB3340">
        <w:rPr>
          <w:rFonts w:ascii="Arial" w:hAnsi="Arial" w:cs="Arial"/>
        </w:rPr>
        <w:t>Comparison</w:t>
      </w:r>
      <w:r w:rsidRPr="00CB3340">
        <w:rPr>
          <w:rFonts w:ascii="Arial" w:hAnsi="Arial" w:cs="Arial"/>
        </w:rPr>
        <w:t xml:space="preserve"> of FCA networks</w:t>
      </w:r>
      <w:r w:rsidR="00CF7FBF">
        <w:rPr>
          <w:rFonts w:ascii="Arial" w:hAnsi="Arial" w:cs="Arial"/>
        </w:rPr>
        <w:t xml:space="preserve"> </w:t>
      </w:r>
      <w:r w:rsidRPr="00CB3340">
        <w:rPr>
          <w:rFonts w:ascii="Arial" w:hAnsi="Arial" w:cs="Arial"/>
        </w:rPr>
        <w:t>Quilter, Openwork, and City Plus</w:t>
      </w:r>
      <w:r w:rsidR="00CF7FBF">
        <w:rPr>
          <w:rFonts w:ascii="Arial" w:hAnsi="Arial" w:cs="Arial"/>
        </w:rPr>
        <w:t xml:space="preserve"> </w:t>
      </w:r>
      <w:r w:rsidRPr="00CB3340">
        <w:rPr>
          <w:rFonts w:ascii="Arial" w:hAnsi="Arial" w:cs="Arial"/>
        </w:rPr>
        <w:t>demonstrated important differences in compliance strength, support, technology, and stability. Based on this analysis, Openwork was identified as the most suitable network for the business due to its balanced support structure and strong reputation. Overall, the chapter established a clear foundation for the firm’s regulatory alignment, strategic direction, and operational values</w:t>
      </w:r>
      <w:r w:rsidR="00380273">
        <w:rPr>
          <w:rFonts w:ascii="Arial" w:hAnsi="Arial" w:cs="Arial"/>
        </w:rPr>
        <w:t>.</w:t>
      </w:r>
    </w:p>
    <w:p w14:paraId="729C1C27" w14:textId="77777777" w:rsidR="00BE7B81" w:rsidRDefault="00BE7B81" w:rsidP="004028AA">
      <w:pPr>
        <w:spacing w:line="276" w:lineRule="auto"/>
        <w:jc w:val="both"/>
        <w:rPr>
          <w:rFonts w:ascii="Arial" w:hAnsi="Arial" w:cs="Arial"/>
        </w:rPr>
      </w:pPr>
    </w:p>
    <w:p w14:paraId="7793A50A" w14:textId="0B9873B8" w:rsidR="004028AA" w:rsidRPr="004028AA" w:rsidRDefault="004028AA" w:rsidP="004028AA">
      <w:pPr>
        <w:spacing w:line="276" w:lineRule="auto"/>
        <w:jc w:val="both"/>
        <w:rPr>
          <w:rFonts w:ascii="Arial" w:hAnsi="Arial" w:cs="Arial"/>
        </w:rPr>
      </w:pPr>
      <w:r w:rsidRPr="004028AA">
        <w:rPr>
          <w:rFonts w:ascii="Arial" w:hAnsi="Arial" w:cs="Arial"/>
        </w:rPr>
        <w:t>Chapter 3: Market Research</w:t>
      </w:r>
    </w:p>
    <w:p w14:paraId="112E9FC7" w14:textId="6E3565BF" w:rsidR="004028AA" w:rsidRPr="004028AA" w:rsidRDefault="004028AA" w:rsidP="004028AA">
      <w:pPr>
        <w:spacing w:line="276" w:lineRule="auto"/>
        <w:jc w:val="both"/>
        <w:rPr>
          <w:rFonts w:ascii="Arial" w:hAnsi="Arial" w:cs="Arial"/>
        </w:rPr>
      </w:pPr>
      <w:r w:rsidRPr="004028AA">
        <w:rPr>
          <w:rFonts w:ascii="Arial" w:hAnsi="Arial" w:cs="Arial"/>
        </w:rPr>
        <w:t>3.1 Industry Overview</w:t>
      </w:r>
    </w:p>
    <w:p w14:paraId="44B4427A" w14:textId="77777777" w:rsidR="004028AA" w:rsidRPr="004028AA" w:rsidRDefault="004028AA" w:rsidP="004028AA">
      <w:pPr>
        <w:spacing w:line="276" w:lineRule="auto"/>
        <w:jc w:val="both"/>
        <w:rPr>
          <w:rFonts w:ascii="Arial" w:hAnsi="Arial" w:cs="Arial"/>
        </w:rPr>
      </w:pPr>
      <w:r w:rsidRPr="004028AA">
        <w:rPr>
          <w:rFonts w:ascii="Arial" w:hAnsi="Arial" w:cs="Arial"/>
        </w:rPr>
        <w:t>The UK mortgage market is one of the most developed lending environments in Europe, with gross mortgage lending reaching approximately £310 billion in 2024 (UK Finance, 2024). Despite wider economic fluctuations, including inflationary pressures and rising interest rates, demand for mortgage products has remained resilient due to structural housing needs, demographic growth, and ongoing activity among both new entrants and existing homeowners. London and the Southeast of England remain the most active regions in terms of property transactions and lending, driven by higher property values, substantial housing demand, and strong labour market conditions (ONS, 2024).</w:t>
      </w:r>
    </w:p>
    <w:p w14:paraId="52670A1A" w14:textId="77777777" w:rsidR="004028AA" w:rsidRDefault="004028AA" w:rsidP="004028AA">
      <w:pPr>
        <w:spacing w:line="276" w:lineRule="auto"/>
        <w:jc w:val="both"/>
        <w:rPr>
          <w:rFonts w:ascii="Arial" w:hAnsi="Arial" w:cs="Arial"/>
        </w:rPr>
      </w:pPr>
    </w:p>
    <w:p w14:paraId="3072D587" w14:textId="24B8242A" w:rsidR="00FF764E" w:rsidRDefault="00E10D6E" w:rsidP="004028AA">
      <w:pPr>
        <w:spacing w:line="276" w:lineRule="auto"/>
        <w:jc w:val="both"/>
        <w:rPr>
          <w:rFonts w:ascii="Arial" w:hAnsi="Arial" w:cs="Arial"/>
        </w:rPr>
      </w:pPr>
      <w:r>
        <w:rPr>
          <w:rFonts w:ascii="Arial" w:hAnsi="Arial" w:cs="Arial"/>
        </w:rPr>
        <w:t xml:space="preserve">Following </w:t>
      </w:r>
      <w:r w:rsidR="00BC11EB">
        <w:rPr>
          <w:rFonts w:ascii="Arial" w:hAnsi="Arial" w:cs="Arial"/>
        </w:rPr>
        <w:t xml:space="preserve">chart shows the demand of </w:t>
      </w:r>
      <w:r w:rsidR="002B0452">
        <w:rPr>
          <w:rFonts w:ascii="Arial" w:hAnsi="Arial" w:cs="Arial"/>
        </w:rPr>
        <w:t xml:space="preserve">Mortgage industry in recent years: </w:t>
      </w:r>
    </w:p>
    <w:tbl>
      <w:tblPr>
        <w:tblStyle w:val="TableGrid"/>
        <w:tblW w:w="9769" w:type="dxa"/>
        <w:tblLook w:val="04A0" w:firstRow="1" w:lastRow="0" w:firstColumn="1" w:lastColumn="0" w:noHBand="0" w:noVBand="1"/>
      </w:tblPr>
      <w:tblGrid>
        <w:gridCol w:w="9769"/>
      </w:tblGrid>
      <w:tr w:rsidR="002B0452" w14:paraId="74684D63" w14:textId="77777777" w:rsidTr="001804DA">
        <w:trPr>
          <w:trHeight w:val="5269"/>
        </w:trPr>
        <w:tc>
          <w:tcPr>
            <w:tcW w:w="9769" w:type="dxa"/>
          </w:tcPr>
          <w:p w14:paraId="31807540" w14:textId="74243086" w:rsidR="007C27F5" w:rsidRPr="007C27F5" w:rsidRDefault="007C27F5" w:rsidP="00B76E4D">
            <w:pPr>
              <w:spacing w:line="276" w:lineRule="auto"/>
              <w:jc w:val="center"/>
              <w:rPr>
                <w:rFonts w:ascii="Arial" w:hAnsi="Arial" w:cs="Arial"/>
              </w:rPr>
            </w:pPr>
            <w:r w:rsidRPr="007C27F5">
              <w:rPr>
                <w:rFonts w:ascii="Arial" w:hAnsi="Arial" w:cs="Arial"/>
                <w:noProof/>
              </w:rPr>
              <w:drawing>
                <wp:inline distT="0" distB="0" distL="0" distR="0" wp14:anchorId="7636DB1A" wp14:editId="5DAD6374">
                  <wp:extent cx="5269147" cy="3293071"/>
                  <wp:effectExtent l="0" t="0" r="8255" b="3175"/>
                  <wp:docPr id="13131110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12490" cy="3320159"/>
                          </a:xfrm>
                          <a:prstGeom prst="rect">
                            <a:avLst/>
                          </a:prstGeom>
                          <a:noFill/>
                          <a:ln>
                            <a:noFill/>
                          </a:ln>
                        </pic:spPr>
                      </pic:pic>
                    </a:graphicData>
                  </a:graphic>
                </wp:inline>
              </w:drawing>
            </w:r>
          </w:p>
          <w:p w14:paraId="23FB2287" w14:textId="77777777" w:rsidR="002B0452" w:rsidRDefault="002B0452" w:rsidP="004028AA">
            <w:pPr>
              <w:spacing w:line="276" w:lineRule="auto"/>
              <w:jc w:val="both"/>
              <w:rPr>
                <w:rFonts w:ascii="Arial" w:hAnsi="Arial" w:cs="Arial"/>
              </w:rPr>
            </w:pPr>
          </w:p>
        </w:tc>
      </w:tr>
    </w:tbl>
    <w:p w14:paraId="32EC5E11" w14:textId="4D324C93" w:rsidR="002B0452" w:rsidRPr="007C27F5" w:rsidRDefault="002B0452" w:rsidP="004028AA">
      <w:pPr>
        <w:spacing w:line="276" w:lineRule="auto"/>
        <w:jc w:val="both"/>
        <w:rPr>
          <w:rFonts w:ascii="Arial" w:hAnsi="Arial" w:cs="Arial"/>
          <w:i/>
          <w:iCs/>
        </w:rPr>
      </w:pPr>
      <w:r w:rsidRPr="007C27F5">
        <w:rPr>
          <w:rFonts w:ascii="Arial" w:hAnsi="Arial" w:cs="Arial"/>
          <w:i/>
          <w:iCs/>
        </w:rPr>
        <w:t>Source: UK Finance (2024). Mortgage Trends Report.</w:t>
      </w:r>
    </w:p>
    <w:p w14:paraId="55FB61BC" w14:textId="77777777" w:rsidR="004028AA" w:rsidRPr="004028AA" w:rsidRDefault="004028AA" w:rsidP="004028AA">
      <w:pPr>
        <w:spacing w:line="276" w:lineRule="auto"/>
        <w:jc w:val="both"/>
        <w:rPr>
          <w:rFonts w:ascii="Arial" w:hAnsi="Arial" w:cs="Arial"/>
        </w:rPr>
      </w:pPr>
      <w:r w:rsidRPr="004028AA">
        <w:rPr>
          <w:rFonts w:ascii="Arial" w:hAnsi="Arial" w:cs="Arial"/>
        </w:rPr>
        <w:lastRenderedPageBreak/>
        <w:t>Regulatory frameworks, particularly the Mortgage Market Review (MMR), Consumer Duty, and the Senior Managers and Certification Regime (SM&amp;CR), have reshaped the landscape by increasing expectations for affordability assessments, record-keeping, and customer outcomes. Advisory firms are required to demonstrate higher levels of competence, audit readiness, and transparency in communication. This regulatory environment raises the standards for market entry but simultaneously creates opportunities for compliant, technology-enabled firms such as Sense Mortgage &amp; Residential (FCA, 2023).</w:t>
      </w:r>
    </w:p>
    <w:p w14:paraId="27E13E6B" w14:textId="77777777" w:rsidR="004028AA" w:rsidRPr="004028AA" w:rsidRDefault="004028AA" w:rsidP="004028AA">
      <w:pPr>
        <w:spacing w:line="276" w:lineRule="auto"/>
        <w:jc w:val="both"/>
        <w:rPr>
          <w:rFonts w:ascii="Arial" w:hAnsi="Arial" w:cs="Arial"/>
        </w:rPr>
      </w:pPr>
    </w:p>
    <w:p w14:paraId="07244F8A" w14:textId="77777777" w:rsidR="004028AA" w:rsidRPr="004028AA" w:rsidRDefault="004028AA" w:rsidP="004028AA">
      <w:pPr>
        <w:spacing w:line="276" w:lineRule="auto"/>
        <w:jc w:val="both"/>
        <w:rPr>
          <w:rFonts w:ascii="Arial" w:hAnsi="Arial" w:cs="Arial"/>
        </w:rPr>
      </w:pPr>
      <w:r w:rsidRPr="004028AA">
        <w:rPr>
          <w:rFonts w:ascii="Arial" w:hAnsi="Arial" w:cs="Arial"/>
        </w:rPr>
        <w:t>Digital transformation continues to influence both consumer behaviour and operational processes. Lenders and brokers increasingly deploy automated affordability systems, digital ID verification, and online fact-finding tools. Research by PwC (2023) indicates that over 60% of UK borrowers now prefer mortgage advice that blends human expertise with digital engagement. These trends provide a favourable context for firms that integrate technology and personalised advice into their service model.</w:t>
      </w:r>
    </w:p>
    <w:p w14:paraId="170C0B3F" w14:textId="77777777" w:rsidR="004028AA" w:rsidRPr="004028AA" w:rsidRDefault="004028AA" w:rsidP="004028AA">
      <w:pPr>
        <w:spacing w:line="276" w:lineRule="auto"/>
        <w:jc w:val="both"/>
        <w:rPr>
          <w:rFonts w:ascii="Arial" w:hAnsi="Arial" w:cs="Arial"/>
        </w:rPr>
      </w:pPr>
    </w:p>
    <w:p w14:paraId="6D8A3306" w14:textId="3C6EF4B1" w:rsidR="004028AA" w:rsidRPr="004028AA" w:rsidRDefault="004028AA" w:rsidP="004028AA">
      <w:pPr>
        <w:spacing w:line="276" w:lineRule="auto"/>
        <w:jc w:val="both"/>
        <w:rPr>
          <w:rFonts w:ascii="Arial" w:hAnsi="Arial" w:cs="Arial"/>
        </w:rPr>
      </w:pPr>
      <w:r w:rsidRPr="004028AA">
        <w:rPr>
          <w:rFonts w:ascii="Arial" w:hAnsi="Arial" w:cs="Arial"/>
        </w:rPr>
        <w:t>3.2 Market Segmentation, Targeting, and Positioning (STP Framework)</w:t>
      </w:r>
    </w:p>
    <w:p w14:paraId="69D4594D" w14:textId="77777777" w:rsidR="004028AA" w:rsidRPr="004028AA" w:rsidRDefault="004028AA" w:rsidP="004028AA">
      <w:pPr>
        <w:spacing w:line="276" w:lineRule="auto"/>
        <w:jc w:val="both"/>
        <w:rPr>
          <w:rFonts w:ascii="Arial" w:hAnsi="Arial" w:cs="Arial"/>
        </w:rPr>
      </w:pPr>
      <w:r w:rsidRPr="004028AA">
        <w:rPr>
          <w:rFonts w:ascii="Arial" w:hAnsi="Arial" w:cs="Arial"/>
        </w:rPr>
        <w:t>The UK mortgage market comprises diverse customer groups with varying financial circumstances, motivations, and advisory needs. Sense Mortgage &amp; Residential applies the Segmentation, Targeting, and Positioning (STP) framework to define its strategic focus. Market segmentation is based on demographic, behavioural, and financial characteristics. Key segments include first-time buyers, remortgage clients, home movers, buy-to-let investors, and high-net-worth clients. Each segment presents different levels of complexity, product requirements, and expectations for advisory support.</w:t>
      </w:r>
    </w:p>
    <w:p w14:paraId="1272BD03" w14:textId="77777777" w:rsidR="004028AA" w:rsidRDefault="004028AA" w:rsidP="004028AA">
      <w:pPr>
        <w:spacing w:line="276" w:lineRule="auto"/>
        <w:jc w:val="both"/>
        <w:rPr>
          <w:rFonts w:ascii="Arial" w:hAnsi="Arial" w:cs="Arial"/>
        </w:rPr>
      </w:pPr>
    </w:p>
    <w:p w14:paraId="7AF45475" w14:textId="77777777" w:rsidR="00874BA7" w:rsidRDefault="00874BA7" w:rsidP="004028AA">
      <w:pPr>
        <w:spacing w:line="276" w:lineRule="auto"/>
        <w:jc w:val="both"/>
        <w:rPr>
          <w:rFonts w:ascii="Arial" w:hAnsi="Arial" w:cs="Arial"/>
        </w:rPr>
      </w:pPr>
    </w:p>
    <w:p w14:paraId="16F06211" w14:textId="70BC1594" w:rsidR="004028AA" w:rsidRPr="004028AA" w:rsidRDefault="004028AA" w:rsidP="004028AA">
      <w:pPr>
        <w:spacing w:line="276" w:lineRule="auto"/>
        <w:jc w:val="both"/>
        <w:rPr>
          <w:rFonts w:ascii="Arial" w:hAnsi="Arial" w:cs="Arial"/>
        </w:rPr>
      </w:pPr>
      <w:r w:rsidRPr="004028AA">
        <w:rPr>
          <w:rFonts w:ascii="Arial" w:hAnsi="Arial" w:cs="Arial"/>
        </w:rPr>
        <w:t>The distinctions between these groups can be summarised in the table below:</w:t>
      </w:r>
    </w:p>
    <w:tbl>
      <w:tblPr>
        <w:tblStyle w:val="GridTable5Dark-Accent4"/>
        <w:tblpPr w:leftFromText="180" w:rightFromText="180" w:vertAnchor="text" w:horzAnchor="margin" w:tblpXSpec="center" w:tblpY="381"/>
        <w:tblW w:w="10288" w:type="dxa"/>
        <w:tblLook w:val="04A0" w:firstRow="1" w:lastRow="0" w:firstColumn="1" w:lastColumn="0" w:noHBand="0" w:noVBand="1"/>
      </w:tblPr>
      <w:tblGrid>
        <w:gridCol w:w="2122"/>
        <w:gridCol w:w="2976"/>
        <w:gridCol w:w="3402"/>
        <w:gridCol w:w="1788"/>
      </w:tblGrid>
      <w:tr w:rsidR="00E67636" w14:paraId="355EEC6E" w14:textId="77777777" w:rsidTr="00B3364D">
        <w:trPr>
          <w:cnfStyle w:val="100000000000" w:firstRow="1" w:lastRow="0" w:firstColumn="0" w:lastColumn="0" w:oddVBand="0" w:evenVBand="0" w:oddHBand="0"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2122" w:type="dxa"/>
            <w:tcBorders>
              <w:top w:val="single" w:sz="4" w:space="0" w:color="auto"/>
              <w:left w:val="single" w:sz="4" w:space="0" w:color="auto"/>
            </w:tcBorders>
          </w:tcPr>
          <w:p w14:paraId="5AF1E381" w14:textId="77777777" w:rsidR="00C615C6" w:rsidRDefault="00C615C6" w:rsidP="00C615C6">
            <w:pPr>
              <w:spacing w:line="276" w:lineRule="auto"/>
              <w:jc w:val="both"/>
              <w:rPr>
                <w:rFonts w:ascii="Arial" w:hAnsi="Arial" w:cs="Arial"/>
              </w:rPr>
            </w:pPr>
            <w:r w:rsidRPr="004028AA">
              <w:rPr>
                <w:rFonts w:ascii="Arial" w:hAnsi="Arial" w:cs="Arial"/>
              </w:rPr>
              <w:t>Segment</w:t>
            </w:r>
          </w:p>
        </w:tc>
        <w:tc>
          <w:tcPr>
            <w:tcW w:w="2976" w:type="dxa"/>
            <w:tcBorders>
              <w:top w:val="single" w:sz="4" w:space="0" w:color="auto"/>
            </w:tcBorders>
          </w:tcPr>
          <w:p w14:paraId="0CB1B90A" w14:textId="77777777" w:rsidR="00C615C6" w:rsidRDefault="00C615C6" w:rsidP="00C615C6">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4028AA">
              <w:rPr>
                <w:rFonts w:ascii="Arial" w:hAnsi="Arial" w:cs="Arial"/>
              </w:rPr>
              <w:t>Characteristics</w:t>
            </w:r>
          </w:p>
        </w:tc>
        <w:tc>
          <w:tcPr>
            <w:tcW w:w="3402" w:type="dxa"/>
            <w:tcBorders>
              <w:top w:val="single" w:sz="4" w:space="0" w:color="auto"/>
            </w:tcBorders>
          </w:tcPr>
          <w:p w14:paraId="19145AB3" w14:textId="77777777" w:rsidR="00C615C6" w:rsidRDefault="00C615C6" w:rsidP="00C615C6">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4028AA">
              <w:rPr>
                <w:rFonts w:ascii="Arial" w:hAnsi="Arial" w:cs="Arial"/>
              </w:rPr>
              <w:t>Needs</w:t>
            </w:r>
          </w:p>
        </w:tc>
        <w:tc>
          <w:tcPr>
            <w:tcW w:w="1788" w:type="dxa"/>
            <w:tcBorders>
              <w:top w:val="single" w:sz="4" w:space="0" w:color="auto"/>
              <w:right w:val="single" w:sz="4" w:space="0" w:color="auto"/>
            </w:tcBorders>
          </w:tcPr>
          <w:p w14:paraId="3CE842FE" w14:textId="77777777" w:rsidR="00C615C6" w:rsidRDefault="00C615C6" w:rsidP="00C615C6">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4028AA">
              <w:rPr>
                <w:rFonts w:ascii="Arial" w:hAnsi="Arial" w:cs="Arial"/>
              </w:rPr>
              <w:t>Opportunity Level</w:t>
            </w:r>
          </w:p>
        </w:tc>
      </w:tr>
      <w:tr w:rsidR="00E67636" w14:paraId="42C77278" w14:textId="77777777" w:rsidTr="00B3364D">
        <w:trPr>
          <w:cnfStyle w:val="000000100000" w:firstRow="0" w:lastRow="0" w:firstColumn="0" w:lastColumn="0" w:oddVBand="0" w:evenVBand="0" w:oddHBand="1" w:evenHBand="0" w:firstRowFirstColumn="0" w:firstRowLastColumn="0" w:lastRowFirstColumn="0" w:lastRowLastColumn="0"/>
          <w:trHeight w:val="851"/>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auto"/>
            </w:tcBorders>
          </w:tcPr>
          <w:p w14:paraId="15A10FDB" w14:textId="77777777" w:rsidR="00C615C6" w:rsidRDefault="00C615C6" w:rsidP="00C615C6">
            <w:pPr>
              <w:spacing w:line="276" w:lineRule="auto"/>
              <w:jc w:val="both"/>
              <w:rPr>
                <w:rFonts w:ascii="Arial" w:hAnsi="Arial" w:cs="Arial"/>
              </w:rPr>
            </w:pPr>
            <w:r w:rsidRPr="004028AA">
              <w:rPr>
                <w:rFonts w:ascii="Arial" w:hAnsi="Arial" w:cs="Arial"/>
              </w:rPr>
              <w:t>First-Time Buyers</w:t>
            </w:r>
          </w:p>
        </w:tc>
        <w:tc>
          <w:tcPr>
            <w:tcW w:w="2976" w:type="dxa"/>
          </w:tcPr>
          <w:p w14:paraId="5EE9FA81" w14:textId="1DC8B989" w:rsidR="00C615C6" w:rsidRDefault="00C615C6" w:rsidP="00C615C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Early-stage</w:t>
            </w:r>
            <w:r>
              <w:rPr>
                <w:rFonts w:ascii="Arial" w:hAnsi="Arial" w:cs="Arial"/>
              </w:rPr>
              <w:t xml:space="preserve"> </w:t>
            </w:r>
            <w:r w:rsidRPr="00FA0DCB">
              <w:rPr>
                <w:rFonts w:ascii="Arial" w:hAnsi="Arial" w:cs="Arial"/>
              </w:rPr>
              <w:t>buyers with</w:t>
            </w:r>
            <w:r>
              <w:rPr>
                <w:rFonts w:ascii="Arial" w:hAnsi="Arial" w:cs="Arial"/>
              </w:rPr>
              <w:t xml:space="preserve"> </w:t>
            </w:r>
            <w:r w:rsidRPr="00FA0DCB">
              <w:rPr>
                <w:rFonts w:ascii="Arial" w:hAnsi="Arial" w:cs="Arial"/>
              </w:rPr>
              <w:t>limited experience</w:t>
            </w:r>
          </w:p>
        </w:tc>
        <w:tc>
          <w:tcPr>
            <w:tcW w:w="3402" w:type="dxa"/>
          </w:tcPr>
          <w:p w14:paraId="513C1EAC" w14:textId="43B5EF03" w:rsidR="00C615C6" w:rsidRDefault="00E67636" w:rsidP="00C615C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Guidance, affordability assessment, education</w:t>
            </w:r>
          </w:p>
        </w:tc>
        <w:tc>
          <w:tcPr>
            <w:tcW w:w="1788" w:type="dxa"/>
            <w:tcBorders>
              <w:right w:val="single" w:sz="4" w:space="0" w:color="auto"/>
            </w:tcBorders>
          </w:tcPr>
          <w:p w14:paraId="69AC0E02" w14:textId="77777777" w:rsidR="00C32EF6" w:rsidRPr="00FA0DCB" w:rsidRDefault="00C32EF6" w:rsidP="00C32EF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High</w:t>
            </w:r>
          </w:p>
          <w:p w14:paraId="0A719756" w14:textId="77777777" w:rsidR="00C615C6" w:rsidRDefault="00C615C6" w:rsidP="00C615C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E67636" w14:paraId="6CD86373" w14:textId="77777777" w:rsidTr="00B3364D">
        <w:trPr>
          <w:trHeight w:val="818"/>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auto"/>
            </w:tcBorders>
          </w:tcPr>
          <w:p w14:paraId="787F3038" w14:textId="77777777" w:rsidR="00C615C6" w:rsidRDefault="00C615C6" w:rsidP="00C615C6">
            <w:pPr>
              <w:spacing w:line="276" w:lineRule="auto"/>
              <w:jc w:val="both"/>
              <w:rPr>
                <w:rFonts w:ascii="Arial" w:hAnsi="Arial" w:cs="Arial"/>
              </w:rPr>
            </w:pPr>
            <w:r w:rsidRPr="004028AA">
              <w:rPr>
                <w:rFonts w:ascii="Arial" w:hAnsi="Arial" w:cs="Arial"/>
              </w:rPr>
              <w:t>Remortgage Customers</w:t>
            </w:r>
          </w:p>
        </w:tc>
        <w:tc>
          <w:tcPr>
            <w:tcW w:w="2976" w:type="dxa"/>
          </w:tcPr>
          <w:p w14:paraId="4269D140" w14:textId="79ECF714" w:rsidR="00C615C6" w:rsidRDefault="00C32EF6" w:rsidP="00C615C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A0DCB">
              <w:rPr>
                <w:rFonts w:ascii="Arial" w:hAnsi="Arial" w:cs="Arial"/>
              </w:rPr>
              <w:t>Existing homeowners seeking better rates</w:t>
            </w:r>
          </w:p>
        </w:tc>
        <w:tc>
          <w:tcPr>
            <w:tcW w:w="3402" w:type="dxa"/>
          </w:tcPr>
          <w:p w14:paraId="708D564B" w14:textId="14C4E63F" w:rsidR="00C615C6" w:rsidRDefault="004E3E53" w:rsidP="00C615C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A0DCB">
              <w:rPr>
                <w:rFonts w:ascii="Arial" w:hAnsi="Arial" w:cs="Arial"/>
              </w:rPr>
              <w:t>Competitive</w:t>
            </w:r>
            <w:r w:rsidR="00E155DC">
              <w:rPr>
                <w:rFonts w:ascii="Arial" w:hAnsi="Arial" w:cs="Arial"/>
              </w:rPr>
              <w:t xml:space="preserve"> </w:t>
            </w:r>
            <w:r w:rsidRPr="00FA0DCB">
              <w:rPr>
                <w:rFonts w:ascii="Arial" w:hAnsi="Arial" w:cs="Arial"/>
              </w:rPr>
              <w:t>comparisons, efficient processing</w:t>
            </w:r>
          </w:p>
        </w:tc>
        <w:tc>
          <w:tcPr>
            <w:tcW w:w="1788" w:type="dxa"/>
            <w:tcBorders>
              <w:right w:val="single" w:sz="4" w:space="0" w:color="auto"/>
            </w:tcBorders>
          </w:tcPr>
          <w:p w14:paraId="79347779" w14:textId="052D385B" w:rsidR="00C615C6" w:rsidRDefault="004E3E53" w:rsidP="00C615C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A0DCB">
              <w:rPr>
                <w:rFonts w:ascii="Arial" w:hAnsi="Arial" w:cs="Arial"/>
              </w:rPr>
              <w:t>High</w:t>
            </w:r>
          </w:p>
        </w:tc>
      </w:tr>
      <w:tr w:rsidR="00E67636" w14:paraId="0C6D6BAE" w14:textId="77777777" w:rsidTr="00B3364D">
        <w:trPr>
          <w:cnfStyle w:val="000000100000" w:firstRow="0" w:lastRow="0" w:firstColumn="0" w:lastColumn="0" w:oddVBand="0" w:evenVBand="0" w:oddHBand="1" w:evenHBand="0" w:firstRowFirstColumn="0" w:firstRowLastColumn="0" w:lastRowFirstColumn="0" w:lastRowLastColumn="0"/>
          <w:trHeight w:val="818"/>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auto"/>
            </w:tcBorders>
          </w:tcPr>
          <w:p w14:paraId="446C34C7" w14:textId="77777777" w:rsidR="00C615C6" w:rsidRDefault="00C615C6" w:rsidP="00C615C6">
            <w:pPr>
              <w:spacing w:line="276" w:lineRule="auto"/>
              <w:jc w:val="both"/>
              <w:rPr>
                <w:rFonts w:ascii="Arial" w:hAnsi="Arial" w:cs="Arial"/>
              </w:rPr>
            </w:pPr>
            <w:r w:rsidRPr="004028AA">
              <w:rPr>
                <w:rFonts w:ascii="Arial" w:hAnsi="Arial" w:cs="Arial"/>
              </w:rPr>
              <w:t>Home Movers</w:t>
            </w:r>
          </w:p>
        </w:tc>
        <w:tc>
          <w:tcPr>
            <w:tcW w:w="2976" w:type="dxa"/>
          </w:tcPr>
          <w:p w14:paraId="063195D5" w14:textId="23DB7A34" w:rsidR="00C615C6" w:rsidRDefault="00E155DC" w:rsidP="00C615C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Individuals and families relocating</w:t>
            </w:r>
          </w:p>
        </w:tc>
        <w:tc>
          <w:tcPr>
            <w:tcW w:w="3402" w:type="dxa"/>
          </w:tcPr>
          <w:p w14:paraId="374DB032" w14:textId="014A08D0" w:rsidR="00C615C6" w:rsidRDefault="00E155DC" w:rsidP="00C615C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Timelines, chain coordination, flexibility</w:t>
            </w:r>
          </w:p>
        </w:tc>
        <w:tc>
          <w:tcPr>
            <w:tcW w:w="1788" w:type="dxa"/>
            <w:tcBorders>
              <w:right w:val="single" w:sz="4" w:space="0" w:color="auto"/>
            </w:tcBorders>
          </w:tcPr>
          <w:p w14:paraId="3A6D4143" w14:textId="5F92B3E2" w:rsidR="00C615C6" w:rsidRDefault="00E155DC" w:rsidP="00C615C6">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Medium</w:t>
            </w:r>
          </w:p>
        </w:tc>
      </w:tr>
      <w:tr w:rsidR="00E67636" w14:paraId="1A395272" w14:textId="77777777" w:rsidTr="00B3364D">
        <w:trPr>
          <w:trHeight w:val="818"/>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auto"/>
            </w:tcBorders>
          </w:tcPr>
          <w:p w14:paraId="5CC8987F" w14:textId="77777777" w:rsidR="00C615C6" w:rsidRDefault="00C615C6" w:rsidP="00C615C6">
            <w:pPr>
              <w:spacing w:line="276" w:lineRule="auto"/>
              <w:jc w:val="both"/>
              <w:rPr>
                <w:rFonts w:ascii="Arial" w:hAnsi="Arial" w:cs="Arial"/>
              </w:rPr>
            </w:pPr>
            <w:r w:rsidRPr="004028AA">
              <w:rPr>
                <w:rFonts w:ascii="Arial" w:hAnsi="Arial" w:cs="Arial"/>
              </w:rPr>
              <w:lastRenderedPageBreak/>
              <w:t>Buy-to-Let Investors</w:t>
            </w:r>
          </w:p>
        </w:tc>
        <w:tc>
          <w:tcPr>
            <w:tcW w:w="2976" w:type="dxa"/>
          </w:tcPr>
          <w:p w14:paraId="168F3960" w14:textId="755E3FB3" w:rsidR="00C615C6" w:rsidRDefault="00B5720E" w:rsidP="00C615C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A0DCB">
              <w:rPr>
                <w:rFonts w:ascii="Arial" w:hAnsi="Arial" w:cs="Arial"/>
              </w:rPr>
              <w:t>Portfolio or individual landlords</w:t>
            </w:r>
          </w:p>
        </w:tc>
        <w:tc>
          <w:tcPr>
            <w:tcW w:w="3402" w:type="dxa"/>
          </w:tcPr>
          <w:p w14:paraId="0F98C74F" w14:textId="093F2F73" w:rsidR="00C615C6" w:rsidRDefault="00B5720E" w:rsidP="00C615C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A0DCB">
              <w:rPr>
                <w:rFonts w:ascii="Arial" w:hAnsi="Arial" w:cs="Arial"/>
              </w:rPr>
              <w:t>Tax considerations, portfolio structuring</w:t>
            </w:r>
          </w:p>
        </w:tc>
        <w:tc>
          <w:tcPr>
            <w:tcW w:w="1788" w:type="dxa"/>
            <w:tcBorders>
              <w:right w:val="single" w:sz="4" w:space="0" w:color="auto"/>
            </w:tcBorders>
          </w:tcPr>
          <w:p w14:paraId="7322D459" w14:textId="6D94D079" w:rsidR="00C615C6" w:rsidRDefault="00B5720E" w:rsidP="00C615C6">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FA0DCB">
              <w:rPr>
                <w:rFonts w:ascii="Arial" w:hAnsi="Arial" w:cs="Arial"/>
              </w:rPr>
              <w:t>High</w:t>
            </w:r>
          </w:p>
        </w:tc>
      </w:tr>
      <w:tr w:rsidR="00101FE0" w14:paraId="108EDF2F" w14:textId="77777777" w:rsidTr="00B3364D">
        <w:trPr>
          <w:cnfStyle w:val="000000100000" w:firstRow="0" w:lastRow="0" w:firstColumn="0" w:lastColumn="0" w:oddVBand="0" w:evenVBand="0" w:oddHBand="1" w:evenHBand="0" w:firstRowFirstColumn="0" w:firstRowLastColumn="0" w:lastRowFirstColumn="0" w:lastRowLastColumn="0"/>
          <w:trHeight w:val="851"/>
        </w:trPr>
        <w:tc>
          <w:tcPr>
            <w:cnfStyle w:val="001000000000" w:firstRow="0" w:lastRow="0" w:firstColumn="1" w:lastColumn="0" w:oddVBand="0" w:evenVBand="0" w:oddHBand="0" w:evenHBand="0" w:firstRowFirstColumn="0" w:firstRowLastColumn="0" w:lastRowFirstColumn="0" w:lastRowLastColumn="0"/>
            <w:tcW w:w="2122" w:type="dxa"/>
            <w:tcBorders>
              <w:left w:val="single" w:sz="4" w:space="0" w:color="auto"/>
              <w:bottom w:val="single" w:sz="4" w:space="0" w:color="auto"/>
            </w:tcBorders>
          </w:tcPr>
          <w:p w14:paraId="241C997C" w14:textId="77777777" w:rsidR="00101FE0" w:rsidRDefault="00101FE0" w:rsidP="00101FE0">
            <w:pPr>
              <w:spacing w:line="276" w:lineRule="auto"/>
              <w:jc w:val="both"/>
              <w:rPr>
                <w:rFonts w:ascii="Arial" w:hAnsi="Arial" w:cs="Arial"/>
              </w:rPr>
            </w:pPr>
            <w:r w:rsidRPr="004028AA">
              <w:rPr>
                <w:rFonts w:ascii="Arial" w:hAnsi="Arial" w:cs="Arial"/>
              </w:rPr>
              <w:t>High-Net-Worth Clients</w:t>
            </w:r>
          </w:p>
        </w:tc>
        <w:tc>
          <w:tcPr>
            <w:tcW w:w="2976" w:type="dxa"/>
            <w:tcBorders>
              <w:bottom w:val="single" w:sz="4" w:space="0" w:color="auto"/>
            </w:tcBorders>
          </w:tcPr>
          <w:p w14:paraId="7838FB1E" w14:textId="599DA3DD" w:rsidR="00101FE0" w:rsidRDefault="00101FE0" w:rsidP="00101FE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Multiple income streams, complex finances</w:t>
            </w:r>
          </w:p>
        </w:tc>
        <w:tc>
          <w:tcPr>
            <w:tcW w:w="3402" w:type="dxa"/>
            <w:tcBorders>
              <w:bottom w:val="single" w:sz="4" w:space="0" w:color="auto"/>
            </w:tcBorders>
          </w:tcPr>
          <w:p w14:paraId="3D069C45" w14:textId="1D17EEE0" w:rsidR="00101FE0" w:rsidRDefault="00101FE0" w:rsidP="00101FE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Bespoke lending solutions</w:t>
            </w:r>
          </w:p>
        </w:tc>
        <w:tc>
          <w:tcPr>
            <w:tcW w:w="1788" w:type="dxa"/>
            <w:tcBorders>
              <w:bottom w:val="single" w:sz="4" w:space="0" w:color="auto"/>
              <w:right w:val="single" w:sz="4" w:space="0" w:color="auto"/>
            </w:tcBorders>
          </w:tcPr>
          <w:p w14:paraId="41A5CBF9" w14:textId="4C6CD732" w:rsidR="00101FE0" w:rsidRDefault="00101FE0" w:rsidP="00101FE0">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FA0DCB">
              <w:rPr>
                <w:rFonts w:ascii="Arial" w:hAnsi="Arial" w:cs="Arial"/>
              </w:rPr>
              <w:t>Medium</w:t>
            </w:r>
          </w:p>
        </w:tc>
      </w:tr>
    </w:tbl>
    <w:p w14:paraId="52D233FA" w14:textId="77777777" w:rsidR="00D236F2" w:rsidRDefault="00C615C6" w:rsidP="00D236F2">
      <w:pPr>
        <w:spacing w:line="276" w:lineRule="auto"/>
        <w:jc w:val="both"/>
        <w:rPr>
          <w:rFonts w:ascii="Arial" w:hAnsi="Arial" w:cs="Arial"/>
        </w:rPr>
      </w:pPr>
      <w:r w:rsidRPr="004028AA">
        <w:rPr>
          <w:rFonts w:ascii="Arial" w:hAnsi="Arial" w:cs="Arial"/>
        </w:rPr>
        <w:t xml:space="preserve"> </w:t>
      </w:r>
      <w:r w:rsidR="004028AA" w:rsidRPr="004028AA">
        <w:rPr>
          <w:rFonts w:ascii="Arial" w:hAnsi="Arial" w:cs="Arial"/>
        </w:rPr>
        <w:t xml:space="preserve">Table </w:t>
      </w:r>
      <w:r w:rsidR="001C502D">
        <w:rPr>
          <w:rFonts w:ascii="Arial" w:hAnsi="Arial" w:cs="Arial"/>
        </w:rPr>
        <w:t>3</w:t>
      </w:r>
      <w:r w:rsidR="004028AA" w:rsidRPr="004028AA">
        <w:rPr>
          <w:rFonts w:ascii="Arial" w:hAnsi="Arial" w:cs="Arial"/>
        </w:rPr>
        <w:t>: Target Market Segmentation Overview</w:t>
      </w:r>
    </w:p>
    <w:p w14:paraId="7A721DF9" w14:textId="3722F307" w:rsidR="00D236F2" w:rsidRPr="00D236F2" w:rsidRDefault="00D236F2" w:rsidP="00D236F2">
      <w:pPr>
        <w:spacing w:line="276" w:lineRule="auto"/>
        <w:jc w:val="both"/>
        <w:rPr>
          <w:rFonts w:ascii="Arial" w:hAnsi="Arial" w:cs="Arial"/>
        </w:rPr>
      </w:pPr>
      <w:r w:rsidRPr="00D236F2">
        <w:rPr>
          <w:rFonts w:ascii="Arial" w:hAnsi="Arial" w:cs="Arial"/>
          <w:i/>
          <w:iCs/>
        </w:rPr>
        <w:t>Source: Author Illustration (2025)</w:t>
      </w:r>
    </w:p>
    <w:p w14:paraId="552650B2" w14:textId="583FA8CA" w:rsidR="004028AA" w:rsidRPr="004028AA" w:rsidRDefault="00FA0DCB" w:rsidP="00FA0DCB">
      <w:pPr>
        <w:spacing w:line="276" w:lineRule="auto"/>
        <w:jc w:val="both"/>
        <w:rPr>
          <w:rFonts w:ascii="Arial" w:hAnsi="Arial" w:cs="Arial"/>
        </w:rPr>
      </w:pPr>
      <w:r w:rsidRPr="00FA0DCB">
        <w:rPr>
          <w:rFonts w:ascii="Arial" w:hAnsi="Arial" w:cs="Arial"/>
        </w:rPr>
        <w:tab/>
      </w:r>
      <w:r w:rsidRPr="00FA0DCB">
        <w:rPr>
          <w:rFonts w:ascii="Arial" w:hAnsi="Arial" w:cs="Arial"/>
        </w:rPr>
        <w:tab/>
      </w:r>
      <w:r w:rsidRPr="00FA0DCB">
        <w:rPr>
          <w:rFonts w:ascii="Arial" w:hAnsi="Arial" w:cs="Arial"/>
        </w:rPr>
        <w:tab/>
      </w:r>
      <w:r w:rsidRPr="00FA0DCB">
        <w:rPr>
          <w:rFonts w:ascii="Arial" w:hAnsi="Arial" w:cs="Arial"/>
        </w:rPr>
        <w:tab/>
      </w:r>
      <w:r w:rsidRPr="00FA0DCB">
        <w:rPr>
          <w:rFonts w:ascii="Arial" w:hAnsi="Arial" w:cs="Arial"/>
        </w:rPr>
        <w:tab/>
      </w:r>
      <w:r w:rsidRPr="00FA0DCB">
        <w:rPr>
          <w:rFonts w:ascii="Arial" w:hAnsi="Arial" w:cs="Arial"/>
        </w:rPr>
        <w:tab/>
      </w:r>
    </w:p>
    <w:p w14:paraId="42593BAA" w14:textId="3C321CD0" w:rsidR="00874BA7" w:rsidRDefault="004028AA" w:rsidP="004028AA">
      <w:pPr>
        <w:spacing w:line="276" w:lineRule="auto"/>
        <w:jc w:val="both"/>
        <w:rPr>
          <w:rFonts w:ascii="Arial" w:hAnsi="Arial" w:cs="Arial"/>
        </w:rPr>
      </w:pPr>
      <w:r w:rsidRPr="004028AA">
        <w:rPr>
          <w:rFonts w:ascii="Arial" w:hAnsi="Arial" w:cs="Arial"/>
        </w:rPr>
        <w:t>Based on demand potential and alignment with the firm’s strengths, the primary target segments are first-time buyers, remortgage customers, and buy-to-let investors. These groups require extensive advisory support, particularly due to complex affordability criteria, changing interest rate environments, and differing lending policies across financial institutions (Moneyfacts, 2024).</w:t>
      </w:r>
    </w:p>
    <w:p w14:paraId="24E0C630" w14:textId="77777777" w:rsidR="00874BA7" w:rsidRDefault="00874BA7" w:rsidP="004028AA">
      <w:pPr>
        <w:spacing w:line="276" w:lineRule="auto"/>
        <w:jc w:val="both"/>
        <w:rPr>
          <w:rFonts w:ascii="Arial" w:hAnsi="Arial" w:cs="Arial"/>
        </w:rPr>
      </w:pPr>
    </w:p>
    <w:p w14:paraId="7ED133DF" w14:textId="7452BB1A" w:rsidR="00E37D17" w:rsidRDefault="001E107B" w:rsidP="004028AA">
      <w:pPr>
        <w:spacing w:line="276" w:lineRule="auto"/>
        <w:jc w:val="both"/>
        <w:rPr>
          <w:rFonts w:ascii="Arial" w:hAnsi="Arial" w:cs="Arial"/>
        </w:rPr>
      </w:pPr>
      <w:r>
        <w:rPr>
          <w:rFonts w:ascii="Arial" w:hAnsi="Arial" w:cs="Arial"/>
        </w:rPr>
        <w:t xml:space="preserve">Following chart shows more details about Market Segmentation: </w:t>
      </w:r>
    </w:p>
    <w:tbl>
      <w:tblPr>
        <w:tblStyle w:val="TableGrid"/>
        <w:tblW w:w="9863" w:type="dxa"/>
        <w:tblLook w:val="04A0" w:firstRow="1" w:lastRow="0" w:firstColumn="1" w:lastColumn="0" w:noHBand="0" w:noVBand="1"/>
      </w:tblPr>
      <w:tblGrid>
        <w:gridCol w:w="9863"/>
      </w:tblGrid>
      <w:tr w:rsidR="00A526F2" w14:paraId="4B25CEEE" w14:textId="77777777" w:rsidTr="001804DA">
        <w:trPr>
          <w:trHeight w:val="5786"/>
        </w:trPr>
        <w:tc>
          <w:tcPr>
            <w:tcW w:w="9863" w:type="dxa"/>
          </w:tcPr>
          <w:p w14:paraId="40AE5960" w14:textId="560CA3FC" w:rsidR="00A526F2" w:rsidRPr="00A526F2" w:rsidRDefault="00A526F2" w:rsidP="001804DA">
            <w:pPr>
              <w:spacing w:line="276" w:lineRule="auto"/>
              <w:jc w:val="center"/>
              <w:rPr>
                <w:rFonts w:ascii="Arial" w:hAnsi="Arial" w:cs="Arial"/>
              </w:rPr>
            </w:pPr>
            <w:r w:rsidRPr="00A526F2">
              <w:rPr>
                <w:rFonts w:ascii="Arial" w:hAnsi="Arial" w:cs="Arial"/>
                <w:noProof/>
              </w:rPr>
              <w:drawing>
                <wp:inline distT="0" distB="0" distL="0" distR="0" wp14:anchorId="50CC1780" wp14:editId="0F682845">
                  <wp:extent cx="5288983" cy="3896882"/>
                  <wp:effectExtent l="0" t="0" r="6985" b="8890"/>
                  <wp:docPr id="8374440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81747" cy="3965230"/>
                          </a:xfrm>
                          <a:prstGeom prst="rect">
                            <a:avLst/>
                          </a:prstGeom>
                          <a:noFill/>
                          <a:ln>
                            <a:noFill/>
                          </a:ln>
                        </pic:spPr>
                      </pic:pic>
                    </a:graphicData>
                  </a:graphic>
                </wp:inline>
              </w:drawing>
            </w:r>
          </w:p>
          <w:p w14:paraId="45BEFE12" w14:textId="77777777" w:rsidR="00A526F2" w:rsidRDefault="00A526F2" w:rsidP="005D228C">
            <w:pPr>
              <w:spacing w:line="276" w:lineRule="auto"/>
              <w:jc w:val="both"/>
              <w:rPr>
                <w:rFonts w:ascii="Arial" w:hAnsi="Arial" w:cs="Arial"/>
              </w:rPr>
            </w:pPr>
          </w:p>
        </w:tc>
      </w:tr>
    </w:tbl>
    <w:p w14:paraId="2B259D4B" w14:textId="0B941F5E" w:rsidR="004028AA" w:rsidRDefault="000F37CC" w:rsidP="004028AA">
      <w:pPr>
        <w:spacing w:line="276" w:lineRule="auto"/>
        <w:jc w:val="both"/>
        <w:rPr>
          <w:rFonts w:ascii="Arial" w:hAnsi="Arial" w:cs="Arial"/>
          <w:i/>
          <w:iCs/>
        </w:rPr>
      </w:pPr>
      <w:r w:rsidRPr="000F37CC">
        <w:rPr>
          <w:rFonts w:ascii="Arial" w:hAnsi="Arial" w:cs="Arial"/>
          <w:i/>
          <w:iCs/>
        </w:rPr>
        <w:t>Source: ONS (2024) UK Housing Market Release; Moneyfacts (2024) Mortgage Trends.</w:t>
      </w:r>
    </w:p>
    <w:p w14:paraId="019776C7" w14:textId="77777777" w:rsidR="000F37CC" w:rsidRPr="004028AA" w:rsidRDefault="000F37CC" w:rsidP="004028AA">
      <w:pPr>
        <w:spacing w:line="276" w:lineRule="auto"/>
        <w:jc w:val="both"/>
        <w:rPr>
          <w:rFonts w:ascii="Arial" w:hAnsi="Arial" w:cs="Arial"/>
        </w:rPr>
      </w:pPr>
    </w:p>
    <w:p w14:paraId="4E837F79" w14:textId="7EBDFB4F" w:rsidR="004028AA" w:rsidRPr="004028AA" w:rsidRDefault="004028AA" w:rsidP="004028AA">
      <w:pPr>
        <w:spacing w:line="276" w:lineRule="auto"/>
        <w:jc w:val="both"/>
        <w:rPr>
          <w:rFonts w:ascii="Arial" w:hAnsi="Arial" w:cs="Arial"/>
        </w:rPr>
      </w:pPr>
      <w:r w:rsidRPr="004028AA">
        <w:rPr>
          <w:rFonts w:ascii="Arial" w:hAnsi="Arial" w:cs="Arial"/>
        </w:rPr>
        <w:t xml:space="preserve">The firm positions itself as a transparent, client-focused, and digitally supported advisory service. This positioning differentiates Sense Mortgage &amp; Residential from comparison </w:t>
      </w:r>
      <w:r w:rsidRPr="004028AA">
        <w:rPr>
          <w:rFonts w:ascii="Arial" w:hAnsi="Arial" w:cs="Arial"/>
        </w:rPr>
        <w:lastRenderedPageBreak/>
        <w:t>websites, which lack tailored advice, and from high-volume brokerage firms, which often prioritise speed over personalised guidance. The firm’s emphasis on compliance, accuracy, and digital communication reinforces its competitive positioning within these segments.</w:t>
      </w:r>
    </w:p>
    <w:p w14:paraId="2618EDE8" w14:textId="77777777" w:rsidR="00DB4D5B" w:rsidRDefault="00DB4D5B" w:rsidP="004028AA">
      <w:pPr>
        <w:spacing w:line="276" w:lineRule="auto"/>
        <w:jc w:val="both"/>
        <w:rPr>
          <w:rFonts w:ascii="Arial" w:hAnsi="Arial" w:cs="Arial"/>
        </w:rPr>
      </w:pPr>
    </w:p>
    <w:p w14:paraId="2CFE98BC" w14:textId="77777777" w:rsidR="00DB4D5B" w:rsidRDefault="00DB4D5B" w:rsidP="004028AA">
      <w:pPr>
        <w:spacing w:line="276" w:lineRule="auto"/>
        <w:jc w:val="both"/>
        <w:rPr>
          <w:rFonts w:ascii="Arial" w:hAnsi="Arial" w:cs="Arial"/>
        </w:rPr>
      </w:pPr>
    </w:p>
    <w:p w14:paraId="0C84A932" w14:textId="256BA0A5" w:rsidR="004028AA" w:rsidRPr="004028AA" w:rsidRDefault="004028AA" w:rsidP="004028AA">
      <w:pPr>
        <w:spacing w:line="276" w:lineRule="auto"/>
        <w:jc w:val="both"/>
        <w:rPr>
          <w:rFonts w:ascii="Arial" w:hAnsi="Arial" w:cs="Arial"/>
        </w:rPr>
      </w:pPr>
      <w:r w:rsidRPr="004028AA">
        <w:rPr>
          <w:rFonts w:ascii="Arial" w:hAnsi="Arial" w:cs="Arial"/>
        </w:rPr>
        <w:t>3.3 Customer Needs and Demand Patterns</w:t>
      </w:r>
    </w:p>
    <w:p w14:paraId="4C3628AE" w14:textId="721C2451" w:rsidR="004028AA" w:rsidRPr="004028AA" w:rsidRDefault="004028AA" w:rsidP="004028AA">
      <w:pPr>
        <w:spacing w:line="276" w:lineRule="auto"/>
        <w:jc w:val="both"/>
        <w:rPr>
          <w:rFonts w:ascii="Arial" w:hAnsi="Arial" w:cs="Arial"/>
        </w:rPr>
      </w:pPr>
      <w:r w:rsidRPr="004028AA">
        <w:rPr>
          <w:rFonts w:ascii="Arial" w:hAnsi="Arial" w:cs="Arial"/>
        </w:rPr>
        <w:t>Mortgage customers increasingly prioritise clarity, trust, and convenience. Studies emphasise that many borrowers find the mortgage process complicated, especially when navigating lender criteria, understanding interest rate implications, or preparing documentation for affordability checks (Deloitte, 2023). First-time buyers typically seek guidance and reassurance throughout the process, while remortgage clients prioritise efficiency and transparent rate comparisons. Buy-to-let investors require informed advice related to rental yield calculations, tax implications, and long-term portfolio strategy.</w:t>
      </w:r>
    </w:p>
    <w:p w14:paraId="54C3883B" w14:textId="77777777" w:rsidR="004028AA" w:rsidRPr="004028AA" w:rsidRDefault="004028AA" w:rsidP="004028AA">
      <w:pPr>
        <w:spacing w:line="276" w:lineRule="auto"/>
        <w:jc w:val="both"/>
        <w:rPr>
          <w:rFonts w:ascii="Arial" w:hAnsi="Arial" w:cs="Arial"/>
        </w:rPr>
      </w:pPr>
      <w:r w:rsidRPr="004028AA">
        <w:rPr>
          <w:rFonts w:ascii="Arial" w:hAnsi="Arial" w:cs="Arial"/>
        </w:rPr>
        <w:t>Demand for digital engagement has also increased considerably. Borrowers expect faster processing times, digital document submission, automated updates, and the ability to track progress through mobile or online portals. According to McKinsey (2023), consumers place high value on hybrid advisory models where technology enhances, rather than replaces, personalised guidance. This trend benefits firms that integrate CRM platforms, digital ID verification, and automated communication tools into their service delivery.</w:t>
      </w:r>
    </w:p>
    <w:p w14:paraId="6C4E2449" w14:textId="77777777" w:rsidR="004028AA" w:rsidRPr="004028AA" w:rsidRDefault="004028AA" w:rsidP="004028AA">
      <w:pPr>
        <w:spacing w:line="276" w:lineRule="auto"/>
        <w:jc w:val="both"/>
        <w:rPr>
          <w:rFonts w:ascii="Arial" w:hAnsi="Arial" w:cs="Arial"/>
        </w:rPr>
      </w:pPr>
    </w:p>
    <w:p w14:paraId="0CD2F118" w14:textId="77777777" w:rsidR="004028AA" w:rsidRPr="004028AA" w:rsidRDefault="004028AA" w:rsidP="004028AA">
      <w:pPr>
        <w:spacing w:line="276" w:lineRule="auto"/>
        <w:jc w:val="both"/>
        <w:rPr>
          <w:rFonts w:ascii="Arial" w:hAnsi="Arial" w:cs="Arial"/>
        </w:rPr>
      </w:pPr>
      <w:r w:rsidRPr="004028AA">
        <w:rPr>
          <w:rFonts w:ascii="Arial" w:hAnsi="Arial" w:cs="Arial"/>
        </w:rPr>
        <w:t>Another notable trend is the rising demand for ongoing mortgage support rather than transactional interactions. Borrowers increasingly expect advisers to conduct regular product reviews, provide refinancing updates, and oversee long-term financial wellbeing. This shift underscores the need for firms to maintain continuous relationships with clients, offering structured aftercare programmes that reinforce trust and loyalty (Kotler &amp; Keller, 2023).</w:t>
      </w:r>
    </w:p>
    <w:p w14:paraId="1377E0D7" w14:textId="77777777" w:rsidR="004028AA" w:rsidRPr="004028AA" w:rsidRDefault="004028AA" w:rsidP="004028AA">
      <w:pPr>
        <w:spacing w:line="276" w:lineRule="auto"/>
        <w:jc w:val="both"/>
        <w:rPr>
          <w:rFonts w:ascii="Arial" w:hAnsi="Arial" w:cs="Arial"/>
        </w:rPr>
      </w:pPr>
    </w:p>
    <w:p w14:paraId="10A42FFC" w14:textId="603B5690" w:rsidR="004028AA" w:rsidRPr="004028AA" w:rsidRDefault="004028AA" w:rsidP="004028AA">
      <w:pPr>
        <w:spacing w:line="276" w:lineRule="auto"/>
        <w:jc w:val="both"/>
        <w:rPr>
          <w:rFonts w:ascii="Arial" w:hAnsi="Arial" w:cs="Arial"/>
        </w:rPr>
      </w:pPr>
      <w:r w:rsidRPr="004028AA">
        <w:rPr>
          <w:rFonts w:ascii="Arial" w:hAnsi="Arial" w:cs="Arial"/>
        </w:rPr>
        <w:t>3.4 Competitive Analysis</w:t>
      </w:r>
    </w:p>
    <w:p w14:paraId="05D17E56" w14:textId="77777777" w:rsidR="004028AA" w:rsidRPr="004028AA" w:rsidRDefault="004028AA" w:rsidP="004028AA">
      <w:pPr>
        <w:spacing w:line="276" w:lineRule="auto"/>
        <w:jc w:val="both"/>
        <w:rPr>
          <w:rFonts w:ascii="Arial" w:hAnsi="Arial" w:cs="Arial"/>
        </w:rPr>
      </w:pPr>
      <w:r w:rsidRPr="004028AA">
        <w:rPr>
          <w:rFonts w:ascii="Arial" w:hAnsi="Arial" w:cs="Arial"/>
        </w:rPr>
        <w:t>The competitive landscape is shaped by a mixture of national brokerages, online mortgage platforms, local advisory firms, and bank-employed advisers. Porter’s Five Forces model provides a structured understanding of competitive pressures within the sector.</w:t>
      </w:r>
    </w:p>
    <w:p w14:paraId="50E86E07" w14:textId="77777777" w:rsidR="004028AA" w:rsidRPr="004028AA" w:rsidRDefault="004028AA" w:rsidP="004028AA">
      <w:pPr>
        <w:spacing w:line="276" w:lineRule="auto"/>
        <w:jc w:val="both"/>
        <w:rPr>
          <w:rFonts w:ascii="Arial" w:hAnsi="Arial" w:cs="Arial"/>
        </w:rPr>
      </w:pPr>
    </w:p>
    <w:p w14:paraId="7FD1D2A3" w14:textId="77777777" w:rsidR="004028AA" w:rsidRDefault="004028AA" w:rsidP="004028AA">
      <w:pPr>
        <w:spacing w:line="276" w:lineRule="auto"/>
        <w:jc w:val="both"/>
        <w:rPr>
          <w:rFonts w:ascii="Arial" w:hAnsi="Arial" w:cs="Arial"/>
        </w:rPr>
      </w:pPr>
      <w:r w:rsidRPr="004028AA">
        <w:rPr>
          <w:rFonts w:ascii="Arial" w:hAnsi="Arial" w:cs="Arial"/>
        </w:rPr>
        <w:t xml:space="preserve">New entrants face moderate barriers due to the availability of the Appointed Representative (AR) model, which simplifies regulatory entry. However, maintaining compliance with FCA standards, managing technology investments, and building lender relationships require significant operational capability, limiting entry by under-resourced firms (FCA, 2023). Borrowers possess strong bargaining power because mortgage rates and lender products are easily accessible through online comparison tools, enabling customers to compare advisers and negotiate fees with relative ease. Competitive rivalry is intense due to the </w:t>
      </w:r>
      <w:r w:rsidRPr="004028AA">
        <w:rPr>
          <w:rFonts w:ascii="Arial" w:hAnsi="Arial" w:cs="Arial"/>
        </w:rPr>
        <w:lastRenderedPageBreak/>
        <w:t xml:space="preserve">presence of established firms, including London &amp; Country, </w:t>
      </w:r>
      <w:proofErr w:type="spellStart"/>
      <w:r w:rsidRPr="004028AA">
        <w:rPr>
          <w:rFonts w:ascii="Arial" w:hAnsi="Arial" w:cs="Arial"/>
        </w:rPr>
        <w:t>Habito</w:t>
      </w:r>
      <w:proofErr w:type="spellEnd"/>
      <w:r w:rsidRPr="004028AA">
        <w:rPr>
          <w:rFonts w:ascii="Arial" w:hAnsi="Arial" w:cs="Arial"/>
        </w:rPr>
        <w:t>, and various national networks. Yet, many large firms struggle to provide personalised service, relying instead on high-volume processing. This opens a competitive gap that more client-focused firms can exploit.</w:t>
      </w:r>
    </w:p>
    <w:p w14:paraId="05195CBB" w14:textId="312D2DA2" w:rsidR="00347F71" w:rsidRDefault="00347F71" w:rsidP="004028AA">
      <w:pPr>
        <w:spacing w:line="276" w:lineRule="auto"/>
        <w:jc w:val="both"/>
        <w:rPr>
          <w:rFonts w:ascii="Arial" w:hAnsi="Arial" w:cs="Arial"/>
        </w:rPr>
      </w:pPr>
      <w:r>
        <w:rPr>
          <w:rFonts w:ascii="Arial" w:hAnsi="Arial" w:cs="Arial"/>
        </w:rPr>
        <w:t xml:space="preserve">Comparing to other large business </w:t>
      </w:r>
      <w:r w:rsidR="00750D4E">
        <w:rPr>
          <w:rFonts w:ascii="Arial" w:hAnsi="Arial" w:cs="Arial"/>
        </w:rPr>
        <w:t xml:space="preserve">Sense Mortgage and Residential can promise to provide following </w:t>
      </w:r>
      <w:r w:rsidR="005F5825">
        <w:rPr>
          <w:rFonts w:ascii="Arial" w:hAnsi="Arial" w:cs="Arial"/>
        </w:rPr>
        <w:t>services for establi</w:t>
      </w:r>
      <w:r w:rsidR="00074453">
        <w:rPr>
          <w:rFonts w:ascii="Arial" w:hAnsi="Arial" w:cs="Arial"/>
        </w:rPr>
        <w:t xml:space="preserve">shing strong base in the market. </w:t>
      </w:r>
    </w:p>
    <w:p w14:paraId="564238ED" w14:textId="77777777" w:rsidR="00C352A6" w:rsidRDefault="00C352A6" w:rsidP="004028AA">
      <w:pPr>
        <w:spacing w:line="276" w:lineRule="auto"/>
        <w:jc w:val="both"/>
        <w:rPr>
          <w:rFonts w:ascii="Arial" w:hAnsi="Arial" w:cs="Arial"/>
        </w:rPr>
      </w:pPr>
    </w:p>
    <w:p w14:paraId="10FA51F0" w14:textId="2C8D1EA1" w:rsidR="00C352A6" w:rsidRDefault="00C352A6" w:rsidP="004028AA">
      <w:pPr>
        <w:spacing w:line="276" w:lineRule="auto"/>
        <w:jc w:val="both"/>
        <w:rPr>
          <w:rFonts w:ascii="Arial" w:hAnsi="Arial" w:cs="Arial"/>
        </w:rPr>
      </w:pPr>
    </w:p>
    <w:tbl>
      <w:tblPr>
        <w:tblStyle w:val="TableGrid"/>
        <w:tblW w:w="9621" w:type="dxa"/>
        <w:tblLook w:val="04A0" w:firstRow="1" w:lastRow="0" w:firstColumn="1" w:lastColumn="0" w:noHBand="0" w:noVBand="1"/>
      </w:tblPr>
      <w:tblGrid>
        <w:gridCol w:w="9621"/>
      </w:tblGrid>
      <w:tr w:rsidR="006C2368" w14:paraId="4036FA86" w14:textId="77777777" w:rsidTr="006C2368">
        <w:trPr>
          <w:trHeight w:val="4412"/>
        </w:trPr>
        <w:tc>
          <w:tcPr>
            <w:tcW w:w="9621" w:type="dxa"/>
          </w:tcPr>
          <w:p w14:paraId="22C29C36" w14:textId="0E77D736" w:rsidR="006C2368" w:rsidRPr="006C2368" w:rsidRDefault="006C2368" w:rsidP="006C2368">
            <w:pPr>
              <w:spacing w:line="276" w:lineRule="auto"/>
              <w:jc w:val="center"/>
              <w:rPr>
                <w:rFonts w:ascii="Arial" w:hAnsi="Arial" w:cs="Arial"/>
              </w:rPr>
            </w:pPr>
            <w:r w:rsidRPr="006C2368">
              <w:rPr>
                <w:rFonts w:ascii="Arial" w:hAnsi="Arial" w:cs="Arial"/>
                <w:noProof/>
              </w:rPr>
              <w:drawing>
                <wp:inline distT="0" distB="0" distL="0" distR="0" wp14:anchorId="32D7FAF0" wp14:editId="31118371">
                  <wp:extent cx="5717136" cy="3024505"/>
                  <wp:effectExtent l="0" t="0" r="0" b="4445"/>
                  <wp:docPr id="8520631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7513" cy="3067027"/>
                          </a:xfrm>
                          <a:prstGeom prst="rect">
                            <a:avLst/>
                          </a:prstGeom>
                          <a:noFill/>
                          <a:ln>
                            <a:noFill/>
                          </a:ln>
                        </pic:spPr>
                      </pic:pic>
                    </a:graphicData>
                  </a:graphic>
                </wp:inline>
              </w:drawing>
            </w:r>
          </w:p>
          <w:p w14:paraId="7031C3F1" w14:textId="77777777" w:rsidR="006C2368" w:rsidRDefault="006C2368" w:rsidP="006C2368">
            <w:pPr>
              <w:spacing w:line="276" w:lineRule="auto"/>
              <w:rPr>
                <w:rFonts w:ascii="Arial" w:hAnsi="Arial" w:cs="Arial"/>
              </w:rPr>
            </w:pPr>
          </w:p>
        </w:tc>
      </w:tr>
    </w:tbl>
    <w:p w14:paraId="49BE405B" w14:textId="77777777" w:rsidR="00D236F2" w:rsidRPr="00D236F2" w:rsidRDefault="00D236F2" w:rsidP="00D236F2">
      <w:pPr>
        <w:spacing w:line="276" w:lineRule="auto"/>
        <w:jc w:val="both"/>
        <w:rPr>
          <w:rFonts w:ascii="Arial" w:hAnsi="Arial" w:cs="Arial"/>
          <w:i/>
          <w:iCs/>
        </w:rPr>
      </w:pPr>
      <w:r w:rsidRPr="00D236F2">
        <w:rPr>
          <w:rFonts w:ascii="Arial" w:hAnsi="Arial" w:cs="Arial"/>
          <w:i/>
          <w:iCs/>
        </w:rPr>
        <w:t>Source: Author Illustration (2025)</w:t>
      </w:r>
    </w:p>
    <w:p w14:paraId="2F8ABE16" w14:textId="77777777" w:rsidR="004028AA" w:rsidRPr="004028AA" w:rsidRDefault="004028AA" w:rsidP="004028AA">
      <w:pPr>
        <w:spacing w:line="276" w:lineRule="auto"/>
        <w:jc w:val="both"/>
        <w:rPr>
          <w:rFonts w:ascii="Arial" w:hAnsi="Arial" w:cs="Arial"/>
        </w:rPr>
      </w:pPr>
    </w:p>
    <w:p w14:paraId="78AB2A08" w14:textId="77777777" w:rsidR="004028AA" w:rsidRPr="004028AA" w:rsidRDefault="004028AA" w:rsidP="004028AA">
      <w:pPr>
        <w:spacing w:line="276" w:lineRule="auto"/>
        <w:jc w:val="both"/>
        <w:rPr>
          <w:rFonts w:ascii="Arial" w:hAnsi="Arial" w:cs="Arial"/>
        </w:rPr>
      </w:pPr>
      <w:r w:rsidRPr="004028AA">
        <w:rPr>
          <w:rFonts w:ascii="Arial" w:hAnsi="Arial" w:cs="Arial"/>
        </w:rPr>
        <w:t>The threat of substitutes, such as AI-driven advice systems or fully automated platforms, is increasing but currently limited by the complexity of borrower circumstances and the need for human judgment in affordability assessments. Suppliers—primarily lenders—hold moderate power, as they frequently adjust criteria and stress-testing parameters; however, intermediaries account for a significant portion of mortgage distribution, giving brokers substantial influence in product placement (UK Finance, 2024). Overall, the environment favours firms that offer strong compliance, personalised service, and digital efficiency.</w:t>
      </w:r>
    </w:p>
    <w:p w14:paraId="59785F27" w14:textId="77777777" w:rsidR="004028AA" w:rsidRPr="004028AA" w:rsidRDefault="004028AA" w:rsidP="004028AA">
      <w:pPr>
        <w:spacing w:line="276" w:lineRule="auto"/>
        <w:jc w:val="both"/>
        <w:rPr>
          <w:rFonts w:ascii="Arial" w:hAnsi="Arial" w:cs="Arial"/>
        </w:rPr>
      </w:pPr>
    </w:p>
    <w:p w14:paraId="3930B9A3" w14:textId="1FA1827F" w:rsidR="004028AA" w:rsidRPr="004028AA" w:rsidRDefault="004028AA" w:rsidP="004028AA">
      <w:pPr>
        <w:spacing w:line="276" w:lineRule="auto"/>
        <w:jc w:val="both"/>
        <w:rPr>
          <w:rFonts w:ascii="Arial" w:hAnsi="Arial" w:cs="Arial"/>
        </w:rPr>
      </w:pPr>
      <w:r w:rsidRPr="004028AA">
        <w:rPr>
          <w:rFonts w:ascii="Arial" w:hAnsi="Arial" w:cs="Arial"/>
        </w:rPr>
        <w:t>3.5 Market Validation Approaches</w:t>
      </w:r>
    </w:p>
    <w:p w14:paraId="1D4E6DAC" w14:textId="77777777" w:rsidR="004028AA" w:rsidRPr="004028AA" w:rsidRDefault="004028AA" w:rsidP="004028AA">
      <w:pPr>
        <w:spacing w:line="276" w:lineRule="auto"/>
        <w:jc w:val="both"/>
        <w:rPr>
          <w:rFonts w:ascii="Arial" w:hAnsi="Arial" w:cs="Arial"/>
        </w:rPr>
      </w:pPr>
      <w:r w:rsidRPr="004028AA">
        <w:rPr>
          <w:rFonts w:ascii="Arial" w:hAnsi="Arial" w:cs="Arial"/>
        </w:rPr>
        <w:t xml:space="preserve">The business concept for Sense Mortgage &amp; Residential is supported by multiple validation techniques. Secondary market research from UK Finance, the FCA, and industry analytics confirms that demand for mortgage advice remains robust, driven by regulatory complexity, economic volatility, and the continued need for lending guidance. Consumer research reports </w:t>
      </w:r>
      <w:r w:rsidRPr="004028AA">
        <w:rPr>
          <w:rFonts w:ascii="Arial" w:hAnsi="Arial" w:cs="Arial"/>
        </w:rPr>
        <w:lastRenderedPageBreak/>
        <w:t>from Deloitte (2023) and PwC (2023) further validate the preference for hybrid advisory models, indicating that customers appreciate the reassurance of human advisers combined with the speed and convenience of digital systems.</w:t>
      </w:r>
    </w:p>
    <w:p w14:paraId="64D20F96" w14:textId="77777777" w:rsidR="004028AA" w:rsidRPr="004028AA" w:rsidRDefault="004028AA" w:rsidP="004028AA">
      <w:pPr>
        <w:spacing w:line="276" w:lineRule="auto"/>
        <w:jc w:val="both"/>
        <w:rPr>
          <w:rFonts w:ascii="Arial" w:hAnsi="Arial" w:cs="Arial"/>
        </w:rPr>
      </w:pPr>
    </w:p>
    <w:p w14:paraId="69ACDEDB" w14:textId="77777777" w:rsidR="004028AA" w:rsidRPr="004028AA" w:rsidRDefault="004028AA" w:rsidP="004028AA">
      <w:pPr>
        <w:spacing w:line="276" w:lineRule="auto"/>
        <w:jc w:val="both"/>
        <w:rPr>
          <w:rFonts w:ascii="Arial" w:hAnsi="Arial" w:cs="Arial"/>
        </w:rPr>
      </w:pPr>
      <w:r w:rsidRPr="004028AA">
        <w:rPr>
          <w:rFonts w:ascii="Arial" w:hAnsi="Arial" w:cs="Arial"/>
        </w:rPr>
        <w:t>Competitor benchmarking highlights operational gaps among existing firms, particularly regarding transparency, compliance consistency, and personalised service delivery. Many high-volume brokers rely on rapid processing and standardised advice pathways, leaving a niche for firms that provide more detailed, client-specific support. Data from industry sources such as Moneyfacts (2024) also demonstrate ongoing demand among segments like first-time buyers and remortgage customers, driven by interest rate fluctuations, maturing fixed-rate products, and increased preference for financial stability. The combination of regulatory trends, consumer behaviour insights, and economic indicators confirms the viability and timeliness of the business model.</w:t>
      </w:r>
    </w:p>
    <w:p w14:paraId="27EE70F2" w14:textId="77777777" w:rsidR="004028AA" w:rsidRDefault="004028AA" w:rsidP="004028AA">
      <w:pPr>
        <w:spacing w:line="276" w:lineRule="auto"/>
        <w:jc w:val="both"/>
        <w:rPr>
          <w:rFonts w:ascii="Arial" w:hAnsi="Arial" w:cs="Arial"/>
        </w:rPr>
      </w:pPr>
    </w:p>
    <w:p w14:paraId="36F46962" w14:textId="218990E0" w:rsidR="00105EDB" w:rsidRDefault="00105EDB" w:rsidP="00105EDB">
      <w:pPr>
        <w:spacing w:line="276" w:lineRule="auto"/>
        <w:jc w:val="both"/>
        <w:rPr>
          <w:rFonts w:ascii="Arial" w:hAnsi="Arial" w:cs="Arial"/>
        </w:rPr>
      </w:pPr>
      <w:r w:rsidRPr="00105EDB">
        <w:rPr>
          <w:rFonts w:ascii="Arial" w:hAnsi="Arial" w:cs="Arial"/>
        </w:rPr>
        <w:t>3.</w:t>
      </w:r>
      <w:r>
        <w:rPr>
          <w:rFonts w:ascii="Arial" w:hAnsi="Arial" w:cs="Arial"/>
        </w:rPr>
        <w:t xml:space="preserve">6 </w:t>
      </w:r>
      <w:r w:rsidRPr="00105EDB">
        <w:rPr>
          <w:rFonts w:ascii="Arial" w:hAnsi="Arial" w:cs="Arial"/>
        </w:rPr>
        <w:t>SWOT Analysis of Sense Mortgage &amp; Residential</w:t>
      </w:r>
    </w:p>
    <w:p w14:paraId="3214EAF0" w14:textId="77777777" w:rsidR="00105EDB" w:rsidRPr="00105EDB" w:rsidRDefault="00105EDB" w:rsidP="00105EDB">
      <w:pPr>
        <w:spacing w:line="276" w:lineRule="auto"/>
        <w:jc w:val="both"/>
        <w:rPr>
          <w:rFonts w:ascii="Arial" w:hAnsi="Arial" w:cs="Arial"/>
        </w:rPr>
      </w:pPr>
    </w:p>
    <w:p w14:paraId="692521CD" w14:textId="597B9D0E" w:rsidR="00105EDB" w:rsidRDefault="00105EDB" w:rsidP="00105EDB">
      <w:pPr>
        <w:spacing w:line="276" w:lineRule="auto"/>
        <w:jc w:val="both"/>
        <w:rPr>
          <w:rFonts w:ascii="Arial" w:hAnsi="Arial" w:cs="Arial"/>
        </w:rPr>
      </w:pPr>
      <w:r w:rsidRPr="00105EDB">
        <w:rPr>
          <w:rFonts w:ascii="Arial" w:hAnsi="Arial" w:cs="Arial"/>
        </w:rPr>
        <w:t>A SWOT analysis brings together the key internal and external factors identified in the earlier sections of the market research chapter. It provides a structured assessment of the firm’s strengths, weaknesses, opportunities, and threats, helping clarify its strategic position within the UK mortgage advisory market. Conducting a SWOT analysis is useful for translating market analysis into actionable strategic insight (Kotler &amp; Keller, 2023). The analysis below considers internal capabilities such as compliance culture, service quality, and technology adoption, alongside external market forces such as regulatory changes, consumer trends, and competitive pressures.</w:t>
      </w:r>
    </w:p>
    <w:p w14:paraId="0018EACE" w14:textId="4774911E" w:rsidR="003B7F78" w:rsidRDefault="00100737" w:rsidP="00105EDB">
      <w:pPr>
        <w:spacing w:line="276" w:lineRule="auto"/>
        <w:jc w:val="both"/>
        <w:rPr>
          <w:rFonts w:ascii="Arial" w:hAnsi="Arial" w:cs="Arial"/>
        </w:rPr>
      </w:pPr>
      <w:r w:rsidRPr="00100737">
        <w:rPr>
          <w:rFonts w:ascii="Arial" w:hAnsi="Arial" w:cs="Arial"/>
        </w:rPr>
        <w:t>SWOT Analysis of Sense Mortgage &amp; Residential</w:t>
      </w:r>
    </w:p>
    <w:tbl>
      <w:tblPr>
        <w:tblStyle w:val="GridTable6Colorful-Accent4"/>
        <w:tblW w:w="9950" w:type="dxa"/>
        <w:tblLook w:val="04A0" w:firstRow="1" w:lastRow="0" w:firstColumn="1" w:lastColumn="0" w:noHBand="0" w:noVBand="1"/>
      </w:tblPr>
      <w:tblGrid>
        <w:gridCol w:w="4975"/>
        <w:gridCol w:w="4975"/>
      </w:tblGrid>
      <w:tr w:rsidR="00572EBF" w14:paraId="2FB2B6F9" w14:textId="77777777" w:rsidTr="00593253">
        <w:trPr>
          <w:cnfStyle w:val="100000000000" w:firstRow="1" w:lastRow="0" w:firstColumn="0" w:lastColumn="0" w:oddVBand="0" w:evenVBand="0" w:oddHBand="0"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4975" w:type="dxa"/>
          </w:tcPr>
          <w:p w14:paraId="11DA7D7C" w14:textId="23FEAECB" w:rsidR="00572EBF" w:rsidRDefault="006866B9" w:rsidP="00105EDB">
            <w:pPr>
              <w:spacing w:line="276" w:lineRule="auto"/>
              <w:jc w:val="both"/>
              <w:rPr>
                <w:rFonts w:ascii="Arial" w:hAnsi="Arial" w:cs="Arial"/>
              </w:rPr>
            </w:pPr>
            <w:r>
              <w:rPr>
                <w:rFonts w:ascii="Arial" w:hAnsi="Arial" w:cs="Arial"/>
              </w:rPr>
              <w:t xml:space="preserve">Strengths </w:t>
            </w:r>
          </w:p>
        </w:tc>
        <w:tc>
          <w:tcPr>
            <w:tcW w:w="4975" w:type="dxa"/>
          </w:tcPr>
          <w:p w14:paraId="060CAF6E" w14:textId="58ABF672" w:rsidR="00572EBF" w:rsidRDefault="006866B9" w:rsidP="00105EDB">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weaknesses</w:t>
            </w:r>
          </w:p>
        </w:tc>
      </w:tr>
      <w:tr w:rsidR="00572EBF" w14:paraId="764698C3" w14:textId="77777777" w:rsidTr="00593253">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4975" w:type="dxa"/>
          </w:tcPr>
          <w:p w14:paraId="0D5317D2" w14:textId="1A75DAFE" w:rsidR="00572EBF" w:rsidRPr="003C735F" w:rsidRDefault="0068645F" w:rsidP="0068645F">
            <w:pPr>
              <w:pStyle w:val="ListParagraph"/>
              <w:numPr>
                <w:ilvl w:val="0"/>
                <w:numId w:val="8"/>
              </w:numPr>
              <w:spacing w:line="276" w:lineRule="auto"/>
              <w:jc w:val="both"/>
              <w:rPr>
                <w:rFonts w:ascii="Arial" w:hAnsi="Arial" w:cs="Arial"/>
                <w:b w:val="0"/>
                <w:bCs w:val="0"/>
              </w:rPr>
            </w:pPr>
            <w:r w:rsidRPr="003C735F">
              <w:rPr>
                <w:rFonts w:ascii="Arial" w:hAnsi="Arial" w:cs="Arial"/>
                <w:b w:val="0"/>
                <w:bCs w:val="0"/>
              </w:rPr>
              <w:t>Strong compliance culture supported by Openwork network</w:t>
            </w:r>
            <w:r w:rsidR="0051218A" w:rsidRPr="003C735F">
              <w:rPr>
                <w:rFonts w:ascii="Arial" w:hAnsi="Arial" w:cs="Arial"/>
                <w:b w:val="0"/>
                <w:bCs w:val="0"/>
              </w:rPr>
              <w:t>.</w:t>
            </w:r>
          </w:p>
          <w:p w14:paraId="4387A3A6" w14:textId="365F125F" w:rsidR="0068645F" w:rsidRPr="003C735F" w:rsidRDefault="00084F29" w:rsidP="0068645F">
            <w:pPr>
              <w:pStyle w:val="ListParagraph"/>
              <w:numPr>
                <w:ilvl w:val="0"/>
                <w:numId w:val="8"/>
              </w:numPr>
              <w:spacing w:line="276" w:lineRule="auto"/>
              <w:jc w:val="both"/>
              <w:rPr>
                <w:rFonts w:ascii="Arial" w:hAnsi="Arial" w:cs="Arial"/>
                <w:b w:val="0"/>
                <w:bCs w:val="0"/>
              </w:rPr>
            </w:pPr>
            <w:r w:rsidRPr="003C735F">
              <w:rPr>
                <w:rFonts w:ascii="Arial" w:hAnsi="Arial" w:cs="Arial"/>
                <w:b w:val="0"/>
                <w:bCs w:val="0"/>
              </w:rPr>
              <w:t>Hybrid digital-human advisory model supporting efficiency</w:t>
            </w:r>
            <w:r w:rsidR="0051218A" w:rsidRPr="003C735F">
              <w:rPr>
                <w:rFonts w:ascii="Arial" w:hAnsi="Arial" w:cs="Arial"/>
                <w:b w:val="0"/>
                <w:bCs w:val="0"/>
              </w:rPr>
              <w:t>.</w:t>
            </w:r>
          </w:p>
          <w:p w14:paraId="1D2DE11D" w14:textId="7BC81333" w:rsidR="00247B6A" w:rsidRPr="003C735F" w:rsidRDefault="00247B6A" w:rsidP="0068645F">
            <w:pPr>
              <w:pStyle w:val="ListParagraph"/>
              <w:numPr>
                <w:ilvl w:val="0"/>
                <w:numId w:val="8"/>
              </w:numPr>
              <w:spacing w:line="276" w:lineRule="auto"/>
              <w:jc w:val="both"/>
              <w:rPr>
                <w:rFonts w:ascii="Arial" w:hAnsi="Arial" w:cs="Arial"/>
                <w:b w:val="0"/>
                <w:bCs w:val="0"/>
              </w:rPr>
            </w:pPr>
            <w:r w:rsidRPr="003C735F">
              <w:rPr>
                <w:rFonts w:ascii="Arial" w:hAnsi="Arial" w:cs="Arial"/>
                <w:b w:val="0"/>
                <w:bCs w:val="0"/>
              </w:rPr>
              <w:t xml:space="preserve">Personalised service and transparent </w:t>
            </w:r>
            <w:r w:rsidR="0051218A" w:rsidRPr="003C735F">
              <w:rPr>
                <w:rFonts w:ascii="Arial" w:hAnsi="Arial" w:cs="Arial"/>
                <w:b w:val="0"/>
                <w:bCs w:val="0"/>
              </w:rPr>
              <w:t>communication.</w:t>
            </w:r>
          </w:p>
          <w:p w14:paraId="76224825" w14:textId="1AC2E047" w:rsidR="00247B6A" w:rsidRPr="0068645F" w:rsidRDefault="0028258F" w:rsidP="0068645F">
            <w:pPr>
              <w:pStyle w:val="ListParagraph"/>
              <w:numPr>
                <w:ilvl w:val="0"/>
                <w:numId w:val="8"/>
              </w:numPr>
              <w:spacing w:line="276" w:lineRule="auto"/>
              <w:jc w:val="both"/>
              <w:rPr>
                <w:rFonts w:ascii="Arial" w:hAnsi="Arial" w:cs="Arial"/>
              </w:rPr>
            </w:pPr>
            <w:r w:rsidRPr="003C735F">
              <w:rPr>
                <w:rFonts w:ascii="Arial" w:hAnsi="Arial" w:cs="Arial"/>
                <w:b w:val="0"/>
                <w:bCs w:val="0"/>
              </w:rPr>
              <w:t>Professional brand identity and modern technology stack</w:t>
            </w:r>
            <w:r w:rsidRPr="0028258F">
              <w:rPr>
                <w:rFonts w:ascii="Arial" w:hAnsi="Arial" w:cs="Arial"/>
              </w:rPr>
              <w:tab/>
            </w:r>
          </w:p>
        </w:tc>
        <w:tc>
          <w:tcPr>
            <w:tcW w:w="4975" w:type="dxa"/>
          </w:tcPr>
          <w:p w14:paraId="1ACE9EE4" w14:textId="4297335F" w:rsidR="00572EBF" w:rsidRDefault="007920B2" w:rsidP="007920B2">
            <w:pPr>
              <w:pStyle w:val="ListParagraph"/>
              <w:numPr>
                <w:ilvl w:val="0"/>
                <w:numId w:val="10"/>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7920B2">
              <w:rPr>
                <w:rFonts w:ascii="Arial" w:hAnsi="Arial" w:cs="Arial"/>
              </w:rPr>
              <w:t>New brand with no established market reputation</w:t>
            </w:r>
            <w:r w:rsidR="00325451">
              <w:rPr>
                <w:rFonts w:ascii="Arial" w:hAnsi="Arial" w:cs="Arial"/>
              </w:rPr>
              <w:t>.</w:t>
            </w:r>
          </w:p>
          <w:p w14:paraId="64EFF2C0" w14:textId="7164C99B" w:rsidR="007920B2" w:rsidRDefault="00325451" w:rsidP="007920B2">
            <w:pPr>
              <w:pStyle w:val="ListParagraph"/>
              <w:numPr>
                <w:ilvl w:val="0"/>
                <w:numId w:val="10"/>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25451">
              <w:rPr>
                <w:rFonts w:ascii="Arial" w:hAnsi="Arial" w:cs="Arial"/>
              </w:rPr>
              <w:t>Limited initial operational capacity (small team)</w:t>
            </w:r>
            <w:r>
              <w:rPr>
                <w:rFonts w:ascii="Arial" w:hAnsi="Arial" w:cs="Arial"/>
              </w:rPr>
              <w:t>.</w:t>
            </w:r>
          </w:p>
          <w:p w14:paraId="5F9BA70F" w14:textId="453256DB" w:rsidR="00325451" w:rsidRDefault="00325451" w:rsidP="007920B2">
            <w:pPr>
              <w:pStyle w:val="ListParagraph"/>
              <w:numPr>
                <w:ilvl w:val="0"/>
                <w:numId w:val="10"/>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25451">
              <w:rPr>
                <w:rFonts w:ascii="Arial" w:hAnsi="Arial" w:cs="Arial"/>
              </w:rPr>
              <w:t>Higher workload risk on founder in early phases</w:t>
            </w:r>
            <w:r>
              <w:rPr>
                <w:rFonts w:ascii="Arial" w:hAnsi="Arial" w:cs="Arial"/>
              </w:rPr>
              <w:t>.</w:t>
            </w:r>
          </w:p>
          <w:p w14:paraId="692FEA33" w14:textId="09D42E1B" w:rsidR="00325451" w:rsidRPr="007920B2" w:rsidRDefault="003C735F" w:rsidP="007920B2">
            <w:pPr>
              <w:pStyle w:val="ListParagraph"/>
              <w:numPr>
                <w:ilvl w:val="0"/>
                <w:numId w:val="10"/>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3C735F">
              <w:rPr>
                <w:rFonts w:ascii="Arial" w:hAnsi="Arial" w:cs="Arial"/>
              </w:rPr>
              <w:t>Dependence on network systems may limit flexibility</w:t>
            </w:r>
            <w:r>
              <w:rPr>
                <w:rFonts w:ascii="Arial" w:hAnsi="Arial" w:cs="Arial"/>
              </w:rPr>
              <w:t>.</w:t>
            </w:r>
          </w:p>
          <w:p w14:paraId="1C369D8B" w14:textId="75B28A4D" w:rsidR="007920B2" w:rsidRPr="007920B2" w:rsidRDefault="007920B2" w:rsidP="007920B2">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72EBF" w14:paraId="4711ED4B" w14:textId="77777777" w:rsidTr="00593253">
        <w:trPr>
          <w:trHeight w:val="668"/>
        </w:trPr>
        <w:tc>
          <w:tcPr>
            <w:cnfStyle w:val="001000000000" w:firstRow="0" w:lastRow="0" w:firstColumn="1" w:lastColumn="0" w:oddVBand="0" w:evenVBand="0" w:oddHBand="0" w:evenHBand="0" w:firstRowFirstColumn="0" w:firstRowLastColumn="0" w:lastRowFirstColumn="0" w:lastRowLastColumn="0"/>
            <w:tcW w:w="4975" w:type="dxa"/>
          </w:tcPr>
          <w:p w14:paraId="0D5F64AF" w14:textId="71F26484" w:rsidR="00572EBF" w:rsidRPr="00593253" w:rsidRDefault="006866B9" w:rsidP="00105EDB">
            <w:pPr>
              <w:spacing w:line="276" w:lineRule="auto"/>
              <w:jc w:val="both"/>
              <w:rPr>
                <w:rFonts w:ascii="Arial" w:hAnsi="Arial" w:cs="Arial"/>
              </w:rPr>
            </w:pPr>
            <w:r w:rsidRPr="00593253">
              <w:rPr>
                <w:rFonts w:ascii="Arial" w:hAnsi="Arial" w:cs="Arial"/>
              </w:rPr>
              <w:t>Opportunities</w:t>
            </w:r>
          </w:p>
        </w:tc>
        <w:tc>
          <w:tcPr>
            <w:tcW w:w="4975" w:type="dxa"/>
          </w:tcPr>
          <w:p w14:paraId="1FA63A29" w14:textId="7806463C" w:rsidR="00572EBF" w:rsidRPr="00593253" w:rsidRDefault="00C5695A" w:rsidP="00105EDB">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93253">
              <w:rPr>
                <w:rFonts w:ascii="Arial" w:hAnsi="Arial" w:cs="Arial"/>
                <w:b/>
                <w:bCs/>
              </w:rPr>
              <w:t>Threat</w:t>
            </w:r>
            <w:r w:rsidR="00593253" w:rsidRPr="00593253">
              <w:rPr>
                <w:rFonts w:ascii="Arial" w:hAnsi="Arial" w:cs="Arial"/>
                <w:b/>
                <w:bCs/>
              </w:rPr>
              <w:t>s</w:t>
            </w:r>
          </w:p>
        </w:tc>
      </w:tr>
      <w:tr w:rsidR="00572EBF" w14:paraId="598E3F5D" w14:textId="77777777" w:rsidTr="00593253">
        <w:trPr>
          <w:cnfStyle w:val="000000100000" w:firstRow="0" w:lastRow="0" w:firstColumn="0" w:lastColumn="0" w:oddVBand="0" w:evenVBand="0" w:oddHBand="1" w:evenHBand="0" w:firstRowFirstColumn="0" w:firstRowLastColumn="0" w:lastRowFirstColumn="0" w:lastRowLastColumn="0"/>
          <w:trHeight w:val="643"/>
        </w:trPr>
        <w:tc>
          <w:tcPr>
            <w:cnfStyle w:val="001000000000" w:firstRow="0" w:lastRow="0" w:firstColumn="1" w:lastColumn="0" w:oddVBand="0" w:evenVBand="0" w:oddHBand="0" w:evenHBand="0" w:firstRowFirstColumn="0" w:firstRowLastColumn="0" w:lastRowFirstColumn="0" w:lastRowLastColumn="0"/>
            <w:tcW w:w="4975" w:type="dxa"/>
          </w:tcPr>
          <w:p w14:paraId="27223A84" w14:textId="0F25B5E3" w:rsidR="00572EBF" w:rsidRPr="003C735F" w:rsidRDefault="009320C8" w:rsidP="009320C8">
            <w:pPr>
              <w:pStyle w:val="ListParagraph"/>
              <w:numPr>
                <w:ilvl w:val="0"/>
                <w:numId w:val="9"/>
              </w:numPr>
              <w:spacing w:line="276" w:lineRule="auto"/>
              <w:jc w:val="both"/>
              <w:rPr>
                <w:rFonts w:ascii="Arial" w:hAnsi="Arial" w:cs="Arial"/>
                <w:b w:val="0"/>
                <w:bCs w:val="0"/>
              </w:rPr>
            </w:pPr>
            <w:r w:rsidRPr="003C735F">
              <w:rPr>
                <w:rFonts w:ascii="Arial" w:hAnsi="Arial" w:cs="Arial"/>
                <w:b w:val="0"/>
                <w:bCs w:val="0"/>
              </w:rPr>
              <w:lastRenderedPageBreak/>
              <w:t>Growing demand for hybrid advisory models</w:t>
            </w:r>
            <w:r w:rsidR="0051218A" w:rsidRPr="003C735F">
              <w:rPr>
                <w:rFonts w:ascii="Arial" w:hAnsi="Arial" w:cs="Arial"/>
                <w:b w:val="0"/>
                <w:bCs w:val="0"/>
              </w:rPr>
              <w:t>.</w:t>
            </w:r>
          </w:p>
          <w:p w14:paraId="7AC784B7" w14:textId="4238FF30" w:rsidR="009320C8" w:rsidRPr="003C735F" w:rsidRDefault="00E078A5" w:rsidP="009320C8">
            <w:pPr>
              <w:pStyle w:val="ListParagraph"/>
              <w:numPr>
                <w:ilvl w:val="0"/>
                <w:numId w:val="9"/>
              </w:numPr>
              <w:spacing w:line="276" w:lineRule="auto"/>
              <w:jc w:val="both"/>
              <w:rPr>
                <w:rFonts w:ascii="Arial" w:hAnsi="Arial" w:cs="Arial"/>
                <w:b w:val="0"/>
                <w:bCs w:val="0"/>
              </w:rPr>
            </w:pPr>
            <w:r w:rsidRPr="003C735F">
              <w:rPr>
                <w:rFonts w:ascii="Arial" w:hAnsi="Arial" w:cs="Arial"/>
                <w:b w:val="0"/>
                <w:bCs w:val="0"/>
              </w:rPr>
              <w:t>Increased remortgage activity due to rate changes</w:t>
            </w:r>
            <w:r w:rsidRPr="003C735F">
              <w:rPr>
                <w:rFonts w:ascii="Arial" w:hAnsi="Arial" w:cs="Arial"/>
                <w:b w:val="0"/>
                <w:bCs w:val="0"/>
              </w:rPr>
              <w:t>.</w:t>
            </w:r>
          </w:p>
          <w:p w14:paraId="6F4EEF23" w14:textId="5B5301B8" w:rsidR="00E078A5" w:rsidRPr="003C735F" w:rsidRDefault="0051218A" w:rsidP="009320C8">
            <w:pPr>
              <w:pStyle w:val="ListParagraph"/>
              <w:numPr>
                <w:ilvl w:val="0"/>
                <w:numId w:val="9"/>
              </w:numPr>
              <w:spacing w:line="276" w:lineRule="auto"/>
              <w:jc w:val="both"/>
              <w:rPr>
                <w:rFonts w:ascii="Arial" w:hAnsi="Arial" w:cs="Arial"/>
                <w:b w:val="0"/>
                <w:bCs w:val="0"/>
              </w:rPr>
            </w:pPr>
            <w:r w:rsidRPr="003C735F">
              <w:rPr>
                <w:rFonts w:ascii="Arial" w:hAnsi="Arial" w:cs="Arial"/>
                <w:b w:val="0"/>
                <w:bCs w:val="0"/>
              </w:rPr>
              <w:t>Rising first-time buyer interest in trusted advisers</w:t>
            </w:r>
            <w:r w:rsidRPr="003C735F">
              <w:rPr>
                <w:rFonts w:ascii="Arial" w:hAnsi="Arial" w:cs="Arial"/>
                <w:b w:val="0"/>
                <w:bCs w:val="0"/>
              </w:rPr>
              <w:t>.</w:t>
            </w:r>
          </w:p>
          <w:p w14:paraId="020E45D6" w14:textId="470664BA" w:rsidR="0051218A" w:rsidRPr="003C735F" w:rsidRDefault="0051218A" w:rsidP="009320C8">
            <w:pPr>
              <w:pStyle w:val="ListParagraph"/>
              <w:numPr>
                <w:ilvl w:val="0"/>
                <w:numId w:val="9"/>
              </w:numPr>
              <w:spacing w:line="276" w:lineRule="auto"/>
              <w:jc w:val="both"/>
              <w:rPr>
                <w:rFonts w:ascii="Arial" w:hAnsi="Arial" w:cs="Arial"/>
                <w:b w:val="0"/>
                <w:bCs w:val="0"/>
              </w:rPr>
            </w:pPr>
            <w:r w:rsidRPr="003C735F">
              <w:rPr>
                <w:rFonts w:ascii="Arial" w:hAnsi="Arial" w:cs="Arial"/>
                <w:b w:val="0"/>
                <w:bCs w:val="0"/>
              </w:rPr>
              <w:t>Ability to scale cost-effectively through digital systems</w:t>
            </w:r>
            <w:r w:rsidRPr="003C735F">
              <w:rPr>
                <w:rFonts w:ascii="Arial" w:hAnsi="Arial" w:cs="Arial"/>
                <w:b w:val="0"/>
                <w:bCs w:val="0"/>
              </w:rPr>
              <w:t>.</w:t>
            </w:r>
          </w:p>
          <w:p w14:paraId="15C92B25" w14:textId="261DCCBB" w:rsidR="009320C8" w:rsidRDefault="009320C8" w:rsidP="00105EDB">
            <w:pPr>
              <w:spacing w:line="276" w:lineRule="auto"/>
              <w:jc w:val="both"/>
              <w:rPr>
                <w:rFonts w:ascii="Arial" w:hAnsi="Arial" w:cs="Arial"/>
              </w:rPr>
            </w:pPr>
          </w:p>
        </w:tc>
        <w:tc>
          <w:tcPr>
            <w:tcW w:w="4975" w:type="dxa"/>
          </w:tcPr>
          <w:p w14:paraId="25C0405A" w14:textId="37FE975F" w:rsidR="00572EBF" w:rsidRDefault="00906330" w:rsidP="00906330">
            <w:pPr>
              <w:pStyle w:val="ListParagraph"/>
              <w:numPr>
                <w:ilvl w:val="0"/>
                <w:numId w:val="11"/>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06330">
              <w:rPr>
                <w:rFonts w:ascii="Arial" w:hAnsi="Arial" w:cs="Arial"/>
              </w:rPr>
              <w:t>Strong competition from both large brokers and digital platforms</w:t>
            </w:r>
            <w:r>
              <w:rPr>
                <w:rFonts w:ascii="Arial" w:hAnsi="Arial" w:cs="Arial"/>
              </w:rPr>
              <w:t>.</w:t>
            </w:r>
          </w:p>
          <w:p w14:paraId="0D4D2A1D" w14:textId="330594D8" w:rsidR="00906330" w:rsidRDefault="00135709" w:rsidP="00906330">
            <w:pPr>
              <w:pStyle w:val="ListParagraph"/>
              <w:numPr>
                <w:ilvl w:val="0"/>
                <w:numId w:val="11"/>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35709">
              <w:rPr>
                <w:rFonts w:ascii="Arial" w:hAnsi="Arial" w:cs="Arial"/>
              </w:rPr>
              <w:t>Regulatory tightening increasing administrative workload</w:t>
            </w:r>
            <w:r>
              <w:rPr>
                <w:rFonts w:ascii="Arial" w:hAnsi="Arial" w:cs="Arial"/>
              </w:rPr>
              <w:t>.</w:t>
            </w:r>
          </w:p>
          <w:p w14:paraId="493662FC" w14:textId="1A16DA74" w:rsidR="00135709" w:rsidRDefault="00135709" w:rsidP="00906330">
            <w:pPr>
              <w:pStyle w:val="ListParagraph"/>
              <w:numPr>
                <w:ilvl w:val="0"/>
                <w:numId w:val="11"/>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35709">
              <w:rPr>
                <w:rFonts w:ascii="Arial" w:hAnsi="Arial" w:cs="Arial"/>
              </w:rPr>
              <w:t>Economic uncertainty impacting borrowing levels</w:t>
            </w:r>
            <w:r>
              <w:rPr>
                <w:rFonts w:ascii="Arial" w:hAnsi="Arial" w:cs="Arial"/>
              </w:rPr>
              <w:t>.</w:t>
            </w:r>
          </w:p>
          <w:p w14:paraId="70C7DF64" w14:textId="255E3E14" w:rsidR="00135709" w:rsidRPr="00906330" w:rsidRDefault="00135709" w:rsidP="00906330">
            <w:pPr>
              <w:pStyle w:val="ListParagraph"/>
              <w:numPr>
                <w:ilvl w:val="0"/>
                <w:numId w:val="11"/>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35709">
              <w:rPr>
                <w:rFonts w:ascii="Arial" w:hAnsi="Arial" w:cs="Arial"/>
              </w:rPr>
              <w:t>Market disruption from fully automated mortgage tools</w:t>
            </w:r>
            <w:r>
              <w:rPr>
                <w:rFonts w:ascii="Arial" w:hAnsi="Arial" w:cs="Arial"/>
              </w:rPr>
              <w:t>.</w:t>
            </w:r>
          </w:p>
          <w:p w14:paraId="6188D633" w14:textId="00247786" w:rsidR="00906330" w:rsidRDefault="00906330" w:rsidP="00105EDB">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7FED729A" w14:textId="73470E2D" w:rsidR="003B7F78" w:rsidRDefault="003B7F78" w:rsidP="00105EDB">
      <w:pPr>
        <w:spacing w:line="276" w:lineRule="auto"/>
        <w:jc w:val="both"/>
        <w:rPr>
          <w:rFonts w:ascii="Arial" w:hAnsi="Arial" w:cs="Arial"/>
        </w:rPr>
      </w:pPr>
    </w:p>
    <w:p w14:paraId="5403D032" w14:textId="2DB70274" w:rsidR="00DC7EAB" w:rsidRPr="00DC7EAB" w:rsidRDefault="00DC7EAB" w:rsidP="00DC7EAB">
      <w:pPr>
        <w:spacing w:line="276" w:lineRule="auto"/>
        <w:jc w:val="both"/>
        <w:rPr>
          <w:rFonts w:ascii="Arial" w:hAnsi="Arial" w:cs="Arial"/>
        </w:rPr>
      </w:pPr>
      <w:r w:rsidRPr="00DC7EAB">
        <w:rPr>
          <w:rFonts w:ascii="Arial" w:hAnsi="Arial" w:cs="Arial"/>
        </w:rPr>
        <w:t xml:space="preserve">Interpretation of SWOT Findings </w:t>
      </w:r>
    </w:p>
    <w:p w14:paraId="3156ED2D" w14:textId="77777777" w:rsidR="00DC7EAB" w:rsidRPr="00DC7EAB" w:rsidRDefault="00DC7EAB" w:rsidP="00DC7EAB">
      <w:pPr>
        <w:spacing w:line="276" w:lineRule="auto"/>
        <w:jc w:val="both"/>
        <w:rPr>
          <w:rFonts w:ascii="Arial" w:hAnsi="Arial" w:cs="Arial"/>
        </w:rPr>
      </w:pPr>
      <w:r w:rsidRPr="00DC7EAB">
        <w:rPr>
          <w:rFonts w:ascii="Arial" w:hAnsi="Arial" w:cs="Arial"/>
        </w:rPr>
        <w:t>The SWOT analysis shows that Sense Mortgage &amp; Residential is well positioned to enter the market, with strong advantages such as its compliance-driven model and hybrid digital–personal service approach. These strengths align with growing consumer demand for transparent and efficient mortgage advice (McKinsey, 2023) and are reinforced by the support provided through the Openwork network, which enhances regulatory confidence and operational structure (FCA, 2023).</w:t>
      </w:r>
    </w:p>
    <w:p w14:paraId="6ED5971C" w14:textId="77777777" w:rsidR="00DC7EAB" w:rsidRPr="00DC7EAB" w:rsidRDefault="00DC7EAB" w:rsidP="00DC7EAB">
      <w:pPr>
        <w:spacing w:line="276" w:lineRule="auto"/>
        <w:jc w:val="both"/>
        <w:rPr>
          <w:rFonts w:ascii="Arial" w:hAnsi="Arial" w:cs="Arial"/>
        </w:rPr>
      </w:pPr>
    </w:p>
    <w:p w14:paraId="1312FD1E" w14:textId="77777777" w:rsidR="00DC7EAB" w:rsidRPr="00DC7EAB" w:rsidRDefault="00DC7EAB" w:rsidP="00DC7EAB">
      <w:pPr>
        <w:spacing w:line="276" w:lineRule="auto"/>
        <w:jc w:val="both"/>
        <w:rPr>
          <w:rFonts w:ascii="Arial" w:hAnsi="Arial" w:cs="Arial"/>
        </w:rPr>
      </w:pPr>
      <w:r w:rsidRPr="00DC7EAB">
        <w:rPr>
          <w:rFonts w:ascii="Arial" w:hAnsi="Arial" w:cs="Arial"/>
        </w:rPr>
        <w:t>However, the firm’s newness presents challenges, particularly limited brand recognition and a small initial team, which may affect early client acquisition and capacity. These weaknesses can be managed through targeted marketing and gradual recruitment as demand increases.</w:t>
      </w:r>
    </w:p>
    <w:p w14:paraId="5A8529C2" w14:textId="77777777" w:rsidR="00DC7EAB" w:rsidRPr="00DC7EAB" w:rsidRDefault="00DC7EAB" w:rsidP="00DC7EAB">
      <w:pPr>
        <w:spacing w:line="276" w:lineRule="auto"/>
        <w:jc w:val="both"/>
        <w:rPr>
          <w:rFonts w:ascii="Arial" w:hAnsi="Arial" w:cs="Arial"/>
        </w:rPr>
      </w:pPr>
    </w:p>
    <w:p w14:paraId="419FEAB7" w14:textId="77777777" w:rsidR="00DC7EAB" w:rsidRPr="00DC7EAB" w:rsidRDefault="00DC7EAB" w:rsidP="00DC7EAB">
      <w:pPr>
        <w:spacing w:line="276" w:lineRule="auto"/>
        <w:jc w:val="both"/>
        <w:rPr>
          <w:rFonts w:ascii="Arial" w:hAnsi="Arial" w:cs="Arial"/>
        </w:rPr>
      </w:pPr>
      <w:r w:rsidRPr="00DC7EAB">
        <w:rPr>
          <w:rFonts w:ascii="Arial" w:hAnsi="Arial" w:cs="Arial"/>
        </w:rPr>
        <w:t>Externally, the firm benefits from rising demand among first-time buyers and strong remortgage activity during periods of rate fluctuation (UK Finance, 2024). Digital tools create opportunities for scalable growth without proportionate cost increases. At the same time, threats such as strong competition, potential regulatory tightening, and economic uncertainty must be managed through effective planning and maintaining operational flexibility.</w:t>
      </w:r>
    </w:p>
    <w:p w14:paraId="4740E323" w14:textId="2185EB69" w:rsidR="007D5387" w:rsidRDefault="00DC7EAB" w:rsidP="00DC7EAB">
      <w:pPr>
        <w:spacing w:line="276" w:lineRule="auto"/>
        <w:jc w:val="both"/>
        <w:rPr>
          <w:rFonts w:ascii="Arial" w:hAnsi="Arial" w:cs="Arial"/>
        </w:rPr>
      </w:pPr>
      <w:r w:rsidRPr="00DC7EAB">
        <w:rPr>
          <w:rFonts w:ascii="Arial" w:hAnsi="Arial" w:cs="Arial"/>
        </w:rPr>
        <w:t>Overall, the SWOT analysis indicates that the firm has a strong foundation for growth, provided that early-stage weaknesses and external threats are addressed proactively.</w:t>
      </w:r>
    </w:p>
    <w:p w14:paraId="0B2B0CE6" w14:textId="77777777" w:rsidR="0001081A" w:rsidRPr="004028AA" w:rsidRDefault="0001081A" w:rsidP="00DC7EAB">
      <w:pPr>
        <w:spacing w:line="276" w:lineRule="auto"/>
        <w:jc w:val="both"/>
        <w:rPr>
          <w:rFonts w:ascii="Arial" w:hAnsi="Arial" w:cs="Arial"/>
        </w:rPr>
      </w:pPr>
    </w:p>
    <w:p w14:paraId="193F8A2B" w14:textId="77777777" w:rsidR="0001081A" w:rsidRDefault="004028AA" w:rsidP="0001081A">
      <w:pPr>
        <w:spacing w:line="276" w:lineRule="auto"/>
        <w:jc w:val="both"/>
        <w:rPr>
          <w:rFonts w:ascii="Arial" w:hAnsi="Arial" w:cs="Arial"/>
        </w:rPr>
      </w:pPr>
      <w:r w:rsidRPr="004028AA">
        <w:rPr>
          <w:rFonts w:ascii="Arial" w:hAnsi="Arial" w:cs="Arial"/>
        </w:rPr>
        <w:t>3.</w:t>
      </w:r>
      <w:r w:rsidR="00105EDB">
        <w:rPr>
          <w:rFonts w:ascii="Arial" w:hAnsi="Arial" w:cs="Arial"/>
        </w:rPr>
        <w:t>7</w:t>
      </w:r>
      <w:r w:rsidRPr="004028AA">
        <w:rPr>
          <w:rFonts w:ascii="Arial" w:hAnsi="Arial" w:cs="Arial"/>
        </w:rPr>
        <w:t xml:space="preserve"> Summary</w:t>
      </w:r>
    </w:p>
    <w:p w14:paraId="36EF85A2" w14:textId="7DEA3C2D" w:rsidR="0001081A" w:rsidRPr="0001081A" w:rsidRDefault="0001081A" w:rsidP="0001081A">
      <w:pPr>
        <w:spacing w:line="276" w:lineRule="auto"/>
        <w:jc w:val="both"/>
        <w:rPr>
          <w:rFonts w:ascii="Arial" w:hAnsi="Arial" w:cs="Arial"/>
        </w:rPr>
      </w:pPr>
      <w:r w:rsidRPr="0001081A">
        <w:rPr>
          <w:rFonts w:ascii="Arial" w:hAnsi="Arial" w:cs="Arial"/>
        </w:rPr>
        <w:t xml:space="preserve">Chapter 3 examined the UK mortgage market through industry analysis, segmentation, customer needs, competitor evaluation, and the application of the SWOT framework. The research showed that the market remains active and opportunity-rich, particularly among first-time buyers and remortgage clients, who increasingly value clear, technology-supported advice. The competitor analysis highlighted strong competition from large brokerages and digital </w:t>
      </w:r>
      <w:r w:rsidRPr="0001081A">
        <w:rPr>
          <w:rFonts w:ascii="Arial" w:hAnsi="Arial" w:cs="Arial"/>
        </w:rPr>
        <w:t>platforms but</w:t>
      </w:r>
      <w:r w:rsidRPr="0001081A">
        <w:rPr>
          <w:rFonts w:ascii="Arial" w:hAnsi="Arial" w:cs="Arial"/>
        </w:rPr>
        <w:t xml:space="preserve"> also revealed a service gap for firms offering personalised and compliance-focused support.</w:t>
      </w:r>
    </w:p>
    <w:p w14:paraId="1DE658AB" w14:textId="77777777" w:rsidR="0001081A" w:rsidRPr="0001081A" w:rsidRDefault="0001081A" w:rsidP="0001081A">
      <w:pPr>
        <w:spacing w:line="276" w:lineRule="auto"/>
        <w:jc w:val="both"/>
        <w:rPr>
          <w:rFonts w:ascii="Arial" w:hAnsi="Arial" w:cs="Arial"/>
        </w:rPr>
      </w:pPr>
    </w:p>
    <w:p w14:paraId="34F0E7EE" w14:textId="28E4502B" w:rsidR="004028AA" w:rsidRPr="004028AA" w:rsidRDefault="0001081A" w:rsidP="0001081A">
      <w:pPr>
        <w:spacing w:line="276" w:lineRule="auto"/>
        <w:jc w:val="both"/>
        <w:rPr>
          <w:rFonts w:ascii="Arial" w:hAnsi="Arial" w:cs="Arial"/>
        </w:rPr>
      </w:pPr>
      <w:r w:rsidRPr="0001081A">
        <w:rPr>
          <w:rFonts w:ascii="Arial" w:hAnsi="Arial" w:cs="Arial"/>
        </w:rPr>
        <w:t>The SWOT analysis provided a consolidated view of Sense Mortgage &amp; Residential’s strategic position. The firm benefits from strong internal strengths, including a hybrid advisory model and compliance support through the Openwork network, while early-stage weaknesses such as limited brand recognition and small team capacity must be managed carefully. Opportunities in digital scalability and rising consumer demand support business growth, whereas threats such as economic uncertainty and regulatory pressure require ongoing risk management. Overall, the chapter demonstrated that the firm is well positioned for sustainable entry into the mortgage advisory market, with a clear understanding of both internal capabilities and external market conditions.</w:t>
      </w:r>
    </w:p>
    <w:p w14:paraId="0245246A" w14:textId="77777777" w:rsidR="00D236F2" w:rsidRDefault="00D236F2" w:rsidP="00BE7277">
      <w:pPr>
        <w:spacing w:line="276" w:lineRule="auto"/>
        <w:jc w:val="both"/>
        <w:rPr>
          <w:rFonts w:ascii="Arial" w:hAnsi="Arial" w:cs="Arial"/>
          <w:i/>
          <w:iCs/>
        </w:rPr>
      </w:pPr>
    </w:p>
    <w:p w14:paraId="6808E739" w14:textId="77777777" w:rsidR="0013711A" w:rsidRPr="0013711A" w:rsidRDefault="0013711A" w:rsidP="0013711A">
      <w:pPr>
        <w:spacing w:line="276" w:lineRule="auto"/>
        <w:jc w:val="both"/>
        <w:rPr>
          <w:rFonts w:ascii="Arial" w:hAnsi="Arial" w:cs="Arial"/>
        </w:rPr>
      </w:pPr>
      <w:r w:rsidRPr="0013711A">
        <w:rPr>
          <w:rFonts w:ascii="Arial" w:hAnsi="Arial" w:cs="Arial"/>
        </w:rPr>
        <w:t>Chapter 4: Marketing and Sales Strategy</w:t>
      </w:r>
    </w:p>
    <w:p w14:paraId="3E9FC1F9" w14:textId="2975F277" w:rsidR="0013711A" w:rsidRPr="0013711A" w:rsidRDefault="0013711A" w:rsidP="0013711A">
      <w:pPr>
        <w:spacing w:line="276" w:lineRule="auto"/>
        <w:jc w:val="both"/>
        <w:rPr>
          <w:rFonts w:ascii="Arial" w:hAnsi="Arial" w:cs="Arial"/>
        </w:rPr>
      </w:pPr>
      <w:r w:rsidRPr="0013711A">
        <w:rPr>
          <w:rFonts w:ascii="Arial" w:hAnsi="Arial" w:cs="Arial"/>
        </w:rPr>
        <w:t>4.1 Unique Selling Point (USP)</w:t>
      </w:r>
    </w:p>
    <w:p w14:paraId="593EAE34" w14:textId="3ADA5099" w:rsidR="0013711A" w:rsidRDefault="0013711A" w:rsidP="0013711A">
      <w:pPr>
        <w:spacing w:line="276" w:lineRule="auto"/>
        <w:jc w:val="both"/>
        <w:rPr>
          <w:rFonts w:ascii="Arial" w:hAnsi="Arial" w:cs="Arial"/>
        </w:rPr>
      </w:pPr>
      <w:r w:rsidRPr="0013711A">
        <w:rPr>
          <w:rFonts w:ascii="Arial" w:hAnsi="Arial" w:cs="Arial"/>
        </w:rPr>
        <w:t>Sense Mortgage &amp; Residential differentiates itself in a competitive mortgage advisory market by positioning its service as transparent, compliant, and digitally enhanced while maintaining a personalised, relationship-focused approach. Many mortgage brokers focus primarily on quick application processing or volume-driven models, which often reduces the quality of personalised advice. In contrast, Sense Mortgage &amp; Residential is built around a hybrid model that combines the efficiency of digital systems with the reassurance of professional guidance. This is particularly important as research shows that customers increasingly prefer advice that blends digital convenience with human interaction (McKinsey, 2023). The firm’s USP also emphasises compliance excellence, supported by a carefully selected FCA-authorised network, ensuring that advice is delivered with strong oversight and regulatory consistency. Its focus on technology-enabled workflows—such as digital fact-finding, automated updates, and secure document uploads</w:t>
      </w:r>
      <w:r w:rsidR="00B3364D">
        <w:rPr>
          <w:rFonts w:ascii="Arial" w:hAnsi="Arial" w:cs="Arial"/>
        </w:rPr>
        <w:t xml:space="preserve"> </w:t>
      </w:r>
      <w:r w:rsidRPr="0013711A">
        <w:rPr>
          <w:rFonts w:ascii="Arial" w:hAnsi="Arial" w:cs="Arial"/>
        </w:rPr>
        <w:t>offers a smoother and more transparent experience, especially for first-time buyers and remortgage clients who often require regular communication and reassurance.</w:t>
      </w:r>
    </w:p>
    <w:p w14:paraId="2F8A08A1" w14:textId="77777777" w:rsidR="0013711A" w:rsidRDefault="0013711A" w:rsidP="0013711A">
      <w:pPr>
        <w:spacing w:line="276" w:lineRule="auto"/>
        <w:jc w:val="both"/>
        <w:rPr>
          <w:rFonts w:ascii="Arial" w:hAnsi="Arial" w:cs="Arial"/>
        </w:rPr>
      </w:pPr>
    </w:p>
    <w:p w14:paraId="0EDBD115" w14:textId="0C5BA577" w:rsidR="0013711A" w:rsidRPr="0013711A" w:rsidRDefault="0013711A" w:rsidP="0013711A">
      <w:pPr>
        <w:spacing w:line="276" w:lineRule="auto"/>
        <w:jc w:val="both"/>
        <w:rPr>
          <w:rFonts w:ascii="Arial" w:hAnsi="Arial" w:cs="Arial"/>
        </w:rPr>
      </w:pPr>
      <w:r w:rsidRPr="0013711A">
        <w:rPr>
          <w:rFonts w:ascii="Arial" w:hAnsi="Arial" w:cs="Arial"/>
        </w:rPr>
        <w:t>4.2 Branding and Corporate Identity</w:t>
      </w:r>
    </w:p>
    <w:p w14:paraId="21F0D697" w14:textId="77777777" w:rsidR="0013711A" w:rsidRDefault="0013711A" w:rsidP="0013711A">
      <w:pPr>
        <w:spacing w:line="276" w:lineRule="auto"/>
        <w:jc w:val="both"/>
        <w:rPr>
          <w:rFonts w:ascii="Arial" w:hAnsi="Arial" w:cs="Arial"/>
        </w:rPr>
      </w:pPr>
      <w:r w:rsidRPr="0013711A">
        <w:rPr>
          <w:rFonts w:ascii="Arial" w:hAnsi="Arial" w:cs="Arial"/>
        </w:rPr>
        <w:t>Brand identity is an essential part of building trust in the financial services sector, where credibility, professionalism, and customer reassurance play central roles. The branding of Sense Mortgage &amp; Residential is designed to reflect stability, clarity, and integrity. The recently created sample logo uses a shield and home symbol to communicate protection and security, supported by a navy-blue colour scheme associated with trust and professionalism. According to Kotler and Keller (2023), strong brand identity supports customer recognition, enhances perceived reliability, and reinforces long-term client relationships.</w:t>
      </w:r>
    </w:p>
    <w:p w14:paraId="75FCCE9B" w14:textId="263695F1" w:rsidR="008B5507" w:rsidRPr="008B5507" w:rsidRDefault="00E8356D" w:rsidP="008B5507">
      <w:pPr>
        <w:spacing w:line="276" w:lineRule="auto"/>
        <w:jc w:val="both"/>
        <w:rPr>
          <w:rFonts w:ascii="Arial" w:hAnsi="Arial" w:cs="Arial"/>
        </w:rPr>
      </w:pPr>
      <w:r>
        <w:rPr>
          <w:rFonts w:ascii="Arial" w:hAnsi="Arial" w:cs="Arial"/>
        </w:rPr>
        <w:t>P</w:t>
      </w:r>
      <w:r w:rsidR="008B5507" w:rsidRPr="008B5507">
        <w:rPr>
          <w:rFonts w:ascii="Arial" w:hAnsi="Arial" w:cs="Arial"/>
        </w:rPr>
        <w:t>roposed Brand Elements</w:t>
      </w:r>
      <w:r>
        <w:rPr>
          <w:rFonts w:ascii="Arial" w:hAnsi="Arial" w:cs="Arial"/>
        </w:rPr>
        <w:t xml:space="preserve">: a </w:t>
      </w:r>
      <w:r w:rsidR="008B2FA6">
        <w:rPr>
          <w:rFonts w:ascii="Arial" w:hAnsi="Arial" w:cs="Arial"/>
        </w:rPr>
        <w:t xml:space="preserve">proposed brand identity framework shows </w:t>
      </w:r>
      <w:r w:rsidR="00595FEE">
        <w:rPr>
          <w:rFonts w:ascii="Arial" w:hAnsi="Arial" w:cs="Arial"/>
        </w:rPr>
        <w:t xml:space="preserve">relevant criteria considered during </w:t>
      </w:r>
      <w:r w:rsidR="00A353DD">
        <w:rPr>
          <w:rFonts w:ascii="Arial" w:hAnsi="Arial" w:cs="Arial"/>
        </w:rPr>
        <w:t xml:space="preserve">branding and corporate identity. </w:t>
      </w:r>
    </w:p>
    <w:p w14:paraId="2F652F08" w14:textId="76FA73B1" w:rsidR="0013711A" w:rsidRDefault="00C352A6" w:rsidP="0013711A">
      <w:pPr>
        <w:spacing w:line="276" w:lineRule="auto"/>
        <w:jc w:val="both"/>
        <w:rPr>
          <w:rFonts w:ascii="Arial" w:hAnsi="Arial" w:cs="Arial"/>
        </w:rPr>
      </w:pPr>
      <w:r>
        <w:rPr>
          <w:rFonts w:ascii="Arial" w:hAnsi="Arial" w:cs="Arial"/>
        </w:rPr>
        <w:t xml:space="preserve">Table </w:t>
      </w:r>
      <w:r w:rsidR="00584E37">
        <w:rPr>
          <w:rFonts w:ascii="Arial" w:hAnsi="Arial" w:cs="Arial"/>
        </w:rPr>
        <w:t xml:space="preserve">4: </w:t>
      </w:r>
      <w:r w:rsidR="00373368">
        <w:rPr>
          <w:rFonts w:ascii="Arial" w:hAnsi="Arial" w:cs="Arial"/>
        </w:rPr>
        <w:t>B</w:t>
      </w:r>
      <w:r w:rsidR="006B52E6">
        <w:rPr>
          <w:rFonts w:ascii="Arial" w:hAnsi="Arial" w:cs="Arial"/>
        </w:rPr>
        <w:t xml:space="preserve">rand </w:t>
      </w:r>
      <w:r w:rsidR="00373368">
        <w:rPr>
          <w:rFonts w:ascii="Arial" w:hAnsi="Arial" w:cs="Arial"/>
        </w:rPr>
        <w:t>I</w:t>
      </w:r>
      <w:r w:rsidR="006B52E6">
        <w:rPr>
          <w:rFonts w:ascii="Arial" w:hAnsi="Arial" w:cs="Arial"/>
        </w:rPr>
        <w:t xml:space="preserve">dentity </w:t>
      </w:r>
      <w:r w:rsidR="00373368">
        <w:rPr>
          <w:rFonts w:ascii="Arial" w:hAnsi="Arial" w:cs="Arial"/>
        </w:rPr>
        <w:t>F</w:t>
      </w:r>
      <w:r w:rsidR="006B52E6">
        <w:rPr>
          <w:rFonts w:ascii="Arial" w:hAnsi="Arial" w:cs="Arial"/>
        </w:rPr>
        <w:t>ramework</w:t>
      </w:r>
    </w:p>
    <w:tbl>
      <w:tblPr>
        <w:tblStyle w:val="TableGrid"/>
        <w:tblW w:w="0" w:type="auto"/>
        <w:tblLook w:val="04A0" w:firstRow="1" w:lastRow="0" w:firstColumn="1" w:lastColumn="0" w:noHBand="0" w:noVBand="1"/>
      </w:tblPr>
      <w:tblGrid>
        <w:gridCol w:w="9736"/>
      </w:tblGrid>
      <w:tr w:rsidR="00D25C25" w14:paraId="1C1ED5F3" w14:textId="77777777" w:rsidTr="00393D97">
        <w:trPr>
          <w:trHeight w:val="7490"/>
        </w:trPr>
        <w:tc>
          <w:tcPr>
            <w:tcW w:w="9736" w:type="dxa"/>
          </w:tcPr>
          <w:p w14:paraId="6319AEF5" w14:textId="75992614" w:rsidR="008F0746" w:rsidRPr="008F0746" w:rsidRDefault="00281EA9" w:rsidP="008F0746">
            <w:pPr>
              <w:spacing w:line="276" w:lineRule="auto"/>
              <w:jc w:val="both"/>
              <w:rPr>
                <w:rFonts w:ascii="Arial" w:hAnsi="Arial" w:cs="Arial"/>
              </w:rPr>
            </w:pPr>
            <w:r w:rsidRPr="00281EA9">
              <w:rPr>
                <w:rFonts w:ascii="Arial" w:hAnsi="Arial" w:cs="Arial"/>
                <w:noProof/>
              </w:rPr>
              <w:lastRenderedPageBreak/>
              <mc:AlternateContent>
                <mc:Choice Requires="wps">
                  <w:drawing>
                    <wp:anchor distT="45720" distB="45720" distL="114300" distR="114300" simplePos="0" relativeHeight="251659264" behindDoc="0" locked="0" layoutInCell="1" allowOverlap="1" wp14:anchorId="0F56BE7C" wp14:editId="3C52F57B">
                      <wp:simplePos x="0" y="0"/>
                      <wp:positionH relativeFrom="column">
                        <wp:posOffset>2983865</wp:posOffset>
                      </wp:positionH>
                      <wp:positionV relativeFrom="paragraph">
                        <wp:posOffset>60325</wp:posOffset>
                      </wp:positionV>
                      <wp:extent cx="3002280" cy="47015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2280" cy="4701540"/>
                              </a:xfrm>
                              <a:prstGeom prst="rect">
                                <a:avLst/>
                              </a:prstGeom>
                              <a:solidFill>
                                <a:srgbClr val="FFFFFF"/>
                              </a:solidFill>
                              <a:ln w="9525">
                                <a:solidFill>
                                  <a:srgbClr val="000000"/>
                                </a:solidFill>
                                <a:miter lim="800000"/>
                                <a:headEnd/>
                                <a:tailEnd/>
                              </a:ln>
                            </wps:spPr>
                            <wps:txbx>
                              <w:txbxContent>
                                <w:p w14:paraId="207CAD5E" w14:textId="55E8F505" w:rsidR="00281EA9" w:rsidRDefault="00281EA9" w:rsidP="00722D21">
                                  <w:pPr>
                                    <w:pStyle w:val="ListParagraph"/>
                                    <w:numPr>
                                      <w:ilvl w:val="0"/>
                                      <w:numId w:val="6"/>
                                    </w:numPr>
                                    <w:spacing w:line="276" w:lineRule="auto"/>
                                    <w:jc w:val="both"/>
                                    <w:rPr>
                                      <w:rFonts w:ascii="Arial" w:hAnsi="Arial" w:cs="Arial"/>
                                    </w:rPr>
                                  </w:pPr>
                                  <w:r w:rsidRPr="00722D21">
                                    <w:rPr>
                                      <w:rFonts w:ascii="Arial" w:hAnsi="Arial" w:cs="Arial"/>
                                    </w:rPr>
                                    <w:t>Primary Colour Palette: Navy blue, white, and soft grey</w:t>
                                  </w:r>
                                  <w:r w:rsidR="00C15628">
                                    <w:rPr>
                                      <w:rFonts w:ascii="Arial" w:hAnsi="Arial" w:cs="Arial"/>
                                    </w:rPr>
                                    <w:t xml:space="preserve"> </w:t>
                                  </w:r>
                                  <w:r w:rsidRPr="00722D21">
                                    <w:rPr>
                                      <w:rFonts w:ascii="Arial" w:hAnsi="Arial" w:cs="Arial"/>
                                    </w:rPr>
                                    <w:t>colours often associated with financial trust and clarity.</w:t>
                                  </w:r>
                                </w:p>
                                <w:p w14:paraId="6B0CF7F0" w14:textId="77777777" w:rsidR="00C15628" w:rsidRPr="00722D21" w:rsidRDefault="00C15628" w:rsidP="00C15628">
                                  <w:pPr>
                                    <w:pStyle w:val="ListParagraph"/>
                                    <w:spacing w:line="276" w:lineRule="auto"/>
                                    <w:jc w:val="both"/>
                                    <w:rPr>
                                      <w:rFonts w:ascii="Arial" w:hAnsi="Arial" w:cs="Arial"/>
                                    </w:rPr>
                                  </w:pPr>
                                </w:p>
                                <w:p w14:paraId="332D7F84" w14:textId="3EAF2FEB" w:rsidR="00C15628" w:rsidRDefault="00281EA9" w:rsidP="00C15628">
                                  <w:pPr>
                                    <w:pStyle w:val="ListParagraph"/>
                                    <w:numPr>
                                      <w:ilvl w:val="0"/>
                                      <w:numId w:val="6"/>
                                    </w:numPr>
                                    <w:spacing w:line="276" w:lineRule="auto"/>
                                    <w:jc w:val="both"/>
                                    <w:rPr>
                                      <w:rFonts w:ascii="Arial" w:hAnsi="Arial" w:cs="Arial"/>
                                    </w:rPr>
                                  </w:pPr>
                                  <w:r w:rsidRPr="00722D21">
                                    <w:rPr>
                                      <w:rFonts w:ascii="Arial" w:hAnsi="Arial" w:cs="Arial"/>
                                    </w:rPr>
                                    <w:t>Typography: Clean sans-serif font for accessibility and professionalism.</w:t>
                                  </w:r>
                                </w:p>
                                <w:p w14:paraId="3D13747F" w14:textId="77777777" w:rsidR="00C15628" w:rsidRPr="00C15628" w:rsidRDefault="00C15628" w:rsidP="00C15628">
                                  <w:pPr>
                                    <w:spacing w:line="276" w:lineRule="auto"/>
                                    <w:jc w:val="both"/>
                                    <w:rPr>
                                      <w:rFonts w:ascii="Arial" w:hAnsi="Arial" w:cs="Arial"/>
                                    </w:rPr>
                                  </w:pPr>
                                </w:p>
                                <w:p w14:paraId="62594556" w14:textId="437A3A22" w:rsidR="00393D97" w:rsidRDefault="00281EA9" w:rsidP="00393D97">
                                  <w:pPr>
                                    <w:pStyle w:val="ListParagraph"/>
                                    <w:numPr>
                                      <w:ilvl w:val="0"/>
                                      <w:numId w:val="6"/>
                                    </w:numPr>
                                    <w:spacing w:line="276" w:lineRule="auto"/>
                                    <w:jc w:val="both"/>
                                    <w:rPr>
                                      <w:rFonts w:ascii="Arial" w:hAnsi="Arial" w:cs="Arial"/>
                                    </w:rPr>
                                  </w:pPr>
                                  <w:r w:rsidRPr="00722D21">
                                    <w:rPr>
                                      <w:rFonts w:ascii="Arial" w:hAnsi="Arial" w:cs="Arial"/>
                                    </w:rPr>
                                    <w:t>Logo Concept: A shield combined with a house icon, symbolising financial protection, guidance, and homeownership security.</w:t>
                                  </w:r>
                                </w:p>
                                <w:p w14:paraId="620179E4" w14:textId="77777777" w:rsidR="00393D97" w:rsidRPr="00393D97" w:rsidRDefault="00393D97" w:rsidP="00393D97">
                                  <w:pPr>
                                    <w:pStyle w:val="ListParagraph"/>
                                    <w:rPr>
                                      <w:rFonts w:ascii="Arial" w:hAnsi="Arial" w:cs="Arial"/>
                                    </w:rPr>
                                  </w:pPr>
                                </w:p>
                                <w:p w14:paraId="17884666" w14:textId="77777777" w:rsidR="00393D97" w:rsidRPr="00393D97" w:rsidRDefault="00393D97" w:rsidP="00393D97">
                                  <w:pPr>
                                    <w:pStyle w:val="ListParagraph"/>
                                    <w:spacing w:line="276" w:lineRule="auto"/>
                                    <w:jc w:val="both"/>
                                    <w:rPr>
                                      <w:rFonts w:ascii="Arial" w:hAnsi="Arial" w:cs="Arial"/>
                                    </w:rPr>
                                  </w:pPr>
                                </w:p>
                                <w:p w14:paraId="32D84C2A" w14:textId="77777777" w:rsidR="00281EA9" w:rsidRDefault="00281EA9" w:rsidP="00722D21">
                                  <w:pPr>
                                    <w:pStyle w:val="ListParagraph"/>
                                    <w:numPr>
                                      <w:ilvl w:val="0"/>
                                      <w:numId w:val="6"/>
                                    </w:numPr>
                                    <w:spacing w:line="276" w:lineRule="auto"/>
                                    <w:jc w:val="both"/>
                                    <w:rPr>
                                      <w:rFonts w:ascii="Arial" w:hAnsi="Arial" w:cs="Arial"/>
                                    </w:rPr>
                                  </w:pPr>
                                  <w:r w:rsidRPr="00722D21">
                                    <w:rPr>
                                      <w:rFonts w:ascii="Arial" w:hAnsi="Arial" w:cs="Arial"/>
                                    </w:rPr>
                                    <w:t>Tone of Voice: Clear, calm, trustworthy, and informative.</w:t>
                                  </w:r>
                                </w:p>
                                <w:p w14:paraId="45A817DE" w14:textId="77777777" w:rsidR="00393D97" w:rsidRPr="00393D97" w:rsidRDefault="00393D97" w:rsidP="00393D97">
                                  <w:pPr>
                                    <w:spacing w:line="276" w:lineRule="auto"/>
                                    <w:jc w:val="both"/>
                                    <w:rPr>
                                      <w:rFonts w:ascii="Arial" w:hAnsi="Arial" w:cs="Arial"/>
                                    </w:rPr>
                                  </w:pPr>
                                </w:p>
                                <w:p w14:paraId="2EEEAE71" w14:textId="77777777" w:rsidR="00281EA9" w:rsidRPr="00722D21" w:rsidRDefault="00281EA9" w:rsidP="00722D21">
                                  <w:pPr>
                                    <w:pStyle w:val="ListParagraph"/>
                                    <w:numPr>
                                      <w:ilvl w:val="0"/>
                                      <w:numId w:val="6"/>
                                    </w:numPr>
                                    <w:spacing w:line="276" w:lineRule="auto"/>
                                    <w:jc w:val="both"/>
                                    <w:rPr>
                                      <w:rFonts w:ascii="Arial" w:hAnsi="Arial" w:cs="Arial"/>
                                    </w:rPr>
                                  </w:pPr>
                                  <w:r w:rsidRPr="00722D21">
                                    <w:rPr>
                                      <w:rFonts w:ascii="Arial" w:hAnsi="Arial" w:cs="Arial"/>
                                    </w:rPr>
                                    <w:t>Brand Personality: Approachable, knowledgeable, transparent, and dependable.</w:t>
                                  </w:r>
                                </w:p>
                                <w:p w14:paraId="3A0B6844" w14:textId="2EE90F9C" w:rsidR="00281EA9" w:rsidRDefault="00281EA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56BE7C" id="_x0000_t202" coordsize="21600,21600" o:spt="202" path="m,l,21600r21600,l21600,xe">
                      <v:stroke joinstyle="miter"/>
                      <v:path gradientshapeok="t" o:connecttype="rect"/>
                    </v:shapetype>
                    <v:shape id="Text Box 2" o:spid="_x0000_s1026" type="#_x0000_t202" style="position:absolute;left:0;text-align:left;margin-left:234.95pt;margin-top:4.75pt;width:236.4pt;height:370.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">
                      <v:textbox>
                        <w:txbxContent>
                          <w:p w14:paraId="207CAD5E" w14:textId="55E8F505" w:rsidR="00281EA9" w:rsidRDefault="00281EA9" w:rsidP="00722D21">
                            <w:pPr>
                              <w:pStyle w:val="ListParagraph"/>
                              <w:numPr>
                                <w:ilvl w:val="0"/>
                                <w:numId w:val="6"/>
                              </w:numPr>
                              <w:spacing w:line="276" w:lineRule="auto"/>
                              <w:jc w:val="both"/>
                              <w:rPr>
                                <w:rFonts w:ascii="Arial" w:hAnsi="Arial" w:cs="Arial"/>
                              </w:rPr>
                            </w:pPr>
                            <w:r w:rsidRPr="00722D21">
                              <w:rPr>
                                <w:rFonts w:ascii="Arial" w:hAnsi="Arial" w:cs="Arial"/>
                              </w:rPr>
                              <w:t>Primary Colour Palette: Navy blue, white, and soft grey</w:t>
                            </w:r>
                            <w:r w:rsidR="00C15628">
                              <w:rPr>
                                <w:rFonts w:ascii="Arial" w:hAnsi="Arial" w:cs="Arial"/>
                              </w:rPr>
                              <w:t xml:space="preserve"> </w:t>
                            </w:r>
                            <w:r w:rsidRPr="00722D21">
                              <w:rPr>
                                <w:rFonts w:ascii="Arial" w:hAnsi="Arial" w:cs="Arial"/>
                              </w:rPr>
                              <w:t>colours often associated with financial trust and clarity.</w:t>
                            </w:r>
                          </w:p>
                          <w:p w14:paraId="6B0CF7F0" w14:textId="77777777" w:rsidR="00C15628" w:rsidRPr="00722D21" w:rsidRDefault="00C15628" w:rsidP="00C15628">
                            <w:pPr>
                              <w:pStyle w:val="ListParagraph"/>
                              <w:spacing w:line="276" w:lineRule="auto"/>
                              <w:jc w:val="both"/>
                              <w:rPr>
                                <w:rFonts w:ascii="Arial" w:hAnsi="Arial" w:cs="Arial"/>
                              </w:rPr>
                            </w:pPr>
                          </w:p>
                          <w:p w14:paraId="332D7F84" w14:textId="3EAF2FEB" w:rsidR="00C15628" w:rsidRDefault="00281EA9" w:rsidP="00C15628">
                            <w:pPr>
                              <w:pStyle w:val="ListParagraph"/>
                              <w:numPr>
                                <w:ilvl w:val="0"/>
                                <w:numId w:val="6"/>
                              </w:numPr>
                              <w:spacing w:line="276" w:lineRule="auto"/>
                              <w:jc w:val="both"/>
                              <w:rPr>
                                <w:rFonts w:ascii="Arial" w:hAnsi="Arial" w:cs="Arial"/>
                              </w:rPr>
                            </w:pPr>
                            <w:r w:rsidRPr="00722D21">
                              <w:rPr>
                                <w:rFonts w:ascii="Arial" w:hAnsi="Arial" w:cs="Arial"/>
                              </w:rPr>
                              <w:t>Typography: Clean sans-serif font for accessibility and professionalism.</w:t>
                            </w:r>
                          </w:p>
                          <w:p w14:paraId="3D13747F" w14:textId="77777777" w:rsidR="00C15628" w:rsidRPr="00C15628" w:rsidRDefault="00C15628" w:rsidP="00C15628">
                            <w:pPr>
                              <w:spacing w:line="276" w:lineRule="auto"/>
                              <w:jc w:val="both"/>
                              <w:rPr>
                                <w:rFonts w:ascii="Arial" w:hAnsi="Arial" w:cs="Arial"/>
                              </w:rPr>
                            </w:pPr>
                          </w:p>
                          <w:p w14:paraId="62594556" w14:textId="437A3A22" w:rsidR="00393D97" w:rsidRDefault="00281EA9" w:rsidP="00393D97">
                            <w:pPr>
                              <w:pStyle w:val="ListParagraph"/>
                              <w:numPr>
                                <w:ilvl w:val="0"/>
                                <w:numId w:val="6"/>
                              </w:numPr>
                              <w:spacing w:line="276" w:lineRule="auto"/>
                              <w:jc w:val="both"/>
                              <w:rPr>
                                <w:rFonts w:ascii="Arial" w:hAnsi="Arial" w:cs="Arial"/>
                              </w:rPr>
                            </w:pPr>
                            <w:r w:rsidRPr="00722D21">
                              <w:rPr>
                                <w:rFonts w:ascii="Arial" w:hAnsi="Arial" w:cs="Arial"/>
                              </w:rPr>
                              <w:t>Logo Concept: A shield combined with a house icon, symbolising financial protection, guidance, and homeownership security.</w:t>
                            </w:r>
                          </w:p>
                          <w:p w14:paraId="620179E4" w14:textId="77777777" w:rsidR="00393D97" w:rsidRPr="00393D97" w:rsidRDefault="00393D97" w:rsidP="00393D97">
                            <w:pPr>
                              <w:pStyle w:val="ListParagraph"/>
                              <w:rPr>
                                <w:rFonts w:ascii="Arial" w:hAnsi="Arial" w:cs="Arial"/>
                              </w:rPr>
                            </w:pPr>
                          </w:p>
                          <w:p w14:paraId="17884666" w14:textId="77777777" w:rsidR="00393D97" w:rsidRPr="00393D97" w:rsidRDefault="00393D97" w:rsidP="00393D97">
                            <w:pPr>
                              <w:pStyle w:val="ListParagraph"/>
                              <w:spacing w:line="276" w:lineRule="auto"/>
                              <w:jc w:val="both"/>
                              <w:rPr>
                                <w:rFonts w:ascii="Arial" w:hAnsi="Arial" w:cs="Arial"/>
                              </w:rPr>
                            </w:pPr>
                          </w:p>
                          <w:p w14:paraId="32D84C2A" w14:textId="77777777" w:rsidR="00281EA9" w:rsidRDefault="00281EA9" w:rsidP="00722D21">
                            <w:pPr>
                              <w:pStyle w:val="ListParagraph"/>
                              <w:numPr>
                                <w:ilvl w:val="0"/>
                                <w:numId w:val="6"/>
                              </w:numPr>
                              <w:spacing w:line="276" w:lineRule="auto"/>
                              <w:jc w:val="both"/>
                              <w:rPr>
                                <w:rFonts w:ascii="Arial" w:hAnsi="Arial" w:cs="Arial"/>
                              </w:rPr>
                            </w:pPr>
                            <w:r w:rsidRPr="00722D21">
                              <w:rPr>
                                <w:rFonts w:ascii="Arial" w:hAnsi="Arial" w:cs="Arial"/>
                              </w:rPr>
                              <w:t>Tone of Voice: Clear, calm, trustworthy, and informative.</w:t>
                            </w:r>
                          </w:p>
                          <w:p w14:paraId="45A817DE" w14:textId="77777777" w:rsidR="00393D97" w:rsidRPr="00393D97" w:rsidRDefault="00393D97" w:rsidP="00393D97">
                            <w:pPr>
                              <w:spacing w:line="276" w:lineRule="auto"/>
                              <w:jc w:val="both"/>
                              <w:rPr>
                                <w:rFonts w:ascii="Arial" w:hAnsi="Arial" w:cs="Arial"/>
                              </w:rPr>
                            </w:pPr>
                          </w:p>
                          <w:p w14:paraId="2EEEAE71" w14:textId="77777777" w:rsidR="00281EA9" w:rsidRPr="00722D21" w:rsidRDefault="00281EA9" w:rsidP="00722D21">
                            <w:pPr>
                              <w:pStyle w:val="ListParagraph"/>
                              <w:numPr>
                                <w:ilvl w:val="0"/>
                                <w:numId w:val="6"/>
                              </w:numPr>
                              <w:spacing w:line="276" w:lineRule="auto"/>
                              <w:jc w:val="both"/>
                              <w:rPr>
                                <w:rFonts w:ascii="Arial" w:hAnsi="Arial" w:cs="Arial"/>
                              </w:rPr>
                            </w:pPr>
                            <w:r w:rsidRPr="00722D21">
                              <w:rPr>
                                <w:rFonts w:ascii="Arial" w:hAnsi="Arial" w:cs="Arial"/>
                              </w:rPr>
                              <w:t>Brand Personality: Approachable, knowledgeable, transparent, and dependable.</w:t>
                            </w:r>
                          </w:p>
                          <w:p w14:paraId="3A0B6844" w14:textId="2EE90F9C" w:rsidR="00281EA9" w:rsidRDefault="00281EA9"/>
                        </w:txbxContent>
                      </v:textbox>
                      <w10:wrap type="square"/>
                    </v:shape>
                  </w:pict>
                </mc:Fallback>
              </mc:AlternateContent>
            </w:r>
            <w:r w:rsidR="008F0746" w:rsidRPr="008F0746">
              <w:rPr>
                <w:rFonts w:ascii="Arial" w:hAnsi="Arial" w:cs="Arial"/>
                <w:noProof/>
              </w:rPr>
              <w:drawing>
                <wp:inline distT="0" distB="0" distL="0" distR="0" wp14:anchorId="566B07DE" wp14:editId="4AC31C9F">
                  <wp:extent cx="2811780" cy="4763770"/>
                  <wp:effectExtent l="0" t="0" r="7620" b="0"/>
                  <wp:docPr id="16631458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9169" cy="4776289"/>
                          </a:xfrm>
                          <a:prstGeom prst="rect">
                            <a:avLst/>
                          </a:prstGeom>
                          <a:noFill/>
                          <a:ln>
                            <a:noFill/>
                          </a:ln>
                        </pic:spPr>
                      </pic:pic>
                    </a:graphicData>
                  </a:graphic>
                </wp:inline>
              </w:drawing>
            </w:r>
          </w:p>
          <w:p w14:paraId="62EF9472" w14:textId="77777777" w:rsidR="00D25C25" w:rsidRDefault="00D25C25" w:rsidP="0013711A">
            <w:pPr>
              <w:spacing w:line="276" w:lineRule="auto"/>
              <w:jc w:val="both"/>
              <w:rPr>
                <w:rFonts w:ascii="Arial" w:hAnsi="Arial" w:cs="Arial"/>
              </w:rPr>
            </w:pPr>
          </w:p>
        </w:tc>
      </w:tr>
    </w:tbl>
    <w:p w14:paraId="1D9E3A0F" w14:textId="0D251679" w:rsidR="0013711A" w:rsidRPr="0013711A" w:rsidRDefault="006B52E6" w:rsidP="0013711A">
      <w:pPr>
        <w:spacing w:line="276" w:lineRule="auto"/>
        <w:jc w:val="both"/>
        <w:rPr>
          <w:rFonts w:ascii="Arial" w:hAnsi="Arial" w:cs="Arial"/>
        </w:rPr>
      </w:pPr>
      <w:r w:rsidRPr="00D236F2">
        <w:rPr>
          <w:rFonts w:ascii="Arial" w:hAnsi="Arial" w:cs="Arial"/>
          <w:i/>
          <w:iCs/>
        </w:rPr>
        <w:t>Source: Author Illustration (2025)</w:t>
      </w:r>
    </w:p>
    <w:p w14:paraId="5A260C0B" w14:textId="77777777" w:rsidR="0013711A" w:rsidRPr="0013711A" w:rsidRDefault="0013711A" w:rsidP="0013711A">
      <w:pPr>
        <w:spacing w:line="276" w:lineRule="auto"/>
        <w:jc w:val="both"/>
        <w:rPr>
          <w:rFonts w:ascii="Arial" w:hAnsi="Arial" w:cs="Arial"/>
        </w:rPr>
      </w:pPr>
      <w:r w:rsidRPr="0013711A">
        <w:rPr>
          <w:rFonts w:ascii="Arial" w:hAnsi="Arial" w:cs="Arial"/>
        </w:rPr>
        <w:t>Branding will be consistently implemented across all touchpoints, including the firm’s website, digital documents, social media content, stationery, and adviser email signatures. This helps build a professional and cohesive visual identity, supporting a stronger market presence.</w:t>
      </w:r>
    </w:p>
    <w:p w14:paraId="00A8DD7D" w14:textId="77777777" w:rsidR="0013711A" w:rsidRPr="0013711A" w:rsidRDefault="0013711A" w:rsidP="0013711A">
      <w:pPr>
        <w:spacing w:line="276" w:lineRule="auto"/>
        <w:jc w:val="both"/>
        <w:rPr>
          <w:rFonts w:ascii="Arial" w:hAnsi="Arial" w:cs="Arial"/>
        </w:rPr>
      </w:pPr>
    </w:p>
    <w:p w14:paraId="316D3F7F" w14:textId="4A9C03C7" w:rsidR="0013711A" w:rsidRPr="0013711A" w:rsidRDefault="0013711A" w:rsidP="0013711A">
      <w:pPr>
        <w:spacing w:line="276" w:lineRule="auto"/>
        <w:jc w:val="both"/>
        <w:rPr>
          <w:rFonts w:ascii="Arial" w:hAnsi="Arial" w:cs="Arial"/>
        </w:rPr>
      </w:pPr>
      <w:r w:rsidRPr="0013711A">
        <w:rPr>
          <w:rFonts w:ascii="Arial" w:hAnsi="Arial" w:cs="Arial"/>
        </w:rPr>
        <w:t>4.3 Positioning Strategy</w:t>
      </w:r>
    </w:p>
    <w:p w14:paraId="4729A6B4" w14:textId="77777777" w:rsidR="0013711A" w:rsidRPr="0013711A" w:rsidRDefault="0013711A" w:rsidP="0013711A">
      <w:pPr>
        <w:spacing w:line="276" w:lineRule="auto"/>
        <w:jc w:val="both"/>
        <w:rPr>
          <w:rFonts w:ascii="Arial" w:hAnsi="Arial" w:cs="Arial"/>
        </w:rPr>
      </w:pPr>
      <w:r w:rsidRPr="0013711A">
        <w:rPr>
          <w:rFonts w:ascii="Arial" w:hAnsi="Arial" w:cs="Arial"/>
        </w:rPr>
        <w:t xml:space="preserve">Positioning refers to how the business presents itself in the minds of consumers. Sense Mortgage &amp; Residential positions itself as a trusted, ethical, and technology-supported mortgage adviser offering reliable, clear, and customer-oriented services. The firm aims to differentiate itself from online-only platforms such as </w:t>
      </w:r>
      <w:proofErr w:type="spellStart"/>
      <w:r w:rsidRPr="0013711A">
        <w:rPr>
          <w:rFonts w:ascii="Arial" w:hAnsi="Arial" w:cs="Arial"/>
        </w:rPr>
        <w:t>Habito</w:t>
      </w:r>
      <w:proofErr w:type="spellEnd"/>
      <w:r w:rsidRPr="0013711A">
        <w:rPr>
          <w:rFonts w:ascii="Arial" w:hAnsi="Arial" w:cs="Arial"/>
        </w:rPr>
        <w:t>, which may lack the depth of personalised advice, and traditional brokerages that often use outdated processes and manual documentation. The business will position its service as both modern and personalised, responding to the increasing demand for advice that is fast, transparent, and guided by strong regulatory compliance. This positioning approach is supported by the STP framework findings from Chapter 3, which show that first-time buyers and remortgage clients especially value clear communication and guidance throughout the process (Deloitte, 2023).</w:t>
      </w:r>
    </w:p>
    <w:p w14:paraId="23ED30BE" w14:textId="77777777" w:rsidR="0013711A" w:rsidRPr="0013711A" w:rsidRDefault="0013711A" w:rsidP="0013711A">
      <w:pPr>
        <w:spacing w:line="276" w:lineRule="auto"/>
        <w:jc w:val="both"/>
        <w:rPr>
          <w:rFonts w:ascii="Arial" w:hAnsi="Arial" w:cs="Arial"/>
        </w:rPr>
      </w:pPr>
    </w:p>
    <w:p w14:paraId="3980D291" w14:textId="5D7C2CE9" w:rsidR="0013711A" w:rsidRPr="0013711A" w:rsidRDefault="0013711A" w:rsidP="0013711A">
      <w:pPr>
        <w:spacing w:line="276" w:lineRule="auto"/>
        <w:jc w:val="both"/>
        <w:rPr>
          <w:rFonts w:ascii="Arial" w:hAnsi="Arial" w:cs="Arial"/>
        </w:rPr>
      </w:pPr>
      <w:r w:rsidRPr="0013711A">
        <w:rPr>
          <w:rFonts w:ascii="Arial" w:hAnsi="Arial" w:cs="Arial"/>
        </w:rPr>
        <w:t>4.4 Marketing Mix (7Ps)</w:t>
      </w:r>
    </w:p>
    <w:p w14:paraId="06395240" w14:textId="0BA6B115" w:rsidR="0013711A" w:rsidRPr="0013711A" w:rsidRDefault="0013711A" w:rsidP="0013711A">
      <w:pPr>
        <w:spacing w:line="276" w:lineRule="auto"/>
        <w:jc w:val="both"/>
        <w:rPr>
          <w:rFonts w:ascii="Arial" w:hAnsi="Arial" w:cs="Arial"/>
        </w:rPr>
      </w:pPr>
      <w:r w:rsidRPr="0013711A">
        <w:rPr>
          <w:rFonts w:ascii="Arial" w:hAnsi="Arial" w:cs="Arial"/>
        </w:rPr>
        <w:t>The Marketing Mix provides a structured approach for implementing Sense Mortgage &amp; Residential’s marketing strategy.</w:t>
      </w:r>
    </w:p>
    <w:p w14:paraId="266996FB" w14:textId="3E862D01" w:rsidR="0013711A" w:rsidRPr="0013711A" w:rsidRDefault="0013711A" w:rsidP="0013711A">
      <w:pPr>
        <w:spacing w:line="276" w:lineRule="auto"/>
        <w:jc w:val="both"/>
        <w:rPr>
          <w:rFonts w:ascii="Arial" w:hAnsi="Arial" w:cs="Arial"/>
        </w:rPr>
      </w:pPr>
      <w:r w:rsidRPr="0013711A">
        <w:rPr>
          <w:rFonts w:ascii="Arial" w:hAnsi="Arial" w:cs="Arial"/>
        </w:rPr>
        <w:t>Product</w:t>
      </w:r>
    </w:p>
    <w:p w14:paraId="3BD1EF54" w14:textId="77777777" w:rsidR="0013711A" w:rsidRPr="0013711A" w:rsidRDefault="0013711A" w:rsidP="0013711A">
      <w:pPr>
        <w:spacing w:line="276" w:lineRule="auto"/>
        <w:jc w:val="both"/>
        <w:rPr>
          <w:rFonts w:ascii="Arial" w:hAnsi="Arial" w:cs="Arial"/>
        </w:rPr>
      </w:pPr>
      <w:r w:rsidRPr="0013711A">
        <w:rPr>
          <w:rFonts w:ascii="Arial" w:hAnsi="Arial" w:cs="Arial"/>
        </w:rPr>
        <w:t>The core service offering includes mortgage advice, remortgage support, buy-to-let lending guidance, and insurance protection planning. The service is enhanced through digital tools such as CRM systems, automated communication, and document-sharing platforms. These elements combine to create a complete advisory experience that supports customers from initial enquiry through to mortgage completion.</w:t>
      </w:r>
    </w:p>
    <w:p w14:paraId="7FD742AD" w14:textId="77777777" w:rsidR="0013711A" w:rsidRPr="0013711A" w:rsidRDefault="0013711A" w:rsidP="0013711A">
      <w:pPr>
        <w:spacing w:line="276" w:lineRule="auto"/>
        <w:jc w:val="both"/>
        <w:rPr>
          <w:rFonts w:ascii="Arial" w:hAnsi="Arial" w:cs="Arial"/>
        </w:rPr>
      </w:pPr>
    </w:p>
    <w:p w14:paraId="49FDE562" w14:textId="4A87D747" w:rsidR="0013711A" w:rsidRPr="0013711A" w:rsidRDefault="0013711A" w:rsidP="0013711A">
      <w:pPr>
        <w:spacing w:line="276" w:lineRule="auto"/>
        <w:jc w:val="both"/>
        <w:rPr>
          <w:rFonts w:ascii="Arial" w:hAnsi="Arial" w:cs="Arial"/>
        </w:rPr>
      </w:pPr>
      <w:r w:rsidRPr="0013711A">
        <w:rPr>
          <w:rFonts w:ascii="Arial" w:hAnsi="Arial" w:cs="Arial"/>
        </w:rPr>
        <w:t>Price</w:t>
      </w:r>
    </w:p>
    <w:p w14:paraId="2C55B26D" w14:textId="77777777" w:rsidR="0013711A" w:rsidRPr="0013711A" w:rsidRDefault="0013711A" w:rsidP="0013711A">
      <w:pPr>
        <w:spacing w:line="276" w:lineRule="auto"/>
        <w:jc w:val="both"/>
        <w:rPr>
          <w:rFonts w:ascii="Arial" w:hAnsi="Arial" w:cs="Arial"/>
        </w:rPr>
      </w:pPr>
      <w:r w:rsidRPr="0013711A">
        <w:rPr>
          <w:rFonts w:ascii="Arial" w:hAnsi="Arial" w:cs="Arial"/>
        </w:rPr>
        <w:t xml:space="preserve">The business will adopt a transparent and competitive fee model, aligned with market norms. Some cases may be fee-free where remuneration is received from lenders, while complex cases may involve a fixed adviser fee. Transparent pricing builds trust and </w:t>
      </w:r>
      <w:proofErr w:type="gramStart"/>
      <w:r w:rsidRPr="0013711A">
        <w:rPr>
          <w:rFonts w:ascii="Arial" w:hAnsi="Arial" w:cs="Arial"/>
        </w:rPr>
        <w:t>supports</w:t>
      </w:r>
      <w:proofErr w:type="gramEnd"/>
      <w:r w:rsidRPr="0013711A">
        <w:rPr>
          <w:rFonts w:ascii="Arial" w:hAnsi="Arial" w:cs="Arial"/>
        </w:rPr>
        <w:t xml:space="preserve"> compliance with Consumer Duty requirements (FCA, 2023).</w:t>
      </w:r>
    </w:p>
    <w:p w14:paraId="6EAACEF2" w14:textId="77777777" w:rsidR="0013711A" w:rsidRPr="0013711A" w:rsidRDefault="0013711A" w:rsidP="0013711A">
      <w:pPr>
        <w:spacing w:line="276" w:lineRule="auto"/>
        <w:jc w:val="both"/>
        <w:rPr>
          <w:rFonts w:ascii="Arial" w:hAnsi="Arial" w:cs="Arial"/>
        </w:rPr>
      </w:pPr>
    </w:p>
    <w:p w14:paraId="788F0D44" w14:textId="57B0C065" w:rsidR="0013711A" w:rsidRPr="0013711A" w:rsidRDefault="0013711A" w:rsidP="0013711A">
      <w:pPr>
        <w:spacing w:line="276" w:lineRule="auto"/>
        <w:jc w:val="both"/>
        <w:rPr>
          <w:rFonts w:ascii="Arial" w:hAnsi="Arial" w:cs="Arial"/>
        </w:rPr>
      </w:pPr>
      <w:r w:rsidRPr="0013711A">
        <w:rPr>
          <w:rFonts w:ascii="Arial" w:hAnsi="Arial" w:cs="Arial"/>
        </w:rPr>
        <w:t>Place</w:t>
      </w:r>
    </w:p>
    <w:p w14:paraId="22FCDE25" w14:textId="77777777" w:rsidR="0013711A" w:rsidRPr="0013711A" w:rsidRDefault="0013711A" w:rsidP="0013711A">
      <w:pPr>
        <w:spacing w:line="276" w:lineRule="auto"/>
        <w:jc w:val="both"/>
        <w:rPr>
          <w:rFonts w:ascii="Arial" w:hAnsi="Arial" w:cs="Arial"/>
        </w:rPr>
      </w:pPr>
      <w:r w:rsidRPr="0013711A">
        <w:rPr>
          <w:rFonts w:ascii="Arial" w:hAnsi="Arial" w:cs="Arial"/>
        </w:rPr>
        <w:t>The firm will operate through a hybrid service model, providing advice remotely through digital platforms and face-to-face where required. This approach aligns with modern client expectations and widens the geographical reach of the firm.</w:t>
      </w:r>
    </w:p>
    <w:p w14:paraId="59E2EF68" w14:textId="77777777" w:rsidR="0013711A" w:rsidRPr="0013711A" w:rsidRDefault="0013711A" w:rsidP="0013711A">
      <w:pPr>
        <w:spacing w:line="276" w:lineRule="auto"/>
        <w:jc w:val="both"/>
        <w:rPr>
          <w:rFonts w:ascii="Arial" w:hAnsi="Arial" w:cs="Arial"/>
        </w:rPr>
      </w:pPr>
    </w:p>
    <w:p w14:paraId="1CD2B115" w14:textId="383B7243" w:rsidR="0013711A" w:rsidRPr="0013711A" w:rsidRDefault="0013711A" w:rsidP="0013711A">
      <w:pPr>
        <w:spacing w:line="276" w:lineRule="auto"/>
        <w:jc w:val="both"/>
        <w:rPr>
          <w:rFonts w:ascii="Arial" w:hAnsi="Arial" w:cs="Arial"/>
        </w:rPr>
      </w:pPr>
      <w:r w:rsidRPr="0013711A">
        <w:rPr>
          <w:rFonts w:ascii="Arial" w:hAnsi="Arial" w:cs="Arial"/>
        </w:rPr>
        <w:t>Promotion</w:t>
      </w:r>
    </w:p>
    <w:p w14:paraId="59E028A7" w14:textId="77777777" w:rsidR="0013711A" w:rsidRPr="0013711A" w:rsidRDefault="0013711A" w:rsidP="0013711A">
      <w:pPr>
        <w:spacing w:line="276" w:lineRule="auto"/>
        <w:jc w:val="both"/>
        <w:rPr>
          <w:rFonts w:ascii="Arial" w:hAnsi="Arial" w:cs="Arial"/>
        </w:rPr>
      </w:pPr>
      <w:r w:rsidRPr="0013711A">
        <w:rPr>
          <w:rFonts w:ascii="Arial" w:hAnsi="Arial" w:cs="Arial"/>
        </w:rPr>
        <w:t>Marketing activities will include social media advertising, search engine optimisation (SEO), educational content, referral partnerships, review platforms, and targeted digital campaigns. The firm will prioritise educational content—blogs, guides, checklists—to build authority and support first-time buyers seeking clarity.</w:t>
      </w:r>
    </w:p>
    <w:p w14:paraId="07846716" w14:textId="77777777" w:rsidR="0013711A" w:rsidRPr="0013711A" w:rsidRDefault="0013711A" w:rsidP="0013711A">
      <w:pPr>
        <w:spacing w:line="276" w:lineRule="auto"/>
        <w:jc w:val="both"/>
        <w:rPr>
          <w:rFonts w:ascii="Arial" w:hAnsi="Arial" w:cs="Arial"/>
        </w:rPr>
      </w:pPr>
    </w:p>
    <w:p w14:paraId="51B6B905" w14:textId="5508C0EA" w:rsidR="0013711A" w:rsidRPr="0013711A" w:rsidRDefault="0013711A" w:rsidP="0013711A">
      <w:pPr>
        <w:spacing w:line="276" w:lineRule="auto"/>
        <w:jc w:val="both"/>
        <w:rPr>
          <w:rFonts w:ascii="Arial" w:hAnsi="Arial" w:cs="Arial"/>
        </w:rPr>
      </w:pPr>
      <w:r w:rsidRPr="0013711A">
        <w:rPr>
          <w:rFonts w:ascii="Arial" w:hAnsi="Arial" w:cs="Arial"/>
        </w:rPr>
        <w:t>People</w:t>
      </w:r>
    </w:p>
    <w:p w14:paraId="69E4E26F" w14:textId="77777777" w:rsidR="0013711A" w:rsidRPr="0013711A" w:rsidRDefault="0013711A" w:rsidP="0013711A">
      <w:pPr>
        <w:spacing w:line="276" w:lineRule="auto"/>
        <w:jc w:val="both"/>
        <w:rPr>
          <w:rFonts w:ascii="Arial" w:hAnsi="Arial" w:cs="Arial"/>
        </w:rPr>
      </w:pPr>
      <w:r w:rsidRPr="0013711A">
        <w:rPr>
          <w:rFonts w:ascii="Arial" w:hAnsi="Arial" w:cs="Arial"/>
        </w:rPr>
        <w:t>The quality of advice depends heavily on adviser expertise. Advisers will receive continuous training, participate in CPD programmes, and follow strong compliance protocols in line with network requirements.</w:t>
      </w:r>
    </w:p>
    <w:p w14:paraId="0CCFB291" w14:textId="77777777" w:rsidR="0013711A" w:rsidRPr="0013711A" w:rsidRDefault="0013711A" w:rsidP="0013711A">
      <w:pPr>
        <w:spacing w:line="276" w:lineRule="auto"/>
        <w:jc w:val="both"/>
        <w:rPr>
          <w:rFonts w:ascii="Arial" w:hAnsi="Arial" w:cs="Arial"/>
        </w:rPr>
      </w:pPr>
    </w:p>
    <w:p w14:paraId="44433A69" w14:textId="6A6814D0" w:rsidR="0013711A" w:rsidRPr="0013711A" w:rsidRDefault="0013711A" w:rsidP="0013711A">
      <w:pPr>
        <w:spacing w:line="276" w:lineRule="auto"/>
        <w:jc w:val="both"/>
        <w:rPr>
          <w:rFonts w:ascii="Arial" w:hAnsi="Arial" w:cs="Arial"/>
        </w:rPr>
      </w:pPr>
      <w:r w:rsidRPr="0013711A">
        <w:rPr>
          <w:rFonts w:ascii="Arial" w:hAnsi="Arial" w:cs="Arial"/>
        </w:rPr>
        <w:t>Process</w:t>
      </w:r>
    </w:p>
    <w:p w14:paraId="6224B744" w14:textId="77777777" w:rsidR="0013711A" w:rsidRPr="0013711A" w:rsidRDefault="0013711A" w:rsidP="0013711A">
      <w:pPr>
        <w:spacing w:line="276" w:lineRule="auto"/>
        <w:jc w:val="both"/>
        <w:rPr>
          <w:rFonts w:ascii="Arial" w:hAnsi="Arial" w:cs="Arial"/>
        </w:rPr>
      </w:pPr>
      <w:r w:rsidRPr="0013711A">
        <w:rPr>
          <w:rFonts w:ascii="Arial" w:hAnsi="Arial" w:cs="Arial"/>
        </w:rPr>
        <w:lastRenderedPageBreak/>
        <w:t>A structured advisory process ensures consistency, compliance, and positive client outcomes. Digital tools will support onboarding, document collection, affordability checks, and application tracking.</w:t>
      </w:r>
    </w:p>
    <w:p w14:paraId="3597A5D6" w14:textId="77777777" w:rsidR="0013711A" w:rsidRPr="0013711A" w:rsidRDefault="0013711A" w:rsidP="0013711A">
      <w:pPr>
        <w:spacing w:line="276" w:lineRule="auto"/>
        <w:jc w:val="both"/>
        <w:rPr>
          <w:rFonts w:ascii="Arial" w:hAnsi="Arial" w:cs="Arial"/>
        </w:rPr>
      </w:pPr>
    </w:p>
    <w:p w14:paraId="49A54CE3" w14:textId="2390CD84" w:rsidR="0013711A" w:rsidRPr="0013711A" w:rsidRDefault="0013711A" w:rsidP="0013711A">
      <w:pPr>
        <w:spacing w:line="276" w:lineRule="auto"/>
        <w:jc w:val="both"/>
        <w:rPr>
          <w:rFonts w:ascii="Arial" w:hAnsi="Arial" w:cs="Arial"/>
        </w:rPr>
      </w:pPr>
      <w:r w:rsidRPr="0013711A">
        <w:rPr>
          <w:rFonts w:ascii="Arial" w:hAnsi="Arial" w:cs="Arial"/>
        </w:rPr>
        <w:t>Physical Evidence</w:t>
      </w:r>
    </w:p>
    <w:p w14:paraId="658376B5" w14:textId="77777777" w:rsidR="0013711A" w:rsidRPr="0013711A" w:rsidRDefault="0013711A" w:rsidP="0013711A">
      <w:pPr>
        <w:spacing w:line="276" w:lineRule="auto"/>
        <w:jc w:val="both"/>
        <w:rPr>
          <w:rFonts w:ascii="Arial" w:hAnsi="Arial" w:cs="Arial"/>
        </w:rPr>
      </w:pPr>
      <w:r w:rsidRPr="0013711A">
        <w:rPr>
          <w:rFonts w:ascii="Arial" w:hAnsi="Arial" w:cs="Arial"/>
        </w:rPr>
        <w:t>Physical evidence refers to tangible cues that reinforce the brand. These include the professionally designed logo, branded documents, website design, online reviews, adviser profiles, and presentation templates.</w:t>
      </w:r>
    </w:p>
    <w:p w14:paraId="7F6DDA36" w14:textId="77777777" w:rsidR="0013711A" w:rsidRPr="0013711A" w:rsidRDefault="0013711A" w:rsidP="0013711A">
      <w:pPr>
        <w:spacing w:line="276" w:lineRule="auto"/>
        <w:jc w:val="both"/>
        <w:rPr>
          <w:rFonts w:ascii="Arial" w:hAnsi="Arial" w:cs="Arial"/>
        </w:rPr>
      </w:pPr>
    </w:p>
    <w:p w14:paraId="61468577" w14:textId="23457308" w:rsidR="0013711A" w:rsidRPr="0013711A" w:rsidRDefault="0013711A" w:rsidP="0013711A">
      <w:pPr>
        <w:spacing w:line="276" w:lineRule="auto"/>
        <w:jc w:val="both"/>
        <w:rPr>
          <w:rFonts w:ascii="Arial" w:hAnsi="Arial" w:cs="Arial"/>
        </w:rPr>
      </w:pPr>
      <w:r w:rsidRPr="0013711A">
        <w:rPr>
          <w:rFonts w:ascii="Arial" w:hAnsi="Arial" w:cs="Arial"/>
        </w:rPr>
        <w:t>4.5 Sales Channels</w:t>
      </w:r>
    </w:p>
    <w:p w14:paraId="697B0889" w14:textId="77777777" w:rsidR="0013711A" w:rsidRPr="0013711A" w:rsidRDefault="0013711A" w:rsidP="0013711A">
      <w:pPr>
        <w:spacing w:line="276" w:lineRule="auto"/>
        <w:jc w:val="both"/>
        <w:rPr>
          <w:rFonts w:ascii="Arial" w:hAnsi="Arial" w:cs="Arial"/>
        </w:rPr>
      </w:pPr>
      <w:r w:rsidRPr="0013711A">
        <w:rPr>
          <w:rFonts w:ascii="Arial" w:hAnsi="Arial" w:cs="Arial"/>
        </w:rPr>
        <w:t>Sense Mortgage &amp; Residential will use a combination of digital and relationship-based sales channels. The primary channels will include the company website, social media platforms (Facebook, Instagram, TikTok, LinkedIn), Google Search campaigns, and email marketing. The firm will also develop referral partnerships with estate agents, accountants, solicitors, and insurance advisers. These partners often provide warm leads and ongoing introductions, which can significantly increase revenue potential.</w:t>
      </w:r>
    </w:p>
    <w:p w14:paraId="30035599" w14:textId="77777777" w:rsidR="0013711A" w:rsidRPr="0013711A" w:rsidRDefault="0013711A" w:rsidP="0013711A">
      <w:pPr>
        <w:spacing w:line="276" w:lineRule="auto"/>
        <w:jc w:val="both"/>
        <w:rPr>
          <w:rFonts w:ascii="Arial" w:hAnsi="Arial" w:cs="Arial"/>
        </w:rPr>
      </w:pPr>
    </w:p>
    <w:p w14:paraId="0AF7A2A8" w14:textId="77777777" w:rsidR="0013711A" w:rsidRPr="0013711A" w:rsidRDefault="0013711A" w:rsidP="0013711A">
      <w:pPr>
        <w:spacing w:line="276" w:lineRule="auto"/>
        <w:jc w:val="both"/>
        <w:rPr>
          <w:rFonts w:ascii="Arial" w:hAnsi="Arial" w:cs="Arial"/>
        </w:rPr>
      </w:pPr>
      <w:r w:rsidRPr="0013711A">
        <w:rPr>
          <w:rFonts w:ascii="Arial" w:hAnsi="Arial" w:cs="Arial"/>
        </w:rPr>
        <w:t>Additionally, existing clients represent an important sales channel through repeat business and long-term remortgage cycles. Regular follow-up communication, annual mortgage reviews, and protection reassessments will help maintain strong client relationships and support a stable revenue pipeline.</w:t>
      </w:r>
    </w:p>
    <w:p w14:paraId="5927B2DD" w14:textId="77777777" w:rsidR="0013711A" w:rsidRPr="0013711A" w:rsidRDefault="0013711A" w:rsidP="0013711A">
      <w:pPr>
        <w:spacing w:line="276" w:lineRule="auto"/>
        <w:jc w:val="both"/>
        <w:rPr>
          <w:rFonts w:ascii="Arial" w:hAnsi="Arial" w:cs="Arial"/>
        </w:rPr>
      </w:pPr>
    </w:p>
    <w:p w14:paraId="6BA7C618" w14:textId="0C7900AE" w:rsidR="0013711A" w:rsidRPr="0013711A" w:rsidRDefault="0013711A" w:rsidP="0013711A">
      <w:pPr>
        <w:spacing w:line="276" w:lineRule="auto"/>
        <w:jc w:val="both"/>
        <w:rPr>
          <w:rFonts w:ascii="Arial" w:hAnsi="Arial" w:cs="Arial"/>
        </w:rPr>
      </w:pPr>
      <w:r w:rsidRPr="0013711A">
        <w:rPr>
          <w:rFonts w:ascii="Arial" w:hAnsi="Arial" w:cs="Arial"/>
        </w:rPr>
        <w:t>4.6 Digital Strategy</w:t>
      </w:r>
    </w:p>
    <w:p w14:paraId="1E677B76" w14:textId="77777777" w:rsidR="0013711A" w:rsidRPr="0013711A" w:rsidRDefault="0013711A" w:rsidP="0013711A">
      <w:pPr>
        <w:spacing w:line="276" w:lineRule="auto"/>
        <w:jc w:val="both"/>
        <w:rPr>
          <w:rFonts w:ascii="Arial" w:hAnsi="Arial" w:cs="Arial"/>
        </w:rPr>
      </w:pPr>
      <w:r w:rsidRPr="0013711A">
        <w:rPr>
          <w:rFonts w:ascii="Arial" w:hAnsi="Arial" w:cs="Arial"/>
        </w:rPr>
        <w:t>Digital marketing plays a central role in the firm’s overall strategy. A well-designed website will act as the main entry point for clients, featuring lead capture forms, guides for first-time buyers, calculators, and clear calls to action. SEO will be used to improve visibility on Google, supported by content such as blogs, FAQs, and video guides on social media. Paid advertising through Google Ads and Facebook will help target specific segments, especially first-time buyers and re-mortgage clients.</w:t>
      </w:r>
    </w:p>
    <w:p w14:paraId="02F81159" w14:textId="77777777" w:rsidR="0013711A" w:rsidRPr="0013711A" w:rsidRDefault="0013711A" w:rsidP="0013711A">
      <w:pPr>
        <w:spacing w:line="276" w:lineRule="auto"/>
        <w:jc w:val="both"/>
        <w:rPr>
          <w:rFonts w:ascii="Arial" w:hAnsi="Arial" w:cs="Arial"/>
        </w:rPr>
      </w:pPr>
    </w:p>
    <w:p w14:paraId="01BE2EA5" w14:textId="77777777" w:rsidR="0013711A" w:rsidRPr="0013711A" w:rsidRDefault="0013711A" w:rsidP="0013711A">
      <w:pPr>
        <w:spacing w:line="276" w:lineRule="auto"/>
        <w:jc w:val="both"/>
        <w:rPr>
          <w:rFonts w:ascii="Arial" w:hAnsi="Arial" w:cs="Arial"/>
        </w:rPr>
      </w:pPr>
      <w:r w:rsidRPr="0013711A">
        <w:rPr>
          <w:rFonts w:ascii="Arial" w:hAnsi="Arial" w:cs="Arial"/>
        </w:rPr>
        <w:t>The firm will implement a CRM system to manage enquiries, track leads, and automate communication. Automation will support client updates, missing document reminders, review alerts, and appointment scheduling. Digital identity verification tools will also be integrated to streamline onboarding and reduce administrative delays. This digital approach aligns with industry research showing that customers increasingly expect fast, user-friendly, and paperless processes (McKinsey, 2023).</w:t>
      </w:r>
    </w:p>
    <w:p w14:paraId="781022F8" w14:textId="77777777" w:rsidR="0013711A" w:rsidRPr="0013711A" w:rsidRDefault="0013711A" w:rsidP="0013711A">
      <w:pPr>
        <w:spacing w:line="276" w:lineRule="auto"/>
        <w:jc w:val="both"/>
        <w:rPr>
          <w:rFonts w:ascii="Arial" w:hAnsi="Arial" w:cs="Arial"/>
        </w:rPr>
      </w:pPr>
    </w:p>
    <w:p w14:paraId="764729E8" w14:textId="6673FF52" w:rsidR="0013711A" w:rsidRPr="0013711A" w:rsidRDefault="0013711A" w:rsidP="0013711A">
      <w:pPr>
        <w:spacing w:line="276" w:lineRule="auto"/>
        <w:jc w:val="both"/>
        <w:rPr>
          <w:rFonts w:ascii="Arial" w:hAnsi="Arial" w:cs="Arial"/>
        </w:rPr>
      </w:pPr>
      <w:r w:rsidRPr="0013711A">
        <w:rPr>
          <w:rFonts w:ascii="Arial" w:hAnsi="Arial" w:cs="Arial"/>
        </w:rPr>
        <w:lastRenderedPageBreak/>
        <w:t>4.7 Marketing Budget</w:t>
      </w:r>
    </w:p>
    <w:p w14:paraId="231F8F30" w14:textId="77777777" w:rsidR="0013711A" w:rsidRPr="0013711A" w:rsidRDefault="0013711A" w:rsidP="0013711A">
      <w:pPr>
        <w:spacing w:line="276" w:lineRule="auto"/>
        <w:jc w:val="both"/>
        <w:rPr>
          <w:rFonts w:ascii="Arial" w:hAnsi="Arial" w:cs="Arial"/>
        </w:rPr>
      </w:pPr>
      <w:r w:rsidRPr="0013711A">
        <w:rPr>
          <w:rFonts w:ascii="Arial" w:hAnsi="Arial" w:cs="Arial"/>
        </w:rPr>
        <w:t>The initial marketing budget will focus on high-impact, cost-effective activities. Core expenses will include website development, branding design, CRM subscription, content creation, Google Ads, and social media promotion. A sample first-year budget is outlined below:</w:t>
      </w:r>
    </w:p>
    <w:p w14:paraId="0CC4D91E" w14:textId="77777777" w:rsidR="0013711A" w:rsidRPr="0013711A" w:rsidRDefault="0013711A" w:rsidP="0013711A">
      <w:pPr>
        <w:spacing w:line="276" w:lineRule="auto"/>
        <w:jc w:val="both"/>
        <w:rPr>
          <w:rFonts w:ascii="Arial" w:hAnsi="Arial" w:cs="Arial"/>
        </w:rPr>
      </w:pPr>
    </w:p>
    <w:p w14:paraId="76C9FB9B" w14:textId="05D728C2" w:rsidR="0013711A" w:rsidRDefault="0013711A" w:rsidP="0013711A">
      <w:pPr>
        <w:spacing w:line="276" w:lineRule="auto"/>
        <w:jc w:val="both"/>
        <w:rPr>
          <w:rFonts w:ascii="Arial" w:hAnsi="Arial" w:cs="Arial"/>
        </w:rPr>
      </w:pPr>
      <w:r w:rsidRPr="0013711A">
        <w:rPr>
          <w:rFonts w:ascii="Arial" w:hAnsi="Arial" w:cs="Arial"/>
        </w:rPr>
        <w:t xml:space="preserve">Table </w:t>
      </w:r>
      <w:r w:rsidR="004C4E1D">
        <w:rPr>
          <w:rFonts w:ascii="Arial" w:hAnsi="Arial" w:cs="Arial"/>
        </w:rPr>
        <w:t>5</w:t>
      </w:r>
      <w:r w:rsidRPr="0013711A">
        <w:rPr>
          <w:rFonts w:ascii="Arial" w:hAnsi="Arial" w:cs="Arial"/>
        </w:rPr>
        <w:t>: Sample Marketing Budget (Year One)</w:t>
      </w:r>
    </w:p>
    <w:tbl>
      <w:tblPr>
        <w:tblStyle w:val="GridTable5Dark-Accent4"/>
        <w:tblW w:w="9999" w:type="dxa"/>
        <w:tblLook w:val="04A0" w:firstRow="1" w:lastRow="0" w:firstColumn="1" w:lastColumn="0" w:noHBand="0" w:noVBand="1"/>
      </w:tblPr>
      <w:tblGrid>
        <w:gridCol w:w="6256"/>
        <w:gridCol w:w="3743"/>
      </w:tblGrid>
      <w:tr w:rsidR="005B1858" w14:paraId="130F740A" w14:textId="77777777" w:rsidTr="00C0617E">
        <w:trPr>
          <w:cnfStyle w:val="100000000000" w:firstRow="1" w:lastRow="0" w:firstColumn="0" w:lastColumn="0" w:oddVBand="0" w:evenVBand="0" w:oddHBand="0"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6256" w:type="dxa"/>
            <w:tcBorders>
              <w:top w:val="single" w:sz="4" w:space="0" w:color="auto"/>
              <w:left w:val="single" w:sz="4" w:space="0" w:color="auto"/>
            </w:tcBorders>
          </w:tcPr>
          <w:p w14:paraId="7C293538" w14:textId="6DFB10A8" w:rsidR="005B1858" w:rsidRDefault="00A16802" w:rsidP="0013711A">
            <w:pPr>
              <w:spacing w:line="276" w:lineRule="auto"/>
              <w:jc w:val="both"/>
              <w:rPr>
                <w:rFonts w:ascii="Arial" w:hAnsi="Arial" w:cs="Arial"/>
              </w:rPr>
            </w:pPr>
            <w:r w:rsidRPr="0013711A">
              <w:rPr>
                <w:rFonts w:ascii="Arial" w:hAnsi="Arial" w:cs="Arial"/>
              </w:rPr>
              <w:t>Activity</w:t>
            </w:r>
          </w:p>
        </w:tc>
        <w:tc>
          <w:tcPr>
            <w:tcW w:w="3743" w:type="dxa"/>
            <w:tcBorders>
              <w:top w:val="single" w:sz="4" w:space="0" w:color="auto"/>
              <w:right w:val="single" w:sz="4" w:space="0" w:color="auto"/>
            </w:tcBorders>
          </w:tcPr>
          <w:p w14:paraId="53EBAB17" w14:textId="16DE1CA2" w:rsidR="005B1858" w:rsidRDefault="00A16802" w:rsidP="0013711A">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13711A">
              <w:rPr>
                <w:rFonts w:ascii="Arial" w:hAnsi="Arial" w:cs="Arial"/>
              </w:rPr>
              <w:t>Estimated Cost (£)</w:t>
            </w:r>
          </w:p>
        </w:tc>
      </w:tr>
      <w:tr w:rsidR="005B1858" w14:paraId="789C5B80" w14:textId="77777777" w:rsidTr="008933CA">
        <w:trPr>
          <w:cnfStyle w:val="000000100000" w:firstRow="0" w:lastRow="0" w:firstColumn="0" w:lastColumn="0" w:oddVBand="0" w:evenVBand="0" w:oddHBand="1" w:evenHBand="0" w:firstRowFirstColumn="0" w:firstRowLastColumn="0" w:lastRowFirstColumn="0" w:lastRowLastColumn="0"/>
          <w:trHeight w:val="430"/>
        </w:trPr>
        <w:tc>
          <w:tcPr>
            <w:cnfStyle w:val="001000000000" w:firstRow="0" w:lastRow="0" w:firstColumn="1" w:lastColumn="0" w:oddVBand="0" w:evenVBand="0" w:oddHBand="0" w:evenHBand="0" w:firstRowFirstColumn="0" w:firstRowLastColumn="0" w:lastRowFirstColumn="0" w:lastRowLastColumn="0"/>
            <w:tcW w:w="6256" w:type="dxa"/>
            <w:tcBorders>
              <w:left w:val="single" w:sz="4" w:space="0" w:color="auto"/>
            </w:tcBorders>
          </w:tcPr>
          <w:p w14:paraId="52E35F93" w14:textId="45D4EC7F" w:rsidR="005B1858" w:rsidRDefault="00A16802" w:rsidP="00A16802">
            <w:pPr>
              <w:spacing w:line="276" w:lineRule="auto"/>
              <w:jc w:val="both"/>
              <w:rPr>
                <w:rFonts w:ascii="Arial" w:hAnsi="Arial" w:cs="Arial"/>
              </w:rPr>
            </w:pPr>
            <w:r w:rsidRPr="0013711A">
              <w:rPr>
                <w:rFonts w:ascii="Arial" w:hAnsi="Arial" w:cs="Arial"/>
              </w:rPr>
              <w:t>Website Development</w:t>
            </w:r>
            <w:r w:rsidRPr="0013711A">
              <w:rPr>
                <w:rFonts w:ascii="Arial" w:hAnsi="Arial" w:cs="Arial"/>
              </w:rPr>
              <w:tab/>
            </w:r>
          </w:p>
        </w:tc>
        <w:tc>
          <w:tcPr>
            <w:tcW w:w="3743" w:type="dxa"/>
            <w:tcBorders>
              <w:right w:val="single" w:sz="4" w:space="0" w:color="auto"/>
            </w:tcBorders>
          </w:tcPr>
          <w:p w14:paraId="49D5E5AB" w14:textId="77777777" w:rsidR="00A16802" w:rsidRPr="0013711A" w:rsidRDefault="00A16802" w:rsidP="00A16802">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3711A">
              <w:rPr>
                <w:rFonts w:ascii="Arial" w:hAnsi="Arial" w:cs="Arial"/>
              </w:rPr>
              <w:t>£800 – £1,200</w:t>
            </w:r>
          </w:p>
          <w:p w14:paraId="77D6703A" w14:textId="77777777" w:rsidR="005B1858" w:rsidRDefault="005B1858" w:rsidP="0013711A">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5B1858" w14:paraId="30876602" w14:textId="77777777" w:rsidTr="00C0617E">
        <w:trPr>
          <w:trHeight w:val="386"/>
        </w:trPr>
        <w:tc>
          <w:tcPr>
            <w:cnfStyle w:val="001000000000" w:firstRow="0" w:lastRow="0" w:firstColumn="1" w:lastColumn="0" w:oddVBand="0" w:evenVBand="0" w:oddHBand="0" w:evenHBand="0" w:firstRowFirstColumn="0" w:firstRowLastColumn="0" w:lastRowFirstColumn="0" w:lastRowLastColumn="0"/>
            <w:tcW w:w="6256" w:type="dxa"/>
            <w:tcBorders>
              <w:left w:val="single" w:sz="4" w:space="0" w:color="auto"/>
            </w:tcBorders>
          </w:tcPr>
          <w:p w14:paraId="216F3636" w14:textId="44FA080C" w:rsidR="005B1858" w:rsidRDefault="00A16802" w:rsidP="0013711A">
            <w:pPr>
              <w:spacing w:line="276" w:lineRule="auto"/>
              <w:jc w:val="both"/>
              <w:rPr>
                <w:rFonts w:ascii="Arial" w:hAnsi="Arial" w:cs="Arial"/>
              </w:rPr>
            </w:pPr>
            <w:r w:rsidRPr="0013711A">
              <w:rPr>
                <w:rFonts w:ascii="Arial" w:hAnsi="Arial" w:cs="Arial"/>
              </w:rPr>
              <w:t>Branding &amp; Logo Design</w:t>
            </w:r>
          </w:p>
        </w:tc>
        <w:tc>
          <w:tcPr>
            <w:tcW w:w="3743" w:type="dxa"/>
            <w:tcBorders>
              <w:right w:val="single" w:sz="4" w:space="0" w:color="auto"/>
            </w:tcBorders>
          </w:tcPr>
          <w:p w14:paraId="427F8112" w14:textId="3EDD8B20" w:rsidR="005B1858" w:rsidRDefault="00A16802" w:rsidP="0013711A">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3711A">
              <w:rPr>
                <w:rFonts w:ascii="Arial" w:hAnsi="Arial" w:cs="Arial"/>
              </w:rPr>
              <w:t>£300 – £500</w:t>
            </w:r>
          </w:p>
        </w:tc>
      </w:tr>
      <w:tr w:rsidR="005B1858" w14:paraId="65AEF95E" w14:textId="77777777" w:rsidTr="00C0617E">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6256" w:type="dxa"/>
            <w:tcBorders>
              <w:left w:val="single" w:sz="4" w:space="0" w:color="auto"/>
            </w:tcBorders>
          </w:tcPr>
          <w:p w14:paraId="556125BB" w14:textId="3C824D95" w:rsidR="005B1858" w:rsidRDefault="00A16802" w:rsidP="0013711A">
            <w:pPr>
              <w:spacing w:line="276" w:lineRule="auto"/>
              <w:jc w:val="both"/>
              <w:rPr>
                <w:rFonts w:ascii="Arial" w:hAnsi="Arial" w:cs="Arial"/>
              </w:rPr>
            </w:pPr>
            <w:r w:rsidRPr="0013711A">
              <w:rPr>
                <w:rFonts w:ascii="Arial" w:hAnsi="Arial" w:cs="Arial"/>
              </w:rPr>
              <w:t>CRM &amp; Automation Tools</w:t>
            </w:r>
          </w:p>
        </w:tc>
        <w:tc>
          <w:tcPr>
            <w:tcW w:w="3743" w:type="dxa"/>
            <w:tcBorders>
              <w:right w:val="single" w:sz="4" w:space="0" w:color="auto"/>
            </w:tcBorders>
          </w:tcPr>
          <w:p w14:paraId="0AF149F5" w14:textId="18450964" w:rsidR="005B1858" w:rsidRDefault="00A16802" w:rsidP="0013711A">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3711A">
              <w:rPr>
                <w:rFonts w:ascii="Arial" w:hAnsi="Arial" w:cs="Arial"/>
              </w:rPr>
              <w:t>£600 – £900 annually</w:t>
            </w:r>
          </w:p>
        </w:tc>
      </w:tr>
      <w:tr w:rsidR="005B1858" w14:paraId="576A5BC4" w14:textId="77777777" w:rsidTr="00C0617E">
        <w:trPr>
          <w:trHeight w:val="386"/>
        </w:trPr>
        <w:tc>
          <w:tcPr>
            <w:cnfStyle w:val="001000000000" w:firstRow="0" w:lastRow="0" w:firstColumn="1" w:lastColumn="0" w:oddVBand="0" w:evenVBand="0" w:oddHBand="0" w:evenHBand="0" w:firstRowFirstColumn="0" w:firstRowLastColumn="0" w:lastRowFirstColumn="0" w:lastRowLastColumn="0"/>
            <w:tcW w:w="6256" w:type="dxa"/>
            <w:tcBorders>
              <w:left w:val="single" w:sz="4" w:space="0" w:color="auto"/>
            </w:tcBorders>
          </w:tcPr>
          <w:p w14:paraId="04A1824A" w14:textId="64549FA9" w:rsidR="005B1858" w:rsidRDefault="00A16802" w:rsidP="0013711A">
            <w:pPr>
              <w:spacing w:line="276" w:lineRule="auto"/>
              <w:jc w:val="both"/>
              <w:rPr>
                <w:rFonts w:ascii="Arial" w:hAnsi="Arial" w:cs="Arial"/>
              </w:rPr>
            </w:pPr>
            <w:r w:rsidRPr="0013711A">
              <w:rPr>
                <w:rFonts w:ascii="Arial" w:hAnsi="Arial" w:cs="Arial"/>
              </w:rPr>
              <w:t>Google Ads</w:t>
            </w:r>
          </w:p>
        </w:tc>
        <w:tc>
          <w:tcPr>
            <w:tcW w:w="3743" w:type="dxa"/>
            <w:tcBorders>
              <w:right w:val="single" w:sz="4" w:space="0" w:color="auto"/>
            </w:tcBorders>
          </w:tcPr>
          <w:p w14:paraId="430FFD04" w14:textId="17A5DBE5" w:rsidR="005B1858" w:rsidRDefault="00A16802" w:rsidP="0013711A">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3711A">
              <w:rPr>
                <w:rFonts w:ascii="Arial" w:hAnsi="Arial" w:cs="Arial"/>
              </w:rPr>
              <w:t>£150 – £300 per month</w:t>
            </w:r>
          </w:p>
        </w:tc>
      </w:tr>
      <w:tr w:rsidR="005B1858" w14:paraId="22166FA6" w14:textId="77777777" w:rsidTr="00C0617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6256" w:type="dxa"/>
            <w:tcBorders>
              <w:left w:val="single" w:sz="4" w:space="0" w:color="auto"/>
            </w:tcBorders>
          </w:tcPr>
          <w:p w14:paraId="264F5BD3" w14:textId="294AF54A" w:rsidR="005B1858" w:rsidRDefault="00A16802" w:rsidP="0013711A">
            <w:pPr>
              <w:spacing w:line="276" w:lineRule="auto"/>
              <w:jc w:val="both"/>
              <w:rPr>
                <w:rFonts w:ascii="Arial" w:hAnsi="Arial" w:cs="Arial"/>
              </w:rPr>
            </w:pPr>
            <w:r w:rsidRPr="0013711A">
              <w:rPr>
                <w:rFonts w:ascii="Arial" w:hAnsi="Arial" w:cs="Arial"/>
              </w:rPr>
              <w:t>Social Media Ads</w:t>
            </w:r>
          </w:p>
        </w:tc>
        <w:tc>
          <w:tcPr>
            <w:tcW w:w="3743" w:type="dxa"/>
            <w:tcBorders>
              <w:right w:val="single" w:sz="4" w:space="0" w:color="auto"/>
            </w:tcBorders>
          </w:tcPr>
          <w:p w14:paraId="4D827D87" w14:textId="590A2417" w:rsidR="005B1858" w:rsidRDefault="00A16802" w:rsidP="0013711A">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3711A">
              <w:rPr>
                <w:rFonts w:ascii="Arial" w:hAnsi="Arial" w:cs="Arial"/>
              </w:rPr>
              <w:t>£100 – £200 per month</w:t>
            </w:r>
          </w:p>
        </w:tc>
      </w:tr>
      <w:tr w:rsidR="005B1858" w14:paraId="7998BA7C" w14:textId="77777777" w:rsidTr="00C0617E">
        <w:trPr>
          <w:trHeight w:val="341"/>
        </w:trPr>
        <w:tc>
          <w:tcPr>
            <w:cnfStyle w:val="001000000000" w:firstRow="0" w:lastRow="0" w:firstColumn="1" w:lastColumn="0" w:oddVBand="0" w:evenVBand="0" w:oddHBand="0" w:evenHBand="0" w:firstRowFirstColumn="0" w:firstRowLastColumn="0" w:lastRowFirstColumn="0" w:lastRowLastColumn="0"/>
            <w:tcW w:w="6256" w:type="dxa"/>
            <w:tcBorders>
              <w:left w:val="single" w:sz="4" w:space="0" w:color="auto"/>
            </w:tcBorders>
          </w:tcPr>
          <w:p w14:paraId="51C5F158" w14:textId="33926581" w:rsidR="005B1858" w:rsidRDefault="00A16802" w:rsidP="0013711A">
            <w:pPr>
              <w:spacing w:line="276" w:lineRule="auto"/>
              <w:jc w:val="both"/>
              <w:rPr>
                <w:rFonts w:ascii="Arial" w:hAnsi="Arial" w:cs="Arial"/>
              </w:rPr>
            </w:pPr>
            <w:r w:rsidRPr="0013711A">
              <w:rPr>
                <w:rFonts w:ascii="Arial" w:hAnsi="Arial" w:cs="Arial"/>
              </w:rPr>
              <w:t>Content Creation</w:t>
            </w:r>
            <w:r w:rsidRPr="0013711A">
              <w:rPr>
                <w:rFonts w:ascii="Arial" w:hAnsi="Arial" w:cs="Arial"/>
              </w:rPr>
              <w:tab/>
            </w:r>
          </w:p>
        </w:tc>
        <w:tc>
          <w:tcPr>
            <w:tcW w:w="3743" w:type="dxa"/>
            <w:tcBorders>
              <w:right w:val="single" w:sz="4" w:space="0" w:color="auto"/>
            </w:tcBorders>
          </w:tcPr>
          <w:p w14:paraId="5EF9F769" w14:textId="77777777" w:rsidR="00A16802" w:rsidRPr="0013711A" w:rsidRDefault="00A16802" w:rsidP="00A16802">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13711A">
              <w:rPr>
                <w:rFonts w:ascii="Arial" w:hAnsi="Arial" w:cs="Arial"/>
              </w:rPr>
              <w:t>£300 – £600</w:t>
            </w:r>
          </w:p>
          <w:p w14:paraId="31C8A618" w14:textId="77777777" w:rsidR="005B1858" w:rsidRDefault="005B1858" w:rsidP="0013711A">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5B1858" w14:paraId="6B5335EA" w14:textId="77777777" w:rsidTr="00C0617E">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6256" w:type="dxa"/>
            <w:tcBorders>
              <w:left w:val="single" w:sz="4" w:space="0" w:color="auto"/>
              <w:bottom w:val="single" w:sz="4" w:space="0" w:color="auto"/>
            </w:tcBorders>
          </w:tcPr>
          <w:p w14:paraId="73372A18" w14:textId="00B07133" w:rsidR="005B1858" w:rsidRDefault="00A16802" w:rsidP="0013711A">
            <w:pPr>
              <w:spacing w:line="276" w:lineRule="auto"/>
              <w:jc w:val="both"/>
              <w:rPr>
                <w:rFonts w:ascii="Arial" w:hAnsi="Arial" w:cs="Arial"/>
              </w:rPr>
            </w:pPr>
            <w:r w:rsidRPr="0013711A">
              <w:rPr>
                <w:rFonts w:ascii="Arial" w:hAnsi="Arial" w:cs="Arial"/>
              </w:rPr>
              <w:t>Total Estimated Budget</w:t>
            </w:r>
          </w:p>
        </w:tc>
        <w:tc>
          <w:tcPr>
            <w:tcW w:w="3743" w:type="dxa"/>
            <w:tcBorders>
              <w:bottom w:val="single" w:sz="4" w:space="0" w:color="auto"/>
              <w:right w:val="single" w:sz="4" w:space="0" w:color="auto"/>
            </w:tcBorders>
          </w:tcPr>
          <w:p w14:paraId="2656CF16" w14:textId="5C4E96B4" w:rsidR="005B1858" w:rsidRDefault="00A16802" w:rsidP="0013711A">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13711A">
              <w:rPr>
                <w:rFonts w:ascii="Arial" w:hAnsi="Arial" w:cs="Arial"/>
              </w:rPr>
              <w:t>£3,000 – £5,000</w:t>
            </w:r>
          </w:p>
        </w:tc>
      </w:tr>
    </w:tbl>
    <w:p w14:paraId="4D0BFBDA" w14:textId="11404CAB" w:rsidR="0013711A" w:rsidRPr="0013711A" w:rsidRDefault="00A16802" w:rsidP="0013711A">
      <w:pPr>
        <w:spacing w:line="276" w:lineRule="auto"/>
        <w:jc w:val="both"/>
        <w:rPr>
          <w:rFonts w:ascii="Arial" w:hAnsi="Arial" w:cs="Arial"/>
        </w:rPr>
      </w:pPr>
      <w:r w:rsidRPr="00D236F2">
        <w:rPr>
          <w:rFonts w:ascii="Arial" w:hAnsi="Arial" w:cs="Arial"/>
          <w:i/>
          <w:iCs/>
        </w:rPr>
        <w:t>Source: Author Illustration (2025)</w:t>
      </w:r>
    </w:p>
    <w:p w14:paraId="4F607380" w14:textId="048D2825" w:rsidR="0013711A" w:rsidRPr="0013711A" w:rsidRDefault="0013711A" w:rsidP="0013711A">
      <w:pPr>
        <w:spacing w:line="276" w:lineRule="auto"/>
        <w:jc w:val="both"/>
        <w:rPr>
          <w:rFonts w:ascii="Arial" w:hAnsi="Arial" w:cs="Arial"/>
        </w:rPr>
      </w:pPr>
      <w:r w:rsidRPr="0013711A">
        <w:rPr>
          <w:rFonts w:ascii="Arial" w:hAnsi="Arial" w:cs="Arial"/>
        </w:rPr>
        <w:t>The marketing budget focuses on scalable digital activities that provide measurable results. As the business grows, the budget can be increased to include more advanced campaigns, paid partnerships, or professional video production.</w:t>
      </w:r>
    </w:p>
    <w:p w14:paraId="423BC825" w14:textId="77777777" w:rsidR="0013711A" w:rsidRPr="0013711A" w:rsidRDefault="0013711A" w:rsidP="0013711A">
      <w:pPr>
        <w:spacing w:line="276" w:lineRule="auto"/>
        <w:jc w:val="both"/>
        <w:rPr>
          <w:rFonts w:ascii="Arial" w:hAnsi="Arial" w:cs="Arial"/>
        </w:rPr>
      </w:pPr>
    </w:p>
    <w:p w14:paraId="095EDDAF" w14:textId="3F2EF26A" w:rsidR="0013711A" w:rsidRPr="0013711A" w:rsidRDefault="0013711A" w:rsidP="0013711A">
      <w:pPr>
        <w:spacing w:line="276" w:lineRule="auto"/>
        <w:jc w:val="both"/>
        <w:rPr>
          <w:rFonts w:ascii="Arial" w:hAnsi="Arial" w:cs="Arial"/>
        </w:rPr>
      </w:pPr>
      <w:r w:rsidRPr="0013711A">
        <w:rPr>
          <w:rFonts w:ascii="Arial" w:hAnsi="Arial" w:cs="Arial"/>
        </w:rPr>
        <w:t>4.8 Summary</w:t>
      </w:r>
    </w:p>
    <w:p w14:paraId="00C83587" w14:textId="7A6594FB" w:rsidR="0013711A" w:rsidRDefault="0013711A" w:rsidP="0013711A">
      <w:pPr>
        <w:spacing w:line="276" w:lineRule="auto"/>
        <w:jc w:val="both"/>
        <w:rPr>
          <w:rFonts w:ascii="Arial" w:hAnsi="Arial" w:cs="Arial"/>
        </w:rPr>
      </w:pPr>
      <w:r w:rsidRPr="0013711A">
        <w:rPr>
          <w:rFonts w:ascii="Arial" w:hAnsi="Arial" w:cs="Arial"/>
        </w:rPr>
        <w:t>Chapter 4 presented the marketing and sales strategy for Sense Mortgage &amp; Residential. The firm’s marketing direction focuses on its core strengths: transparency, strong compliance, digital innovation, and personalised support. The branding strategy establishes a clear and trustworthy identity supported by a professional logo, modern colour palette, and consistent tone. The marketing mix outlines the service offering, pricing approach, promotional activities, process structure, and physical elements that reinforce the brand. The chapter also identifies key sales channels such as digital marketing, referral partnerships, and ongoing client relationships. A structured digital strategy ensures visibility, efficiency, and customer engagement, while the marketing budget provides a realistic financial plan for establishing market presence. Together, these elements create a strong foundation for attracting and retaining clients in a competitive mortgage advisory market</w:t>
      </w:r>
      <w:r w:rsidR="002B395D">
        <w:rPr>
          <w:rFonts w:ascii="Arial" w:hAnsi="Arial" w:cs="Arial"/>
        </w:rPr>
        <w:t>.</w:t>
      </w:r>
    </w:p>
    <w:p w14:paraId="6D736279" w14:textId="77777777" w:rsidR="00E15A20" w:rsidRDefault="00E15A20" w:rsidP="0013711A">
      <w:pPr>
        <w:spacing w:line="276" w:lineRule="auto"/>
        <w:jc w:val="both"/>
        <w:rPr>
          <w:rFonts w:ascii="Arial" w:hAnsi="Arial" w:cs="Arial"/>
        </w:rPr>
      </w:pPr>
    </w:p>
    <w:p w14:paraId="633305A9" w14:textId="77777777" w:rsidR="00210FD6" w:rsidRDefault="00210FD6" w:rsidP="00E15A20">
      <w:pPr>
        <w:spacing w:line="276" w:lineRule="auto"/>
        <w:jc w:val="both"/>
        <w:rPr>
          <w:rFonts w:ascii="Arial" w:hAnsi="Arial" w:cs="Arial"/>
        </w:rPr>
      </w:pPr>
    </w:p>
    <w:p w14:paraId="5785C55F" w14:textId="77777777" w:rsidR="00210FD6" w:rsidRDefault="00210FD6" w:rsidP="00E15A20">
      <w:pPr>
        <w:spacing w:line="276" w:lineRule="auto"/>
        <w:jc w:val="both"/>
        <w:rPr>
          <w:rFonts w:ascii="Arial" w:hAnsi="Arial" w:cs="Arial"/>
        </w:rPr>
      </w:pPr>
    </w:p>
    <w:p w14:paraId="0B2E4896" w14:textId="7983FCCA" w:rsidR="00E15A20" w:rsidRPr="00E15A20" w:rsidRDefault="00E15A20" w:rsidP="00E15A20">
      <w:pPr>
        <w:spacing w:line="276" w:lineRule="auto"/>
        <w:jc w:val="both"/>
        <w:rPr>
          <w:rFonts w:ascii="Arial" w:hAnsi="Arial" w:cs="Arial"/>
        </w:rPr>
      </w:pPr>
      <w:r w:rsidRPr="00E15A20">
        <w:rPr>
          <w:rFonts w:ascii="Arial" w:hAnsi="Arial" w:cs="Arial"/>
        </w:rPr>
        <w:lastRenderedPageBreak/>
        <w:t>Chapter 5: Operations Plan</w:t>
      </w:r>
    </w:p>
    <w:p w14:paraId="5A9BB776" w14:textId="7E4597B4" w:rsidR="00E15A20" w:rsidRPr="00E15A20" w:rsidRDefault="00E15A20" w:rsidP="00E15A20">
      <w:pPr>
        <w:spacing w:line="276" w:lineRule="auto"/>
        <w:jc w:val="both"/>
        <w:rPr>
          <w:rFonts w:ascii="Arial" w:hAnsi="Arial" w:cs="Arial"/>
        </w:rPr>
      </w:pPr>
      <w:r w:rsidRPr="00E15A20">
        <w:rPr>
          <w:rFonts w:ascii="Arial" w:hAnsi="Arial" w:cs="Arial"/>
        </w:rPr>
        <w:t>5.1 Overview of Operational Approach</w:t>
      </w:r>
    </w:p>
    <w:p w14:paraId="22DA1A1D" w14:textId="77777777" w:rsidR="00E15A20" w:rsidRPr="00E15A20" w:rsidRDefault="00E15A20" w:rsidP="00E15A20">
      <w:pPr>
        <w:spacing w:line="276" w:lineRule="auto"/>
        <w:jc w:val="both"/>
        <w:rPr>
          <w:rFonts w:ascii="Arial" w:hAnsi="Arial" w:cs="Arial"/>
        </w:rPr>
      </w:pPr>
      <w:r w:rsidRPr="00E15A20">
        <w:rPr>
          <w:rFonts w:ascii="Arial" w:hAnsi="Arial" w:cs="Arial"/>
        </w:rPr>
        <w:t>The operations plan explains how Sense Mortgage &amp; Residential will structure and deliver its mortgage advisory services in a consistent, compliant, and client-centred manner. As a regulated financial intermediary, the firm must maintain robust internal systems to support service quality, regulatory conformity, and customer satisfaction. Operational excellence is essential for reducing risk, improving efficiency, and providing a smooth customer experience. The overall operational model is built on a hybrid digital-human approach, incorporating technology, professional advice, and strong compliance oversight. This model aligns with wider industry trends, as customers increasingly expect faster service, digital documentation, and real-time updates throughout the mortgage journey (McKinsey, 2023).</w:t>
      </w:r>
    </w:p>
    <w:p w14:paraId="242881C2" w14:textId="77777777" w:rsidR="00E15A20" w:rsidRPr="00E15A20" w:rsidRDefault="00E15A20" w:rsidP="00E15A20">
      <w:pPr>
        <w:spacing w:line="276" w:lineRule="auto"/>
        <w:jc w:val="both"/>
        <w:rPr>
          <w:rFonts w:ascii="Arial" w:hAnsi="Arial" w:cs="Arial"/>
        </w:rPr>
      </w:pPr>
    </w:p>
    <w:p w14:paraId="3BA562C3" w14:textId="406A8234" w:rsidR="00E15A20" w:rsidRPr="00E15A20" w:rsidRDefault="00E15A20" w:rsidP="00E15A20">
      <w:pPr>
        <w:spacing w:line="276" w:lineRule="auto"/>
        <w:jc w:val="both"/>
        <w:rPr>
          <w:rFonts w:ascii="Arial" w:hAnsi="Arial" w:cs="Arial"/>
        </w:rPr>
      </w:pPr>
      <w:r w:rsidRPr="00E15A20">
        <w:rPr>
          <w:rFonts w:ascii="Arial" w:hAnsi="Arial" w:cs="Arial"/>
        </w:rPr>
        <w:t>5.2 Service Delivery Workflow</w:t>
      </w:r>
    </w:p>
    <w:p w14:paraId="52CAB3CC" w14:textId="77777777" w:rsidR="00E15A20" w:rsidRPr="00E15A20" w:rsidRDefault="00E15A20" w:rsidP="00E15A20">
      <w:pPr>
        <w:spacing w:line="276" w:lineRule="auto"/>
        <w:jc w:val="both"/>
        <w:rPr>
          <w:rFonts w:ascii="Arial" w:hAnsi="Arial" w:cs="Arial"/>
        </w:rPr>
      </w:pPr>
      <w:r w:rsidRPr="00E15A20">
        <w:rPr>
          <w:rFonts w:ascii="Arial" w:hAnsi="Arial" w:cs="Arial"/>
        </w:rPr>
        <w:t>The service workflow is designed to ensure a consistent and structured process from initial enquiry to post-completion aftercare. Each stage is supported by digital tools to ensure efficiency, accuracy, and compliance with FCA requirements.</w:t>
      </w:r>
    </w:p>
    <w:p w14:paraId="45607499" w14:textId="77777777" w:rsidR="00E15A20" w:rsidRPr="00E15A20" w:rsidRDefault="00E15A20" w:rsidP="00E15A20">
      <w:pPr>
        <w:spacing w:line="276" w:lineRule="auto"/>
        <w:jc w:val="both"/>
        <w:rPr>
          <w:rFonts w:ascii="Arial" w:hAnsi="Arial" w:cs="Arial"/>
        </w:rPr>
      </w:pPr>
    </w:p>
    <w:p w14:paraId="2065E31B" w14:textId="77777777" w:rsidR="00E15A20" w:rsidRPr="00E15A20" w:rsidRDefault="00E15A20" w:rsidP="00E15A20">
      <w:pPr>
        <w:spacing w:line="276" w:lineRule="auto"/>
        <w:jc w:val="both"/>
        <w:rPr>
          <w:rFonts w:ascii="Arial" w:hAnsi="Arial" w:cs="Arial"/>
        </w:rPr>
      </w:pPr>
      <w:r w:rsidRPr="00E15A20">
        <w:rPr>
          <w:rFonts w:ascii="Arial" w:hAnsi="Arial" w:cs="Arial"/>
        </w:rPr>
        <w:t>To illustrate the flow of operations, the following diagram outlines the full end-to-end journey:</w:t>
      </w:r>
    </w:p>
    <w:p w14:paraId="75B536CE" w14:textId="6E64EEAC" w:rsidR="00E15A20" w:rsidRDefault="00E15A20" w:rsidP="00E15A20">
      <w:pPr>
        <w:spacing w:line="276" w:lineRule="auto"/>
        <w:jc w:val="both"/>
        <w:rPr>
          <w:rFonts w:ascii="Arial" w:hAnsi="Arial" w:cs="Arial"/>
        </w:rPr>
      </w:pPr>
      <w:r w:rsidRPr="00E15A20">
        <w:rPr>
          <w:rFonts w:ascii="Arial" w:hAnsi="Arial" w:cs="Arial"/>
        </w:rPr>
        <w:t>End-to-End Mortgage Advisory Workflow</w:t>
      </w:r>
      <w:r w:rsidR="005537F5">
        <w:rPr>
          <w:rFonts w:ascii="Arial" w:hAnsi="Arial" w:cs="Arial"/>
        </w:rPr>
        <w:t>:</w:t>
      </w:r>
    </w:p>
    <w:tbl>
      <w:tblPr>
        <w:tblStyle w:val="TableGrid"/>
        <w:tblW w:w="0" w:type="auto"/>
        <w:tblLook w:val="04A0" w:firstRow="1" w:lastRow="0" w:firstColumn="1" w:lastColumn="0" w:noHBand="0" w:noVBand="1"/>
      </w:tblPr>
      <w:tblGrid>
        <w:gridCol w:w="9736"/>
      </w:tblGrid>
      <w:tr w:rsidR="005537F5" w14:paraId="0C01B260" w14:textId="77777777" w:rsidTr="005537F5">
        <w:tc>
          <w:tcPr>
            <w:tcW w:w="9736" w:type="dxa"/>
          </w:tcPr>
          <w:p w14:paraId="41AFB00D" w14:textId="1C245D8A" w:rsidR="005537F5" w:rsidRDefault="00F34493" w:rsidP="00F34493">
            <w:pPr>
              <w:spacing w:line="276" w:lineRule="auto"/>
              <w:jc w:val="both"/>
              <w:rPr>
                <w:rFonts w:ascii="Arial" w:hAnsi="Arial" w:cs="Arial"/>
              </w:rPr>
            </w:pPr>
            <w:r>
              <w:rPr>
                <w:noProof/>
              </w:rPr>
              <w:drawing>
                <wp:inline distT="0" distB="0" distL="0" distR="0" wp14:anchorId="3A253998" wp14:editId="1B6DF50D">
                  <wp:extent cx="6385560" cy="3764280"/>
                  <wp:effectExtent l="0" t="0" r="0" b="45720"/>
                  <wp:docPr id="154948878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r>
    </w:tbl>
    <w:p w14:paraId="5D51254E" w14:textId="16C486C6" w:rsidR="0030241E" w:rsidRPr="00713BC9" w:rsidRDefault="0030241E" w:rsidP="0030241E">
      <w:pPr>
        <w:spacing w:line="276" w:lineRule="auto"/>
        <w:jc w:val="both"/>
        <w:rPr>
          <w:rFonts w:ascii="Arial" w:hAnsi="Arial" w:cs="Arial"/>
          <w:i/>
          <w:iCs/>
        </w:rPr>
      </w:pPr>
      <w:r w:rsidRPr="00713BC9">
        <w:rPr>
          <w:rFonts w:ascii="Arial" w:hAnsi="Arial" w:cs="Arial"/>
          <w:i/>
          <w:iCs/>
        </w:rPr>
        <w:t>Author Illustration, 2025</w:t>
      </w:r>
    </w:p>
    <w:p w14:paraId="0D057BB1" w14:textId="77777777" w:rsidR="00E15A20" w:rsidRDefault="00E15A20" w:rsidP="00E15A20">
      <w:pPr>
        <w:spacing w:line="276" w:lineRule="auto"/>
        <w:jc w:val="both"/>
        <w:rPr>
          <w:rFonts w:ascii="Arial" w:hAnsi="Arial" w:cs="Arial"/>
        </w:rPr>
      </w:pPr>
    </w:p>
    <w:p w14:paraId="35CF47B5" w14:textId="77777777" w:rsidR="00160860" w:rsidRPr="00E15A20" w:rsidRDefault="00160860" w:rsidP="00E15A20">
      <w:pPr>
        <w:spacing w:line="276" w:lineRule="auto"/>
        <w:jc w:val="both"/>
        <w:rPr>
          <w:rFonts w:ascii="Arial" w:hAnsi="Arial" w:cs="Arial"/>
        </w:rPr>
      </w:pPr>
    </w:p>
    <w:p w14:paraId="2666F8D0" w14:textId="77777777" w:rsidR="00E15A20" w:rsidRPr="00E15A20" w:rsidRDefault="00E15A20" w:rsidP="00E15A20">
      <w:pPr>
        <w:spacing w:line="276" w:lineRule="auto"/>
        <w:jc w:val="both"/>
        <w:rPr>
          <w:rFonts w:ascii="Arial" w:hAnsi="Arial" w:cs="Arial"/>
        </w:rPr>
      </w:pPr>
      <w:r w:rsidRPr="00E15A20">
        <w:rPr>
          <w:rFonts w:ascii="Arial" w:hAnsi="Arial" w:cs="Arial"/>
        </w:rPr>
        <w:t>This structured workflow ensures that each client receives the same high standard of service, while compliance checks and documentation are conducted at appropriate milestones. Digital identity verification tools (IDV), secure document portals, and CRM automation further support timely progression and reduce operational delays. This approach supports FCA Consumer Duty outcomes by ensuring clarity, consistency, and meaningful communication throughout the customer journey (FCA, 2023).</w:t>
      </w:r>
    </w:p>
    <w:p w14:paraId="5764104A" w14:textId="77777777" w:rsidR="00E15A20" w:rsidRPr="00E15A20" w:rsidRDefault="00E15A20" w:rsidP="00E15A20">
      <w:pPr>
        <w:spacing w:line="276" w:lineRule="auto"/>
        <w:jc w:val="both"/>
        <w:rPr>
          <w:rFonts w:ascii="Arial" w:hAnsi="Arial" w:cs="Arial"/>
        </w:rPr>
      </w:pPr>
    </w:p>
    <w:p w14:paraId="6DDB4AE0" w14:textId="15DB67E0" w:rsidR="00E15A20" w:rsidRPr="00E15A20" w:rsidRDefault="00E15A20" w:rsidP="00E15A20">
      <w:pPr>
        <w:spacing w:line="276" w:lineRule="auto"/>
        <w:jc w:val="both"/>
        <w:rPr>
          <w:rFonts w:ascii="Arial" w:hAnsi="Arial" w:cs="Arial"/>
        </w:rPr>
      </w:pPr>
      <w:r w:rsidRPr="00E15A20">
        <w:rPr>
          <w:rFonts w:ascii="Arial" w:hAnsi="Arial" w:cs="Arial"/>
        </w:rPr>
        <w:t>5.3 Location and Business Infrastructure</w:t>
      </w:r>
    </w:p>
    <w:p w14:paraId="10D47322" w14:textId="77777777" w:rsidR="00E15A20" w:rsidRPr="00E15A20" w:rsidRDefault="00E15A20" w:rsidP="00E15A20">
      <w:pPr>
        <w:spacing w:line="276" w:lineRule="auto"/>
        <w:jc w:val="both"/>
        <w:rPr>
          <w:rFonts w:ascii="Arial" w:hAnsi="Arial" w:cs="Arial"/>
        </w:rPr>
      </w:pPr>
      <w:r w:rsidRPr="00E15A20">
        <w:rPr>
          <w:rFonts w:ascii="Arial" w:hAnsi="Arial" w:cs="Arial"/>
        </w:rPr>
        <w:t>Sense Mortgage &amp; Residential will operate through a flexible, hybrid structure that combines a physical office presence with remote advisory capabilities. The business will be based in London, providing strategic proximity to a large client base and key professional partners such as conveyancers, accountants, and estate agents. However, most services will be delivered through virtual channels, including secure video calls, cloud-based document sharing, and digital signatures. This approach reduces overhead costs, supports scalability, and matches the preferences of modern consumers, many of whom favour convenient online mortgage processes (Deloitte, 2023).</w:t>
      </w:r>
    </w:p>
    <w:p w14:paraId="4151874A" w14:textId="5A5E11F3" w:rsidR="00E15A20" w:rsidRPr="00E15A20" w:rsidRDefault="00E15A20" w:rsidP="00E15A20">
      <w:pPr>
        <w:spacing w:line="276" w:lineRule="auto"/>
        <w:jc w:val="both"/>
        <w:rPr>
          <w:rFonts w:ascii="Arial" w:hAnsi="Arial" w:cs="Arial"/>
        </w:rPr>
      </w:pPr>
    </w:p>
    <w:p w14:paraId="2667C822" w14:textId="77777777" w:rsidR="007C6213" w:rsidRDefault="007C6213" w:rsidP="00E15A20">
      <w:pPr>
        <w:spacing w:line="276" w:lineRule="auto"/>
        <w:jc w:val="both"/>
        <w:rPr>
          <w:rFonts w:ascii="Arial" w:hAnsi="Arial" w:cs="Arial"/>
        </w:rPr>
      </w:pPr>
    </w:p>
    <w:p w14:paraId="6FBFF49A" w14:textId="5E34B099" w:rsidR="00E15A20" w:rsidRDefault="00E15A20" w:rsidP="00E15A20">
      <w:pPr>
        <w:spacing w:line="276" w:lineRule="auto"/>
        <w:jc w:val="both"/>
        <w:rPr>
          <w:rFonts w:ascii="Arial" w:hAnsi="Arial" w:cs="Arial"/>
        </w:rPr>
      </w:pPr>
      <w:r w:rsidRPr="00E15A20">
        <w:rPr>
          <w:rFonts w:ascii="Arial" w:hAnsi="Arial" w:cs="Arial"/>
        </w:rPr>
        <w:t>The firm’s infrastructure includes:</w:t>
      </w:r>
    </w:p>
    <w:tbl>
      <w:tblPr>
        <w:tblStyle w:val="TableGrid"/>
        <w:tblW w:w="0" w:type="auto"/>
        <w:tblLook w:val="04A0" w:firstRow="1" w:lastRow="0" w:firstColumn="1" w:lastColumn="0" w:noHBand="0" w:noVBand="1"/>
      </w:tblPr>
      <w:tblGrid>
        <w:gridCol w:w="9736"/>
      </w:tblGrid>
      <w:tr w:rsidR="007C6213" w14:paraId="69532BF9" w14:textId="77777777" w:rsidTr="007C6213">
        <w:tc>
          <w:tcPr>
            <w:tcW w:w="9736" w:type="dxa"/>
          </w:tcPr>
          <w:p w14:paraId="008E2CA3" w14:textId="078BE56D" w:rsidR="007C6213" w:rsidRDefault="007C6213" w:rsidP="00E15A20">
            <w:pPr>
              <w:spacing w:line="276" w:lineRule="auto"/>
              <w:jc w:val="both"/>
              <w:rPr>
                <w:rFonts w:ascii="Arial" w:hAnsi="Arial" w:cs="Arial"/>
              </w:rPr>
            </w:pPr>
            <w:r>
              <w:rPr>
                <w:rFonts w:ascii="Arial" w:hAnsi="Arial" w:cs="Arial"/>
                <w:noProof/>
              </w:rPr>
              <w:drawing>
                <wp:inline distT="0" distB="0" distL="0" distR="0" wp14:anchorId="1CED4AC9" wp14:editId="41AEBA01">
                  <wp:extent cx="5471160" cy="2758440"/>
                  <wp:effectExtent l="0" t="0" r="15240" b="0"/>
                  <wp:docPr id="2036272693"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c>
      </w:tr>
    </w:tbl>
    <w:p w14:paraId="3321C314" w14:textId="77777777" w:rsidR="00E13B12" w:rsidRPr="00713BC9" w:rsidRDefault="00E13B12" w:rsidP="00E13B12">
      <w:pPr>
        <w:spacing w:line="276" w:lineRule="auto"/>
        <w:jc w:val="both"/>
        <w:rPr>
          <w:rFonts w:ascii="Arial" w:hAnsi="Arial" w:cs="Arial"/>
          <w:i/>
          <w:iCs/>
        </w:rPr>
      </w:pPr>
      <w:r w:rsidRPr="00713BC9">
        <w:rPr>
          <w:rFonts w:ascii="Arial" w:hAnsi="Arial" w:cs="Arial"/>
          <w:i/>
          <w:iCs/>
        </w:rPr>
        <w:t>Author Illustration, 2025</w:t>
      </w:r>
    </w:p>
    <w:p w14:paraId="57F67350" w14:textId="77777777" w:rsidR="00676ABB" w:rsidRPr="00E15A20" w:rsidRDefault="00676ABB" w:rsidP="00E15A20">
      <w:pPr>
        <w:spacing w:line="276" w:lineRule="auto"/>
        <w:jc w:val="both"/>
        <w:rPr>
          <w:rFonts w:ascii="Arial" w:hAnsi="Arial" w:cs="Arial"/>
        </w:rPr>
      </w:pPr>
    </w:p>
    <w:p w14:paraId="6FB66D77" w14:textId="77777777" w:rsidR="00210FD6" w:rsidRDefault="00210FD6" w:rsidP="00E15A20">
      <w:pPr>
        <w:spacing w:line="276" w:lineRule="auto"/>
        <w:jc w:val="both"/>
        <w:rPr>
          <w:rFonts w:ascii="Arial" w:hAnsi="Arial" w:cs="Arial"/>
        </w:rPr>
      </w:pPr>
    </w:p>
    <w:p w14:paraId="413EA316" w14:textId="77777777" w:rsidR="00210FD6" w:rsidRDefault="00210FD6" w:rsidP="00E15A20">
      <w:pPr>
        <w:spacing w:line="276" w:lineRule="auto"/>
        <w:jc w:val="both"/>
        <w:rPr>
          <w:rFonts w:ascii="Arial" w:hAnsi="Arial" w:cs="Arial"/>
        </w:rPr>
      </w:pPr>
    </w:p>
    <w:p w14:paraId="62794A5C" w14:textId="4492727B" w:rsidR="00E15A20" w:rsidRPr="00E15A20" w:rsidRDefault="00E15A20" w:rsidP="00E15A20">
      <w:pPr>
        <w:spacing w:line="276" w:lineRule="auto"/>
        <w:jc w:val="both"/>
        <w:rPr>
          <w:rFonts w:ascii="Arial" w:hAnsi="Arial" w:cs="Arial"/>
        </w:rPr>
      </w:pPr>
      <w:r w:rsidRPr="00E15A20">
        <w:rPr>
          <w:rFonts w:ascii="Arial" w:hAnsi="Arial" w:cs="Arial"/>
        </w:rPr>
        <w:t>5.4 Technology and CRM Systems</w:t>
      </w:r>
    </w:p>
    <w:p w14:paraId="62268483" w14:textId="308C7A3D" w:rsidR="00E15A20" w:rsidRPr="00E15A20" w:rsidRDefault="00E15A20" w:rsidP="00E15A20">
      <w:pPr>
        <w:spacing w:line="276" w:lineRule="auto"/>
        <w:jc w:val="both"/>
        <w:rPr>
          <w:rFonts w:ascii="Arial" w:hAnsi="Arial" w:cs="Arial"/>
        </w:rPr>
      </w:pPr>
      <w:r w:rsidRPr="00E15A20">
        <w:rPr>
          <w:rFonts w:ascii="Arial" w:hAnsi="Arial" w:cs="Arial"/>
        </w:rPr>
        <w:t xml:space="preserve">Technology plays a central role in the operations strategy. The business will adopt a modern CRM system such as Acre, </w:t>
      </w:r>
      <w:r w:rsidR="00713BC9" w:rsidRPr="00E15A20">
        <w:rPr>
          <w:rFonts w:ascii="Arial" w:hAnsi="Arial" w:cs="Arial"/>
        </w:rPr>
        <w:t>One Key</w:t>
      </w:r>
      <w:r w:rsidRPr="00E15A20">
        <w:rPr>
          <w:rFonts w:ascii="Arial" w:hAnsi="Arial" w:cs="Arial"/>
        </w:rPr>
        <w:t>, or Mortgage Brain, depending on compatibility with the chosen FCA network. CRM systems provide structured data collection, automated reminders, case-tracking dashboards, and audit trails. They are essential for meeting FCA documentation requirements and ensuring that every client receives consistent service.</w:t>
      </w:r>
    </w:p>
    <w:p w14:paraId="7AB66E4D" w14:textId="77777777" w:rsidR="00E15A20" w:rsidRPr="00E15A20" w:rsidRDefault="00E15A20" w:rsidP="00E15A20">
      <w:pPr>
        <w:spacing w:line="276" w:lineRule="auto"/>
        <w:jc w:val="both"/>
        <w:rPr>
          <w:rFonts w:ascii="Arial" w:hAnsi="Arial" w:cs="Arial"/>
        </w:rPr>
      </w:pPr>
    </w:p>
    <w:p w14:paraId="32480BF5" w14:textId="5B009D37" w:rsidR="00E15A20" w:rsidRPr="00E15A20" w:rsidRDefault="00E15A20" w:rsidP="00E15A20">
      <w:pPr>
        <w:spacing w:line="276" w:lineRule="auto"/>
        <w:jc w:val="both"/>
        <w:rPr>
          <w:rFonts w:ascii="Arial" w:hAnsi="Arial" w:cs="Arial"/>
        </w:rPr>
      </w:pPr>
      <w:r w:rsidRPr="00E15A20">
        <w:rPr>
          <w:rFonts w:ascii="Arial" w:hAnsi="Arial" w:cs="Arial"/>
        </w:rPr>
        <w:t>The key advantages of integrating a CRM system include improved productivity, enhanced client communication, error reduction, and stronger compliance evidence (PwC, 2023). In addition, tools such as digital fact-finds, automated affordability calculators, client document portals, and email automation significantly reduce administrative workload.</w:t>
      </w:r>
    </w:p>
    <w:p w14:paraId="35B454DC" w14:textId="098CC519" w:rsidR="00E15A20" w:rsidRDefault="00E15A20" w:rsidP="00E15A20">
      <w:pPr>
        <w:spacing w:line="276" w:lineRule="auto"/>
        <w:jc w:val="both"/>
        <w:rPr>
          <w:rFonts w:ascii="Arial" w:hAnsi="Arial" w:cs="Arial"/>
        </w:rPr>
      </w:pPr>
      <w:r w:rsidRPr="00E15A20">
        <w:rPr>
          <w:rFonts w:ascii="Arial" w:hAnsi="Arial" w:cs="Arial"/>
        </w:rPr>
        <w:t>A simple table summarises the firm’s technology stack:</w:t>
      </w:r>
    </w:p>
    <w:p w14:paraId="21781DDD" w14:textId="1DD13E63" w:rsidR="00816EC3" w:rsidRPr="00E15A20" w:rsidRDefault="00816EC3" w:rsidP="00E15A20">
      <w:pPr>
        <w:spacing w:line="276" w:lineRule="auto"/>
        <w:jc w:val="both"/>
        <w:rPr>
          <w:rFonts w:ascii="Arial" w:hAnsi="Arial" w:cs="Arial"/>
        </w:rPr>
      </w:pPr>
    </w:p>
    <w:p w14:paraId="62284A72" w14:textId="4E914B6A" w:rsidR="00E15A20" w:rsidRDefault="00E15A20" w:rsidP="00E15A20">
      <w:pPr>
        <w:spacing w:line="276" w:lineRule="auto"/>
        <w:jc w:val="both"/>
        <w:rPr>
          <w:rFonts w:ascii="Arial" w:hAnsi="Arial" w:cs="Arial"/>
        </w:rPr>
      </w:pPr>
      <w:r w:rsidRPr="00E15A20">
        <w:rPr>
          <w:rFonts w:ascii="Arial" w:hAnsi="Arial" w:cs="Arial"/>
        </w:rPr>
        <w:t xml:space="preserve">Table </w:t>
      </w:r>
      <w:r w:rsidR="00816EC3">
        <w:rPr>
          <w:rFonts w:ascii="Arial" w:hAnsi="Arial" w:cs="Arial"/>
        </w:rPr>
        <w:t>6</w:t>
      </w:r>
      <w:r w:rsidRPr="00E15A20">
        <w:rPr>
          <w:rFonts w:ascii="Arial" w:hAnsi="Arial" w:cs="Arial"/>
        </w:rPr>
        <w:t>: Technology Systems Supporting Operations</w:t>
      </w:r>
    </w:p>
    <w:tbl>
      <w:tblPr>
        <w:tblStyle w:val="GridTable5Dark-Accent4"/>
        <w:tblW w:w="10238" w:type="dxa"/>
        <w:tblLook w:val="04A0" w:firstRow="1" w:lastRow="0" w:firstColumn="1" w:lastColumn="0" w:noHBand="0" w:noVBand="1"/>
      </w:tblPr>
      <w:tblGrid>
        <w:gridCol w:w="2737"/>
        <w:gridCol w:w="3868"/>
        <w:gridCol w:w="3633"/>
      </w:tblGrid>
      <w:tr w:rsidR="00D15FB3" w14:paraId="6A0A6CE5" w14:textId="77777777" w:rsidTr="00D15FB3">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2737" w:type="dxa"/>
            <w:tcBorders>
              <w:top w:val="single" w:sz="4" w:space="0" w:color="auto"/>
              <w:left w:val="single" w:sz="4" w:space="0" w:color="auto"/>
            </w:tcBorders>
          </w:tcPr>
          <w:p w14:paraId="32D0D44F" w14:textId="77777777" w:rsidR="00D15FB3" w:rsidRDefault="00D15FB3" w:rsidP="002927F9">
            <w:pPr>
              <w:spacing w:line="276" w:lineRule="auto"/>
              <w:jc w:val="both"/>
              <w:rPr>
                <w:rFonts w:ascii="Arial" w:hAnsi="Arial" w:cs="Arial"/>
              </w:rPr>
            </w:pPr>
            <w:r w:rsidRPr="00E15A20">
              <w:rPr>
                <w:rFonts w:ascii="Arial" w:hAnsi="Arial" w:cs="Arial"/>
              </w:rPr>
              <w:t>System / Tool</w:t>
            </w:r>
          </w:p>
        </w:tc>
        <w:tc>
          <w:tcPr>
            <w:tcW w:w="3868" w:type="dxa"/>
            <w:tcBorders>
              <w:top w:val="single" w:sz="4" w:space="0" w:color="auto"/>
            </w:tcBorders>
          </w:tcPr>
          <w:p w14:paraId="106DB4C4" w14:textId="77777777" w:rsidR="00D15FB3" w:rsidRDefault="00D15FB3" w:rsidP="002927F9">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E15A20">
              <w:rPr>
                <w:rFonts w:ascii="Arial" w:hAnsi="Arial" w:cs="Arial"/>
              </w:rPr>
              <w:t>Function</w:t>
            </w:r>
          </w:p>
        </w:tc>
        <w:tc>
          <w:tcPr>
            <w:tcW w:w="3633" w:type="dxa"/>
            <w:tcBorders>
              <w:top w:val="single" w:sz="4" w:space="0" w:color="auto"/>
              <w:right w:val="single" w:sz="4" w:space="0" w:color="auto"/>
            </w:tcBorders>
          </w:tcPr>
          <w:p w14:paraId="5BBC836A" w14:textId="77777777" w:rsidR="00D15FB3" w:rsidRDefault="00D15FB3" w:rsidP="002927F9">
            <w:pPr>
              <w:spacing w:line="27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E15A20">
              <w:rPr>
                <w:rFonts w:ascii="Arial" w:hAnsi="Arial" w:cs="Arial"/>
              </w:rPr>
              <w:t>Source / Type</w:t>
            </w:r>
          </w:p>
        </w:tc>
      </w:tr>
      <w:tr w:rsidR="00D15FB3" w14:paraId="1E2A0A30" w14:textId="77777777" w:rsidTr="00D15FB3">
        <w:trPr>
          <w:cnfStyle w:val="000000100000" w:firstRow="0" w:lastRow="0" w:firstColumn="0" w:lastColumn="0" w:oddVBand="0" w:evenVBand="0" w:oddHBand="1" w:evenHBand="0" w:firstRowFirstColumn="0" w:firstRowLastColumn="0" w:lastRowFirstColumn="0" w:lastRowLastColumn="0"/>
          <w:trHeight w:val="765"/>
        </w:trPr>
        <w:tc>
          <w:tcPr>
            <w:cnfStyle w:val="001000000000" w:firstRow="0" w:lastRow="0" w:firstColumn="1" w:lastColumn="0" w:oddVBand="0" w:evenVBand="0" w:oddHBand="0" w:evenHBand="0" w:firstRowFirstColumn="0" w:firstRowLastColumn="0" w:lastRowFirstColumn="0" w:lastRowLastColumn="0"/>
            <w:tcW w:w="2737" w:type="dxa"/>
            <w:tcBorders>
              <w:left w:val="single" w:sz="4" w:space="0" w:color="auto"/>
            </w:tcBorders>
          </w:tcPr>
          <w:p w14:paraId="2D0082E8" w14:textId="77777777" w:rsidR="00D15FB3" w:rsidRDefault="00D15FB3" w:rsidP="002927F9">
            <w:pPr>
              <w:spacing w:line="276" w:lineRule="auto"/>
              <w:jc w:val="both"/>
              <w:rPr>
                <w:rFonts w:ascii="Arial" w:hAnsi="Arial" w:cs="Arial"/>
              </w:rPr>
            </w:pPr>
            <w:r w:rsidRPr="00E15A20">
              <w:rPr>
                <w:rFonts w:ascii="Arial" w:hAnsi="Arial" w:cs="Arial"/>
              </w:rPr>
              <w:t>CRM Platform</w:t>
            </w:r>
          </w:p>
        </w:tc>
        <w:tc>
          <w:tcPr>
            <w:tcW w:w="3868" w:type="dxa"/>
          </w:tcPr>
          <w:p w14:paraId="07AABF79" w14:textId="77777777" w:rsidR="00D15FB3" w:rsidRDefault="00D15FB3" w:rsidP="002927F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15A20">
              <w:rPr>
                <w:rFonts w:ascii="Arial" w:hAnsi="Arial" w:cs="Arial"/>
              </w:rPr>
              <w:t>Case management, compliance checks, automation</w:t>
            </w:r>
          </w:p>
        </w:tc>
        <w:tc>
          <w:tcPr>
            <w:tcW w:w="3633" w:type="dxa"/>
            <w:tcBorders>
              <w:right w:val="single" w:sz="4" w:space="0" w:color="auto"/>
            </w:tcBorders>
          </w:tcPr>
          <w:p w14:paraId="3C80397B" w14:textId="3D11E2FE" w:rsidR="00D15FB3" w:rsidRDefault="00D15FB3" w:rsidP="002927F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15A20">
              <w:rPr>
                <w:rFonts w:ascii="Arial" w:hAnsi="Arial" w:cs="Arial"/>
              </w:rPr>
              <w:tab/>
              <w:t xml:space="preserve">Acre / </w:t>
            </w:r>
            <w:r w:rsidR="00154942" w:rsidRPr="00E15A20">
              <w:rPr>
                <w:rFonts w:ascii="Arial" w:hAnsi="Arial" w:cs="Arial"/>
              </w:rPr>
              <w:t>One Key</w:t>
            </w:r>
          </w:p>
        </w:tc>
      </w:tr>
      <w:tr w:rsidR="00D15FB3" w14:paraId="098B6076" w14:textId="77777777" w:rsidTr="00D15FB3">
        <w:trPr>
          <w:trHeight w:val="375"/>
        </w:trPr>
        <w:tc>
          <w:tcPr>
            <w:cnfStyle w:val="001000000000" w:firstRow="0" w:lastRow="0" w:firstColumn="1" w:lastColumn="0" w:oddVBand="0" w:evenVBand="0" w:oddHBand="0" w:evenHBand="0" w:firstRowFirstColumn="0" w:firstRowLastColumn="0" w:lastRowFirstColumn="0" w:lastRowLastColumn="0"/>
            <w:tcW w:w="2737" w:type="dxa"/>
            <w:tcBorders>
              <w:left w:val="single" w:sz="4" w:space="0" w:color="auto"/>
            </w:tcBorders>
          </w:tcPr>
          <w:p w14:paraId="4DD5997F" w14:textId="77777777" w:rsidR="00D15FB3" w:rsidRDefault="00D15FB3" w:rsidP="002927F9">
            <w:pPr>
              <w:spacing w:line="276" w:lineRule="auto"/>
              <w:jc w:val="both"/>
              <w:rPr>
                <w:rFonts w:ascii="Arial" w:hAnsi="Arial" w:cs="Arial"/>
              </w:rPr>
            </w:pPr>
            <w:r w:rsidRPr="00E15A20">
              <w:rPr>
                <w:rFonts w:ascii="Arial" w:hAnsi="Arial" w:cs="Arial"/>
              </w:rPr>
              <w:t>Digital ID Verification</w:t>
            </w:r>
          </w:p>
        </w:tc>
        <w:tc>
          <w:tcPr>
            <w:tcW w:w="3868" w:type="dxa"/>
          </w:tcPr>
          <w:p w14:paraId="166E709C" w14:textId="77777777" w:rsidR="00D15FB3" w:rsidRDefault="00D15FB3" w:rsidP="002927F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15A20">
              <w:rPr>
                <w:rFonts w:ascii="Arial" w:hAnsi="Arial" w:cs="Arial"/>
              </w:rPr>
              <w:t>AML, KYC compliance</w:t>
            </w:r>
          </w:p>
        </w:tc>
        <w:tc>
          <w:tcPr>
            <w:tcW w:w="3633" w:type="dxa"/>
            <w:tcBorders>
              <w:right w:val="single" w:sz="4" w:space="0" w:color="auto"/>
            </w:tcBorders>
          </w:tcPr>
          <w:p w14:paraId="25E2D17D" w14:textId="77777777" w:rsidR="00D15FB3" w:rsidRDefault="00D15FB3" w:rsidP="002927F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15A20">
              <w:rPr>
                <w:rFonts w:ascii="Arial" w:hAnsi="Arial" w:cs="Arial"/>
              </w:rPr>
              <w:t>Third-party IDV tools</w:t>
            </w:r>
          </w:p>
        </w:tc>
      </w:tr>
      <w:tr w:rsidR="00D15FB3" w14:paraId="4745F99B" w14:textId="77777777" w:rsidTr="00D15FB3">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737" w:type="dxa"/>
            <w:tcBorders>
              <w:left w:val="single" w:sz="4" w:space="0" w:color="auto"/>
            </w:tcBorders>
          </w:tcPr>
          <w:p w14:paraId="43003D3F" w14:textId="77777777" w:rsidR="00D15FB3" w:rsidRDefault="00D15FB3" w:rsidP="002927F9">
            <w:pPr>
              <w:spacing w:line="276" w:lineRule="auto"/>
              <w:jc w:val="both"/>
              <w:rPr>
                <w:rFonts w:ascii="Arial" w:hAnsi="Arial" w:cs="Arial"/>
              </w:rPr>
            </w:pPr>
            <w:r w:rsidRPr="00E15A20">
              <w:rPr>
                <w:rFonts w:ascii="Arial" w:hAnsi="Arial" w:cs="Arial"/>
              </w:rPr>
              <w:t>Sourcing Software</w:t>
            </w:r>
          </w:p>
        </w:tc>
        <w:tc>
          <w:tcPr>
            <w:tcW w:w="3868" w:type="dxa"/>
          </w:tcPr>
          <w:p w14:paraId="7B3A846E" w14:textId="77777777" w:rsidR="00D15FB3" w:rsidRDefault="00D15FB3" w:rsidP="002927F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15A20">
              <w:rPr>
                <w:rFonts w:ascii="Arial" w:hAnsi="Arial" w:cs="Arial"/>
              </w:rPr>
              <w:t>Mortgage product research</w:t>
            </w:r>
          </w:p>
        </w:tc>
        <w:tc>
          <w:tcPr>
            <w:tcW w:w="3633" w:type="dxa"/>
            <w:tcBorders>
              <w:right w:val="single" w:sz="4" w:space="0" w:color="auto"/>
            </w:tcBorders>
          </w:tcPr>
          <w:p w14:paraId="0EF77B68" w14:textId="77777777" w:rsidR="00D15FB3" w:rsidRDefault="00D15FB3" w:rsidP="002927F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15A20">
              <w:rPr>
                <w:rFonts w:ascii="Arial" w:hAnsi="Arial" w:cs="Arial"/>
              </w:rPr>
              <w:t>Mortgage Brain / Twenty7Tec</w:t>
            </w:r>
          </w:p>
        </w:tc>
      </w:tr>
      <w:tr w:rsidR="00D15FB3" w14:paraId="47E5AF39" w14:textId="77777777" w:rsidTr="00D15FB3">
        <w:trPr>
          <w:trHeight w:val="375"/>
        </w:trPr>
        <w:tc>
          <w:tcPr>
            <w:cnfStyle w:val="001000000000" w:firstRow="0" w:lastRow="0" w:firstColumn="1" w:lastColumn="0" w:oddVBand="0" w:evenVBand="0" w:oddHBand="0" w:evenHBand="0" w:firstRowFirstColumn="0" w:firstRowLastColumn="0" w:lastRowFirstColumn="0" w:lastRowLastColumn="0"/>
            <w:tcW w:w="2737" w:type="dxa"/>
            <w:tcBorders>
              <w:left w:val="single" w:sz="4" w:space="0" w:color="auto"/>
            </w:tcBorders>
          </w:tcPr>
          <w:p w14:paraId="62858B52" w14:textId="77777777" w:rsidR="00D15FB3" w:rsidRDefault="00D15FB3" w:rsidP="002927F9">
            <w:pPr>
              <w:spacing w:line="276" w:lineRule="auto"/>
              <w:jc w:val="both"/>
              <w:rPr>
                <w:rFonts w:ascii="Arial" w:hAnsi="Arial" w:cs="Arial"/>
              </w:rPr>
            </w:pPr>
            <w:r w:rsidRPr="00E15A20">
              <w:rPr>
                <w:rFonts w:ascii="Arial" w:hAnsi="Arial" w:cs="Arial"/>
              </w:rPr>
              <w:t>Cloud Storage</w:t>
            </w:r>
          </w:p>
        </w:tc>
        <w:tc>
          <w:tcPr>
            <w:tcW w:w="3868" w:type="dxa"/>
          </w:tcPr>
          <w:p w14:paraId="383EA4BA" w14:textId="77777777" w:rsidR="00D15FB3" w:rsidRDefault="00D15FB3" w:rsidP="002927F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15A20">
              <w:rPr>
                <w:rFonts w:ascii="Arial" w:hAnsi="Arial" w:cs="Arial"/>
              </w:rPr>
              <w:t>Secure document storage</w:t>
            </w:r>
          </w:p>
        </w:tc>
        <w:tc>
          <w:tcPr>
            <w:tcW w:w="3633" w:type="dxa"/>
            <w:tcBorders>
              <w:right w:val="single" w:sz="4" w:space="0" w:color="auto"/>
            </w:tcBorders>
          </w:tcPr>
          <w:p w14:paraId="5642488A" w14:textId="77777777" w:rsidR="00D15FB3" w:rsidRDefault="00D15FB3" w:rsidP="002927F9">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15A20">
              <w:rPr>
                <w:rFonts w:ascii="Arial" w:hAnsi="Arial" w:cs="Arial"/>
              </w:rPr>
              <w:t>Google Workspace / Box</w:t>
            </w:r>
          </w:p>
        </w:tc>
      </w:tr>
      <w:tr w:rsidR="00D15FB3" w14:paraId="4DFDBE4B" w14:textId="77777777" w:rsidTr="00D15FB3">
        <w:trPr>
          <w:cnfStyle w:val="000000100000" w:firstRow="0" w:lastRow="0" w:firstColumn="0" w:lastColumn="0" w:oddVBand="0" w:evenVBand="0" w:oddHBand="1" w:evenHBand="0" w:firstRowFirstColumn="0" w:firstRowLastColumn="0" w:lastRowFirstColumn="0" w:lastRowLastColumn="0"/>
          <w:trHeight w:val="751"/>
        </w:trPr>
        <w:tc>
          <w:tcPr>
            <w:cnfStyle w:val="001000000000" w:firstRow="0" w:lastRow="0" w:firstColumn="1" w:lastColumn="0" w:oddVBand="0" w:evenVBand="0" w:oddHBand="0" w:evenHBand="0" w:firstRowFirstColumn="0" w:firstRowLastColumn="0" w:lastRowFirstColumn="0" w:lastRowLastColumn="0"/>
            <w:tcW w:w="2737" w:type="dxa"/>
            <w:tcBorders>
              <w:left w:val="single" w:sz="4" w:space="0" w:color="auto"/>
              <w:bottom w:val="single" w:sz="4" w:space="0" w:color="auto"/>
            </w:tcBorders>
          </w:tcPr>
          <w:p w14:paraId="517FF66C" w14:textId="77777777" w:rsidR="00D15FB3" w:rsidRDefault="00D15FB3" w:rsidP="002927F9">
            <w:pPr>
              <w:spacing w:line="276" w:lineRule="auto"/>
              <w:jc w:val="both"/>
              <w:rPr>
                <w:rFonts w:ascii="Arial" w:hAnsi="Arial" w:cs="Arial"/>
              </w:rPr>
            </w:pPr>
            <w:r w:rsidRPr="00E15A20">
              <w:rPr>
                <w:rFonts w:ascii="Arial" w:hAnsi="Arial" w:cs="Arial"/>
              </w:rPr>
              <w:t>E-Signature Tools</w:t>
            </w:r>
          </w:p>
        </w:tc>
        <w:tc>
          <w:tcPr>
            <w:tcW w:w="3868" w:type="dxa"/>
            <w:tcBorders>
              <w:bottom w:val="single" w:sz="4" w:space="0" w:color="auto"/>
            </w:tcBorders>
          </w:tcPr>
          <w:p w14:paraId="351D6979" w14:textId="77777777" w:rsidR="00D15FB3" w:rsidRDefault="00D15FB3" w:rsidP="002927F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15A20">
              <w:rPr>
                <w:rFonts w:ascii="Arial" w:hAnsi="Arial" w:cs="Arial"/>
              </w:rPr>
              <w:t>Digital compliance and onboarding</w:t>
            </w:r>
          </w:p>
        </w:tc>
        <w:tc>
          <w:tcPr>
            <w:tcW w:w="3633" w:type="dxa"/>
            <w:tcBorders>
              <w:bottom w:val="single" w:sz="4" w:space="0" w:color="auto"/>
              <w:right w:val="single" w:sz="4" w:space="0" w:color="auto"/>
            </w:tcBorders>
          </w:tcPr>
          <w:p w14:paraId="44641170" w14:textId="7DDB5BA9" w:rsidR="00D15FB3" w:rsidRDefault="00154942" w:rsidP="002927F9">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15A20">
              <w:rPr>
                <w:rFonts w:ascii="Arial" w:hAnsi="Arial" w:cs="Arial"/>
              </w:rPr>
              <w:t>Docu</w:t>
            </w:r>
            <w:r w:rsidR="00450717">
              <w:rPr>
                <w:rFonts w:ascii="Arial" w:hAnsi="Arial" w:cs="Arial"/>
              </w:rPr>
              <w:t xml:space="preserve"> S</w:t>
            </w:r>
            <w:r w:rsidRPr="00E15A20">
              <w:rPr>
                <w:rFonts w:ascii="Arial" w:hAnsi="Arial" w:cs="Arial"/>
              </w:rPr>
              <w:t>ign</w:t>
            </w:r>
            <w:r w:rsidR="00D15FB3" w:rsidRPr="00E15A20">
              <w:rPr>
                <w:rFonts w:ascii="Arial" w:hAnsi="Arial" w:cs="Arial"/>
              </w:rPr>
              <w:t xml:space="preserve"> / Adobe Sign</w:t>
            </w:r>
          </w:p>
        </w:tc>
      </w:tr>
    </w:tbl>
    <w:p w14:paraId="0B640DE8" w14:textId="570C4DCA" w:rsidR="00E15A20" w:rsidRPr="00974F68" w:rsidRDefault="00E15A20" w:rsidP="00E15A20">
      <w:pPr>
        <w:spacing w:line="276" w:lineRule="auto"/>
        <w:jc w:val="both"/>
        <w:rPr>
          <w:rFonts w:ascii="Arial" w:hAnsi="Arial" w:cs="Arial"/>
          <w:i/>
          <w:iCs/>
        </w:rPr>
      </w:pPr>
      <w:r w:rsidRPr="00154942">
        <w:rPr>
          <w:rFonts w:ascii="Arial" w:hAnsi="Arial" w:cs="Arial"/>
          <w:i/>
          <w:iCs/>
        </w:rPr>
        <w:t>Source: Author Compilation (2025)</w:t>
      </w:r>
    </w:p>
    <w:p w14:paraId="18762140" w14:textId="77777777" w:rsidR="00E15A20" w:rsidRPr="00E15A20" w:rsidRDefault="00E15A20" w:rsidP="00E15A20">
      <w:pPr>
        <w:spacing w:line="276" w:lineRule="auto"/>
        <w:jc w:val="both"/>
        <w:rPr>
          <w:rFonts w:ascii="Arial" w:hAnsi="Arial" w:cs="Arial"/>
        </w:rPr>
      </w:pPr>
      <w:r w:rsidRPr="00E15A20">
        <w:rPr>
          <w:rFonts w:ascii="Arial" w:hAnsi="Arial" w:cs="Arial"/>
        </w:rPr>
        <w:t>This technology ecosystem supports efficient operations, reduces processing time, and ensures full compliance with the FCA’s expectations for documentation and data protection (FCA, 2023).</w:t>
      </w:r>
    </w:p>
    <w:p w14:paraId="06E64EEC" w14:textId="77777777" w:rsidR="00E15A20" w:rsidRPr="00E15A20" w:rsidRDefault="00E15A20" w:rsidP="00E15A20">
      <w:pPr>
        <w:spacing w:line="276" w:lineRule="auto"/>
        <w:jc w:val="both"/>
        <w:rPr>
          <w:rFonts w:ascii="Arial" w:hAnsi="Arial" w:cs="Arial"/>
        </w:rPr>
      </w:pPr>
    </w:p>
    <w:p w14:paraId="43C4E56B" w14:textId="7A7CE44C" w:rsidR="00E15A20" w:rsidRPr="00E15A20" w:rsidRDefault="00E15A20" w:rsidP="00E15A20">
      <w:pPr>
        <w:spacing w:line="276" w:lineRule="auto"/>
        <w:jc w:val="both"/>
        <w:rPr>
          <w:rFonts w:ascii="Arial" w:hAnsi="Arial" w:cs="Arial"/>
        </w:rPr>
      </w:pPr>
      <w:r w:rsidRPr="00E15A20">
        <w:rPr>
          <w:rFonts w:ascii="Arial" w:hAnsi="Arial" w:cs="Arial"/>
        </w:rPr>
        <w:t>5.5 Compliance and Quality Assurance</w:t>
      </w:r>
    </w:p>
    <w:p w14:paraId="73A205B2" w14:textId="77777777" w:rsidR="00E15A20" w:rsidRPr="00E15A20" w:rsidRDefault="00E15A20" w:rsidP="00E15A20">
      <w:pPr>
        <w:spacing w:line="276" w:lineRule="auto"/>
        <w:jc w:val="both"/>
        <w:rPr>
          <w:rFonts w:ascii="Arial" w:hAnsi="Arial" w:cs="Arial"/>
        </w:rPr>
      </w:pPr>
      <w:r w:rsidRPr="00E15A20">
        <w:rPr>
          <w:rFonts w:ascii="Arial" w:hAnsi="Arial" w:cs="Arial"/>
        </w:rPr>
        <w:t>Compliance is fundamental to the firm’s operational model. As an Appointed Representative under Openwork, the business will receive structured oversight that includes file reviews, training, supervision meetings, and compliance audits. This support is essential to meet FCA requirements and maintain high-quality advice.</w:t>
      </w:r>
    </w:p>
    <w:p w14:paraId="29C176FA" w14:textId="77777777" w:rsidR="00E15A20" w:rsidRPr="00E15A20" w:rsidRDefault="00E15A20" w:rsidP="00E15A20">
      <w:pPr>
        <w:spacing w:line="276" w:lineRule="auto"/>
        <w:jc w:val="both"/>
        <w:rPr>
          <w:rFonts w:ascii="Arial" w:hAnsi="Arial" w:cs="Arial"/>
        </w:rPr>
      </w:pPr>
    </w:p>
    <w:p w14:paraId="7DFE0B4A" w14:textId="279370CC" w:rsidR="00E15A20" w:rsidRPr="00E15A20" w:rsidRDefault="00E15A20" w:rsidP="00E15A20">
      <w:pPr>
        <w:spacing w:line="276" w:lineRule="auto"/>
        <w:jc w:val="both"/>
        <w:rPr>
          <w:rFonts w:ascii="Arial" w:hAnsi="Arial" w:cs="Arial"/>
        </w:rPr>
      </w:pPr>
      <w:r w:rsidRPr="00E15A20">
        <w:rPr>
          <w:rFonts w:ascii="Arial" w:hAnsi="Arial" w:cs="Arial"/>
        </w:rPr>
        <w:lastRenderedPageBreak/>
        <w:t xml:space="preserve">The compliance strategy includes mandatory AML checks, affordability assessments, suitability report documentation, audit trails, and complaint-handling procedures. Systems will be aligned with the network’s compliance portal, allowing secure uploading of documents and ensuring case approval before submission to lenders. This layered approach ensures that operational risk is </w:t>
      </w:r>
      <w:r w:rsidR="00210FD6" w:rsidRPr="00E15A20">
        <w:rPr>
          <w:rFonts w:ascii="Arial" w:hAnsi="Arial" w:cs="Arial"/>
        </w:rPr>
        <w:t>minimised,</w:t>
      </w:r>
      <w:r w:rsidRPr="00E15A20">
        <w:rPr>
          <w:rFonts w:ascii="Arial" w:hAnsi="Arial" w:cs="Arial"/>
        </w:rPr>
        <w:t xml:space="preserve"> and advisers maintain competent and compliant practice.</w:t>
      </w:r>
    </w:p>
    <w:p w14:paraId="504E602A" w14:textId="77777777" w:rsidR="00974F68" w:rsidRDefault="00974F68" w:rsidP="00E15A20">
      <w:pPr>
        <w:spacing w:line="276" w:lineRule="auto"/>
        <w:jc w:val="both"/>
        <w:rPr>
          <w:rFonts w:ascii="Arial" w:hAnsi="Arial" w:cs="Arial"/>
        </w:rPr>
      </w:pPr>
    </w:p>
    <w:p w14:paraId="361DB853" w14:textId="39ECE65D" w:rsidR="00E15A20" w:rsidRPr="00E15A20" w:rsidRDefault="00E15A20" w:rsidP="00E15A20">
      <w:pPr>
        <w:spacing w:line="276" w:lineRule="auto"/>
        <w:jc w:val="both"/>
        <w:rPr>
          <w:rFonts w:ascii="Arial" w:hAnsi="Arial" w:cs="Arial"/>
        </w:rPr>
      </w:pPr>
      <w:r w:rsidRPr="00E15A20">
        <w:rPr>
          <w:rFonts w:ascii="Arial" w:hAnsi="Arial" w:cs="Arial"/>
        </w:rPr>
        <w:t>A flow diagram of compliance responsibilities demonstrates clarity:</w:t>
      </w:r>
    </w:p>
    <w:p w14:paraId="085B4C96" w14:textId="1AE27179" w:rsidR="00E15A20" w:rsidRPr="00E15A20" w:rsidRDefault="00E15A20" w:rsidP="00E15A20">
      <w:pPr>
        <w:spacing w:line="276" w:lineRule="auto"/>
        <w:jc w:val="both"/>
        <w:rPr>
          <w:rFonts w:ascii="Arial" w:hAnsi="Arial" w:cs="Arial"/>
        </w:rPr>
      </w:pPr>
      <w:r w:rsidRPr="00E15A20">
        <w:rPr>
          <w:rFonts w:ascii="Arial" w:hAnsi="Arial" w:cs="Arial"/>
        </w:rPr>
        <w:t>Compliance Oversight Structure</w:t>
      </w:r>
    </w:p>
    <w:tbl>
      <w:tblPr>
        <w:tblStyle w:val="TableGrid"/>
        <w:tblW w:w="0" w:type="auto"/>
        <w:tblLook w:val="04A0" w:firstRow="1" w:lastRow="0" w:firstColumn="1" w:lastColumn="0" w:noHBand="0" w:noVBand="1"/>
      </w:tblPr>
      <w:tblGrid>
        <w:gridCol w:w="9736"/>
      </w:tblGrid>
      <w:tr w:rsidR="00CB6647" w14:paraId="3AD9B539" w14:textId="77777777" w:rsidTr="00CB6647">
        <w:tc>
          <w:tcPr>
            <w:tcW w:w="9736" w:type="dxa"/>
          </w:tcPr>
          <w:p w14:paraId="02BD7FBA" w14:textId="0F9D87C2" w:rsidR="00CB6647" w:rsidRDefault="00CB6647" w:rsidP="00E15A20">
            <w:pPr>
              <w:spacing w:line="276" w:lineRule="auto"/>
              <w:jc w:val="both"/>
              <w:rPr>
                <w:rFonts w:ascii="Arial" w:hAnsi="Arial" w:cs="Arial"/>
                <w:i/>
                <w:iCs/>
              </w:rPr>
            </w:pPr>
            <w:r>
              <w:rPr>
                <w:noProof/>
              </w:rPr>
              <w:drawing>
                <wp:inline distT="0" distB="0" distL="0" distR="0" wp14:anchorId="296DDC0B" wp14:editId="515C8B6D">
                  <wp:extent cx="5890260" cy="3566160"/>
                  <wp:effectExtent l="0" t="0" r="0" b="34290"/>
                  <wp:docPr id="60686335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tc>
      </w:tr>
    </w:tbl>
    <w:p w14:paraId="0EF634EA" w14:textId="4B6F3C2D" w:rsidR="00E15A20" w:rsidRPr="00E7190D" w:rsidRDefault="005821A3" w:rsidP="00E15A20">
      <w:pPr>
        <w:spacing w:line="276" w:lineRule="auto"/>
        <w:jc w:val="both"/>
        <w:rPr>
          <w:rFonts w:ascii="Arial" w:hAnsi="Arial" w:cs="Arial"/>
          <w:i/>
          <w:iCs/>
        </w:rPr>
      </w:pPr>
      <w:r w:rsidRPr="00154942">
        <w:rPr>
          <w:rFonts w:ascii="Arial" w:hAnsi="Arial" w:cs="Arial"/>
          <w:i/>
          <w:iCs/>
        </w:rPr>
        <w:t>Source: Author Compilation (2025)</w:t>
      </w:r>
    </w:p>
    <w:p w14:paraId="16589F1F" w14:textId="77777777" w:rsidR="00E15A20" w:rsidRPr="00E15A20" w:rsidRDefault="00E15A20" w:rsidP="00E15A20">
      <w:pPr>
        <w:spacing w:line="276" w:lineRule="auto"/>
        <w:jc w:val="both"/>
        <w:rPr>
          <w:rFonts w:ascii="Arial" w:hAnsi="Arial" w:cs="Arial"/>
        </w:rPr>
      </w:pPr>
      <w:r w:rsidRPr="00E15A20">
        <w:rPr>
          <w:rFonts w:ascii="Arial" w:hAnsi="Arial" w:cs="Arial"/>
        </w:rPr>
        <w:t>This model ensures that compliance is embedded into every stage of operations rather than treated as an administrative afterthought.</w:t>
      </w:r>
    </w:p>
    <w:p w14:paraId="60DD1EE2" w14:textId="77777777" w:rsidR="00E15A20" w:rsidRPr="00E15A20" w:rsidRDefault="00E15A20" w:rsidP="00E15A20">
      <w:pPr>
        <w:spacing w:line="276" w:lineRule="auto"/>
        <w:jc w:val="both"/>
        <w:rPr>
          <w:rFonts w:ascii="Arial" w:hAnsi="Arial" w:cs="Arial"/>
        </w:rPr>
      </w:pPr>
    </w:p>
    <w:p w14:paraId="1B7A3CAE" w14:textId="4783EFD5" w:rsidR="00E15A20" w:rsidRPr="00E15A20" w:rsidRDefault="00E15A20" w:rsidP="00E15A20">
      <w:pPr>
        <w:spacing w:line="276" w:lineRule="auto"/>
        <w:jc w:val="both"/>
        <w:rPr>
          <w:rFonts w:ascii="Arial" w:hAnsi="Arial" w:cs="Arial"/>
        </w:rPr>
      </w:pPr>
      <w:r w:rsidRPr="00E15A20">
        <w:rPr>
          <w:rFonts w:ascii="Arial" w:hAnsi="Arial" w:cs="Arial"/>
        </w:rPr>
        <w:t>5.6 Key Operational Partners</w:t>
      </w:r>
    </w:p>
    <w:p w14:paraId="3B7696CF" w14:textId="77777777" w:rsidR="00E15A20" w:rsidRPr="00E15A20" w:rsidRDefault="00E15A20" w:rsidP="00E15A20">
      <w:pPr>
        <w:spacing w:line="276" w:lineRule="auto"/>
        <w:jc w:val="both"/>
        <w:rPr>
          <w:rFonts w:ascii="Arial" w:hAnsi="Arial" w:cs="Arial"/>
        </w:rPr>
      </w:pPr>
      <w:r w:rsidRPr="00E15A20">
        <w:rPr>
          <w:rFonts w:ascii="Arial" w:hAnsi="Arial" w:cs="Arial"/>
        </w:rPr>
        <w:t>The firm’s operations rely on strong professional partnerships. These include the FCA network (Openwork), mortgage lenders, surveyors, conveyancers, protection providers, and digital service companies. Strong relationships with solicitors and valuers are essential for smooth case progression, particularly during complex transactions or property-related legal checks. Research shows that customers expect mortgage firms to coordinate with third-party professionals efficiently to reduce delays and maintain communication (IMLA, 2023).</w:t>
      </w:r>
    </w:p>
    <w:p w14:paraId="4F84547F" w14:textId="77777777" w:rsidR="00E15A20" w:rsidRPr="00E15A20" w:rsidRDefault="00E15A20" w:rsidP="00E15A20">
      <w:pPr>
        <w:spacing w:line="276" w:lineRule="auto"/>
        <w:jc w:val="both"/>
        <w:rPr>
          <w:rFonts w:ascii="Arial" w:hAnsi="Arial" w:cs="Arial"/>
        </w:rPr>
      </w:pPr>
    </w:p>
    <w:p w14:paraId="15E65BE7" w14:textId="77777777" w:rsidR="00340B5F" w:rsidRDefault="00340B5F" w:rsidP="00E15A20">
      <w:pPr>
        <w:spacing w:line="276" w:lineRule="auto"/>
        <w:jc w:val="both"/>
        <w:rPr>
          <w:rFonts w:ascii="Arial" w:hAnsi="Arial" w:cs="Arial"/>
        </w:rPr>
      </w:pPr>
    </w:p>
    <w:p w14:paraId="2BC5F8B0" w14:textId="77777777" w:rsidR="00340B5F" w:rsidRDefault="00340B5F" w:rsidP="00E15A20">
      <w:pPr>
        <w:spacing w:line="276" w:lineRule="auto"/>
        <w:jc w:val="both"/>
        <w:rPr>
          <w:rFonts w:ascii="Arial" w:hAnsi="Arial" w:cs="Arial"/>
        </w:rPr>
      </w:pPr>
    </w:p>
    <w:p w14:paraId="22AA690D" w14:textId="1A10F2DD" w:rsidR="00E15A20" w:rsidRPr="00E15A20" w:rsidRDefault="00E15A20" w:rsidP="00E15A20">
      <w:pPr>
        <w:spacing w:line="276" w:lineRule="auto"/>
        <w:jc w:val="both"/>
        <w:rPr>
          <w:rFonts w:ascii="Arial" w:hAnsi="Arial" w:cs="Arial"/>
        </w:rPr>
      </w:pPr>
      <w:r w:rsidRPr="00E15A20">
        <w:rPr>
          <w:rFonts w:ascii="Arial" w:hAnsi="Arial" w:cs="Arial"/>
        </w:rPr>
        <w:t>Operational partnerships support</w:t>
      </w:r>
      <w:r w:rsidR="008E7FD8">
        <w:rPr>
          <w:rFonts w:ascii="Arial" w:hAnsi="Arial" w:cs="Arial"/>
        </w:rPr>
        <w:t xml:space="preserve"> component: </w:t>
      </w:r>
    </w:p>
    <w:tbl>
      <w:tblPr>
        <w:tblStyle w:val="TableGrid"/>
        <w:tblW w:w="8436" w:type="dxa"/>
        <w:tblInd w:w="524" w:type="dxa"/>
        <w:tblLook w:val="04A0" w:firstRow="1" w:lastRow="0" w:firstColumn="1" w:lastColumn="0" w:noHBand="0" w:noVBand="1"/>
      </w:tblPr>
      <w:tblGrid>
        <w:gridCol w:w="9212"/>
      </w:tblGrid>
      <w:tr w:rsidR="0087180D" w14:paraId="2173E1B3" w14:textId="77777777" w:rsidTr="00F444ED">
        <w:trPr>
          <w:trHeight w:val="2517"/>
        </w:trPr>
        <w:tc>
          <w:tcPr>
            <w:tcW w:w="8436" w:type="dxa"/>
          </w:tcPr>
          <w:p w14:paraId="54B79249" w14:textId="7DB438E7" w:rsidR="0087180D" w:rsidRDefault="0087180D" w:rsidP="00E15A20">
            <w:pPr>
              <w:spacing w:line="276" w:lineRule="auto"/>
              <w:jc w:val="both"/>
              <w:rPr>
                <w:rFonts w:ascii="Arial" w:hAnsi="Arial" w:cs="Arial"/>
              </w:rPr>
            </w:pPr>
            <w:r>
              <w:rPr>
                <w:rFonts w:ascii="Arial" w:hAnsi="Arial" w:cs="Arial"/>
                <w:noProof/>
              </w:rPr>
              <w:drawing>
                <wp:inline distT="0" distB="0" distL="0" distR="0" wp14:anchorId="05F7E544" wp14:editId="7986FA68">
                  <wp:extent cx="5715000" cy="1828800"/>
                  <wp:effectExtent l="0" t="38100" r="0" b="38100"/>
                  <wp:docPr id="164026178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tc>
      </w:tr>
    </w:tbl>
    <w:p w14:paraId="5B7BFD2A" w14:textId="77777777" w:rsidR="00E15A20" w:rsidRPr="00E15A20" w:rsidRDefault="00E15A20" w:rsidP="00E15A20">
      <w:pPr>
        <w:spacing w:line="276" w:lineRule="auto"/>
        <w:jc w:val="both"/>
        <w:rPr>
          <w:rFonts w:ascii="Arial" w:hAnsi="Arial" w:cs="Arial"/>
        </w:rPr>
      </w:pPr>
    </w:p>
    <w:p w14:paraId="3EAC1477" w14:textId="77777777" w:rsidR="00E15A20" w:rsidRPr="00E15A20" w:rsidRDefault="00E15A20" w:rsidP="00E15A20">
      <w:pPr>
        <w:spacing w:line="276" w:lineRule="auto"/>
        <w:jc w:val="both"/>
        <w:rPr>
          <w:rFonts w:ascii="Arial" w:hAnsi="Arial" w:cs="Arial"/>
        </w:rPr>
      </w:pPr>
      <w:r w:rsidRPr="00E15A20">
        <w:rPr>
          <w:rFonts w:ascii="Arial" w:hAnsi="Arial" w:cs="Arial"/>
        </w:rPr>
        <w:t>These relationships are central to delivering a seamless customer experience.</w:t>
      </w:r>
    </w:p>
    <w:p w14:paraId="6A99FBC2" w14:textId="77777777" w:rsidR="00E15A20" w:rsidRPr="00E15A20" w:rsidRDefault="00E15A20" w:rsidP="00E15A20">
      <w:pPr>
        <w:spacing w:line="276" w:lineRule="auto"/>
        <w:jc w:val="both"/>
        <w:rPr>
          <w:rFonts w:ascii="Arial" w:hAnsi="Arial" w:cs="Arial"/>
        </w:rPr>
      </w:pPr>
    </w:p>
    <w:p w14:paraId="5D7EAB52" w14:textId="29ACBC9C" w:rsidR="00E15A20" w:rsidRPr="00E15A20" w:rsidRDefault="00E15A20" w:rsidP="00E15A20">
      <w:pPr>
        <w:spacing w:line="276" w:lineRule="auto"/>
        <w:jc w:val="both"/>
        <w:rPr>
          <w:rFonts w:ascii="Arial" w:hAnsi="Arial" w:cs="Arial"/>
        </w:rPr>
      </w:pPr>
      <w:r w:rsidRPr="00E15A20">
        <w:rPr>
          <w:rFonts w:ascii="Arial" w:hAnsi="Arial" w:cs="Arial"/>
        </w:rPr>
        <w:t>5.7 Capacity Planning and Scalability</w:t>
      </w:r>
    </w:p>
    <w:p w14:paraId="5F7F6279" w14:textId="77777777" w:rsidR="00E15A20" w:rsidRPr="00E15A20" w:rsidRDefault="00E15A20" w:rsidP="00E15A20">
      <w:pPr>
        <w:spacing w:line="276" w:lineRule="auto"/>
        <w:jc w:val="both"/>
        <w:rPr>
          <w:rFonts w:ascii="Arial" w:hAnsi="Arial" w:cs="Arial"/>
        </w:rPr>
      </w:pPr>
      <w:r w:rsidRPr="00E15A20">
        <w:rPr>
          <w:rFonts w:ascii="Arial" w:hAnsi="Arial" w:cs="Arial"/>
        </w:rPr>
        <w:t>The firm’s operational model is intentionally designed to scale. Initially, Sense Mortgage &amp; Residential will operate with one lead adviser and one part-time administrator or paraplanner. As case volume increases, the business will expand its team, supported by Openwork’s onboarding and training pathways.</w:t>
      </w:r>
    </w:p>
    <w:p w14:paraId="34F19533" w14:textId="77777777" w:rsidR="00E15A20" w:rsidRPr="00E15A20" w:rsidRDefault="00E15A20" w:rsidP="00E15A20">
      <w:pPr>
        <w:spacing w:line="276" w:lineRule="auto"/>
        <w:jc w:val="both"/>
        <w:rPr>
          <w:rFonts w:ascii="Arial" w:hAnsi="Arial" w:cs="Arial"/>
        </w:rPr>
      </w:pPr>
    </w:p>
    <w:p w14:paraId="32F585D1" w14:textId="77777777" w:rsidR="00E15A20" w:rsidRPr="00E15A20" w:rsidRDefault="00E15A20" w:rsidP="00E15A20">
      <w:pPr>
        <w:spacing w:line="276" w:lineRule="auto"/>
        <w:jc w:val="both"/>
        <w:rPr>
          <w:rFonts w:ascii="Arial" w:hAnsi="Arial" w:cs="Arial"/>
        </w:rPr>
      </w:pPr>
      <w:r w:rsidRPr="00E15A20">
        <w:rPr>
          <w:rFonts w:ascii="Arial" w:hAnsi="Arial" w:cs="Arial"/>
        </w:rPr>
        <w:t>A projected growth table supports operational planning:</w:t>
      </w:r>
    </w:p>
    <w:p w14:paraId="101B76EC" w14:textId="77777777" w:rsidR="00E15A20" w:rsidRPr="00E15A20" w:rsidRDefault="00E15A20" w:rsidP="00E15A20">
      <w:pPr>
        <w:spacing w:line="276" w:lineRule="auto"/>
        <w:jc w:val="both"/>
        <w:rPr>
          <w:rFonts w:ascii="Arial" w:hAnsi="Arial" w:cs="Arial"/>
        </w:rPr>
      </w:pPr>
    </w:p>
    <w:p w14:paraId="08AE06F7" w14:textId="1C3A05F7" w:rsidR="00E15A20" w:rsidRPr="00E15A20" w:rsidRDefault="00E15A20" w:rsidP="00E15A20">
      <w:pPr>
        <w:spacing w:line="276" w:lineRule="auto"/>
        <w:jc w:val="both"/>
        <w:rPr>
          <w:rFonts w:ascii="Arial" w:hAnsi="Arial" w:cs="Arial"/>
        </w:rPr>
      </w:pPr>
      <w:r w:rsidRPr="00E15A20">
        <w:rPr>
          <w:rFonts w:ascii="Arial" w:hAnsi="Arial" w:cs="Arial"/>
        </w:rPr>
        <w:t xml:space="preserve">Table </w:t>
      </w:r>
      <w:r w:rsidR="00101142">
        <w:rPr>
          <w:rFonts w:ascii="Arial" w:hAnsi="Arial" w:cs="Arial"/>
        </w:rPr>
        <w:t>7</w:t>
      </w:r>
      <w:r w:rsidRPr="00E15A20">
        <w:rPr>
          <w:rFonts w:ascii="Arial" w:hAnsi="Arial" w:cs="Arial"/>
        </w:rPr>
        <w:t>: Capacity Planning and Staff Growth (Years 1–3)</w:t>
      </w:r>
    </w:p>
    <w:p w14:paraId="174DF34C" w14:textId="794FEEA7" w:rsidR="00E15A20" w:rsidRPr="00E15A20" w:rsidRDefault="00E15A20" w:rsidP="0006092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Arial" w:hAnsi="Arial" w:cs="Arial"/>
        </w:rPr>
      </w:pPr>
      <w:r w:rsidRPr="00E15A20">
        <w:rPr>
          <w:rFonts w:ascii="Arial" w:hAnsi="Arial" w:cs="Arial"/>
        </w:rPr>
        <w:t>Year</w:t>
      </w:r>
      <w:r w:rsidR="007F2811">
        <w:rPr>
          <w:rFonts w:ascii="Arial" w:hAnsi="Arial" w:cs="Arial"/>
        </w:rPr>
        <w:t xml:space="preserve">           </w:t>
      </w:r>
      <w:r w:rsidRPr="00E15A20">
        <w:rPr>
          <w:rFonts w:ascii="Arial" w:hAnsi="Arial" w:cs="Arial"/>
        </w:rPr>
        <w:tab/>
        <w:t>Advisers</w:t>
      </w:r>
      <w:r w:rsidRPr="00E15A20">
        <w:rPr>
          <w:rFonts w:ascii="Arial" w:hAnsi="Arial" w:cs="Arial"/>
        </w:rPr>
        <w:tab/>
      </w:r>
      <w:r w:rsidR="007F2811">
        <w:rPr>
          <w:rFonts w:ascii="Arial" w:hAnsi="Arial" w:cs="Arial"/>
        </w:rPr>
        <w:t xml:space="preserve">       </w:t>
      </w:r>
      <w:r w:rsidRPr="00E15A20">
        <w:rPr>
          <w:rFonts w:ascii="Arial" w:hAnsi="Arial" w:cs="Arial"/>
        </w:rPr>
        <w:t>Admin Staff</w:t>
      </w:r>
      <w:r w:rsidRPr="00E15A20">
        <w:rPr>
          <w:rFonts w:ascii="Arial" w:hAnsi="Arial" w:cs="Arial"/>
        </w:rPr>
        <w:tab/>
      </w:r>
      <w:r w:rsidR="007F2811">
        <w:rPr>
          <w:rFonts w:ascii="Arial" w:hAnsi="Arial" w:cs="Arial"/>
        </w:rPr>
        <w:t xml:space="preserve">                  </w:t>
      </w:r>
      <w:r w:rsidRPr="00E15A20">
        <w:rPr>
          <w:rFonts w:ascii="Arial" w:hAnsi="Arial" w:cs="Arial"/>
        </w:rPr>
        <w:t>Estimated Case Capacity</w:t>
      </w:r>
    </w:p>
    <w:p w14:paraId="247B5B9D" w14:textId="6AC53903" w:rsidR="00E15A20" w:rsidRPr="00E15A20" w:rsidRDefault="00E15A20" w:rsidP="0006092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Arial" w:hAnsi="Arial" w:cs="Arial"/>
        </w:rPr>
      </w:pPr>
      <w:r w:rsidRPr="00E15A20">
        <w:rPr>
          <w:rFonts w:ascii="Arial" w:hAnsi="Arial" w:cs="Arial"/>
        </w:rPr>
        <w:t xml:space="preserve">Year </w:t>
      </w:r>
      <w:r w:rsidR="00EE5589" w:rsidRPr="00E15A20">
        <w:rPr>
          <w:rFonts w:ascii="Arial" w:hAnsi="Arial" w:cs="Arial"/>
        </w:rPr>
        <w:t>1</w:t>
      </w:r>
      <w:r w:rsidR="00EE5589">
        <w:rPr>
          <w:rFonts w:ascii="Arial" w:hAnsi="Arial" w:cs="Arial"/>
        </w:rPr>
        <w:t xml:space="preserve"> </w:t>
      </w:r>
      <w:r w:rsidR="00EE5589">
        <w:rPr>
          <w:rFonts w:ascii="Arial" w:hAnsi="Arial" w:cs="Arial"/>
        </w:rPr>
        <w:tab/>
      </w:r>
      <w:r w:rsidRPr="00E15A20">
        <w:rPr>
          <w:rFonts w:ascii="Arial" w:hAnsi="Arial" w:cs="Arial"/>
        </w:rPr>
        <w:t>1</w:t>
      </w:r>
      <w:r w:rsidRPr="00E15A20">
        <w:rPr>
          <w:rFonts w:ascii="Arial" w:hAnsi="Arial" w:cs="Arial"/>
        </w:rPr>
        <w:tab/>
      </w:r>
      <w:r w:rsidR="00A57EB6">
        <w:rPr>
          <w:rFonts w:ascii="Arial" w:hAnsi="Arial" w:cs="Arial"/>
        </w:rPr>
        <w:t xml:space="preserve">                  </w:t>
      </w:r>
      <w:r w:rsidRPr="00E15A20">
        <w:rPr>
          <w:rFonts w:ascii="Arial" w:hAnsi="Arial" w:cs="Arial"/>
        </w:rPr>
        <w:t>1 (PT)</w:t>
      </w:r>
      <w:r w:rsidRPr="00E15A20">
        <w:rPr>
          <w:rFonts w:ascii="Arial" w:hAnsi="Arial" w:cs="Arial"/>
        </w:rPr>
        <w:tab/>
      </w:r>
      <w:r w:rsidR="00EE5589">
        <w:rPr>
          <w:rFonts w:ascii="Arial" w:hAnsi="Arial" w:cs="Arial"/>
        </w:rPr>
        <w:t xml:space="preserve">                             </w:t>
      </w:r>
      <w:r w:rsidRPr="00E15A20">
        <w:rPr>
          <w:rFonts w:ascii="Arial" w:hAnsi="Arial" w:cs="Arial"/>
        </w:rPr>
        <w:t>15–20 cases/month</w:t>
      </w:r>
    </w:p>
    <w:p w14:paraId="2B7667EF" w14:textId="79CC2C53" w:rsidR="00E15A20" w:rsidRPr="00E15A20" w:rsidRDefault="00E15A20" w:rsidP="0006092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Arial" w:hAnsi="Arial" w:cs="Arial"/>
        </w:rPr>
      </w:pPr>
      <w:r w:rsidRPr="00E15A20">
        <w:rPr>
          <w:rFonts w:ascii="Arial" w:hAnsi="Arial" w:cs="Arial"/>
        </w:rPr>
        <w:t xml:space="preserve">Year </w:t>
      </w:r>
      <w:r w:rsidR="00EE5589" w:rsidRPr="00E15A20">
        <w:rPr>
          <w:rFonts w:ascii="Arial" w:hAnsi="Arial" w:cs="Arial"/>
        </w:rPr>
        <w:t>2</w:t>
      </w:r>
      <w:r w:rsidR="00EE5589">
        <w:rPr>
          <w:rFonts w:ascii="Arial" w:hAnsi="Arial" w:cs="Arial"/>
        </w:rPr>
        <w:t xml:space="preserve"> </w:t>
      </w:r>
      <w:r w:rsidR="00EE5589">
        <w:rPr>
          <w:rFonts w:ascii="Arial" w:hAnsi="Arial" w:cs="Arial"/>
        </w:rPr>
        <w:tab/>
      </w:r>
      <w:r w:rsidRPr="00E15A20">
        <w:rPr>
          <w:rFonts w:ascii="Arial" w:hAnsi="Arial" w:cs="Arial"/>
        </w:rPr>
        <w:t>2</w:t>
      </w:r>
      <w:r w:rsidRPr="00E15A20">
        <w:rPr>
          <w:rFonts w:ascii="Arial" w:hAnsi="Arial" w:cs="Arial"/>
        </w:rPr>
        <w:tab/>
      </w:r>
      <w:r w:rsidR="00A57EB6">
        <w:rPr>
          <w:rFonts w:ascii="Arial" w:hAnsi="Arial" w:cs="Arial"/>
        </w:rPr>
        <w:t xml:space="preserve">                  </w:t>
      </w:r>
      <w:r w:rsidRPr="00E15A20">
        <w:rPr>
          <w:rFonts w:ascii="Arial" w:hAnsi="Arial" w:cs="Arial"/>
        </w:rPr>
        <w:t>1 (FT)</w:t>
      </w:r>
      <w:r w:rsidRPr="00E15A20">
        <w:rPr>
          <w:rFonts w:ascii="Arial" w:hAnsi="Arial" w:cs="Arial"/>
        </w:rPr>
        <w:tab/>
      </w:r>
      <w:r w:rsidR="00EE5589">
        <w:rPr>
          <w:rFonts w:ascii="Arial" w:hAnsi="Arial" w:cs="Arial"/>
        </w:rPr>
        <w:t xml:space="preserve">                            </w:t>
      </w:r>
      <w:r w:rsidR="00797A00">
        <w:rPr>
          <w:rFonts w:ascii="Arial" w:hAnsi="Arial" w:cs="Arial"/>
        </w:rPr>
        <w:t xml:space="preserve"> </w:t>
      </w:r>
      <w:r w:rsidR="00EE5589">
        <w:rPr>
          <w:rFonts w:ascii="Arial" w:hAnsi="Arial" w:cs="Arial"/>
        </w:rPr>
        <w:t xml:space="preserve"> </w:t>
      </w:r>
      <w:r w:rsidRPr="00E15A20">
        <w:rPr>
          <w:rFonts w:ascii="Arial" w:hAnsi="Arial" w:cs="Arial"/>
        </w:rPr>
        <w:t>30–40 cases/month</w:t>
      </w:r>
    </w:p>
    <w:p w14:paraId="787E03C1" w14:textId="07203634" w:rsidR="00E15A20" w:rsidRPr="00E15A20" w:rsidRDefault="00E15A20" w:rsidP="00060927">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both"/>
        <w:rPr>
          <w:rFonts w:ascii="Arial" w:hAnsi="Arial" w:cs="Arial"/>
        </w:rPr>
      </w:pPr>
      <w:r w:rsidRPr="00E15A20">
        <w:rPr>
          <w:rFonts w:ascii="Arial" w:hAnsi="Arial" w:cs="Arial"/>
        </w:rPr>
        <w:t>Year 3</w:t>
      </w:r>
      <w:r w:rsidRPr="00E15A20">
        <w:rPr>
          <w:rFonts w:ascii="Arial" w:hAnsi="Arial" w:cs="Arial"/>
        </w:rPr>
        <w:tab/>
      </w:r>
      <w:r w:rsidR="00A57EB6">
        <w:rPr>
          <w:rFonts w:ascii="Arial" w:hAnsi="Arial" w:cs="Arial"/>
        </w:rPr>
        <w:t xml:space="preserve">          </w:t>
      </w:r>
      <w:r w:rsidRPr="00E15A20">
        <w:rPr>
          <w:rFonts w:ascii="Arial" w:hAnsi="Arial" w:cs="Arial"/>
        </w:rPr>
        <w:t>3–4</w:t>
      </w:r>
      <w:r w:rsidRPr="00E15A20">
        <w:rPr>
          <w:rFonts w:ascii="Arial" w:hAnsi="Arial" w:cs="Arial"/>
        </w:rPr>
        <w:tab/>
      </w:r>
      <w:r w:rsidR="00A57EB6">
        <w:rPr>
          <w:rFonts w:ascii="Arial" w:hAnsi="Arial" w:cs="Arial"/>
        </w:rPr>
        <w:t xml:space="preserve">                  </w:t>
      </w:r>
      <w:r w:rsidRPr="00E15A20">
        <w:rPr>
          <w:rFonts w:ascii="Arial" w:hAnsi="Arial" w:cs="Arial"/>
        </w:rPr>
        <w:t>2 (FT)</w:t>
      </w:r>
      <w:r w:rsidRPr="00E15A20">
        <w:rPr>
          <w:rFonts w:ascii="Arial" w:hAnsi="Arial" w:cs="Arial"/>
        </w:rPr>
        <w:tab/>
      </w:r>
      <w:r w:rsidR="00797A00">
        <w:rPr>
          <w:rFonts w:ascii="Arial" w:hAnsi="Arial" w:cs="Arial"/>
        </w:rPr>
        <w:t xml:space="preserve">                               </w:t>
      </w:r>
      <w:r w:rsidRPr="00E15A20">
        <w:rPr>
          <w:rFonts w:ascii="Arial" w:hAnsi="Arial" w:cs="Arial"/>
        </w:rPr>
        <w:t>50+ cases/month</w:t>
      </w:r>
    </w:p>
    <w:p w14:paraId="0EEB358F" w14:textId="77777777" w:rsidR="00E15A20" w:rsidRPr="00917BFE" w:rsidRDefault="00E15A20" w:rsidP="00E15A20">
      <w:pPr>
        <w:spacing w:line="276" w:lineRule="auto"/>
        <w:jc w:val="both"/>
        <w:rPr>
          <w:rFonts w:ascii="Arial" w:hAnsi="Arial" w:cs="Arial"/>
          <w:i/>
          <w:iCs/>
        </w:rPr>
      </w:pPr>
      <w:r w:rsidRPr="00917BFE">
        <w:rPr>
          <w:rFonts w:ascii="Arial" w:hAnsi="Arial" w:cs="Arial"/>
          <w:i/>
          <w:iCs/>
        </w:rPr>
        <w:t>Source: Author Projection (2025)</w:t>
      </w:r>
    </w:p>
    <w:p w14:paraId="70727754" w14:textId="77777777" w:rsidR="00E15A20" w:rsidRPr="00E15A20" w:rsidRDefault="00E15A20" w:rsidP="00E15A20">
      <w:pPr>
        <w:spacing w:line="276" w:lineRule="auto"/>
        <w:jc w:val="both"/>
        <w:rPr>
          <w:rFonts w:ascii="Arial" w:hAnsi="Arial" w:cs="Arial"/>
        </w:rPr>
      </w:pPr>
    </w:p>
    <w:p w14:paraId="7258BD2F" w14:textId="77777777" w:rsidR="00E15A20" w:rsidRPr="00E15A20" w:rsidRDefault="00E15A20" w:rsidP="00E15A20">
      <w:pPr>
        <w:spacing w:line="276" w:lineRule="auto"/>
        <w:jc w:val="both"/>
        <w:rPr>
          <w:rFonts w:ascii="Arial" w:hAnsi="Arial" w:cs="Arial"/>
        </w:rPr>
      </w:pPr>
      <w:r w:rsidRPr="00E15A20">
        <w:rPr>
          <w:rFonts w:ascii="Arial" w:hAnsi="Arial" w:cs="Arial"/>
        </w:rPr>
        <w:t>This structured expansion ensures operations remain manageable, compliant, and financially sustainable.</w:t>
      </w:r>
    </w:p>
    <w:p w14:paraId="515EB506" w14:textId="77777777" w:rsidR="00E15A20" w:rsidRPr="00E15A20" w:rsidRDefault="00E15A20" w:rsidP="00E15A20">
      <w:pPr>
        <w:spacing w:line="276" w:lineRule="auto"/>
        <w:jc w:val="both"/>
        <w:rPr>
          <w:rFonts w:ascii="Arial" w:hAnsi="Arial" w:cs="Arial"/>
        </w:rPr>
      </w:pPr>
    </w:p>
    <w:p w14:paraId="54D234B7" w14:textId="77777777" w:rsidR="00917BFE" w:rsidRDefault="00917BFE" w:rsidP="00E15A20">
      <w:pPr>
        <w:spacing w:line="276" w:lineRule="auto"/>
        <w:jc w:val="both"/>
        <w:rPr>
          <w:rFonts w:ascii="Arial" w:hAnsi="Arial" w:cs="Arial"/>
        </w:rPr>
      </w:pPr>
    </w:p>
    <w:p w14:paraId="075CAB2C" w14:textId="77777777" w:rsidR="00917BFE" w:rsidRDefault="00917BFE" w:rsidP="00E15A20">
      <w:pPr>
        <w:spacing w:line="276" w:lineRule="auto"/>
        <w:jc w:val="both"/>
        <w:rPr>
          <w:rFonts w:ascii="Arial" w:hAnsi="Arial" w:cs="Arial"/>
        </w:rPr>
      </w:pPr>
    </w:p>
    <w:p w14:paraId="57048665" w14:textId="21F1AC88" w:rsidR="00E15A20" w:rsidRPr="00E15A20" w:rsidRDefault="00E15A20" w:rsidP="00E15A20">
      <w:pPr>
        <w:spacing w:line="276" w:lineRule="auto"/>
        <w:jc w:val="both"/>
        <w:rPr>
          <w:rFonts w:ascii="Arial" w:hAnsi="Arial" w:cs="Arial"/>
        </w:rPr>
      </w:pPr>
      <w:r w:rsidRPr="00E15A20">
        <w:rPr>
          <w:rFonts w:ascii="Arial" w:hAnsi="Arial" w:cs="Arial"/>
        </w:rPr>
        <w:t>5.8 Risk Management in Operations</w:t>
      </w:r>
    </w:p>
    <w:p w14:paraId="63A4C4E7" w14:textId="77777777" w:rsidR="00E15A20" w:rsidRPr="00E15A20" w:rsidRDefault="00E15A20" w:rsidP="00E15A20">
      <w:pPr>
        <w:spacing w:line="276" w:lineRule="auto"/>
        <w:jc w:val="both"/>
        <w:rPr>
          <w:rFonts w:ascii="Arial" w:hAnsi="Arial" w:cs="Arial"/>
        </w:rPr>
      </w:pPr>
      <w:r w:rsidRPr="00E15A20">
        <w:rPr>
          <w:rFonts w:ascii="Arial" w:hAnsi="Arial" w:cs="Arial"/>
        </w:rPr>
        <w:t>Operational risks include system outages, compliance breaches, documentation errors, partner delays, and economic fluctuations affecting client demand. Risk mitigation includes technology backups, dual-layer file checking, compliance supervision through Openwork, secure data storage, and maintaining relationships with multiple lenders and conveyancers. The hybrid business model also reduces location risk by enabling remote working if office access becomes restricted, which increases operational resilience (EY, 2023).</w:t>
      </w:r>
    </w:p>
    <w:p w14:paraId="4322C78E" w14:textId="77777777" w:rsidR="00E15A20" w:rsidRPr="00E15A20" w:rsidRDefault="00E15A20" w:rsidP="00E15A20">
      <w:pPr>
        <w:spacing w:line="276" w:lineRule="auto"/>
        <w:jc w:val="both"/>
        <w:rPr>
          <w:rFonts w:ascii="Arial" w:hAnsi="Arial" w:cs="Arial"/>
        </w:rPr>
      </w:pPr>
    </w:p>
    <w:p w14:paraId="64A517A1" w14:textId="00865A4A" w:rsidR="00E15A20" w:rsidRPr="00E15A20" w:rsidRDefault="00E15A20" w:rsidP="00E15A20">
      <w:pPr>
        <w:spacing w:line="276" w:lineRule="auto"/>
        <w:jc w:val="both"/>
        <w:rPr>
          <w:rFonts w:ascii="Arial" w:hAnsi="Arial" w:cs="Arial"/>
        </w:rPr>
      </w:pPr>
      <w:r w:rsidRPr="00E15A20">
        <w:rPr>
          <w:rFonts w:ascii="Arial" w:hAnsi="Arial" w:cs="Arial"/>
        </w:rPr>
        <w:t>5.9 Summary</w:t>
      </w:r>
    </w:p>
    <w:p w14:paraId="4FBC9586" w14:textId="2C88619E" w:rsidR="00E15A20" w:rsidRDefault="00E15A20" w:rsidP="00E15A20">
      <w:pPr>
        <w:spacing w:line="276" w:lineRule="auto"/>
        <w:jc w:val="both"/>
        <w:rPr>
          <w:rFonts w:ascii="Arial" w:hAnsi="Arial" w:cs="Arial"/>
        </w:rPr>
      </w:pPr>
      <w:r w:rsidRPr="00E15A20">
        <w:rPr>
          <w:rFonts w:ascii="Arial" w:hAnsi="Arial" w:cs="Arial"/>
        </w:rPr>
        <w:t>Chapter 5 explained how Sense Mortgage &amp; Residential will deliver its advisory services through a structured operational model supported by technology, compliance oversight, professional partnerships, and scalable processes. The chapter demonstrated how the firm will manage workflow, infrastructure, CRM systems, compliance responsibilities, and staffing growth to maintain high-quality service and strong regulatory adherence. The inclusion of diagrams, tables, and projected capacity planning provides additional evidence of operational readiness and supports academic expectations for clarity and structure.</w:t>
      </w:r>
    </w:p>
    <w:p w14:paraId="3E31BAC3" w14:textId="77777777" w:rsidR="003C0174" w:rsidRDefault="003C0174" w:rsidP="00E15A20">
      <w:pPr>
        <w:spacing w:line="276" w:lineRule="auto"/>
        <w:jc w:val="both"/>
        <w:rPr>
          <w:rFonts w:ascii="Arial" w:hAnsi="Arial" w:cs="Arial"/>
        </w:rPr>
      </w:pPr>
    </w:p>
    <w:p w14:paraId="102B4A4A" w14:textId="77777777" w:rsidR="003C0174" w:rsidRDefault="003C0174" w:rsidP="00E15A20">
      <w:pPr>
        <w:spacing w:line="276" w:lineRule="auto"/>
        <w:jc w:val="both"/>
        <w:rPr>
          <w:rFonts w:ascii="Arial" w:hAnsi="Arial" w:cs="Arial"/>
        </w:rPr>
      </w:pPr>
    </w:p>
    <w:p w14:paraId="5C1D0BC5" w14:textId="77777777" w:rsidR="003C0174" w:rsidRDefault="003C0174" w:rsidP="00E15A20">
      <w:pPr>
        <w:spacing w:line="276" w:lineRule="auto"/>
        <w:jc w:val="both"/>
        <w:rPr>
          <w:rFonts w:ascii="Arial" w:hAnsi="Arial" w:cs="Arial"/>
        </w:rPr>
      </w:pPr>
    </w:p>
    <w:p w14:paraId="3C8A6D53" w14:textId="77777777" w:rsidR="003C0174" w:rsidRDefault="003C0174" w:rsidP="00E15A20">
      <w:pPr>
        <w:spacing w:line="276" w:lineRule="auto"/>
        <w:jc w:val="both"/>
        <w:rPr>
          <w:rFonts w:ascii="Arial" w:hAnsi="Arial" w:cs="Arial"/>
        </w:rPr>
      </w:pPr>
    </w:p>
    <w:p w14:paraId="41B1A3D6" w14:textId="77777777" w:rsidR="003C0174" w:rsidRDefault="003C0174" w:rsidP="00E15A20">
      <w:pPr>
        <w:spacing w:line="276" w:lineRule="auto"/>
        <w:jc w:val="both"/>
        <w:rPr>
          <w:rFonts w:ascii="Arial" w:hAnsi="Arial" w:cs="Arial"/>
        </w:rPr>
      </w:pPr>
    </w:p>
    <w:p w14:paraId="7982FE30" w14:textId="77777777" w:rsidR="003C0174" w:rsidRDefault="003C0174" w:rsidP="00E15A20">
      <w:pPr>
        <w:spacing w:line="276" w:lineRule="auto"/>
        <w:jc w:val="both"/>
        <w:rPr>
          <w:rFonts w:ascii="Arial" w:hAnsi="Arial" w:cs="Arial"/>
        </w:rPr>
      </w:pPr>
    </w:p>
    <w:p w14:paraId="1176B103" w14:textId="77777777" w:rsidR="003C0174" w:rsidRDefault="003C0174" w:rsidP="00E15A20">
      <w:pPr>
        <w:spacing w:line="276" w:lineRule="auto"/>
        <w:jc w:val="both"/>
        <w:rPr>
          <w:rFonts w:ascii="Arial" w:hAnsi="Arial" w:cs="Arial"/>
        </w:rPr>
      </w:pPr>
    </w:p>
    <w:p w14:paraId="4BAFCDB7" w14:textId="77777777" w:rsidR="003C0174" w:rsidRDefault="003C0174" w:rsidP="00E15A20">
      <w:pPr>
        <w:spacing w:line="276" w:lineRule="auto"/>
        <w:jc w:val="both"/>
        <w:rPr>
          <w:rFonts w:ascii="Arial" w:hAnsi="Arial" w:cs="Arial"/>
        </w:rPr>
      </w:pPr>
    </w:p>
    <w:p w14:paraId="1BEFF071" w14:textId="77777777" w:rsidR="003C0174" w:rsidRDefault="003C0174" w:rsidP="00E15A20">
      <w:pPr>
        <w:spacing w:line="276" w:lineRule="auto"/>
        <w:jc w:val="both"/>
        <w:rPr>
          <w:rFonts w:ascii="Arial" w:hAnsi="Arial" w:cs="Arial"/>
        </w:rPr>
      </w:pPr>
    </w:p>
    <w:p w14:paraId="7E0E7C04" w14:textId="77777777" w:rsidR="003C0174" w:rsidRDefault="003C0174" w:rsidP="00E15A20">
      <w:pPr>
        <w:spacing w:line="276" w:lineRule="auto"/>
        <w:jc w:val="both"/>
        <w:rPr>
          <w:rFonts w:ascii="Arial" w:hAnsi="Arial" w:cs="Arial"/>
        </w:rPr>
      </w:pPr>
    </w:p>
    <w:p w14:paraId="1F39F7ED" w14:textId="77777777" w:rsidR="003C0174" w:rsidRDefault="003C0174" w:rsidP="00E15A20">
      <w:pPr>
        <w:spacing w:line="276" w:lineRule="auto"/>
        <w:jc w:val="both"/>
        <w:rPr>
          <w:rFonts w:ascii="Arial" w:hAnsi="Arial" w:cs="Arial"/>
        </w:rPr>
      </w:pPr>
    </w:p>
    <w:p w14:paraId="3EF648D2" w14:textId="77777777" w:rsidR="003C0174" w:rsidRDefault="003C0174" w:rsidP="00E15A20">
      <w:pPr>
        <w:spacing w:line="276" w:lineRule="auto"/>
        <w:jc w:val="both"/>
        <w:rPr>
          <w:rFonts w:ascii="Arial" w:hAnsi="Arial" w:cs="Arial"/>
        </w:rPr>
      </w:pPr>
    </w:p>
    <w:p w14:paraId="09E969A3" w14:textId="77777777" w:rsidR="003C0174" w:rsidRDefault="003C0174" w:rsidP="00E15A20">
      <w:pPr>
        <w:spacing w:line="276" w:lineRule="auto"/>
        <w:jc w:val="both"/>
        <w:rPr>
          <w:rFonts w:ascii="Arial" w:hAnsi="Arial" w:cs="Arial"/>
        </w:rPr>
      </w:pPr>
    </w:p>
    <w:p w14:paraId="6C298919" w14:textId="77777777" w:rsidR="003C0174" w:rsidRDefault="003C0174" w:rsidP="00E15A20">
      <w:pPr>
        <w:spacing w:line="276" w:lineRule="auto"/>
        <w:jc w:val="both"/>
        <w:rPr>
          <w:rFonts w:ascii="Arial" w:hAnsi="Arial" w:cs="Arial"/>
        </w:rPr>
      </w:pPr>
    </w:p>
    <w:p w14:paraId="3AD58FDB" w14:textId="77777777" w:rsidR="003C0174" w:rsidRDefault="003C0174" w:rsidP="00E15A20">
      <w:pPr>
        <w:spacing w:line="276" w:lineRule="auto"/>
        <w:jc w:val="both"/>
        <w:rPr>
          <w:rFonts w:ascii="Arial" w:hAnsi="Arial" w:cs="Arial"/>
        </w:rPr>
      </w:pPr>
    </w:p>
    <w:p w14:paraId="4DC032F6" w14:textId="77777777" w:rsidR="003C0174" w:rsidRDefault="003C0174" w:rsidP="00E15A20">
      <w:pPr>
        <w:spacing w:line="276" w:lineRule="auto"/>
        <w:jc w:val="both"/>
        <w:rPr>
          <w:rFonts w:ascii="Arial" w:hAnsi="Arial" w:cs="Arial"/>
        </w:rPr>
      </w:pPr>
    </w:p>
    <w:p w14:paraId="1CE5D701" w14:textId="77777777" w:rsidR="003C0174" w:rsidRDefault="003C0174" w:rsidP="00E15A20">
      <w:pPr>
        <w:spacing w:line="276" w:lineRule="auto"/>
        <w:jc w:val="both"/>
        <w:rPr>
          <w:rFonts w:ascii="Arial" w:hAnsi="Arial" w:cs="Arial"/>
        </w:rPr>
      </w:pPr>
    </w:p>
    <w:p w14:paraId="238EA7A1" w14:textId="17289885" w:rsidR="003C0174" w:rsidRDefault="003C0174" w:rsidP="00E15A20">
      <w:pPr>
        <w:spacing w:line="276" w:lineRule="auto"/>
        <w:jc w:val="both"/>
        <w:rPr>
          <w:rFonts w:ascii="Arial" w:hAnsi="Arial" w:cs="Arial"/>
        </w:rPr>
      </w:pPr>
      <w:r>
        <w:rPr>
          <w:rFonts w:ascii="Arial" w:hAnsi="Arial" w:cs="Arial"/>
        </w:rPr>
        <w:t xml:space="preserve">References: </w:t>
      </w:r>
    </w:p>
    <w:p w14:paraId="6490B19C"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Accenture (2023) </w:t>
      </w:r>
      <w:r w:rsidRPr="003C0174">
        <w:rPr>
          <w:rFonts w:ascii="Arial" w:hAnsi="Arial" w:cs="Arial"/>
          <w:i/>
          <w:iCs/>
        </w:rPr>
        <w:t>Digital Transformation in UK Financial Services</w:t>
      </w:r>
      <w:r w:rsidRPr="003C0174">
        <w:rPr>
          <w:rFonts w:ascii="Arial" w:hAnsi="Arial" w:cs="Arial"/>
        </w:rPr>
        <w:t>. London: Accenture.</w:t>
      </w:r>
    </w:p>
    <w:p w14:paraId="1DFA89E9"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Companies House (2024) </w:t>
      </w:r>
      <w:r w:rsidRPr="003C0174">
        <w:rPr>
          <w:rFonts w:ascii="Arial" w:hAnsi="Arial" w:cs="Arial"/>
          <w:i/>
          <w:iCs/>
        </w:rPr>
        <w:t>Incorporation and Company Structures in the UK</w:t>
      </w:r>
      <w:r w:rsidRPr="003C0174">
        <w:rPr>
          <w:rFonts w:ascii="Arial" w:hAnsi="Arial" w:cs="Arial"/>
        </w:rPr>
        <w:t>. London: HM Government.</w:t>
      </w:r>
    </w:p>
    <w:p w14:paraId="2F897A20"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Deloitte (2023) </w:t>
      </w:r>
      <w:r w:rsidRPr="003C0174">
        <w:rPr>
          <w:rFonts w:ascii="Arial" w:hAnsi="Arial" w:cs="Arial"/>
          <w:i/>
          <w:iCs/>
        </w:rPr>
        <w:t>UK Mortgage Consumer Insights Report</w:t>
      </w:r>
      <w:r w:rsidRPr="003C0174">
        <w:rPr>
          <w:rFonts w:ascii="Arial" w:hAnsi="Arial" w:cs="Arial"/>
        </w:rPr>
        <w:t>. London: Deloitte.</w:t>
      </w:r>
    </w:p>
    <w:p w14:paraId="481EE63B"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EY (2023) </w:t>
      </w:r>
      <w:r w:rsidRPr="003C0174">
        <w:rPr>
          <w:rFonts w:ascii="Arial" w:hAnsi="Arial" w:cs="Arial"/>
          <w:i/>
          <w:iCs/>
        </w:rPr>
        <w:t>Financial Services Outlook 2023–2025</w:t>
      </w:r>
      <w:r w:rsidRPr="003C0174">
        <w:rPr>
          <w:rFonts w:ascii="Arial" w:hAnsi="Arial" w:cs="Arial"/>
        </w:rPr>
        <w:t>. London: Ernst &amp; Young.</w:t>
      </w:r>
    </w:p>
    <w:p w14:paraId="64733FA5"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EY (2023) </w:t>
      </w:r>
      <w:r w:rsidRPr="003C0174">
        <w:rPr>
          <w:rFonts w:ascii="Arial" w:hAnsi="Arial" w:cs="Arial"/>
          <w:i/>
          <w:iCs/>
        </w:rPr>
        <w:t>Operational Resilience in Financial Services</w:t>
      </w:r>
      <w:r w:rsidRPr="003C0174">
        <w:rPr>
          <w:rFonts w:ascii="Arial" w:hAnsi="Arial" w:cs="Arial"/>
        </w:rPr>
        <w:t>. London: Ernst &amp; Young.</w:t>
      </w:r>
    </w:p>
    <w:p w14:paraId="345D9175"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FCA (2022) </w:t>
      </w:r>
      <w:r w:rsidRPr="003C0174">
        <w:rPr>
          <w:rFonts w:ascii="Arial" w:hAnsi="Arial" w:cs="Arial"/>
          <w:i/>
          <w:iCs/>
        </w:rPr>
        <w:t>Principles for Businesses (PRIN)</w:t>
      </w:r>
      <w:r w:rsidRPr="003C0174">
        <w:rPr>
          <w:rFonts w:ascii="Arial" w:hAnsi="Arial" w:cs="Arial"/>
        </w:rPr>
        <w:t>. London: Financial Conduct Authority.</w:t>
      </w:r>
    </w:p>
    <w:p w14:paraId="04A1FA4B"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FCA (2023) </w:t>
      </w:r>
      <w:r w:rsidRPr="003C0174">
        <w:rPr>
          <w:rFonts w:ascii="Arial" w:hAnsi="Arial" w:cs="Arial"/>
          <w:i/>
          <w:iCs/>
        </w:rPr>
        <w:t>Consumer Duty Policy Statement PS22/9</w:t>
      </w:r>
      <w:r w:rsidRPr="003C0174">
        <w:rPr>
          <w:rFonts w:ascii="Arial" w:hAnsi="Arial" w:cs="Arial"/>
        </w:rPr>
        <w:t>. London: Financial Conduct Authority.</w:t>
      </w:r>
    </w:p>
    <w:p w14:paraId="550BB8FB"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FCA (2023) </w:t>
      </w:r>
      <w:r w:rsidRPr="003C0174">
        <w:rPr>
          <w:rFonts w:ascii="Arial" w:hAnsi="Arial" w:cs="Arial"/>
          <w:i/>
          <w:iCs/>
        </w:rPr>
        <w:t>Consumer Duty: Strengthening Supervision of Mortgage Intermediaries</w:t>
      </w:r>
      <w:r w:rsidRPr="003C0174">
        <w:rPr>
          <w:rFonts w:ascii="Arial" w:hAnsi="Arial" w:cs="Arial"/>
        </w:rPr>
        <w:t>. London: Financial Conduct Authority.</w:t>
      </w:r>
    </w:p>
    <w:p w14:paraId="3DC455B1" w14:textId="77777777" w:rsidR="003C0174" w:rsidRPr="003C0174" w:rsidRDefault="003C0174" w:rsidP="003C0174">
      <w:pPr>
        <w:spacing w:line="276" w:lineRule="auto"/>
        <w:jc w:val="both"/>
        <w:rPr>
          <w:rFonts w:ascii="Arial" w:hAnsi="Arial" w:cs="Arial"/>
        </w:rPr>
      </w:pPr>
      <w:proofErr w:type="spellStart"/>
      <w:r w:rsidRPr="003C0174">
        <w:rPr>
          <w:rFonts w:ascii="Arial" w:hAnsi="Arial" w:cs="Arial"/>
        </w:rPr>
        <w:t>Habito</w:t>
      </w:r>
      <w:proofErr w:type="spellEnd"/>
      <w:r w:rsidRPr="003C0174">
        <w:rPr>
          <w:rFonts w:ascii="Arial" w:hAnsi="Arial" w:cs="Arial"/>
        </w:rPr>
        <w:t xml:space="preserve"> (2024) </w:t>
      </w:r>
      <w:r w:rsidRPr="003C0174">
        <w:rPr>
          <w:rFonts w:ascii="Arial" w:hAnsi="Arial" w:cs="Arial"/>
          <w:i/>
          <w:iCs/>
        </w:rPr>
        <w:t>Digital Brokerage Services Overview</w:t>
      </w:r>
      <w:r w:rsidRPr="003C0174">
        <w:rPr>
          <w:rFonts w:ascii="Arial" w:hAnsi="Arial" w:cs="Arial"/>
        </w:rPr>
        <w:t xml:space="preserve">. London: </w:t>
      </w:r>
      <w:proofErr w:type="spellStart"/>
      <w:r w:rsidRPr="003C0174">
        <w:rPr>
          <w:rFonts w:ascii="Arial" w:hAnsi="Arial" w:cs="Arial"/>
        </w:rPr>
        <w:t>Habito</w:t>
      </w:r>
      <w:proofErr w:type="spellEnd"/>
      <w:r w:rsidRPr="003C0174">
        <w:rPr>
          <w:rFonts w:ascii="Arial" w:hAnsi="Arial" w:cs="Arial"/>
        </w:rPr>
        <w:t>.</w:t>
      </w:r>
    </w:p>
    <w:p w14:paraId="30183F58"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IMLA (2023) </w:t>
      </w:r>
      <w:r w:rsidRPr="003C0174">
        <w:rPr>
          <w:rFonts w:ascii="Arial" w:hAnsi="Arial" w:cs="Arial"/>
          <w:i/>
          <w:iCs/>
        </w:rPr>
        <w:t>Intermediary Mortgage Market Report</w:t>
      </w:r>
      <w:r w:rsidRPr="003C0174">
        <w:rPr>
          <w:rFonts w:ascii="Arial" w:hAnsi="Arial" w:cs="Arial"/>
        </w:rPr>
        <w:t>. London: Intermediary Mortgage Lenders Association.</w:t>
      </w:r>
    </w:p>
    <w:p w14:paraId="2D42D6DB"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Kotler, P. and Keller, K. (2023) </w:t>
      </w:r>
      <w:r w:rsidRPr="003C0174">
        <w:rPr>
          <w:rFonts w:ascii="Arial" w:hAnsi="Arial" w:cs="Arial"/>
          <w:i/>
          <w:iCs/>
        </w:rPr>
        <w:t>Marketing Management</w:t>
      </w:r>
      <w:r w:rsidRPr="003C0174">
        <w:rPr>
          <w:rFonts w:ascii="Arial" w:hAnsi="Arial" w:cs="Arial"/>
        </w:rPr>
        <w:t xml:space="preserve">. 16th </w:t>
      </w:r>
      <w:proofErr w:type="spellStart"/>
      <w:r w:rsidRPr="003C0174">
        <w:rPr>
          <w:rFonts w:ascii="Arial" w:hAnsi="Arial" w:cs="Arial"/>
        </w:rPr>
        <w:t>edn</w:t>
      </w:r>
      <w:proofErr w:type="spellEnd"/>
      <w:r w:rsidRPr="003C0174">
        <w:rPr>
          <w:rFonts w:ascii="Arial" w:hAnsi="Arial" w:cs="Arial"/>
        </w:rPr>
        <w:t>. Pearson Education.</w:t>
      </w:r>
    </w:p>
    <w:p w14:paraId="783958C3"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London &amp; Country Mortgages (2024) </w:t>
      </w:r>
      <w:r w:rsidRPr="003C0174">
        <w:rPr>
          <w:rFonts w:ascii="Arial" w:hAnsi="Arial" w:cs="Arial"/>
          <w:i/>
          <w:iCs/>
        </w:rPr>
        <w:t>Service Overview and Adviser Support Model</w:t>
      </w:r>
      <w:r w:rsidRPr="003C0174">
        <w:rPr>
          <w:rFonts w:ascii="Arial" w:hAnsi="Arial" w:cs="Arial"/>
        </w:rPr>
        <w:t>. Bath: L&amp;C Mortgages.</w:t>
      </w:r>
    </w:p>
    <w:p w14:paraId="4B0F1C70"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McKinsey &amp; Company (2023) </w:t>
      </w:r>
      <w:r w:rsidRPr="003C0174">
        <w:rPr>
          <w:rFonts w:ascii="Arial" w:hAnsi="Arial" w:cs="Arial"/>
          <w:i/>
          <w:iCs/>
        </w:rPr>
        <w:t>Digital Transformation in Mortgage Lending</w:t>
      </w:r>
      <w:r w:rsidRPr="003C0174">
        <w:rPr>
          <w:rFonts w:ascii="Arial" w:hAnsi="Arial" w:cs="Arial"/>
        </w:rPr>
        <w:t>. London: McKinsey.</w:t>
      </w:r>
    </w:p>
    <w:p w14:paraId="1DC2C83C"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Moneyfacts (2024) </w:t>
      </w:r>
      <w:r w:rsidRPr="003C0174">
        <w:rPr>
          <w:rFonts w:ascii="Arial" w:hAnsi="Arial" w:cs="Arial"/>
          <w:i/>
          <w:iCs/>
        </w:rPr>
        <w:t>Mortgage Trends Update</w:t>
      </w:r>
      <w:r w:rsidRPr="003C0174">
        <w:rPr>
          <w:rFonts w:ascii="Arial" w:hAnsi="Arial" w:cs="Arial"/>
        </w:rPr>
        <w:t>. London: Moneyfacts Group.</w:t>
      </w:r>
    </w:p>
    <w:p w14:paraId="10E0A10F"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ONS (2024) </w:t>
      </w:r>
      <w:r w:rsidRPr="003C0174">
        <w:rPr>
          <w:rFonts w:ascii="Arial" w:hAnsi="Arial" w:cs="Arial"/>
          <w:i/>
          <w:iCs/>
        </w:rPr>
        <w:t>UK Housing Market and Regional Analysis</w:t>
      </w:r>
      <w:r w:rsidRPr="003C0174">
        <w:rPr>
          <w:rFonts w:ascii="Arial" w:hAnsi="Arial" w:cs="Arial"/>
        </w:rPr>
        <w:t>. London: Office for National Statistics.</w:t>
      </w:r>
    </w:p>
    <w:p w14:paraId="148F6B35"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Openwork (2024) </w:t>
      </w:r>
      <w:r w:rsidRPr="003C0174">
        <w:rPr>
          <w:rFonts w:ascii="Arial" w:hAnsi="Arial" w:cs="Arial"/>
          <w:i/>
          <w:iCs/>
        </w:rPr>
        <w:t>Network Adviser Support and Training Framework</w:t>
      </w:r>
      <w:r w:rsidRPr="003C0174">
        <w:rPr>
          <w:rFonts w:ascii="Arial" w:hAnsi="Arial" w:cs="Arial"/>
        </w:rPr>
        <w:t>. Swindon: Openwork Partnership.</w:t>
      </w:r>
    </w:p>
    <w:p w14:paraId="5D1090EA"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PwC (2023) </w:t>
      </w:r>
      <w:r w:rsidRPr="003C0174">
        <w:rPr>
          <w:rFonts w:ascii="Arial" w:hAnsi="Arial" w:cs="Arial"/>
          <w:i/>
          <w:iCs/>
        </w:rPr>
        <w:t>Future of Mortgage Intermediation in the UK</w:t>
      </w:r>
      <w:r w:rsidRPr="003C0174">
        <w:rPr>
          <w:rFonts w:ascii="Arial" w:hAnsi="Arial" w:cs="Arial"/>
        </w:rPr>
        <w:t>. London: PricewaterhouseCoopers.</w:t>
      </w:r>
    </w:p>
    <w:p w14:paraId="5F9457D8"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Quilter (2024) </w:t>
      </w:r>
      <w:r w:rsidRPr="003C0174">
        <w:rPr>
          <w:rFonts w:ascii="Arial" w:hAnsi="Arial" w:cs="Arial"/>
          <w:i/>
          <w:iCs/>
        </w:rPr>
        <w:t>Network Support and Adviser Compliance Framework</w:t>
      </w:r>
      <w:r w:rsidRPr="003C0174">
        <w:rPr>
          <w:rFonts w:ascii="Arial" w:hAnsi="Arial" w:cs="Arial"/>
        </w:rPr>
        <w:t>. London: Quilter Financial Planning.</w:t>
      </w:r>
    </w:p>
    <w:p w14:paraId="58FAD674" w14:textId="77777777" w:rsidR="003C0174" w:rsidRPr="003C0174" w:rsidRDefault="003C0174" w:rsidP="003C0174">
      <w:pPr>
        <w:spacing w:line="276" w:lineRule="auto"/>
        <w:jc w:val="both"/>
        <w:rPr>
          <w:rFonts w:ascii="Arial" w:hAnsi="Arial" w:cs="Arial"/>
        </w:rPr>
      </w:pPr>
      <w:r w:rsidRPr="003C0174">
        <w:rPr>
          <w:rFonts w:ascii="Arial" w:hAnsi="Arial" w:cs="Arial"/>
        </w:rPr>
        <w:t xml:space="preserve">UK Finance (2024) </w:t>
      </w:r>
      <w:r w:rsidRPr="003C0174">
        <w:rPr>
          <w:rFonts w:ascii="Arial" w:hAnsi="Arial" w:cs="Arial"/>
          <w:i/>
          <w:iCs/>
        </w:rPr>
        <w:t>Mortgage Trends Report</w:t>
      </w:r>
      <w:r w:rsidRPr="003C0174">
        <w:rPr>
          <w:rFonts w:ascii="Arial" w:hAnsi="Arial" w:cs="Arial"/>
        </w:rPr>
        <w:t>. London: UK Finance.</w:t>
      </w:r>
    </w:p>
    <w:p w14:paraId="072E1345" w14:textId="77777777" w:rsidR="003C0174" w:rsidRPr="0013711A" w:rsidRDefault="003C0174" w:rsidP="00E15A20">
      <w:pPr>
        <w:spacing w:line="276" w:lineRule="auto"/>
        <w:jc w:val="both"/>
        <w:rPr>
          <w:rFonts w:ascii="Arial" w:hAnsi="Arial" w:cs="Arial"/>
        </w:rPr>
      </w:pPr>
    </w:p>
    <w:sectPr w:rsidR="003C0174" w:rsidRPr="0013711A" w:rsidSect="00C875D1">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06DCD"/>
    <w:multiLevelType w:val="hybridMultilevel"/>
    <w:tmpl w:val="B19C5BF4"/>
    <w:lvl w:ilvl="0" w:tplc="31423906">
      <w:start w:val="1"/>
      <w:numFmt w:val="decimal"/>
      <w:lvlText w:val="%1."/>
      <w:lvlJc w:val="left"/>
      <w:pPr>
        <w:ind w:left="720" w:hanging="360"/>
      </w:pPr>
      <w:rPr>
        <w:rFonts w:hint="default"/>
        <w:b w:val="0"/>
        <w:bCs/>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 w15:restartNumberingAfterBreak="0">
    <w:nsid w:val="18CC7EC7"/>
    <w:multiLevelType w:val="hybridMultilevel"/>
    <w:tmpl w:val="BB66CE6C"/>
    <w:lvl w:ilvl="0" w:tplc="30090003">
      <w:start w:val="1"/>
      <w:numFmt w:val="bullet"/>
      <w:lvlText w:val="o"/>
      <w:lvlJc w:val="left"/>
      <w:pPr>
        <w:ind w:left="720" w:hanging="360"/>
      </w:pPr>
      <w:rPr>
        <w:rFonts w:ascii="Courier New" w:hAnsi="Courier New" w:cs="Courier New"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2" w15:restartNumberingAfterBreak="0">
    <w:nsid w:val="27D307A6"/>
    <w:multiLevelType w:val="hybridMultilevel"/>
    <w:tmpl w:val="1160FFCC"/>
    <w:lvl w:ilvl="0" w:tplc="30090003">
      <w:start w:val="1"/>
      <w:numFmt w:val="bullet"/>
      <w:lvlText w:val="o"/>
      <w:lvlJc w:val="left"/>
      <w:pPr>
        <w:ind w:left="720" w:hanging="360"/>
      </w:pPr>
      <w:rPr>
        <w:rFonts w:ascii="Courier New" w:hAnsi="Courier New" w:cs="Courier New"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3" w15:restartNumberingAfterBreak="0">
    <w:nsid w:val="46865340"/>
    <w:multiLevelType w:val="hybridMultilevel"/>
    <w:tmpl w:val="28EE95C2"/>
    <w:lvl w:ilvl="0" w:tplc="3009000B">
      <w:start w:val="1"/>
      <w:numFmt w:val="bullet"/>
      <w:lvlText w:val=""/>
      <w:lvlJc w:val="left"/>
      <w:pPr>
        <w:ind w:left="720" w:hanging="360"/>
      </w:pPr>
      <w:rPr>
        <w:rFonts w:ascii="Wingdings" w:hAnsi="Wingdings"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 w15:restartNumberingAfterBreak="0">
    <w:nsid w:val="5D653A4A"/>
    <w:multiLevelType w:val="hybridMultilevel"/>
    <w:tmpl w:val="C9E4D0D2"/>
    <w:lvl w:ilvl="0" w:tplc="30090003">
      <w:start w:val="1"/>
      <w:numFmt w:val="bullet"/>
      <w:lvlText w:val="o"/>
      <w:lvlJc w:val="left"/>
      <w:pPr>
        <w:ind w:left="720" w:hanging="360"/>
      </w:pPr>
      <w:rPr>
        <w:rFonts w:ascii="Courier New" w:hAnsi="Courier New" w:cs="Courier New"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5" w15:restartNumberingAfterBreak="0">
    <w:nsid w:val="60FE4781"/>
    <w:multiLevelType w:val="hybridMultilevel"/>
    <w:tmpl w:val="C6DC7A78"/>
    <w:lvl w:ilvl="0" w:tplc="30090003">
      <w:start w:val="1"/>
      <w:numFmt w:val="bullet"/>
      <w:lvlText w:val="o"/>
      <w:lvlJc w:val="left"/>
      <w:pPr>
        <w:ind w:left="720" w:hanging="360"/>
      </w:pPr>
      <w:rPr>
        <w:rFonts w:ascii="Courier New" w:hAnsi="Courier New" w:cs="Courier New"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6" w15:restartNumberingAfterBreak="0">
    <w:nsid w:val="670E5A6A"/>
    <w:multiLevelType w:val="hybridMultilevel"/>
    <w:tmpl w:val="E1E23642"/>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 w15:restartNumberingAfterBreak="0">
    <w:nsid w:val="76CE1C16"/>
    <w:multiLevelType w:val="hybridMultilevel"/>
    <w:tmpl w:val="60063856"/>
    <w:lvl w:ilvl="0" w:tplc="30090003">
      <w:start w:val="1"/>
      <w:numFmt w:val="bullet"/>
      <w:lvlText w:val="o"/>
      <w:lvlJc w:val="left"/>
      <w:pPr>
        <w:ind w:left="720" w:hanging="360"/>
      </w:pPr>
      <w:rPr>
        <w:rFonts w:ascii="Courier New" w:hAnsi="Courier New" w:cs="Courier New"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8" w15:restartNumberingAfterBreak="0">
    <w:nsid w:val="78983F8B"/>
    <w:multiLevelType w:val="hybridMultilevel"/>
    <w:tmpl w:val="4B30097E"/>
    <w:lvl w:ilvl="0" w:tplc="90383740">
      <w:start w:val="1"/>
      <w:numFmt w:val="decimal"/>
      <w:lvlText w:val="%1."/>
      <w:lvlJc w:val="left"/>
      <w:pPr>
        <w:ind w:left="720" w:hanging="360"/>
      </w:pPr>
      <w:rPr>
        <w:rFonts w:hint="default"/>
        <w:b w:val="0"/>
        <w:bCs/>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9" w15:restartNumberingAfterBreak="0">
    <w:nsid w:val="79091D97"/>
    <w:multiLevelType w:val="hybridMultilevel"/>
    <w:tmpl w:val="D8303A2C"/>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0" w15:restartNumberingAfterBreak="0">
    <w:nsid w:val="7D9812D6"/>
    <w:multiLevelType w:val="hybridMultilevel"/>
    <w:tmpl w:val="B22820A4"/>
    <w:lvl w:ilvl="0" w:tplc="30090003">
      <w:start w:val="1"/>
      <w:numFmt w:val="bullet"/>
      <w:lvlText w:val="o"/>
      <w:lvlJc w:val="left"/>
      <w:pPr>
        <w:ind w:left="720" w:hanging="360"/>
      </w:pPr>
      <w:rPr>
        <w:rFonts w:ascii="Courier New" w:hAnsi="Courier New" w:cs="Courier New"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16cid:durableId="1155801078">
    <w:abstractNumId w:val="5"/>
  </w:num>
  <w:num w:numId="2" w16cid:durableId="495731780">
    <w:abstractNumId w:val="1"/>
  </w:num>
  <w:num w:numId="3" w16cid:durableId="107628598">
    <w:abstractNumId w:val="10"/>
  </w:num>
  <w:num w:numId="4" w16cid:durableId="849175387">
    <w:abstractNumId w:val="7"/>
  </w:num>
  <w:num w:numId="5" w16cid:durableId="1917548816">
    <w:abstractNumId w:val="2"/>
  </w:num>
  <w:num w:numId="6" w16cid:durableId="800000902">
    <w:abstractNumId w:val="3"/>
  </w:num>
  <w:num w:numId="7" w16cid:durableId="388112995">
    <w:abstractNumId w:val="4"/>
  </w:num>
  <w:num w:numId="8" w16cid:durableId="1092580404">
    <w:abstractNumId w:val="8"/>
  </w:num>
  <w:num w:numId="9" w16cid:durableId="1976254585">
    <w:abstractNumId w:val="0"/>
  </w:num>
  <w:num w:numId="10" w16cid:durableId="194391369">
    <w:abstractNumId w:val="9"/>
  </w:num>
  <w:num w:numId="11" w16cid:durableId="19784124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E9F"/>
    <w:rsid w:val="000051BD"/>
    <w:rsid w:val="0001081A"/>
    <w:rsid w:val="0001260E"/>
    <w:rsid w:val="00060927"/>
    <w:rsid w:val="00074453"/>
    <w:rsid w:val="00084F29"/>
    <w:rsid w:val="000856F4"/>
    <w:rsid w:val="0009610F"/>
    <w:rsid w:val="000A253B"/>
    <w:rsid w:val="000B22B0"/>
    <w:rsid w:val="000B3725"/>
    <w:rsid w:val="000E486B"/>
    <w:rsid w:val="000E6CC0"/>
    <w:rsid w:val="000F0FFD"/>
    <w:rsid w:val="000F1A09"/>
    <w:rsid w:val="000F37CC"/>
    <w:rsid w:val="000F5A9A"/>
    <w:rsid w:val="00100737"/>
    <w:rsid w:val="00101142"/>
    <w:rsid w:val="00101FE0"/>
    <w:rsid w:val="00105EDB"/>
    <w:rsid w:val="001107F9"/>
    <w:rsid w:val="00135709"/>
    <w:rsid w:val="0013711A"/>
    <w:rsid w:val="001467F5"/>
    <w:rsid w:val="0015416A"/>
    <w:rsid w:val="00154942"/>
    <w:rsid w:val="00160860"/>
    <w:rsid w:val="00170C69"/>
    <w:rsid w:val="00171EF9"/>
    <w:rsid w:val="00173896"/>
    <w:rsid w:val="001804DA"/>
    <w:rsid w:val="00187C0D"/>
    <w:rsid w:val="001A2F2A"/>
    <w:rsid w:val="001A7D89"/>
    <w:rsid w:val="001B68F0"/>
    <w:rsid w:val="001B72AC"/>
    <w:rsid w:val="001C502D"/>
    <w:rsid w:val="001D4B14"/>
    <w:rsid w:val="001E107B"/>
    <w:rsid w:val="001E15FC"/>
    <w:rsid w:val="001E28C4"/>
    <w:rsid w:val="001E55B8"/>
    <w:rsid w:val="001F70D5"/>
    <w:rsid w:val="00200F07"/>
    <w:rsid w:val="00210FD6"/>
    <w:rsid w:val="00215A31"/>
    <w:rsid w:val="002224FC"/>
    <w:rsid w:val="002333AD"/>
    <w:rsid w:val="00243443"/>
    <w:rsid w:val="00244241"/>
    <w:rsid w:val="002462C7"/>
    <w:rsid w:val="00247B6A"/>
    <w:rsid w:val="00251C7D"/>
    <w:rsid w:val="00252767"/>
    <w:rsid w:val="00252FCB"/>
    <w:rsid w:val="002631E5"/>
    <w:rsid w:val="00266DD3"/>
    <w:rsid w:val="00270B0E"/>
    <w:rsid w:val="0027399F"/>
    <w:rsid w:val="00281EA9"/>
    <w:rsid w:val="0028258F"/>
    <w:rsid w:val="00296CC1"/>
    <w:rsid w:val="002B0452"/>
    <w:rsid w:val="002B395D"/>
    <w:rsid w:val="002D43F1"/>
    <w:rsid w:val="002F0753"/>
    <w:rsid w:val="002F49B3"/>
    <w:rsid w:val="0030241E"/>
    <w:rsid w:val="00325451"/>
    <w:rsid w:val="00332A12"/>
    <w:rsid w:val="00334698"/>
    <w:rsid w:val="00340B5F"/>
    <w:rsid w:val="0034331F"/>
    <w:rsid w:val="00344AEB"/>
    <w:rsid w:val="00347F71"/>
    <w:rsid w:val="003521C0"/>
    <w:rsid w:val="00361C88"/>
    <w:rsid w:val="0036369F"/>
    <w:rsid w:val="00373368"/>
    <w:rsid w:val="0037406C"/>
    <w:rsid w:val="003746E9"/>
    <w:rsid w:val="00380273"/>
    <w:rsid w:val="0038219F"/>
    <w:rsid w:val="00391AF7"/>
    <w:rsid w:val="00391CE9"/>
    <w:rsid w:val="00393D97"/>
    <w:rsid w:val="003B0FE7"/>
    <w:rsid w:val="003B3BC9"/>
    <w:rsid w:val="003B624D"/>
    <w:rsid w:val="003B7F78"/>
    <w:rsid w:val="003C0174"/>
    <w:rsid w:val="003C1BCA"/>
    <w:rsid w:val="003C735F"/>
    <w:rsid w:val="003D49E5"/>
    <w:rsid w:val="003F2768"/>
    <w:rsid w:val="004028AA"/>
    <w:rsid w:val="00402BCB"/>
    <w:rsid w:val="00406090"/>
    <w:rsid w:val="004223CD"/>
    <w:rsid w:val="00424CA2"/>
    <w:rsid w:val="00425877"/>
    <w:rsid w:val="00426A67"/>
    <w:rsid w:val="00427C1F"/>
    <w:rsid w:val="004324F0"/>
    <w:rsid w:val="0043353E"/>
    <w:rsid w:val="00444715"/>
    <w:rsid w:val="00450717"/>
    <w:rsid w:val="00492F81"/>
    <w:rsid w:val="004A7480"/>
    <w:rsid w:val="004B0D6D"/>
    <w:rsid w:val="004B2695"/>
    <w:rsid w:val="004B3F2A"/>
    <w:rsid w:val="004C4E1D"/>
    <w:rsid w:val="004D548D"/>
    <w:rsid w:val="004E3E53"/>
    <w:rsid w:val="004E7809"/>
    <w:rsid w:val="004E7835"/>
    <w:rsid w:val="004F3796"/>
    <w:rsid w:val="004F492C"/>
    <w:rsid w:val="00511B47"/>
    <w:rsid w:val="0051218A"/>
    <w:rsid w:val="00521085"/>
    <w:rsid w:val="005369CB"/>
    <w:rsid w:val="005455DE"/>
    <w:rsid w:val="00552CA1"/>
    <w:rsid w:val="005537F5"/>
    <w:rsid w:val="0055522F"/>
    <w:rsid w:val="00572EBF"/>
    <w:rsid w:val="00575009"/>
    <w:rsid w:val="00575BFE"/>
    <w:rsid w:val="005821A3"/>
    <w:rsid w:val="00584E37"/>
    <w:rsid w:val="005930D0"/>
    <w:rsid w:val="00593253"/>
    <w:rsid w:val="00593C7A"/>
    <w:rsid w:val="00595FEE"/>
    <w:rsid w:val="005969A4"/>
    <w:rsid w:val="005A0066"/>
    <w:rsid w:val="005A34F4"/>
    <w:rsid w:val="005B0BE1"/>
    <w:rsid w:val="005B1858"/>
    <w:rsid w:val="005B4E31"/>
    <w:rsid w:val="005B694B"/>
    <w:rsid w:val="005D228C"/>
    <w:rsid w:val="005E6664"/>
    <w:rsid w:val="005E7A3F"/>
    <w:rsid w:val="005F5825"/>
    <w:rsid w:val="00600B74"/>
    <w:rsid w:val="0060544C"/>
    <w:rsid w:val="00616830"/>
    <w:rsid w:val="00623807"/>
    <w:rsid w:val="00632503"/>
    <w:rsid w:val="00635B3E"/>
    <w:rsid w:val="006460CA"/>
    <w:rsid w:val="00661031"/>
    <w:rsid w:val="00667794"/>
    <w:rsid w:val="00676ABB"/>
    <w:rsid w:val="0068645F"/>
    <w:rsid w:val="006865A7"/>
    <w:rsid w:val="006866B9"/>
    <w:rsid w:val="006A15A4"/>
    <w:rsid w:val="006A78F7"/>
    <w:rsid w:val="006B1946"/>
    <w:rsid w:val="006B4A2A"/>
    <w:rsid w:val="006B52E6"/>
    <w:rsid w:val="006B7A08"/>
    <w:rsid w:val="006C2368"/>
    <w:rsid w:val="006D6B7A"/>
    <w:rsid w:val="00702AC7"/>
    <w:rsid w:val="00707213"/>
    <w:rsid w:val="00713BC9"/>
    <w:rsid w:val="00715DD0"/>
    <w:rsid w:val="00722D21"/>
    <w:rsid w:val="00724250"/>
    <w:rsid w:val="00740B67"/>
    <w:rsid w:val="00740E48"/>
    <w:rsid w:val="00746B92"/>
    <w:rsid w:val="007509E2"/>
    <w:rsid w:val="00750D4E"/>
    <w:rsid w:val="0076233F"/>
    <w:rsid w:val="00783F4A"/>
    <w:rsid w:val="007920B2"/>
    <w:rsid w:val="00797A00"/>
    <w:rsid w:val="007A256E"/>
    <w:rsid w:val="007C27F5"/>
    <w:rsid w:val="007C6213"/>
    <w:rsid w:val="007D5387"/>
    <w:rsid w:val="007D5DDB"/>
    <w:rsid w:val="007D6316"/>
    <w:rsid w:val="007F2811"/>
    <w:rsid w:val="00801489"/>
    <w:rsid w:val="00814890"/>
    <w:rsid w:val="008161DF"/>
    <w:rsid w:val="00816EC3"/>
    <w:rsid w:val="008257B2"/>
    <w:rsid w:val="008318DA"/>
    <w:rsid w:val="008417F8"/>
    <w:rsid w:val="008527A8"/>
    <w:rsid w:val="00865965"/>
    <w:rsid w:val="00865988"/>
    <w:rsid w:val="0087180D"/>
    <w:rsid w:val="00874BA7"/>
    <w:rsid w:val="0088003A"/>
    <w:rsid w:val="008933CA"/>
    <w:rsid w:val="008B2FA6"/>
    <w:rsid w:val="008B5507"/>
    <w:rsid w:val="008C0221"/>
    <w:rsid w:val="008D4256"/>
    <w:rsid w:val="008D5988"/>
    <w:rsid w:val="008E7FD8"/>
    <w:rsid w:val="008F0746"/>
    <w:rsid w:val="008F1C1A"/>
    <w:rsid w:val="00903E15"/>
    <w:rsid w:val="009052A7"/>
    <w:rsid w:val="00906330"/>
    <w:rsid w:val="00916400"/>
    <w:rsid w:val="00916E26"/>
    <w:rsid w:val="00917BFE"/>
    <w:rsid w:val="009320C8"/>
    <w:rsid w:val="00944238"/>
    <w:rsid w:val="00964BF4"/>
    <w:rsid w:val="00970422"/>
    <w:rsid w:val="0097156A"/>
    <w:rsid w:val="00974F68"/>
    <w:rsid w:val="0099469B"/>
    <w:rsid w:val="009A02CB"/>
    <w:rsid w:val="009A6C7F"/>
    <w:rsid w:val="009C1A50"/>
    <w:rsid w:val="009C2F52"/>
    <w:rsid w:val="009C5B22"/>
    <w:rsid w:val="009D4AAB"/>
    <w:rsid w:val="00A014BD"/>
    <w:rsid w:val="00A15337"/>
    <w:rsid w:val="00A16802"/>
    <w:rsid w:val="00A30299"/>
    <w:rsid w:val="00A353DD"/>
    <w:rsid w:val="00A40E9F"/>
    <w:rsid w:val="00A41B6B"/>
    <w:rsid w:val="00A425A4"/>
    <w:rsid w:val="00A46FAC"/>
    <w:rsid w:val="00A526F2"/>
    <w:rsid w:val="00A57EB6"/>
    <w:rsid w:val="00A61136"/>
    <w:rsid w:val="00A6299D"/>
    <w:rsid w:val="00A72231"/>
    <w:rsid w:val="00A7512C"/>
    <w:rsid w:val="00A8463B"/>
    <w:rsid w:val="00AA3406"/>
    <w:rsid w:val="00AA6571"/>
    <w:rsid w:val="00AB74FB"/>
    <w:rsid w:val="00AE1BD9"/>
    <w:rsid w:val="00AF0A65"/>
    <w:rsid w:val="00B03CF5"/>
    <w:rsid w:val="00B04348"/>
    <w:rsid w:val="00B05DBE"/>
    <w:rsid w:val="00B17BC7"/>
    <w:rsid w:val="00B3364D"/>
    <w:rsid w:val="00B37808"/>
    <w:rsid w:val="00B4287D"/>
    <w:rsid w:val="00B46DFE"/>
    <w:rsid w:val="00B50F00"/>
    <w:rsid w:val="00B527EA"/>
    <w:rsid w:val="00B5720E"/>
    <w:rsid w:val="00B57556"/>
    <w:rsid w:val="00B63E59"/>
    <w:rsid w:val="00B75DFF"/>
    <w:rsid w:val="00B76E4D"/>
    <w:rsid w:val="00B94EED"/>
    <w:rsid w:val="00B9743E"/>
    <w:rsid w:val="00BA0EFF"/>
    <w:rsid w:val="00BB105A"/>
    <w:rsid w:val="00BB5A1E"/>
    <w:rsid w:val="00BC11EB"/>
    <w:rsid w:val="00BC736C"/>
    <w:rsid w:val="00BE7277"/>
    <w:rsid w:val="00BE7B81"/>
    <w:rsid w:val="00BF0677"/>
    <w:rsid w:val="00BF1F56"/>
    <w:rsid w:val="00C03339"/>
    <w:rsid w:val="00C03BFD"/>
    <w:rsid w:val="00C0617E"/>
    <w:rsid w:val="00C07A3A"/>
    <w:rsid w:val="00C1214C"/>
    <w:rsid w:val="00C15628"/>
    <w:rsid w:val="00C172A4"/>
    <w:rsid w:val="00C22952"/>
    <w:rsid w:val="00C262A0"/>
    <w:rsid w:val="00C32EF6"/>
    <w:rsid w:val="00C352A6"/>
    <w:rsid w:val="00C47773"/>
    <w:rsid w:val="00C52C9C"/>
    <w:rsid w:val="00C53B28"/>
    <w:rsid w:val="00C5695A"/>
    <w:rsid w:val="00C5739D"/>
    <w:rsid w:val="00C615C6"/>
    <w:rsid w:val="00C648EB"/>
    <w:rsid w:val="00C6690C"/>
    <w:rsid w:val="00C76767"/>
    <w:rsid w:val="00C86A60"/>
    <w:rsid w:val="00C875D1"/>
    <w:rsid w:val="00C945EC"/>
    <w:rsid w:val="00CB3340"/>
    <w:rsid w:val="00CB6647"/>
    <w:rsid w:val="00CC70C7"/>
    <w:rsid w:val="00CE1923"/>
    <w:rsid w:val="00CE1E0B"/>
    <w:rsid w:val="00CE1ED4"/>
    <w:rsid w:val="00CF33CF"/>
    <w:rsid w:val="00CF7FBF"/>
    <w:rsid w:val="00D00D17"/>
    <w:rsid w:val="00D12A84"/>
    <w:rsid w:val="00D15FB3"/>
    <w:rsid w:val="00D16094"/>
    <w:rsid w:val="00D16229"/>
    <w:rsid w:val="00D16256"/>
    <w:rsid w:val="00D236F2"/>
    <w:rsid w:val="00D25C25"/>
    <w:rsid w:val="00D2605F"/>
    <w:rsid w:val="00D32E03"/>
    <w:rsid w:val="00D47E6A"/>
    <w:rsid w:val="00D554B4"/>
    <w:rsid w:val="00D64987"/>
    <w:rsid w:val="00D90035"/>
    <w:rsid w:val="00D907E1"/>
    <w:rsid w:val="00D90D0F"/>
    <w:rsid w:val="00D9270D"/>
    <w:rsid w:val="00DB4D5B"/>
    <w:rsid w:val="00DC27F5"/>
    <w:rsid w:val="00DC5743"/>
    <w:rsid w:val="00DC7EAB"/>
    <w:rsid w:val="00DD223C"/>
    <w:rsid w:val="00DE659F"/>
    <w:rsid w:val="00E00A87"/>
    <w:rsid w:val="00E078A5"/>
    <w:rsid w:val="00E10D6E"/>
    <w:rsid w:val="00E13B12"/>
    <w:rsid w:val="00E155DC"/>
    <w:rsid w:val="00E15A20"/>
    <w:rsid w:val="00E21375"/>
    <w:rsid w:val="00E2602C"/>
    <w:rsid w:val="00E37D17"/>
    <w:rsid w:val="00E40D9A"/>
    <w:rsid w:val="00E45994"/>
    <w:rsid w:val="00E47A36"/>
    <w:rsid w:val="00E51697"/>
    <w:rsid w:val="00E54F22"/>
    <w:rsid w:val="00E55401"/>
    <w:rsid w:val="00E67636"/>
    <w:rsid w:val="00E67C60"/>
    <w:rsid w:val="00E7190D"/>
    <w:rsid w:val="00E8356D"/>
    <w:rsid w:val="00E93973"/>
    <w:rsid w:val="00EA5A27"/>
    <w:rsid w:val="00EB1466"/>
    <w:rsid w:val="00EB64EA"/>
    <w:rsid w:val="00EC49AD"/>
    <w:rsid w:val="00ED3626"/>
    <w:rsid w:val="00EE21BF"/>
    <w:rsid w:val="00EE5589"/>
    <w:rsid w:val="00EF06AE"/>
    <w:rsid w:val="00F02F11"/>
    <w:rsid w:val="00F032D9"/>
    <w:rsid w:val="00F0390C"/>
    <w:rsid w:val="00F05EC4"/>
    <w:rsid w:val="00F14A8E"/>
    <w:rsid w:val="00F276C9"/>
    <w:rsid w:val="00F34493"/>
    <w:rsid w:val="00F444ED"/>
    <w:rsid w:val="00F44AC3"/>
    <w:rsid w:val="00F66594"/>
    <w:rsid w:val="00F74CE2"/>
    <w:rsid w:val="00F77B9F"/>
    <w:rsid w:val="00F857F8"/>
    <w:rsid w:val="00F86396"/>
    <w:rsid w:val="00F86B53"/>
    <w:rsid w:val="00F87578"/>
    <w:rsid w:val="00F87CEF"/>
    <w:rsid w:val="00F87FC7"/>
    <w:rsid w:val="00F90A7F"/>
    <w:rsid w:val="00F93097"/>
    <w:rsid w:val="00F9770D"/>
    <w:rsid w:val="00FA0DCB"/>
    <w:rsid w:val="00FD00DD"/>
    <w:rsid w:val="00FD17FA"/>
    <w:rsid w:val="00FD30BD"/>
    <w:rsid w:val="00FD3E2A"/>
    <w:rsid w:val="00FD6024"/>
    <w:rsid w:val="00FE371D"/>
    <w:rsid w:val="00FF2FE2"/>
    <w:rsid w:val="00FF764E"/>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61CB4"/>
  <w15:chartTrackingRefBased/>
  <w15:docId w15:val="{0FA2B257-0885-4E91-BFBC-ACF386435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ZW"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40E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40E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40E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0E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0E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0E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0E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0E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0E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E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40E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0E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0E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0E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0E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0E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0E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0E9F"/>
    <w:rPr>
      <w:rFonts w:eastAsiaTheme="majorEastAsia" w:cstheme="majorBidi"/>
      <w:color w:val="272727" w:themeColor="text1" w:themeTint="D8"/>
    </w:rPr>
  </w:style>
  <w:style w:type="paragraph" w:styleId="Title">
    <w:name w:val="Title"/>
    <w:basedOn w:val="Normal"/>
    <w:next w:val="Normal"/>
    <w:link w:val="TitleChar"/>
    <w:uiPriority w:val="10"/>
    <w:qFormat/>
    <w:rsid w:val="00A40E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0E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0E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0E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0E9F"/>
    <w:pPr>
      <w:spacing w:before="160"/>
      <w:jc w:val="center"/>
    </w:pPr>
    <w:rPr>
      <w:i/>
      <w:iCs/>
      <w:color w:val="404040" w:themeColor="text1" w:themeTint="BF"/>
    </w:rPr>
  </w:style>
  <w:style w:type="character" w:customStyle="1" w:styleId="QuoteChar">
    <w:name w:val="Quote Char"/>
    <w:basedOn w:val="DefaultParagraphFont"/>
    <w:link w:val="Quote"/>
    <w:uiPriority w:val="29"/>
    <w:rsid w:val="00A40E9F"/>
    <w:rPr>
      <w:i/>
      <w:iCs/>
      <w:color w:val="404040" w:themeColor="text1" w:themeTint="BF"/>
    </w:rPr>
  </w:style>
  <w:style w:type="paragraph" w:styleId="ListParagraph">
    <w:name w:val="List Paragraph"/>
    <w:basedOn w:val="Normal"/>
    <w:uiPriority w:val="34"/>
    <w:qFormat/>
    <w:rsid w:val="00A40E9F"/>
    <w:pPr>
      <w:ind w:left="720"/>
      <w:contextualSpacing/>
    </w:pPr>
  </w:style>
  <w:style w:type="character" w:styleId="IntenseEmphasis">
    <w:name w:val="Intense Emphasis"/>
    <w:basedOn w:val="DefaultParagraphFont"/>
    <w:uiPriority w:val="21"/>
    <w:qFormat/>
    <w:rsid w:val="00A40E9F"/>
    <w:rPr>
      <w:i/>
      <w:iCs/>
      <w:color w:val="0F4761" w:themeColor="accent1" w:themeShade="BF"/>
    </w:rPr>
  </w:style>
  <w:style w:type="paragraph" w:styleId="IntenseQuote">
    <w:name w:val="Intense Quote"/>
    <w:basedOn w:val="Normal"/>
    <w:next w:val="Normal"/>
    <w:link w:val="IntenseQuoteChar"/>
    <w:uiPriority w:val="30"/>
    <w:qFormat/>
    <w:rsid w:val="00A40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0E9F"/>
    <w:rPr>
      <w:i/>
      <w:iCs/>
      <w:color w:val="0F4761" w:themeColor="accent1" w:themeShade="BF"/>
    </w:rPr>
  </w:style>
  <w:style w:type="character" w:styleId="IntenseReference">
    <w:name w:val="Intense Reference"/>
    <w:basedOn w:val="DefaultParagraphFont"/>
    <w:uiPriority w:val="32"/>
    <w:qFormat/>
    <w:rsid w:val="00A40E9F"/>
    <w:rPr>
      <w:b/>
      <w:bCs/>
      <w:smallCaps/>
      <w:color w:val="0F4761" w:themeColor="accent1" w:themeShade="BF"/>
      <w:spacing w:val="5"/>
    </w:rPr>
  </w:style>
  <w:style w:type="table" w:styleId="TableGrid">
    <w:name w:val="Table Grid"/>
    <w:basedOn w:val="TableNormal"/>
    <w:uiPriority w:val="39"/>
    <w:rsid w:val="007D6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4">
    <w:name w:val="Grid Table 4 Accent 4"/>
    <w:basedOn w:val="TableNormal"/>
    <w:uiPriority w:val="49"/>
    <w:rsid w:val="00F87CEF"/>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1">
    <w:name w:val="Grid Table 5 Dark Accent 1"/>
    <w:basedOn w:val="TableNormal"/>
    <w:uiPriority w:val="50"/>
    <w:rsid w:val="009C2F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6B4A2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3-Accent4">
    <w:name w:val="Grid Table 3 Accent 4"/>
    <w:basedOn w:val="TableNormal"/>
    <w:uiPriority w:val="48"/>
    <w:rsid w:val="003C1BCA"/>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LightList">
    <w:name w:val="Light List"/>
    <w:basedOn w:val="TableNormal"/>
    <w:uiPriority w:val="61"/>
    <w:rsid w:val="00797A00"/>
    <w:pPr>
      <w:spacing w:after="0" w:line="240" w:lineRule="auto"/>
    </w:pPr>
    <w:rPr>
      <w:rFonts w:eastAsiaTheme="minorEastAsia"/>
      <w:kern w:val="0"/>
      <w:sz w:val="22"/>
      <w:szCs w:val="22"/>
      <w:lang w:val="en-US"/>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yperlink">
    <w:name w:val="Hyperlink"/>
    <w:basedOn w:val="DefaultParagraphFont"/>
    <w:uiPriority w:val="99"/>
    <w:unhideWhenUsed/>
    <w:rsid w:val="003C0174"/>
    <w:rPr>
      <w:color w:val="467886" w:themeColor="hyperlink"/>
      <w:u w:val="single"/>
    </w:rPr>
  </w:style>
  <w:style w:type="character" w:styleId="UnresolvedMention">
    <w:name w:val="Unresolved Mention"/>
    <w:basedOn w:val="DefaultParagraphFont"/>
    <w:uiPriority w:val="99"/>
    <w:semiHidden/>
    <w:unhideWhenUsed/>
    <w:rsid w:val="003C0174"/>
    <w:rPr>
      <w:color w:val="605E5C"/>
      <w:shd w:val="clear" w:color="auto" w:fill="E1DFDD"/>
    </w:rPr>
  </w:style>
  <w:style w:type="table" w:styleId="GridTable6Colorful-Accent4">
    <w:name w:val="Grid Table 6 Colorful Accent 4"/>
    <w:basedOn w:val="TableNormal"/>
    <w:uiPriority w:val="51"/>
    <w:rsid w:val="004F492C"/>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Layout" Target="diagrams/layout4.xml"/><Relationship Id="rId3" Type="http://schemas.openxmlformats.org/officeDocument/2006/relationships/settings" Target="settings.xml"/><Relationship Id="rId21" Type="http://schemas.openxmlformats.org/officeDocument/2006/relationships/diagramLayout" Target="diagrams/layout3.xml"/><Relationship Id="rId7" Type="http://schemas.openxmlformats.org/officeDocument/2006/relationships/image" Target="media/image3.pn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diagramData" Target="diagrams/data3.xml"/><Relationship Id="rId29" Type="http://schemas.microsoft.com/office/2007/relationships/diagramDrawing" Target="diagrams/drawing4.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diagramLayout" Target="diagrams/layout1.xml"/><Relationship Id="rId24" Type="http://schemas.microsoft.com/office/2007/relationships/diagramDrawing" Target="diagrams/drawing3.xml"/><Relationship Id="rId5" Type="http://schemas.openxmlformats.org/officeDocument/2006/relationships/image" Target="media/image1.png"/><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diagramQuickStyle" Target="diagrams/quickStyle4.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83666A3-832A-4E45-8325-A26C1A8714C6}"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ZW"/>
        </a:p>
      </dgm:t>
    </dgm:pt>
    <dgm:pt modelId="{EE5BD4D4-670B-4907-84FE-692F601E41E8}">
      <dgm:prSet phldrT="[Text]" custT="1"/>
      <dgm:spPr>
        <a:solidFill>
          <a:schemeClr val="accent2">
            <a:lumMod val="75000"/>
          </a:schemeClr>
        </a:solidFill>
      </dgm:spPr>
      <dgm:t>
        <a:bodyPr/>
        <a:lstStyle/>
        <a:p>
          <a:pPr algn="ctr"/>
          <a:r>
            <a:rPr lang="en-ZW" sz="1000"/>
            <a:t>Lead</a:t>
          </a:r>
          <a:r>
            <a:rPr lang="en-ZW" sz="800"/>
            <a:t> </a:t>
          </a:r>
          <a:r>
            <a:rPr lang="en-ZW" sz="1000"/>
            <a:t>Generation</a:t>
          </a:r>
        </a:p>
      </dgm:t>
    </dgm:pt>
    <dgm:pt modelId="{9009790E-C35F-493D-9E8C-3D976F628ADF}" type="parTrans" cxnId="{0D840E22-02B9-46AC-9BBB-07A3F119C286}">
      <dgm:prSet/>
      <dgm:spPr/>
      <dgm:t>
        <a:bodyPr/>
        <a:lstStyle/>
        <a:p>
          <a:pPr algn="ctr"/>
          <a:endParaRPr lang="en-ZW"/>
        </a:p>
      </dgm:t>
    </dgm:pt>
    <dgm:pt modelId="{F56F99D4-8348-4F0F-B295-595C0BB512CB}" type="sibTrans" cxnId="{0D840E22-02B9-46AC-9BBB-07A3F119C286}">
      <dgm:prSet/>
      <dgm:spPr/>
      <dgm:t>
        <a:bodyPr/>
        <a:lstStyle/>
        <a:p>
          <a:pPr algn="ctr"/>
          <a:endParaRPr lang="en-ZW"/>
        </a:p>
      </dgm:t>
    </dgm:pt>
    <dgm:pt modelId="{BD60F64E-A884-47C6-A889-DBD2FE1B479D}">
      <dgm:prSet phldrT="[Text]" custT="1"/>
      <dgm:spPr/>
      <dgm:t>
        <a:bodyPr/>
        <a:lstStyle/>
        <a:p>
          <a:pPr algn="ctr">
            <a:buNone/>
          </a:pPr>
          <a:r>
            <a:rPr lang="en-ZW" sz="1000"/>
            <a:t>Discovery</a:t>
          </a:r>
          <a:r>
            <a:rPr lang="en-ZW" sz="800"/>
            <a:t> Call</a:t>
          </a:r>
        </a:p>
      </dgm:t>
    </dgm:pt>
    <dgm:pt modelId="{CDCB4A7C-F6DF-4E16-A9FC-57F155979303}" type="parTrans" cxnId="{976321D3-C2F3-41E0-802C-1929496EFE49}">
      <dgm:prSet/>
      <dgm:spPr>
        <a:ln>
          <a:headEnd type="none" w="med" len="med"/>
          <a:tailEnd type="triangle" w="med" len="med"/>
        </a:ln>
      </dgm:spPr>
      <dgm:t>
        <a:bodyPr/>
        <a:lstStyle/>
        <a:p>
          <a:pPr algn="ctr"/>
          <a:endParaRPr lang="en-ZW"/>
        </a:p>
      </dgm:t>
    </dgm:pt>
    <dgm:pt modelId="{57204F8E-7A5B-4433-BD2B-0E106E5A5956}" type="sibTrans" cxnId="{976321D3-C2F3-41E0-802C-1929496EFE49}">
      <dgm:prSet/>
      <dgm:spPr/>
      <dgm:t>
        <a:bodyPr/>
        <a:lstStyle/>
        <a:p>
          <a:pPr algn="ctr"/>
          <a:endParaRPr lang="en-ZW"/>
        </a:p>
      </dgm:t>
    </dgm:pt>
    <dgm:pt modelId="{642B1884-DD29-4226-ADBC-73411D7F0A98}">
      <dgm:prSet phldrT="[Text]" custT="1"/>
      <dgm:spPr/>
      <dgm:t>
        <a:bodyPr/>
        <a:lstStyle/>
        <a:p>
          <a:pPr algn="ctr">
            <a:buNone/>
          </a:pPr>
          <a:r>
            <a:rPr lang="en-ZW" sz="800"/>
            <a:t> </a:t>
          </a:r>
          <a:r>
            <a:rPr lang="en-ZW" sz="1000"/>
            <a:t>Full Mortgage Application</a:t>
          </a:r>
        </a:p>
      </dgm:t>
    </dgm:pt>
    <dgm:pt modelId="{E2FA73D9-9342-4F55-A576-5DAA2A485D15}" type="sibTrans" cxnId="{E23612DD-17EF-4661-8772-421B4E710FB2}">
      <dgm:prSet/>
      <dgm:spPr/>
      <dgm:t>
        <a:bodyPr/>
        <a:lstStyle/>
        <a:p>
          <a:pPr algn="ctr"/>
          <a:endParaRPr lang="en-ZW"/>
        </a:p>
      </dgm:t>
    </dgm:pt>
    <dgm:pt modelId="{9EFEBE78-A276-4914-9F7E-B2ACF41AC1CA}" type="parTrans" cxnId="{E23612DD-17EF-4661-8772-421B4E710FB2}">
      <dgm:prSet/>
      <dgm:spPr>
        <a:ln>
          <a:headEnd type="none" w="med" len="med"/>
          <a:tailEnd type="triangle" w="med" len="med"/>
        </a:ln>
      </dgm:spPr>
      <dgm:t>
        <a:bodyPr/>
        <a:lstStyle/>
        <a:p>
          <a:pPr algn="ctr"/>
          <a:endParaRPr lang="en-ZW"/>
        </a:p>
      </dgm:t>
    </dgm:pt>
    <dgm:pt modelId="{5463386A-4E6E-48D0-8FE7-BA7FA2DCC571}">
      <dgm:prSet phldrT="[Text]" custT="1"/>
      <dgm:spPr/>
      <dgm:t>
        <a:bodyPr/>
        <a:lstStyle/>
        <a:p>
          <a:pPr algn="ctr">
            <a:buNone/>
          </a:pPr>
          <a:r>
            <a:rPr lang="en-ZW" sz="1000"/>
            <a:t>Lender processing</a:t>
          </a:r>
        </a:p>
      </dgm:t>
    </dgm:pt>
    <dgm:pt modelId="{6E6859CD-BEF6-46D1-AAE6-FD505E00FEE7}" type="parTrans" cxnId="{13A88F1C-D804-4134-9385-8B796C3D3B73}">
      <dgm:prSet/>
      <dgm:spPr>
        <a:ln>
          <a:headEnd type="none" w="med" len="med"/>
          <a:tailEnd type="triangle" w="med" len="med"/>
        </a:ln>
      </dgm:spPr>
      <dgm:t>
        <a:bodyPr/>
        <a:lstStyle/>
        <a:p>
          <a:pPr algn="ctr"/>
          <a:endParaRPr lang="en-ZW"/>
        </a:p>
      </dgm:t>
    </dgm:pt>
    <dgm:pt modelId="{5D395455-43CA-4DE2-BF15-904AC968F366}" type="sibTrans" cxnId="{13A88F1C-D804-4134-9385-8B796C3D3B73}">
      <dgm:prSet/>
      <dgm:spPr/>
      <dgm:t>
        <a:bodyPr/>
        <a:lstStyle/>
        <a:p>
          <a:pPr algn="ctr"/>
          <a:endParaRPr lang="en-ZW"/>
        </a:p>
      </dgm:t>
    </dgm:pt>
    <dgm:pt modelId="{0AC0274C-9115-43BD-8A0F-582FFDA25344}">
      <dgm:prSet phldrT="[Text]" custT="1"/>
      <dgm:spPr>
        <a:solidFill>
          <a:schemeClr val="accent5"/>
        </a:solidFill>
      </dgm:spPr>
      <dgm:t>
        <a:bodyPr/>
        <a:lstStyle/>
        <a:p>
          <a:pPr algn="ctr">
            <a:buNone/>
          </a:pPr>
          <a:r>
            <a:rPr lang="en-ZW" sz="800"/>
            <a:t>DIP Submission </a:t>
          </a:r>
        </a:p>
      </dgm:t>
    </dgm:pt>
    <dgm:pt modelId="{A779E039-8984-49F5-9AC0-F376AE6A2E54}" type="parTrans" cxnId="{878BF9A3-5D4C-43DD-A890-351D005958F2}">
      <dgm:prSet/>
      <dgm:spPr>
        <a:ln>
          <a:headEnd type="none" w="med" len="med"/>
          <a:tailEnd type="triangle" w="med" len="med"/>
        </a:ln>
      </dgm:spPr>
      <dgm:t>
        <a:bodyPr/>
        <a:lstStyle/>
        <a:p>
          <a:pPr algn="ctr"/>
          <a:endParaRPr lang="en-ZW"/>
        </a:p>
      </dgm:t>
    </dgm:pt>
    <dgm:pt modelId="{D0377851-2766-4A5B-9D1E-F57E40FC21D7}" type="sibTrans" cxnId="{878BF9A3-5D4C-43DD-A890-351D005958F2}">
      <dgm:prSet/>
      <dgm:spPr/>
      <dgm:t>
        <a:bodyPr/>
        <a:lstStyle/>
        <a:p>
          <a:pPr algn="ctr"/>
          <a:endParaRPr lang="en-ZW"/>
        </a:p>
      </dgm:t>
    </dgm:pt>
    <dgm:pt modelId="{18BD812C-FC8D-42BA-9322-F648C92FB4A8}">
      <dgm:prSet phldrT="[Text]" custT="1"/>
      <dgm:spPr/>
      <dgm:t>
        <a:bodyPr/>
        <a:lstStyle/>
        <a:p>
          <a:pPr algn="ctr">
            <a:buNone/>
          </a:pPr>
          <a:r>
            <a:rPr lang="en-ZW" sz="1000"/>
            <a:t>Completion</a:t>
          </a:r>
        </a:p>
      </dgm:t>
    </dgm:pt>
    <dgm:pt modelId="{76C8652C-B403-4CCE-B819-EC084EA9E8C1}" type="parTrans" cxnId="{794153B5-7B41-44D2-B266-DCEB1F814FF2}">
      <dgm:prSet/>
      <dgm:spPr>
        <a:ln>
          <a:headEnd type="none" w="med" len="med"/>
          <a:tailEnd type="triangle" w="med" len="med"/>
        </a:ln>
      </dgm:spPr>
      <dgm:t>
        <a:bodyPr/>
        <a:lstStyle/>
        <a:p>
          <a:pPr algn="ctr"/>
          <a:endParaRPr lang="en-ZW"/>
        </a:p>
      </dgm:t>
    </dgm:pt>
    <dgm:pt modelId="{C6CEEEDE-ED38-446C-92CF-F3CA066763EA}" type="sibTrans" cxnId="{794153B5-7B41-44D2-B266-DCEB1F814FF2}">
      <dgm:prSet/>
      <dgm:spPr/>
      <dgm:t>
        <a:bodyPr/>
        <a:lstStyle/>
        <a:p>
          <a:pPr algn="ctr"/>
          <a:endParaRPr lang="en-ZW"/>
        </a:p>
      </dgm:t>
    </dgm:pt>
    <dgm:pt modelId="{43E94D9E-8712-4234-BC6F-FD1D53D77EF6}">
      <dgm:prSet phldrT="[Text]" custT="1"/>
      <dgm:spPr/>
      <dgm:t>
        <a:bodyPr/>
        <a:lstStyle/>
        <a:p>
          <a:pPr algn="ctr">
            <a:buNone/>
          </a:pPr>
          <a:r>
            <a:rPr lang="en-ZW" sz="1000"/>
            <a:t>Protection</a:t>
          </a:r>
          <a:r>
            <a:rPr lang="en-ZW" sz="800"/>
            <a:t> </a:t>
          </a:r>
          <a:r>
            <a:rPr lang="en-ZW" sz="1000"/>
            <a:t>Review</a:t>
          </a:r>
        </a:p>
      </dgm:t>
    </dgm:pt>
    <dgm:pt modelId="{E44403F4-A398-43EA-8297-7B7FB7C5D8A3}" type="parTrans" cxnId="{E3D447D5-A537-404E-9443-ADCE171B2F5B}">
      <dgm:prSet/>
      <dgm:spPr>
        <a:ln>
          <a:headEnd type="none" w="med" len="med"/>
          <a:tailEnd type="triangle" w="med" len="med"/>
        </a:ln>
      </dgm:spPr>
      <dgm:t>
        <a:bodyPr/>
        <a:lstStyle/>
        <a:p>
          <a:pPr algn="ctr"/>
          <a:endParaRPr lang="en-ZW"/>
        </a:p>
      </dgm:t>
    </dgm:pt>
    <dgm:pt modelId="{C2C9B05D-9E07-49EC-90E3-039479529C5E}" type="sibTrans" cxnId="{E3D447D5-A537-404E-9443-ADCE171B2F5B}">
      <dgm:prSet/>
      <dgm:spPr/>
      <dgm:t>
        <a:bodyPr/>
        <a:lstStyle/>
        <a:p>
          <a:pPr algn="ctr"/>
          <a:endParaRPr lang="en-ZW"/>
        </a:p>
      </dgm:t>
    </dgm:pt>
    <dgm:pt modelId="{2D948D9D-DA9B-427F-8002-832490956498}">
      <dgm:prSet phldrT="[Text]" custT="1"/>
      <dgm:spPr>
        <a:solidFill>
          <a:schemeClr val="accent2">
            <a:lumMod val="75000"/>
          </a:schemeClr>
        </a:solidFill>
      </dgm:spPr>
      <dgm:t>
        <a:bodyPr/>
        <a:lstStyle/>
        <a:p>
          <a:pPr algn="ctr">
            <a:buNone/>
          </a:pPr>
          <a:r>
            <a:rPr lang="en-ZW" sz="1000"/>
            <a:t>Annual Mortgage Review (Aftercare)</a:t>
          </a:r>
        </a:p>
      </dgm:t>
    </dgm:pt>
    <dgm:pt modelId="{322BA46B-B580-4483-A979-51421E994D9C}" type="parTrans" cxnId="{2D551C7D-5843-488C-906E-C1B88DAC924A}">
      <dgm:prSet/>
      <dgm:spPr>
        <a:ln>
          <a:headEnd type="none" w="med" len="med"/>
          <a:tailEnd type="triangle" w="med" len="med"/>
        </a:ln>
      </dgm:spPr>
      <dgm:t>
        <a:bodyPr/>
        <a:lstStyle/>
        <a:p>
          <a:pPr algn="ctr"/>
          <a:endParaRPr lang="en-ZW"/>
        </a:p>
      </dgm:t>
    </dgm:pt>
    <dgm:pt modelId="{B87EB77F-2B3D-4D95-874A-7E024AEA00CF}" type="sibTrans" cxnId="{2D551C7D-5843-488C-906E-C1B88DAC924A}">
      <dgm:prSet/>
      <dgm:spPr/>
      <dgm:t>
        <a:bodyPr/>
        <a:lstStyle/>
        <a:p>
          <a:pPr algn="ctr"/>
          <a:endParaRPr lang="en-ZW"/>
        </a:p>
      </dgm:t>
    </dgm:pt>
    <dgm:pt modelId="{51B81188-4A5A-49FC-9272-2C14E865770D}">
      <dgm:prSet phldrT="[Text]" custT="1"/>
      <dgm:spPr>
        <a:solidFill>
          <a:schemeClr val="accent5"/>
        </a:solidFill>
      </dgm:spPr>
      <dgm:t>
        <a:bodyPr/>
        <a:lstStyle/>
        <a:p>
          <a:pPr algn="ctr"/>
          <a:r>
            <a:rPr lang="en-ZW" sz="1000"/>
            <a:t>Fact-Find</a:t>
          </a:r>
          <a:r>
            <a:rPr lang="en-ZW" sz="800"/>
            <a:t> &amp; IDV </a:t>
          </a:r>
        </a:p>
      </dgm:t>
    </dgm:pt>
    <dgm:pt modelId="{D20D0CF9-4244-43AA-A5B4-6C3186E05844}" type="parTrans" cxnId="{ADA12624-6BB3-4193-A6A1-3EB0CF53E582}">
      <dgm:prSet/>
      <dgm:spPr>
        <a:ln>
          <a:headEnd type="none" w="med" len="med"/>
          <a:tailEnd type="triangle" w="med" len="med"/>
        </a:ln>
      </dgm:spPr>
      <dgm:t>
        <a:bodyPr/>
        <a:lstStyle/>
        <a:p>
          <a:pPr algn="ctr"/>
          <a:endParaRPr lang="en-ZW"/>
        </a:p>
      </dgm:t>
    </dgm:pt>
    <dgm:pt modelId="{86245C8F-B077-4DD7-BE5C-B14E6779B824}" type="sibTrans" cxnId="{ADA12624-6BB3-4193-A6A1-3EB0CF53E582}">
      <dgm:prSet/>
      <dgm:spPr/>
      <dgm:t>
        <a:bodyPr/>
        <a:lstStyle/>
        <a:p>
          <a:pPr algn="ctr"/>
          <a:endParaRPr lang="en-ZW"/>
        </a:p>
      </dgm:t>
    </dgm:pt>
    <dgm:pt modelId="{451C4F7A-0615-4AC1-8F9D-E9932FAB69BA}">
      <dgm:prSet phldrT="[Text]" custT="1"/>
      <dgm:spPr>
        <a:solidFill>
          <a:schemeClr val="accent5"/>
        </a:solidFill>
      </dgm:spPr>
      <dgm:t>
        <a:bodyPr/>
        <a:lstStyle/>
        <a:p>
          <a:pPr algn="ctr"/>
          <a:r>
            <a:rPr lang="en-ZW" sz="1000"/>
            <a:t>Affordability &amp; Research</a:t>
          </a:r>
        </a:p>
      </dgm:t>
    </dgm:pt>
    <dgm:pt modelId="{29DCCA59-E643-4E3D-ABA4-26AD08E191DF}" type="parTrans" cxnId="{37B89668-351E-40EF-9874-D24A565423F0}">
      <dgm:prSet/>
      <dgm:spPr>
        <a:ln>
          <a:headEnd type="none" w="med" len="med"/>
          <a:tailEnd type="triangle" w="med" len="med"/>
        </a:ln>
      </dgm:spPr>
      <dgm:t>
        <a:bodyPr/>
        <a:lstStyle/>
        <a:p>
          <a:pPr algn="ctr"/>
          <a:endParaRPr lang="en-ZW"/>
        </a:p>
      </dgm:t>
    </dgm:pt>
    <dgm:pt modelId="{703AA39E-8141-423E-AF23-E61916751FBB}" type="sibTrans" cxnId="{37B89668-351E-40EF-9874-D24A565423F0}">
      <dgm:prSet/>
      <dgm:spPr/>
      <dgm:t>
        <a:bodyPr/>
        <a:lstStyle/>
        <a:p>
          <a:pPr algn="ctr"/>
          <a:endParaRPr lang="en-ZW"/>
        </a:p>
      </dgm:t>
    </dgm:pt>
    <dgm:pt modelId="{AAD4776F-EB07-4C21-92F7-76EF773CDF7D}">
      <dgm:prSet phldrT="[Text]" custT="1"/>
      <dgm:spPr>
        <a:solidFill>
          <a:schemeClr val="accent2">
            <a:lumMod val="75000"/>
          </a:schemeClr>
        </a:solidFill>
      </dgm:spPr>
      <dgm:t>
        <a:bodyPr/>
        <a:lstStyle/>
        <a:p>
          <a:pPr algn="ctr">
            <a:buNone/>
          </a:pPr>
          <a:r>
            <a:rPr lang="en-ZW" sz="1000"/>
            <a:t>offer</a:t>
          </a:r>
        </a:p>
      </dgm:t>
    </dgm:pt>
    <dgm:pt modelId="{8B228F40-E055-4423-AC87-4EB63D9D6A83}" type="parTrans" cxnId="{9A0C6990-F44C-4180-855D-31BC3D6FCA3D}">
      <dgm:prSet/>
      <dgm:spPr>
        <a:ln>
          <a:headEnd type="none" w="med" len="med"/>
          <a:tailEnd type="triangle" w="med" len="med"/>
        </a:ln>
      </dgm:spPr>
      <dgm:t>
        <a:bodyPr/>
        <a:lstStyle/>
        <a:p>
          <a:pPr algn="ctr"/>
          <a:endParaRPr lang="en-ZW"/>
        </a:p>
      </dgm:t>
    </dgm:pt>
    <dgm:pt modelId="{AC2CA14A-8956-4CC5-A82E-07FAEAC8D56C}" type="sibTrans" cxnId="{9A0C6990-F44C-4180-855D-31BC3D6FCA3D}">
      <dgm:prSet/>
      <dgm:spPr/>
      <dgm:t>
        <a:bodyPr/>
        <a:lstStyle/>
        <a:p>
          <a:pPr algn="ctr"/>
          <a:endParaRPr lang="en-ZW"/>
        </a:p>
      </dgm:t>
    </dgm:pt>
    <dgm:pt modelId="{7194F481-0506-41D5-9B2C-ADF33E83C90F}" type="pres">
      <dgm:prSet presAssocID="{B83666A3-832A-4E45-8325-A26C1A8714C6}" presName="hierChild1" presStyleCnt="0">
        <dgm:presLayoutVars>
          <dgm:orgChart val="1"/>
          <dgm:chPref val="1"/>
          <dgm:dir/>
          <dgm:animOne val="branch"/>
          <dgm:animLvl val="lvl"/>
          <dgm:resizeHandles/>
        </dgm:presLayoutVars>
      </dgm:prSet>
      <dgm:spPr/>
    </dgm:pt>
    <dgm:pt modelId="{85ED62BB-276C-457F-9426-597AC6B6718F}" type="pres">
      <dgm:prSet presAssocID="{EE5BD4D4-670B-4907-84FE-692F601E41E8}" presName="hierRoot1" presStyleCnt="0">
        <dgm:presLayoutVars>
          <dgm:hierBranch val="init"/>
        </dgm:presLayoutVars>
      </dgm:prSet>
      <dgm:spPr/>
    </dgm:pt>
    <dgm:pt modelId="{A95326E3-AE5F-4840-B445-A447485E046C}" type="pres">
      <dgm:prSet presAssocID="{EE5BD4D4-670B-4907-84FE-692F601E41E8}" presName="rootComposite1" presStyleCnt="0"/>
      <dgm:spPr/>
    </dgm:pt>
    <dgm:pt modelId="{8D39C9C7-E0B3-4948-8921-2A94788C5208}" type="pres">
      <dgm:prSet presAssocID="{EE5BD4D4-670B-4907-84FE-692F601E41E8}" presName="rootText1" presStyleLbl="node0" presStyleIdx="0" presStyleCnt="1">
        <dgm:presLayoutVars>
          <dgm:chPref val="3"/>
        </dgm:presLayoutVars>
      </dgm:prSet>
      <dgm:spPr>
        <a:prstGeom prst="flowChartAlternateProcess">
          <a:avLst/>
        </a:prstGeom>
      </dgm:spPr>
    </dgm:pt>
    <dgm:pt modelId="{E54050AD-F1C0-47B1-A82C-B9E5A891CD2D}" type="pres">
      <dgm:prSet presAssocID="{EE5BD4D4-670B-4907-84FE-692F601E41E8}" presName="rootConnector1" presStyleLbl="node1" presStyleIdx="0" presStyleCnt="0"/>
      <dgm:spPr/>
    </dgm:pt>
    <dgm:pt modelId="{AEC3AF4F-3C9F-483F-9622-3C88C6ECC9EB}" type="pres">
      <dgm:prSet presAssocID="{EE5BD4D4-670B-4907-84FE-692F601E41E8}" presName="hierChild2" presStyleCnt="0"/>
      <dgm:spPr/>
    </dgm:pt>
    <dgm:pt modelId="{BCF2B3D3-2815-4317-B805-D64C329179A2}" type="pres">
      <dgm:prSet presAssocID="{A779E039-8984-49F5-9AC0-F376AE6A2E54}" presName="Name37" presStyleLbl="parChTrans1D2" presStyleIdx="0" presStyleCnt="3"/>
      <dgm:spPr/>
    </dgm:pt>
    <dgm:pt modelId="{2F1F50B4-E6A3-4D1D-BEE9-D389E7C65FCC}" type="pres">
      <dgm:prSet presAssocID="{0AC0274C-9115-43BD-8A0F-582FFDA25344}" presName="hierRoot2" presStyleCnt="0">
        <dgm:presLayoutVars>
          <dgm:hierBranch val="init"/>
        </dgm:presLayoutVars>
      </dgm:prSet>
      <dgm:spPr/>
    </dgm:pt>
    <dgm:pt modelId="{B49A922C-6F5B-42B3-8A53-F22DBCE3F388}" type="pres">
      <dgm:prSet presAssocID="{0AC0274C-9115-43BD-8A0F-582FFDA25344}" presName="rootComposite" presStyleCnt="0"/>
      <dgm:spPr/>
    </dgm:pt>
    <dgm:pt modelId="{CFE91FB8-C296-48F9-A594-79D63D378E14}" type="pres">
      <dgm:prSet presAssocID="{0AC0274C-9115-43BD-8A0F-582FFDA25344}" presName="rootText" presStyleLbl="node2" presStyleIdx="0" presStyleCnt="3" custScaleX="101854" custScaleY="154840">
        <dgm:presLayoutVars>
          <dgm:chPref val="3"/>
        </dgm:presLayoutVars>
      </dgm:prSet>
      <dgm:spPr>
        <a:prstGeom prst="flowChartDecision">
          <a:avLst/>
        </a:prstGeom>
      </dgm:spPr>
    </dgm:pt>
    <dgm:pt modelId="{051CF941-956E-4379-9B67-0A5974A9EF33}" type="pres">
      <dgm:prSet presAssocID="{0AC0274C-9115-43BD-8A0F-582FFDA25344}" presName="rootConnector" presStyleLbl="node2" presStyleIdx="0" presStyleCnt="3"/>
      <dgm:spPr/>
    </dgm:pt>
    <dgm:pt modelId="{F05F66EF-4260-4806-863F-AA711EC7E92D}" type="pres">
      <dgm:prSet presAssocID="{0AC0274C-9115-43BD-8A0F-582FFDA25344}" presName="hierChild4" presStyleCnt="0"/>
      <dgm:spPr/>
    </dgm:pt>
    <dgm:pt modelId="{FCA9C6FD-7B6C-44D7-B2E7-5BB47FED9488}" type="pres">
      <dgm:prSet presAssocID="{76C8652C-B403-4CCE-B819-EC084EA9E8C1}" presName="Name37" presStyleLbl="parChTrans1D3" presStyleIdx="0" presStyleCnt="3"/>
      <dgm:spPr/>
    </dgm:pt>
    <dgm:pt modelId="{C9D2F7D9-5047-45A8-9A29-DF7E9CDB9558}" type="pres">
      <dgm:prSet presAssocID="{18BD812C-FC8D-42BA-9322-F648C92FB4A8}" presName="hierRoot2" presStyleCnt="0">
        <dgm:presLayoutVars>
          <dgm:hierBranch val="init"/>
        </dgm:presLayoutVars>
      </dgm:prSet>
      <dgm:spPr/>
    </dgm:pt>
    <dgm:pt modelId="{51C9A1C5-1C2C-4CFD-9100-C746B2E88D1C}" type="pres">
      <dgm:prSet presAssocID="{18BD812C-FC8D-42BA-9322-F648C92FB4A8}" presName="rootComposite" presStyleCnt="0"/>
      <dgm:spPr/>
    </dgm:pt>
    <dgm:pt modelId="{8A1995DE-C5D5-4D29-95A3-331CA9FD49F9}" type="pres">
      <dgm:prSet presAssocID="{18BD812C-FC8D-42BA-9322-F648C92FB4A8}" presName="rootText" presStyleLbl="node3" presStyleIdx="0" presStyleCnt="3">
        <dgm:presLayoutVars>
          <dgm:chPref val="3"/>
        </dgm:presLayoutVars>
      </dgm:prSet>
      <dgm:spPr/>
    </dgm:pt>
    <dgm:pt modelId="{86E9616C-EC3B-4F06-A9E3-81FCDB855822}" type="pres">
      <dgm:prSet presAssocID="{18BD812C-FC8D-42BA-9322-F648C92FB4A8}" presName="rootConnector" presStyleLbl="node3" presStyleIdx="0" presStyleCnt="3"/>
      <dgm:spPr/>
    </dgm:pt>
    <dgm:pt modelId="{5396F1A2-6400-4FD0-99E4-075E01F31EF9}" type="pres">
      <dgm:prSet presAssocID="{18BD812C-FC8D-42BA-9322-F648C92FB4A8}" presName="hierChild4" presStyleCnt="0"/>
      <dgm:spPr/>
    </dgm:pt>
    <dgm:pt modelId="{707C15A8-24BD-487D-8069-67F0BE9833FD}" type="pres">
      <dgm:prSet presAssocID="{E44403F4-A398-43EA-8297-7B7FB7C5D8A3}" presName="Name37" presStyleLbl="parChTrans1D4" presStyleIdx="0" presStyleCnt="4"/>
      <dgm:spPr/>
    </dgm:pt>
    <dgm:pt modelId="{3AC480B5-4D1A-4E28-9EF2-882E14CE400D}" type="pres">
      <dgm:prSet presAssocID="{43E94D9E-8712-4234-BC6F-FD1D53D77EF6}" presName="hierRoot2" presStyleCnt="0">
        <dgm:presLayoutVars>
          <dgm:hierBranch val="init"/>
        </dgm:presLayoutVars>
      </dgm:prSet>
      <dgm:spPr/>
    </dgm:pt>
    <dgm:pt modelId="{E99A6450-F056-4175-BA1D-361B67C70009}" type="pres">
      <dgm:prSet presAssocID="{43E94D9E-8712-4234-BC6F-FD1D53D77EF6}" presName="rootComposite" presStyleCnt="0"/>
      <dgm:spPr/>
    </dgm:pt>
    <dgm:pt modelId="{F9DE3BA2-F748-4E7D-9D06-E0651F8D11E3}" type="pres">
      <dgm:prSet presAssocID="{43E94D9E-8712-4234-BC6F-FD1D53D77EF6}" presName="rootText" presStyleLbl="node4" presStyleIdx="0" presStyleCnt="4">
        <dgm:presLayoutVars>
          <dgm:chPref val="3"/>
        </dgm:presLayoutVars>
      </dgm:prSet>
      <dgm:spPr/>
    </dgm:pt>
    <dgm:pt modelId="{C89B32B1-6D8B-4655-A341-8E86C90B34E6}" type="pres">
      <dgm:prSet presAssocID="{43E94D9E-8712-4234-BC6F-FD1D53D77EF6}" presName="rootConnector" presStyleLbl="node4" presStyleIdx="0" presStyleCnt="4"/>
      <dgm:spPr/>
    </dgm:pt>
    <dgm:pt modelId="{AC845A39-AB41-4566-A5F9-01505C128C44}" type="pres">
      <dgm:prSet presAssocID="{43E94D9E-8712-4234-BC6F-FD1D53D77EF6}" presName="hierChild4" presStyleCnt="0"/>
      <dgm:spPr/>
    </dgm:pt>
    <dgm:pt modelId="{0E689F65-AAA4-4BDC-B62D-976ABC02256B}" type="pres">
      <dgm:prSet presAssocID="{322BA46B-B580-4483-A979-51421E994D9C}" presName="Name37" presStyleLbl="parChTrans1D4" presStyleIdx="1" presStyleCnt="4"/>
      <dgm:spPr/>
    </dgm:pt>
    <dgm:pt modelId="{200AEE82-D3B4-4247-8F73-C2E977D9FA1D}" type="pres">
      <dgm:prSet presAssocID="{2D948D9D-DA9B-427F-8002-832490956498}" presName="hierRoot2" presStyleCnt="0">
        <dgm:presLayoutVars>
          <dgm:hierBranch val="init"/>
        </dgm:presLayoutVars>
      </dgm:prSet>
      <dgm:spPr/>
    </dgm:pt>
    <dgm:pt modelId="{5E72FAA3-7952-428E-BC61-D1A26A3F7673}" type="pres">
      <dgm:prSet presAssocID="{2D948D9D-DA9B-427F-8002-832490956498}" presName="rootComposite" presStyleCnt="0"/>
      <dgm:spPr/>
    </dgm:pt>
    <dgm:pt modelId="{A576C213-4291-4D5A-91D5-8255A2623D2A}" type="pres">
      <dgm:prSet presAssocID="{2D948D9D-DA9B-427F-8002-832490956498}" presName="rootText" presStyleLbl="node4" presStyleIdx="1" presStyleCnt="4">
        <dgm:presLayoutVars>
          <dgm:chPref val="3"/>
        </dgm:presLayoutVars>
      </dgm:prSet>
      <dgm:spPr>
        <a:prstGeom prst="flowChartAlternateProcess">
          <a:avLst/>
        </a:prstGeom>
      </dgm:spPr>
    </dgm:pt>
    <dgm:pt modelId="{A0A5244D-CBA8-472E-AABA-DC670BD17346}" type="pres">
      <dgm:prSet presAssocID="{2D948D9D-DA9B-427F-8002-832490956498}" presName="rootConnector" presStyleLbl="node4" presStyleIdx="1" presStyleCnt="4"/>
      <dgm:spPr/>
    </dgm:pt>
    <dgm:pt modelId="{4377B3B9-90F6-4745-AE46-8CBE4CA6FF8F}" type="pres">
      <dgm:prSet presAssocID="{2D948D9D-DA9B-427F-8002-832490956498}" presName="hierChild4" presStyleCnt="0"/>
      <dgm:spPr/>
    </dgm:pt>
    <dgm:pt modelId="{33181CDE-7CAE-4F55-B1A5-F48A0021BA3B}" type="pres">
      <dgm:prSet presAssocID="{2D948D9D-DA9B-427F-8002-832490956498}" presName="hierChild5" presStyleCnt="0"/>
      <dgm:spPr/>
    </dgm:pt>
    <dgm:pt modelId="{F2793F41-2F01-4735-A1F3-90B502844561}" type="pres">
      <dgm:prSet presAssocID="{43E94D9E-8712-4234-BC6F-FD1D53D77EF6}" presName="hierChild5" presStyleCnt="0"/>
      <dgm:spPr/>
    </dgm:pt>
    <dgm:pt modelId="{758F48D4-2331-4E6F-89B7-7E77A6E9380F}" type="pres">
      <dgm:prSet presAssocID="{18BD812C-FC8D-42BA-9322-F648C92FB4A8}" presName="hierChild5" presStyleCnt="0"/>
      <dgm:spPr/>
    </dgm:pt>
    <dgm:pt modelId="{DF6314FC-B488-4DB3-AD45-FA00B8AC357D}" type="pres">
      <dgm:prSet presAssocID="{0AC0274C-9115-43BD-8A0F-582FFDA25344}" presName="hierChild5" presStyleCnt="0"/>
      <dgm:spPr/>
    </dgm:pt>
    <dgm:pt modelId="{B0D9DD28-EC76-460E-866C-C6FCEDC1110B}" type="pres">
      <dgm:prSet presAssocID="{CDCB4A7C-F6DF-4E16-A9FC-57F155979303}" presName="Name37" presStyleLbl="parChTrans1D2" presStyleIdx="1" presStyleCnt="3"/>
      <dgm:spPr/>
    </dgm:pt>
    <dgm:pt modelId="{2E8135A6-8809-4515-BE44-DF5F5511B5CB}" type="pres">
      <dgm:prSet presAssocID="{BD60F64E-A884-47C6-A889-DBD2FE1B479D}" presName="hierRoot2" presStyleCnt="0">
        <dgm:presLayoutVars>
          <dgm:hierBranch val="init"/>
        </dgm:presLayoutVars>
      </dgm:prSet>
      <dgm:spPr/>
    </dgm:pt>
    <dgm:pt modelId="{8B233F6B-F2F2-4277-BB19-0A5C8CE76EC0}" type="pres">
      <dgm:prSet presAssocID="{BD60F64E-A884-47C6-A889-DBD2FE1B479D}" presName="rootComposite" presStyleCnt="0"/>
      <dgm:spPr/>
    </dgm:pt>
    <dgm:pt modelId="{6F0C0B6B-8C8F-4DD1-8665-23B9E7425E22}" type="pres">
      <dgm:prSet presAssocID="{BD60F64E-A884-47C6-A889-DBD2FE1B479D}" presName="rootText" presStyleLbl="node2" presStyleIdx="1" presStyleCnt="3">
        <dgm:presLayoutVars>
          <dgm:chPref val="3"/>
        </dgm:presLayoutVars>
      </dgm:prSet>
      <dgm:spPr/>
    </dgm:pt>
    <dgm:pt modelId="{F3D9570D-EA13-48BD-832E-44A569E40D6A}" type="pres">
      <dgm:prSet presAssocID="{BD60F64E-A884-47C6-A889-DBD2FE1B479D}" presName="rootConnector" presStyleLbl="node2" presStyleIdx="1" presStyleCnt="3"/>
      <dgm:spPr/>
    </dgm:pt>
    <dgm:pt modelId="{16962D3E-5A21-4B10-9B5D-31359C05A707}" type="pres">
      <dgm:prSet presAssocID="{BD60F64E-A884-47C6-A889-DBD2FE1B479D}" presName="hierChild4" presStyleCnt="0"/>
      <dgm:spPr/>
    </dgm:pt>
    <dgm:pt modelId="{72CDE539-5AC7-45B1-9D96-955D68E3AC8A}" type="pres">
      <dgm:prSet presAssocID="{BD60F64E-A884-47C6-A889-DBD2FE1B479D}" presName="hierChild5" presStyleCnt="0"/>
      <dgm:spPr/>
    </dgm:pt>
    <dgm:pt modelId="{DC197C63-F391-4DCA-95E6-C6DAD1E197C7}" type="pres">
      <dgm:prSet presAssocID="{D20D0CF9-4244-43AA-A5B4-6C3186E05844}" presName="Name37" presStyleLbl="parChTrans1D2" presStyleIdx="2" presStyleCnt="3"/>
      <dgm:spPr/>
    </dgm:pt>
    <dgm:pt modelId="{64525E6B-66B4-4D7F-A1D6-ABDB7F1367D2}" type="pres">
      <dgm:prSet presAssocID="{51B81188-4A5A-49FC-9272-2C14E865770D}" presName="hierRoot2" presStyleCnt="0">
        <dgm:presLayoutVars>
          <dgm:hierBranch val="init"/>
        </dgm:presLayoutVars>
      </dgm:prSet>
      <dgm:spPr/>
    </dgm:pt>
    <dgm:pt modelId="{19E202D6-D24A-48D1-848B-3FAF1A248AA8}" type="pres">
      <dgm:prSet presAssocID="{51B81188-4A5A-49FC-9272-2C14E865770D}" presName="rootComposite" presStyleCnt="0"/>
      <dgm:spPr/>
    </dgm:pt>
    <dgm:pt modelId="{DC2EEB74-901D-4F83-8280-FE5103875F87}" type="pres">
      <dgm:prSet presAssocID="{51B81188-4A5A-49FC-9272-2C14E865770D}" presName="rootText" presStyleLbl="node2" presStyleIdx="2" presStyleCnt="3">
        <dgm:presLayoutVars>
          <dgm:chPref val="3"/>
        </dgm:presLayoutVars>
      </dgm:prSet>
      <dgm:spPr>
        <a:prstGeom prst="flowChartDecision">
          <a:avLst/>
        </a:prstGeom>
      </dgm:spPr>
    </dgm:pt>
    <dgm:pt modelId="{E88A1F7A-526A-4A00-89AC-0A86B07C31E0}" type="pres">
      <dgm:prSet presAssocID="{51B81188-4A5A-49FC-9272-2C14E865770D}" presName="rootConnector" presStyleLbl="node2" presStyleIdx="2" presStyleCnt="3"/>
      <dgm:spPr/>
    </dgm:pt>
    <dgm:pt modelId="{7BD43445-7273-4281-97AE-021E1C92057D}" type="pres">
      <dgm:prSet presAssocID="{51B81188-4A5A-49FC-9272-2C14E865770D}" presName="hierChild4" presStyleCnt="0"/>
      <dgm:spPr/>
    </dgm:pt>
    <dgm:pt modelId="{B57F9945-79BF-4C79-8D05-A94D6739A82D}" type="pres">
      <dgm:prSet presAssocID="{29DCCA59-E643-4E3D-ABA4-26AD08E191DF}" presName="Name37" presStyleLbl="parChTrans1D3" presStyleIdx="1" presStyleCnt="3"/>
      <dgm:spPr/>
    </dgm:pt>
    <dgm:pt modelId="{83897B84-7EBF-4C43-97DC-2E3EDFE38031}" type="pres">
      <dgm:prSet presAssocID="{451C4F7A-0615-4AC1-8F9D-E9932FAB69BA}" presName="hierRoot2" presStyleCnt="0">
        <dgm:presLayoutVars>
          <dgm:hierBranch val="init"/>
        </dgm:presLayoutVars>
      </dgm:prSet>
      <dgm:spPr/>
    </dgm:pt>
    <dgm:pt modelId="{79603F80-C898-45AF-869C-351032679FBA}" type="pres">
      <dgm:prSet presAssocID="{451C4F7A-0615-4AC1-8F9D-E9932FAB69BA}" presName="rootComposite" presStyleCnt="0"/>
      <dgm:spPr/>
    </dgm:pt>
    <dgm:pt modelId="{4E86587A-4F3E-4174-96D5-9B7063E9B524}" type="pres">
      <dgm:prSet presAssocID="{451C4F7A-0615-4AC1-8F9D-E9932FAB69BA}" presName="rootText" presStyleLbl="node3" presStyleIdx="1" presStyleCnt="3" custScaleX="130697" custScaleY="161758">
        <dgm:presLayoutVars>
          <dgm:chPref val="3"/>
        </dgm:presLayoutVars>
      </dgm:prSet>
      <dgm:spPr>
        <a:prstGeom prst="flowChartDecision">
          <a:avLst/>
        </a:prstGeom>
      </dgm:spPr>
    </dgm:pt>
    <dgm:pt modelId="{F3E20D27-5394-48FF-BF7D-67F183125755}" type="pres">
      <dgm:prSet presAssocID="{451C4F7A-0615-4AC1-8F9D-E9932FAB69BA}" presName="rootConnector" presStyleLbl="node3" presStyleIdx="1" presStyleCnt="3"/>
      <dgm:spPr/>
    </dgm:pt>
    <dgm:pt modelId="{D3302D92-0EF9-48F2-AB98-A2954A457430}" type="pres">
      <dgm:prSet presAssocID="{451C4F7A-0615-4AC1-8F9D-E9932FAB69BA}" presName="hierChild4" presStyleCnt="0"/>
      <dgm:spPr/>
    </dgm:pt>
    <dgm:pt modelId="{797D3F67-F303-4A91-B2F2-33E45FF76A57}" type="pres">
      <dgm:prSet presAssocID="{451C4F7A-0615-4AC1-8F9D-E9932FAB69BA}" presName="hierChild5" presStyleCnt="0"/>
      <dgm:spPr/>
    </dgm:pt>
    <dgm:pt modelId="{CB958548-30C2-4D21-9E69-3AC745B4895F}" type="pres">
      <dgm:prSet presAssocID="{9EFEBE78-A276-4914-9F7E-B2ACF41AC1CA}" presName="Name37" presStyleLbl="parChTrans1D3" presStyleIdx="2" presStyleCnt="3"/>
      <dgm:spPr/>
    </dgm:pt>
    <dgm:pt modelId="{6B4100F7-EF3E-4B77-BCAA-B35192BDDBE0}" type="pres">
      <dgm:prSet presAssocID="{642B1884-DD29-4226-ADBC-73411D7F0A98}" presName="hierRoot2" presStyleCnt="0">
        <dgm:presLayoutVars>
          <dgm:hierBranch val="init"/>
        </dgm:presLayoutVars>
      </dgm:prSet>
      <dgm:spPr/>
    </dgm:pt>
    <dgm:pt modelId="{43F4B782-43B8-4AC7-B84F-BD54265882EB}" type="pres">
      <dgm:prSet presAssocID="{642B1884-DD29-4226-ADBC-73411D7F0A98}" presName="rootComposite" presStyleCnt="0"/>
      <dgm:spPr/>
    </dgm:pt>
    <dgm:pt modelId="{E1D8AB86-F7E9-4D2A-A9B5-3D529CBFA2FF}" type="pres">
      <dgm:prSet presAssocID="{642B1884-DD29-4226-ADBC-73411D7F0A98}" presName="rootText" presStyleLbl="node3" presStyleIdx="2" presStyleCnt="3">
        <dgm:presLayoutVars>
          <dgm:chPref val="3"/>
        </dgm:presLayoutVars>
      </dgm:prSet>
      <dgm:spPr/>
    </dgm:pt>
    <dgm:pt modelId="{BDB534A6-F1B0-4C7E-8DB3-3F6E227912EE}" type="pres">
      <dgm:prSet presAssocID="{642B1884-DD29-4226-ADBC-73411D7F0A98}" presName="rootConnector" presStyleLbl="node3" presStyleIdx="2" presStyleCnt="3"/>
      <dgm:spPr/>
    </dgm:pt>
    <dgm:pt modelId="{C5E6F74E-2D57-47AB-95D1-9BC5516CEDA1}" type="pres">
      <dgm:prSet presAssocID="{642B1884-DD29-4226-ADBC-73411D7F0A98}" presName="hierChild4" presStyleCnt="0"/>
      <dgm:spPr/>
    </dgm:pt>
    <dgm:pt modelId="{63EC4DFD-758C-4649-9AE6-7AF9DAEA255D}" type="pres">
      <dgm:prSet presAssocID="{6E6859CD-BEF6-46D1-AAE6-FD505E00FEE7}" presName="Name37" presStyleLbl="parChTrans1D4" presStyleIdx="2" presStyleCnt="4"/>
      <dgm:spPr/>
    </dgm:pt>
    <dgm:pt modelId="{83794FA2-6A02-4139-82CD-55A478154387}" type="pres">
      <dgm:prSet presAssocID="{5463386A-4E6E-48D0-8FE7-BA7FA2DCC571}" presName="hierRoot2" presStyleCnt="0">
        <dgm:presLayoutVars>
          <dgm:hierBranch val="init"/>
        </dgm:presLayoutVars>
      </dgm:prSet>
      <dgm:spPr/>
    </dgm:pt>
    <dgm:pt modelId="{9C0DDFAD-4FF7-46D6-9928-38E1CD6A0A3A}" type="pres">
      <dgm:prSet presAssocID="{5463386A-4E6E-48D0-8FE7-BA7FA2DCC571}" presName="rootComposite" presStyleCnt="0"/>
      <dgm:spPr/>
    </dgm:pt>
    <dgm:pt modelId="{95F8D003-C7FC-49FB-9662-EE9C36311FFA}" type="pres">
      <dgm:prSet presAssocID="{5463386A-4E6E-48D0-8FE7-BA7FA2DCC571}" presName="rootText" presStyleLbl="node4" presStyleIdx="2" presStyleCnt="4">
        <dgm:presLayoutVars>
          <dgm:chPref val="3"/>
        </dgm:presLayoutVars>
      </dgm:prSet>
      <dgm:spPr/>
    </dgm:pt>
    <dgm:pt modelId="{2C52ED5C-5BE5-4F0E-A86C-88FABDCDF212}" type="pres">
      <dgm:prSet presAssocID="{5463386A-4E6E-48D0-8FE7-BA7FA2DCC571}" presName="rootConnector" presStyleLbl="node4" presStyleIdx="2" presStyleCnt="4"/>
      <dgm:spPr/>
    </dgm:pt>
    <dgm:pt modelId="{E51873DD-3363-4220-AE57-731346409342}" type="pres">
      <dgm:prSet presAssocID="{5463386A-4E6E-48D0-8FE7-BA7FA2DCC571}" presName="hierChild4" presStyleCnt="0"/>
      <dgm:spPr/>
    </dgm:pt>
    <dgm:pt modelId="{618501FA-CFF4-40CB-B549-014648015685}" type="pres">
      <dgm:prSet presAssocID="{8B228F40-E055-4423-AC87-4EB63D9D6A83}" presName="Name37" presStyleLbl="parChTrans1D4" presStyleIdx="3" presStyleCnt="4"/>
      <dgm:spPr/>
    </dgm:pt>
    <dgm:pt modelId="{E326E8B3-1F1D-4B0B-AE6A-8700F33DDE2F}" type="pres">
      <dgm:prSet presAssocID="{AAD4776F-EB07-4C21-92F7-76EF773CDF7D}" presName="hierRoot2" presStyleCnt="0">
        <dgm:presLayoutVars>
          <dgm:hierBranch val="init"/>
        </dgm:presLayoutVars>
      </dgm:prSet>
      <dgm:spPr/>
    </dgm:pt>
    <dgm:pt modelId="{DF8F4A07-EA97-4B03-9967-D1806317DBF3}" type="pres">
      <dgm:prSet presAssocID="{AAD4776F-EB07-4C21-92F7-76EF773CDF7D}" presName="rootComposite" presStyleCnt="0"/>
      <dgm:spPr/>
    </dgm:pt>
    <dgm:pt modelId="{4818EC2C-6782-4F3B-8458-5C4631966BC6}" type="pres">
      <dgm:prSet presAssocID="{AAD4776F-EB07-4C21-92F7-76EF773CDF7D}" presName="rootText" presStyleLbl="node4" presStyleIdx="3" presStyleCnt="4">
        <dgm:presLayoutVars>
          <dgm:chPref val="3"/>
        </dgm:presLayoutVars>
      </dgm:prSet>
      <dgm:spPr>
        <a:prstGeom prst="flowChartAlternateProcess">
          <a:avLst/>
        </a:prstGeom>
      </dgm:spPr>
    </dgm:pt>
    <dgm:pt modelId="{9000DC3A-5640-4D47-93D0-A20C3B2EA2CA}" type="pres">
      <dgm:prSet presAssocID="{AAD4776F-EB07-4C21-92F7-76EF773CDF7D}" presName="rootConnector" presStyleLbl="node4" presStyleIdx="3" presStyleCnt="4"/>
      <dgm:spPr/>
    </dgm:pt>
    <dgm:pt modelId="{661E5F31-FA49-4307-9AC1-03572C6090C7}" type="pres">
      <dgm:prSet presAssocID="{AAD4776F-EB07-4C21-92F7-76EF773CDF7D}" presName="hierChild4" presStyleCnt="0"/>
      <dgm:spPr/>
    </dgm:pt>
    <dgm:pt modelId="{CFDC1825-FF53-4D87-B4AF-5A5A069B830A}" type="pres">
      <dgm:prSet presAssocID="{AAD4776F-EB07-4C21-92F7-76EF773CDF7D}" presName="hierChild5" presStyleCnt="0"/>
      <dgm:spPr/>
    </dgm:pt>
    <dgm:pt modelId="{AFACECB3-6C3D-48A6-904D-7EEDD8B4C749}" type="pres">
      <dgm:prSet presAssocID="{5463386A-4E6E-48D0-8FE7-BA7FA2DCC571}" presName="hierChild5" presStyleCnt="0"/>
      <dgm:spPr/>
    </dgm:pt>
    <dgm:pt modelId="{A04F65DD-6685-454B-BB43-D7921052D4CE}" type="pres">
      <dgm:prSet presAssocID="{642B1884-DD29-4226-ADBC-73411D7F0A98}" presName="hierChild5" presStyleCnt="0"/>
      <dgm:spPr/>
    </dgm:pt>
    <dgm:pt modelId="{71E8C8D7-DEE5-4865-844F-81ACBD51B88B}" type="pres">
      <dgm:prSet presAssocID="{51B81188-4A5A-49FC-9272-2C14E865770D}" presName="hierChild5" presStyleCnt="0"/>
      <dgm:spPr/>
    </dgm:pt>
    <dgm:pt modelId="{2A00DDEE-2AA0-4CA9-A4D8-1FFDFD1D74B6}" type="pres">
      <dgm:prSet presAssocID="{EE5BD4D4-670B-4907-84FE-692F601E41E8}" presName="hierChild3" presStyleCnt="0"/>
      <dgm:spPr/>
    </dgm:pt>
  </dgm:ptLst>
  <dgm:cxnLst>
    <dgm:cxn modelId="{C7908603-EFD9-4C2D-8EA8-595612F355EE}" type="presOf" srcId="{5463386A-4E6E-48D0-8FE7-BA7FA2DCC571}" destId="{2C52ED5C-5BE5-4F0E-A86C-88FABDCDF212}" srcOrd="1" destOrd="0" presId="urn:microsoft.com/office/officeart/2005/8/layout/orgChart1"/>
    <dgm:cxn modelId="{63E9BD0A-38D5-4D2D-9971-1B7AD283FB88}" type="presOf" srcId="{9EFEBE78-A276-4914-9F7E-B2ACF41AC1CA}" destId="{CB958548-30C2-4D21-9E69-3AC745B4895F}" srcOrd="0" destOrd="0" presId="urn:microsoft.com/office/officeart/2005/8/layout/orgChart1"/>
    <dgm:cxn modelId="{0CE8370F-47BA-4B6E-9BC4-C5B6F08F5CDF}" type="presOf" srcId="{51B81188-4A5A-49FC-9272-2C14E865770D}" destId="{DC2EEB74-901D-4F83-8280-FE5103875F87}" srcOrd="0" destOrd="0" presId="urn:microsoft.com/office/officeart/2005/8/layout/orgChart1"/>
    <dgm:cxn modelId="{3007D813-199A-47AD-9B4A-9B79916523EA}" type="presOf" srcId="{BD60F64E-A884-47C6-A889-DBD2FE1B479D}" destId="{6F0C0B6B-8C8F-4DD1-8665-23B9E7425E22}" srcOrd="0" destOrd="0" presId="urn:microsoft.com/office/officeart/2005/8/layout/orgChart1"/>
    <dgm:cxn modelId="{DB477F16-8573-4D8B-8213-06C17563E6B2}" type="presOf" srcId="{8B228F40-E055-4423-AC87-4EB63D9D6A83}" destId="{618501FA-CFF4-40CB-B549-014648015685}" srcOrd="0" destOrd="0" presId="urn:microsoft.com/office/officeart/2005/8/layout/orgChart1"/>
    <dgm:cxn modelId="{91DA8419-3828-436D-89B6-D24ED08F2710}" type="presOf" srcId="{642B1884-DD29-4226-ADBC-73411D7F0A98}" destId="{E1D8AB86-F7E9-4D2A-A9B5-3D529CBFA2FF}" srcOrd="0" destOrd="0" presId="urn:microsoft.com/office/officeart/2005/8/layout/orgChart1"/>
    <dgm:cxn modelId="{13A88F1C-D804-4134-9385-8B796C3D3B73}" srcId="{642B1884-DD29-4226-ADBC-73411D7F0A98}" destId="{5463386A-4E6E-48D0-8FE7-BA7FA2DCC571}" srcOrd="0" destOrd="0" parTransId="{6E6859CD-BEF6-46D1-AAE6-FD505E00FEE7}" sibTransId="{5D395455-43CA-4DE2-BF15-904AC968F366}"/>
    <dgm:cxn modelId="{5DE20D21-112D-4C44-9955-8D59B7DCDBF4}" type="presOf" srcId="{A779E039-8984-49F5-9AC0-F376AE6A2E54}" destId="{BCF2B3D3-2815-4317-B805-D64C329179A2}" srcOrd="0" destOrd="0" presId="urn:microsoft.com/office/officeart/2005/8/layout/orgChart1"/>
    <dgm:cxn modelId="{67F8C921-5A12-4096-99D9-AE8F06A54F2A}" type="presOf" srcId="{2D948D9D-DA9B-427F-8002-832490956498}" destId="{A0A5244D-CBA8-472E-AABA-DC670BD17346}" srcOrd="1" destOrd="0" presId="urn:microsoft.com/office/officeart/2005/8/layout/orgChart1"/>
    <dgm:cxn modelId="{0D840E22-02B9-46AC-9BBB-07A3F119C286}" srcId="{B83666A3-832A-4E45-8325-A26C1A8714C6}" destId="{EE5BD4D4-670B-4907-84FE-692F601E41E8}" srcOrd="0" destOrd="0" parTransId="{9009790E-C35F-493D-9E8C-3D976F628ADF}" sibTransId="{F56F99D4-8348-4F0F-B295-595C0BB512CB}"/>
    <dgm:cxn modelId="{ADA12624-6BB3-4193-A6A1-3EB0CF53E582}" srcId="{EE5BD4D4-670B-4907-84FE-692F601E41E8}" destId="{51B81188-4A5A-49FC-9272-2C14E865770D}" srcOrd="2" destOrd="0" parTransId="{D20D0CF9-4244-43AA-A5B4-6C3186E05844}" sibTransId="{86245C8F-B077-4DD7-BE5C-B14E6779B824}"/>
    <dgm:cxn modelId="{6363E625-4D21-44A0-9A47-A1E714747DE9}" type="presOf" srcId="{AAD4776F-EB07-4C21-92F7-76EF773CDF7D}" destId="{4818EC2C-6782-4F3B-8458-5C4631966BC6}" srcOrd="0" destOrd="0" presId="urn:microsoft.com/office/officeart/2005/8/layout/orgChart1"/>
    <dgm:cxn modelId="{ED2E6430-1187-4800-A306-9D105FC46F11}" type="presOf" srcId="{451C4F7A-0615-4AC1-8F9D-E9932FAB69BA}" destId="{F3E20D27-5394-48FF-BF7D-67F183125755}" srcOrd="1" destOrd="0" presId="urn:microsoft.com/office/officeart/2005/8/layout/orgChart1"/>
    <dgm:cxn modelId="{EB2E693A-B57B-44DA-A17B-318C52463D3B}" type="presOf" srcId="{451C4F7A-0615-4AC1-8F9D-E9932FAB69BA}" destId="{4E86587A-4F3E-4174-96D5-9B7063E9B524}" srcOrd="0" destOrd="0" presId="urn:microsoft.com/office/officeart/2005/8/layout/orgChart1"/>
    <dgm:cxn modelId="{0ABF8E5D-77D7-46F9-BA0F-B4AD05353841}" type="presOf" srcId="{76C8652C-B403-4CCE-B819-EC084EA9E8C1}" destId="{FCA9C6FD-7B6C-44D7-B2E7-5BB47FED9488}" srcOrd="0" destOrd="0" presId="urn:microsoft.com/office/officeart/2005/8/layout/orgChart1"/>
    <dgm:cxn modelId="{336C6661-A435-4BEE-8811-ABD1CF8B8C17}" type="presOf" srcId="{6E6859CD-BEF6-46D1-AAE6-FD505E00FEE7}" destId="{63EC4DFD-758C-4649-9AE6-7AF9DAEA255D}" srcOrd="0" destOrd="0" presId="urn:microsoft.com/office/officeart/2005/8/layout/orgChart1"/>
    <dgm:cxn modelId="{37B89668-351E-40EF-9874-D24A565423F0}" srcId="{51B81188-4A5A-49FC-9272-2C14E865770D}" destId="{451C4F7A-0615-4AC1-8F9D-E9932FAB69BA}" srcOrd="0" destOrd="0" parTransId="{29DCCA59-E643-4E3D-ABA4-26AD08E191DF}" sibTransId="{703AA39E-8141-423E-AF23-E61916751FBB}"/>
    <dgm:cxn modelId="{DB9CED4B-3FB6-4448-8824-6C051C0DC502}" type="presOf" srcId="{0AC0274C-9115-43BD-8A0F-582FFDA25344}" destId="{051CF941-956E-4379-9B67-0A5974A9EF33}" srcOrd="1" destOrd="0" presId="urn:microsoft.com/office/officeart/2005/8/layout/orgChart1"/>
    <dgm:cxn modelId="{49983A4D-8819-4936-A274-D017E729C25C}" type="presOf" srcId="{51B81188-4A5A-49FC-9272-2C14E865770D}" destId="{E88A1F7A-526A-4A00-89AC-0A86B07C31E0}" srcOrd="1" destOrd="0" presId="urn:microsoft.com/office/officeart/2005/8/layout/orgChart1"/>
    <dgm:cxn modelId="{76CB954D-06E4-44CA-8A82-ABE4E2615954}" type="presOf" srcId="{642B1884-DD29-4226-ADBC-73411D7F0A98}" destId="{BDB534A6-F1B0-4C7E-8DB3-3F6E227912EE}" srcOrd="1" destOrd="0" presId="urn:microsoft.com/office/officeart/2005/8/layout/orgChart1"/>
    <dgm:cxn modelId="{A3910F72-ADB0-48F0-B719-060D2D78CE1C}" type="presOf" srcId="{B83666A3-832A-4E45-8325-A26C1A8714C6}" destId="{7194F481-0506-41D5-9B2C-ADF33E83C90F}" srcOrd="0" destOrd="0" presId="urn:microsoft.com/office/officeart/2005/8/layout/orgChart1"/>
    <dgm:cxn modelId="{2D551C7D-5843-488C-906E-C1B88DAC924A}" srcId="{43E94D9E-8712-4234-BC6F-FD1D53D77EF6}" destId="{2D948D9D-DA9B-427F-8002-832490956498}" srcOrd="0" destOrd="0" parTransId="{322BA46B-B580-4483-A979-51421E994D9C}" sibTransId="{B87EB77F-2B3D-4D95-874A-7E024AEA00CF}"/>
    <dgm:cxn modelId="{819D567E-771C-4FB1-9250-42C32E191083}" type="presOf" srcId="{5463386A-4E6E-48D0-8FE7-BA7FA2DCC571}" destId="{95F8D003-C7FC-49FB-9662-EE9C36311FFA}" srcOrd="0" destOrd="0" presId="urn:microsoft.com/office/officeart/2005/8/layout/orgChart1"/>
    <dgm:cxn modelId="{F002408A-BF04-4082-9B2B-E9AEEE4E06BA}" type="presOf" srcId="{E44403F4-A398-43EA-8297-7B7FB7C5D8A3}" destId="{707C15A8-24BD-487D-8069-67F0BE9833FD}" srcOrd="0" destOrd="0" presId="urn:microsoft.com/office/officeart/2005/8/layout/orgChart1"/>
    <dgm:cxn modelId="{75C1588A-3697-473B-AE4F-0F1C7D56FC69}" type="presOf" srcId="{2D948D9D-DA9B-427F-8002-832490956498}" destId="{A576C213-4291-4D5A-91D5-8255A2623D2A}" srcOrd="0" destOrd="0" presId="urn:microsoft.com/office/officeart/2005/8/layout/orgChart1"/>
    <dgm:cxn modelId="{9A0C6990-F44C-4180-855D-31BC3D6FCA3D}" srcId="{5463386A-4E6E-48D0-8FE7-BA7FA2DCC571}" destId="{AAD4776F-EB07-4C21-92F7-76EF773CDF7D}" srcOrd="0" destOrd="0" parTransId="{8B228F40-E055-4423-AC87-4EB63D9D6A83}" sibTransId="{AC2CA14A-8956-4CC5-A82E-07FAEAC8D56C}"/>
    <dgm:cxn modelId="{62CA139F-7C18-4728-918C-1FA5548E3F0E}" type="presOf" srcId="{43E94D9E-8712-4234-BC6F-FD1D53D77EF6}" destId="{C89B32B1-6D8B-4655-A341-8E86C90B34E6}" srcOrd="1" destOrd="0" presId="urn:microsoft.com/office/officeart/2005/8/layout/orgChart1"/>
    <dgm:cxn modelId="{878BF9A3-5D4C-43DD-A890-351D005958F2}" srcId="{EE5BD4D4-670B-4907-84FE-692F601E41E8}" destId="{0AC0274C-9115-43BD-8A0F-582FFDA25344}" srcOrd="0" destOrd="0" parTransId="{A779E039-8984-49F5-9AC0-F376AE6A2E54}" sibTransId="{D0377851-2766-4A5B-9D1E-F57E40FC21D7}"/>
    <dgm:cxn modelId="{2ED442A8-2CB2-4A1E-BFB2-D4FAD8F10E7F}" type="presOf" srcId="{29DCCA59-E643-4E3D-ABA4-26AD08E191DF}" destId="{B57F9945-79BF-4C79-8D05-A94D6739A82D}" srcOrd="0" destOrd="0" presId="urn:microsoft.com/office/officeart/2005/8/layout/orgChart1"/>
    <dgm:cxn modelId="{6EFFB8AF-3118-474A-A791-30997BBDBACC}" type="presOf" srcId="{EE5BD4D4-670B-4907-84FE-692F601E41E8}" destId="{E54050AD-F1C0-47B1-A82C-B9E5A891CD2D}" srcOrd="1" destOrd="0" presId="urn:microsoft.com/office/officeart/2005/8/layout/orgChart1"/>
    <dgm:cxn modelId="{41418EB4-DE64-4AFE-94DB-263D9F799F3D}" type="presOf" srcId="{BD60F64E-A884-47C6-A889-DBD2FE1B479D}" destId="{F3D9570D-EA13-48BD-832E-44A569E40D6A}" srcOrd="1" destOrd="0" presId="urn:microsoft.com/office/officeart/2005/8/layout/orgChart1"/>
    <dgm:cxn modelId="{446F1DB5-7F70-448D-93AA-69AAE1C5C989}" type="presOf" srcId="{0AC0274C-9115-43BD-8A0F-582FFDA25344}" destId="{CFE91FB8-C296-48F9-A594-79D63D378E14}" srcOrd="0" destOrd="0" presId="urn:microsoft.com/office/officeart/2005/8/layout/orgChart1"/>
    <dgm:cxn modelId="{794153B5-7B41-44D2-B266-DCEB1F814FF2}" srcId="{0AC0274C-9115-43BD-8A0F-582FFDA25344}" destId="{18BD812C-FC8D-42BA-9322-F648C92FB4A8}" srcOrd="0" destOrd="0" parTransId="{76C8652C-B403-4CCE-B819-EC084EA9E8C1}" sibTransId="{C6CEEEDE-ED38-446C-92CF-F3CA066763EA}"/>
    <dgm:cxn modelId="{E2ADD4C9-7281-4DA3-BE13-1D0C8532AD8A}" type="presOf" srcId="{322BA46B-B580-4483-A979-51421E994D9C}" destId="{0E689F65-AAA4-4BDC-B62D-976ABC02256B}" srcOrd="0" destOrd="0" presId="urn:microsoft.com/office/officeart/2005/8/layout/orgChart1"/>
    <dgm:cxn modelId="{AA02A5CF-6418-4697-8141-2C3802287E82}" type="presOf" srcId="{CDCB4A7C-F6DF-4E16-A9FC-57F155979303}" destId="{B0D9DD28-EC76-460E-866C-C6FCEDC1110B}" srcOrd="0" destOrd="0" presId="urn:microsoft.com/office/officeart/2005/8/layout/orgChart1"/>
    <dgm:cxn modelId="{976321D3-C2F3-41E0-802C-1929496EFE49}" srcId="{EE5BD4D4-670B-4907-84FE-692F601E41E8}" destId="{BD60F64E-A884-47C6-A889-DBD2FE1B479D}" srcOrd="1" destOrd="0" parTransId="{CDCB4A7C-F6DF-4E16-A9FC-57F155979303}" sibTransId="{57204F8E-7A5B-4433-BD2B-0E106E5A5956}"/>
    <dgm:cxn modelId="{B8CB29D5-8A59-4653-A1F7-8AEBF67A3745}" type="presOf" srcId="{18BD812C-FC8D-42BA-9322-F648C92FB4A8}" destId="{8A1995DE-C5D5-4D29-95A3-331CA9FD49F9}" srcOrd="0" destOrd="0" presId="urn:microsoft.com/office/officeart/2005/8/layout/orgChart1"/>
    <dgm:cxn modelId="{E3D447D5-A537-404E-9443-ADCE171B2F5B}" srcId="{18BD812C-FC8D-42BA-9322-F648C92FB4A8}" destId="{43E94D9E-8712-4234-BC6F-FD1D53D77EF6}" srcOrd="0" destOrd="0" parTransId="{E44403F4-A398-43EA-8297-7B7FB7C5D8A3}" sibTransId="{C2C9B05D-9E07-49EC-90E3-039479529C5E}"/>
    <dgm:cxn modelId="{D299D5DA-705A-4506-92F0-B57A4BC8D5F0}" type="presOf" srcId="{EE5BD4D4-670B-4907-84FE-692F601E41E8}" destId="{8D39C9C7-E0B3-4948-8921-2A94788C5208}" srcOrd="0" destOrd="0" presId="urn:microsoft.com/office/officeart/2005/8/layout/orgChart1"/>
    <dgm:cxn modelId="{E23612DD-17EF-4661-8772-421B4E710FB2}" srcId="{51B81188-4A5A-49FC-9272-2C14E865770D}" destId="{642B1884-DD29-4226-ADBC-73411D7F0A98}" srcOrd="1" destOrd="0" parTransId="{9EFEBE78-A276-4914-9F7E-B2ACF41AC1CA}" sibTransId="{E2FA73D9-9342-4F55-A576-5DAA2A485D15}"/>
    <dgm:cxn modelId="{0F68CCE7-168C-4CB0-9C24-BD704B49FE39}" type="presOf" srcId="{AAD4776F-EB07-4C21-92F7-76EF773CDF7D}" destId="{9000DC3A-5640-4D47-93D0-A20C3B2EA2CA}" srcOrd="1" destOrd="0" presId="urn:microsoft.com/office/officeart/2005/8/layout/orgChart1"/>
    <dgm:cxn modelId="{559A83ED-B111-4B64-A33A-DCBAC67CB6FE}" type="presOf" srcId="{43E94D9E-8712-4234-BC6F-FD1D53D77EF6}" destId="{F9DE3BA2-F748-4E7D-9D06-E0651F8D11E3}" srcOrd="0" destOrd="0" presId="urn:microsoft.com/office/officeart/2005/8/layout/orgChart1"/>
    <dgm:cxn modelId="{B208EFF3-43B1-47D7-999E-1441E7089477}" type="presOf" srcId="{18BD812C-FC8D-42BA-9322-F648C92FB4A8}" destId="{86E9616C-EC3B-4F06-A9E3-81FCDB855822}" srcOrd="1" destOrd="0" presId="urn:microsoft.com/office/officeart/2005/8/layout/orgChart1"/>
    <dgm:cxn modelId="{1FC7D5F6-EA21-4719-8BF2-B5F08BDDB7F3}" type="presOf" srcId="{D20D0CF9-4244-43AA-A5B4-6C3186E05844}" destId="{DC197C63-F391-4DCA-95E6-C6DAD1E197C7}" srcOrd="0" destOrd="0" presId="urn:microsoft.com/office/officeart/2005/8/layout/orgChart1"/>
    <dgm:cxn modelId="{C503B6A9-C99F-46BD-A814-BA223E3261A3}" type="presParOf" srcId="{7194F481-0506-41D5-9B2C-ADF33E83C90F}" destId="{85ED62BB-276C-457F-9426-597AC6B6718F}" srcOrd="0" destOrd="0" presId="urn:microsoft.com/office/officeart/2005/8/layout/orgChart1"/>
    <dgm:cxn modelId="{9223FF7C-8779-445A-98A8-64A24AD89CAF}" type="presParOf" srcId="{85ED62BB-276C-457F-9426-597AC6B6718F}" destId="{A95326E3-AE5F-4840-B445-A447485E046C}" srcOrd="0" destOrd="0" presId="urn:microsoft.com/office/officeart/2005/8/layout/orgChart1"/>
    <dgm:cxn modelId="{BAD2FF43-6CA4-45FC-BF39-66DF67A455AA}" type="presParOf" srcId="{A95326E3-AE5F-4840-B445-A447485E046C}" destId="{8D39C9C7-E0B3-4948-8921-2A94788C5208}" srcOrd="0" destOrd="0" presId="urn:microsoft.com/office/officeart/2005/8/layout/orgChart1"/>
    <dgm:cxn modelId="{0B50B207-56FD-4E0B-8552-8EC58E04CA1A}" type="presParOf" srcId="{A95326E3-AE5F-4840-B445-A447485E046C}" destId="{E54050AD-F1C0-47B1-A82C-B9E5A891CD2D}" srcOrd="1" destOrd="0" presId="urn:microsoft.com/office/officeart/2005/8/layout/orgChart1"/>
    <dgm:cxn modelId="{46911A67-BA29-4B19-8810-BD732C5F14A9}" type="presParOf" srcId="{85ED62BB-276C-457F-9426-597AC6B6718F}" destId="{AEC3AF4F-3C9F-483F-9622-3C88C6ECC9EB}" srcOrd="1" destOrd="0" presId="urn:microsoft.com/office/officeart/2005/8/layout/orgChart1"/>
    <dgm:cxn modelId="{1A05549D-BB60-4AF3-A752-0411FF1ABE33}" type="presParOf" srcId="{AEC3AF4F-3C9F-483F-9622-3C88C6ECC9EB}" destId="{BCF2B3D3-2815-4317-B805-D64C329179A2}" srcOrd="0" destOrd="0" presId="urn:microsoft.com/office/officeart/2005/8/layout/orgChart1"/>
    <dgm:cxn modelId="{02F98E95-BABD-4D07-A2AF-367C4A6941E9}" type="presParOf" srcId="{AEC3AF4F-3C9F-483F-9622-3C88C6ECC9EB}" destId="{2F1F50B4-E6A3-4D1D-BEE9-D389E7C65FCC}" srcOrd="1" destOrd="0" presId="urn:microsoft.com/office/officeart/2005/8/layout/orgChart1"/>
    <dgm:cxn modelId="{94735895-05CD-4467-93B7-6B43871B7C60}" type="presParOf" srcId="{2F1F50B4-E6A3-4D1D-BEE9-D389E7C65FCC}" destId="{B49A922C-6F5B-42B3-8A53-F22DBCE3F388}" srcOrd="0" destOrd="0" presId="urn:microsoft.com/office/officeart/2005/8/layout/orgChart1"/>
    <dgm:cxn modelId="{8F5F0F64-0F6F-441E-A3DF-A615C07A54C4}" type="presParOf" srcId="{B49A922C-6F5B-42B3-8A53-F22DBCE3F388}" destId="{CFE91FB8-C296-48F9-A594-79D63D378E14}" srcOrd="0" destOrd="0" presId="urn:microsoft.com/office/officeart/2005/8/layout/orgChart1"/>
    <dgm:cxn modelId="{42A545E3-E6A2-48D6-810A-CA621CF6EC7A}" type="presParOf" srcId="{B49A922C-6F5B-42B3-8A53-F22DBCE3F388}" destId="{051CF941-956E-4379-9B67-0A5974A9EF33}" srcOrd="1" destOrd="0" presId="urn:microsoft.com/office/officeart/2005/8/layout/orgChart1"/>
    <dgm:cxn modelId="{B9F08142-6B66-4217-A2C0-233F508BD4E4}" type="presParOf" srcId="{2F1F50B4-E6A3-4D1D-BEE9-D389E7C65FCC}" destId="{F05F66EF-4260-4806-863F-AA711EC7E92D}" srcOrd="1" destOrd="0" presId="urn:microsoft.com/office/officeart/2005/8/layout/orgChart1"/>
    <dgm:cxn modelId="{C15F964A-7EBF-456C-8379-F9C70BE67533}" type="presParOf" srcId="{F05F66EF-4260-4806-863F-AA711EC7E92D}" destId="{FCA9C6FD-7B6C-44D7-B2E7-5BB47FED9488}" srcOrd="0" destOrd="0" presId="urn:microsoft.com/office/officeart/2005/8/layout/orgChart1"/>
    <dgm:cxn modelId="{E2EEFB73-73D3-4A67-85BD-E23BA191DA76}" type="presParOf" srcId="{F05F66EF-4260-4806-863F-AA711EC7E92D}" destId="{C9D2F7D9-5047-45A8-9A29-DF7E9CDB9558}" srcOrd="1" destOrd="0" presId="urn:microsoft.com/office/officeart/2005/8/layout/orgChart1"/>
    <dgm:cxn modelId="{5E24CD71-1A0E-4896-97C9-245E79362D74}" type="presParOf" srcId="{C9D2F7D9-5047-45A8-9A29-DF7E9CDB9558}" destId="{51C9A1C5-1C2C-4CFD-9100-C746B2E88D1C}" srcOrd="0" destOrd="0" presId="urn:microsoft.com/office/officeart/2005/8/layout/orgChart1"/>
    <dgm:cxn modelId="{B3216F42-8756-4BB3-9998-08F33BA2F8C4}" type="presParOf" srcId="{51C9A1C5-1C2C-4CFD-9100-C746B2E88D1C}" destId="{8A1995DE-C5D5-4D29-95A3-331CA9FD49F9}" srcOrd="0" destOrd="0" presId="urn:microsoft.com/office/officeart/2005/8/layout/orgChart1"/>
    <dgm:cxn modelId="{68C81097-47DE-4EB7-8172-03C499F68065}" type="presParOf" srcId="{51C9A1C5-1C2C-4CFD-9100-C746B2E88D1C}" destId="{86E9616C-EC3B-4F06-A9E3-81FCDB855822}" srcOrd="1" destOrd="0" presId="urn:microsoft.com/office/officeart/2005/8/layout/orgChart1"/>
    <dgm:cxn modelId="{0669FB0C-B202-4F31-AC40-CF2E138F8DDB}" type="presParOf" srcId="{C9D2F7D9-5047-45A8-9A29-DF7E9CDB9558}" destId="{5396F1A2-6400-4FD0-99E4-075E01F31EF9}" srcOrd="1" destOrd="0" presId="urn:microsoft.com/office/officeart/2005/8/layout/orgChart1"/>
    <dgm:cxn modelId="{6295971A-DB45-42BB-BBFA-2CE880197915}" type="presParOf" srcId="{5396F1A2-6400-4FD0-99E4-075E01F31EF9}" destId="{707C15A8-24BD-487D-8069-67F0BE9833FD}" srcOrd="0" destOrd="0" presId="urn:microsoft.com/office/officeart/2005/8/layout/orgChart1"/>
    <dgm:cxn modelId="{A0DFF9F4-9877-4E3B-9329-4D649C2CD30F}" type="presParOf" srcId="{5396F1A2-6400-4FD0-99E4-075E01F31EF9}" destId="{3AC480B5-4D1A-4E28-9EF2-882E14CE400D}" srcOrd="1" destOrd="0" presId="urn:microsoft.com/office/officeart/2005/8/layout/orgChart1"/>
    <dgm:cxn modelId="{AC4232E2-5154-4C23-8141-2E82A6087CEA}" type="presParOf" srcId="{3AC480B5-4D1A-4E28-9EF2-882E14CE400D}" destId="{E99A6450-F056-4175-BA1D-361B67C70009}" srcOrd="0" destOrd="0" presId="urn:microsoft.com/office/officeart/2005/8/layout/orgChart1"/>
    <dgm:cxn modelId="{6AF773D2-ECDE-41C2-AADC-24F70C20AEFD}" type="presParOf" srcId="{E99A6450-F056-4175-BA1D-361B67C70009}" destId="{F9DE3BA2-F748-4E7D-9D06-E0651F8D11E3}" srcOrd="0" destOrd="0" presId="urn:microsoft.com/office/officeart/2005/8/layout/orgChart1"/>
    <dgm:cxn modelId="{50BE3E9B-FE3D-48EF-A373-49068FA02105}" type="presParOf" srcId="{E99A6450-F056-4175-BA1D-361B67C70009}" destId="{C89B32B1-6D8B-4655-A341-8E86C90B34E6}" srcOrd="1" destOrd="0" presId="urn:microsoft.com/office/officeart/2005/8/layout/orgChart1"/>
    <dgm:cxn modelId="{0193B1FD-2862-4780-934C-62592D7C38F6}" type="presParOf" srcId="{3AC480B5-4D1A-4E28-9EF2-882E14CE400D}" destId="{AC845A39-AB41-4566-A5F9-01505C128C44}" srcOrd="1" destOrd="0" presId="urn:microsoft.com/office/officeart/2005/8/layout/orgChart1"/>
    <dgm:cxn modelId="{9E2F1AB0-A0EA-4213-A634-C4C295F967F4}" type="presParOf" srcId="{AC845A39-AB41-4566-A5F9-01505C128C44}" destId="{0E689F65-AAA4-4BDC-B62D-976ABC02256B}" srcOrd="0" destOrd="0" presId="urn:microsoft.com/office/officeart/2005/8/layout/orgChart1"/>
    <dgm:cxn modelId="{789F8934-6A41-4A27-95ED-3CCCE9EE4742}" type="presParOf" srcId="{AC845A39-AB41-4566-A5F9-01505C128C44}" destId="{200AEE82-D3B4-4247-8F73-C2E977D9FA1D}" srcOrd="1" destOrd="0" presId="urn:microsoft.com/office/officeart/2005/8/layout/orgChart1"/>
    <dgm:cxn modelId="{5C83CC38-1306-4EDC-846A-9DA19ED1ECCB}" type="presParOf" srcId="{200AEE82-D3B4-4247-8F73-C2E977D9FA1D}" destId="{5E72FAA3-7952-428E-BC61-D1A26A3F7673}" srcOrd="0" destOrd="0" presId="urn:microsoft.com/office/officeart/2005/8/layout/orgChart1"/>
    <dgm:cxn modelId="{407E56FB-09AD-4188-B162-37C780A4E9A1}" type="presParOf" srcId="{5E72FAA3-7952-428E-BC61-D1A26A3F7673}" destId="{A576C213-4291-4D5A-91D5-8255A2623D2A}" srcOrd="0" destOrd="0" presId="urn:microsoft.com/office/officeart/2005/8/layout/orgChart1"/>
    <dgm:cxn modelId="{31454842-52ED-45AD-B6B0-37FDAF6AFD55}" type="presParOf" srcId="{5E72FAA3-7952-428E-BC61-D1A26A3F7673}" destId="{A0A5244D-CBA8-472E-AABA-DC670BD17346}" srcOrd="1" destOrd="0" presId="urn:microsoft.com/office/officeart/2005/8/layout/orgChart1"/>
    <dgm:cxn modelId="{DF0A42DA-6572-4F5E-90F6-87A914CBB7C8}" type="presParOf" srcId="{200AEE82-D3B4-4247-8F73-C2E977D9FA1D}" destId="{4377B3B9-90F6-4745-AE46-8CBE4CA6FF8F}" srcOrd="1" destOrd="0" presId="urn:microsoft.com/office/officeart/2005/8/layout/orgChart1"/>
    <dgm:cxn modelId="{4286B0FB-940E-421F-A9F7-F2F3F5823944}" type="presParOf" srcId="{200AEE82-D3B4-4247-8F73-C2E977D9FA1D}" destId="{33181CDE-7CAE-4F55-B1A5-F48A0021BA3B}" srcOrd="2" destOrd="0" presId="urn:microsoft.com/office/officeart/2005/8/layout/orgChart1"/>
    <dgm:cxn modelId="{44F3DEF6-77E4-4427-9893-5CFF851E7E22}" type="presParOf" srcId="{3AC480B5-4D1A-4E28-9EF2-882E14CE400D}" destId="{F2793F41-2F01-4735-A1F3-90B502844561}" srcOrd="2" destOrd="0" presId="urn:microsoft.com/office/officeart/2005/8/layout/orgChart1"/>
    <dgm:cxn modelId="{F66B3EF4-7682-4CCF-B395-59B1BBA0A872}" type="presParOf" srcId="{C9D2F7D9-5047-45A8-9A29-DF7E9CDB9558}" destId="{758F48D4-2331-4E6F-89B7-7E77A6E9380F}" srcOrd="2" destOrd="0" presId="urn:microsoft.com/office/officeart/2005/8/layout/orgChart1"/>
    <dgm:cxn modelId="{8232151E-D45B-4B9B-BE3C-421709BE1030}" type="presParOf" srcId="{2F1F50B4-E6A3-4D1D-BEE9-D389E7C65FCC}" destId="{DF6314FC-B488-4DB3-AD45-FA00B8AC357D}" srcOrd="2" destOrd="0" presId="urn:microsoft.com/office/officeart/2005/8/layout/orgChart1"/>
    <dgm:cxn modelId="{908B02FC-D9B9-4BB6-925B-91B74C1410DE}" type="presParOf" srcId="{AEC3AF4F-3C9F-483F-9622-3C88C6ECC9EB}" destId="{B0D9DD28-EC76-460E-866C-C6FCEDC1110B}" srcOrd="2" destOrd="0" presId="urn:microsoft.com/office/officeart/2005/8/layout/orgChart1"/>
    <dgm:cxn modelId="{306CDB68-99DF-4405-BBA2-DBB625EC913C}" type="presParOf" srcId="{AEC3AF4F-3C9F-483F-9622-3C88C6ECC9EB}" destId="{2E8135A6-8809-4515-BE44-DF5F5511B5CB}" srcOrd="3" destOrd="0" presId="urn:microsoft.com/office/officeart/2005/8/layout/orgChart1"/>
    <dgm:cxn modelId="{A337833C-B42A-469A-975E-9147EB689C91}" type="presParOf" srcId="{2E8135A6-8809-4515-BE44-DF5F5511B5CB}" destId="{8B233F6B-F2F2-4277-BB19-0A5C8CE76EC0}" srcOrd="0" destOrd="0" presId="urn:microsoft.com/office/officeart/2005/8/layout/orgChart1"/>
    <dgm:cxn modelId="{C76D1CFD-7172-41A6-BDE3-3ACD0670D418}" type="presParOf" srcId="{8B233F6B-F2F2-4277-BB19-0A5C8CE76EC0}" destId="{6F0C0B6B-8C8F-4DD1-8665-23B9E7425E22}" srcOrd="0" destOrd="0" presId="urn:microsoft.com/office/officeart/2005/8/layout/orgChart1"/>
    <dgm:cxn modelId="{BE6E647C-43F5-4860-8AFB-18C999B46C7E}" type="presParOf" srcId="{8B233F6B-F2F2-4277-BB19-0A5C8CE76EC0}" destId="{F3D9570D-EA13-48BD-832E-44A569E40D6A}" srcOrd="1" destOrd="0" presId="urn:microsoft.com/office/officeart/2005/8/layout/orgChart1"/>
    <dgm:cxn modelId="{27096DEA-FCD2-4FCA-B46E-CA2D97E8D5D4}" type="presParOf" srcId="{2E8135A6-8809-4515-BE44-DF5F5511B5CB}" destId="{16962D3E-5A21-4B10-9B5D-31359C05A707}" srcOrd="1" destOrd="0" presId="urn:microsoft.com/office/officeart/2005/8/layout/orgChart1"/>
    <dgm:cxn modelId="{3602C750-E086-4705-8456-8AB0F8AEC39F}" type="presParOf" srcId="{2E8135A6-8809-4515-BE44-DF5F5511B5CB}" destId="{72CDE539-5AC7-45B1-9D96-955D68E3AC8A}" srcOrd="2" destOrd="0" presId="urn:microsoft.com/office/officeart/2005/8/layout/orgChart1"/>
    <dgm:cxn modelId="{B2CA648F-6F36-4B8F-8235-5408B2A25597}" type="presParOf" srcId="{AEC3AF4F-3C9F-483F-9622-3C88C6ECC9EB}" destId="{DC197C63-F391-4DCA-95E6-C6DAD1E197C7}" srcOrd="4" destOrd="0" presId="urn:microsoft.com/office/officeart/2005/8/layout/orgChart1"/>
    <dgm:cxn modelId="{BD387753-A9B1-48C0-99CB-E4895E3FD754}" type="presParOf" srcId="{AEC3AF4F-3C9F-483F-9622-3C88C6ECC9EB}" destId="{64525E6B-66B4-4D7F-A1D6-ABDB7F1367D2}" srcOrd="5" destOrd="0" presId="urn:microsoft.com/office/officeart/2005/8/layout/orgChart1"/>
    <dgm:cxn modelId="{DD29B1A7-00EC-4A93-AA92-0F037FEAF48D}" type="presParOf" srcId="{64525E6B-66B4-4D7F-A1D6-ABDB7F1367D2}" destId="{19E202D6-D24A-48D1-848B-3FAF1A248AA8}" srcOrd="0" destOrd="0" presId="urn:microsoft.com/office/officeart/2005/8/layout/orgChart1"/>
    <dgm:cxn modelId="{6EFEAE4D-E8DC-4CE8-A7D2-DF3BB67CAAEB}" type="presParOf" srcId="{19E202D6-D24A-48D1-848B-3FAF1A248AA8}" destId="{DC2EEB74-901D-4F83-8280-FE5103875F87}" srcOrd="0" destOrd="0" presId="urn:microsoft.com/office/officeart/2005/8/layout/orgChart1"/>
    <dgm:cxn modelId="{9EC652FB-4188-4B9E-A104-1649EB8EC47F}" type="presParOf" srcId="{19E202D6-D24A-48D1-848B-3FAF1A248AA8}" destId="{E88A1F7A-526A-4A00-89AC-0A86B07C31E0}" srcOrd="1" destOrd="0" presId="urn:microsoft.com/office/officeart/2005/8/layout/orgChart1"/>
    <dgm:cxn modelId="{D8786221-3E08-42F1-A315-8F236BF5C9A8}" type="presParOf" srcId="{64525E6B-66B4-4D7F-A1D6-ABDB7F1367D2}" destId="{7BD43445-7273-4281-97AE-021E1C92057D}" srcOrd="1" destOrd="0" presId="urn:microsoft.com/office/officeart/2005/8/layout/orgChart1"/>
    <dgm:cxn modelId="{BB9F7881-F4FB-46E7-BFCE-0ABBB3EEAB48}" type="presParOf" srcId="{7BD43445-7273-4281-97AE-021E1C92057D}" destId="{B57F9945-79BF-4C79-8D05-A94D6739A82D}" srcOrd="0" destOrd="0" presId="urn:microsoft.com/office/officeart/2005/8/layout/orgChart1"/>
    <dgm:cxn modelId="{A8CCE8A0-230F-4C80-B9D5-814350B36D61}" type="presParOf" srcId="{7BD43445-7273-4281-97AE-021E1C92057D}" destId="{83897B84-7EBF-4C43-97DC-2E3EDFE38031}" srcOrd="1" destOrd="0" presId="urn:microsoft.com/office/officeart/2005/8/layout/orgChart1"/>
    <dgm:cxn modelId="{7F7F0031-E6B3-4A27-8731-A0BC9211A48A}" type="presParOf" srcId="{83897B84-7EBF-4C43-97DC-2E3EDFE38031}" destId="{79603F80-C898-45AF-869C-351032679FBA}" srcOrd="0" destOrd="0" presId="urn:microsoft.com/office/officeart/2005/8/layout/orgChart1"/>
    <dgm:cxn modelId="{CB4D94D1-67BC-45C0-9BC2-07408F367BEF}" type="presParOf" srcId="{79603F80-C898-45AF-869C-351032679FBA}" destId="{4E86587A-4F3E-4174-96D5-9B7063E9B524}" srcOrd="0" destOrd="0" presId="urn:microsoft.com/office/officeart/2005/8/layout/orgChart1"/>
    <dgm:cxn modelId="{3DBD3037-2038-4992-9C71-7706FD75C240}" type="presParOf" srcId="{79603F80-C898-45AF-869C-351032679FBA}" destId="{F3E20D27-5394-48FF-BF7D-67F183125755}" srcOrd="1" destOrd="0" presId="urn:microsoft.com/office/officeart/2005/8/layout/orgChart1"/>
    <dgm:cxn modelId="{658C04D6-4F10-42E0-BD01-098681B441C4}" type="presParOf" srcId="{83897B84-7EBF-4C43-97DC-2E3EDFE38031}" destId="{D3302D92-0EF9-48F2-AB98-A2954A457430}" srcOrd="1" destOrd="0" presId="urn:microsoft.com/office/officeart/2005/8/layout/orgChart1"/>
    <dgm:cxn modelId="{7136CB0A-4DF0-45C1-8C44-D7E9ED70F11B}" type="presParOf" srcId="{83897B84-7EBF-4C43-97DC-2E3EDFE38031}" destId="{797D3F67-F303-4A91-B2F2-33E45FF76A57}" srcOrd="2" destOrd="0" presId="urn:microsoft.com/office/officeart/2005/8/layout/orgChart1"/>
    <dgm:cxn modelId="{8666919F-B29A-4DF7-B69F-D2600A868589}" type="presParOf" srcId="{7BD43445-7273-4281-97AE-021E1C92057D}" destId="{CB958548-30C2-4D21-9E69-3AC745B4895F}" srcOrd="2" destOrd="0" presId="urn:microsoft.com/office/officeart/2005/8/layout/orgChart1"/>
    <dgm:cxn modelId="{0990802A-D468-47C4-880E-57E1B200618A}" type="presParOf" srcId="{7BD43445-7273-4281-97AE-021E1C92057D}" destId="{6B4100F7-EF3E-4B77-BCAA-B35192BDDBE0}" srcOrd="3" destOrd="0" presId="urn:microsoft.com/office/officeart/2005/8/layout/orgChart1"/>
    <dgm:cxn modelId="{E1714EC2-B81F-44E9-85DA-04B3F748966C}" type="presParOf" srcId="{6B4100F7-EF3E-4B77-BCAA-B35192BDDBE0}" destId="{43F4B782-43B8-4AC7-B84F-BD54265882EB}" srcOrd="0" destOrd="0" presId="urn:microsoft.com/office/officeart/2005/8/layout/orgChart1"/>
    <dgm:cxn modelId="{69921295-4A13-44FD-A784-BE011D6DA2A3}" type="presParOf" srcId="{43F4B782-43B8-4AC7-B84F-BD54265882EB}" destId="{E1D8AB86-F7E9-4D2A-A9B5-3D529CBFA2FF}" srcOrd="0" destOrd="0" presId="urn:microsoft.com/office/officeart/2005/8/layout/orgChart1"/>
    <dgm:cxn modelId="{D0DFCAA8-061D-4924-A004-9EBEBD01162A}" type="presParOf" srcId="{43F4B782-43B8-4AC7-B84F-BD54265882EB}" destId="{BDB534A6-F1B0-4C7E-8DB3-3F6E227912EE}" srcOrd="1" destOrd="0" presId="urn:microsoft.com/office/officeart/2005/8/layout/orgChart1"/>
    <dgm:cxn modelId="{C0143332-3179-4EC6-89D5-C596DF798429}" type="presParOf" srcId="{6B4100F7-EF3E-4B77-BCAA-B35192BDDBE0}" destId="{C5E6F74E-2D57-47AB-95D1-9BC5516CEDA1}" srcOrd="1" destOrd="0" presId="urn:microsoft.com/office/officeart/2005/8/layout/orgChart1"/>
    <dgm:cxn modelId="{6EF0434A-420E-4C10-8D20-303404A4BDE2}" type="presParOf" srcId="{C5E6F74E-2D57-47AB-95D1-9BC5516CEDA1}" destId="{63EC4DFD-758C-4649-9AE6-7AF9DAEA255D}" srcOrd="0" destOrd="0" presId="urn:microsoft.com/office/officeart/2005/8/layout/orgChart1"/>
    <dgm:cxn modelId="{4EE1EC45-CA40-4A89-836E-0100D2D662BD}" type="presParOf" srcId="{C5E6F74E-2D57-47AB-95D1-9BC5516CEDA1}" destId="{83794FA2-6A02-4139-82CD-55A478154387}" srcOrd="1" destOrd="0" presId="urn:microsoft.com/office/officeart/2005/8/layout/orgChart1"/>
    <dgm:cxn modelId="{AD209DC5-6A45-4903-99C6-71DFF9E2F37C}" type="presParOf" srcId="{83794FA2-6A02-4139-82CD-55A478154387}" destId="{9C0DDFAD-4FF7-46D6-9928-38E1CD6A0A3A}" srcOrd="0" destOrd="0" presId="urn:microsoft.com/office/officeart/2005/8/layout/orgChart1"/>
    <dgm:cxn modelId="{C6EBEF2F-2215-4063-B785-98E9F67316F5}" type="presParOf" srcId="{9C0DDFAD-4FF7-46D6-9928-38E1CD6A0A3A}" destId="{95F8D003-C7FC-49FB-9662-EE9C36311FFA}" srcOrd="0" destOrd="0" presId="urn:microsoft.com/office/officeart/2005/8/layout/orgChart1"/>
    <dgm:cxn modelId="{861A522F-EDB5-45EB-9869-66A7907B548A}" type="presParOf" srcId="{9C0DDFAD-4FF7-46D6-9928-38E1CD6A0A3A}" destId="{2C52ED5C-5BE5-4F0E-A86C-88FABDCDF212}" srcOrd="1" destOrd="0" presId="urn:microsoft.com/office/officeart/2005/8/layout/orgChart1"/>
    <dgm:cxn modelId="{3804E1CF-4C78-4A55-BDB2-82B7521DDFE4}" type="presParOf" srcId="{83794FA2-6A02-4139-82CD-55A478154387}" destId="{E51873DD-3363-4220-AE57-731346409342}" srcOrd="1" destOrd="0" presId="urn:microsoft.com/office/officeart/2005/8/layout/orgChart1"/>
    <dgm:cxn modelId="{45757602-1130-4C34-A8FC-7B88A339248A}" type="presParOf" srcId="{E51873DD-3363-4220-AE57-731346409342}" destId="{618501FA-CFF4-40CB-B549-014648015685}" srcOrd="0" destOrd="0" presId="urn:microsoft.com/office/officeart/2005/8/layout/orgChart1"/>
    <dgm:cxn modelId="{3247AFE2-C3B3-4BE1-A965-1FC9447092CC}" type="presParOf" srcId="{E51873DD-3363-4220-AE57-731346409342}" destId="{E326E8B3-1F1D-4B0B-AE6A-8700F33DDE2F}" srcOrd="1" destOrd="0" presId="urn:microsoft.com/office/officeart/2005/8/layout/orgChart1"/>
    <dgm:cxn modelId="{C12DEE7A-603B-47A8-883F-DCE9B9C12F41}" type="presParOf" srcId="{E326E8B3-1F1D-4B0B-AE6A-8700F33DDE2F}" destId="{DF8F4A07-EA97-4B03-9967-D1806317DBF3}" srcOrd="0" destOrd="0" presId="urn:microsoft.com/office/officeart/2005/8/layout/orgChart1"/>
    <dgm:cxn modelId="{D718F44E-14E6-45C8-8B15-70DD6286E256}" type="presParOf" srcId="{DF8F4A07-EA97-4B03-9967-D1806317DBF3}" destId="{4818EC2C-6782-4F3B-8458-5C4631966BC6}" srcOrd="0" destOrd="0" presId="urn:microsoft.com/office/officeart/2005/8/layout/orgChart1"/>
    <dgm:cxn modelId="{7D5B8C80-5210-4E42-B303-2B683B516F1C}" type="presParOf" srcId="{DF8F4A07-EA97-4B03-9967-D1806317DBF3}" destId="{9000DC3A-5640-4D47-93D0-A20C3B2EA2CA}" srcOrd="1" destOrd="0" presId="urn:microsoft.com/office/officeart/2005/8/layout/orgChart1"/>
    <dgm:cxn modelId="{3C33E551-2C4C-4602-8398-E3EB7C293758}" type="presParOf" srcId="{E326E8B3-1F1D-4B0B-AE6A-8700F33DDE2F}" destId="{661E5F31-FA49-4307-9AC1-03572C6090C7}" srcOrd="1" destOrd="0" presId="urn:microsoft.com/office/officeart/2005/8/layout/orgChart1"/>
    <dgm:cxn modelId="{2A68010D-F51D-46B7-B686-431B9E8190A9}" type="presParOf" srcId="{E326E8B3-1F1D-4B0B-AE6A-8700F33DDE2F}" destId="{CFDC1825-FF53-4D87-B4AF-5A5A069B830A}" srcOrd="2" destOrd="0" presId="urn:microsoft.com/office/officeart/2005/8/layout/orgChart1"/>
    <dgm:cxn modelId="{F072140C-02C2-44AA-BA53-D9A5A64CF68C}" type="presParOf" srcId="{83794FA2-6A02-4139-82CD-55A478154387}" destId="{AFACECB3-6C3D-48A6-904D-7EEDD8B4C749}" srcOrd="2" destOrd="0" presId="urn:microsoft.com/office/officeart/2005/8/layout/orgChart1"/>
    <dgm:cxn modelId="{B36D8379-566E-4666-BD75-266A98603E21}" type="presParOf" srcId="{6B4100F7-EF3E-4B77-BCAA-B35192BDDBE0}" destId="{A04F65DD-6685-454B-BB43-D7921052D4CE}" srcOrd="2" destOrd="0" presId="urn:microsoft.com/office/officeart/2005/8/layout/orgChart1"/>
    <dgm:cxn modelId="{69B23563-C1C8-4EFC-BD4D-BD7463733017}" type="presParOf" srcId="{64525E6B-66B4-4D7F-A1D6-ABDB7F1367D2}" destId="{71E8C8D7-DEE5-4865-844F-81ACBD51B88B}" srcOrd="2" destOrd="0" presId="urn:microsoft.com/office/officeart/2005/8/layout/orgChart1"/>
    <dgm:cxn modelId="{AA6F6D65-33B1-4C49-92E5-2E6D91C4E2BE}" type="presParOf" srcId="{85ED62BB-276C-457F-9426-597AC6B6718F}" destId="{2A00DDEE-2AA0-4CA9-A4D8-1FFDFD1D74B6}"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0377163-1700-4546-AB81-5D5AD8B98D93}" type="doc">
      <dgm:prSet loTypeId="urn:microsoft.com/office/officeart/2005/8/layout/list1" loCatId="list" qsTypeId="urn:microsoft.com/office/officeart/2005/8/quickstyle/simple1" qsCatId="simple" csTypeId="urn:microsoft.com/office/officeart/2005/8/colors/colorful1" csCatId="colorful" phldr="1"/>
      <dgm:spPr/>
      <dgm:t>
        <a:bodyPr/>
        <a:lstStyle/>
        <a:p>
          <a:endParaRPr lang="en-ZW"/>
        </a:p>
      </dgm:t>
    </dgm:pt>
    <dgm:pt modelId="{5DF0B0AA-A707-4318-8147-3E06EC95EE0A}">
      <dgm:prSet phldrT="[Text]" custT="1"/>
      <dgm:spPr/>
      <dgm:t>
        <a:bodyPr/>
        <a:lstStyle/>
        <a:p>
          <a:pPr>
            <a:buNone/>
          </a:pPr>
          <a:r>
            <a:rPr lang="en-ZW" sz="1200"/>
            <a:t>A registered business address and private meeting space</a:t>
          </a:r>
        </a:p>
      </dgm:t>
    </dgm:pt>
    <dgm:pt modelId="{FEAA08A4-2BE2-47EE-9FD9-1FB4AF254BE8}" type="parTrans" cxnId="{04B22567-0EF6-4004-B446-D9474715A40A}">
      <dgm:prSet/>
      <dgm:spPr/>
      <dgm:t>
        <a:bodyPr/>
        <a:lstStyle/>
        <a:p>
          <a:endParaRPr lang="en-ZW"/>
        </a:p>
      </dgm:t>
    </dgm:pt>
    <dgm:pt modelId="{3681E8EF-CB6D-454B-A185-93F47431BC4F}" type="sibTrans" cxnId="{04B22567-0EF6-4004-B446-D9474715A40A}">
      <dgm:prSet/>
      <dgm:spPr/>
      <dgm:t>
        <a:bodyPr/>
        <a:lstStyle/>
        <a:p>
          <a:endParaRPr lang="en-ZW"/>
        </a:p>
      </dgm:t>
    </dgm:pt>
    <dgm:pt modelId="{BD8643FA-043C-4F6B-8FCE-9663C3FBE33E}">
      <dgm:prSet phldrT="[Text]" custT="1"/>
      <dgm:spPr/>
      <dgm:t>
        <a:bodyPr/>
        <a:lstStyle/>
        <a:p>
          <a:pPr>
            <a:buNone/>
          </a:pPr>
          <a:r>
            <a:rPr lang="en-ZW" sz="1200"/>
            <a:t>Encrypted email and secure communication channels</a:t>
          </a:r>
        </a:p>
      </dgm:t>
    </dgm:pt>
    <dgm:pt modelId="{56CF5CCA-2490-472E-B4C3-D9BFD2D07787}" type="parTrans" cxnId="{B611C68C-9041-4772-90DF-851056DA1352}">
      <dgm:prSet/>
      <dgm:spPr/>
      <dgm:t>
        <a:bodyPr/>
        <a:lstStyle/>
        <a:p>
          <a:endParaRPr lang="en-ZW"/>
        </a:p>
      </dgm:t>
    </dgm:pt>
    <dgm:pt modelId="{B457AC93-99D1-4B8B-9999-C96B479F6994}" type="sibTrans" cxnId="{B611C68C-9041-4772-90DF-851056DA1352}">
      <dgm:prSet/>
      <dgm:spPr/>
      <dgm:t>
        <a:bodyPr/>
        <a:lstStyle/>
        <a:p>
          <a:endParaRPr lang="en-ZW"/>
        </a:p>
      </dgm:t>
    </dgm:pt>
    <dgm:pt modelId="{9C4AAF2D-69DF-4309-990E-AE6E866EB3CC}">
      <dgm:prSet phldrT="[Text]" custT="1"/>
      <dgm:spPr/>
      <dgm:t>
        <a:bodyPr/>
        <a:lstStyle/>
        <a:p>
          <a:pPr>
            <a:buNone/>
          </a:pPr>
          <a:r>
            <a:rPr lang="en-ZW" sz="1200"/>
            <a:t>Cloud-based systems for CRM, secure storage, and compliance</a:t>
          </a:r>
        </a:p>
      </dgm:t>
    </dgm:pt>
    <dgm:pt modelId="{6D53E590-9C7F-461F-96F5-FB2F439D533C}" type="parTrans" cxnId="{F472DE4B-8B65-45C6-A547-C5D915C277CF}">
      <dgm:prSet/>
      <dgm:spPr/>
      <dgm:t>
        <a:bodyPr/>
        <a:lstStyle/>
        <a:p>
          <a:endParaRPr lang="en-ZW"/>
        </a:p>
      </dgm:t>
    </dgm:pt>
    <dgm:pt modelId="{4F45B647-743D-4F49-BDF6-78BC5F580D82}" type="sibTrans" cxnId="{F472DE4B-8B65-45C6-A547-C5D915C277CF}">
      <dgm:prSet/>
      <dgm:spPr/>
      <dgm:t>
        <a:bodyPr/>
        <a:lstStyle/>
        <a:p>
          <a:endParaRPr lang="en-ZW"/>
        </a:p>
      </dgm:t>
    </dgm:pt>
    <dgm:pt modelId="{529E2711-984F-48A8-977C-F8B94ECD2129}">
      <dgm:prSet phldrT="[Text]" custT="1"/>
      <dgm:spPr/>
      <dgm:t>
        <a:bodyPr/>
        <a:lstStyle/>
        <a:p>
          <a:r>
            <a:rPr lang="en-ZW" sz="1200"/>
            <a:t>This mixed operational environment creates a cost-effective and resilient foundation for business growth.</a:t>
          </a:r>
        </a:p>
      </dgm:t>
    </dgm:pt>
    <dgm:pt modelId="{4CDE7B53-4460-4A61-B90C-EB848730B78A}" type="parTrans" cxnId="{7B7024DC-9B34-4329-BE0A-BCE3EDF045CA}">
      <dgm:prSet/>
      <dgm:spPr/>
      <dgm:t>
        <a:bodyPr/>
        <a:lstStyle/>
        <a:p>
          <a:endParaRPr lang="en-ZW"/>
        </a:p>
      </dgm:t>
    </dgm:pt>
    <dgm:pt modelId="{06B03BBB-3ACF-471A-B06C-2F968FB8A5CF}" type="sibTrans" cxnId="{7B7024DC-9B34-4329-BE0A-BCE3EDF045CA}">
      <dgm:prSet/>
      <dgm:spPr/>
      <dgm:t>
        <a:bodyPr/>
        <a:lstStyle/>
        <a:p>
          <a:endParaRPr lang="en-ZW"/>
        </a:p>
      </dgm:t>
    </dgm:pt>
    <dgm:pt modelId="{5697C9C0-C71C-43FA-9160-36C563B70E3C}">
      <dgm:prSet phldrT="[Text]" custT="1"/>
      <dgm:spPr/>
      <dgm:t>
        <a:bodyPr/>
        <a:lstStyle/>
        <a:p>
          <a:pPr>
            <a:buNone/>
          </a:pPr>
          <a:r>
            <a:rPr lang="en-ZW" sz="1200"/>
            <a:t>Digital tools for affordability assessments, sourcing, ID verification, and application submission</a:t>
          </a:r>
        </a:p>
      </dgm:t>
    </dgm:pt>
    <dgm:pt modelId="{31941BF6-96F7-4899-97D8-0FF33F1B62C1}" type="sibTrans" cxnId="{3CA88024-A2F8-4291-8F6F-726D519CAAA9}">
      <dgm:prSet/>
      <dgm:spPr/>
      <dgm:t>
        <a:bodyPr/>
        <a:lstStyle/>
        <a:p>
          <a:endParaRPr lang="en-ZW"/>
        </a:p>
      </dgm:t>
    </dgm:pt>
    <dgm:pt modelId="{B032BAF5-436B-465C-99F4-3FB70049849C}" type="parTrans" cxnId="{3CA88024-A2F8-4291-8F6F-726D519CAAA9}">
      <dgm:prSet/>
      <dgm:spPr/>
      <dgm:t>
        <a:bodyPr/>
        <a:lstStyle/>
        <a:p>
          <a:endParaRPr lang="en-ZW"/>
        </a:p>
      </dgm:t>
    </dgm:pt>
    <dgm:pt modelId="{4E999FA4-F4ED-4053-BB1F-4B3ED91B9C5B}" type="pres">
      <dgm:prSet presAssocID="{A0377163-1700-4546-AB81-5D5AD8B98D93}" presName="linear" presStyleCnt="0">
        <dgm:presLayoutVars>
          <dgm:dir/>
          <dgm:animLvl val="lvl"/>
          <dgm:resizeHandles val="exact"/>
        </dgm:presLayoutVars>
      </dgm:prSet>
      <dgm:spPr/>
    </dgm:pt>
    <dgm:pt modelId="{4101C318-ED44-4D80-8741-D0AE03F1368F}" type="pres">
      <dgm:prSet presAssocID="{5DF0B0AA-A707-4318-8147-3E06EC95EE0A}" presName="parentLin" presStyleCnt="0"/>
      <dgm:spPr/>
    </dgm:pt>
    <dgm:pt modelId="{D99502C2-CA41-4B4E-8A86-52F0274CBA66}" type="pres">
      <dgm:prSet presAssocID="{5DF0B0AA-A707-4318-8147-3E06EC95EE0A}" presName="parentLeftMargin" presStyleLbl="node1" presStyleIdx="0" presStyleCnt="5"/>
      <dgm:spPr/>
    </dgm:pt>
    <dgm:pt modelId="{9DB4C9B8-33B5-4388-80A4-0CAE088B0CB4}" type="pres">
      <dgm:prSet presAssocID="{5DF0B0AA-A707-4318-8147-3E06EC95EE0A}" presName="parentText" presStyleLbl="node1" presStyleIdx="0" presStyleCnt="5" custScaleX="102189" custScaleY="152514">
        <dgm:presLayoutVars>
          <dgm:chMax val="0"/>
          <dgm:bulletEnabled val="1"/>
        </dgm:presLayoutVars>
      </dgm:prSet>
      <dgm:spPr/>
    </dgm:pt>
    <dgm:pt modelId="{386B6D1E-DAD4-49CD-B48F-BC8F44C4A3E0}" type="pres">
      <dgm:prSet presAssocID="{5DF0B0AA-A707-4318-8147-3E06EC95EE0A}" presName="negativeSpace" presStyleCnt="0"/>
      <dgm:spPr/>
    </dgm:pt>
    <dgm:pt modelId="{B8FCCA31-B492-4431-AEC0-EB7AA9E6E263}" type="pres">
      <dgm:prSet presAssocID="{5DF0B0AA-A707-4318-8147-3E06EC95EE0A}" presName="childText" presStyleLbl="conFgAcc1" presStyleIdx="0" presStyleCnt="5">
        <dgm:presLayoutVars>
          <dgm:bulletEnabled val="1"/>
        </dgm:presLayoutVars>
      </dgm:prSet>
      <dgm:spPr/>
    </dgm:pt>
    <dgm:pt modelId="{4BADDCEA-54E2-4EC8-9DC9-CA930DEE26B9}" type="pres">
      <dgm:prSet presAssocID="{3681E8EF-CB6D-454B-A185-93F47431BC4F}" presName="spaceBetweenRectangles" presStyleCnt="0"/>
      <dgm:spPr/>
    </dgm:pt>
    <dgm:pt modelId="{E1FEABD3-7638-43E2-BAC8-D184C75826B5}" type="pres">
      <dgm:prSet presAssocID="{BD8643FA-043C-4F6B-8FCE-9663C3FBE33E}" presName="parentLin" presStyleCnt="0"/>
      <dgm:spPr/>
    </dgm:pt>
    <dgm:pt modelId="{81BBECF9-4156-44B8-ABA6-674CE7FCADCE}" type="pres">
      <dgm:prSet presAssocID="{BD8643FA-043C-4F6B-8FCE-9663C3FBE33E}" presName="parentLeftMargin" presStyleLbl="node1" presStyleIdx="0" presStyleCnt="5"/>
      <dgm:spPr/>
    </dgm:pt>
    <dgm:pt modelId="{1E28FCB7-E062-4362-BC69-99973C1F4F00}" type="pres">
      <dgm:prSet presAssocID="{BD8643FA-043C-4F6B-8FCE-9663C3FBE33E}" presName="parentText" presStyleLbl="node1" presStyleIdx="1" presStyleCnt="5" custScaleX="102189" custScaleY="140383" custLinFactNeighborX="91917" custLinFactNeighborY="0">
        <dgm:presLayoutVars>
          <dgm:chMax val="0"/>
          <dgm:bulletEnabled val="1"/>
        </dgm:presLayoutVars>
      </dgm:prSet>
      <dgm:spPr/>
    </dgm:pt>
    <dgm:pt modelId="{BEC106E6-2ADA-4779-ADCE-0F37A4D10B1A}" type="pres">
      <dgm:prSet presAssocID="{BD8643FA-043C-4F6B-8FCE-9663C3FBE33E}" presName="negativeSpace" presStyleCnt="0"/>
      <dgm:spPr/>
    </dgm:pt>
    <dgm:pt modelId="{AC58620E-8519-4C07-AFC3-AE90F24DF4C5}" type="pres">
      <dgm:prSet presAssocID="{BD8643FA-043C-4F6B-8FCE-9663C3FBE33E}" presName="childText" presStyleLbl="conFgAcc1" presStyleIdx="1" presStyleCnt="5">
        <dgm:presLayoutVars>
          <dgm:bulletEnabled val="1"/>
        </dgm:presLayoutVars>
      </dgm:prSet>
      <dgm:spPr/>
    </dgm:pt>
    <dgm:pt modelId="{BCC144B3-8424-4DFD-AA07-55C22154B8B2}" type="pres">
      <dgm:prSet presAssocID="{B457AC93-99D1-4B8B-9999-C96B479F6994}" presName="spaceBetweenRectangles" presStyleCnt="0"/>
      <dgm:spPr/>
    </dgm:pt>
    <dgm:pt modelId="{C017DE51-9E32-4384-A858-FA916F0A544F}" type="pres">
      <dgm:prSet presAssocID="{9C4AAF2D-69DF-4309-990E-AE6E866EB3CC}" presName="parentLin" presStyleCnt="0"/>
      <dgm:spPr/>
    </dgm:pt>
    <dgm:pt modelId="{0C7B7F7F-342C-4FFF-BC12-6B8F7175EF3D}" type="pres">
      <dgm:prSet presAssocID="{9C4AAF2D-69DF-4309-990E-AE6E866EB3CC}" presName="parentLeftMargin" presStyleLbl="node1" presStyleIdx="1" presStyleCnt="5"/>
      <dgm:spPr/>
    </dgm:pt>
    <dgm:pt modelId="{E081E614-43F4-4282-A928-83DC7C76A0F5}" type="pres">
      <dgm:prSet presAssocID="{9C4AAF2D-69DF-4309-990E-AE6E866EB3CC}" presName="parentText" presStyleLbl="node1" presStyleIdx="2" presStyleCnt="5" custScaleX="100199" custScaleY="135256" custLinFactX="5392" custLinFactNeighborX="100000">
        <dgm:presLayoutVars>
          <dgm:chMax val="0"/>
          <dgm:bulletEnabled val="1"/>
        </dgm:presLayoutVars>
      </dgm:prSet>
      <dgm:spPr/>
    </dgm:pt>
    <dgm:pt modelId="{27FD4B28-38CB-479C-BD96-3FB21BDBFE7F}" type="pres">
      <dgm:prSet presAssocID="{9C4AAF2D-69DF-4309-990E-AE6E866EB3CC}" presName="negativeSpace" presStyleCnt="0"/>
      <dgm:spPr/>
    </dgm:pt>
    <dgm:pt modelId="{F2BA8EAC-CE5A-49DA-A6A0-60A14FF903B5}" type="pres">
      <dgm:prSet presAssocID="{9C4AAF2D-69DF-4309-990E-AE6E866EB3CC}" presName="childText" presStyleLbl="conFgAcc1" presStyleIdx="2" presStyleCnt="5">
        <dgm:presLayoutVars>
          <dgm:bulletEnabled val="1"/>
        </dgm:presLayoutVars>
      </dgm:prSet>
      <dgm:spPr/>
    </dgm:pt>
    <dgm:pt modelId="{B0B70D96-542B-4EA7-B299-C5CF31244721}" type="pres">
      <dgm:prSet presAssocID="{4F45B647-743D-4F49-BDF6-78BC5F580D82}" presName="spaceBetweenRectangles" presStyleCnt="0"/>
      <dgm:spPr/>
    </dgm:pt>
    <dgm:pt modelId="{0AC2A37A-8B19-4118-B79C-EEA0EFC6C285}" type="pres">
      <dgm:prSet presAssocID="{5697C9C0-C71C-43FA-9160-36C563B70E3C}" presName="parentLin" presStyleCnt="0"/>
      <dgm:spPr/>
    </dgm:pt>
    <dgm:pt modelId="{D6057849-AF19-417A-B8EC-272495573150}" type="pres">
      <dgm:prSet presAssocID="{5697C9C0-C71C-43FA-9160-36C563B70E3C}" presName="parentLeftMargin" presStyleLbl="node1" presStyleIdx="2" presStyleCnt="5"/>
      <dgm:spPr/>
    </dgm:pt>
    <dgm:pt modelId="{08E25D93-D652-4BAD-9B37-DD37285D582E}" type="pres">
      <dgm:prSet presAssocID="{5697C9C0-C71C-43FA-9160-36C563B70E3C}" presName="parentText" presStyleLbl="node1" presStyleIdx="3" presStyleCnt="5" custScaleX="100771" custScaleY="165389" custLinFactX="8989" custLinFactNeighborX="100000" custLinFactNeighborY="11473">
        <dgm:presLayoutVars>
          <dgm:chMax val="0"/>
          <dgm:bulletEnabled val="1"/>
        </dgm:presLayoutVars>
      </dgm:prSet>
      <dgm:spPr/>
    </dgm:pt>
    <dgm:pt modelId="{67CC8A55-535D-4482-B8FB-BF9CD6C57BB3}" type="pres">
      <dgm:prSet presAssocID="{5697C9C0-C71C-43FA-9160-36C563B70E3C}" presName="negativeSpace" presStyleCnt="0"/>
      <dgm:spPr/>
    </dgm:pt>
    <dgm:pt modelId="{550A666E-D995-4C75-9054-4B2B236B71A2}" type="pres">
      <dgm:prSet presAssocID="{5697C9C0-C71C-43FA-9160-36C563B70E3C}" presName="childText" presStyleLbl="conFgAcc1" presStyleIdx="3" presStyleCnt="5">
        <dgm:presLayoutVars>
          <dgm:bulletEnabled val="1"/>
        </dgm:presLayoutVars>
      </dgm:prSet>
      <dgm:spPr/>
    </dgm:pt>
    <dgm:pt modelId="{47E638F7-D184-4636-AD30-0D82F69B8FE7}" type="pres">
      <dgm:prSet presAssocID="{31941BF6-96F7-4899-97D8-0FF33F1B62C1}" presName="spaceBetweenRectangles" presStyleCnt="0"/>
      <dgm:spPr/>
    </dgm:pt>
    <dgm:pt modelId="{C3DF96B4-5D71-4CB5-887C-3EB34F6B753F}" type="pres">
      <dgm:prSet presAssocID="{529E2711-984F-48A8-977C-F8B94ECD2129}" presName="parentLin" presStyleCnt="0"/>
      <dgm:spPr/>
    </dgm:pt>
    <dgm:pt modelId="{E1ED6380-4E39-4C1F-9783-C80B5A246F57}" type="pres">
      <dgm:prSet presAssocID="{529E2711-984F-48A8-977C-F8B94ECD2129}" presName="parentLeftMargin" presStyleLbl="node1" presStyleIdx="3" presStyleCnt="5"/>
      <dgm:spPr/>
    </dgm:pt>
    <dgm:pt modelId="{88A92B0A-6ADA-4F80-9ED1-1D304E6F912E}" type="pres">
      <dgm:prSet presAssocID="{529E2711-984F-48A8-977C-F8B94ECD2129}" presName="parentText" presStyleLbl="node1" presStyleIdx="4" presStyleCnt="5" custScaleX="102785" custScaleY="143496" custLinFactX="16335" custLinFactNeighborX="100000" custLinFactNeighborY="16492">
        <dgm:presLayoutVars>
          <dgm:chMax val="0"/>
          <dgm:bulletEnabled val="1"/>
        </dgm:presLayoutVars>
      </dgm:prSet>
      <dgm:spPr/>
    </dgm:pt>
    <dgm:pt modelId="{B83C4EF6-7C47-4A02-BAA4-212138E30E48}" type="pres">
      <dgm:prSet presAssocID="{529E2711-984F-48A8-977C-F8B94ECD2129}" presName="negativeSpace" presStyleCnt="0"/>
      <dgm:spPr/>
    </dgm:pt>
    <dgm:pt modelId="{A5DAA7F3-6600-44B6-ACED-44CD6346E065}" type="pres">
      <dgm:prSet presAssocID="{529E2711-984F-48A8-977C-F8B94ECD2129}" presName="childText" presStyleLbl="conFgAcc1" presStyleIdx="4" presStyleCnt="5">
        <dgm:presLayoutVars>
          <dgm:bulletEnabled val="1"/>
        </dgm:presLayoutVars>
      </dgm:prSet>
      <dgm:spPr/>
    </dgm:pt>
  </dgm:ptLst>
  <dgm:cxnLst>
    <dgm:cxn modelId="{C591F401-2E69-408E-A110-B8A1EB7E3CB0}" type="presOf" srcId="{9C4AAF2D-69DF-4309-990E-AE6E866EB3CC}" destId="{E081E614-43F4-4282-A928-83DC7C76A0F5}" srcOrd="1" destOrd="0" presId="urn:microsoft.com/office/officeart/2005/8/layout/list1"/>
    <dgm:cxn modelId="{3CA88024-A2F8-4291-8F6F-726D519CAAA9}" srcId="{A0377163-1700-4546-AB81-5D5AD8B98D93}" destId="{5697C9C0-C71C-43FA-9160-36C563B70E3C}" srcOrd="3" destOrd="0" parTransId="{B032BAF5-436B-465C-99F4-3FB70049849C}" sibTransId="{31941BF6-96F7-4899-97D8-0FF33F1B62C1}"/>
    <dgm:cxn modelId="{2AD90B42-A73F-420C-B036-4FCE2AA47D93}" type="presOf" srcId="{529E2711-984F-48A8-977C-F8B94ECD2129}" destId="{88A92B0A-6ADA-4F80-9ED1-1D304E6F912E}" srcOrd="1" destOrd="0" presId="urn:microsoft.com/office/officeart/2005/8/layout/list1"/>
    <dgm:cxn modelId="{04B22567-0EF6-4004-B446-D9474715A40A}" srcId="{A0377163-1700-4546-AB81-5D5AD8B98D93}" destId="{5DF0B0AA-A707-4318-8147-3E06EC95EE0A}" srcOrd="0" destOrd="0" parTransId="{FEAA08A4-2BE2-47EE-9FD9-1FB4AF254BE8}" sibTransId="{3681E8EF-CB6D-454B-A185-93F47431BC4F}"/>
    <dgm:cxn modelId="{F472DE4B-8B65-45C6-A547-C5D915C277CF}" srcId="{A0377163-1700-4546-AB81-5D5AD8B98D93}" destId="{9C4AAF2D-69DF-4309-990E-AE6E866EB3CC}" srcOrd="2" destOrd="0" parTransId="{6D53E590-9C7F-461F-96F5-FB2F439D533C}" sibTransId="{4F45B647-743D-4F49-BDF6-78BC5F580D82}"/>
    <dgm:cxn modelId="{60A9DB4C-4672-4FAE-9D58-24E3B37E18F1}" type="presOf" srcId="{5697C9C0-C71C-43FA-9160-36C563B70E3C}" destId="{08E25D93-D652-4BAD-9B37-DD37285D582E}" srcOrd="1" destOrd="0" presId="urn:microsoft.com/office/officeart/2005/8/layout/list1"/>
    <dgm:cxn modelId="{0ABE414D-27DF-4F92-BD83-03A3B4A9171B}" type="presOf" srcId="{9C4AAF2D-69DF-4309-990E-AE6E866EB3CC}" destId="{0C7B7F7F-342C-4FFF-BC12-6B8F7175EF3D}" srcOrd="0" destOrd="0" presId="urn:microsoft.com/office/officeart/2005/8/layout/list1"/>
    <dgm:cxn modelId="{31CCE54E-7127-4186-B086-A0A387A40778}" type="presOf" srcId="{5DF0B0AA-A707-4318-8147-3E06EC95EE0A}" destId="{9DB4C9B8-33B5-4388-80A4-0CAE088B0CB4}" srcOrd="1" destOrd="0" presId="urn:microsoft.com/office/officeart/2005/8/layout/list1"/>
    <dgm:cxn modelId="{293BE783-DD8B-4C85-AF9C-926E9843C6E6}" type="presOf" srcId="{A0377163-1700-4546-AB81-5D5AD8B98D93}" destId="{4E999FA4-F4ED-4053-BB1F-4B3ED91B9C5B}" srcOrd="0" destOrd="0" presId="urn:microsoft.com/office/officeart/2005/8/layout/list1"/>
    <dgm:cxn modelId="{B611C68C-9041-4772-90DF-851056DA1352}" srcId="{A0377163-1700-4546-AB81-5D5AD8B98D93}" destId="{BD8643FA-043C-4F6B-8FCE-9663C3FBE33E}" srcOrd="1" destOrd="0" parTransId="{56CF5CCA-2490-472E-B4C3-D9BFD2D07787}" sibTransId="{B457AC93-99D1-4B8B-9999-C96B479F6994}"/>
    <dgm:cxn modelId="{C36E7493-5156-44FB-A980-F6EE8044255D}" type="presOf" srcId="{BD8643FA-043C-4F6B-8FCE-9663C3FBE33E}" destId="{1E28FCB7-E062-4362-BC69-99973C1F4F00}" srcOrd="1" destOrd="0" presId="urn:microsoft.com/office/officeart/2005/8/layout/list1"/>
    <dgm:cxn modelId="{B088F9A0-F653-43F1-BEC9-53013E81FDDC}" type="presOf" srcId="{529E2711-984F-48A8-977C-F8B94ECD2129}" destId="{E1ED6380-4E39-4C1F-9783-C80B5A246F57}" srcOrd="0" destOrd="0" presId="urn:microsoft.com/office/officeart/2005/8/layout/list1"/>
    <dgm:cxn modelId="{4083FBBA-190E-497B-891E-6E8D49CE1E68}" type="presOf" srcId="{5DF0B0AA-A707-4318-8147-3E06EC95EE0A}" destId="{D99502C2-CA41-4B4E-8A86-52F0274CBA66}" srcOrd="0" destOrd="0" presId="urn:microsoft.com/office/officeart/2005/8/layout/list1"/>
    <dgm:cxn modelId="{7B7024DC-9B34-4329-BE0A-BCE3EDF045CA}" srcId="{A0377163-1700-4546-AB81-5D5AD8B98D93}" destId="{529E2711-984F-48A8-977C-F8B94ECD2129}" srcOrd="4" destOrd="0" parTransId="{4CDE7B53-4460-4A61-B90C-EB848730B78A}" sibTransId="{06B03BBB-3ACF-471A-B06C-2F968FB8A5CF}"/>
    <dgm:cxn modelId="{28B47CF2-A057-42D2-AFFD-363E9910D83B}" type="presOf" srcId="{BD8643FA-043C-4F6B-8FCE-9663C3FBE33E}" destId="{81BBECF9-4156-44B8-ABA6-674CE7FCADCE}" srcOrd="0" destOrd="0" presId="urn:microsoft.com/office/officeart/2005/8/layout/list1"/>
    <dgm:cxn modelId="{13029AFB-942C-4888-A509-5C880E7CC65E}" type="presOf" srcId="{5697C9C0-C71C-43FA-9160-36C563B70E3C}" destId="{D6057849-AF19-417A-B8EC-272495573150}" srcOrd="0" destOrd="0" presId="urn:microsoft.com/office/officeart/2005/8/layout/list1"/>
    <dgm:cxn modelId="{AFE3103A-F6D9-4D81-A5D7-2C917A7EB9ED}" type="presParOf" srcId="{4E999FA4-F4ED-4053-BB1F-4B3ED91B9C5B}" destId="{4101C318-ED44-4D80-8741-D0AE03F1368F}" srcOrd="0" destOrd="0" presId="urn:microsoft.com/office/officeart/2005/8/layout/list1"/>
    <dgm:cxn modelId="{D7766E07-DEB9-48EE-BDE1-AD8D061A1BAD}" type="presParOf" srcId="{4101C318-ED44-4D80-8741-D0AE03F1368F}" destId="{D99502C2-CA41-4B4E-8A86-52F0274CBA66}" srcOrd="0" destOrd="0" presId="urn:microsoft.com/office/officeart/2005/8/layout/list1"/>
    <dgm:cxn modelId="{AE42ED5D-B41A-4606-95D7-A5B3C2FD87D0}" type="presParOf" srcId="{4101C318-ED44-4D80-8741-D0AE03F1368F}" destId="{9DB4C9B8-33B5-4388-80A4-0CAE088B0CB4}" srcOrd="1" destOrd="0" presId="urn:microsoft.com/office/officeart/2005/8/layout/list1"/>
    <dgm:cxn modelId="{48FBAED0-97F1-46A8-81F5-C0293ED22F3A}" type="presParOf" srcId="{4E999FA4-F4ED-4053-BB1F-4B3ED91B9C5B}" destId="{386B6D1E-DAD4-49CD-B48F-BC8F44C4A3E0}" srcOrd="1" destOrd="0" presId="urn:microsoft.com/office/officeart/2005/8/layout/list1"/>
    <dgm:cxn modelId="{50E392E9-F40E-4CFA-8DCD-E379231C2525}" type="presParOf" srcId="{4E999FA4-F4ED-4053-BB1F-4B3ED91B9C5B}" destId="{B8FCCA31-B492-4431-AEC0-EB7AA9E6E263}" srcOrd="2" destOrd="0" presId="urn:microsoft.com/office/officeart/2005/8/layout/list1"/>
    <dgm:cxn modelId="{47570B72-38F2-4FF3-929D-C14487B2469F}" type="presParOf" srcId="{4E999FA4-F4ED-4053-BB1F-4B3ED91B9C5B}" destId="{4BADDCEA-54E2-4EC8-9DC9-CA930DEE26B9}" srcOrd="3" destOrd="0" presId="urn:microsoft.com/office/officeart/2005/8/layout/list1"/>
    <dgm:cxn modelId="{246FA180-1B2A-42DC-A1DE-E1A1953C7D61}" type="presParOf" srcId="{4E999FA4-F4ED-4053-BB1F-4B3ED91B9C5B}" destId="{E1FEABD3-7638-43E2-BAC8-D184C75826B5}" srcOrd="4" destOrd="0" presId="urn:microsoft.com/office/officeart/2005/8/layout/list1"/>
    <dgm:cxn modelId="{0354096B-E7C8-4D0A-AB33-A36A320C15CE}" type="presParOf" srcId="{E1FEABD3-7638-43E2-BAC8-D184C75826B5}" destId="{81BBECF9-4156-44B8-ABA6-674CE7FCADCE}" srcOrd="0" destOrd="0" presId="urn:microsoft.com/office/officeart/2005/8/layout/list1"/>
    <dgm:cxn modelId="{84868E79-C03A-4A2D-B68F-60D19F3221DC}" type="presParOf" srcId="{E1FEABD3-7638-43E2-BAC8-D184C75826B5}" destId="{1E28FCB7-E062-4362-BC69-99973C1F4F00}" srcOrd="1" destOrd="0" presId="urn:microsoft.com/office/officeart/2005/8/layout/list1"/>
    <dgm:cxn modelId="{92A9413E-AFB1-4E5A-A082-A4A93F3572ED}" type="presParOf" srcId="{4E999FA4-F4ED-4053-BB1F-4B3ED91B9C5B}" destId="{BEC106E6-2ADA-4779-ADCE-0F37A4D10B1A}" srcOrd="5" destOrd="0" presId="urn:microsoft.com/office/officeart/2005/8/layout/list1"/>
    <dgm:cxn modelId="{5C6DBAE9-0087-4851-9C03-06434EE864A7}" type="presParOf" srcId="{4E999FA4-F4ED-4053-BB1F-4B3ED91B9C5B}" destId="{AC58620E-8519-4C07-AFC3-AE90F24DF4C5}" srcOrd="6" destOrd="0" presId="urn:microsoft.com/office/officeart/2005/8/layout/list1"/>
    <dgm:cxn modelId="{9DC679BC-75F2-49DF-BCD7-4D84A613A22D}" type="presParOf" srcId="{4E999FA4-F4ED-4053-BB1F-4B3ED91B9C5B}" destId="{BCC144B3-8424-4DFD-AA07-55C22154B8B2}" srcOrd="7" destOrd="0" presId="urn:microsoft.com/office/officeart/2005/8/layout/list1"/>
    <dgm:cxn modelId="{D0F175FB-5162-4821-A5AA-A4C26CFB3E66}" type="presParOf" srcId="{4E999FA4-F4ED-4053-BB1F-4B3ED91B9C5B}" destId="{C017DE51-9E32-4384-A858-FA916F0A544F}" srcOrd="8" destOrd="0" presId="urn:microsoft.com/office/officeart/2005/8/layout/list1"/>
    <dgm:cxn modelId="{18A7456F-A06E-4B2C-B5BD-E9DD692AECD9}" type="presParOf" srcId="{C017DE51-9E32-4384-A858-FA916F0A544F}" destId="{0C7B7F7F-342C-4FFF-BC12-6B8F7175EF3D}" srcOrd="0" destOrd="0" presId="urn:microsoft.com/office/officeart/2005/8/layout/list1"/>
    <dgm:cxn modelId="{1558FD84-D4CE-4E8D-BA97-B400C3C6BD95}" type="presParOf" srcId="{C017DE51-9E32-4384-A858-FA916F0A544F}" destId="{E081E614-43F4-4282-A928-83DC7C76A0F5}" srcOrd="1" destOrd="0" presId="urn:microsoft.com/office/officeart/2005/8/layout/list1"/>
    <dgm:cxn modelId="{7CED3FE9-786C-40B8-BDFC-7296AF100E08}" type="presParOf" srcId="{4E999FA4-F4ED-4053-BB1F-4B3ED91B9C5B}" destId="{27FD4B28-38CB-479C-BD96-3FB21BDBFE7F}" srcOrd="9" destOrd="0" presId="urn:microsoft.com/office/officeart/2005/8/layout/list1"/>
    <dgm:cxn modelId="{61DB2E87-92BA-4F9B-92B6-83C9DA82C045}" type="presParOf" srcId="{4E999FA4-F4ED-4053-BB1F-4B3ED91B9C5B}" destId="{F2BA8EAC-CE5A-49DA-A6A0-60A14FF903B5}" srcOrd="10" destOrd="0" presId="urn:microsoft.com/office/officeart/2005/8/layout/list1"/>
    <dgm:cxn modelId="{5534E08D-F4E9-4288-AA04-A419FE8297CF}" type="presParOf" srcId="{4E999FA4-F4ED-4053-BB1F-4B3ED91B9C5B}" destId="{B0B70D96-542B-4EA7-B299-C5CF31244721}" srcOrd="11" destOrd="0" presId="urn:microsoft.com/office/officeart/2005/8/layout/list1"/>
    <dgm:cxn modelId="{444ADE90-E155-4B30-B0A2-FDDF9A3E010C}" type="presParOf" srcId="{4E999FA4-F4ED-4053-BB1F-4B3ED91B9C5B}" destId="{0AC2A37A-8B19-4118-B79C-EEA0EFC6C285}" srcOrd="12" destOrd="0" presId="urn:microsoft.com/office/officeart/2005/8/layout/list1"/>
    <dgm:cxn modelId="{A19892A8-3ECE-4653-9C71-14501CD7470B}" type="presParOf" srcId="{0AC2A37A-8B19-4118-B79C-EEA0EFC6C285}" destId="{D6057849-AF19-417A-B8EC-272495573150}" srcOrd="0" destOrd="0" presId="urn:microsoft.com/office/officeart/2005/8/layout/list1"/>
    <dgm:cxn modelId="{384590C0-6827-4640-92AD-43A79AEA3EA6}" type="presParOf" srcId="{0AC2A37A-8B19-4118-B79C-EEA0EFC6C285}" destId="{08E25D93-D652-4BAD-9B37-DD37285D582E}" srcOrd="1" destOrd="0" presId="urn:microsoft.com/office/officeart/2005/8/layout/list1"/>
    <dgm:cxn modelId="{1A03F7C5-2607-430D-9732-6526469FAB91}" type="presParOf" srcId="{4E999FA4-F4ED-4053-BB1F-4B3ED91B9C5B}" destId="{67CC8A55-535D-4482-B8FB-BF9CD6C57BB3}" srcOrd="13" destOrd="0" presId="urn:microsoft.com/office/officeart/2005/8/layout/list1"/>
    <dgm:cxn modelId="{BCC37603-ECB1-47D6-84EA-484F6EC9768F}" type="presParOf" srcId="{4E999FA4-F4ED-4053-BB1F-4B3ED91B9C5B}" destId="{550A666E-D995-4C75-9054-4B2B236B71A2}" srcOrd="14" destOrd="0" presId="urn:microsoft.com/office/officeart/2005/8/layout/list1"/>
    <dgm:cxn modelId="{16556110-350F-4DA0-B073-B2AF32EF65DB}" type="presParOf" srcId="{4E999FA4-F4ED-4053-BB1F-4B3ED91B9C5B}" destId="{47E638F7-D184-4636-AD30-0D82F69B8FE7}" srcOrd="15" destOrd="0" presId="urn:microsoft.com/office/officeart/2005/8/layout/list1"/>
    <dgm:cxn modelId="{5059C284-AAA2-4B7A-8CF9-C5040C44F801}" type="presParOf" srcId="{4E999FA4-F4ED-4053-BB1F-4B3ED91B9C5B}" destId="{C3DF96B4-5D71-4CB5-887C-3EB34F6B753F}" srcOrd="16" destOrd="0" presId="urn:microsoft.com/office/officeart/2005/8/layout/list1"/>
    <dgm:cxn modelId="{B5642A54-DCCE-4329-AA18-A1761A4EB600}" type="presParOf" srcId="{C3DF96B4-5D71-4CB5-887C-3EB34F6B753F}" destId="{E1ED6380-4E39-4C1F-9783-C80B5A246F57}" srcOrd="0" destOrd="0" presId="urn:microsoft.com/office/officeart/2005/8/layout/list1"/>
    <dgm:cxn modelId="{1B50520D-B50F-400B-B665-7A73FEAF10CE}" type="presParOf" srcId="{C3DF96B4-5D71-4CB5-887C-3EB34F6B753F}" destId="{88A92B0A-6ADA-4F80-9ED1-1D304E6F912E}" srcOrd="1" destOrd="0" presId="urn:microsoft.com/office/officeart/2005/8/layout/list1"/>
    <dgm:cxn modelId="{A6F83F82-9132-4E18-9B28-26D902EB816F}" type="presParOf" srcId="{4E999FA4-F4ED-4053-BB1F-4B3ED91B9C5B}" destId="{B83C4EF6-7C47-4A02-BAA4-212138E30E48}" srcOrd="17" destOrd="0" presId="urn:microsoft.com/office/officeart/2005/8/layout/list1"/>
    <dgm:cxn modelId="{000D5A1A-1A27-4972-A15E-C36FC502DC87}" type="presParOf" srcId="{4E999FA4-F4ED-4053-BB1F-4B3ED91B9C5B}" destId="{A5DAA7F3-6600-44B6-ACED-44CD6346E065}" srcOrd="18"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F1545E9-FD44-403E-9E41-1F895E464989}"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ZW"/>
        </a:p>
      </dgm:t>
    </dgm:pt>
    <dgm:pt modelId="{91FBBBC0-A81F-43DA-B726-11A4D62E1889}">
      <dgm:prSet phldrT="[Text]" custT="1"/>
      <dgm:spPr/>
      <dgm:t>
        <a:bodyPr/>
        <a:lstStyle/>
        <a:p>
          <a:r>
            <a:rPr lang="en-ZW" sz="1000"/>
            <a:t>FCA</a:t>
          </a:r>
        </a:p>
      </dgm:t>
    </dgm:pt>
    <dgm:pt modelId="{5D674236-10F0-4594-A5B1-589160C2DE5A}" type="parTrans" cxnId="{6383FFC5-679F-45FE-88F1-899DFDF783E2}">
      <dgm:prSet/>
      <dgm:spPr/>
      <dgm:t>
        <a:bodyPr/>
        <a:lstStyle/>
        <a:p>
          <a:endParaRPr lang="en-ZW" sz="1000"/>
        </a:p>
      </dgm:t>
    </dgm:pt>
    <dgm:pt modelId="{7AE646B9-451B-482F-A235-443738B681A8}" type="sibTrans" cxnId="{6383FFC5-679F-45FE-88F1-899DFDF783E2}">
      <dgm:prSet/>
      <dgm:spPr/>
      <dgm:t>
        <a:bodyPr/>
        <a:lstStyle/>
        <a:p>
          <a:endParaRPr lang="en-ZW" sz="1000"/>
        </a:p>
      </dgm:t>
    </dgm:pt>
    <dgm:pt modelId="{26BABF5F-758F-4E95-999B-0FD8208C37DD}">
      <dgm:prSet phldrT="[Text]" custT="1"/>
      <dgm:spPr/>
      <dgm:t>
        <a:bodyPr/>
        <a:lstStyle/>
        <a:p>
          <a:r>
            <a:rPr lang="en-ZW" sz="1000"/>
            <a:t>Open Network supervision </a:t>
          </a:r>
        </a:p>
      </dgm:t>
    </dgm:pt>
    <dgm:pt modelId="{ECDDF814-62B3-4199-AD7F-53CD28DF2449}" type="parTrans" cxnId="{F000E038-B30A-45BD-8B71-15236119D65B}">
      <dgm:prSet/>
      <dgm:spPr>
        <a:ln>
          <a:headEnd type="triangle" w="med" len="med"/>
          <a:tailEnd type="triangle" w="med" len="med"/>
        </a:ln>
      </dgm:spPr>
      <dgm:t>
        <a:bodyPr/>
        <a:lstStyle/>
        <a:p>
          <a:endParaRPr lang="en-ZW" sz="1000"/>
        </a:p>
      </dgm:t>
    </dgm:pt>
    <dgm:pt modelId="{62862935-FB44-4303-A5A6-A4E37645A16F}" type="sibTrans" cxnId="{F000E038-B30A-45BD-8B71-15236119D65B}">
      <dgm:prSet/>
      <dgm:spPr/>
      <dgm:t>
        <a:bodyPr/>
        <a:lstStyle/>
        <a:p>
          <a:endParaRPr lang="en-ZW" sz="1000"/>
        </a:p>
      </dgm:t>
    </dgm:pt>
    <dgm:pt modelId="{2819FE20-C712-477C-BB1C-27D052A7CAC7}">
      <dgm:prSet phldrT="[Text]" custT="1"/>
      <dgm:spPr/>
      <dgm:t>
        <a:bodyPr/>
        <a:lstStyle/>
        <a:p>
          <a:pPr>
            <a:buNone/>
          </a:pPr>
          <a:r>
            <a:rPr lang="en-ZW" sz="1000"/>
            <a:t>Sense M&amp;R Compliance Process </a:t>
          </a:r>
        </a:p>
      </dgm:t>
    </dgm:pt>
    <dgm:pt modelId="{9E74A51D-3B07-42CB-BE76-153D4D2FD99D}" type="parTrans" cxnId="{12FD440D-804A-4BE5-80DF-3CF239794CE9}">
      <dgm:prSet/>
      <dgm:spPr>
        <a:ln>
          <a:headEnd type="triangle" w="med" len="med"/>
          <a:tailEnd type="triangle" w="med" len="med"/>
        </a:ln>
      </dgm:spPr>
      <dgm:t>
        <a:bodyPr/>
        <a:lstStyle/>
        <a:p>
          <a:endParaRPr lang="en-ZW" sz="1000"/>
        </a:p>
      </dgm:t>
    </dgm:pt>
    <dgm:pt modelId="{C3D877E1-3E4B-4BA4-9E81-1C722ED76B28}" type="sibTrans" cxnId="{12FD440D-804A-4BE5-80DF-3CF239794CE9}">
      <dgm:prSet/>
      <dgm:spPr/>
      <dgm:t>
        <a:bodyPr/>
        <a:lstStyle/>
        <a:p>
          <a:endParaRPr lang="en-ZW" sz="1000"/>
        </a:p>
      </dgm:t>
    </dgm:pt>
    <dgm:pt modelId="{87D32C68-1FC6-4026-B7C3-E4BA62F9FA5A}">
      <dgm:prSet phldrT="[Text]" custT="1"/>
      <dgm:spPr/>
      <dgm:t>
        <a:bodyPr/>
        <a:lstStyle/>
        <a:p>
          <a:pPr>
            <a:buNone/>
          </a:pPr>
          <a:r>
            <a:rPr lang="en-ZW" sz="1000"/>
            <a:t>Advisor file check</a:t>
          </a:r>
        </a:p>
      </dgm:t>
    </dgm:pt>
    <dgm:pt modelId="{49389CD4-7B0B-4AE8-841A-3B64BA9C157C}" type="parTrans" cxnId="{EC4DC85A-6343-476A-8732-F5902AA6FD4A}">
      <dgm:prSet/>
      <dgm:spPr>
        <a:ln>
          <a:headEnd type="triangle" w="med" len="med"/>
          <a:tailEnd type="triangle" w="med" len="med"/>
        </a:ln>
      </dgm:spPr>
      <dgm:t>
        <a:bodyPr/>
        <a:lstStyle/>
        <a:p>
          <a:endParaRPr lang="en-ZW" sz="1000"/>
        </a:p>
      </dgm:t>
    </dgm:pt>
    <dgm:pt modelId="{965831CD-6623-4154-AAE9-74C21997CCB9}" type="sibTrans" cxnId="{EC4DC85A-6343-476A-8732-F5902AA6FD4A}">
      <dgm:prSet/>
      <dgm:spPr/>
      <dgm:t>
        <a:bodyPr/>
        <a:lstStyle/>
        <a:p>
          <a:endParaRPr lang="en-ZW" sz="1000"/>
        </a:p>
      </dgm:t>
    </dgm:pt>
    <dgm:pt modelId="{28B852C2-1C2F-4AC6-A853-C51B28ECCD65}">
      <dgm:prSet phldrT="[Text]" custT="1"/>
      <dgm:spPr/>
      <dgm:t>
        <a:bodyPr/>
        <a:lstStyle/>
        <a:p>
          <a:r>
            <a:rPr lang="en-ZW" sz="1000"/>
            <a:t>Mandatory CPD </a:t>
          </a:r>
        </a:p>
      </dgm:t>
    </dgm:pt>
    <dgm:pt modelId="{A15059B6-3944-4BF8-99EE-9D547D0BC357}" type="parTrans" cxnId="{FE161E15-DCDD-4063-9C17-D790E5EE712F}">
      <dgm:prSet/>
      <dgm:spPr>
        <a:ln>
          <a:headEnd type="triangle" w="med" len="med"/>
          <a:tailEnd type="triangle" w="med" len="med"/>
        </a:ln>
      </dgm:spPr>
      <dgm:t>
        <a:bodyPr/>
        <a:lstStyle/>
        <a:p>
          <a:endParaRPr lang="en-ZW" sz="1000"/>
        </a:p>
      </dgm:t>
    </dgm:pt>
    <dgm:pt modelId="{694C8129-F406-4C28-A841-A218507FE30C}" type="sibTrans" cxnId="{FE161E15-DCDD-4063-9C17-D790E5EE712F}">
      <dgm:prSet/>
      <dgm:spPr/>
      <dgm:t>
        <a:bodyPr/>
        <a:lstStyle/>
        <a:p>
          <a:endParaRPr lang="en-ZW" sz="1000"/>
        </a:p>
      </dgm:t>
    </dgm:pt>
    <dgm:pt modelId="{167D748B-5D79-4DE9-B1BF-34955B57B115}">
      <dgm:prSet phldrT="[Text]" custT="1"/>
      <dgm:spPr/>
      <dgm:t>
        <a:bodyPr/>
        <a:lstStyle/>
        <a:p>
          <a:r>
            <a:rPr lang="en-ZW" sz="1000"/>
            <a:t>Thematic Audit</a:t>
          </a:r>
        </a:p>
      </dgm:t>
    </dgm:pt>
    <dgm:pt modelId="{BFA5D9AE-D1FB-41D4-AF4E-422352593A10}" type="parTrans" cxnId="{A42E0CAA-4B8A-4D6D-B130-43474596EE50}">
      <dgm:prSet/>
      <dgm:spPr>
        <a:ln>
          <a:headEnd type="triangle" w="med" len="med"/>
          <a:tailEnd type="triangle" w="med" len="med"/>
        </a:ln>
      </dgm:spPr>
      <dgm:t>
        <a:bodyPr/>
        <a:lstStyle/>
        <a:p>
          <a:endParaRPr lang="en-ZW" sz="1000"/>
        </a:p>
      </dgm:t>
    </dgm:pt>
    <dgm:pt modelId="{BCA3C630-DDF1-4D2F-9FA7-9FA380B7800E}" type="sibTrans" cxnId="{A42E0CAA-4B8A-4D6D-B130-43474596EE50}">
      <dgm:prSet/>
      <dgm:spPr/>
      <dgm:t>
        <a:bodyPr/>
        <a:lstStyle/>
        <a:p>
          <a:endParaRPr lang="en-ZW" sz="1000"/>
        </a:p>
      </dgm:t>
    </dgm:pt>
    <dgm:pt modelId="{038AD5E5-514D-47B4-BE4E-C1FAF31CBC9C}">
      <dgm:prSet phldrT="[Text]" custT="1"/>
      <dgm:spPr/>
      <dgm:t>
        <a:bodyPr/>
        <a:lstStyle/>
        <a:p>
          <a:pPr>
            <a:buNone/>
          </a:pPr>
          <a:r>
            <a:rPr lang="en-ZW" sz="1000"/>
            <a:t>Pre-Sale Reviews </a:t>
          </a:r>
        </a:p>
      </dgm:t>
    </dgm:pt>
    <dgm:pt modelId="{F050CCD6-DF69-4B2E-8FA2-F68907C8B630}" type="parTrans" cxnId="{E61D4B3B-AA07-4E2A-B668-D2E729C7E5B9}">
      <dgm:prSet/>
      <dgm:spPr>
        <a:ln>
          <a:headEnd type="triangle" w="med" len="med"/>
          <a:tailEnd type="triangle" w="med" len="med"/>
        </a:ln>
      </dgm:spPr>
      <dgm:t>
        <a:bodyPr/>
        <a:lstStyle/>
        <a:p>
          <a:endParaRPr lang="en-ZW" sz="1000"/>
        </a:p>
      </dgm:t>
    </dgm:pt>
    <dgm:pt modelId="{F3D6A29F-B9A1-4E5C-89A1-3A374313DE18}" type="sibTrans" cxnId="{E61D4B3B-AA07-4E2A-B668-D2E729C7E5B9}">
      <dgm:prSet/>
      <dgm:spPr/>
      <dgm:t>
        <a:bodyPr/>
        <a:lstStyle/>
        <a:p>
          <a:endParaRPr lang="en-ZW" sz="1000"/>
        </a:p>
      </dgm:t>
    </dgm:pt>
    <dgm:pt modelId="{3D5217B0-F035-433A-A856-BA511EEA6A23}">
      <dgm:prSet phldrT="[Text]" custT="1"/>
      <dgm:spPr/>
      <dgm:t>
        <a:bodyPr/>
        <a:lstStyle/>
        <a:p>
          <a:pPr>
            <a:buNone/>
          </a:pPr>
          <a:r>
            <a:rPr lang="en-ZW" sz="1000"/>
            <a:t>Post-Sale Monitoring</a:t>
          </a:r>
        </a:p>
      </dgm:t>
    </dgm:pt>
    <dgm:pt modelId="{2425D7BB-D662-429A-B6C7-EBC27ED6FC2F}" type="parTrans" cxnId="{2A553FF4-D9B1-4F86-9917-9DA4D22E957E}">
      <dgm:prSet/>
      <dgm:spPr>
        <a:ln>
          <a:headEnd type="triangle" w="med" len="med"/>
          <a:tailEnd type="triangle" w="med" len="med"/>
        </a:ln>
      </dgm:spPr>
      <dgm:t>
        <a:bodyPr/>
        <a:lstStyle/>
        <a:p>
          <a:endParaRPr lang="en-ZW" sz="1000"/>
        </a:p>
      </dgm:t>
    </dgm:pt>
    <dgm:pt modelId="{468A8F74-9152-4530-B2CF-35AB6ABB012C}" type="sibTrans" cxnId="{2A553FF4-D9B1-4F86-9917-9DA4D22E957E}">
      <dgm:prSet/>
      <dgm:spPr/>
      <dgm:t>
        <a:bodyPr/>
        <a:lstStyle/>
        <a:p>
          <a:endParaRPr lang="en-ZW" sz="1000"/>
        </a:p>
      </dgm:t>
    </dgm:pt>
    <dgm:pt modelId="{FAB70B6E-CAFA-4971-A767-95318F5A9609}" type="pres">
      <dgm:prSet presAssocID="{1F1545E9-FD44-403E-9E41-1F895E464989}" presName="hierChild1" presStyleCnt="0">
        <dgm:presLayoutVars>
          <dgm:chPref val="1"/>
          <dgm:dir/>
          <dgm:animOne val="branch"/>
          <dgm:animLvl val="lvl"/>
          <dgm:resizeHandles/>
        </dgm:presLayoutVars>
      </dgm:prSet>
      <dgm:spPr/>
    </dgm:pt>
    <dgm:pt modelId="{97A02F68-9F00-4E62-A954-6A174E8A7E79}" type="pres">
      <dgm:prSet presAssocID="{91FBBBC0-A81F-43DA-B726-11A4D62E1889}" presName="hierRoot1" presStyleCnt="0"/>
      <dgm:spPr/>
    </dgm:pt>
    <dgm:pt modelId="{EA78105F-1F64-4A5A-AF81-A3A7899DA7B8}" type="pres">
      <dgm:prSet presAssocID="{91FBBBC0-A81F-43DA-B726-11A4D62E1889}" presName="composite" presStyleCnt="0"/>
      <dgm:spPr/>
    </dgm:pt>
    <dgm:pt modelId="{87BBCA00-02B5-4F52-971E-DF82316A08D3}" type="pres">
      <dgm:prSet presAssocID="{91FBBBC0-A81F-43DA-B726-11A4D62E1889}" presName="background" presStyleLbl="node0" presStyleIdx="0" presStyleCnt="1"/>
      <dgm:spPr/>
    </dgm:pt>
    <dgm:pt modelId="{3020F5ED-AC22-4267-82AE-9C279311F61C}" type="pres">
      <dgm:prSet presAssocID="{91FBBBC0-A81F-43DA-B726-11A4D62E1889}" presName="text" presStyleLbl="fgAcc0" presStyleIdx="0" presStyleCnt="1" custScaleX="142113" custScaleY="120935">
        <dgm:presLayoutVars>
          <dgm:chPref val="3"/>
        </dgm:presLayoutVars>
      </dgm:prSet>
      <dgm:spPr/>
    </dgm:pt>
    <dgm:pt modelId="{AD23D3CB-2C2E-4C25-9098-B1B637870A86}" type="pres">
      <dgm:prSet presAssocID="{91FBBBC0-A81F-43DA-B726-11A4D62E1889}" presName="hierChild2" presStyleCnt="0"/>
      <dgm:spPr/>
    </dgm:pt>
    <dgm:pt modelId="{96F76B2E-E5A7-46EF-8B26-2F893D56E3DF}" type="pres">
      <dgm:prSet presAssocID="{ECDDF814-62B3-4199-AD7F-53CD28DF2449}" presName="Name10" presStyleLbl="parChTrans1D2" presStyleIdx="0" presStyleCnt="1"/>
      <dgm:spPr/>
    </dgm:pt>
    <dgm:pt modelId="{BD88DFB6-C40E-4974-B816-4EEFAEBA23C3}" type="pres">
      <dgm:prSet presAssocID="{26BABF5F-758F-4E95-999B-0FD8208C37DD}" presName="hierRoot2" presStyleCnt="0"/>
      <dgm:spPr/>
    </dgm:pt>
    <dgm:pt modelId="{9E1C99B3-7128-4D2C-BE12-F8BF602D5870}" type="pres">
      <dgm:prSet presAssocID="{26BABF5F-758F-4E95-999B-0FD8208C37DD}" presName="composite2" presStyleCnt="0"/>
      <dgm:spPr/>
    </dgm:pt>
    <dgm:pt modelId="{8F7C3718-46E6-47E7-A530-F92F7DABA1E2}" type="pres">
      <dgm:prSet presAssocID="{26BABF5F-758F-4E95-999B-0FD8208C37DD}" presName="background2" presStyleLbl="node2" presStyleIdx="0" presStyleCnt="1"/>
      <dgm:spPr/>
    </dgm:pt>
    <dgm:pt modelId="{CE6DE69C-D720-4293-9F83-8FF823B1B54C}" type="pres">
      <dgm:prSet presAssocID="{26BABF5F-758F-4E95-999B-0FD8208C37DD}" presName="text2" presStyleLbl="fgAcc2" presStyleIdx="0" presStyleCnt="1" custScaleX="180075" custScaleY="146232">
        <dgm:presLayoutVars>
          <dgm:chPref val="3"/>
        </dgm:presLayoutVars>
      </dgm:prSet>
      <dgm:spPr/>
    </dgm:pt>
    <dgm:pt modelId="{65872E19-FCD5-487E-A583-9B7CDAA50F6E}" type="pres">
      <dgm:prSet presAssocID="{26BABF5F-758F-4E95-999B-0FD8208C37DD}" presName="hierChild3" presStyleCnt="0"/>
      <dgm:spPr/>
    </dgm:pt>
    <dgm:pt modelId="{812462A1-7EC7-4972-AFA2-77F540466392}" type="pres">
      <dgm:prSet presAssocID="{A15059B6-3944-4BF8-99EE-9D547D0BC357}" presName="Name17" presStyleLbl="parChTrans1D3" presStyleIdx="0" presStyleCnt="2"/>
      <dgm:spPr/>
    </dgm:pt>
    <dgm:pt modelId="{A67D603A-703B-46B3-9035-4CE356B253CA}" type="pres">
      <dgm:prSet presAssocID="{28B852C2-1C2F-4AC6-A853-C51B28ECCD65}" presName="hierRoot3" presStyleCnt="0"/>
      <dgm:spPr/>
    </dgm:pt>
    <dgm:pt modelId="{02239B87-B332-4339-A7CB-24E429DAF7CC}" type="pres">
      <dgm:prSet presAssocID="{28B852C2-1C2F-4AC6-A853-C51B28ECCD65}" presName="composite3" presStyleCnt="0"/>
      <dgm:spPr/>
    </dgm:pt>
    <dgm:pt modelId="{7BD97537-282B-4779-A9ED-2521A57BCBAD}" type="pres">
      <dgm:prSet presAssocID="{28B852C2-1C2F-4AC6-A853-C51B28ECCD65}" presName="background3" presStyleLbl="node3" presStyleIdx="0" presStyleCnt="2"/>
      <dgm:spPr/>
    </dgm:pt>
    <dgm:pt modelId="{B02882C5-2B54-47C3-8BDE-43BE1B71DC00}" type="pres">
      <dgm:prSet presAssocID="{28B852C2-1C2F-4AC6-A853-C51B28ECCD65}" presName="text3" presStyleLbl="fgAcc3" presStyleIdx="0" presStyleCnt="2" custScaleX="136101" custScaleY="132315">
        <dgm:presLayoutVars>
          <dgm:chPref val="3"/>
        </dgm:presLayoutVars>
      </dgm:prSet>
      <dgm:spPr/>
    </dgm:pt>
    <dgm:pt modelId="{463D700A-D8B4-4A6C-958F-42B0C0E1EB87}" type="pres">
      <dgm:prSet presAssocID="{28B852C2-1C2F-4AC6-A853-C51B28ECCD65}" presName="hierChild4" presStyleCnt="0"/>
      <dgm:spPr/>
    </dgm:pt>
    <dgm:pt modelId="{9CDE89CB-9B94-41E2-917F-8A644781B021}" type="pres">
      <dgm:prSet presAssocID="{BFA5D9AE-D1FB-41D4-AF4E-422352593A10}" presName="Name23" presStyleLbl="parChTrans1D4" presStyleIdx="0" presStyleCnt="4"/>
      <dgm:spPr/>
    </dgm:pt>
    <dgm:pt modelId="{86204031-5A83-4110-B118-77CFF7B986AB}" type="pres">
      <dgm:prSet presAssocID="{167D748B-5D79-4DE9-B1BF-34955B57B115}" presName="hierRoot4" presStyleCnt="0"/>
      <dgm:spPr/>
    </dgm:pt>
    <dgm:pt modelId="{1083EB2C-EC57-4C40-A3B0-DF04FD5A073A}" type="pres">
      <dgm:prSet presAssocID="{167D748B-5D79-4DE9-B1BF-34955B57B115}" presName="composite4" presStyleCnt="0"/>
      <dgm:spPr/>
    </dgm:pt>
    <dgm:pt modelId="{907CEB42-BF99-4605-9A2F-8B46523587F6}" type="pres">
      <dgm:prSet presAssocID="{167D748B-5D79-4DE9-B1BF-34955B57B115}" presName="background4" presStyleLbl="node4" presStyleIdx="0" presStyleCnt="4"/>
      <dgm:spPr/>
    </dgm:pt>
    <dgm:pt modelId="{19FF4A46-0894-4176-9D10-CA6C8104257D}" type="pres">
      <dgm:prSet presAssocID="{167D748B-5D79-4DE9-B1BF-34955B57B115}" presName="text4" presStyleLbl="fgAcc4" presStyleIdx="0" presStyleCnt="4" custScaleX="133119" custScaleY="162551">
        <dgm:presLayoutVars>
          <dgm:chPref val="3"/>
        </dgm:presLayoutVars>
      </dgm:prSet>
      <dgm:spPr/>
    </dgm:pt>
    <dgm:pt modelId="{ED48C7F6-86B4-485D-965C-850A4ECC9AE0}" type="pres">
      <dgm:prSet presAssocID="{167D748B-5D79-4DE9-B1BF-34955B57B115}" presName="hierChild5" presStyleCnt="0"/>
      <dgm:spPr/>
    </dgm:pt>
    <dgm:pt modelId="{98C0C834-A4C9-401D-94FD-74FE95D4CE8C}" type="pres">
      <dgm:prSet presAssocID="{9E74A51D-3B07-42CB-BE76-153D4D2FD99D}" presName="Name17" presStyleLbl="parChTrans1D3" presStyleIdx="1" presStyleCnt="2"/>
      <dgm:spPr/>
    </dgm:pt>
    <dgm:pt modelId="{F4C25557-B34E-4A1F-8413-061A9B261935}" type="pres">
      <dgm:prSet presAssocID="{2819FE20-C712-477C-BB1C-27D052A7CAC7}" presName="hierRoot3" presStyleCnt="0"/>
      <dgm:spPr/>
    </dgm:pt>
    <dgm:pt modelId="{3F26914E-3ABA-4C82-94A4-03EAC19756A3}" type="pres">
      <dgm:prSet presAssocID="{2819FE20-C712-477C-BB1C-27D052A7CAC7}" presName="composite3" presStyleCnt="0"/>
      <dgm:spPr/>
    </dgm:pt>
    <dgm:pt modelId="{1823019F-45B8-49D5-9229-299D2F0DF74C}" type="pres">
      <dgm:prSet presAssocID="{2819FE20-C712-477C-BB1C-27D052A7CAC7}" presName="background3" presStyleLbl="node3" presStyleIdx="1" presStyleCnt="2"/>
      <dgm:spPr/>
    </dgm:pt>
    <dgm:pt modelId="{A39AEB1C-286B-4373-8FA0-B4660B980341}" type="pres">
      <dgm:prSet presAssocID="{2819FE20-C712-477C-BB1C-27D052A7CAC7}" presName="text3" presStyleLbl="fgAcc3" presStyleIdx="1" presStyleCnt="2" custScaleX="159484" custScaleY="126262">
        <dgm:presLayoutVars>
          <dgm:chPref val="3"/>
        </dgm:presLayoutVars>
      </dgm:prSet>
      <dgm:spPr/>
    </dgm:pt>
    <dgm:pt modelId="{C72B16FB-6D65-4DCF-B881-982100AD73C5}" type="pres">
      <dgm:prSet presAssocID="{2819FE20-C712-477C-BB1C-27D052A7CAC7}" presName="hierChild4" presStyleCnt="0"/>
      <dgm:spPr/>
    </dgm:pt>
    <dgm:pt modelId="{04973A8A-0BCA-49D5-8452-EA6F0B9BBB3A}" type="pres">
      <dgm:prSet presAssocID="{F050CCD6-DF69-4B2E-8FA2-F68907C8B630}" presName="Name23" presStyleLbl="parChTrans1D4" presStyleIdx="1" presStyleCnt="4"/>
      <dgm:spPr/>
    </dgm:pt>
    <dgm:pt modelId="{EBA50AC0-691E-4BC8-8801-9D399BDA3727}" type="pres">
      <dgm:prSet presAssocID="{038AD5E5-514D-47B4-BE4E-C1FAF31CBC9C}" presName="hierRoot4" presStyleCnt="0"/>
      <dgm:spPr/>
    </dgm:pt>
    <dgm:pt modelId="{74D9C82A-E62B-4D14-B7E2-843230A6313A}" type="pres">
      <dgm:prSet presAssocID="{038AD5E5-514D-47B4-BE4E-C1FAF31CBC9C}" presName="composite4" presStyleCnt="0"/>
      <dgm:spPr/>
    </dgm:pt>
    <dgm:pt modelId="{91A25012-9D3B-4731-A92C-6B96C229E7E2}" type="pres">
      <dgm:prSet presAssocID="{038AD5E5-514D-47B4-BE4E-C1FAF31CBC9C}" presName="background4" presStyleLbl="node4" presStyleIdx="1" presStyleCnt="4"/>
      <dgm:spPr/>
    </dgm:pt>
    <dgm:pt modelId="{C500FB52-BB03-4C07-AAAB-6760DF1AF566}" type="pres">
      <dgm:prSet presAssocID="{038AD5E5-514D-47B4-BE4E-C1FAF31CBC9C}" presName="text4" presStyleLbl="fgAcc4" presStyleIdx="1" presStyleCnt="4" custScaleX="127494" custScaleY="135411">
        <dgm:presLayoutVars>
          <dgm:chPref val="3"/>
        </dgm:presLayoutVars>
      </dgm:prSet>
      <dgm:spPr/>
    </dgm:pt>
    <dgm:pt modelId="{9CD6EC7D-7C64-4039-9307-C33D6D1D764B}" type="pres">
      <dgm:prSet presAssocID="{038AD5E5-514D-47B4-BE4E-C1FAF31CBC9C}" presName="hierChild5" presStyleCnt="0"/>
      <dgm:spPr/>
    </dgm:pt>
    <dgm:pt modelId="{771B4CA9-0162-48C5-879A-FCA7F3F51C41}" type="pres">
      <dgm:prSet presAssocID="{2425D7BB-D662-429A-B6C7-EBC27ED6FC2F}" presName="Name23" presStyleLbl="parChTrans1D4" presStyleIdx="2" presStyleCnt="4"/>
      <dgm:spPr/>
    </dgm:pt>
    <dgm:pt modelId="{8856C117-75A6-4998-B6CC-CD00379F6436}" type="pres">
      <dgm:prSet presAssocID="{3D5217B0-F035-433A-A856-BA511EEA6A23}" presName="hierRoot4" presStyleCnt="0"/>
      <dgm:spPr/>
    </dgm:pt>
    <dgm:pt modelId="{59C0C83D-963B-47EE-8C9A-6D35DECD4F21}" type="pres">
      <dgm:prSet presAssocID="{3D5217B0-F035-433A-A856-BA511EEA6A23}" presName="composite4" presStyleCnt="0"/>
      <dgm:spPr/>
    </dgm:pt>
    <dgm:pt modelId="{EEF94E5E-A943-4AD3-B4F5-B6CC5ECA2273}" type="pres">
      <dgm:prSet presAssocID="{3D5217B0-F035-433A-A856-BA511EEA6A23}" presName="background4" presStyleLbl="node4" presStyleIdx="2" presStyleCnt="4"/>
      <dgm:spPr/>
    </dgm:pt>
    <dgm:pt modelId="{6F2CE028-4E54-4853-A22A-1DBA22AAB98F}" type="pres">
      <dgm:prSet presAssocID="{3D5217B0-F035-433A-A856-BA511EEA6A23}" presName="text4" presStyleLbl="fgAcc4" presStyleIdx="2" presStyleCnt="4" custScaleX="130437" custScaleY="96630">
        <dgm:presLayoutVars>
          <dgm:chPref val="3"/>
        </dgm:presLayoutVars>
      </dgm:prSet>
      <dgm:spPr/>
    </dgm:pt>
    <dgm:pt modelId="{73565974-E416-4F1C-9155-8C91814590B2}" type="pres">
      <dgm:prSet presAssocID="{3D5217B0-F035-433A-A856-BA511EEA6A23}" presName="hierChild5" presStyleCnt="0"/>
      <dgm:spPr/>
    </dgm:pt>
    <dgm:pt modelId="{BFA22FC7-0BD9-4EF1-B5EE-45842A6BA5E7}" type="pres">
      <dgm:prSet presAssocID="{49389CD4-7B0B-4AE8-841A-3B64BA9C157C}" presName="Name23" presStyleLbl="parChTrans1D4" presStyleIdx="3" presStyleCnt="4"/>
      <dgm:spPr/>
    </dgm:pt>
    <dgm:pt modelId="{8DB3B1F7-2CD7-4904-98A2-B5F81A3F344B}" type="pres">
      <dgm:prSet presAssocID="{87D32C68-1FC6-4026-B7C3-E4BA62F9FA5A}" presName="hierRoot4" presStyleCnt="0"/>
      <dgm:spPr/>
    </dgm:pt>
    <dgm:pt modelId="{B72CCE25-13D3-4CB1-8D4B-2A61A090BE01}" type="pres">
      <dgm:prSet presAssocID="{87D32C68-1FC6-4026-B7C3-E4BA62F9FA5A}" presName="composite4" presStyleCnt="0"/>
      <dgm:spPr/>
    </dgm:pt>
    <dgm:pt modelId="{1A20C1D8-DAFE-4276-85C7-10765E654F54}" type="pres">
      <dgm:prSet presAssocID="{87D32C68-1FC6-4026-B7C3-E4BA62F9FA5A}" presName="background4" presStyleLbl="node4" presStyleIdx="3" presStyleCnt="4"/>
      <dgm:spPr/>
    </dgm:pt>
    <dgm:pt modelId="{C319D7DA-77C8-413C-A7BA-ECB673613D3F}" type="pres">
      <dgm:prSet presAssocID="{87D32C68-1FC6-4026-B7C3-E4BA62F9FA5A}" presName="text4" presStyleLbl="fgAcc4" presStyleIdx="3" presStyleCnt="4" custScaleX="161970" custScaleY="137395">
        <dgm:presLayoutVars>
          <dgm:chPref val="3"/>
        </dgm:presLayoutVars>
      </dgm:prSet>
      <dgm:spPr/>
    </dgm:pt>
    <dgm:pt modelId="{BE03252E-1E30-4FEB-9706-CDEC2F5F3F16}" type="pres">
      <dgm:prSet presAssocID="{87D32C68-1FC6-4026-B7C3-E4BA62F9FA5A}" presName="hierChild5" presStyleCnt="0"/>
      <dgm:spPr/>
    </dgm:pt>
  </dgm:ptLst>
  <dgm:cxnLst>
    <dgm:cxn modelId="{12FD440D-804A-4BE5-80DF-3CF239794CE9}" srcId="{26BABF5F-758F-4E95-999B-0FD8208C37DD}" destId="{2819FE20-C712-477C-BB1C-27D052A7CAC7}" srcOrd="1" destOrd="0" parTransId="{9E74A51D-3B07-42CB-BE76-153D4D2FD99D}" sibTransId="{C3D877E1-3E4B-4BA4-9E81-1C722ED76B28}"/>
    <dgm:cxn modelId="{205A1415-9578-4B26-B4E7-CB60AF6C4AC6}" type="presOf" srcId="{87D32C68-1FC6-4026-B7C3-E4BA62F9FA5A}" destId="{C319D7DA-77C8-413C-A7BA-ECB673613D3F}" srcOrd="0" destOrd="0" presId="urn:microsoft.com/office/officeart/2005/8/layout/hierarchy1"/>
    <dgm:cxn modelId="{FE161E15-DCDD-4063-9C17-D790E5EE712F}" srcId="{26BABF5F-758F-4E95-999B-0FD8208C37DD}" destId="{28B852C2-1C2F-4AC6-A853-C51B28ECCD65}" srcOrd="0" destOrd="0" parTransId="{A15059B6-3944-4BF8-99EE-9D547D0BC357}" sibTransId="{694C8129-F406-4C28-A841-A218507FE30C}"/>
    <dgm:cxn modelId="{F000E038-B30A-45BD-8B71-15236119D65B}" srcId="{91FBBBC0-A81F-43DA-B726-11A4D62E1889}" destId="{26BABF5F-758F-4E95-999B-0FD8208C37DD}" srcOrd="0" destOrd="0" parTransId="{ECDDF814-62B3-4199-AD7F-53CD28DF2449}" sibTransId="{62862935-FB44-4303-A5A6-A4E37645A16F}"/>
    <dgm:cxn modelId="{45510E3A-BFAF-492E-8F58-21CC86B75248}" type="presOf" srcId="{3D5217B0-F035-433A-A856-BA511EEA6A23}" destId="{6F2CE028-4E54-4853-A22A-1DBA22AAB98F}" srcOrd="0" destOrd="0" presId="urn:microsoft.com/office/officeart/2005/8/layout/hierarchy1"/>
    <dgm:cxn modelId="{E61D4B3B-AA07-4E2A-B668-D2E729C7E5B9}" srcId="{2819FE20-C712-477C-BB1C-27D052A7CAC7}" destId="{038AD5E5-514D-47B4-BE4E-C1FAF31CBC9C}" srcOrd="0" destOrd="0" parTransId="{F050CCD6-DF69-4B2E-8FA2-F68907C8B630}" sibTransId="{F3D6A29F-B9A1-4E5C-89A1-3A374313DE18}"/>
    <dgm:cxn modelId="{975B0551-0BC9-4C8C-B8D3-CA6BBD65FC62}" type="presOf" srcId="{038AD5E5-514D-47B4-BE4E-C1FAF31CBC9C}" destId="{C500FB52-BB03-4C07-AAAB-6760DF1AF566}" srcOrd="0" destOrd="0" presId="urn:microsoft.com/office/officeart/2005/8/layout/hierarchy1"/>
    <dgm:cxn modelId="{D926A476-661D-43B0-840E-61D6DD9A962A}" type="presOf" srcId="{49389CD4-7B0B-4AE8-841A-3B64BA9C157C}" destId="{BFA22FC7-0BD9-4EF1-B5EE-45842A6BA5E7}" srcOrd="0" destOrd="0" presId="urn:microsoft.com/office/officeart/2005/8/layout/hierarchy1"/>
    <dgm:cxn modelId="{EC4DC85A-6343-476A-8732-F5902AA6FD4A}" srcId="{2819FE20-C712-477C-BB1C-27D052A7CAC7}" destId="{87D32C68-1FC6-4026-B7C3-E4BA62F9FA5A}" srcOrd="1" destOrd="0" parTransId="{49389CD4-7B0B-4AE8-841A-3B64BA9C157C}" sibTransId="{965831CD-6623-4154-AAE9-74C21997CCB9}"/>
    <dgm:cxn modelId="{9B97147C-330F-47B1-A727-4F8219F2C8A3}" type="presOf" srcId="{F050CCD6-DF69-4B2E-8FA2-F68907C8B630}" destId="{04973A8A-0BCA-49D5-8452-EA6F0B9BBB3A}" srcOrd="0" destOrd="0" presId="urn:microsoft.com/office/officeart/2005/8/layout/hierarchy1"/>
    <dgm:cxn modelId="{6B874F81-F565-48B0-981F-CFFB4237C9E1}" type="presOf" srcId="{2819FE20-C712-477C-BB1C-27D052A7CAC7}" destId="{A39AEB1C-286B-4373-8FA0-B4660B980341}" srcOrd="0" destOrd="0" presId="urn:microsoft.com/office/officeart/2005/8/layout/hierarchy1"/>
    <dgm:cxn modelId="{F3A3BD81-D912-4AE6-B8DF-2D8E0FDA63D2}" type="presOf" srcId="{ECDDF814-62B3-4199-AD7F-53CD28DF2449}" destId="{96F76B2E-E5A7-46EF-8B26-2F893D56E3DF}" srcOrd="0" destOrd="0" presId="urn:microsoft.com/office/officeart/2005/8/layout/hierarchy1"/>
    <dgm:cxn modelId="{FBEE7189-B102-46D5-B86B-4A255C934A27}" type="presOf" srcId="{A15059B6-3944-4BF8-99EE-9D547D0BC357}" destId="{812462A1-7EC7-4972-AFA2-77F540466392}" srcOrd="0" destOrd="0" presId="urn:microsoft.com/office/officeart/2005/8/layout/hierarchy1"/>
    <dgm:cxn modelId="{8203EAA5-29BB-46CE-84BE-A80EE23B088C}" type="presOf" srcId="{BFA5D9AE-D1FB-41D4-AF4E-422352593A10}" destId="{9CDE89CB-9B94-41E2-917F-8A644781B021}" srcOrd="0" destOrd="0" presId="urn:microsoft.com/office/officeart/2005/8/layout/hierarchy1"/>
    <dgm:cxn modelId="{13C4DFA6-8FAC-4356-911E-CFAEAE496DA1}" type="presOf" srcId="{167D748B-5D79-4DE9-B1BF-34955B57B115}" destId="{19FF4A46-0894-4176-9D10-CA6C8104257D}" srcOrd="0" destOrd="0" presId="urn:microsoft.com/office/officeart/2005/8/layout/hierarchy1"/>
    <dgm:cxn modelId="{A42E0CAA-4B8A-4D6D-B130-43474596EE50}" srcId="{28B852C2-1C2F-4AC6-A853-C51B28ECCD65}" destId="{167D748B-5D79-4DE9-B1BF-34955B57B115}" srcOrd="0" destOrd="0" parTransId="{BFA5D9AE-D1FB-41D4-AF4E-422352593A10}" sibTransId="{BCA3C630-DDF1-4D2F-9FA7-9FA380B7800E}"/>
    <dgm:cxn modelId="{9BA64FAD-E87D-4167-94F6-946748ACF203}" type="presOf" srcId="{9E74A51D-3B07-42CB-BE76-153D4D2FD99D}" destId="{98C0C834-A4C9-401D-94FD-74FE95D4CE8C}" srcOrd="0" destOrd="0" presId="urn:microsoft.com/office/officeart/2005/8/layout/hierarchy1"/>
    <dgm:cxn modelId="{344716C3-5693-43E5-8AAC-9F843C43BDC2}" type="presOf" srcId="{2425D7BB-D662-429A-B6C7-EBC27ED6FC2F}" destId="{771B4CA9-0162-48C5-879A-FCA7F3F51C41}" srcOrd="0" destOrd="0" presId="urn:microsoft.com/office/officeart/2005/8/layout/hierarchy1"/>
    <dgm:cxn modelId="{133503C5-37B3-41CA-B82A-A37D26BDF543}" type="presOf" srcId="{91FBBBC0-A81F-43DA-B726-11A4D62E1889}" destId="{3020F5ED-AC22-4267-82AE-9C279311F61C}" srcOrd="0" destOrd="0" presId="urn:microsoft.com/office/officeart/2005/8/layout/hierarchy1"/>
    <dgm:cxn modelId="{6383FFC5-679F-45FE-88F1-899DFDF783E2}" srcId="{1F1545E9-FD44-403E-9E41-1F895E464989}" destId="{91FBBBC0-A81F-43DA-B726-11A4D62E1889}" srcOrd="0" destOrd="0" parTransId="{5D674236-10F0-4594-A5B1-589160C2DE5A}" sibTransId="{7AE646B9-451B-482F-A235-443738B681A8}"/>
    <dgm:cxn modelId="{638012CC-0632-4764-A111-C85E3EF66710}" type="presOf" srcId="{1F1545E9-FD44-403E-9E41-1F895E464989}" destId="{FAB70B6E-CAFA-4971-A767-95318F5A9609}" srcOrd="0" destOrd="0" presId="urn:microsoft.com/office/officeart/2005/8/layout/hierarchy1"/>
    <dgm:cxn modelId="{A1951BDC-A103-410D-8046-F84534296404}" type="presOf" srcId="{28B852C2-1C2F-4AC6-A853-C51B28ECCD65}" destId="{B02882C5-2B54-47C3-8BDE-43BE1B71DC00}" srcOrd="0" destOrd="0" presId="urn:microsoft.com/office/officeart/2005/8/layout/hierarchy1"/>
    <dgm:cxn modelId="{FF535AEE-FF60-44DC-9401-EDBE4CC496F7}" type="presOf" srcId="{26BABF5F-758F-4E95-999B-0FD8208C37DD}" destId="{CE6DE69C-D720-4293-9F83-8FF823B1B54C}" srcOrd="0" destOrd="0" presId="urn:microsoft.com/office/officeart/2005/8/layout/hierarchy1"/>
    <dgm:cxn modelId="{2A553FF4-D9B1-4F86-9917-9DA4D22E957E}" srcId="{038AD5E5-514D-47B4-BE4E-C1FAF31CBC9C}" destId="{3D5217B0-F035-433A-A856-BA511EEA6A23}" srcOrd="0" destOrd="0" parTransId="{2425D7BB-D662-429A-B6C7-EBC27ED6FC2F}" sibTransId="{468A8F74-9152-4530-B2CF-35AB6ABB012C}"/>
    <dgm:cxn modelId="{B81347C9-0877-430C-8F47-EFBD29F0B934}" type="presParOf" srcId="{FAB70B6E-CAFA-4971-A767-95318F5A9609}" destId="{97A02F68-9F00-4E62-A954-6A174E8A7E79}" srcOrd="0" destOrd="0" presId="urn:microsoft.com/office/officeart/2005/8/layout/hierarchy1"/>
    <dgm:cxn modelId="{C676DC85-A04E-4383-A8E6-CB6A04768056}" type="presParOf" srcId="{97A02F68-9F00-4E62-A954-6A174E8A7E79}" destId="{EA78105F-1F64-4A5A-AF81-A3A7899DA7B8}" srcOrd="0" destOrd="0" presId="urn:microsoft.com/office/officeart/2005/8/layout/hierarchy1"/>
    <dgm:cxn modelId="{3F65F2EA-F3EC-4B21-AD18-79542A88BFD5}" type="presParOf" srcId="{EA78105F-1F64-4A5A-AF81-A3A7899DA7B8}" destId="{87BBCA00-02B5-4F52-971E-DF82316A08D3}" srcOrd="0" destOrd="0" presId="urn:microsoft.com/office/officeart/2005/8/layout/hierarchy1"/>
    <dgm:cxn modelId="{1DF27D8F-B7F7-40B9-A104-A0B14EF67026}" type="presParOf" srcId="{EA78105F-1F64-4A5A-AF81-A3A7899DA7B8}" destId="{3020F5ED-AC22-4267-82AE-9C279311F61C}" srcOrd="1" destOrd="0" presId="urn:microsoft.com/office/officeart/2005/8/layout/hierarchy1"/>
    <dgm:cxn modelId="{8CF67980-71DB-4D19-A59D-0521E6093051}" type="presParOf" srcId="{97A02F68-9F00-4E62-A954-6A174E8A7E79}" destId="{AD23D3CB-2C2E-4C25-9098-B1B637870A86}" srcOrd="1" destOrd="0" presId="urn:microsoft.com/office/officeart/2005/8/layout/hierarchy1"/>
    <dgm:cxn modelId="{9FDA47D2-92D9-4A36-9F37-51F6931AF461}" type="presParOf" srcId="{AD23D3CB-2C2E-4C25-9098-B1B637870A86}" destId="{96F76B2E-E5A7-46EF-8B26-2F893D56E3DF}" srcOrd="0" destOrd="0" presId="urn:microsoft.com/office/officeart/2005/8/layout/hierarchy1"/>
    <dgm:cxn modelId="{DDC9ABC7-95E8-4C4F-921A-2DC8B8A02911}" type="presParOf" srcId="{AD23D3CB-2C2E-4C25-9098-B1B637870A86}" destId="{BD88DFB6-C40E-4974-B816-4EEFAEBA23C3}" srcOrd="1" destOrd="0" presId="urn:microsoft.com/office/officeart/2005/8/layout/hierarchy1"/>
    <dgm:cxn modelId="{6429E580-3EBD-4F84-9795-8DD01D4365B2}" type="presParOf" srcId="{BD88DFB6-C40E-4974-B816-4EEFAEBA23C3}" destId="{9E1C99B3-7128-4D2C-BE12-F8BF602D5870}" srcOrd="0" destOrd="0" presId="urn:microsoft.com/office/officeart/2005/8/layout/hierarchy1"/>
    <dgm:cxn modelId="{54640DD4-8DCF-4268-ABBF-228ABAEEE03B}" type="presParOf" srcId="{9E1C99B3-7128-4D2C-BE12-F8BF602D5870}" destId="{8F7C3718-46E6-47E7-A530-F92F7DABA1E2}" srcOrd="0" destOrd="0" presId="urn:microsoft.com/office/officeart/2005/8/layout/hierarchy1"/>
    <dgm:cxn modelId="{B1B2AE45-D040-4FE8-BB20-F6C6E4214BBE}" type="presParOf" srcId="{9E1C99B3-7128-4D2C-BE12-F8BF602D5870}" destId="{CE6DE69C-D720-4293-9F83-8FF823B1B54C}" srcOrd="1" destOrd="0" presId="urn:microsoft.com/office/officeart/2005/8/layout/hierarchy1"/>
    <dgm:cxn modelId="{515304A1-AE3F-478C-98DA-01BE9FA10895}" type="presParOf" srcId="{BD88DFB6-C40E-4974-B816-4EEFAEBA23C3}" destId="{65872E19-FCD5-487E-A583-9B7CDAA50F6E}" srcOrd="1" destOrd="0" presId="urn:microsoft.com/office/officeart/2005/8/layout/hierarchy1"/>
    <dgm:cxn modelId="{B2B5FC78-53CB-44BD-A129-C0E99EAF6795}" type="presParOf" srcId="{65872E19-FCD5-487E-A583-9B7CDAA50F6E}" destId="{812462A1-7EC7-4972-AFA2-77F540466392}" srcOrd="0" destOrd="0" presId="urn:microsoft.com/office/officeart/2005/8/layout/hierarchy1"/>
    <dgm:cxn modelId="{AE68EEA8-C82A-4E4D-BED7-5A354D943C67}" type="presParOf" srcId="{65872E19-FCD5-487E-A583-9B7CDAA50F6E}" destId="{A67D603A-703B-46B3-9035-4CE356B253CA}" srcOrd="1" destOrd="0" presId="urn:microsoft.com/office/officeart/2005/8/layout/hierarchy1"/>
    <dgm:cxn modelId="{FCEF2C02-F1D6-4A1A-AE5E-085364754286}" type="presParOf" srcId="{A67D603A-703B-46B3-9035-4CE356B253CA}" destId="{02239B87-B332-4339-A7CB-24E429DAF7CC}" srcOrd="0" destOrd="0" presId="urn:microsoft.com/office/officeart/2005/8/layout/hierarchy1"/>
    <dgm:cxn modelId="{6E842B81-BFD9-4EB3-B4AE-0182C50A9E79}" type="presParOf" srcId="{02239B87-B332-4339-A7CB-24E429DAF7CC}" destId="{7BD97537-282B-4779-A9ED-2521A57BCBAD}" srcOrd="0" destOrd="0" presId="urn:microsoft.com/office/officeart/2005/8/layout/hierarchy1"/>
    <dgm:cxn modelId="{7A02E04A-7418-43BE-A52A-C785CD160199}" type="presParOf" srcId="{02239B87-B332-4339-A7CB-24E429DAF7CC}" destId="{B02882C5-2B54-47C3-8BDE-43BE1B71DC00}" srcOrd="1" destOrd="0" presId="urn:microsoft.com/office/officeart/2005/8/layout/hierarchy1"/>
    <dgm:cxn modelId="{E1A3E431-AE1A-4E3D-9F7A-C1F2E2E861F9}" type="presParOf" srcId="{A67D603A-703B-46B3-9035-4CE356B253CA}" destId="{463D700A-D8B4-4A6C-958F-42B0C0E1EB87}" srcOrd="1" destOrd="0" presId="urn:microsoft.com/office/officeart/2005/8/layout/hierarchy1"/>
    <dgm:cxn modelId="{349447B2-F1C8-42CA-9E36-FBC612B01127}" type="presParOf" srcId="{463D700A-D8B4-4A6C-958F-42B0C0E1EB87}" destId="{9CDE89CB-9B94-41E2-917F-8A644781B021}" srcOrd="0" destOrd="0" presId="urn:microsoft.com/office/officeart/2005/8/layout/hierarchy1"/>
    <dgm:cxn modelId="{13AEE34C-A947-46E6-A849-6B316C2FCDE7}" type="presParOf" srcId="{463D700A-D8B4-4A6C-958F-42B0C0E1EB87}" destId="{86204031-5A83-4110-B118-77CFF7B986AB}" srcOrd="1" destOrd="0" presId="urn:microsoft.com/office/officeart/2005/8/layout/hierarchy1"/>
    <dgm:cxn modelId="{F1DEB2EA-9615-4035-84D2-410A7DF8A561}" type="presParOf" srcId="{86204031-5A83-4110-B118-77CFF7B986AB}" destId="{1083EB2C-EC57-4C40-A3B0-DF04FD5A073A}" srcOrd="0" destOrd="0" presId="urn:microsoft.com/office/officeart/2005/8/layout/hierarchy1"/>
    <dgm:cxn modelId="{86891283-57E2-47AA-B03D-5154E536083B}" type="presParOf" srcId="{1083EB2C-EC57-4C40-A3B0-DF04FD5A073A}" destId="{907CEB42-BF99-4605-9A2F-8B46523587F6}" srcOrd="0" destOrd="0" presId="urn:microsoft.com/office/officeart/2005/8/layout/hierarchy1"/>
    <dgm:cxn modelId="{49312BF7-1842-4E08-A972-551FE7C1C87E}" type="presParOf" srcId="{1083EB2C-EC57-4C40-A3B0-DF04FD5A073A}" destId="{19FF4A46-0894-4176-9D10-CA6C8104257D}" srcOrd="1" destOrd="0" presId="urn:microsoft.com/office/officeart/2005/8/layout/hierarchy1"/>
    <dgm:cxn modelId="{7DEA2A56-F868-4218-A716-2B021BB4DE41}" type="presParOf" srcId="{86204031-5A83-4110-B118-77CFF7B986AB}" destId="{ED48C7F6-86B4-485D-965C-850A4ECC9AE0}" srcOrd="1" destOrd="0" presId="urn:microsoft.com/office/officeart/2005/8/layout/hierarchy1"/>
    <dgm:cxn modelId="{BF13F34A-0576-4825-9885-83D97834B732}" type="presParOf" srcId="{65872E19-FCD5-487E-A583-9B7CDAA50F6E}" destId="{98C0C834-A4C9-401D-94FD-74FE95D4CE8C}" srcOrd="2" destOrd="0" presId="urn:microsoft.com/office/officeart/2005/8/layout/hierarchy1"/>
    <dgm:cxn modelId="{9A4BFF73-C5FB-425D-8C64-B79D9F0FB23B}" type="presParOf" srcId="{65872E19-FCD5-487E-A583-9B7CDAA50F6E}" destId="{F4C25557-B34E-4A1F-8413-061A9B261935}" srcOrd="3" destOrd="0" presId="urn:microsoft.com/office/officeart/2005/8/layout/hierarchy1"/>
    <dgm:cxn modelId="{E0C35B16-F36A-4CDE-B42C-1D605AA525DD}" type="presParOf" srcId="{F4C25557-B34E-4A1F-8413-061A9B261935}" destId="{3F26914E-3ABA-4C82-94A4-03EAC19756A3}" srcOrd="0" destOrd="0" presId="urn:microsoft.com/office/officeart/2005/8/layout/hierarchy1"/>
    <dgm:cxn modelId="{3CC37D1D-E7DC-422D-ACB4-F61D6AE1D8B8}" type="presParOf" srcId="{3F26914E-3ABA-4C82-94A4-03EAC19756A3}" destId="{1823019F-45B8-49D5-9229-299D2F0DF74C}" srcOrd="0" destOrd="0" presId="urn:microsoft.com/office/officeart/2005/8/layout/hierarchy1"/>
    <dgm:cxn modelId="{715DA349-BF54-406E-8ED2-2969562D2B4C}" type="presParOf" srcId="{3F26914E-3ABA-4C82-94A4-03EAC19756A3}" destId="{A39AEB1C-286B-4373-8FA0-B4660B980341}" srcOrd="1" destOrd="0" presId="urn:microsoft.com/office/officeart/2005/8/layout/hierarchy1"/>
    <dgm:cxn modelId="{FC1EA976-D9A8-487D-9F69-00ABF4A1E1B8}" type="presParOf" srcId="{F4C25557-B34E-4A1F-8413-061A9B261935}" destId="{C72B16FB-6D65-4DCF-B881-982100AD73C5}" srcOrd="1" destOrd="0" presId="urn:microsoft.com/office/officeart/2005/8/layout/hierarchy1"/>
    <dgm:cxn modelId="{8CAAE8B7-408A-45D4-82EB-B7C6D2EB6504}" type="presParOf" srcId="{C72B16FB-6D65-4DCF-B881-982100AD73C5}" destId="{04973A8A-0BCA-49D5-8452-EA6F0B9BBB3A}" srcOrd="0" destOrd="0" presId="urn:microsoft.com/office/officeart/2005/8/layout/hierarchy1"/>
    <dgm:cxn modelId="{E37422C6-3550-4155-B9F2-F0063EB5646F}" type="presParOf" srcId="{C72B16FB-6D65-4DCF-B881-982100AD73C5}" destId="{EBA50AC0-691E-4BC8-8801-9D399BDA3727}" srcOrd="1" destOrd="0" presId="urn:microsoft.com/office/officeart/2005/8/layout/hierarchy1"/>
    <dgm:cxn modelId="{8AEE471C-A415-4001-91D0-17D927BD6643}" type="presParOf" srcId="{EBA50AC0-691E-4BC8-8801-9D399BDA3727}" destId="{74D9C82A-E62B-4D14-B7E2-843230A6313A}" srcOrd="0" destOrd="0" presId="urn:microsoft.com/office/officeart/2005/8/layout/hierarchy1"/>
    <dgm:cxn modelId="{0B77A317-D5C4-4769-B577-79D2A754604C}" type="presParOf" srcId="{74D9C82A-E62B-4D14-B7E2-843230A6313A}" destId="{91A25012-9D3B-4731-A92C-6B96C229E7E2}" srcOrd="0" destOrd="0" presId="urn:microsoft.com/office/officeart/2005/8/layout/hierarchy1"/>
    <dgm:cxn modelId="{8033AD29-B8E1-4114-A98B-41A7D62F3B00}" type="presParOf" srcId="{74D9C82A-E62B-4D14-B7E2-843230A6313A}" destId="{C500FB52-BB03-4C07-AAAB-6760DF1AF566}" srcOrd="1" destOrd="0" presId="urn:microsoft.com/office/officeart/2005/8/layout/hierarchy1"/>
    <dgm:cxn modelId="{BE40ED42-FABF-46DA-BCAF-9C87DFC0533E}" type="presParOf" srcId="{EBA50AC0-691E-4BC8-8801-9D399BDA3727}" destId="{9CD6EC7D-7C64-4039-9307-C33D6D1D764B}" srcOrd="1" destOrd="0" presId="urn:microsoft.com/office/officeart/2005/8/layout/hierarchy1"/>
    <dgm:cxn modelId="{088516A2-E685-4BF3-9B7C-D4BBD961E7A7}" type="presParOf" srcId="{9CD6EC7D-7C64-4039-9307-C33D6D1D764B}" destId="{771B4CA9-0162-48C5-879A-FCA7F3F51C41}" srcOrd="0" destOrd="0" presId="urn:microsoft.com/office/officeart/2005/8/layout/hierarchy1"/>
    <dgm:cxn modelId="{A8F79654-965F-4A24-BA0A-5697AFDA2EF4}" type="presParOf" srcId="{9CD6EC7D-7C64-4039-9307-C33D6D1D764B}" destId="{8856C117-75A6-4998-B6CC-CD00379F6436}" srcOrd="1" destOrd="0" presId="urn:microsoft.com/office/officeart/2005/8/layout/hierarchy1"/>
    <dgm:cxn modelId="{DFCF59CC-FA4B-4EA8-A882-BF829B96AAE7}" type="presParOf" srcId="{8856C117-75A6-4998-B6CC-CD00379F6436}" destId="{59C0C83D-963B-47EE-8C9A-6D35DECD4F21}" srcOrd="0" destOrd="0" presId="urn:microsoft.com/office/officeart/2005/8/layout/hierarchy1"/>
    <dgm:cxn modelId="{B3943F4D-38F4-4E01-94A9-C960B4C44B41}" type="presParOf" srcId="{59C0C83D-963B-47EE-8C9A-6D35DECD4F21}" destId="{EEF94E5E-A943-4AD3-B4F5-B6CC5ECA2273}" srcOrd="0" destOrd="0" presId="urn:microsoft.com/office/officeart/2005/8/layout/hierarchy1"/>
    <dgm:cxn modelId="{5B735AC3-018A-49A8-9C87-5B1DEA38993D}" type="presParOf" srcId="{59C0C83D-963B-47EE-8C9A-6D35DECD4F21}" destId="{6F2CE028-4E54-4853-A22A-1DBA22AAB98F}" srcOrd="1" destOrd="0" presId="urn:microsoft.com/office/officeart/2005/8/layout/hierarchy1"/>
    <dgm:cxn modelId="{1E4BE1AD-BEDB-4852-850B-DCFF7582994F}" type="presParOf" srcId="{8856C117-75A6-4998-B6CC-CD00379F6436}" destId="{73565974-E416-4F1C-9155-8C91814590B2}" srcOrd="1" destOrd="0" presId="urn:microsoft.com/office/officeart/2005/8/layout/hierarchy1"/>
    <dgm:cxn modelId="{4211EEFE-7148-49FB-B78A-54CBC396EC7B}" type="presParOf" srcId="{C72B16FB-6D65-4DCF-B881-982100AD73C5}" destId="{BFA22FC7-0BD9-4EF1-B5EE-45842A6BA5E7}" srcOrd="2" destOrd="0" presId="urn:microsoft.com/office/officeart/2005/8/layout/hierarchy1"/>
    <dgm:cxn modelId="{AB762721-1F06-4103-B8A2-C0068163E5B7}" type="presParOf" srcId="{C72B16FB-6D65-4DCF-B881-982100AD73C5}" destId="{8DB3B1F7-2CD7-4904-98A2-B5F81A3F344B}" srcOrd="3" destOrd="0" presId="urn:microsoft.com/office/officeart/2005/8/layout/hierarchy1"/>
    <dgm:cxn modelId="{B6E35F8D-E213-48CA-80E5-E975A3DEEB28}" type="presParOf" srcId="{8DB3B1F7-2CD7-4904-98A2-B5F81A3F344B}" destId="{B72CCE25-13D3-4CB1-8D4B-2A61A090BE01}" srcOrd="0" destOrd="0" presId="urn:microsoft.com/office/officeart/2005/8/layout/hierarchy1"/>
    <dgm:cxn modelId="{B783AF64-4EE2-4323-BD7A-B9BD779FDBAF}" type="presParOf" srcId="{B72CCE25-13D3-4CB1-8D4B-2A61A090BE01}" destId="{1A20C1D8-DAFE-4276-85C7-10765E654F54}" srcOrd="0" destOrd="0" presId="urn:microsoft.com/office/officeart/2005/8/layout/hierarchy1"/>
    <dgm:cxn modelId="{AE978442-81B7-48BA-A894-EF0CA20DAF0B}" type="presParOf" srcId="{B72CCE25-13D3-4CB1-8D4B-2A61A090BE01}" destId="{C319D7DA-77C8-413C-A7BA-ECB673613D3F}" srcOrd="1" destOrd="0" presId="urn:microsoft.com/office/officeart/2005/8/layout/hierarchy1"/>
    <dgm:cxn modelId="{EA0D6E72-1E76-4ECE-A6F6-79557DF420F8}" type="presParOf" srcId="{8DB3B1F7-2CD7-4904-98A2-B5F81A3F344B}" destId="{BE03252E-1E30-4FEB-9706-CDEC2F5F3F16}" srcOrd="1" destOrd="0" presId="urn:microsoft.com/office/officeart/2005/8/layout/hierarchy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A15CD93-2225-40CF-B7F3-D9BC05A6A36C}" type="doc">
      <dgm:prSet loTypeId="urn:microsoft.com/office/officeart/2005/8/layout/default" loCatId="list" qsTypeId="urn:microsoft.com/office/officeart/2005/8/quickstyle/3d4" qsCatId="3D" csTypeId="urn:microsoft.com/office/officeart/2005/8/colors/accent1_2" csCatId="accent1" phldr="1"/>
      <dgm:spPr/>
      <dgm:t>
        <a:bodyPr/>
        <a:lstStyle/>
        <a:p>
          <a:endParaRPr lang="en-ZW"/>
        </a:p>
      </dgm:t>
    </dgm:pt>
    <dgm:pt modelId="{F709939E-9A7E-4AF8-B85B-EAD1F8252B37}">
      <dgm:prSet phldrT="[Text]"/>
      <dgm:spPr/>
      <dgm:t>
        <a:bodyPr/>
        <a:lstStyle/>
        <a:p>
          <a:pPr>
            <a:buNone/>
          </a:pPr>
          <a:r>
            <a:rPr lang="en-ZW"/>
            <a:t>Accurate valuations</a:t>
          </a:r>
        </a:p>
      </dgm:t>
    </dgm:pt>
    <dgm:pt modelId="{5F38A390-B6E4-43F2-9F39-F6CFC04082A3}" type="parTrans" cxnId="{CF908B70-B8D0-4D95-98A9-9A597DF323C9}">
      <dgm:prSet/>
      <dgm:spPr/>
      <dgm:t>
        <a:bodyPr/>
        <a:lstStyle/>
        <a:p>
          <a:endParaRPr lang="en-ZW"/>
        </a:p>
      </dgm:t>
    </dgm:pt>
    <dgm:pt modelId="{61BD066B-FFF7-4AE0-A1CC-B6F18A06B675}" type="sibTrans" cxnId="{CF908B70-B8D0-4D95-98A9-9A597DF323C9}">
      <dgm:prSet/>
      <dgm:spPr/>
      <dgm:t>
        <a:bodyPr/>
        <a:lstStyle/>
        <a:p>
          <a:endParaRPr lang="en-ZW"/>
        </a:p>
      </dgm:t>
    </dgm:pt>
    <dgm:pt modelId="{FB0CBD9A-F068-4F7E-BB15-521A41F14E27}">
      <dgm:prSet phldrT="[Text]"/>
      <dgm:spPr/>
      <dgm:t>
        <a:bodyPr/>
        <a:lstStyle/>
        <a:p>
          <a:pPr>
            <a:buNone/>
          </a:pPr>
          <a:r>
            <a:rPr lang="en-ZW"/>
            <a:t>Fast conveyancing updates</a:t>
          </a:r>
        </a:p>
      </dgm:t>
    </dgm:pt>
    <dgm:pt modelId="{3845C5B3-8D88-45F3-9437-670A4781DC1B}" type="parTrans" cxnId="{F95861F2-5F8A-4885-AE2F-0AF6F5562145}">
      <dgm:prSet/>
      <dgm:spPr/>
      <dgm:t>
        <a:bodyPr/>
        <a:lstStyle/>
        <a:p>
          <a:endParaRPr lang="en-ZW"/>
        </a:p>
      </dgm:t>
    </dgm:pt>
    <dgm:pt modelId="{9EA39391-C2F4-423C-8B37-0A8E349FEE88}" type="sibTrans" cxnId="{F95861F2-5F8A-4885-AE2F-0AF6F5562145}">
      <dgm:prSet/>
      <dgm:spPr/>
      <dgm:t>
        <a:bodyPr/>
        <a:lstStyle/>
        <a:p>
          <a:endParaRPr lang="en-ZW"/>
        </a:p>
      </dgm:t>
    </dgm:pt>
    <dgm:pt modelId="{ACAF444A-7BE1-4B78-94B2-7B7D2BC73E7C}">
      <dgm:prSet phldrT="[Text]"/>
      <dgm:spPr/>
      <dgm:t>
        <a:bodyPr/>
        <a:lstStyle/>
        <a:p>
          <a:pPr>
            <a:buNone/>
          </a:pPr>
          <a:r>
            <a:rPr lang="en-ZW"/>
            <a:t>Reliable protection advice</a:t>
          </a:r>
        </a:p>
      </dgm:t>
    </dgm:pt>
    <dgm:pt modelId="{F62145B7-3C0B-403A-9839-A8D632AE05E7}" type="parTrans" cxnId="{1B4097AC-8111-4882-AFE0-09FDB560FF90}">
      <dgm:prSet/>
      <dgm:spPr/>
      <dgm:t>
        <a:bodyPr/>
        <a:lstStyle/>
        <a:p>
          <a:endParaRPr lang="en-ZW"/>
        </a:p>
      </dgm:t>
    </dgm:pt>
    <dgm:pt modelId="{EDCC4DD2-AABD-4BB1-981B-A3119EB26F01}" type="sibTrans" cxnId="{1B4097AC-8111-4882-AFE0-09FDB560FF90}">
      <dgm:prSet/>
      <dgm:spPr/>
      <dgm:t>
        <a:bodyPr/>
        <a:lstStyle/>
        <a:p>
          <a:endParaRPr lang="en-ZW"/>
        </a:p>
      </dgm:t>
    </dgm:pt>
    <dgm:pt modelId="{112A0ABF-F38E-49E9-ABDB-11F091E94268}">
      <dgm:prSet phldrT="[Text]"/>
      <dgm:spPr/>
      <dgm:t>
        <a:bodyPr/>
        <a:lstStyle/>
        <a:p>
          <a:pPr>
            <a:buNone/>
          </a:pPr>
          <a:r>
            <a:rPr lang="en-ZW"/>
            <a:t>Access to specialist lending solutions</a:t>
          </a:r>
        </a:p>
      </dgm:t>
    </dgm:pt>
    <dgm:pt modelId="{04663BC8-D2C3-4422-978B-C3B27FC314C2}" type="sibTrans" cxnId="{2F77A89B-CC32-4B8E-A4B5-798CFA4E0A73}">
      <dgm:prSet/>
      <dgm:spPr/>
      <dgm:t>
        <a:bodyPr/>
        <a:lstStyle/>
        <a:p>
          <a:endParaRPr lang="en-ZW"/>
        </a:p>
      </dgm:t>
    </dgm:pt>
    <dgm:pt modelId="{162BD472-6817-45FD-AAC9-1463058B356A}" type="parTrans" cxnId="{2F77A89B-CC32-4B8E-A4B5-798CFA4E0A73}">
      <dgm:prSet/>
      <dgm:spPr/>
      <dgm:t>
        <a:bodyPr/>
        <a:lstStyle/>
        <a:p>
          <a:endParaRPr lang="en-ZW"/>
        </a:p>
      </dgm:t>
    </dgm:pt>
    <dgm:pt modelId="{C5383B47-98C9-4AD6-B33D-9C62871F1A16}">
      <dgm:prSet phldrT="[Text]"/>
      <dgm:spPr/>
      <dgm:t>
        <a:bodyPr/>
        <a:lstStyle/>
        <a:p>
          <a:pPr>
            <a:buNone/>
          </a:pPr>
          <a:r>
            <a:rPr lang="en-ZW"/>
            <a:t>Updated product information and lender criteria</a:t>
          </a:r>
        </a:p>
      </dgm:t>
    </dgm:pt>
    <dgm:pt modelId="{1526624F-4E4F-4B2B-A712-E696D5AA4990}" type="parTrans" cxnId="{76C118FD-E5B4-4B0A-9E31-93B6D18F2790}">
      <dgm:prSet/>
      <dgm:spPr/>
      <dgm:t>
        <a:bodyPr/>
        <a:lstStyle/>
        <a:p>
          <a:endParaRPr lang="en-ZW"/>
        </a:p>
      </dgm:t>
    </dgm:pt>
    <dgm:pt modelId="{D0A3CE73-7F6D-46B6-8F38-6218A6A6BBC6}" type="sibTrans" cxnId="{76C118FD-E5B4-4B0A-9E31-93B6D18F2790}">
      <dgm:prSet/>
      <dgm:spPr/>
      <dgm:t>
        <a:bodyPr/>
        <a:lstStyle/>
        <a:p>
          <a:endParaRPr lang="en-ZW"/>
        </a:p>
      </dgm:t>
    </dgm:pt>
    <dgm:pt modelId="{D47BDC00-45F0-425D-AF5A-A7661F2968F7}" type="pres">
      <dgm:prSet presAssocID="{EA15CD93-2225-40CF-B7F3-D9BC05A6A36C}" presName="diagram" presStyleCnt="0">
        <dgm:presLayoutVars>
          <dgm:dir/>
          <dgm:resizeHandles val="exact"/>
        </dgm:presLayoutVars>
      </dgm:prSet>
      <dgm:spPr/>
    </dgm:pt>
    <dgm:pt modelId="{018631C9-9C11-458E-8286-951EA8ED40E2}" type="pres">
      <dgm:prSet presAssocID="{F709939E-9A7E-4AF8-B85B-EAD1F8252B37}" presName="node" presStyleLbl="node1" presStyleIdx="0" presStyleCnt="5">
        <dgm:presLayoutVars>
          <dgm:bulletEnabled val="1"/>
        </dgm:presLayoutVars>
      </dgm:prSet>
      <dgm:spPr/>
    </dgm:pt>
    <dgm:pt modelId="{8208E534-ECC9-4015-9DF7-506B835EC66B}" type="pres">
      <dgm:prSet presAssocID="{61BD066B-FFF7-4AE0-A1CC-B6F18A06B675}" presName="sibTrans" presStyleCnt="0"/>
      <dgm:spPr/>
    </dgm:pt>
    <dgm:pt modelId="{99A29C28-2876-4754-ADCA-902FBD8A52D4}" type="pres">
      <dgm:prSet presAssocID="{FB0CBD9A-F068-4F7E-BB15-521A41F14E27}" presName="node" presStyleLbl="node1" presStyleIdx="1" presStyleCnt="5">
        <dgm:presLayoutVars>
          <dgm:bulletEnabled val="1"/>
        </dgm:presLayoutVars>
      </dgm:prSet>
      <dgm:spPr/>
    </dgm:pt>
    <dgm:pt modelId="{3B17C9EB-C162-478F-A0F3-0D43EB315B06}" type="pres">
      <dgm:prSet presAssocID="{9EA39391-C2F4-423C-8B37-0A8E349FEE88}" presName="sibTrans" presStyleCnt="0"/>
      <dgm:spPr/>
    </dgm:pt>
    <dgm:pt modelId="{3A28E179-C7E9-4F26-B633-09B50DAE183D}" type="pres">
      <dgm:prSet presAssocID="{ACAF444A-7BE1-4B78-94B2-7B7D2BC73E7C}" presName="node" presStyleLbl="node1" presStyleIdx="2" presStyleCnt="5">
        <dgm:presLayoutVars>
          <dgm:bulletEnabled val="1"/>
        </dgm:presLayoutVars>
      </dgm:prSet>
      <dgm:spPr/>
    </dgm:pt>
    <dgm:pt modelId="{E88921F7-E05C-40D8-87BE-A606159B8071}" type="pres">
      <dgm:prSet presAssocID="{EDCC4DD2-AABD-4BB1-981B-A3119EB26F01}" presName="sibTrans" presStyleCnt="0"/>
      <dgm:spPr/>
    </dgm:pt>
    <dgm:pt modelId="{A894CA20-6782-49C0-9B23-3716CB08BBEA}" type="pres">
      <dgm:prSet presAssocID="{112A0ABF-F38E-49E9-ABDB-11F091E94268}" presName="node" presStyleLbl="node1" presStyleIdx="3" presStyleCnt="5">
        <dgm:presLayoutVars>
          <dgm:bulletEnabled val="1"/>
        </dgm:presLayoutVars>
      </dgm:prSet>
      <dgm:spPr/>
    </dgm:pt>
    <dgm:pt modelId="{F8C65828-20DD-4466-B053-CFD7E928BBA1}" type="pres">
      <dgm:prSet presAssocID="{04663BC8-D2C3-4422-978B-C3B27FC314C2}" presName="sibTrans" presStyleCnt="0"/>
      <dgm:spPr/>
    </dgm:pt>
    <dgm:pt modelId="{F07CD62F-4C95-404F-A1BB-A72B907E4E3F}" type="pres">
      <dgm:prSet presAssocID="{C5383B47-98C9-4AD6-B33D-9C62871F1A16}" presName="node" presStyleLbl="node1" presStyleIdx="4" presStyleCnt="5">
        <dgm:presLayoutVars>
          <dgm:bulletEnabled val="1"/>
        </dgm:presLayoutVars>
      </dgm:prSet>
      <dgm:spPr/>
    </dgm:pt>
  </dgm:ptLst>
  <dgm:cxnLst>
    <dgm:cxn modelId="{683EBC3F-DD56-452E-8F77-9E9A93A47A64}" type="presOf" srcId="{FB0CBD9A-F068-4F7E-BB15-521A41F14E27}" destId="{99A29C28-2876-4754-ADCA-902FBD8A52D4}" srcOrd="0" destOrd="0" presId="urn:microsoft.com/office/officeart/2005/8/layout/default"/>
    <dgm:cxn modelId="{47C2CE66-E76D-4621-B9CA-E1DC074B98E9}" type="presOf" srcId="{EA15CD93-2225-40CF-B7F3-D9BC05A6A36C}" destId="{D47BDC00-45F0-425D-AF5A-A7661F2968F7}" srcOrd="0" destOrd="0" presId="urn:microsoft.com/office/officeart/2005/8/layout/default"/>
    <dgm:cxn modelId="{656E2648-98D2-4AFC-94BD-95D052937312}" type="presOf" srcId="{112A0ABF-F38E-49E9-ABDB-11F091E94268}" destId="{A894CA20-6782-49C0-9B23-3716CB08BBEA}" srcOrd="0" destOrd="0" presId="urn:microsoft.com/office/officeart/2005/8/layout/default"/>
    <dgm:cxn modelId="{CF908B70-B8D0-4D95-98A9-9A597DF323C9}" srcId="{EA15CD93-2225-40CF-B7F3-D9BC05A6A36C}" destId="{F709939E-9A7E-4AF8-B85B-EAD1F8252B37}" srcOrd="0" destOrd="0" parTransId="{5F38A390-B6E4-43F2-9F39-F6CFC04082A3}" sibTransId="{61BD066B-FFF7-4AE0-A1CC-B6F18A06B675}"/>
    <dgm:cxn modelId="{6575A773-882E-41D1-8B0A-219B0C5364D4}" type="presOf" srcId="{F709939E-9A7E-4AF8-B85B-EAD1F8252B37}" destId="{018631C9-9C11-458E-8286-951EA8ED40E2}" srcOrd="0" destOrd="0" presId="urn:microsoft.com/office/officeart/2005/8/layout/default"/>
    <dgm:cxn modelId="{2135BF82-3423-4352-BE6D-16EAAAE27E2D}" type="presOf" srcId="{C5383B47-98C9-4AD6-B33D-9C62871F1A16}" destId="{F07CD62F-4C95-404F-A1BB-A72B907E4E3F}" srcOrd="0" destOrd="0" presId="urn:microsoft.com/office/officeart/2005/8/layout/default"/>
    <dgm:cxn modelId="{2F77A89B-CC32-4B8E-A4B5-798CFA4E0A73}" srcId="{EA15CD93-2225-40CF-B7F3-D9BC05A6A36C}" destId="{112A0ABF-F38E-49E9-ABDB-11F091E94268}" srcOrd="3" destOrd="0" parTransId="{162BD472-6817-45FD-AAC9-1463058B356A}" sibTransId="{04663BC8-D2C3-4422-978B-C3B27FC314C2}"/>
    <dgm:cxn modelId="{1B4097AC-8111-4882-AFE0-09FDB560FF90}" srcId="{EA15CD93-2225-40CF-B7F3-D9BC05A6A36C}" destId="{ACAF444A-7BE1-4B78-94B2-7B7D2BC73E7C}" srcOrd="2" destOrd="0" parTransId="{F62145B7-3C0B-403A-9839-A8D632AE05E7}" sibTransId="{EDCC4DD2-AABD-4BB1-981B-A3119EB26F01}"/>
    <dgm:cxn modelId="{3418FEE3-B8F3-4CBF-AC31-052B1DAEDDFD}" type="presOf" srcId="{ACAF444A-7BE1-4B78-94B2-7B7D2BC73E7C}" destId="{3A28E179-C7E9-4F26-B633-09B50DAE183D}" srcOrd="0" destOrd="0" presId="urn:microsoft.com/office/officeart/2005/8/layout/default"/>
    <dgm:cxn modelId="{F95861F2-5F8A-4885-AE2F-0AF6F5562145}" srcId="{EA15CD93-2225-40CF-B7F3-D9BC05A6A36C}" destId="{FB0CBD9A-F068-4F7E-BB15-521A41F14E27}" srcOrd="1" destOrd="0" parTransId="{3845C5B3-8D88-45F3-9437-670A4781DC1B}" sibTransId="{9EA39391-C2F4-423C-8B37-0A8E349FEE88}"/>
    <dgm:cxn modelId="{76C118FD-E5B4-4B0A-9E31-93B6D18F2790}" srcId="{EA15CD93-2225-40CF-B7F3-D9BC05A6A36C}" destId="{C5383B47-98C9-4AD6-B33D-9C62871F1A16}" srcOrd="4" destOrd="0" parTransId="{1526624F-4E4F-4B2B-A712-E696D5AA4990}" sibTransId="{D0A3CE73-7F6D-46B6-8F38-6218A6A6BBC6}"/>
    <dgm:cxn modelId="{0CFDB5B5-685C-4EC0-9FBB-9CC9A59DBB37}" type="presParOf" srcId="{D47BDC00-45F0-425D-AF5A-A7661F2968F7}" destId="{018631C9-9C11-458E-8286-951EA8ED40E2}" srcOrd="0" destOrd="0" presId="urn:microsoft.com/office/officeart/2005/8/layout/default"/>
    <dgm:cxn modelId="{CE325935-A1A8-4026-B370-0E99470E2439}" type="presParOf" srcId="{D47BDC00-45F0-425D-AF5A-A7661F2968F7}" destId="{8208E534-ECC9-4015-9DF7-506B835EC66B}" srcOrd="1" destOrd="0" presId="urn:microsoft.com/office/officeart/2005/8/layout/default"/>
    <dgm:cxn modelId="{1787085A-E835-462F-BE44-5D6B51639342}" type="presParOf" srcId="{D47BDC00-45F0-425D-AF5A-A7661F2968F7}" destId="{99A29C28-2876-4754-ADCA-902FBD8A52D4}" srcOrd="2" destOrd="0" presId="urn:microsoft.com/office/officeart/2005/8/layout/default"/>
    <dgm:cxn modelId="{6444C46B-B5CB-4BF7-8C9F-CDF8A15AAB2F}" type="presParOf" srcId="{D47BDC00-45F0-425D-AF5A-A7661F2968F7}" destId="{3B17C9EB-C162-478F-A0F3-0D43EB315B06}" srcOrd="3" destOrd="0" presId="urn:microsoft.com/office/officeart/2005/8/layout/default"/>
    <dgm:cxn modelId="{99FF5BE0-8FF8-4078-894C-2FB21B2032EA}" type="presParOf" srcId="{D47BDC00-45F0-425D-AF5A-A7661F2968F7}" destId="{3A28E179-C7E9-4F26-B633-09B50DAE183D}" srcOrd="4" destOrd="0" presId="urn:microsoft.com/office/officeart/2005/8/layout/default"/>
    <dgm:cxn modelId="{0917E37B-A482-4DA9-AA22-5CBD06D24EC0}" type="presParOf" srcId="{D47BDC00-45F0-425D-AF5A-A7661F2968F7}" destId="{E88921F7-E05C-40D8-87BE-A606159B8071}" srcOrd="5" destOrd="0" presId="urn:microsoft.com/office/officeart/2005/8/layout/default"/>
    <dgm:cxn modelId="{4D27D321-F033-4EF6-A8E2-F3D72002611B}" type="presParOf" srcId="{D47BDC00-45F0-425D-AF5A-A7661F2968F7}" destId="{A894CA20-6782-49C0-9B23-3716CB08BBEA}" srcOrd="6" destOrd="0" presId="urn:microsoft.com/office/officeart/2005/8/layout/default"/>
    <dgm:cxn modelId="{FDB420FD-94D1-4DB9-8719-BACF776DFE84}" type="presParOf" srcId="{D47BDC00-45F0-425D-AF5A-A7661F2968F7}" destId="{F8C65828-20DD-4466-B053-CFD7E928BBA1}" srcOrd="7" destOrd="0" presId="urn:microsoft.com/office/officeart/2005/8/layout/default"/>
    <dgm:cxn modelId="{DAED0DC5-1BB6-4666-B333-C87F8BF03B78}" type="presParOf" srcId="{D47BDC00-45F0-425D-AF5A-A7661F2968F7}" destId="{F07CD62F-4C95-404F-A1BB-A72B907E4E3F}" srcOrd="8" destOrd="0" presId="urn:microsoft.com/office/officeart/2005/8/layout/default"/>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8501FA-CFF4-40CB-B549-014648015685}">
      <dsp:nvSpPr>
        <dsp:cNvPr id="0" name=""/>
        <dsp:cNvSpPr/>
      </dsp:nvSpPr>
      <dsp:spPr>
        <a:xfrm>
          <a:off x="4309893" y="2738462"/>
          <a:ext cx="156092" cy="478683"/>
        </a:xfrm>
        <a:custGeom>
          <a:avLst/>
          <a:gdLst/>
          <a:ahLst/>
          <a:cxnLst/>
          <a:rect l="0" t="0" r="0" b="0"/>
          <a:pathLst>
            <a:path>
              <a:moveTo>
                <a:pt x="0" y="0"/>
              </a:moveTo>
              <a:lnTo>
                <a:pt x="0" y="478683"/>
              </a:lnTo>
              <a:lnTo>
                <a:pt x="156092" y="478683"/>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63EC4DFD-758C-4649-9AE6-7AF9DAEA255D}">
      <dsp:nvSpPr>
        <dsp:cNvPr id="0" name=""/>
        <dsp:cNvSpPr/>
      </dsp:nvSpPr>
      <dsp:spPr>
        <a:xfrm>
          <a:off x="4680420" y="1999625"/>
          <a:ext cx="91440" cy="218529"/>
        </a:xfrm>
        <a:custGeom>
          <a:avLst/>
          <a:gdLst/>
          <a:ahLst/>
          <a:cxnLst/>
          <a:rect l="0" t="0" r="0" b="0"/>
          <a:pathLst>
            <a:path>
              <a:moveTo>
                <a:pt x="45720" y="0"/>
              </a:moveTo>
              <a:lnTo>
                <a:pt x="45720" y="218529"/>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CB958548-30C2-4D21-9E69-3AC745B4895F}">
      <dsp:nvSpPr>
        <dsp:cNvPr id="0" name=""/>
        <dsp:cNvSpPr/>
      </dsp:nvSpPr>
      <dsp:spPr>
        <a:xfrm>
          <a:off x="3936848" y="1260788"/>
          <a:ext cx="789291" cy="218529"/>
        </a:xfrm>
        <a:custGeom>
          <a:avLst/>
          <a:gdLst/>
          <a:ahLst/>
          <a:cxnLst/>
          <a:rect l="0" t="0" r="0" b="0"/>
          <a:pathLst>
            <a:path>
              <a:moveTo>
                <a:pt x="0" y="0"/>
              </a:moveTo>
              <a:lnTo>
                <a:pt x="0" y="109264"/>
              </a:lnTo>
              <a:lnTo>
                <a:pt x="789291" y="109264"/>
              </a:lnTo>
              <a:lnTo>
                <a:pt x="789291" y="218529"/>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B57F9945-79BF-4C79-8D05-A94D6739A82D}">
      <dsp:nvSpPr>
        <dsp:cNvPr id="0" name=""/>
        <dsp:cNvSpPr/>
      </dsp:nvSpPr>
      <dsp:spPr>
        <a:xfrm>
          <a:off x="3307276" y="1260788"/>
          <a:ext cx="629572" cy="218529"/>
        </a:xfrm>
        <a:custGeom>
          <a:avLst/>
          <a:gdLst/>
          <a:ahLst/>
          <a:cxnLst/>
          <a:rect l="0" t="0" r="0" b="0"/>
          <a:pathLst>
            <a:path>
              <a:moveTo>
                <a:pt x="629572" y="0"/>
              </a:moveTo>
              <a:lnTo>
                <a:pt x="629572" y="109264"/>
              </a:lnTo>
              <a:lnTo>
                <a:pt x="0" y="109264"/>
              </a:lnTo>
              <a:lnTo>
                <a:pt x="0" y="218529"/>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DC197C63-F391-4DCA-95E6-C6DAD1E197C7}">
      <dsp:nvSpPr>
        <dsp:cNvPr id="0" name=""/>
        <dsp:cNvSpPr/>
      </dsp:nvSpPr>
      <dsp:spPr>
        <a:xfrm>
          <a:off x="2668057" y="521951"/>
          <a:ext cx="1268791" cy="218529"/>
        </a:xfrm>
        <a:custGeom>
          <a:avLst/>
          <a:gdLst/>
          <a:ahLst/>
          <a:cxnLst/>
          <a:rect l="0" t="0" r="0" b="0"/>
          <a:pathLst>
            <a:path>
              <a:moveTo>
                <a:pt x="0" y="0"/>
              </a:moveTo>
              <a:lnTo>
                <a:pt x="0" y="109264"/>
              </a:lnTo>
              <a:lnTo>
                <a:pt x="1268791" y="109264"/>
              </a:lnTo>
              <a:lnTo>
                <a:pt x="1268791" y="218529"/>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B0D9DD28-EC76-460E-866C-C6FCEDC1110B}">
      <dsp:nvSpPr>
        <dsp:cNvPr id="0" name=""/>
        <dsp:cNvSpPr/>
      </dsp:nvSpPr>
      <dsp:spPr>
        <a:xfrm>
          <a:off x="2622337" y="521951"/>
          <a:ext cx="91440" cy="218529"/>
        </a:xfrm>
        <a:custGeom>
          <a:avLst/>
          <a:gdLst/>
          <a:ahLst/>
          <a:cxnLst/>
          <a:rect l="0" t="0" r="0" b="0"/>
          <a:pathLst>
            <a:path>
              <a:moveTo>
                <a:pt x="45720" y="0"/>
              </a:moveTo>
              <a:lnTo>
                <a:pt x="45720" y="109264"/>
              </a:lnTo>
              <a:lnTo>
                <a:pt x="55366" y="109264"/>
              </a:lnTo>
              <a:lnTo>
                <a:pt x="55366" y="218529"/>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0E689F65-AAA4-4BDC-B62D-976ABC02256B}">
      <dsp:nvSpPr>
        <dsp:cNvPr id="0" name=""/>
        <dsp:cNvSpPr/>
      </dsp:nvSpPr>
      <dsp:spPr>
        <a:xfrm>
          <a:off x="992666" y="3023799"/>
          <a:ext cx="156092" cy="478683"/>
        </a:xfrm>
        <a:custGeom>
          <a:avLst/>
          <a:gdLst/>
          <a:ahLst/>
          <a:cxnLst/>
          <a:rect l="0" t="0" r="0" b="0"/>
          <a:pathLst>
            <a:path>
              <a:moveTo>
                <a:pt x="0" y="0"/>
              </a:moveTo>
              <a:lnTo>
                <a:pt x="0" y="478683"/>
              </a:lnTo>
              <a:lnTo>
                <a:pt x="156092" y="478683"/>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707C15A8-24BD-487D-8069-67F0BE9833FD}">
      <dsp:nvSpPr>
        <dsp:cNvPr id="0" name=""/>
        <dsp:cNvSpPr/>
      </dsp:nvSpPr>
      <dsp:spPr>
        <a:xfrm>
          <a:off x="1363192" y="2284962"/>
          <a:ext cx="91440" cy="218529"/>
        </a:xfrm>
        <a:custGeom>
          <a:avLst/>
          <a:gdLst/>
          <a:ahLst/>
          <a:cxnLst/>
          <a:rect l="0" t="0" r="0" b="0"/>
          <a:pathLst>
            <a:path>
              <a:moveTo>
                <a:pt x="45720" y="0"/>
              </a:moveTo>
              <a:lnTo>
                <a:pt x="45720" y="218529"/>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FCA9C6FD-7B6C-44D7-B2E7-5BB47FED9488}">
      <dsp:nvSpPr>
        <dsp:cNvPr id="0" name=""/>
        <dsp:cNvSpPr/>
      </dsp:nvSpPr>
      <dsp:spPr>
        <a:xfrm>
          <a:off x="1363192" y="1546125"/>
          <a:ext cx="91440" cy="218529"/>
        </a:xfrm>
        <a:custGeom>
          <a:avLst/>
          <a:gdLst/>
          <a:ahLst/>
          <a:cxnLst/>
          <a:rect l="0" t="0" r="0" b="0"/>
          <a:pathLst>
            <a:path>
              <a:moveTo>
                <a:pt x="45720" y="0"/>
              </a:moveTo>
              <a:lnTo>
                <a:pt x="45720" y="218529"/>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BCF2B3D3-2815-4317-B805-D64C329179A2}">
      <dsp:nvSpPr>
        <dsp:cNvPr id="0" name=""/>
        <dsp:cNvSpPr/>
      </dsp:nvSpPr>
      <dsp:spPr>
        <a:xfrm>
          <a:off x="1408912" y="521951"/>
          <a:ext cx="1259144" cy="218529"/>
        </a:xfrm>
        <a:custGeom>
          <a:avLst/>
          <a:gdLst/>
          <a:ahLst/>
          <a:cxnLst/>
          <a:rect l="0" t="0" r="0" b="0"/>
          <a:pathLst>
            <a:path>
              <a:moveTo>
                <a:pt x="1259144" y="0"/>
              </a:moveTo>
              <a:lnTo>
                <a:pt x="1259144" y="109264"/>
              </a:lnTo>
              <a:lnTo>
                <a:pt x="0" y="109264"/>
              </a:lnTo>
              <a:lnTo>
                <a:pt x="0" y="218529"/>
              </a:lnTo>
            </a:path>
          </a:pathLst>
        </a:custGeom>
        <a:noFill/>
        <a:ln w="19050" cap="flat" cmpd="sng" algn="ctr">
          <a:solidFill>
            <a:scrgbClr r="0" g="0" b="0"/>
          </a:solidFill>
          <a:prstDash val="solid"/>
          <a:miter lim="800000"/>
          <a:headEnd type="none" w="med" len="med"/>
          <a:tailEnd type="triangle" w="med" len="med"/>
        </a:ln>
        <a:effectLst/>
      </dsp:spPr>
      <dsp:style>
        <a:lnRef idx="2">
          <a:scrgbClr r="0" g="0" b="0"/>
        </a:lnRef>
        <a:fillRef idx="0">
          <a:scrgbClr r="0" g="0" b="0"/>
        </a:fillRef>
        <a:effectRef idx="0">
          <a:scrgbClr r="0" g="0" b="0"/>
        </a:effectRef>
        <a:fontRef idx="minor"/>
      </dsp:style>
    </dsp:sp>
    <dsp:sp modelId="{8D39C9C7-E0B3-4948-8921-2A94788C5208}">
      <dsp:nvSpPr>
        <dsp:cNvPr id="0" name=""/>
        <dsp:cNvSpPr/>
      </dsp:nvSpPr>
      <dsp:spPr>
        <a:xfrm>
          <a:off x="2147749" y="1643"/>
          <a:ext cx="1040615" cy="520307"/>
        </a:xfrm>
        <a:prstGeom prst="flowChartAlternateProcess">
          <a:avLst/>
        </a:prstGeom>
        <a:solidFill>
          <a:schemeClr val="accent2">
            <a:lumMod val="75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Lead</a:t>
          </a:r>
          <a:r>
            <a:rPr lang="en-ZW" sz="800" kern="1200"/>
            <a:t> </a:t>
          </a:r>
          <a:r>
            <a:rPr lang="en-ZW" sz="1000" kern="1200"/>
            <a:t>Generation</a:t>
          </a:r>
        </a:p>
      </dsp:txBody>
      <dsp:txXfrm>
        <a:off x="2173148" y="27042"/>
        <a:ext cx="989817" cy="469509"/>
      </dsp:txXfrm>
    </dsp:sp>
    <dsp:sp modelId="{CFE91FB8-C296-48F9-A594-79D63D378E14}">
      <dsp:nvSpPr>
        <dsp:cNvPr id="0" name=""/>
        <dsp:cNvSpPr/>
      </dsp:nvSpPr>
      <dsp:spPr>
        <a:xfrm>
          <a:off x="878958" y="740480"/>
          <a:ext cx="1059908" cy="805644"/>
        </a:xfrm>
        <a:prstGeom prst="flowChartDecision">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ZW" sz="800" kern="1200"/>
            <a:t>DIP Submission </a:t>
          </a:r>
        </a:p>
      </dsp:txBody>
      <dsp:txXfrm>
        <a:off x="1143935" y="941891"/>
        <a:ext cx="529954" cy="402822"/>
      </dsp:txXfrm>
    </dsp:sp>
    <dsp:sp modelId="{8A1995DE-C5D5-4D29-95A3-331CA9FD49F9}">
      <dsp:nvSpPr>
        <dsp:cNvPr id="0" name=""/>
        <dsp:cNvSpPr/>
      </dsp:nvSpPr>
      <dsp:spPr>
        <a:xfrm>
          <a:off x="888604" y="1764654"/>
          <a:ext cx="1040615" cy="52030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Completion</a:t>
          </a:r>
        </a:p>
      </dsp:txBody>
      <dsp:txXfrm>
        <a:off x="888604" y="1764654"/>
        <a:ext cx="1040615" cy="520307"/>
      </dsp:txXfrm>
    </dsp:sp>
    <dsp:sp modelId="{F9DE3BA2-F748-4E7D-9D06-E0651F8D11E3}">
      <dsp:nvSpPr>
        <dsp:cNvPr id="0" name=""/>
        <dsp:cNvSpPr/>
      </dsp:nvSpPr>
      <dsp:spPr>
        <a:xfrm>
          <a:off x="888604" y="2503491"/>
          <a:ext cx="1040615" cy="52030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Protection</a:t>
          </a:r>
          <a:r>
            <a:rPr lang="en-ZW" sz="800" kern="1200"/>
            <a:t> </a:t>
          </a:r>
          <a:r>
            <a:rPr lang="en-ZW" sz="1000" kern="1200"/>
            <a:t>Review</a:t>
          </a:r>
        </a:p>
      </dsp:txBody>
      <dsp:txXfrm>
        <a:off x="888604" y="2503491"/>
        <a:ext cx="1040615" cy="520307"/>
      </dsp:txXfrm>
    </dsp:sp>
    <dsp:sp modelId="{A576C213-4291-4D5A-91D5-8255A2623D2A}">
      <dsp:nvSpPr>
        <dsp:cNvPr id="0" name=""/>
        <dsp:cNvSpPr/>
      </dsp:nvSpPr>
      <dsp:spPr>
        <a:xfrm>
          <a:off x="1148758" y="3242328"/>
          <a:ext cx="1040615" cy="520307"/>
        </a:xfrm>
        <a:prstGeom prst="flowChartAlternateProcess">
          <a:avLst/>
        </a:prstGeom>
        <a:solidFill>
          <a:schemeClr val="accent2">
            <a:lumMod val="75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Annual Mortgage Review (Aftercare)</a:t>
          </a:r>
        </a:p>
      </dsp:txBody>
      <dsp:txXfrm>
        <a:off x="1174157" y="3267727"/>
        <a:ext cx="989817" cy="469509"/>
      </dsp:txXfrm>
    </dsp:sp>
    <dsp:sp modelId="{6F0C0B6B-8C8F-4DD1-8665-23B9E7425E22}">
      <dsp:nvSpPr>
        <dsp:cNvPr id="0" name=""/>
        <dsp:cNvSpPr/>
      </dsp:nvSpPr>
      <dsp:spPr>
        <a:xfrm>
          <a:off x="2157396" y="740480"/>
          <a:ext cx="1040615" cy="52030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Discovery</a:t>
          </a:r>
          <a:r>
            <a:rPr lang="en-ZW" sz="800" kern="1200"/>
            <a:t> Call</a:t>
          </a:r>
        </a:p>
      </dsp:txBody>
      <dsp:txXfrm>
        <a:off x="2157396" y="740480"/>
        <a:ext cx="1040615" cy="520307"/>
      </dsp:txXfrm>
    </dsp:sp>
    <dsp:sp modelId="{DC2EEB74-901D-4F83-8280-FE5103875F87}">
      <dsp:nvSpPr>
        <dsp:cNvPr id="0" name=""/>
        <dsp:cNvSpPr/>
      </dsp:nvSpPr>
      <dsp:spPr>
        <a:xfrm>
          <a:off x="3416540" y="740480"/>
          <a:ext cx="1040615" cy="520307"/>
        </a:xfrm>
        <a:prstGeom prst="flowChartDecision">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Fact-Find</a:t>
          </a:r>
          <a:r>
            <a:rPr lang="en-ZW" sz="800" kern="1200"/>
            <a:t> &amp; IDV </a:t>
          </a:r>
        </a:p>
      </dsp:txBody>
      <dsp:txXfrm>
        <a:off x="3676694" y="870557"/>
        <a:ext cx="520307" cy="260153"/>
      </dsp:txXfrm>
    </dsp:sp>
    <dsp:sp modelId="{4E86587A-4F3E-4174-96D5-9B7063E9B524}">
      <dsp:nvSpPr>
        <dsp:cNvPr id="0" name=""/>
        <dsp:cNvSpPr/>
      </dsp:nvSpPr>
      <dsp:spPr>
        <a:xfrm>
          <a:off x="2627249" y="1479317"/>
          <a:ext cx="1360053" cy="841639"/>
        </a:xfrm>
        <a:prstGeom prst="flowChartDecision">
          <a:avLst/>
        </a:prstGeom>
        <a:solidFill>
          <a:schemeClr val="accent5"/>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Affordability &amp; Research</a:t>
          </a:r>
        </a:p>
      </dsp:txBody>
      <dsp:txXfrm>
        <a:off x="2967262" y="1689727"/>
        <a:ext cx="680027" cy="420819"/>
      </dsp:txXfrm>
    </dsp:sp>
    <dsp:sp modelId="{E1D8AB86-F7E9-4D2A-A9B5-3D529CBFA2FF}">
      <dsp:nvSpPr>
        <dsp:cNvPr id="0" name=""/>
        <dsp:cNvSpPr/>
      </dsp:nvSpPr>
      <dsp:spPr>
        <a:xfrm>
          <a:off x="4205832" y="1479317"/>
          <a:ext cx="1040615" cy="52030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ZW" sz="800" kern="1200"/>
            <a:t> </a:t>
          </a:r>
          <a:r>
            <a:rPr lang="en-ZW" sz="1000" kern="1200"/>
            <a:t>Full Mortgage Application</a:t>
          </a:r>
        </a:p>
      </dsp:txBody>
      <dsp:txXfrm>
        <a:off x="4205832" y="1479317"/>
        <a:ext cx="1040615" cy="520307"/>
      </dsp:txXfrm>
    </dsp:sp>
    <dsp:sp modelId="{95F8D003-C7FC-49FB-9662-EE9C36311FFA}">
      <dsp:nvSpPr>
        <dsp:cNvPr id="0" name=""/>
        <dsp:cNvSpPr/>
      </dsp:nvSpPr>
      <dsp:spPr>
        <a:xfrm>
          <a:off x="4205832" y="2218154"/>
          <a:ext cx="1040615" cy="52030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Lender processing</a:t>
          </a:r>
        </a:p>
      </dsp:txBody>
      <dsp:txXfrm>
        <a:off x="4205832" y="2218154"/>
        <a:ext cx="1040615" cy="520307"/>
      </dsp:txXfrm>
    </dsp:sp>
    <dsp:sp modelId="{4818EC2C-6782-4F3B-8458-5C4631966BC6}">
      <dsp:nvSpPr>
        <dsp:cNvPr id="0" name=""/>
        <dsp:cNvSpPr/>
      </dsp:nvSpPr>
      <dsp:spPr>
        <a:xfrm>
          <a:off x="4465986" y="2956991"/>
          <a:ext cx="1040615" cy="520307"/>
        </a:xfrm>
        <a:prstGeom prst="flowChartAlternateProcess">
          <a:avLst/>
        </a:prstGeom>
        <a:solidFill>
          <a:schemeClr val="accent2">
            <a:lumMod val="75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ZW" sz="1000" kern="1200"/>
            <a:t>offer</a:t>
          </a:r>
        </a:p>
      </dsp:txBody>
      <dsp:txXfrm>
        <a:off x="4491385" y="2982390"/>
        <a:ext cx="989817" cy="4695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FCCA31-B492-4431-AEC0-EB7AA9E6E263}">
      <dsp:nvSpPr>
        <dsp:cNvPr id="0" name=""/>
        <dsp:cNvSpPr/>
      </dsp:nvSpPr>
      <dsp:spPr>
        <a:xfrm>
          <a:off x="0" y="340397"/>
          <a:ext cx="5471160" cy="226800"/>
        </a:xfrm>
        <a:prstGeom prst="rect">
          <a:avLst/>
        </a:prstGeom>
        <a:solidFill>
          <a:schemeClr val="lt1">
            <a:alpha val="90000"/>
            <a:hueOff val="0"/>
            <a:satOff val="0"/>
            <a:lumOff val="0"/>
            <a:alphaOff val="0"/>
          </a:schemeClr>
        </a:solidFill>
        <a:ln w="1905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DB4C9B8-33B5-4388-80A4-0CAE088B0CB4}">
      <dsp:nvSpPr>
        <dsp:cNvPr id="0" name=""/>
        <dsp:cNvSpPr/>
      </dsp:nvSpPr>
      <dsp:spPr>
        <a:xfrm>
          <a:off x="273290" y="68038"/>
          <a:ext cx="3909824" cy="405199"/>
        </a:xfrm>
        <a:prstGeom prst="roundRect">
          <a:avLst/>
        </a:prstGeom>
        <a:solidFill>
          <a:schemeClr val="accent2">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A registered business address and private meeting space</a:t>
          </a:r>
        </a:p>
      </dsp:txBody>
      <dsp:txXfrm>
        <a:off x="293070" y="87818"/>
        <a:ext cx="3870264" cy="365639"/>
      </dsp:txXfrm>
    </dsp:sp>
    <dsp:sp modelId="{AC58620E-8519-4C07-AFC3-AE90F24DF4C5}">
      <dsp:nvSpPr>
        <dsp:cNvPr id="0" name=""/>
        <dsp:cNvSpPr/>
      </dsp:nvSpPr>
      <dsp:spPr>
        <a:xfrm>
          <a:off x="0" y="855927"/>
          <a:ext cx="5471160" cy="226800"/>
        </a:xfrm>
        <a:prstGeom prst="rect">
          <a:avLst/>
        </a:prstGeom>
        <a:solidFill>
          <a:schemeClr val="lt1">
            <a:alpha val="90000"/>
            <a:hueOff val="0"/>
            <a:satOff val="0"/>
            <a:lumOff val="0"/>
            <a:alphaOff val="0"/>
          </a:schemeClr>
        </a:solidFill>
        <a:ln w="1905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E28FCB7-E062-4362-BC69-99973C1F4F00}">
      <dsp:nvSpPr>
        <dsp:cNvPr id="0" name=""/>
        <dsp:cNvSpPr/>
      </dsp:nvSpPr>
      <dsp:spPr>
        <a:xfrm>
          <a:off x="525004" y="615797"/>
          <a:ext cx="3913646" cy="372969"/>
        </a:xfrm>
        <a:prstGeom prst="roundRect">
          <a:avLst/>
        </a:prstGeom>
        <a:solidFill>
          <a:schemeClr val="accent3">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Encrypted email and secure communication channels</a:t>
          </a:r>
        </a:p>
      </dsp:txBody>
      <dsp:txXfrm>
        <a:off x="543211" y="634004"/>
        <a:ext cx="3877232" cy="336555"/>
      </dsp:txXfrm>
    </dsp:sp>
    <dsp:sp modelId="{F2BA8EAC-CE5A-49DA-A6A0-60A14FF903B5}">
      <dsp:nvSpPr>
        <dsp:cNvPr id="0" name=""/>
        <dsp:cNvSpPr/>
      </dsp:nvSpPr>
      <dsp:spPr>
        <a:xfrm>
          <a:off x="0" y="1357835"/>
          <a:ext cx="5471160" cy="226800"/>
        </a:xfrm>
        <a:prstGeom prst="rect">
          <a:avLst/>
        </a:prstGeom>
        <a:solidFill>
          <a:schemeClr val="lt1">
            <a:alpha val="90000"/>
            <a:hueOff val="0"/>
            <a:satOff val="0"/>
            <a:lumOff val="0"/>
            <a:alphaOff val="0"/>
          </a:schemeClr>
        </a:solidFill>
        <a:ln w="1905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081E614-43F4-4282-A928-83DC7C76A0F5}">
      <dsp:nvSpPr>
        <dsp:cNvPr id="0" name=""/>
        <dsp:cNvSpPr/>
      </dsp:nvSpPr>
      <dsp:spPr>
        <a:xfrm>
          <a:off x="753619" y="1131327"/>
          <a:ext cx="3837433" cy="359348"/>
        </a:xfrm>
        <a:prstGeom prst="roundRect">
          <a:avLst/>
        </a:prstGeom>
        <a:solidFill>
          <a:schemeClr val="accent4">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Cloud-based systems for CRM, secure storage, and compliance</a:t>
          </a:r>
        </a:p>
      </dsp:txBody>
      <dsp:txXfrm>
        <a:off x="771161" y="1148869"/>
        <a:ext cx="3802349" cy="324264"/>
      </dsp:txXfrm>
    </dsp:sp>
    <dsp:sp modelId="{550A666E-D995-4C75-9054-4B2B236B71A2}">
      <dsp:nvSpPr>
        <dsp:cNvPr id="0" name=""/>
        <dsp:cNvSpPr/>
      </dsp:nvSpPr>
      <dsp:spPr>
        <a:xfrm>
          <a:off x="0" y="1939801"/>
          <a:ext cx="5471160" cy="226800"/>
        </a:xfrm>
        <a:prstGeom prst="rect">
          <a:avLst/>
        </a:prstGeom>
        <a:solidFill>
          <a:schemeClr val="lt1">
            <a:alpha val="90000"/>
            <a:hueOff val="0"/>
            <a:satOff val="0"/>
            <a:lumOff val="0"/>
            <a:alphaOff val="0"/>
          </a:schemeClr>
        </a:solidFill>
        <a:ln w="1905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08E25D93-D652-4BAD-9B37-DD37285D582E}">
      <dsp:nvSpPr>
        <dsp:cNvPr id="0" name=""/>
        <dsp:cNvSpPr/>
      </dsp:nvSpPr>
      <dsp:spPr>
        <a:xfrm>
          <a:off x="890507" y="1663717"/>
          <a:ext cx="3855570" cy="439405"/>
        </a:xfrm>
        <a:prstGeom prst="roundRect">
          <a:avLst/>
        </a:prstGeom>
        <a:solidFill>
          <a:schemeClr val="accent5">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Digital tools for affordability assessments, sourcing, ID verification, and application submission</a:t>
          </a:r>
        </a:p>
      </dsp:txBody>
      <dsp:txXfrm>
        <a:off x="911957" y="1685167"/>
        <a:ext cx="3812670" cy="396505"/>
      </dsp:txXfrm>
    </dsp:sp>
    <dsp:sp modelId="{A5DAA7F3-6600-44B6-ACED-44CD6346E065}">
      <dsp:nvSpPr>
        <dsp:cNvPr id="0" name=""/>
        <dsp:cNvSpPr/>
      </dsp:nvSpPr>
      <dsp:spPr>
        <a:xfrm>
          <a:off x="0" y="2463601"/>
          <a:ext cx="5471160" cy="226800"/>
        </a:xfrm>
        <a:prstGeom prst="rect">
          <a:avLst/>
        </a:prstGeom>
        <a:solidFill>
          <a:schemeClr val="lt1">
            <a:alpha val="90000"/>
            <a:hueOff val="0"/>
            <a:satOff val="0"/>
            <a:lumOff val="0"/>
            <a:alphaOff val="0"/>
          </a:schemeClr>
        </a:solidFill>
        <a:ln w="1905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A92B0A-6ADA-4F80-9ED1-1D304E6F912E}">
      <dsp:nvSpPr>
        <dsp:cNvPr id="0" name=""/>
        <dsp:cNvSpPr/>
      </dsp:nvSpPr>
      <dsp:spPr>
        <a:xfrm>
          <a:off x="1172715" y="2259017"/>
          <a:ext cx="3936472" cy="381240"/>
        </a:xfrm>
        <a:prstGeom prst="roundRect">
          <a:avLst/>
        </a:prstGeom>
        <a:solidFill>
          <a:schemeClr val="accent6">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4758" tIns="0" rIns="144758" bIns="0" numCol="1" spcCol="1270" anchor="ctr" anchorCtr="0">
          <a:noAutofit/>
        </a:bodyPr>
        <a:lstStyle/>
        <a:p>
          <a:pPr marL="0" lvl="0" indent="0" algn="l" defTabSz="533400">
            <a:lnSpc>
              <a:spcPct val="90000"/>
            </a:lnSpc>
            <a:spcBef>
              <a:spcPct val="0"/>
            </a:spcBef>
            <a:spcAft>
              <a:spcPct val="35000"/>
            </a:spcAft>
            <a:buNone/>
          </a:pPr>
          <a:r>
            <a:rPr lang="en-ZW" sz="1200" kern="1200"/>
            <a:t>This mixed operational environment creates a cost-effective and resilient foundation for business growth.</a:t>
          </a:r>
        </a:p>
      </dsp:txBody>
      <dsp:txXfrm>
        <a:off x="1191326" y="2277628"/>
        <a:ext cx="3899250" cy="34401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A22FC7-0BD9-4EF1-B5EE-45842A6BA5E7}">
      <dsp:nvSpPr>
        <dsp:cNvPr id="0" name=""/>
        <dsp:cNvSpPr/>
      </dsp:nvSpPr>
      <dsp:spPr>
        <a:xfrm>
          <a:off x="3445201" y="2095388"/>
          <a:ext cx="508645" cy="197615"/>
        </a:xfrm>
        <a:custGeom>
          <a:avLst/>
          <a:gdLst/>
          <a:ahLst/>
          <a:cxnLst/>
          <a:rect l="0" t="0" r="0" b="0"/>
          <a:pathLst>
            <a:path>
              <a:moveTo>
                <a:pt x="0" y="0"/>
              </a:moveTo>
              <a:lnTo>
                <a:pt x="0" y="134669"/>
              </a:lnTo>
              <a:lnTo>
                <a:pt x="508645" y="134669"/>
              </a:lnTo>
              <a:lnTo>
                <a:pt x="508645" y="197615"/>
              </a:lnTo>
            </a:path>
          </a:pathLst>
        </a:custGeom>
        <a:noFill/>
        <a:ln w="1905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771B4CA9-0162-48C5-879A-FCA7F3F51C41}">
      <dsp:nvSpPr>
        <dsp:cNvPr id="0" name=""/>
        <dsp:cNvSpPr/>
      </dsp:nvSpPr>
      <dsp:spPr>
        <a:xfrm>
          <a:off x="2773707" y="2877260"/>
          <a:ext cx="91440" cy="197615"/>
        </a:xfrm>
        <a:custGeom>
          <a:avLst/>
          <a:gdLst/>
          <a:ahLst/>
          <a:cxnLst/>
          <a:rect l="0" t="0" r="0" b="0"/>
          <a:pathLst>
            <a:path>
              <a:moveTo>
                <a:pt x="45720" y="0"/>
              </a:moveTo>
              <a:lnTo>
                <a:pt x="45720" y="197615"/>
              </a:lnTo>
            </a:path>
          </a:pathLst>
        </a:custGeom>
        <a:noFill/>
        <a:ln w="1905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04973A8A-0BCA-49D5-8452-EA6F0B9BBB3A}">
      <dsp:nvSpPr>
        <dsp:cNvPr id="0" name=""/>
        <dsp:cNvSpPr/>
      </dsp:nvSpPr>
      <dsp:spPr>
        <a:xfrm>
          <a:off x="2819427" y="2095388"/>
          <a:ext cx="625774" cy="197615"/>
        </a:xfrm>
        <a:custGeom>
          <a:avLst/>
          <a:gdLst/>
          <a:ahLst/>
          <a:cxnLst/>
          <a:rect l="0" t="0" r="0" b="0"/>
          <a:pathLst>
            <a:path>
              <a:moveTo>
                <a:pt x="625774" y="0"/>
              </a:moveTo>
              <a:lnTo>
                <a:pt x="625774" y="134669"/>
              </a:lnTo>
              <a:lnTo>
                <a:pt x="0" y="134669"/>
              </a:lnTo>
              <a:lnTo>
                <a:pt x="0" y="197615"/>
              </a:lnTo>
            </a:path>
          </a:pathLst>
        </a:custGeom>
        <a:noFill/>
        <a:ln w="1905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98C0C834-A4C9-401D-94FD-74FE95D4CE8C}">
      <dsp:nvSpPr>
        <dsp:cNvPr id="0" name=""/>
        <dsp:cNvSpPr/>
      </dsp:nvSpPr>
      <dsp:spPr>
        <a:xfrm>
          <a:off x="2648835" y="1352991"/>
          <a:ext cx="796366" cy="197615"/>
        </a:xfrm>
        <a:custGeom>
          <a:avLst/>
          <a:gdLst/>
          <a:ahLst/>
          <a:cxnLst/>
          <a:rect l="0" t="0" r="0" b="0"/>
          <a:pathLst>
            <a:path>
              <a:moveTo>
                <a:pt x="0" y="0"/>
              </a:moveTo>
              <a:lnTo>
                <a:pt x="0" y="134669"/>
              </a:lnTo>
              <a:lnTo>
                <a:pt x="796366" y="134669"/>
              </a:lnTo>
              <a:lnTo>
                <a:pt x="796366" y="197615"/>
              </a:lnTo>
            </a:path>
          </a:pathLst>
        </a:custGeom>
        <a:noFill/>
        <a:ln w="1905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9CDE89CB-9B94-41E2-917F-8A644781B021}">
      <dsp:nvSpPr>
        <dsp:cNvPr id="0" name=""/>
        <dsp:cNvSpPr/>
      </dsp:nvSpPr>
      <dsp:spPr>
        <a:xfrm>
          <a:off x="1727307" y="2121505"/>
          <a:ext cx="91440" cy="197615"/>
        </a:xfrm>
        <a:custGeom>
          <a:avLst/>
          <a:gdLst/>
          <a:ahLst/>
          <a:cxnLst/>
          <a:rect l="0" t="0" r="0" b="0"/>
          <a:pathLst>
            <a:path>
              <a:moveTo>
                <a:pt x="45720" y="0"/>
              </a:moveTo>
              <a:lnTo>
                <a:pt x="45720" y="197615"/>
              </a:lnTo>
            </a:path>
          </a:pathLst>
        </a:custGeom>
        <a:noFill/>
        <a:ln w="1905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812462A1-7EC7-4972-AFA2-77F540466392}">
      <dsp:nvSpPr>
        <dsp:cNvPr id="0" name=""/>
        <dsp:cNvSpPr/>
      </dsp:nvSpPr>
      <dsp:spPr>
        <a:xfrm>
          <a:off x="1773027" y="1352991"/>
          <a:ext cx="875807" cy="197615"/>
        </a:xfrm>
        <a:custGeom>
          <a:avLst/>
          <a:gdLst/>
          <a:ahLst/>
          <a:cxnLst/>
          <a:rect l="0" t="0" r="0" b="0"/>
          <a:pathLst>
            <a:path>
              <a:moveTo>
                <a:pt x="875807" y="0"/>
              </a:moveTo>
              <a:lnTo>
                <a:pt x="875807" y="134669"/>
              </a:lnTo>
              <a:lnTo>
                <a:pt x="0" y="134669"/>
              </a:lnTo>
              <a:lnTo>
                <a:pt x="0" y="197615"/>
              </a:lnTo>
            </a:path>
          </a:pathLst>
        </a:custGeom>
        <a:noFill/>
        <a:ln w="1905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96F76B2E-E5A7-46EF-8B26-2F893D56E3DF}">
      <dsp:nvSpPr>
        <dsp:cNvPr id="0" name=""/>
        <dsp:cNvSpPr/>
      </dsp:nvSpPr>
      <dsp:spPr>
        <a:xfrm>
          <a:off x="2603115" y="524429"/>
          <a:ext cx="91440" cy="197615"/>
        </a:xfrm>
        <a:custGeom>
          <a:avLst/>
          <a:gdLst/>
          <a:ahLst/>
          <a:cxnLst/>
          <a:rect l="0" t="0" r="0" b="0"/>
          <a:pathLst>
            <a:path>
              <a:moveTo>
                <a:pt x="45720" y="0"/>
              </a:moveTo>
              <a:lnTo>
                <a:pt x="45720" y="197615"/>
              </a:lnTo>
            </a:path>
          </a:pathLst>
        </a:custGeom>
        <a:noFill/>
        <a:ln w="19050" cap="flat" cmpd="sng" algn="ctr">
          <a:solidFill>
            <a:scrgbClr r="0" g="0" b="0"/>
          </a:solidFill>
          <a:prstDash val="solid"/>
          <a:miter lim="800000"/>
          <a:headEnd type="triangle" w="med" len="med"/>
          <a:tailEnd type="triangle" w="med" len="med"/>
        </a:ln>
        <a:effectLst/>
      </dsp:spPr>
      <dsp:style>
        <a:lnRef idx="2">
          <a:scrgbClr r="0" g="0" b="0"/>
        </a:lnRef>
        <a:fillRef idx="0">
          <a:scrgbClr r="0" g="0" b="0"/>
        </a:fillRef>
        <a:effectRef idx="0">
          <a:scrgbClr r="0" g="0" b="0"/>
        </a:effectRef>
        <a:fontRef idx="minor"/>
      </dsp:style>
    </dsp:sp>
    <dsp:sp modelId="{87BBCA00-02B5-4F52-971E-DF82316A08D3}">
      <dsp:nvSpPr>
        <dsp:cNvPr id="0" name=""/>
        <dsp:cNvSpPr/>
      </dsp:nvSpPr>
      <dsp:spPr>
        <a:xfrm>
          <a:off x="2166021" y="2632"/>
          <a:ext cx="965628" cy="521797"/>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20F5ED-AC22-4267-82AE-9C279311F61C}">
      <dsp:nvSpPr>
        <dsp:cNvPr id="0" name=""/>
        <dsp:cNvSpPr/>
      </dsp:nvSpPr>
      <dsp:spPr>
        <a:xfrm>
          <a:off x="2241518" y="74354"/>
          <a:ext cx="965628" cy="521797"/>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FCA</a:t>
          </a:r>
        </a:p>
      </dsp:txBody>
      <dsp:txXfrm>
        <a:off x="2256801" y="89637"/>
        <a:ext cx="935062" cy="491231"/>
      </dsp:txXfrm>
    </dsp:sp>
    <dsp:sp modelId="{8F7C3718-46E6-47E7-A530-F92F7DABA1E2}">
      <dsp:nvSpPr>
        <dsp:cNvPr id="0" name=""/>
        <dsp:cNvSpPr/>
      </dsp:nvSpPr>
      <dsp:spPr>
        <a:xfrm>
          <a:off x="2037049" y="722044"/>
          <a:ext cx="1223572" cy="630946"/>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6DE69C-D720-4293-9F83-8FF823B1B54C}">
      <dsp:nvSpPr>
        <dsp:cNvPr id="0" name=""/>
        <dsp:cNvSpPr/>
      </dsp:nvSpPr>
      <dsp:spPr>
        <a:xfrm>
          <a:off x="2112546" y="793767"/>
          <a:ext cx="1223572" cy="630946"/>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Open Network supervision </a:t>
          </a:r>
        </a:p>
      </dsp:txBody>
      <dsp:txXfrm>
        <a:off x="2131026" y="812247"/>
        <a:ext cx="1186612" cy="593986"/>
      </dsp:txXfrm>
    </dsp:sp>
    <dsp:sp modelId="{7BD97537-282B-4779-A9ED-2521A57BCBAD}">
      <dsp:nvSpPr>
        <dsp:cNvPr id="0" name=""/>
        <dsp:cNvSpPr/>
      </dsp:nvSpPr>
      <dsp:spPr>
        <a:xfrm>
          <a:off x="1310638" y="1550606"/>
          <a:ext cx="924778" cy="570898"/>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02882C5-2B54-47C3-8BDE-43BE1B71DC00}">
      <dsp:nvSpPr>
        <dsp:cNvPr id="0" name=""/>
        <dsp:cNvSpPr/>
      </dsp:nvSpPr>
      <dsp:spPr>
        <a:xfrm>
          <a:off x="1386136" y="1622329"/>
          <a:ext cx="924778" cy="570898"/>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Mandatory CPD </a:t>
          </a:r>
        </a:p>
      </dsp:txBody>
      <dsp:txXfrm>
        <a:off x="1402857" y="1639050"/>
        <a:ext cx="891336" cy="537456"/>
      </dsp:txXfrm>
    </dsp:sp>
    <dsp:sp modelId="{907CEB42-BF99-4605-9A2F-8B46523587F6}">
      <dsp:nvSpPr>
        <dsp:cNvPr id="0" name=""/>
        <dsp:cNvSpPr/>
      </dsp:nvSpPr>
      <dsp:spPr>
        <a:xfrm>
          <a:off x="1320769" y="2319120"/>
          <a:ext cx="904516" cy="701357"/>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FF4A46-0894-4176-9D10-CA6C8104257D}">
      <dsp:nvSpPr>
        <dsp:cNvPr id="0" name=""/>
        <dsp:cNvSpPr/>
      </dsp:nvSpPr>
      <dsp:spPr>
        <a:xfrm>
          <a:off x="1396267" y="2390843"/>
          <a:ext cx="904516" cy="701357"/>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Thematic Audit</a:t>
          </a:r>
        </a:p>
      </dsp:txBody>
      <dsp:txXfrm>
        <a:off x="1416809" y="2411385"/>
        <a:ext cx="863432" cy="660273"/>
      </dsp:txXfrm>
    </dsp:sp>
    <dsp:sp modelId="{1823019F-45B8-49D5-9229-299D2F0DF74C}">
      <dsp:nvSpPr>
        <dsp:cNvPr id="0" name=""/>
        <dsp:cNvSpPr/>
      </dsp:nvSpPr>
      <dsp:spPr>
        <a:xfrm>
          <a:off x="2903371" y="1550606"/>
          <a:ext cx="1083661" cy="544781"/>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9AEB1C-286B-4373-8FA0-B4660B980341}">
      <dsp:nvSpPr>
        <dsp:cNvPr id="0" name=""/>
        <dsp:cNvSpPr/>
      </dsp:nvSpPr>
      <dsp:spPr>
        <a:xfrm>
          <a:off x="2978868" y="1622329"/>
          <a:ext cx="1083661" cy="544781"/>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Sense M&amp;R Compliance Process </a:t>
          </a:r>
        </a:p>
      </dsp:txBody>
      <dsp:txXfrm>
        <a:off x="2994824" y="1638285"/>
        <a:ext cx="1051749" cy="512869"/>
      </dsp:txXfrm>
    </dsp:sp>
    <dsp:sp modelId="{91A25012-9D3B-4731-A92C-6B96C229E7E2}">
      <dsp:nvSpPr>
        <dsp:cNvPr id="0" name=""/>
        <dsp:cNvSpPr/>
      </dsp:nvSpPr>
      <dsp:spPr>
        <a:xfrm>
          <a:off x="2386279" y="2293003"/>
          <a:ext cx="866295" cy="584257"/>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500FB52-BB03-4C07-AAAB-6760DF1AF566}">
      <dsp:nvSpPr>
        <dsp:cNvPr id="0" name=""/>
        <dsp:cNvSpPr/>
      </dsp:nvSpPr>
      <dsp:spPr>
        <a:xfrm>
          <a:off x="2461777" y="2364726"/>
          <a:ext cx="866295" cy="584257"/>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Pre-Sale Reviews </a:t>
          </a:r>
        </a:p>
      </dsp:txBody>
      <dsp:txXfrm>
        <a:off x="2478889" y="2381838"/>
        <a:ext cx="832071" cy="550033"/>
      </dsp:txXfrm>
    </dsp:sp>
    <dsp:sp modelId="{EEF94E5E-A943-4AD3-B4F5-B6CC5ECA2273}">
      <dsp:nvSpPr>
        <dsp:cNvPr id="0" name=""/>
        <dsp:cNvSpPr/>
      </dsp:nvSpPr>
      <dsp:spPr>
        <a:xfrm>
          <a:off x="2376281" y="3074876"/>
          <a:ext cx="886292" cy="416928"/>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F2CE028-4E54-4853-A22A-1DBA22AAB98F}">
      <dsp:nvSpPr>
        <dsp:cNvPr id="0" name=""/>
        <dsp:cNvSpPr/>
      </dsp:nvSpPr>
      <dsp:spPr>
        <a:xfrm>
          <a:off x="2451779" y="3146599"/>
          <a:ext cx="886292" cy="416928"/>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Post-Sale Monitoring</a:t>
          </a:r>
        </a:p>
      </dsp:txBody>
      <dsp:txXfrm>
        <a:off x="2463990" y="3158810"/>
        <a:ext cx="861870" cy="392506"/>
      </dsp:txXfrm>
    </dsp:sp>
    <dsp:sp modelId="{1A20C1D8-DAFE-4276-85C7-10765E654F54}">
      <dsp:nvSpPr>
        <dsp:cNvPr id="0" name=""/>
        <dsp:cNvSpPr/>
      </dsp:nvSpPr>
      <dsp:spPr>
        <a:xfrm>
          <a:off x="3403570" y="2293003"/>
          <a:ext cx="1100552" cy="592817"/>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19D7DA-77C8-413C-A7BA-ECB673613D3F}">
      <dsp:nvSpPr>
        <dsp:cNvPr id="0" name=""/>
        <dsp:cNvSpPr/>
      </dsp:nvSpPr>
      <dsp:spPr>
        <a:xfrm>
          <a:off x="3479068" y="2364726"/>
          <a:ext cx="1100552" cy="592817"/>
        </a:xfrm>
        <a:prstGeom prst="roundRect">
          <a:avLst>
            <a:gd name="adj" fmla="val 10000"/>
          </a:avLst>
        </a:prstGeom>
        <a:solidFill>
          <a:schemeClr val="lt1">
            <a:alpha val="90000"/>
            <a:hueOff val="0"/>
            <a:satOff val="0"/>
            <a:lumOff val="0"/>
            <a:alphaOff val="0"/>
          </a:schemeClr>
        </a:solidFill>
        <a:ln w="1905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ZW" sz="1000" kern="1200"/>
            <a:t>Advisor file check</a:t>
          </a:r>
        </a:p>
      </dsp:txBody>
      <dsp:txXfrm>
        <a:off x="3496431" y="2382089"/>
        <a:ext cx="1065826" cy="55809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18631C9-9C11-458E-8286-951EA8ED40E2}">
      <dsp:nvSpPr>
        <dsp:cNvPr id="0" name=""/>
        <dsp:cNvSpPr/>
      </dsp:nvSpPr>
      <dsp:spPr>
        <a:xfrm>
          <a:off x="607218" y="223"/>
          <a:ext cx="1406425" cy="843855"/>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ZW" sz="1300" kern="1200"/>
            <a:t>Accurate valuations</a:t>
          </a:r>
        </a:p>
      </dsp:txBody>
      <dsp:txXfrm>
        <a:off x="607218" y="223"/>
        <a:ext cx="1406425" cy="843855"/>
      </dsp:txXfrm>
    </dsp:sp>
    <dsp:sp modelId="{99A29C28-2876-4754-ADCA-902FBD8A52D4}">
      <dsp:nvSpPr>
        <dsp:cNvPr id="0" name=""/>
        <dsp:cNvSpPr/>
      </dsp:nvSpPr>
      <dsp:spPr>
        <a:xfrm>
          <a:off x="2154287" y="223"/>
          <a:ext cx="1406425" cy="843855"/>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ZW" sz="1300" kern="1200"/>
            <a:t>Fast conveyancing updates</a:t>
          </a:r>
        </a:p>
      </dsp:txBody>
      <dsp:txXfrm>
        <a:off x="2154287" y="223"/>
        <a:ext cx="1406425" cy="843855"/>
      </dsp:txXfrm>
    </dsp:sp>
    <dsp:sp modelId="{3A28E179-C7E9-4F26-B633-09B50DAE183D}">
      <dsp:nvSpPr>
        <dsp:cNvPr id="0" name=""/>
        <dsp:cNvSpPr/>
      </dsp:nvSpPr>
      <dsp:spPr>
        <a:xfrm>
          <a:off x="3701355" y="223"/>
          <a:ext cx="1406425" cy="843855"/>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ZW" sz="1300" kern="1200"/>
            <a:t>Reliable protection advice</a:t>
          </a:r>
        </a:p>
      </dsp:txBody>
      <dsp:txXfrm>
        <a:off x="3701355" y="223"/>
        <a:ext cx="1406425" cy="843855"/>
      </dsp:txXfrm>
    </dsp:sp>
    <dsp:sp modelId="{A894CA20-6782-49C0-9B23-3716CB08BBEA}">
      <dsp:nvSpPr>
        <dsp:cNvPr id="0" name=""/>
        <dsp:cNvSpPr/>
      </dsp:nvSpPr>
      <dsp:spPr>
        <a:xfrm>
          <a:off x="1380752" y="984721"/>
          <a:ext cx="1406425" cy="843855"/>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ZW" sz="1300" kern="1200"/>
            <a:t>Access to specialist lending solutions</a:t>
          </a:r>
        </a:p>
      </dsp:txBody>
      <dsp:txXfrm>
        <a:off x="1380752" y="984721"/>
        <a:ext cx="1406425" cy="843855"/>
      </dsp:txXfrm>
    </dsp:sp>
    <dsp:sp modelId="{F07CD62F-4C95-404F-A1BB-A72B907E4E3F}">
      <dsp:nvSpPr>
        <dsp:cNvPr id="0" name=""/>
        <dsp:cNvSpPr/>
      </dsp:nvSpPr>
      <dsp:spPr>
        <a:xfrm>
          <a:off x="2927821" y="984721"/>
          <a:ext cx="1406425" cy="843855"/>
        </a:xfrm>
        <a:prstGeom prst="rect">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ZW" sz="1300" kern="1200"/>
            <a:t>Updated product information and lender criteria</a:t>
          </a:r>
        </a:p>
      </dsp:txBody>
      <dsp:txXfrm>
        <a:off x="2927821" y="984721"/>
        <a:ext cx="1406425" cy="84385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4468</TotalTime>
  <Pages>28</Pages>
  <Words>7921</Words>
  <Characters>45156</Characters>
  <Application>Microsoft Office Word</Application>
  <DocSecurity>0</DocSecurity>
  <Lines>376</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kaniz Chowdhury</dc:creator>
  <cp:keywords/>
  <dc:description/>
  <cp:lastModifiedBy>kaniz Chowdhury</cp:lastModifiedBy>
  <cp:revision>385</cp:revision>
  <dcterms:created xsi:type="dcterms:W3CDTF">2025-11-18T11:30:00Z</dcterms:created>
  <dcterms:modified xsi:type="dcterms:W3CDTF">2025-12-05T19:06:00Z</dcterms:modified>
</cp:coreProperties>
</file>