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before="1540" w:after="240"/>
        <w:jc w:val="center"/>
        <w:rPr>
          <w:rFonts w:ascii="Arial" w:hAnsi="Arial" w:cs="Arial"/>
          <w:color w:val="5B9BD5" w:themeColor="accent1"/>
          <w:sz w:val="20"/>
          <w:szCs w:val="20"/>
          <w14:textFill>
            <w14:solidFill>
              <w14:schemeClr w14:val="accent1"/>
            </w14:solidFill>
          </w14:textFill>
        </w:rPr>
      </w:pPr>
      <w:r>
        <w:rPr>
          <w:rFonts w:ascii="Arial" w:hAnsi="Arial" w:cs="Arial"/>
          <w:color w:val="5B9BD5" w:themeColor="accent1"/>
          <w:sz w:val="20"/>
          <w:szCs w:val="20"/>
          <w:lang w:eastAsia="zh-CN"/>
          <w14:textFill>
            <w14:solidFill>
              <w14:schemeClr w14:val="accent1"/>
            </w14:solidFill>
          </w14:textFill>
        </w:rPr>
        <w:drawing>
          <wp:inline distT="0" distB="0" distL="0" distR="0">
            <wp:extent cx="1417320" cy="750570"/>
            <wp:effectExtent l="0" t="0" r="11430" b="114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pPr>
        <w:pStyle w:val="14"/>
        <w:pBdr>
          <w:top w:val="single" w:color="5B9BD5" w:themeColor="accent1" w:sz="6" w:space="6"/>
          <w:bottom w:val="single" w:color="5B9BD5" w:themeColor="accent1" w:sz="6" w:space="6"/>
        </w:pBdr>
        <w:spacing w:after="240"/>
        <w:jc w:val="center"/>
        <w:rPr>
          <w:rFonts w:ascii="Arial" w:hAnsi="Arial" w:cs="Arial" w:eastAsiaTheme="majorEastAsia"/>
          <w:caps/>
          <w:color w:val="5B9BD5" w:themeColor="accent1"/>
          <w:sz w:val="20"/>
          <w:szCs w:val="20"/>
          <w:lang w:eastAsia="zh-CN"/>
          <w14:textFill>
            <w14:solidFill>
              <w14:schemeClr w14:val="accent1"/>
            </w14:solidFill>
          </w14:textFill>
        </w:rPr>
      </w:pPr>
      <w:sdt>
        <w:sdtPr>
          <w:rPr>
            <w:rFonts w:ascii="Arial" w:hAnsi="Arial" w:cs="Arial" w:eastAsiaTheme="majorEastAsia"/>
            <w:caps/>
            <w:color w:val="5B9BD5" w:themeColor="accent1"/>
            <w:sz w:val="20"/>
            <w:szCs w:val="20"/>
            <w14:textFill>
              <w14:solidFill>
                <w14:schemeClr w14:val="accent1"/>
              </w14:solidFill>
            </w14:textFill>
          </w:rPr>
          <w:alias w:val="Title"/>
          <w:id w:val="1735040861"/>
          <w:placeholder>
            <w:docPart w:val="{266253c7-5c04-4b2c-8616-3d1c1cce792e}"/>
          </w:placeholder>
          <w:text/>
        </w:sdtPr>
        <w:sdtEndPr>
          <w:rPr>
            <w:rFonts w:ascii="Arial" w:hAnsi="Arial" w:cs="Arial" w:eastAsiaTheme="majorEastAsia"/>
            <w:caps/>
            <w:color w:val="5B9BD5" w:themeColor="accent1"/>
            <w:sz w:val="20"/>
            <w:szCs w:val="20"/>
            <w14:textFill>
              <w14:solidFill>
                <w14:schemeClr w14:val="accent1"/>
              </w14:solidFill>
            </w14:textFill>
          </w:rPr>
        </w:sdtEndPr>
        <w:sdtContent>
          <w:r>
            <w:rPr>
              <w:rFonts w:hint="eastAsia" w:ascii="Arial" w:hAnsi="Arial" w:cs="Arial" w:eastAsiaTheme="majorEastAsia"/>
              <w:caps/>
              <w:color w:val="5B9BD5" w:themeColor="accent1"/>
              <w:sz w:val="20"/>
              <w:szCs w:val="20"/>
              <w:lang w:val="en-US" w:eastAsia="zh-CN"/>
              <w14:textFill>
                <w14:solidFill>
                  <w14:schemeClr w14:val="accent1"/>
                </w14:solidFill>
              </w14:textFill>
            </w:rPr>
            <w:t>s</w:t>
          </w:r>
          <w:r>
            <w:rPr>
              <w:rFonts w:hint="default" w:ascii="Arial" w:hAnsi="Arial" w:cs="Arial" w:eastAsiaTheme="majorEastAsia"/>
              <w:caps/>
              <w:color w:val="5B9BD5" w:themeColor="accent1"/>
              <w:sz w:val="20"/>
              <w:szCs w:val="20"/>
              <w:lang w:val="en-US" w:eastAsia="zh-CN"/>
              <w14:textFill>
                <w14:solidFill>
                  <w14:schemeClr w14:val="accent1"/>
                </w14:solidFill>
              </w14:textFill>
            </w:rPr>
            <w:t>tandardisation and adaptation on 7p’s</w:t>
          </w:r>
          <w:r>
            <w:rPr>
              <w:rFonts w:ascii="Arial" w:hAnsi="Arial" w:cs="Arial" w:eastAsiaTheme="majorEastAsia"/>
              <w:caps/>
              <w:color w:val="5B9BD5" w:themeColor="accent1"/>
              <w:sz w:val="20"/>
              <w:szCs w:val="20"/>
              <w:lang w:eastAsia="zh-CN"/>
              <w14:textFill>
                <w14:solidFill>
                  <w14:schemeClr w14:val="accent1"/>
                </w14:solidFill>
              </w14:textFill>
            </w:rPr>
            <w:t xml:space="preserve"> </w:t>
          </w:r>
        </w:sdtContent>
      </w:sdt>
      <w:r>
        <w:rPr>
          <w:rFonts w:hint="eastAsia" w:ascii="Arial" w:hAnsi="Arial" w:cs="Arial" w:eastAsiaTheme="majorEastAsia"/>
          <w:caps/>
          <w:color w:val="5B9BD5" w:themeColor="accent1"/>
          <w:sz w:val="20"/>
          <w:szCs w:val="20"/>
          <w:lang w:eastAsia="zh-CN"/>
          <w14:textFill>
            <w14:solidFill>
              <w14:schemeClr w14:val="accent1"/>
            </w14:solidFill>
          </w14:textFill>
        </w:rPr>
        <w:t xml:space="preserve">  </w:t>
      </w:r>
    </w:p>
    <w:p>
      <w:pPr>
        <w:pStyle w:val="14"/>
        <w:jc w:val="center"/>
        <w:rPr>
          <w:rFonts w:ascii="Arial" w:hAnsi="Arial" w:cs="Arial"/>
          <w:color w:val="ADB9CA" w:themeColor="text2" w:themeTint="66"/>
          <w:sz w:val="20"/>
          <w:szCs w:val="20"/>
          <w14:textFill>
            <w14:solidFill>
              <w14:schemeClr w14:val="tx2">
                <w14:lumMod w14:val="40000"/>
                <w14:lumOff w14:val="60000"/>
              </w14:schemeClr>
            </w14:solidFill>
          </w14:textFill>
        </w:rPr>
      </w:pPr>
      <w:r>
        <w:rPr>
          <w:rFonts w:hint="eastAsia"/>
          <w:color w:val="5B9BD5" w:themeColor="accent1"/>
          <w14:textFill>
            <w14:solidFill>
              <w14:schemeClr w14:val="accent1"/>
            </w14:solidFill>
          </w14:textFill>
        </w:rPr>
        <w:t>Tomos Watkin</w:t>
      </w:r>
    </w:p>
    <w:p>
      <w:pPr>
        <w:pStyle w:val="14"/>
        <w:jc w:val="center"/>
        <w:rPr>
          <w:rFonts w:ascii="Arial" w:hAnsi="Arial" w:cs="Arial"/>
          <w:sz w:val="20"/>
          <w:szCs w:val="20"/>
          <w:lang w:eastAsia="zh-CN"/>
        </w:rPr>
      </w:pPr>
    </w:p>
    <w:p>
      <w:pPr>
        <w:pStyle w:val="14"/>
        <w:jc w:val="center"/>
        <w:rPr>
          <w:rFonts w:ascii="Arial" w:hAnsi="Arial" w:cs="Arial"/>
          <w:sz w:val="20"/>
          <w:szCs w:val="20"/>
          <w:lang w:eastAsia="zh-CN"/>
        </w:rPr>
      </w:pPr>
    </w:p>
    <w:p>
      <w:pPr>
        <w:pStyle w:val="14"/>
        <w:jc w:val="center"/>
        <w:rPr>
          <w:rFonts w:ascii="Arial" w:hAnsi="Arial" w:cs="Arial"/>
          <w:sz w:val="20"/>
          <w:szCs w:val="20"/>
          <w:lang w:eastAsia="zh-CN"/>
        </w:rPr>
      </w:pPr>
    </w:p>
    <w:p>
      <w:pPr>
        <w:pStyle w:val="14"/>
        <w:jc w:val="center"/>
        <w:rPr>
          <w:rFonts w:ascii="Arial" w:hAnsi="Arial" w:cs="Arial"/>
          <w:sz w:val="20"/>
          <w:szCs w:val="20"/>
          <w:lang w:eastAsia="zh-CN"/>
        </w:rPr>
      </w:pPr>
    </w:p>
    <w:p>
      <w:pPr>
        <w:pStyle w:val="14"/>
        <w:jc w:val="center"/>
        <w:rPr>
          <w:rFonts w:ascii="Arial" w:hAnsi="Arial" w:cs="Arial"/>
          <w:sz w:val="20"/>
          <w:szCs w:val="20"/>
          <w:lang w:eastAsia="zh-CN"/>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jc w:val="center"/>
        <w:rPr>
          <w:rFonts w:ascii="Arial" w:hAnsi="Arial" w:cs="Arial"/>
          <w:color w:val="5B9BD5" w:themeColor="accent1"/>
          <w:sz w:val="20"/>
          <w:szCs w:val="20"/>
          <w:lang w:eastAsia="zh-CN"/>
          <w14:textFill>
            <w14:solidFill>
              <w14:schemeClr w14:val="accent1"/>
            </w14:solidFill>
          </w14:textFill>
        </w:rPr>
      </w:pPr>
    </w:p>
    <w:p>
      <w:pPr>
        <w:pStyle w:val="14"/>
        <w:ind w:firstLine="3600" w:firstLineChars="1800"/>
        <w:jc w:val="both"/>
        <w:rPr>
          <w:rFonts w:hint="default" w:ascii="Arial" w:hAnsi="Arial" w:cs="Arial"/>
          <w:color w:val="5B9BD5" w:themeColor="accent1"/>
          <w:sz w:val="20"/>
          <w:szCs w:val="20"/>
          <w:lang w:val="en-US" w:eastAsia="zh-CN"/>
          <w14:textFill>
            <w14:solidFill>
              <w14:schemeClr w14:val="accent1"/>
            </w14:solidFill>
          </w14:textFill>
        </w:rPr>
      </w:pPr>
      <w:r>
        <w:rPr>
          <w:rFonts w:ascii="Arial" w:hAnsi="Arial" w:cs="Arial"/>
          <w:color w:val="5B9BD5" w:themeColor="accent1"/>
          <w:sz w:val="20"/>
          <w:szCs w:val="20"/>
          <w:lang w:eastAsia="zh-CN"/>
          <w14:textFill>
            <w14:solidFill>
              <w14:schemeClr w14:val="accent1"/>
            </w14:solidFill>
          </w14:textFill>
        </w:rPr>
        <w:t>NAME:</w:t>
      </w:r>
      <w:r>
        <w:rPr>
          <w:rFonts w:hint="eastAsia" w:ascii="Arial" w:hAnsi="Arial" w:cs="Arial"/>
          <w:color w:val="5B9BD5" w:themeColor="accent1"/>
          <w:sz w:val="20"/>
          <w:szCs w:val="20"/>
          <w:lang w:val="en-US" w:eastAsia="zh-CN"/>
          <w14:textFill>
            <w14:solidFill>
              <w14:schemeClr w14:val="accent1"/>
            </w14:solidFill>
          </w14:textFill>
        </w:rPr>
        <w:t xml:space="preserve"> qizhou</w:t>
      </w:r>
      <w:r>
        <w:rPr>
          <w:rFonts w:ascii="Arial" w:hAnsi="Arial" w:cs="Arial"/>
          <w:color w:val="5B9BD5" w:themeColor="accent1"/>
          <w:sz w:val="20"/>
          <w:szCs w:val="20"/>
          <w:lang w:eastAsia="zh-CN"/>
          <w14:textFill>
            <w14:solidFill>
              <w14:schemeClr w14:val="accent1"/>
            </w14:solidFill>
          </w14:textFill>
        </w:rPr>
        <w:t xml:space="preserve"> W</w:t>
      </w:r>
      <w:r>
        <w:rPr>
          <w:rFonts w:hint="eastAsia" w:ascii="Arial" w:hAnsi="Arial" w:cs="Arial"/>
          <w:color w:val="5B9BD5" w:themeColor="accent1"/>
          <w:sz w:val="20"/>
          <w:szCs w:val="20"/>
          <w:lang w:val="en-US" w:eastAsia="zh-CN"/>
          <w14:textFill>
            <w14:solidFill>
              <w14:schemeClr w14:val="accent1"/>
            </w14:solidFill>
          </w14:textFill>
        </w:rPr>
        <w:t>ang</w:t>
      </w:r>
    </w:p>
    <w:p>
      <w:pPr>
        <w:pStyle w:val="14"/>
        <w:jc w:val="both"/>
        <w:rPr>
          <w:rFonts w:ascii="Arial" w:hAnsi="Arial" w:cs="Arial"/>
          <w:color w:val="5B9BD5" w:themeColor="accent1"/>
          <w:sz w:val="20"/>
          <w:szCs w:val="20"/>
          <w:lang w:eastAsia="zh-CN"/>
          <w14:textFill>
            <w14:solidFill>
              <w14:schemeClr w14:val="accent1"/>
            </w14:solidFill>
          </w14:textFill>
        </w:rPr>
      </w:pPr>
    </w:p>
    <w:p>
      <w:pPr>
        <w:pStyle w:val="14"/>
        <w:ind w:firstLine="3200" w:firstLineChars="1600"/>
        <w:jc w:val="both"/>
        <w:rPr>
          <w:rFonts w:ascii="Arial" w:hAnsi="Arial" w:cs="Arial"/>
          <w:color w:val="5B9BD5" w:themeColor="accent1"/>
          <w:sz w:val="20"/>
          <w:szCs w:val="20"/>
          <w14:textFill>
            <w14:solidFill>
              <w14:schemeClr w14:val="accent1"/>
            </w14:solidFill>
          </w14:textFill>
        </w:rPr>
      </w:pPr>
      <w:r>
        <w:rPr>
          <w:rFonts w:ascii="Arial" w:hAnsi="Arial" w:cs="Arial"/>
          <w:color w:val="5B9BD5" w:themeColor="accent1"/>
          <w:sz w:val="20"/>
          <w:szCs w:val="20"/>
          <w:lang w:eastAsia="zh-CN"/>
          <w14:textFill>
            <w14:solidFill>
              <w14:schemeClr w14:val="accent1"/>
            </w14:solidFill>
          </w14:textFill>
        </w:rPr>
        <w:t>STUDENT NUMBER:1801429</w:t>
      </w:r>
    </w:p>
    <w:p>
      <w:pPr>
        <w:pStyle w:val="2"/>
        <w:tabs>
          <w:tab w:val="left" w:pos="3709"/>
        </w:tabs>
        <w:rPr>
          <w:rFonts w:ascii="Arial" w:hAnsi="Arial" w:cs="Arial"/>
          <w:sz w:val="20"/>
          <w:szCs w:val="20"/>
          <w:lang w:val="en-US" w:eastAsia="zh-CN"/>
        </w:rPr>
      </w:pPr>
      <w:r>
        <w:rPr>
          <w:rFonts w:ascii="Arial" w:hAnsi="Arial" w:cs="Arial"/>
          <w:sz w:val="20"/>
          <w:szCs w:val="20"/>
          <w:lang w:val="en-US" w:eastAsia="zh-CN"/>
        </w:rPr>
        <w:t xml:space="preserve">  </w:t>
      </w:r>
    </w:p>
    <w:p>
      <w:pPr>
        <w:pStyle w:val="2"/>
        <w:rPr>
          <w:rFonts w:ascii="Arial" w:hAnsi="Arial" w:cs="Arial"/>
          <w:sz w:val="20"/>
          <w:szCs w:val="20"/>
        </w:rPr>
      </w:pPr>
    </w:p>
    <w:p>
      <w:pPr>
        <w:pStyle w:val="2"/>
        <w:rPr>
          <w:rFonts w:ascii="Arial" w:hAnsi="Arial" w:cs="Arial"/>
          <w:sz w:val="20"/>
          <w:szCs w:val="20"/>
        </w:rPr>
      </w:pPr>
    </w:p>
    <w:p>
      <w:pPr>
        <w:pStyle w:val="2"/>
        <w:rPr>
          <w:rFonts w:ascii="Arial" w:hAnsi="Arial" w:cs="Arial"/>
          <w:sz w:val="20"/>
          <w:szCs w:val="20"/>
        </w:rPr>
      </w:pPr>
      <w:r>
        <w:rPr>
          <w:rFonts w:ascii="Arial" w:hAnsi="Arial" w:cs="Arial"/>
          <w:color w:val="5B9BD5" w:themeColor="accent1"/>
          <w:sz w:val="20"/>
          <w:szCs w:val="20"/>
          <w:lang w:val="en-US" w:eastAsia="zh-CN"/>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ge">
                  <wp:posOffset>8445500</wp:posOffset>
                </wp:positionV>
                <wp:extent cx="6553200" cy="55753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showingPlcHdr/>
                              <w:date w:fullDate="2019-01-0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 xml:space="preserve">     </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2.25pt;margin-top:665pt;height:43.9pt;width:516pt;mso-position-horizontal-relative:margin;mso-position-vertical-relative:page;z-index:251659264;v-text-anchor:bottom;mso-width-relative:margin;mso-height-relative:page;mso-width-percent:1000;" filled="f" stroked="f" coordsize="21600,21600" o:gfxdata="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m5WyN0AAAANAQAADwAAAAAA&#10;AAABACAAAAAiAAAAZHJzL2Rvd25yZXYueG1sUEsBAhQAFAAAAAgAh07iQNc0aYcOAgAAGQQAAA4A&#10;AAAAAAAAAQAgAAAALAEAAGRycy9lMm9Eb2MueG1sUEsFBgAAAAAGAAYAWQEAAKwFA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showingPlcHdr/>
                        <w:date w:fullDate="2019-01-0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 xml:space="preserve">     </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p>
    <w:p>
      <w:pPr>
        <w:rPr>
          <w:rFonts w:ascii="Arial" w:hAnsi="Arial" w:cs="Arial"/>
          <w:sz w:val="20"/>
          <w:szCs w:val="20"/>
        </w:rPr>
      </w:pPr>
    </w:p>
    <w:p>
      <w:pPr>
        <w:rPr>
          <w:rFonts w:ascii="Arial" w:hAnsi="Arial" w:cs="Arial"/>
          <w:sz w:val="20"/>
          <w:szCs w:val="20"/>
        </w:rPr>
      </w:pPr>
    </w:p>
    <w:p>
      <w:pPr>
        <w:tabs>
          <w:tab w:val="center" w:pos="4513"/>
        </w:tabs>
        <w:rPr>
          <w:rFonts w:ascii="Arial" w:hAnsi="Arial" w:eastAsia="宋体" w:cs="Arial"/>
          <w:sz w:val="20"/>
          <w:szCs w:val="20"/>
          <w:lang w:eastAsia="zh-CN"/>
        </w:rPr>
        <w:sectPr>
          <w:footerReference r:id="rId4" w:type="first"/>
          <w:footerReference r:id="rId3" w:type="default"/>
          <w:pgSz w:w="11906" w:h="16838"/>
          <w:pgMar w:top="1440" w:right="1440" w:bottom="1440" w:left="1440" w:header="708" w:footer="708" w:gutter="0"/>
          <w:pgNumType w:start="0"/>
          <w:cols w:space="708" w:num="1"/>
          <w:titlePg/>
          <w:docGrid w:linePitch="360" w:charSpace="0"/>
        </w:sectPr>
      </w:pPr>
    </w:p>
    <w:p>
      <w:pPr>
        <w:pStyle w:val="2"/>
        <w:rPr>
          <w:rFonts w:ascii="Arial" w:hAnsi="Arial" w:cs="Arial"/>
          <w:sz w:val="20"/>
          <w:szCs w:val="20"/>
          <w:lang w:val="en-US"/>
        </w:rPr>
      </w:pPr>
      <w:bookmarkStart w:id="0" w:name="_Toc26138"/>
      <w:r>
        <w:rPr>
          <w:rFonts w:hint="eastAsia" w:ascii="Arial" w:hAnsi="Arial" w:cs="Arial"/>
          <w:sz w:val="20"/>
          <w:szCs w:val="20"/>
          <w:lang w:val="en-US" w:eastAsia="zh-CN"/>
        </w:rPr>
        <w:t>Executive Summary</w:t>
      </w:r>
      <w:bookmarkEnd w:id="0"/>
    </w:p>
    <w:p>
      <w:pPr>
        <w:jc w:val="both"/>
        <w:rPr>
          <w:rFonts w:hint="eastAsia" w:eastAsia="宋体"/>
          <w:lang w:val="en-US" w:eastAsia="zh-CN"/>
        </w:rPr>
      </w:pPr>
      <w:r>
        <w:rPr>
          <w:rFonts w:hint="eastAsia"/>
        </w:rPr>
        <w:t>The previous report selected direct export</w:t>
      </w:r>
      <w:r>
        <w:rPr>
          <w:rFonts w:hint="eastAsia" w:eastAsia="宋体"/>
          <w:lang w:val="en-US" w:eastAsia="zh-CN"/>
        </w:rPr>
        <w:t>ing,and chose agent sells</w:t>
      </w:r>
      <w:r>
        <w:rPr>
          <w:rFonts w:hint="eastAsia"/>
        </w:rPr>
        <w:t xml:space="preserve"> for Tomos Watkin</w:t>
      </w:r>
      <w:r>
        <w:rPr>
          <w:rFonts w:hint="eastAsia" w:eastAsia="宋体"/>
          <w:lang w:val="en-US" w:eastAsia="zh-CN"/>
        </w:rPr>
        <w:t xml:space="preserve"> to enter Canada market. </w:t>
      </w:r>
      <w:r>
        <w:rPr>
          <w:rFonts w:hint="eastAsia"/>
        </w:rPr>
        <w:t xml:space="preserve">This report mainly analyzes how Tomos Watkin </w:t>
      </w:r>
      <w:r>
        <w:rPr>
          <w:rFonts w:hint="eastAsia" w:eastAsia="宋体"/>
          <w:lang w:val="en-US" w:eastAsia="zh-CN"/>
        </w:rPr>
        <w:t>use the Standardisation and adaptation on marketing mix in Canada</w:t>
      </w:r>
      <w:r>
        <w:rPr>
          <w:rFonts w:hint="eastAsia"/>
        </w:rPr>
        <w:t xml:space="preserve">. </w:t>
      </w:r>
      <w:r>
        <w:rPr>
          <w:rFonts w:hint="eastAsia" w:eastAsia="宋体"/>
          <w:lang w:val="en-US" w:eastAsia="zh-CN"/>
        </w:rPr>
        <w:t>From the data analyze</w:t>
      </w:r>
      <w:r>
        <w:rPr>
          <w:rFonts w:hint="eastAsia"/>
        </w:rPr>
        <w:t xml:space="preserve"> found that Canada has a good beer market environment </w:t>
      </w:r>
      <w:r>
        <w:rPr>
          <w:rFonts w:hint="eastAsia" w:eastAsia="宋体"/>
          <w:lang w:val="en-US" w:eastAsia="zh-CN"/>
        </w:rPr>
        <w:t>that</w:t>
      </w:r>
      <w:r>
        <w:rPr>
          <w:rFonts w:hint="eastAsia"/>
        </w:rPr>
        <w:t xml:space="preserve"> is very helpful for Tomos Watkin's beer sales. Finally, by analyzing standardization and adaptation, and after comparing with competitors, make appropriate suggestions for Tomos Watkin in each key element of the marketing mix.</w:t>
      </w: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Pr>
        <w:rPr>
          <w:rFonts w:ascii="Arial" w:hAnsi="Arial" w:cs="Arial"/>
          <w:color w:val="5B9BD5" w:themeColor="accent1"/>
          <w:sz w:val="20"/>
          <w:szCs w:val="20"/>
          <w14:textFill>
            <w14:solidFill>
              <w14:schemeClr w14:val="accent1"/>
            </w14:solidFill>
          </w14:textFill>
        </w:rPr>
      </w:pPr>
    </w:p>
    <w:p/>
    <w:p/>
    <w:p>
      <w:pPr>
        <w:pStyle w:val="8"/>
        <w:tabs>
          <w:tab w:val="right" w:leader="dot" w:pos="8306"/>
        </w:tabs>
        <w:ind w:firstLine="3640" w:firstLineChars="1300"/>
        <w:rPr>
          <w:rFonts w:eastAsia="宋体"/>
          <w:color w:val="5B9BD5" w:themeColor="accent1"/>
          <w:sz w:val="28"/>
          <w:szCs w:val="28"/>
          <w:lang w:val="en-US" w:eastAsia="zh-CN"/>
          <w14:textFill>
            <w14:solidFill>
              <w14:schemeClr w14:val="accent1"/>
            </w14:solidFill>
          </w14:textFill>
        </w:rPr>
      </w:pPr>
      <w:r>
        <w:rPr>
          <w:rFonts w:hint="eastAsia" w:eastAsia="宋体"/>
          <w:color w:val="5B9BD5" w:themeColor="accent1"/>
          <w:sz w:val="28"/>
          <w:szCs w:val="28"/>
          <w:lang w:val="en-US" w:eastAsia="zh-CN"/>
          <w14:textFill>
            <w14:solidFill>
              <w14:schemeClr w14:val="accent1"/>
            </w14:solidFill>
          </w14:textFill>
        </w:rPr>
        <w:t>Content</w:t>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TOC \o "1-3" \h \u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_Toc26138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Executive Summary</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_Toc26138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1</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_Toc9463 </w:instrText>
      </w:r>
      <w:r>
        <w:rPr>
          <w:color w:val="5B9BD5" w:themeColor="accent1"/>
          <w14:textFill>
            <w14:solidFill>
              <w14:schemeClr w14:val="accent1"/>
            </w14:solidFill>
          </w14:textFill>
        </w:rPr>
        <w:fldChar w:fldCharType="separate"/>
      </w:r>
      <w:r>
        <w:rPr>
          <w:rFonts w:ascii="Arial" w:hAnsi="Arial" w:cs="Arial"/>
          <w:color w:val="5B9BD5" w:themeColor="accent1"/>
          <w:szCs w:val="20"/>
          <w14:textFill>
            <w14:solidFill>
              <w14:schemeClr w14:val="accent1"/>
            </w14:solidFill>
          </w14:textFill>
        </w:rPr>
        <w:t>1. Introduction</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_Toc9463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3</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_Toc26897 </w:instrText>
      </w:r>
      <w:r>
        <w:rPr>
          <w:color w:val="5B9BD5" w:themeColor="accent1"/>
          <w14:textFill>
            <w14:solidFill>
              <w14:schemeClr w14:val="accent1"/>
            </w14:solidFill>
          </w14:textFill>
        </w:rPr>
        <w:fldChar w:fldCharType="separate"/>
      </w:r>
      <w:r>
        <w:rPr>
          <w:rFonts w:ascii="Arial" w:hAnsi="Arial" w:cs="Arial"/>
          <w:color w:val="5B9BD5" w:themeColor="accent1"/>
          <w:szCs w:val="20"/>
          <w:lang w:val="en-US"/>
          <w14:textFill>
            <w14:solidFill>
              <w14:schemeClr w14:val="accent1"/>
            </w14:solidFill>
          </w14:textFill>
        </w:rPr>
        <w:t>2. Standardization vs. Adaptation</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_Toc26897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3</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_Toc2527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 xml:space="preserve">3. </w:t>
      </w:r>
      <w:r>
        <w:rPr>
          <w:rFonts w:ascii="Arial" w:hAnsi="Arial" w:cs="Arial"/>
          <w:color w:val="5B9BD5" w:themeColor="accent1"/>
          <w:szCs w:val="20"/>
          <w14:textFill>
            <w14:solidFill>
              <w14:schemeClr w14:val="accent1"/>
            </w14:solidFill>
          </w14:textFill>
        </w:rPr>
        <w:t>M</w:t>
      </w:r>
      <w:r>
        <w:rPr>
          <w:rFonts w:hint="eastAsia" w:ascii="Arial" w:hAnsi="Arial" w:cs="Arial"/>
          <w:color w:val="5B9BD5" w:themeColor="accent1"/>
          <w:szCs w:val="20"/>
          <w:lang w:val="en-US" w:eastAsia="zh-CN"/>
          <w14:textFill>
            <w14:solidFill>
              <w14:schemeClr w14:val="accent1"/>
            </w14:solidFill>
          </w14:textFill>
        </w:rPr>
        <w:t>arketing Mix</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_Toc2527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4</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_Toc21144 </w:instrText>
      </w:r>
      <w:r>
        <w:rPr>
          <w:color w:val="5B9BD5" w:themeColor="accent1"/>
          <w14:textFill>
            <w14:solidFill>
              <w14:schemeClr w14:val="accent1"/>
            </w14:solidFill>
          </w14:textFill>
        </w:rPr>
        <w:fldChar w:fldCharType="separate"/>
      </w:r>
      <w:r>
        <w:rPr>
          <w:rFonts w:hint="default" w:ascii="Arial" w:hAnsi="Arial" w:cs="Arial"/>
          <w:color w:val="5B9BD5" w:themeColor="accent1"/>
          <w:szCs w:val="20"/>
          <w:lang w:val="en-US" w:eastAsia="zh-CN"/>
          <w14:textFill>
            <w14:solidFill>
              <w14:schemeClr w14:val="accent1"/>
            </w14:solidFill>
          </w14:textFill>
        </w:rPr>
        <w:t xml:space="preserve">3.1 </w:t>
      </w:r>
      <w:r>
        <w:rPr>
          <w:rFonts w:hint="eastAsia" w:ascii="Arial" w:hAnsi="Arial" w:cs="Arial"/>
          <w:color w:val="5B9BD5" w:themeColor="accent1"/>
          <w:szCs w:val="20"/>
          <w:lang w:val="en-US" w:eastAsia="zh-CN"/>
          <w14:textFill>
            <w14:solidFill>
              <w14:schemeClr w14:val="accent1"/>
            </w14:solidFill>
          </w14:textFill>
        </w:rPr>
        <w:t>Product</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_Toc21144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4</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_Toc24501 </w:instrText>
      </w:r>
      <w:r>
        <w:rPr>
          <w:color w:val="5B9BD5" w:themeColor="accent1"/>
          <w14:textFill>
            <w14:solidFill>
              <w14:schemeClr w14:val="accent1"/>
            </w14:solidFill>
          </w14:textFill>
        </w:rPr>
        <w:fldChar w:fldCharType="separate"/>
      </w:r>
      <w:r>
        <w:rPr>
          <w:rFonts w:hint="default" w:ascii="Arial" w:hAnsi="Arial" w:cs="Arial"/>
          <w:color w:val="5B9BD5" w:themeColor="accent1"/>
          <w:szCs w:val="20"/>
          <w:lang w:val="en-US" w:eastAsia="zh-CN"/>
          <w14:textFill>
            <w14:solidFill>
              <w14:schemeClr w14:val="accent1"/>
            </w14:solidFill>
          </w14:textFill>
        </w:rPr>
        <w:t xml:space="preserve">3.2 </w:t>
      </w:r>
      <w:r>
        <w:rPr>
          <w:rFonts w:hint="eastAsia" w:ascii="Arial" w:hAnsi="Arial" w:cs="Arial"/>
          <w:color w:val="5B9BD5" w:themeColor="accent1"/>
          <w:szCs w:val="20"/>
          <w:lang w:val="en-US" w:eastAsia="zh-CN"/>
          <w14:textFill>
            <w14:solidFill>
              <w14:schemeClr w14:val="accent1"/>
            </w14:solidFill>
          </w14:textFill>
        </w:rPr>
        <w:t>Price</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_Toc24501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5</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_Toc2165 </w:instrText>
      </w:r>
      <w:r>
        <w:rPr>
          <w:color w:val="5B9BD5" w:themeColor="accent1"/>
          <w14:textFill>
            <w14:solidFill>
              <w14:schemeClr w14:val="accent1"/>
            </w14:solidFill>
          </w14:textFill>
        </w:rPr>
        <w:fldChar w:fldCharType="separate"/>
      </w:r>
      <w:r>
        <w:rPr>
          <w:rFonts w:hint="default" w:ascii="Arial" w:hAnsi="Arial" w:cs="Arial"/>
          <w:color w:val="5B9BD5" w:themeColor="accent1"/>
          <w:szCs w:val="20"/>
          <w:lang w:val="en-US" w:eastAsia="zh-CN"/>
          <w14:textFill>
            <w14:solidFill>
              <w14:schemeClr w14:val="accent1"/>
            </w14:solidFill>
          </w14:textFill>
        </w:rPr>
        <w:t xml:space="preserve">3.3 </w:t>
      </w:r>
      <w:r>
        <w:rPr>
          <w:rFonts w:hint="eastAsia" w:ascii="Arial" w:hAnsi="Arial" w:cs="Arial"/>
          <w:color w:val="5B9BD5" w:themeColor="accent1"/>
          <w:szCs w:val="20"/>
          <w:lang w:val="en-US" w:eastAsia="zh-CN"/>
          <w14:textFill>
            <w14:solidFill>
              <w14:schemeClr w14:val="accent1"/>
            </w14:solidFill>
          </w14:textFill>
        </w:rPr>
        <w:t>Place</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_Toc2165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6</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_Toc19491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3.4 Promotion</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_Toc19491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7</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_Toc31932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3.5 People</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_Toc31932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7</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_Toc6068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3.6 Physical evidence</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_Toc6068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8</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_Toc8561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3.7 Process</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_Toc8561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8</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_Toc4475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4.0 Conclusion</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_Toc4475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8</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pPr>
        <w:pStyle w:val="8"/>
        <w:tabs>
          <w:tab w:val="right" w:leader="dot" w:pos="8306"/>
        </w:tabs>
        <w:rPr>
          <w:color w:val="5B9BD5" w:themeColor="accent1"/>
          <w14:textFill>
            <w14:solidFill>
              <w14:schemeClr w14:val="accent1"/>
            </w14:solidFill>
          </w14:textFill>
        </w:rPr>
      </w:pP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HYPERLINK \l _Toc525 </w:instrText>
      </w:r>
      <w:r>
        <w:rPr>
          <w:color w:val="5B9BD5" w:themeColor="accent1"/>
          <w14:textFill>
            <w14:solidFill>
              <w14:schemeClr w14:val="accent1"/>
            </w14:solidFill>
          </w14:textFill>
        </w:rPr>
        <w:fldChar w:fldCharType="separate"/>
      </w:r>
      <w:r>
        <w:rPr>
          <w:rFonts w:hint="eastAsia" w:ascii="Arial" w:hAnsi="Arial" w:cs="Arial"/>
          <w:color w:val="5B9BD5" w:themeColor="accent1"/>
          <w:szCs w:val="20"/>
          <w:lang w:val="en-US" w:eastAsia="zh-CN"/>
          <w14:textFill>
            <w14:solidFill>
              <w14:schemeClr w14:val="accent1"/>
            </w14:solidFill>
          </w14:textFill>
        </w:rPr>
        <w:t>Bibliography</w:t>
      </w:r>
      <w:r>
        <w:rPr>
          <w:color w:val="5B9BD5" w:themeColor="accent1"/>
          <w14:textFill>
            <w14:solidFill>
              <w14:schemeClr w14:val="accent1"/>
            </w14:solidFill>
          </w14:textFill>
        </w:rPr>
        <w:tab/>
      </w:r>
      <w:r>
        <w:rPr>
          <w:color w:val="5B9BD5" w:themeColor="accent1"/>
          <w14:textFill>
            <w14:solidFill>
              <w14:schemeClr w14:val="accent1"/>
            </w14:solidFill>
          </w14:textFill>
        </w:rPr>
        <w:fldChar w:fldCharType="begin"/>
      </w:r>
      <w:r>
        <w:rPr>
          <w:color w:val="5B9BD5" w:themeColor="accent1"/>
          <w14:textFill>
            <w14:solidFill>
              <w14:schemeClr w14:val="accent1"/>
            </w14:solidFill>
          </w14:textFill>
        </w:rPr>
        <w:instrText xml:space="preserve"> PAGEREF _Toc525 </w:instrText>
      </w:r>
      <w:r>
        <w:rPr>
          <w:color w:val="5B9BD5" w:themeColor="accent1"/>
          <w14:textFill>
            <w14:solidFill>
              <w14:schemeClr w14:val="accent1"/>
            </w14:solidFill>
          </w14:textFill>
        </w:rPr>
        <w:fldChar w:fldCharType="separate"/>
      </w:r>
      <w:r>
        <w:rPr>
          <w:color w:val="5B9BD5" w:themeColor="accent1"/>
          <w14:textFill>
            <w14:solidFill>
              <w14:schemeClr w14:val="accent1"/>
            </w14:solidFill>
          </w14:textFill>
        </w:rPr>
        <w:t>9</w:t>
      </w:r>
      <w:r>
        <w:rPr>
          <w:color w:val="5B9BD5" w:themeColor="accent1"/>
          <w14:textFill>
            <w14:solidFill>
              <w14:schemeClr w14:val="accent1"/>
            </w14:solidFill>
          </w14:textFill>
        </w:rPr>
        <w:fldChar w:fldCharType="end"/>
      </w:r>
      <w:r>
        <w:rPr>
          <w:color w:val="5B9BD5" w:themeColor="accent1"/>
          <w14:textFill>
            <w14:solidFill>
              <w14:schemeClr w14:val="accent1"/>
            </w14:solidFill>
          </w14:textFill>
        </w:rPr>
        <w:fldChar w:fldCharType="end"/>
      </w:r>
    </w:p>
    <w:p>
      <w:r>
        <w:rPr>
          <w:color w:val="5B9BD5" w:themeColor="accent1"/>
          <w14:textFill>
            <w14:solidFill>
              <w14:schemeClr w14:val="accent1"/>
            </w14:solidFill>
          </w14:textFill>
        </w:rPr>
        <w:fldChar w:fldCharType="end"/>
      </w:r>
    </w:p>
    <w:p/>
    <w:p/>
    <w:p/>
    <w:p/>
    <w:p/>
    <w:p/>
    <w:p/>
    <w:p/>
    <w:p/>
    <w:p/>
    <w:p/>
    <w:p>
      <w:pPr>
        <w:pStyle w:val="2"/>
        <w:numPr>
          <w:ilvl w:val="0"/>
          <w:numId w:val="1"/>
        </w:numPr>
        <w:rPr>
          <w:rFonts w:ascii="Arial" w:hAnsi="Arial" w:cs="Arial"/>
          <w:sz w:val="20"/>
          <w:szCs w:val="20"/>
        </w:rPr>
      </w:pPr>
      <w:bookmarkStart w:id="1" w:name="_Toc9463"/>
      <w:r>
        <w:rPr>
          <w:rFonts w:ascii="Arial" w:hAnsi="Arial" w:cs="Arial"/>
          <w:sz w:val="20"/>
          <w:szCs w:val="20"/>
        </w:rPr>
        <w:t>Introduction</w:t>
      </w:r>
      <w:bookmarkEnd w:id="1"/>
    </w:p>
    <w:p>
      <w:pPr>
        <w:jc w:val="both"/>
        <w:rPr>
          <w:rFonts w:hint="default" w:eastAsia="宋体"/>
          <w:lang w:val="en-US" w:eastAsia="zh-CN"/>
        </w:rPr>
      </w:pPr>
      <w:r>
        <w:rPr>
          <w:rFonts w:hint="eastAsia"/>
        </w:rPr>
        <w:t>In recent years, the number of breweries in Canada has continued to grow. In 2010, there were only 310 breweries in Canada. However, at the end of 2015, it grew to 644 with a growth rate of 107.74%. Canada's beer industry is growing rapidly, and more Canadians like to drink beer</w:t>
      </w:r>
      <w:r>
        <w:rPr>
          <w:rFonts w:hint="eastAsia" w:eastAsia="宋体"/>
          <w:lang w:val="en-US" w:eastAsia="zh-CN"/>
        </w:rPr>
        <w:t>(J</w:t>
      </w:r>
      <w:r>
        <w:rPr>
          <w:rFonts w:hint="eastAsia"/>
        </w:rPr>
        <w:t>ustbeer</w:t>
      </w:r>
      <w:r>
        <w:rPr>
          <w:rFonts w:hint="eastAsia" w:eastAsia="宋体"/>
          <w:lang w:val="en-US" w:eastAsia="zh-CN"/>
        </w:rPr>
        <w:t>,2018).</w:t>
      </w:r>
    </w:p>
    <w:p>
      <w:pPr>
        <w:jc w:val="both"/>
        <w:rPr>
          <w:rFonts w:hint="eastAsia"/>
        </w:rPr>
      </w:pPr>
      <w:r>
        <w:rPr>
          <w:rFonts w:hint="eastAsia"/>
        </w:rPr>
        <w:t>Tomos Watkin's slogan is "Made in Wales, world-famous", which shows that their corporate goal is to become an influential Welsh brand in the international market, they want to enhance the image of the Welsh beer brand in the world (Tomos Watkin, 2018).</w:t>
      </w:r>
    </w:p>
    <w:p>
      <w:pPr>
        <w:numPr>
          <w:ilvl w:val="0"/>
          <w:numId w:val="0"/>
        </w:numPr>
        <w:ind w:leftChars="0"/>
        <w:jc w:val="both"/>
        <w:rPr>
          <w:rFonts w:hint="eastAsia"/>
        </w:rPr>
      </w:pPr>
      <w:r>
        <w:rPr>
          <w:rFonts w:hint="eastAsia"/>
        </w:rPr>
        <w:t xml:space="preserve">Tomos Watkin hopes to become a world-class brand with a good reputation, so </w:t>
      </w:r>
      <w:r>
        <w:rPr>
          <w:rFonts w:hint="eastAsia" w:eastAsia="宋体"/>
          <w:lang w:val="en-US" w:eastAsia="zh-CN"/>
        </w:rPr>
        <w:t>agent sells</w:t>
      </w:r>
      <w:r>
        <w:rPr>
          <w:rFonts w:hint="eastAsia"/>
        </w:rPr>
        <w:t xml:space="preserve"> </w:t>
      </w:r>
      <w:r>
        <w:rPr>
          <w:rFonts w:hint="eastAsia" w:eastAsia="宋体"/>
          <w:lang w:val="en-US" w:eastAsia="zh-CN"/>
        </w:rPr>
        <w:t>might be</w:t>
      </w:r>
      <w:r>
        <w:rPr>
          <w:rFonts w:hint="eastAsia"/>
        </w:rPr>
        <w:t xml:space="preserve"> the ideal choice for the company</w:t>
      </w:r>
      <w:r>
        <w:rPr>
          <w:rFonts w:hint="eastAsia" w:eastAsia="宋体"/>
          <w:lang w:val="en-US" w:eastAsia="zh-CN"/>
        </w:rPr>
        <w:t xml:space="preserve"> </w:t>
      </w:r>
      <w:r>
        <w:rPr>
          <w:rFonts w:eastAsiaTheme="minorEastAsia"/>
          <w:lang w:val="en-US" w:eastAsia="zh-CN"/>
        </w:rPr>
        <w:t>(Saimagambetova, 2017)</w:t>
      </w:r>
      <w:r>
        <w:rPr>
          <w:rFonts w:hint="eastAsia"/>
        </w:rPr>
        <w:t>. Because</w:t>
      </w:r>
      <w:r>
        <w:rPr>
          <w:rFonts w:hint="eastAsia" w:eastAsia="宋体"/>
          <w:lang w:val="en-US" w:eastAsia="zh-CN"/>
        </w:rPr>
        <w:t xml:space="preserve"> agent</w:t>
      </w:r>
      <w:r>
        <w:rPr>
          <w:rFonts w:hint="eastAsia"/>
        </w:rPr>
        <w:t xml:space="preserve"> can help companies accumulate cross-border marketing experience and quickly establish a reputation in the international market, contributing to the company's international market expansion</w:t>
      </w:r>
      <w:r>
        <w:rPr>
          <w:rFonts w:hint="eastAsia"/>
          <w:lang w:val="en-US" w:eastAsia="zh-CN"/>
        </w:rPr>
        <w:t xml:space="preserve"> (Permenter, 2016)</w:t>
      </w:r>
      <w:r>
        <w:rPr>
          <w:rFonts w:hint="eastAsia"/>
        </w:rPr>
        <w:t xml:space="preserve">. At the same time, </w:t>
      </w:r>
      <w:r>
        <w:rPr>
          <w:rFonts w:hint="eastAsia" w:eastAsia="宋体"/>
          <w:lang w:val="en-US" w:eastAsia="zh-CN"/>
        </w:rPr>
        <w:t>the company</w:t>
      </w:r>
      <w:r>
        <w:rPr>
          <w:rFonts w:hint="eastAsia"/>
        </w:rPr>
        <w:t xml:space="preserve"> can also quickly understand the trend of foreign beer market</w:t>
      </w:r>
      <w:r>
        <w:rPr>
          <w:rFonts w:hint="eastAsia" w:eastAsia="宋体"/>
          <w:lang w:val="en-US" w:eastAsia="zh-CN"/>
        </w:rPr>
        <w:t xml:space="preserve"> </w:t>
      </w:r>
      <w:r>
        <w:rPr>
          <w:rFonts w:hint="eastAsia"/>
        </w:rPr>
        <w:t>(Yasar, 2015).</w:t>
      </w:r>
      <w:r>
        <w:rPr>
          <w:rFonts w:hint="eastAsia" w:eastAsia="宋体"/>
          <w:lang w:val="en-US" w:eastAsia="zh-CN"/>
        </w:rPr>
        <w:t xml:space="preserve"> </w:t>
      </w:r>
      <w:r>
        <w:rPr>
          <w:rFonts w:hint="eastAsia"/>
          <w:lang w:val="en-US" w:eastAsia="zh-CN"/>
        </w:rPr>
        <w:t xml:space="preserve">The agent will help the company to save the expenditure which paid for new market research, and directly increases the company's maximum profit while establishing a good brand image </w:t>
      </w:r>
      <w:r>
        <w:rPr>
          <w:lang w:val="en-US" w:eastAsia="zh-CN"/>
        </w:rPr>
        <w:t>(</w:t>
      </w:r>
      <w:r>
        <w:rPr>
          <w:rFonts w:hint="eastAsia"/>
          <w:lang w:val="en-US" w:eastAsia="zh-CN"/>
        </w:rPr>
        <w:t>Doyle</w:t>
      </w:r>
      <w:r>
        <w:rPr>
          <w:lang w:val="en-US" w:eastAsia="zh-CN"/>
        </w:rPr>
        <w:t>, 2011</w:t>
      </w:r>
      <w:r>
        <w:rPr>
          <w:rFonts w:hint="eastAsia"/>
          <w:lang w:val="en-US" w:eastAsia="zh-CN"/>
        </w:rPr>
        <w:t xml:space="preserve">). </w:t>
      </w:r>
    </w:p>
    <w:p>
      <w:pPr>
        <w:pStyle w:val="2"/>
        <w:numPr>
          <w:ilvl w:val="0"/>
          <w:numId w:val="1"/>
        </w:numPr>
        <w:tabs>
          <w:tab w:val="left" w:pos="312"/>
        </w:tabs>
        <w:ind w:left="0" w:leftChars="0" w:firstLine="0" w:firstLineChars="0"/>
        <w:rPr>
          <w:rFonts w:ascii="Arial" w:hAnsi="Arial" w:cs="Arial"/>
          <w:sz w:val="20"/>
          <w:szCs w:val="20"/>
          <w:lang w:val="en-US"/>
        </w:rPr>
      </w:pPr>
      <w:bookmarkStart w:id="2" w:name="_Toc26897"/>
      <w:r>
        <w:rPr>
          <w:rFonts w:ascii="Arial" w:hAnsi="Arial" w:cs="Arial"/>
          <w:sz w:val="20"/>
          <w:szCs w:val="20"/>
          <w:lang w:val="en-US"/>
        </w:rPr>
        <w:t>Standardization vs. Adaptation</w:t>
      </w:r>
      <w:bookmarkEnd w:id="2"/>
    </w:p>
    <w:p>
      <w:pPr>
        <w:jc w:val="both"/>
        <w:rPr>
          <w:rFonts w:hint="eastAsia"/>
        </w:rPr>
      </w:pPr>
      <w:r>
        <w:rPr>
          <w:rFonts w:hint="eastAsia"/>
        </w:rPr>
        <w:t>With the development of globalization in recent years, the differences between countries still exist, but the differences have become smaller and smaller. This globalization and the advancement of corporate internationalization have had a strong impact on how multinational companies develop marketing strategies</w:t>
      </w:r>
      <w:r>
        <w:rPr>
          <w:rFonts w:hint="eastAsia" w:eastAsia="宋体"/>
          <w:lang w:val="en-US" w:eastAsia="zh-CN"/>
        </w:rPr>
        <w:t xml:space="preserve"> (</w:t>
      </w:r>
      <w:r>
        <w:rPr>
          <w:rFonts w:hint="eastAsia"/>
        </w:rPr>
        <w:t>Akgün,</w:t>
      </w:r>
      <w:r>
        <w:rPr>
          <w:rFonts w:hint="eastAsia" w:eastAsia="宋体"/>
          <w:lang w:val="en-US" w:eastAsia="zh-CN"/>
        </w:rPr>
        <w:t xml:space="preserve"> </w:t>
      </w:r>
      <w:r>
        <w:rPr>
          <w:rFonts w:hint="eastAsia"/>
        </w:rPr>
        <w:t>2014</w:t>
      </w:r>
      <w:r>
        <w:rPr>
          <w:rFonts w:hint="eastAsia" w:eastAsia="宋体"/>
          <w:lang w:val="en-US" w:eastAsia="zh-CN"/>
        </w:rPr>
        <w:t>)</w:t>
      </w:r>
      <w:r>
        <w:rPr>
          <w:rFonts w:hint="eastAsia"/>
        </w:rPr>
        <w:t xml:space="preserve">. </w:t>
      </w:r>
    </w:p>
    <w:p>
      <w:pPr>
        <w:jc w:val="both"/>
        <w:rPr>
          <w:rFonts w:hint="eastAsia"/>
        </w:rPr>
      </w:pPr>
      <w:r>
        <w:rPr>
          <w:rFonts w:hint="eastAsia"/>
        </w:rPr>
        <w:t>As many companies begin to sell their products abroad, strategic decisions are beginning to change. Companies should use a standardized marketing mix to conduct a single marketing in all countries, or adjust marketing mixes and strategies to suit each local market</w:t>
      </w:r>
      <w:r>
        <w:rPr>
          <w:rFonts w:hint="eastAsia" w:eastAsia="宋体"/>
          <w:lang w:val="en-US" w:eastAsia="zh-CN"/>
        </w:rPr>
        <w:t xml:space="preserve"> (</w:t>
      </w:r>
      <w:r>
        <w:rPr>
          <w:rFonts w:hint="eastAsia"/>
        </w:rPr>
        <w:t>Kaufmann</w:t>
      </w:r>
      <w:r>
        <w:rPr>
          <w:rFonts w:hint="eastAsia" w:eastAsia="宋体"/>
          <w:lang w:val="en-US" w:eastAsia="zh-CN"/>
        </w:rPr>
        <w:t>, 1999)</w:t>
      </w:r>
      <w:r>
        <w:rPr>
          <w:rFonts w:hint="eastAsia"/>
        </w:rPr>
        <w:t>. Thus, Standardisation and Adaption were born. Proponents of Standardi</w:t>
      </w:r>
      <w:r>
        <w:rPr>
          <w:rFonts w:hint="eastAsia" w:eastAsia="宋体"/>
          <w:lang w:val="en-US" w:eastAsia="zh-CN"/>
        </w:rPr>
        <w:t>s</w:t>
      </w:r>
      <w:r>
        <w:rPr>
          <w:rFonts w:hint="eastAsia"/>
        </w:rPr>
        <w:t>ation believe that the market is becoming more and more similar, and the key to the company's survival is the company's own standardization capabilities</w:t>
      </w:r>
      <w:r>
        <w:rPr>
          <w:rFonts w:hint="eastAsia" w:eastAsia="宋体"/>
          <w:lang w:val="en-US" w:eastAsia="zh-CN"/>
        </w:rPr>
        <w:t xml:space="preserve"> (</w:t>
      </w:r>
      <w:r>
        <w:rPr>
          <w:rFonts w:hint="eastAsia"/>
        </w:rPr>
        <w:t>Valassis, 2013</w:t>
      </w:r>
      <w:r>
        <w:rPr>
          <w:rFonts w:hint="eastAsia" w:eastAsia="宋体"/>
          <w:lang w:val="en-US" w:eastAsia="zh-CN"/>
        </w:rPr>
        <w:t>)</w:t>
      </w:r>
      <w:r>
        <w:rPr>
          <w:rFonts w:hint="eastAsia"/>
        </w:rPr>
        <w:t>. Standardi</w:t>
      </w:r>
      <w:r>
        <w:rPr>
          <w:rFonts w:hint="eastAsia" w:eastAsia="宋体"/>
          <w:lang w:val="en-US" w:eastAsia="zh-CN"/>
        </w:rPr>
        <w:t>s</w:t>
      </w:r>
      <w:r>
        <w:rPr>
          <w:rFonts w:hint="eastAsia"/>
        </w:rPr>
        <w:t>ation helps consumers to have a positive view of the product and gives the product a good evaluation. If a company has a good brand image, they will succeed. Because on a global scale, good word of mouth can mean an improvement in sales</w:t>
      </w:r>
      <w:r>
        <w:rPr>
          <w:rFonts w:hint="eastAsia" w:eastAsia="宋体"/>
          <w:lang w:val="en-US" w:eastAsia="zh-CN"/>
        </w:rPr>
        <w:t xml:space="preserve"> (</w:t>
      </w:r>
      <w:r>
        <w:rPr>
          <w:rFonts w:hint="eastAsia"/>
        </w:rPr>
        <w:t>Brei,</w:t>
      </w:r>
      <w:r>
        <w:rPr>
          <w:rFonts w:hint="eastAsia" w:eastAsia="宋体"/>
          <w:lang w:val="en-US" w:eastAsia="zh-CN"/>
        </w:rPr>
        <w:t xml:space="preserve"> </w:t>
      </w:r>
      <w:r>
        <w:rPr>
          <w:rFonts w:hint="eastAsia"/>
        </w:rPr>
        <w:t>2011</w:t>
      </w:r>
      <w:r>
        <w:rPr>
          <w:rFonts w:hint="eastAsia" w:eastAsia="宋体"/>
          <w:lang w:val="en-US" w:eastAsia="zh-CN"/>
        </w:rPr>
        <w:t>)</w:t>
      </w:r>
      <w:r>
        <w:rPr>
          <w:rFonts w:hint="eastAsia"/>
        </w:rPr>
        <w:t>. They believe that as trade barriers become lower and lower, companies can develop a standardized marketing mix strategy for the global market that will achieve customer consistency and lower costs</w:t>
      </w:r>
      <w:r>
        <w:rPr>
          <w:rFonts w:hint="eastAsia" w:eastAsia="宋体"/>
          <w:lang w:val="en-US" w:eastAsia="zh-CN"/>
        </w:rPr>
        <w:t xml:space="preserve"> (</w:t>
      </w:r>
      <w:r>
        <w:rPr>
          <w:rFonts w:hint="eastAsia"/>
        </w:rPr>
        <w:t>Lin, 2012</w:t>
      </w:r>
      <w:r>
        <w:rPr>
          <w:rFonts w:hint="eastAsia" w:eastAsia="宋体"/>
          <w:lang w:val="en-US" w:eastAsia="zh-CN"/>
        </w:rPr>
        <w:t>)</w:t>
      </w:r>
      <w:r>
        <w:rPr>
          <w:rFonts w:hint="eastAsia"/>
        </w:rPr>
        <w:t xml:space="preserve">. </w:t>
      </w:r>
    </w:p>
    <w:p>
      <w:pPr>
        <w:jc w:val="both"/>
        <w:rPr>
          <w:rFonts w:hint="eastAsia"/>
        </w:rPr>
      </w:pPr>
      <w:r>
        <w:rPr>
          <w:rFonts w:hint="eastAsia"/>
        </w:rPr>
        <w:t>Adaption proponents point to the problem of using standardi</w:t>
      </w:r>
      <w:r>
        <w:rPr>
          <w:rFonts w:hint="eastAsia" w:eastAsia="宋体"/>
          <w:lang w:val="en-US" w:eastAsia="zh-CN"/>
        </w:rPr>
        <w:t>sation</w:t>
      </w:r>
      <w:r>
        <w:rPr>
          <w:rFonts w:hint="eastAsia"/>
        </w:rPr>
        <w:t>, which they believe do not achieve good sales results. They believe that all environmental factors and constraints must be considered when entering a foreign market, such as climate, language, occupation, education, law, society and culture (Czinkota, 1998). However, researchers have determined that there are still many important constraints that are difficult to measure and predict, such as education, history, religion, attitudes and values, customs and etiquette, aesthetics, and the economy</w:t>
      </w:r>
      <w:r>
        <w:rPr>
          <w:rFonts w:hint="eastAsia" w:eastAsia="宋体"/>
          <w:lang w:val="en-US" w:eastAsia="zh-CN"/>
        </w:rPr>
        <w:t>(</w:t>
      </w:r>
      <w:r>
        <w:rPr>
          <w:rFonts w:hint="eastAsia"/>
        </w:rPr>
        <w:t>Sudarevic, 2015</w:t>
      </w:r>
      <w:r>
        <w:rPr>
          <w:rFonts w:hint="eastAsia" w:eastAsia="宋体"/>
          <w:lang w:val="en-US" w:eastAsia="zh-CN"/>
        </w:rPr>
        <w:t>)</w:t>
      </w:r>
      <w:r>
        <w:rPr>
          <w:rFonts w:hint="eastAsia"/>
        </w:rPr>
        <w:t>.</w:t>
      </w:r>
      <w:r>
        <w:rPr>
          <w:rFonts w:hint="eastAsia" w:eastAsia="宋体"/>
          <w:lang w:val="en-US" w:eastAsia="zh-CN"/>
        </w:rPr>
        <w:t xml:space="preserve"> </w:t>
      </w:r>
      <w:r>
        <w:rPr>
          <w:rFonts w:hint="eastAsia"/>
        </w:rPr>
        <w:t>They believe that multinational companies should change their marketing strategies based on local tastes to meet the different demands of the market and consumers</w:t>
      </w:r>
      <w:r>
        <w:rPr>
          <w:rFonts w:hint="eastAsia" w:eastAsia="宋体"/>
          <w:lang w:val="en-US" w:eastAsia="zh-CN"/>
        </w:rPr>
        <w:t>(</w:t>
      </w:r>
      <w:r>
        <w:rPr>
          <w:rFonts w:hint="eastAsia"/>
        </w:rPr>
        <w:t>Le Hieu,</w:t>
      </w:r>
      <w:r>
        <w:rPr>
          <w:rFonts w:hint="eastAsia" w:eastAsia="宋体"/>
          <w:lang w:val="en-US" w:eastAsia="zh-CN"/>
        </w:rPr>
        <w:t xml:space="preserve"> </w:t>
      </w:r>
      <w:r>
        <w:rPr>
          <w:rFonts w:hint="eastAsia"/>
        </w:rPr>
        <w:t>2010</w:t>
      </w:r>
      <w:r>
        <w:rPr>
          <w:rFonts w:hint="eastAsia" w:eastAsia="宋体"/>
          <w:lang w:val="en-US" w:eastAsia="zh-CN"/>
        </w:rPr>
        <w:t>)</w:t>
      </w:r>
      <w:r>
        <w:rPr>
          <w:rFonts w:hint="eastAsia"/>
        </w:rPr>
        <w:t xml:space="preserve">. </w:t>
      </w:r>
    </w:p>
    <w:p>
      <w:pPr>
        <w:jc w:val="both"/>
        <w:rPr>
          <w:rFonts w:hint="eastAsia"/>
        </w:rPr>
      </w:pPr>
      <w:r>
        <w:rPr>
          <w:rFonts w:hint="eastAsia"/>
        </w:rPr>
        <w:t>These two methods should be coherent and they are all reasonable. International company marketing is not based on either of the two opposite strategies, as the two strategies may coexist</w:t>
      </w:r>
      <w:r>
        <w:rPr>
          <w:rFonts w:hint="eastAsia" w:eastAsia="宋体"/>
          <w:lang w:val="en-US" w:eastAsia="zh-CN"/>
        </w:rPr>
        <w:t xml:space="preserve"> (</w:t>
      </w:r>
      <w:r>
        <w:rPr>
          <w:rFonts w:hint="eastAsia"/>
        </w:rPr>
        <w:t>Lundahl,</w:t>
      </w:r>
      <w:r>
        <w:rPr>
          <w:rFonts w:hint="eastAsia" w:eastAsia="宋体"/>
          <w:lang w:val="en-US" w:eastAsia="zh-CN"/>
        </w:rPr>
        <w:t xml:space="preserve"> </w:t>
      </w:r>
      <w:r>
        <w:rPr>
          <w:rFonts w:hint="eastAsia"/>
        </w:rPr>
        <w:t>2017</w:t>
      </w:r>
      <w:r>
        <w:rPr>
          <w:rFonts w:hint="eastAsia" w:eastAsia="宋体"/>
          <w:lang w:val="en-US" w:eastAsia="zh-CN"/>
        </w:rPr>
        <w:t>)</w:t>
      </w:r>
      <w:r>
        <w:rPr>
          <w:rFonts w:hint="eastAsia"/>
        </w:rPr>
        <w:t xml:space="preserve">. </w:t>
      </w:r>
    </w:p>
    <w:p>
      <w:pPr>
        <w:jc w:val="both"/>
        <w:rPr>
          <w:rFonts w:hint="default" w:eastAsia="宋体"/>
          <w:lang w:val="en-US" w:eastAsia="zh-CN"/>
        </w:rPr>
      </w:pPr>
      <w:r>
        <w:rPr>
          <w:rFonts w:hint="eastAsia" w:eastAsiaTheme="minorEastAsia"/>
          <w:lang w:val="en-US" w:eastAsia="zh-CN"/>
        </w:rPr>
        <w:t xml:space="preserve">This essay will justify that how </w:t>
      </w:r>
      <w:r>
        <w:rPr>
          <w:rFonts w:hint="eastAsia"/>
        </w:rPr>
        <w:t>Tomos Watkin</w:t>
      </w:r>
      <w:r>
        <w:rPr>
          <w:rFonts w:hint="eastAsia" w:eastAsiaTheme="minorEastAsia"/>
          <w:lang w:val="en-US" w:eastAsia="zh-CN"/>
        </w:rPr>
        <w:t xml:space="preserve"> use standardisation and adaption on marketing mix</w:t>
      </w:r>
      <w:r>
        <w:rPr>
          <w:rFonts w:hint="eastAsia" w:eastAsia="宋体"/>
          <w:lang w:val="en-US" w:eastAsia="zh-CN"/>
        </w:rPr>
        <w:t xml:space="preserve"> in Canada market.</w:t>
      </w:r>
    </w:p>
    <w:p>
      <w:pPr>
        <w:pStyle w:val="2"/>
        <w:numPr>
          <w:ilvl w:val="0"/>
          <w:numId w:val="1"/>
        </w:numPr>
        <w:tabs>
          <w:tab w:val="left" w:pos="312"/>
        </w:tabs>
        <w:ind w:left="0" w:leftChars="0" w:firstLine="0" w:firstLineChars="0"/>
        <w:rPr>
          <w:rFonts w:hint="eastAsia" w:ascii="Arial" w:hAnsi="Arial" w:cs="Arial"/>
          <w:sz w:val="20"/>
          <w:szCs w:val="20"/>
          <w:lang w:val="en-US" w:eastAsia="zh-CN"/>
        </w:rPr>
      </w:pPr>
      <w:bookmarkStart w:id="3" w:name="_Toc30126"/>
      <w:bookmarkStart w:id="4" w:name="_Toc2527"/>
      <w:r>
        <w:rPr>
          <w:rFonts w:ascii="Arial" w:hAnsi="Arial" w:cs="Arial"/>
          <w:sz w:val="20"/>
          <w:szCs w:val="20"/>
        </w:rPr>
        <w:t>M</w:t>
      </w:r>
      <w:bookmarkEnd w:id="3"/>
      <w:r>
        <w:rPr>
          <w:rFonts w:hint="eastAsia" w:ascii="Arial" w:hAnsi="Arial" w:cs="Arial"/>
          <w:sz w:val="20"/>
          <w:szCs w:val="20"/>
          <w:lang w:val="en-US" w:eastAsia="zh-CN"/>
        </w:rPr>
        <w:t>arketing Mix</w:t>
      </w:r>
      <w:bookmarkEnd w:id="4"/>
    </w:p>
    <w:p>
      <w:pPr>
        <w:pStyle w:val="2"/>
        <w:numPr>
          <w:ilvl w:val="1"/>
          <w:numId w:val="1"/>
        </w:numPr>
        <w:tabs>
          <w:tab w:val="left" w:pos="312"/>
        </w:tabs>
        <w:ind w:left="0" w:leftChars="0" w:firstLine="0" w:firstLineChars="0"/>
        <w:rPr>
          <w:rFonts w:hint="eastAsia" w:ascii="Arial" w:hAnsi="Arial" w:cs="Arial"/>
          <w:sz w:val="20"/>
          <w:szCs w:val="20"/>
          <w:lang w:val="en-US" w:eastAsia="zh-CN"/>
        </w:rPr>
      </w:pPr>
      <w:bookmarkStart w:id="5" w:name="_Toc21144"/>
      <w:r>
        <w:rPr>
          <w:rFonts w:hint="eastAsia" w:ascii="Arial" w:hAnsi="Arial" w:cs="Arial"/>
          <w:sz w:val="20"/>
          <w:szCs w:val="20"/>
          <w:lang w:val="en-US" w:eastAsia="zh-CN"/>
        </w:rPr>
        <w:t>Product</w:t>
      </w:r>
      <w:bookmarkEnd w:id="5"/>
    </w:p>
    <w:p>
      <w:pPr>
        <w:bidi w:val="0"/>
        <w:jc w:val="both"/>
        <w:rPr>
          <w:rFonts w:hint="eastAsia"/>
          <w:lang w:val="en-US" w:eastAsia="zh-CN"/>
        </w:rPr>
      </w:pPr>
      <w:r>
        <w:rPr>
          <w:rFonts w:hint="eastAsia"/>
          <w:lang w:val="en-US" w:eastAsia="zh-CN"/>
        </w:rPr>
        <w:t>As domestically produced beer is no longer sufficient to meet the taste needs of Canadian domestic beer drinkers, more and more people are turning to imported brands of beer because they want to try more quality beer flavors (Canada Beer, 2017). In 2016, Canada's imported beer sales have reached 3.48 million liters. Approximately 24% of domestic beer consumption comes from men between the ages of 18 and 34 (IBISWorld, 2018).</w:t>
      </w:r>
    </w:p>
    <w:p>
      <w:pPr>
        <w:bidi w:val="0"/>
        <w:jc w:val="both"/>
        <w:rPr>
          <w:rFonts w:hint="eastAsia"/>
          <w:lang w:val="en-US" w:eastAsia="zh-CN"/>
        </w:rPr>
      </w:pPr>
      <w:r>
        <w:rPr>
          <w:rFonts w:hint="eastAsia"/>
          <w:lang w:val="en-US" w:eastAsia="zh-CN"/>
        </w:rPr>
        <w:t xml:space="preserve">Canada is a country that regards Maple Leaf as a national treasure. In Canada, Maple Leaf is something that is cherished and respected </w:t>
      </w:r>
      <w:bookmarkStart w:id="14" w:name="_GoBack"/>
      <w:bookmarkEnd w:id="14"/>
      <w:r>
        <w:rPr>
          <w:rFonts w:hint="eastAsia"/>
          <w:lang w:val="en-US" w:eastAsia="zh-CN"/>
        </w:rPr>
        <w:t>(Wenda, 2018). At the same time, Canadians believe that red symbolizes luck and honor(Zimmerman, 2008</w:t>
      </w:r>
      <w:r>
        <w:rPr>
          <w:rFonts w:hint="eastAsia" w:hAnsi="Times New Roman" w:cs="Times New Roman" w:asciiTheme="minorAscii"/>
          <w:sz w:val="20"/>
          <w:szCs w:val="20"/>
          <w:lang w:val="en-US" w:eastAsia="zh-CN"/>
        </w:rPr>
        <w:t>)</w:t>
      </w:r>
      <w:r>
        <w:rPr>
          <w:rFonts w:hint="eastAsia"/>
          <w:lang w:val="en-US" w:eastAsia="zh-CN"/>
        </w:rPr>
        <w:t>. Therefore, Tomos Watkin can ask their agent to take a replacement package in terms of product adaptation. They can choose red and add a maple leaf logo on the beer packaging.</w:t>
      </w:r>
    </w:p>
    <w:p>
      <w:pPr>
        <w:bidi w:val="0"/>
        <w:jc w:val="both"/>
        <w:rPr>
          <w:rFonts w:hint="default"/>
          <w:lang w:val="en-US" w:eastAsia="zh-CN"/>
        </w:rPr>
      </w:pPr>
      <w:r>
        <w:rPr>
          <w:rFonts w:hint="eastAsia"/>
          <w:lang w:val="en-US" w:eastAsia="zh-CN"/>
        </w:rPr>
        <w:t xml:space="preserve"> </w:t>
      </w:r>
    </w:p>
    <w:p>
      <w:pPr>
        <w:bidi w:val="0"/>
        <w:jc w:val="both"/>
      </w:pPr>
      <w:r>
        <w:rPr>
          <w:rFonts w:hint="eastAsia" w:eastAsia="宋体"/>
          <w:lang w:val="en-US" w:eastAsia="zh-CN"/>
        </w:rPr>
        <w:t xml:space="preserve">                          </w:t>
      </w:r>
      <w:r>
        <w:drawing>
          <wp:inline distT="0" distB="0" distL="114300" distR="114300">
            <wp:extent cx="1200150" cy="1470025"/>
            <wp:effectExtent l="0" t="0" r="0" b="15875"/>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7"/>
                    <a:stretch>
                      <a:fillRect/>
                    </a:stretch>
                  </pic:blipFill>
                  <pic:spPr>
                    <a:xfrm>
                      <a:off x="0" y="0"/>
                      <a:ext cx="1200150" cy="1470025"/>
                    </a:xfrm>
                    <a:prstGeom prst="rect">
                      <a:avLst/>
                    </a:prstGeom>
                    <a:noFill/>
                    <a:ln>
                      <a:noFill/>
                    </a:ln>
                  </pic:spPr>
                </pic:pic>
              </a:graphicData>
            </a:graphic>
          </wp:inline>
        </w:drawing>
      </w:r>
    </w:p>
    <w:p>
      <w:pPr>
        <w:tabs>
          <w:tab w:val="left" w:pos="2873"/>
        </w:tabs>
        <w:spacing w:line="0" w:lineRule="atLeast"/>
        <w:ind w:firstLine="2400" w:firstLineChars="1500"/>
        <w:jc w:val="both"/>
        <w:rPr>
          <w:rFonts w:ascii="Times New Roman" w:hAnsi="Times New Roman" w:eastAsia="宋体" w:cs="Times New Roman"/>
          <w:bCs/>
          <w:sz w:val="16"/>
          <w:szCs w:val="16"/>
          <w:lang w:val="en-US" w:eastAsia="zh-CN"/>
        </w:rPr>
      </w:pPr>
      <w:r>
        <w:rPr>
          <w:rFonts w:ascii="Times New Roman" w:hAnsi="Times New Roman" w:eastAsia="宋体" w:cs="Times New Roman"/>
          <w:bCs/>
          <w:sz w:val="16"/>
          <w:szCs w:val="16"/>
          <w:lang w:val="en-US" w:eastAsia="zh-CN"/>
        </w:rPr>
        <w:t xml:space="preserve">Figure </w:t>
      </w:r>
      <w:r>
        <w:rPr>
          <w:rFonts w:hint="eastAsia" w:ascii="Times New Roman" w:hAnsi="Times New Roman" w:eastAsia="宋体" w:cs="Times New Roman"/>
          <w:bCs/>
          <w:sz w:val="16"/>
          <w:szCs w:val="16"/>
          <w:lang w:val="en-US" w:eastAsia="zh-CN"/>
        </w:rPr>
        <w:t>1</w:t>
      </w:r>
      <w:r>
        <w:rPr>
          <w:rFonts w:ascii="Times New Roman" w:hAnsi="Times New Roman" w:eastAsia="宋体" w:cs="Times New Roman"/>
          <w:bCs/>
          <w:sz w:val="16"/>
          <w:szCs w:val="16"/>
          <w:lang w:val="en-US" w:eastAsia="zh-CN"/>
        </w:rPr>
        <w:t>:</w:t>
      </w:r>
      <w:r>
        <w:rPr>
          <w:rFonts w:hint="eastAsia" w:ascii="Times New Roman" w:hAnsi="Times New Roman" w:eastAsia="宋体" w:cs="Times New Roman"/>
          <w:bCs/>
          <w:sz w:val="16"/>
          <w:szCs w:val="16"/>
          <w:lang w:val="en-US" w:eastAsia="zh-CN"/>
        </w:rPr>
        <w:t xml:space="preserve">Molson beer appearance in 2018 </w:t>
      </w:r>
    </w:p>
    <w:p>
      <w:pPr>
        <w:tabs>
          <w:tab w:val="left" w:pos="2873"/>
        </w:tabs>
        <w:spacing w:line="0" w:lineRule="atLeast"/>
        <w:ind w:firstLine="2720" w:firstLineChars="1700"/>
        <w:jc w:val="both"/>
        <w:rPr>
          <w:rFonts w:hint="eastAsia" w:ascii="Times New Roman" w:hAnsi="Times New Roman" w:eastAsia="宋体" w:cs="Times New Roman"/>
          <w:bCs/>
          <w:sz w:val="16"/>
          <w:szCs w:val="16"/>
          <w:lang w:val="en-US" w:eastAsia="zh-CN"/>
        </w:rPr>
      </w:pPr>
      <w:r>
        <w:rPr>
          <w:rFonts w:hint="eastAsia" w:ascii="Times New Roman" w:hAnsi="Times New Roman" w:eastAsia="宋体" w:cs="Times New Roman"/>
          <w:bCs/>
          <w:i/>
          <w:iCs/>
          <w:sz w:val="16"/>
          <w:szCs w:val="16"/>
          <w:lang w:val="en-US" w:eastAsia="zh-CN"/>
        </w:rPr>
        <w:t xml:space="preserve">source: </w:t>
      </w:r>
      <w:r>
        <w:rPr>
          <w:rFonts w:hint="eastAsia" w:ascii="Times New Roman" w:hAnsi="Times New Roman" w:eastAsia="宋体" w:cs="Times New Roman"/>
          <w:bCs/>
          <w:i w:val="0"/>
          <w:iCs w:val="0"/>
          <w:sz w:val="16"/>
          <w:szCs w:val="16"/>
          <w:lang w:val="en-US" w:eastAsia="zh-CN"/>
        </w:rPr>
        <w:t>(Molson Brewery</w:t>
      </w:r>
      <w:r>
        <w:rPr>
          <w:rFonts w:hint="eastAsia" w:ascii="Times New Roman" w:hAnsi="Times New Roman" w:eastAsia="宋体" w:cs="Times New Roman"/>
          <w:lang w:val="en-US" w:eastAsia="zh-CN"/>
        </w:rPr>
        <w:t>,</w:t>
      </w:r>
      <w:r>
        <w:rPr>
          <w:rFonts w:hint="eastAsia" w:ascii="Times New Roman" w:hAnsi="Times New Roman" w:eastAsia="宋体" w:cs="Times New Roman"/>
          <w:bCs/>
          <w:sz w:val="16"/>
          <w:szCs w:val="16"/>
          <w:lang w:val="en-US" w:eastAsia="zh-CN"/>
        </w:rPr>
        <w:t>2018)</w:t>
      </w:r>
    </w:p>
    <w:p>
      <w:pPr>
        <w:bidi w:val="0"/>
        <w:jc w:val="both"/>
        <w:rPr>
          <w:rFonts w:hint="eastAsia"/>
          <w:lang w:val="en-US" w:eastAsia="zh-CN"/>
        </w:rPr>
      </w:pPr>
      <w:r>
        <w:rPr>
          <w:rFonts w:hint="eastAsia"/>
          <w:lang w:val="en-US" w:eastAsia="zh-CN"/>
        </w:rPr>
        <w:t>Molson Brewery is a Canadian domestic beer company and one of Tomos Watkin's largest local competitors. As the best-selling beer in Canada, the company's approach is also the adaptation product. As shown in Figure 1, they turn the Maple Leaf, which best represents Canada, into its own beer packaging.</w:t>
      </w:r>
    </w:p>
    <w:p>
      <w:pPr>
        <w:bidi w:val="0"/>
        <w:jc w:val="both"/>
        <w:rPr>
          <w:rFonts w:hint="eastAsia"/>
          <w:lang w:val="en-US" w:eastAsia="zh-CN"/>
        </w:rPr>
      </w:pPr>
      <w:r>
        <w:rPr>
          <w:rFonts w:hint="eastAsia"/>
          <w:lang w:val="en-US" w:eastAsia="zh-CN"/>
        </w:rPr>
        <w:t xml:space="preserve">Canadian beer drinkers like to try good quality beers from other countries (Canada Beer, 2017). Thus, Tomos Watkin can adopt standardisation to produce quality Wales beer without any changes in the taste. It can stick to its own Welsh beer flavor. This will save the company a lot of money by using the same materials and processes (Aaker, 1995). </w:t>
      </w:r>
    </w:p>
    <w:p>
      <w:pPr>
        <w:pStyle w:val="2"/>
        <w:numPr>
          <w:ilvl w:val="1"/>
          <w:numId w:val="1"/>
        </w:numPr>
        <w:tabs>
          <w:tab w:val="left" w:pos="312"/>
        </w:tabs>
        <w:ind w:left="0" w:leftChars="0" w:firstLine="0" w:firstLineChars="0"/>
        <w:rPr>
          <w:rFonts w:hint="eastAsia" w:ascii="Arial" w:hAnsi="Arial" w:cs="Arial"/>
          <w:sz w:val="20"/>
          <w:szCs w:val="20"/>
          <w:lang w:val="en-US" w:eastAsia="zh-CN"/>
        </w:rPr>
      </w:pPr>
      <w:bookmarkStart w:id="6" w:name="_Toc24501"/>
      <w:r>
        <w:rPr>
          <w:rFonts w:hint="eastAsia" w:ascii="Arial" w:hAnsi="Arial" w:cs="Arial"/>
          <w:sz w:val="20"/>
          <w:szCs w:val="20"/>
          <w:lang w:val="en-US" w:eastAsia="zh-CN"/>
        </w:rPr>
        <w:t>Price</w:t>
      </w:r>
      <w:bookmarkEnd w:id="6"/>
    </w:p>
    <w:p>
      <w:pPr>
        <w:jc w:val="both"/>
        <w:rPr>
          <w:rFonts w:hint="eastAsia"/>
          <w:lang w:val="en-US" w:eastAsia="zh-CN"/>
        </w:rPr>
      </w:pPr>
      <w:r>
        <w:rPr>
          <w:rFonts w:hint="eastAsia"/>
          <w:lang w:val="en-US" w:eastAsia="zh-CN"/>
        </w:rPr>
        <w:t>Since the split from Nunavut in 1999, per capita income in northwestern Canada has been much higher than in any Canadian province. The income between the eastern and western regions is very different. This has led to different levels of consumption in different regions (</w:t>
      </w:r>
      <w:r>
        <w:rPr>
          <w:rFonts w:hint="eastAsia" w:ascii="Times New Roman" w:hAnsi="Times New Roman" w:eastAsia="宋体" w:cs="Times New Roman"/>
          <w:lang w:val="en-US" w:eastAsia="zh-CN"/>
        </w:rPr>
        <w:t xml:space="preserve">Statistics Canada, </w:t>
      </w:r>
      <w:r>
        <w:rPr>
          <w:rFonts w:ascii="Times New Roman" w:hAnsi="Times New Roman" w:cs="Times New Roman"/>
          <w:lang w:val="en-US"/>
        </w:rPr>
        <w:t>201</w:t>
      </w:r>
      <w:r>
        <w:rPr>
          <w:rFonts w:hint="eastAsia" w:ascii="Times New Roman" w:hAnsi="Times New Roman" w:eastAsia="宋体" w:cs="Times New Roman"/>
          <w:lang w:val="en-US" w:eastAsia="zh-CN"/>
        </w:rPr>
        <w:t>8)</w:t>
      </w:r>
      <w:r>
        <w:rPr>
          <w:rFonts w:hint="eastAsia"/>
          <w:lang w:val="en-US" w:eastAsia="zh-CN"/>
        </w:rPr>
        <w:t>.The specific income of residents is as follows</w:t>
      </w:r>
    </w:p>
    <w:p>
      <w:pPr>
        <w:jc w:val="both"/>
        <w:rPr>
          <w:rFonts w:hint="eastAsia"/>
          <w:lang w:val="en-US" w:eastAsia="zh-CN"/>
        </w:rPr>
      </w:pPr>
    </w:p>
    <w:p>
      <w:pPr>
        <w:numPr>
          <w:ilvl w:val="0"/>
          <w:numId w:val="0"/>
        </w:numPr>
        <w:ind w:leftChars="0"/>
        <w:rPr>
          <w:rFonts w:hint="default"/>
          <w:lang w:val="en-US"/>
        </w:rPr>
      </w:pPr>
      <w:r>
        <w:drawing>
          <wp:inline distT="0" distB="0" distL="114300" distR="114300">
            <wp:extent cx="4823460" cy="1920875"/>
            <wp:effectExtent l="0" t="0" r="1524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4823460" cy="1920875"/>
                    </a:xfrm>
                    <a:prstGeom prst="rect">
                      <a:avLst/>
                    </a:prstGeom>
                    <a:noFill/>
                    <a:ln>
                      <a:noFill/>
                    </a:ln>
                  </pic:spPr>
                </pic:pic>
              </a:graphicData>
            </a:graphic>
          </wp:inline>
        </w:drawing>
      </w:r>
    </w:p>
    <w:p>
      <w:pPr>
        <w:tabs>
          <w:tab w:val="left" w:pos="2873"/>
        </w:tabs>
        <w:spacing w:line="0" w:lineRule="atLeast"/>
        <w:ind w:firstLine="1600" w:firstLineChars="1000"/>
        <w:jc w:val="both"/>
        <w:rPr>
          <w:rFonts w:ascii="Times New Roman" w:hAnsi="Times New Roman" w:eastAsia="宋体" w:cs="Times New Roman"/>
          <w:bCs/>
          <w:sz w:val="16"/>
          <w:szCs w:val="16"/>
          <w:lang w:val="en-US" w:eastAsia="zh-CN"/>
        </w:rPr>
      </w:pPr>
      <w:r>
        <w:rPr>
          <w:rFonts w:ascii="Times New Roman" w:hAnsi="Times New Roman" w:eastAsia="宋体" w:cs="Times New Roman"/>
          <w:bCs/>
          <w:sz w:val="16"/>
          <w:szCs w:val="16"/>
          <w:lang w:val="en-US" w:eastAsia="zh-CN"/>
        </w:rPr>
        <w:t xml:space="preserve">Figure </w:t>
      </w:r>
      <w:r>
        <w:rPr>
          <w:rFonts w:hint="eastAsia" w:ascii="Times New Roman" w:hAnsi="Times New Roman" w:eastAsia="宋体" w:cs="Times New Roman"/>
          <w:bCs/>
          <w:sz w:val="16"/>
          <w:szCs w:val="16"/>
          <w:lang w:val="en-US" w:eastAsia="zh-CN"/>
        </w:rPr>
        <w:t>2</w:t>
      </w:r>
      <w:r>
        <w:rPr>
          <w:rFonts w:ascii="Times New Roman" w:hAnsi="Times New Roman" w:eastAsia="宋体" w:cs="Times New Roman"/>
          <w:bCs/>
          <w:sz w:val="16"/>
          <w:szCs w:val="16"/>
          <w:lang w:val="en-US" w:eastAsia="zh-CN"/>
        </w:rPr>
        <w:t>:</w:t>
      </w:r>
      <w:r>
        <w:rPr>
          <w:rFonts w:hint="eastAsia" w:ascii="Times New Roman" w:hAnsi="Times New Roman" w:eastAsia="宋体" w:cs="Times New Roman"/>
          <w:bCs/>
          <w:sz w:val="16"/>
          <w:szCs w:val="16"/>
          <w:lang w:val="en-US" w:eastAsia="zh-CN"/>
        </w:rPr>
        <w:t xml:space="preserve">Median after-tax for Canadian families in 2018 </w:t>
      </w:r>
    </w:p>
    <w:p>
      <w:pPr>
        <w:tabs>
          <w:tab w:val="left" w:pos="2873"/>
        </w:tabs>
        <w:spacing w:line="0" w:lineRule="atLeast"/>
        <w:ind w:firstLine="2400" w:firstLineChars="1500"/>
        <w:jc w:val="both"/>
        <w:rPr>
          <w:rFonts w:hint="eastAsia" w:ascii="Times New Roman" w:hAnsi="Times New Roman" w:eastAsia="宋体" w:cs="Times New Roman"/>
          <w:bCs/>
          <w:sz w:val="16"/>
          <w:szCs w:val="16"/>
          <w:lang w:val="en-US" w:eastAsia="zh-CN"/>
        </w:rPr>
      </w:pPr>
      <w:r>
        <w:rPr>
          <w:rFonts w:hint="eastAsia" w:ascii="Times New Roman" w:hAnsi="Times New Roman" w:eastAsia="宋体" w:cs="Times New Roman"/>
          <w:bCs/>
          <w:i/>
          <w:iCs/>
          <w:sz w:val="16"/>
          <w:szCs w:val="16"/>
          <w:lang w:val="en-US" w:eastAsia="zh-CN"/>
        </w:rPr>
        <w:t xml:space="preserve">source: </w:t>
      </w:r>
      <w:r>
        <w:rPr>
          <w:rFonts w:hint="eastAsia" w:ascii="Times New Roman" w:hAnsi="Times New Roman" w:eastAsia="宋体" w:cs="Times New Roman"/>
          <w:bCs/>
          <w:i w:val="0"/>
          <w:iCs w:val="0"/>
          <w:sz w:val="16"/>
          <w:szCs w:val="16"/>
          <w:lang w:val="en-US" w:eastAsia="zh-CN"/>
        </w:rPr>
        <w:t>(Statistics Canada</w:t>
      </w:r>
      <w:r>
        <w:rPr>
          <w:rFonts w:hint="eastAsia" w:ascii="Times New Roman" w:hAnsi="Times New Roman" w:eastAsia="宋体" w:cs="Times New Roman"/>
          <w:lang w:val="en-US" w:eastAsia="zh-CN"/>
        </w:rPr>
        <w:t>,</w:t>
      </w:r>
      <w:r>
        <w:rPr>
          <w:rFonts w:hint="eastAsia" w:ascii="Times New Roman" w:hAnsi="Times New Roman" w:eastAsia="宋体" w:cs="Times New Roman"/>
          <w:bCs/>
          <w:sz w:val="16"/>
          <w:szCs w:val="16"/>
          <w:lang w:val="en-US" w:eastAsia="zh-CN"/>
        </w:rPr>
        <w:t>2018)</w:t>
      </w:r>
    </w:p>
    <w:p>
      <w:pPr>
        <w:jc w:val="both"/>
        <w:rPr>
          <w:rFonts w:hint="eastAsia"/>
          <w:lang w:val="en-US" w:eastAsia="zh-CN"/>
        </w:rPr>
      </w:pPr>
      <w:r>
        <w:rPr>
          <w:rFonts w:hint="eastAsia"/>
          <w:lang w:val="en-US" w:eastAsia="zh-CN"/>
        </w:rPr>
        <w:t>Figure 1 shows the different income levels in different provinces in Canada, with higher incomes in the western provinces of Canada and lower in the eastern provinces. Therefore, the agent of Tomos Watkin needs to use the pricing adaptation method. Different beer pricing is based on income levels in different parts of Canada. Agents need to offer different types of products and different prices for different market segments. Because different market segments have different payment capabilities (</w:t>
      </w:r>
      <w:r>
        <w:rPr>
          <w:rFonts w:hint="default"/>
          <w:lang w:val="en-US" w:eastAsia="zh-CN"/>
        </w:rPr>
        <w:t>Cameron, 2015</w:t>
      </w:r>
      <w:r>
        <w:rPr>
          <w:rFonts w:hint="eastAsia"/>
          <w:lang w:val="en-US" w:eastAsia="zh-CN"/>
        </w:rPr>
        <w:t>). In addition, since the customers of the agents will also make profits from them, the price will rise from the supplier to the final consumer (Permenter, 2016), Molson's canned beer costs $2.70 per can (Molson, 2018). Since the Canadian beer market now has a large demand for imported beer (Canada Beer, 2017), lower pricing than its competitors in the industry can stimulate market demand (Geberth, 2003). Tomos Watkin can control the price of each can of beer to $2.50 or less.</w:t>
      </w:r>
    </w:p>
    <w:p>
      <w:pPr>
        <w:bidi w:val="0"/>
        <w:jc w:val="both"/>
        <w:rPr>
          <w:rFonts w:hint="eastAsia"/>
          <w:lang w:val="en-US" w:eastAsia="zh-CN"/>
        </w:rPr>
      </w:pPr>
      <w:r>
        <w:rPr>
          <w:rFonts w:hint="eastAsia"/>
          <w:lang w:val="en-US" w:eastAsia="zh-CN"/>
        </w:rPr>
        <w:t>In order to encourage agents to sell the company's products, the company can give preferential policies according to the wholesale quantity of the products. The more products the agents buy, the cheaper the products the company will give them. In addition, the company also needs to sign a “lowest retail price and maximum retail price pricing agreement” with local agents to prevent agents from using a vicious low-cost dumping strategy to make profits, which will damage the company's reputation. If the agent's pricing exceeds the retail price of the product, it will affect the sales of the product in low-income areas of Canada. If the agent's pricing is lower than the supplier's product price, it will also affect the company's reputation in high-income areas of Canada.</w:t>
      </w:r>
    </w:p>
    <w:p>
      <w:pPr>
        <w:pStyle w:val="2"/>
        <w:numPr>
          <w:ilvl w:val="1"/>
          <w:numId w:val="1"/>
        </w:numPr>
        <w:tabs>
          <w:tab w:val="left" w:pos="312"/>
        </w:tabs>
        <w:ind w:left="0" w:leftChars="0" w:firstLine="0" w:firstLineChars="0"/>
        <w:rPr>
          <w:rFonts w:hint="eastAsia" w:ascii="Arial" w:hAnsi="Arial" w:cs="Arial"/>
          <w:sz w:val="20"/>
          <w:szCs w:val="20"/>
          <w:lang w:val="en-US" w:eastAsia="zh-CN"/>
        </w:rPr>
      </w:pPr>
      <w:bookmarkStart w:id="7" w:name="_Toc2165"/>
      <w:r>
        <w:rPr>
          <w:rFonts w:hint="eastAsia" w:ascii="Arial" w:hAnsi="Arial" w:cs="Arial"/>
          <w:sz w:val="20"/>
          <w:szCs w:val="20"/>
          <w:lang w:val="en-US" w:eastAsia="zh-CN"/>
        </w:rPr>
        <w:t>Place</w:t>
      </w:r>
      <w:bookmarkEnd w:id="7"/>
    </w:p>
    <w:p>
      <w:pPr>
        <w:numPr>
          <w:ilvl w:val="0"/>
          <w:numId w:val="0"/>
        </w:numPr>
        <w:ind w:leftChars="0"/>
        <w:jc w:val="both"/>
        <w:rPr>
          <w:rFonts w:hint="eastAsia"/>
          <w:lang w:val="en-US" w:eastAsia="zh-CN"/>
        </w:rPr>
      </w:pPr>
      <w:r>
        <w:rPr>
          <w:rFonts w:hint="eastAsia"/>
          <w:lang w:val="en-US" w:eastAsia="zh-CN"/>
        </w:rPr>
        <w:t xml:space="preserve">If </w:t>
      </w:r>
      <w:r>
        <w:rPr>
          <w:rFonts w:hint="default"/>
          <w:lang w:val="en-US" w:eastAsia="zh-CN"/>
        </w:rPr>
        <w:t>Tomos Watkin</w:t>
      </w:r>
      <w:r>
        <w:rPr>
          <w:rFonts w:hint="eastAsia"/>
          <w:lang w:val="en-US" w:eastAsia="zh-CN"/>
        </w:rPr>
        <w:t xml:space="preserve"> choose direct exporting</w:t>
      </w:r>
      <w:r>
        <w:rPr>
          <w:rFonts w:hint="default"/>
          <w:lang w:val="en-US" w:eastAsia="zh-CN"/>
        </w:rPr>
        <w:t xml:space="preserve">, the best way to enter the Canadian beer market is the </w:t>
      </w:r>
      <w:r>
        <w:rPr>
          <w:rFonts w:hint="eastAsia"/>
          <w:lang w:val="en-US" w:eastAsia="zh-CN"/>
        </w:rPr>
        <w:t>d</w:t>
      </w:r>
      <w:r>
        <w:rPr>
          <w:rFonts w:hint="default"/>
          <w:lang w:val="en-US" w:eastAsia="zh-CN"/>
        </w:rPr>
        <w:t xml:space="preserve">istribution channel </w:t>
      </w:r>
      <w:r>
        <w:rPr>
          <w:rFonts w:hint="eastAsia"/>
          <w:lang w:val="en-US" w:eastAsia="zh-CN"/>
        </w:rPr>
        <w:t>adaptation</w:t>
      </w:r>
      <w:r>
        <w:rPr>
          <w:rFonts w:hint="default"/>
          <w:lang w:val="en-US" w:eastAsia="zh-CN"/>
        </w:rPr>
        <w:t>. Tomos Watkin</w:t>
      </w:r>
      <w:r>
        <w:rPr>
          <w:rFonts w:hint="eastAsia"/>
          <w:lang w:val="en-US" w:eastAsia="zh-CN"/>
        </w:rPr>
        <w:t xml:space="preserve"> can choose </w:t>
      </w:r>
      <w:r>
        <w:rPr>
          <w:rFonts w:hint="eastAsia" w:asciiTheme="minorAscii"/>
          <w:lang w:val="en-US" w:eastAsia="zh-CN"/>
        </w:rPr>
        <w:t>a well-known Canadian importer and agent as their distributor. VATCO corporation, an international food agent, it has established a good reputation in Canada since 1977, and VATCO assists foreign producers to enter or expand their sales in the Canadian market (</w:t>
      </w:r>
      <w:r>
        <w:rPr>
          <w:rFonts w:hint="eastAsia" w:hAnsi="Times New Roman" w:eastAsia="宋体" w:cs="Times New Roman" w:asciiTheme="minorAscii"/>
          <w:lang w:val="en-US" w:eastAsia="zh-CN"/>
        </w:rPr>
        <w:t xml:space="preserve">Your business, </w:t>
      </w:r>
      <w:r>
        <w:rPr>
          <w:rFonts w:hAnsi="Times New Roman" w:cs="Times New Roman" w:asciiTheme="minorAscii"/>
          <w:lang w:val="en-US"/>
        </w:rPr>
        <w:t>201</w:t>
      </w:r>
      <w:r>
        <w:rPr>
          <w:rFonts w:hint="eastAsia" w:hAnsi="Times New Roman" w:eastAsia="宋体" w:cs="Times New Roman" w:asciiTheme="minorAscii"/>
          <w:lang w:val="en-US" w:eastAsia="zh-CN"/>
        </w:rPr>
        <w:t>8)</w:t>
      </w:r>
      <w:r>
        <w:rPr>
          <w:rFonts w:hint="default"/>
          <w:lang w:val="en-US" w:eastAsia="zh-CN"/>
        </w:rPr>
        <w:t>.</w:t>
      </w:r>
      <w:r>
        <w:rPr>
          <w:rFonts w:hint="eastAsia"/>
          <w:lang w:val="en-US" w:eastAsia="zh-CN"/>
        </w:rPr>
        <w:t xml:space="preserve"> </w:t>
      </w:r>
      <w:r>
        <w:rPr>
          <w:rFonts w:hint="default"/>
          <w:lang w:val="en-US" w:eastAsia="zh-CN"/>
        </w:rPr>
        <w:t>First</w:t>
      </w:r>
      <w:r>
        <w:rPr>
          <w:rFonts w:hint="eastAsia"/>
          <w:lang w:val="en-US" w:eastAsia="zh-CN"/>
        </w:rPr>
        <w:t>ly</w:t>
      </w:r>
      <w:r>
        <w:rPr>
          <w:rFonts w:hint="default"/>
          <w:lang w:val="en-US" w:eastAsia="zh-CN"/>
        </w:rPr>
        <w:t>, agents have extensive experience in building local customer relationships. It can help export company companies quickly establish customer relationships and brand awareness</w:t>
      </w:r>
      <w:r>
        <w:rPr>
          <w:rFonts w:hint="eastAsia"/>
          <w:lang w:val="en-US" w:eastAsia="zh-CN"/>
        </w:rPr>
        <w:t xml:space="preserve"> (</w:t>
      </w:r>
      <w:r>
        <w:rPr>
          <w:rFonts w:hint="default"/>
          <w:lang w:val="en-US" w:eastAsia="zh-CN"/>
        </w:rPr>
        <w:t>Kaufmann</w:t>
      </w:r>
      <w:r>
        <w:rPr>
          <w:rFonts w:hint="eastAsia"/>
          <w:lang w:val="en-US" w:eastAsia="zh-CN"/>
        </w:rPr>
        <w:t>, 1999)</w:t>
      </w:r>
      <w:r>
        <w:rPr>
          <w:rFonts w:hint="default"/>
          <w:lang w:val="en-US" w:eastAsia="zh-CN"/>
        </w:rPr>
        <w:t>. Second</w:t>
      </w:r>
      <w:r>
        <w:rPr>
          <w:rFonts w:hint="eastAsia"/>
          <w:lang w:val="en-US" w:eastAsia="zh-CN"/>
        </w:rPr>
        <w:t>ly</w:t>
      </w:r>
      <w:r>
        <w:rPr>
          <w:rFonts w:hint="default"/>
          <w:lang w:val="en-US" w:eastAsia="zh-CN"/>
        </w:rPr>
        <w:t>, because VATCO is a brand-name agency, they have multiple distribution channels, and many agents will purchase products from it, so this will help Tomos Watkin expand its market in Canada. Finally, the agent will also develop professional and effective management methods based on Tomos Watkin's product types and characteristics, including: event promotion, terminal location, personnel management, store management, and other management modes and methods</w:t>
      </w:r>
      <w:r>
        <w:rPr>
          <w:rFonts w:hint="eastAsia"/>
          <w:lang w:val="en-US" w:eastAsia="zh-CN"/>
        </w:rPr>
        <w:t xml:space="preserve"> (</w:t>
      </w:r>
      <w:r>
        <w:rPr>
          <w:rFonts w:hint="default"/>
          <w:lang w:val="en-US" w:eastAsia="zh-CN"/>
        </w:rPr>
        <w:t>Cameron, 2015</w:t>
      </w:r>
      <w:r>
        <w:rPr>
          <w:rFonts w:hint="eastAsia"/>
          <w:lang w:val="en-US" w:eastAsia="zh-CN"/>
        </w:rPr>
        <w:t>)</w:t>
      </w:r>
      <w:r>
        <w:rPr>
          <w:rFonts w:hint="default"/>
          <w:lang w:val="en-US" w:eastAsia="zh-CN"/>
        </w:rPr>
        <w:t>.</w:t>
      </w:r>
      <w:r>
        <w:rPr>
          <w:rFonts w:hint="eastAsia"/>
          <w:lang w:val="en-US" w:eastAsia="zh-CN"/>
        </w:rPr>
        <w:t xml:space="preserve"> </w:t>
      </w:r>
    </w:p>
    <w:p>
      <w:pPr>
        <w:numPr>
          <w:ilvl w:val="0"/>
          <w:numId w:val="0"/>
        </w:numPr>
        <w:ind w:leftChars="0"/>
        <w:jc w:val="both"/>
        <w:rPr>
          <w:rFonts w:hint="default"/>
          <w:lang w:val="en-US" w:eastAsia="zh-CN"/>
        </w:rPr>
      </w:pPr>
      <w:r>
        <w:rPr>
          <w:rFonts w:hint="eastAsia"/>
          <w:lang w:val="en-US" w:eastAsia="zh-CN"/>
        </w:rPr>
        <w:t>Molson</w:t>
      </w:r>
      <w:r>
        <w:rPr>
          <w:rFonts w:hint="default"/>
          <w:lang w:val="en-US" w:eastAsia="zh-CN"/>
        </w:rPr>
        <w:t xml:space="preserve"> also </w:t>
      </w:r>
      <w:r>
        <w:rPr>
          <w:rFonts w:hint="eastAsia"/>
          <w:lang w:val="en-US" w:eastAsia="zh-CN"/>
        </w:rPr>
        <w:t>use</w:t>
      </w:r>
      <w:r>
        <w:rPr>
          <w:rFonts w:hint="default"/>
          <w:lang w:val="en-US" w:eastAsia="zh-CN"/>
        </w:rPr>
        <w:t xml:space="preserve"> distribution channel</w:t>
      </w:r>
      <w:r>
        <w:rPr>
          <w:rFonts w:hint="eastAsia"/>
          <w:lang w:val="en-US" w:eastAsia="zh-CN"/>
        </w:rPr>
        <w:t xml:space="preserve"> </w:t>
      </w:r>
      <w:r>
        <w:rPr>
          <w:rFonts w:hint="default"/>
          <w:lang w:val="en-US" w:eastAsia="zh-CN"/>
        </w:rPr>
        <w:t>standardi</w:t>
      </w:r>
      <w:r>
        <w:rPr>
          <w:rFonts w:hint="eastAsia"/>
          <w:lang w:val="en-US" w:eastAsia="zh-CN"/>
        </w:rPr>
        <w:t>sation</w:t>
      </w:r>
      <w:r>
        <w:rPr>
          <w:rFonts w:hint="default"/>
          <w:lang w:val="en-US" w:eastAsia="zh-CN"/>
        </w:rPr>
        <w:t xml:space="preserve"> in the Canadian market,They chose another agent in the country called Bhakhrani International to help increase their sales in the Canadian beer market</w:t>
      </w:r>
      <w:r>
        <w:rPr>
          <w:rFonts w:hint="eastAsia"/>
          <w:lang w:val="en-US" w:eastAsia="zh-CN"/>
        </w:rPr>
        <w:t xml:space="preserve"> (Molson, 2018). </w:t>
      </w:r>
    </w:p>
    <w:p>
      <w:pPr>
        <w:pStyle w:val="2"/>
        <w:numPr>
          <w:ilvl w:val="0"/>
          <w:numId w:val="0"/>
        </w:numPr>
        <w:tabs>
          <w:tab w:val="left" w:pos="312"/>
        </w:tabs>
        <w:ind w:leftChars="0"/>
        <w:rPr>
          <w:rFonts w:hint="default" w:ascii="Arial" w:hAnsi="Arial" w:cs="Arial"/>
          <w:sz w:val="20"/>
          <w:szCs w:val="20"/>
          <w:lang w:val="en-US" w:eastAsia="zh-CN"/>
        </w:rPr>
      </w:pPr>
      <w:bookmarkStart w:id="8" w:name="_Toc19491"/>
      <w:r>
        <w:rPr>
          <w:rFonts w:hint="eastAsia" w:ascii="Arial" w:hAnsi="Arial" w:cs="Arial"/>
          <w:sz w:val="20"/>
          <w:szCs w:val="20"/>
          <w:lang w:val="en-US" w:eastAsia="zh-CN"/>
        </w:rPr>
        <w:t>3.4 Promotion</w:t>
      </w:r>
      <w:bookmarkEnd w:id="8"/>
    </w:p>
    <w:p>
      <w:pPr>
        <w:jc w:val="both"/>
        <w:rPr>
          <w:rFonts w:hint="eastAsia"/>
          <w:lang w:val="en-US" w:eastAsia="zh-CN"/>
        </w:rPr>
      </w:pPr>
      <w:r>
        <w:rPr>
          <w:rFonts w:hint="eastAsia"/>
          <w:lang w:val="en-US" w:eastAsia="zh-CN"/>
        </w:rPr>
        <w:t>Agent will driven a method of promotion. Its main purpose is to use a variety of advertising media to interact directly with consumers, trying to get consumers in the target market to respond quickly and order products directly (Manjunatha, 2010).</w:t>
      </w:r>
    </w:p>
    <w:p>
      <w:pPr>
        <w:jc w:val="both"/>
        <w:rPr>
          <w:rFonts w:hint="eastAsia"/>
          <w:lang w:val="en-US" w:eastAsia="zh-CN"/>
        </w:rPr>
      </w:pPr>
      <w:r>
        <w:rPr>
          <w:rFonts w:hint="eastAsia"/>
          <w:lang w:val="en-US" w:eastAsia="zh-CN"/>
        </w:rPr>
        <w:t>For Tomos Watkin, which uses agent, the best way to reduce the cost of promotion is probably promotion adaptation, which requires a promotion approach with the development of local social communication technologies. At present, the development of information and communication technology in Canada is very fast, which provides an opportunity for the company's agent (Theglobaleconomy, 2019). According to statistics, Canada now has more than 4 million Internet users, with 30 million mobile phones, 15 million fixed phones and 21 million computers (Canada, 2019). Comparing with the expensive mass media ads, an agent can use the low-cost email marketing or flyers to advertise their products and save publicizes costs for the producer (Diana, 2012). In addition, Tomos Watkin as a new multinational company to join the Canadian market, through the local agent, it can also quickly build customer resources for its beer (Mounsey, 1990).</w:t>
      </w:r>
    </w:p>
    <w:p>
      <w:pPr>
        <w:jc w:val="both"/>
        <w:rPr>
          <w:rFonts w:hint="eastAsia"/>
          <w:lang w:val="en-US" w:eastAsia="zh-CN"/>
        </w:rPr>
      </w:pPr>
      <w:r>
        <w:rPr>
          <w:rFonts w:hint="eastAsia"/>
          <w:lang w:val="en-US" w:eastAsia="zh-CN"/>
        </w:rPr>
        <w:t>Molson's approach is also adaptation promotion, but unlike Tomos Watkin, they use the mass media to promote their beer. According to Molson's annual report, in 2017, the company's total turnover reached for 3.6 billion dollars, so for this old domestic beer company, they have enough money to do mass media promotion for their beer (Molson ,2018).</w:t>
      </w:r>
    </w:p>
    <w:p>
      <w:pPr>
        <w:pStyle w:val="2"/>
        <w:numPr>
          <w:ilvl w:val="0"/>
          <w:numId w:val="0"/>
        </w:numPr>
        <w:tabs>
          <w:tab w:val="left" w:pos="312"/>
        </w:tabs>
        <w:ind w:leftChars="0"/>
        <w:rPr>
          <w:rFonts w:hint="eastAsia" w:ascii="Arial" w:hAnsi="Arial" w:cs="Arial"/>
          <w:sz w:val="20"/>
          <w:szCs w:val="20"/>
          <w:lang w:val="en-US" w:eastAsia="zh-CN"/>
        </w:rPr>
      </w:pPr>
      <w:bookmarkStart w:id="9" w:name="_Toc31932"/>
      <w:r>
        <w:rPr>
          <w:rFonts w:hint="eastAsia" w:ascii="Arial" w:hAnsi="Arial" w:cs="Arial"/>
          <w:sz w:val="20"/>
          <w:szCs w:val="20"/>
          <w:lang w:val="en-US" w:eastAsia="zh-CN"/>
        </w:rPr>
        <w:t>3.5 People</w:t>
      </w:r>
      <w:bookmarkEnd w:id="9"/>
    </w:p>
    <w:p>
      <w:pPr>
        <w:jc w:val="both"/>
        <w:rPr>
          <w:rFonts w:hint="eastAsia"/>
          <w:lang w:val="en-US" w:eastAsia="zh-CN"/>
        </w:rPr>
      </w:pPr>
      <w:r>
        <w:rPr>
          <w:rFonts w:hint="default"/>
          <w:lang w:val="en-US" w:eastAsia="zh-CN"/>
        </w:rPr>
        <w:t>Tomos Watkin should use standardisation in people to ensure the quality of the company's beer. They</w:t>
      </w:r>
      <w:r>
        <w:rPr>
          <w:rFonts w:hint="eastAsia"/>
          <w:lang w:val="en-US" w:eastAsia="zh-CN"/>
        </w:rPr>
        <w:t xml:space="preserve"> should</w:t>
      </w:r>
      <w:r>
        <w:rPr>
          <w:rFonts w:hint="default"/>
          <w:lang w:val="en-US" w:eastAsia="zh-CN"/>
        </w:rPr>
        <w:t xml:space="preserve"> </w:t>
      </w:r>
      <w:r>
        <w:rPr>
          <w:rFonts w:hint="eastAsia"/>
          <w:lang w:val="en-US" w:eastAsia="zh-CN"/>
        </w:rPr>
        <w:t>ask the agent to continue to</w:t>
      </w:r>
      <w:r>
        <w:rPr>
          <w:rFonts w:hint="default"/>
          <w:lang w:val="en-US" w:eastAsia="zh-CN"/>
        </w:rPr>
        <w:t xml:space="preserve"> use their </w:t>
      </w:r>
      <w:r>
        <w:rPr>
          <w:rFonts w:hint="eastAsia"/>
          <w:lang w:val="en-US" w:eastAsia="zh-CN"/>
        </w:rPr>
        <w:t xml:space="preserve">experienced </w:t>
      </w:r>
      <w:r>
        <w:rPr>
          <w:rFonts w:hint="default"/>
          <w:lang w:val="en-US" w:eastAsia="zh-CN"/>
        </w:rPr>
        <w:t>staff</w:t>
      </w:r>
      <w:r>
        <w:rPr>
          <w:rFonts w:hint="eastAsia"/>
          <w:lang w:val="en-US" w:eastAsia="zh-CN"/>
        </w:rPr>
        <w:t xml:space="preserve"> who worked in Wales</w:t>
      </w:r>
      <w:r>
        <w:rPr>
          <w:rFonts w:hint="default"/>
          <w:lang w:val="en-US" w:eastAsia="zh-CN"/>
        </w:rPr>
        <w:t xml:space="preserve"> to make beer instead of recruiting new employees in Canada</w:t>
      </w:r>
      <w:r>
        <w:rPr>
          <w:rFonts w:hint="eastAsia"/>
          <w:lang w:val="en-US" w:eastAsia="zh-CN"/>
        </w:rPr>
        <w:t xml:space="preserve"> (</w:t>
      </w:r>
      <w:r>
        <w:rPr>
          <w:rFonts w:hint="default"/>
          <w:lang w:val="en-US" w:eastAsia="zh-CN"/>
        </w:rPr>
        <w:t>James, 2018</w:t>
      </w:r>
      <w:r>
        <w:rPr>
          <w:rFonts w:hint="eastAsia"/>
          <w:lang w:val="en-US" w:eastAsia="zh-CN"/>
        </w:rPr>
        <w:t>)</w:t>
      </w:r>
      <w:r>
        <w:rPr>
          <w:rFonts w:hint="default"/>
          <w:lang w:val="en-US" w:eastAsia="zh-CN"/>
        </w:rPr>
        <w:t xml:space="preserve">. Because </w:t>
      </w:r>
      <w:r>
        <w:rPr>
          <w:rFonts w:hint="eastAsia"/>
          <w:lang w:val="en-US" w:eastAsia="zh-CN"/>
        </w:rPr>
        <w:t>they</w:t>
      </w:r>
      <w:r>
        <w:rPr>
          <w:rFonts w:hint="default"/>
          <w:lang w:val="en-US" w:eastAsia="zh-CN"/>
        </w:rPr>
        <w:t xml:space="preserve"> have more experience in making beer</w:t>
      </w:r>
      <w:r>
        <w:rPr>
          <w:rFonts w:hint="eastAsia"/>
          <w:lang w:val="en-US" w:eastAsia="zh-CN"/>
        </w:rPr>
        <w:t xml:space="preserve"> and service</w:t>
      </w:r>
      <w:r>
        <w:rPr>
          <w:rFonts w:hint="default"/>
          <w:lang w:val="en-US" w:eastAsia="zh-CN"/>
        </w:rPr>
        <w:t xml:space="preserve">, they can make the company's original Welsh beer flavor. </w:t>
      </w:r>
      <w:r>
        <w:rPr>
          <w:rFonts w:hint="eastAsia"/>
          <w:lang w:val="en-US" w:eastAsia="zh-CN"/>
        </w:rPr>
        <w:t>T</w:t>
      </w:r>
      <w:r>
        <w:rPr>
          <w:rFonts w:hint="default"/>
          <w:lang w:val="en-US" w:eastAsia="zh-CN"/>
        </w:rPr>
        <w:t>his</w:t>
      </w:r>
      <w:r>
        <w:rPr>
          <w:rFonts w:hint="eastAsia"/>
          <w:lang w:val="en-US" w:eastAsia="zh-CN"/>
        </w:rPr>
        <w:t xml:space="preserve"> method will</w:t>
      </w:r>
      <w:r>
        <w:rPr>
          <w:rFonts w:hint="default"/>
          <w:lang w:val="en-US" w:eastAsia="zh-CN"/>
        </w:rPr>
        <w:t xml:space="preserve"> greatly save the </w:t>
      </w:r>
      <w:r>
        <w:rPr>
          <w:rFonts w:hint="eastAsia"/>
          <w:lang w:val="en-US" w:eastAsia="zh-CN"/>
        </w:rPr>
        <w:t>agent</w:t>
      </w:r>
      <w:r>
        <w:rPr>
          <w:rFonts w:hint="default"/>
          <w:lang w:val="en-US" w:eastAsia="zh-CN"/>
        </w:rPr>
        <w:t>’</w:t>
      </w:r>
      <w:r>
        <w:rPr>
          <w:rFonts w:hint="eastAsia"/>
          <w:lang w:val="en-US" w:eastAsia="zh-CN"/>
        </w:rPr>
        <w:t>s</w:t>
      </w:r>
      <w:r>
        <w:rPr>
          <w:rFonts w:hint="default"/>
          <w:lang w:val="en-US" w:eastAsia="zh-CN"/>
        </w:rPr>
        <w:t xml:space="preserve"> training costs</w:t>
      </w:r>
      <w:r>
        <w:rPr>
          <w:rFonts w:hint="eastAsia"/>
          <w:lang w:val="en-US" w:eastAsia="zh-CN"/>
        </w:rPr>
        <w:t xml:space="preserve"> (</w:t>
      </w:r>
      <w:r>
        <w:rPr>
          <w:rFonts w:hint="default"/>
          <w:lang w:val="en-US" w:eastAsia="zh-CN"/>
        </w:rPr>
        <w:t>James, 2018</w:t>
      </w:r>
      <w:r>
        <w:rPr>
          <w:rFonts w:hint="eastAsia"/>
          <w:lang w:val="en-US" w:eastAsia="zh-CN"/>
        </w:rPr>
        <w:t>)</w:t>
      </w:r>
      <w:r>
        <w:rPr>
          <w:rFonts w:hint="default"/>
          <w:lang w:val="en-US" w:eastAsia="zh-CN"/>
        </w:rPr>
        <w:t>.</w:t>
      </w:r>
      <w:r>
        <w:rPr>
          <w:rFonts w:hint="eastAsia"/>
          <w:lang w:val="en-US" w:eastAsia="zh-CN"/>
        </w:rPr>
        <w:t xml:space="preserve"> </w:t>
      </w:r>
      <w:r>
        <w:rPr>
          <w:rFonts w:hint="default"/>
          <w:lang w:val="en-US" w:eastAsia="zh-CN"/>
        </w:rPr>
        <w:t xml:space="preserve">In addition, in order to motivate Welsh employees to work in Canada, the </w:t>
      </w:r>
      <w:r>
        <w:rPr>
          <w:rFonts w:hint="eastAsia"/>
          <w:lang w:val="en-US" w:eastAsia="zh-CN"/>
        </w:rPr>
        <w:t>agent</w:t>
      </w:r>
      <w:r>
        <w:rPr>
          <w:rFonts w:hint="default"/>
          <w:lang w:val="en-US" w:eastAsia="zh-CN"/>
        </w:rPr>
        <w:t xml:space="preserve"> can provide these </w:t>
      </w:r>
      <w:r>
        <w:rPr>
          <w:rFonts w:hint="eastAsia"/>
          <w:lang w:val="en-US" w:eastAsia="zh-CN"/>
        </w:rPr>
        <w:t>staff</w:t>
      </w:r>
      <w:r>
        <w:rPr>
          <w:rFonts w:hint="default"/>
          <w:lang w:val="en-US" w:eastAsia="zh-CN"/>
        </w:rPr>
        <w:t xml:space="preserve">s with free accommodation and higher year-end </w:t>
      </w:r>
      <w:r>
        <w:rPr>
          <w:rFonts w:hint="eastAsia"/>
          <w:lang w:val="en-US" w:eastAsia="zh-CN"/>
        </w:rPr>
        <w:t>bonu</w:t>
      </w:r>
      <w:r>
        <w:rPr>
          <w:rFonts w:hint="default"/>
          <w:lang w:val="en-US" w:eastAsia="zh-CN"/>
        </w:rPr>
        <w:t xml:space="preserve">s. </w:t>
      </w:r>
    </w:p>
    <w:p>
      <w:pPr>
        <w:jc w:val="both"/>
        <w:rPr>
          <w:rFonts w:hint="eastAsia"/>
          <w:lang w:val="en-US" w:eastAsia="zh-CN"/>
        </w:rPr>
      </w:pPr>
      <w:r>
        <w:rPr>
          <w:rFonts w:hint="eastAsia"/>
          <w:lang w:val="en-US" w:eastAsia="zh-CN"/>
        </w:rPr>
        <w:t>The method used by Molson is completely different from Tomos Watkin. They use adaptation in people because they want their beer to be more meet with the taste of Canadian beer drinkers, so they want to make a Canadian-style Molson beer. Therefore, in the recruitment of employees, they need to recruit local Canadian employees to make Molson beer with Canadian flavor (Molson ,2018).</w:t>
      </w:r>
    </w:p>
    <w:p>
      <w:pPr>
        <w:pStyle w:val="2"/>
        <w:numPr>
          <w:ilvl w:val="0"/>
          <w:numId w:val="0"/>
        </w:numPr>
        <w:tabs>
          <w:tab w:val="left" w:pos="312"/>
        </w:tabs>
        <w:ind w:leftChars="0"/>
        <w:rPr>
          <w:rFonts w:hint="default" w:ascii="Arial" w:hAnsi="Arial" w:cs="Arial"/>
          <w:sz w:val="20"/>
          <w:szCs w:val="20"/>
          <w:lang w:val="en-US" w:eastAsia="zh-CN"/>
        </w:rPr>
      </w:pPr>
      <w:bookmarkStart w:id="10" w:name="_Toc6068"/>
      <w:r>
        <w:rPr>
          <w:rFonts w:hint="eastAsia" w:ascii="Arial" w:hAnsi="Arial" w:cs="Arial"/>
          <w:sz w:val="20"/>
          <w:szCs w:val="20"/>
          <w:lang w:val="en-US" w:eastAsia="zh-CN"/>
        </w:rPr>
        <w:t>3.6 Physical evidence</w:t>
      </w:r>
      <w:bookmarkEnd w:id="10"/>
    </w:p>
    <w:p>
      <w:pPr>
        <w:jc w:val="both"/>
        <w:rPr>
          <w:rFonts w:hint="eastAsia"/>
          <w:lang w:val="en-US" w:eastAsia="zh-CN"/>
        </w:rPr>
      </w:pPr>
      <w:r>
        <w:rPr>
          <w:rFonts w:hint="eastAsia"/>
          <w:lang w:val="en-US" w:eastAsia="zh-CN"/>
        </w:rPr>
        <w:t xml:space="preserve">Physical evidence is one of the key elements of the Marketing mix, and tangible services and products will directly influence the customer's perception of the company. At the same time, this will also affect the organization's product and service plan (Geberth, 2003). </w:t>
      </w:r>
    </w:p>
    <w:p>
      <w:pPr>
        <w:jc w:val="both"/>
        <w:rPr>
          <w:rFonts w:hint="eastAsia"/>
          <w:lang w:val="en-US" w:eastAsia="zh-CN"/>
        </w:rPr>
      </w:pPr>
      <w:r>
        <w:rPr>
          <w:rFonts w:hint="eastAsia"/>
          <w:lang w:val="en-US" w:eastAsia="zh-CN"/>
        </w:rPr>
        <w:t>For Tomos Watkin who wants to maintain the flavor of Welsh beer</w:t>
      </w:r>
      <w:r>
        <w:rPr>
          <w:rFonts w:hint="eastAsia"/>
        </w:rPr>
        <w:t>(Tomos Watkin, 2018)</w:t>
      </w:r>
      <w:r>
        <w:rPr>
          <w:rFonts w:hint="eastAsia"/>
          <w:lang w:val="en-US" w:eastAsia="zh-CN"/>
        </w:rPr>
        <w:t>, the best way to enter Canada is to physical evidence standardisation. Because it is good for customers to understand the Welsh style and the beer flavor of Wales. The agent can ask their customers to add more information relate to Welsh beer history in their store. For instance,retailers can put some cards or posters about the history of Welsh beer on the side of the beer to express the character and style of the company.</w:t>
      </w:r>
    </w:p>
    <w:p>
      <w:pPr>
        <w:jc w:val="both"/>
        <w:rPr>
          <w:rFonts w:hint="eastAsia"/>
          <w:lang w:val="en-US" w:eastAsia="zh-CN"/>
        </w:rPr>
      </w:pPr>
      <w:r>
        <w:rPr>
          <w:rFonts w:hint="eastAsia"/>
          <w:lang w:val="en-US" w:eastAsia="zh-CN"/>
        </w:rPr>
        <w:t>Molson chose to physical evidence adaptation. They turned the color design of the beer store into red and white, and the slogan "Molson Beer only in Canada" on the wall(Molson, 2018), and they think their products and services should depends on the local characteristics.</w:t>
      </w:r>
    </w:p>
    <w:p>
      <w:pPr>
        <w:pStyle w:val="2"/>
        <w:numPr>
          <w:ilvl w:val="0"/>
          <w:numId w:val="0"/>
        </w:numPr>
        <w:tabs>
          <w:tab w:val="left" w:pos="312"/>
        </w:tabs>
        <w:ind w:leftChars="0"/>
        <w:rPr>
          <w:rFonts w:hint="eastAsia" w:ascii="Arial" w:hAnsi="Arial" w:cs="Arial"/>
          <w:sz w:val="20"/>
          <w:szCs w:val="20"/>
          <w:lang w:val="en-US" w:eastAsia="zh-CN"/>
        </w:rPr>
      </w:pPr>
      <w:bookmarkStart w:id="11" w:name="_Toc8561"/>
      <w:r>
        <w:rPr>
          <w:rFonts w:hint="eastAsia" w:ascii="Arial" w:hAnsi="Arial" w:cs="Arial"/>
          <w:sz w:val="20"/>
          <w:szCs w:val="20"/>
          <w:lang w:val="en-US" w:eastAsia="zh-CN"/>
        </w:rPr>
        <w:t>3.7 Process</w:t>
      </w:r>
      <w:bookmarkEnd w:id="11"/>
    </w:p>
    <w:p>
      <w:pPr>
        <w:jc w:val="both"/>
        <w:rPr>
          <w:rFonts w:hint="default"/>
          <w:lang w:val="en-US" w:eastAsia="zh-CN"/>
        </w:rPr>
      </w:pPr>
      <w:r>
        <w:rPr>
          <w:rFonts w:hint="default"/>
          <w:lang w:val="en-US" w:eastAsia="zh-CN"/>
        </w:rPr>
        <w:t>The process can increase customer loyalty and goodwill to the business</w:t>
      </w:r>
      <w:r>
        <w:rPr>
          <w:rFonts w:hint="eastAsia"/>
          <w:lang w:val="en-US" w:eastAsia="zh-CN"/>
        </w:rPr>
        <w:t>(</w:t>
      </w:r>
      <w:r>
        <w:rPr>
          <w:rFonts w:hint="default"/>
          <w:lang w:val="en-US" w:eastAsia="zh-CN"/>
        </w:rPr>
        <w:t>Doyle,</w:t>
      </w:r>
      <w:r>
        <w:rPr>
          <w:rFonts w:hint="eastAsia"/>
          <w:lang w:val="en-US" w:eastAsia="zh-CN"/>
        </w:rPr>
        <w:t xml:space="preserve"> </w:t>
      </w:r>
      <w:r>
        <w:rPr>
          <w:rFonts w:hint="default"/>
          <w:lang w:val="en-US" w:eastAsia="zh-CN"/>
        </w:rPr>
        <w:t>2011</w:t>
      </w:r>
      <w:r>
        <w:rPr>
          <w:rFonts w:hint="eastAsia"/>
          <w:lang w:val="en-US" w:eastAsia="zh-CN"/>
        </w:rPr>
        <w:t>)</w:t>
      </w:r>
      <w:r>
        <w:rPr>
          <w:rFonts w:hint="default"/>
          <w:lang w:val="en-US" w:eastAsia="zh-CN"/>
        </w:rPr>
        <w:t xml:space="preserve">.  Tomos Watkin can use process strandardisation to enhance its brand loyalty. They can </w:t>
      </w:r>
      <w:r>
        <w:rPr>
          <w:rFonts w:hint="eastAsia"/>
          <w:lang w:val="en-US" w:eastAsia="zh-CN"/>
        </w:rPr>
        <w:t xml:space="preserve">ask the agent to </w:t>
      </w:r>
      <w:r>
        <w:rPr>
          <w:rFonts w:hint="default"/>
          <w:lang w:val="en-US" w:eastAsia="zh-CN"/>
        </w:rPr>
        <w:t>organize customers to visit the company's beer processing base in Wales</w:t>
      </w:r>
      <w:r>
        <w:rPr>
          <w:rFonts w:hint="eastAsia"/>
          <w:lang w:val="en-US" w:eastAsia="zh-CN"/>
        </w:rPr>
        <w:t xml:space="preserve"> in form of raffle</w:t>
      </w:r>
      <w:r>
        <w:rPr>
          <w:rFonts w:hint="default"/>
          <w:lang w:val="en-US" w:eastAsia="zh-CN"/>
        </w:rPr>
        <w:t>, so that customers can experience the good processing of the company's Welsh beer. It also allows customers to know that the Tomos Watkin beer they are drinking is of good quality and safe</w:t>
      </w:r>
      <w:r>
        <w:rPr>
          <w:rFonts w:hint="eastAsia"/>
          <w:lang w:val="en-US" w:eastAsia="zh-CN"/>
        </w:rPr>
        <w:t>.</w:t>
      </w:r>
    </w:p>
    <w:p>
      <w:pPr>
        <w:jc w:val="both"/>
        <w:rPr>
          <w:rFonts w:hint="default"/>
          <w:lang w:val="en-US" w:eastAsia="zh-CN"/>
        </w:rPr>
      </w:pPr>
      <w:r>
        <w:rPr>
          <w:rFonts w:hint="default"/>
          <w:lang w:val="en-US" w:eastAsia="zh-CN"/>
        </w:rPr>
        <w:t>For production process management, advanced beer processing equipment allows Tomos Watkin to efficiently produce 11,000 bottles of beer per day. Due to the huge number of employees, Tomos Watkin can arrange work for employees working in different time periods, so that beer can be produced continuously every day, and the production efficiency can be improved</w:t>
      </w:r>
      <w:r>
        <w:rPr>
          <w:rFonts w:hint="eastAsia"/>
          <w:lang w:val="en-US" w:eastAsia="zh-CN"/>
        </w:rPr>
        <w:t xml:space="preserve"> </w:t>
      </w:r>
      <w:r>
        <w:rPr>
          <w:rFonts w:hint="eastAsia"/>
        </w:rPr>
        <w:t>(Tomos Watkin, 2018)</w:t>
      </w:r>
      <w:r>
        <w:rPr>
          <w:rFonts w:hint="default"/>
          <w:lang w:val="en-US" w:eastAsia="zh-CN"/>
        </w:rPr>
        <w:t>.</w:t>
      </w:r>
      <w:r>
        <w:rPr>
          <w:rFonts w:hint="eastAsia"/>
          <w:lang w:val="en-US" w:eastAsia="zh-CN"/>
        </w:rPr>
        <w:t xml:space="preserve"> </w:t>
      </w:r>
      <w:r>
        <w:rPr>
          <w:rFonts w:hint="default"/>
          <w:lang w:val="en-US" w:eastAsia="zh-CN"/>
        </w:rPr>
        <w:t>This efficient production efficiency allows agents to get beer products quickly.</w:t>
      </w:r>
    </w:p>
    <w:p>
      <w:pPr>
        <w:jc w:val="both"/>
        <w:rPr>
          <w:rFonts w:hint="eastAsia"/>
          <w:lang w:val="en-US" w:eastAsia="zh-CN"/>
        </w:rPr>
      </w:pPr>
      <w:r>
        <w:rPr>
          <w:rFonts w:hint="eastAsia"/>
          <w:lang w:val="en-US" w:eastAsia="zh-CN"/>
        </w:rPr>
        <w:t>Molson</w:t>
      </w:r>
      <w:r>
        <w:rPr>
          <w:rFonts w:hint="default"/>
          <w:lang w:val="en-US" w:eastAsia="zh-CN"/>
        </w:rPr>
        <w:t xml:space="preserve"> also adopted a process standisation. Since June 2010, </w:t>
      </w:r>
      <w:r>
        <w:rPr>
          <w:rFonts w:hint="eastAsia"/>
          <w:lang w:val="en-US" w:eastAsia="zh-CN"/>
        </w:rPr>
        <w:t>Molson</w:t>
      </w:r>
      <w:r>
        <w:rPr>
          <w:rFonts w:hint="default"/>
          <w:lang w:val="en-US" w:eastAsia="zh-CN"/>
        </w:rPr>
        <w:t xml:space="preserve"> has organized some customers to visit their beer processing base every summer</w:t>
      </w:r>
      <w:r>
        <w:rPr>
          <w:rFonts w:hint="eastAsia"/>
          <w:lang w:val="en-US" w:eastAsia="zh-CN"/>
        </w:rPr>
        <w:t xml:space="preserve"> (Molson, 2018)</w:t>
      </w:r>
      <w:r>
        <w:rPr>
          <w:rFonts w:hint="default"/>
          <w:lang w:val="en-US" w:eastAsia="zh-CN"/>
        </w:rPr>
        <w:t>. The main purpose is to obtain more customers' loyalty and satisfaction</w:t>
      </w:r>
      <w:r>
        <w:rPr>
          <w:rFonts w:hint="eastAsia"/>
          <w:lang w:val="en-US" w:eastAsia="zh-CN"/>
        </w:rPr>
        <w:t xml:space="preserve"> (</w:t>
      </w:r>
      <w:r>
        <w:rPr>
          <w:rFonts w:hint="default"/>
          <w:lang w:val="en-US" w:eastAsia="zh-CN"/>
        </w:rPr>
        <w:t>Huang</w:t>
      </w:r>
      <w:r>
        <w:rPr>
          <w:rFonts w:hint="eastAsia"/>
          <w:lang w:val="en-US" w:eastAsia="zh-CN"/>
        </w:rPr>
        <w:t xml:space="preserve">, </w:t>
      </w:r>
      <w:r>
        <w:rPr>
          <w:rFonts w:hint="default"/>
          <w:lang w:val="en-US" w:eastAsia="zh-CN"/>
        </w:rPr>
        <w:t>2011</w:t>
      </w:r>
      <w:r>
        <w:rPr>
          <w:rFonts w:hint="eastAsia"/>
          <w:lang w:val="en-US" w:eastAsia="zh-CN"/>
        </w:rPr>
        <w:t>)</w:t>
      </w:r>
      <w:r>
        <w:rPr>
          <w:rFonts w:hint="default"/>
          <w:lang w:val="en-US" w:eastAsia="zh-CN"/>
        </w:rPr>
        <w:t xml:space="preserve">. </w:t>
      </w:r>
    </w:p>
    <w:p>
      <w:pPr>
        <w:pStyle w:val="2"/>
        <w:numPr>
          <w:ilvl w:val="0"/>
          <w:numId w:val="0"/>
        </w:numPr>
        <w:tabs>
          <w:tab w:val="left" w:pos="312"/>
        </w:tabs>
        <w:ind w:leftChars="0"/>
        <w:rPr>
          <w:rFonts w:hint="eastAsia" w:ascii="Arial" w:hAnsi="Arial" w:cs="Arial"/>
          <w:sz w:val="20"/>
          <w:szCs w:val="20"/>
          <w:lang w:val="en-US" w:eastAsia="zh-CN"/>
        </w:rPr>
      </w:pPr>
      <w:bookmarkStart w:id="12" w:name="_Toc4475"/>
      <w:r>
        <w:rPr>
          <w:rFonts w:hint="eastAsia" w:ascii="Arial" w:hAnsi="Arial" w:cs="Arial"/>
          <w:sz w:val="20"/>
          <w:szCs w:val="20"/>
          <w:lang w:val="en-US" w:eastAsia="zh-CN"/>
        </w:rPr>
        <w:t>4.0 Conclusion</w:t>
      </w:r>
      <w:bookmarkEnd w:id="12"/>
    </w:p>
    <w:p>
      <w:pPr>
        <w:jc w:val="both"/>
        <w:rPr>
          <w:rFonts w:hint="default"/>
          <w:lang w:val="en-US" w:eastAsia="zh-CN"/>
        </w:rPr>
      </w:pPr>
      <w:r>
        <w:rPr>
          <w:rFonts w:hint="default"/>
          <w:lang w:val="en-US" w:eastAsia="zh-CN"/>
        </w:rPr>
        <w:t>Through the analysis of this report, both Adaptation and Standardisation have their own advantages and disadvantages. It depends on the choice of the market environment,</w:t>
      </w:r>
      <w:r>
        <w:rPr>
          <w:rFonts w:hint="eastAsia"/>
          <w:lang w:val="en-US" w:eastAsia="zh-CN"/>
        </w:rPr>
        <w:t xml:space="preserve"> </w:t>
      </w:r>
      <w:r>
        <w:rPr>
          <w:rFonts w:hint="default"/>
          <w:lang w:val="en-US" w:eastAsia="zh-CN"/>
        </w:rPr>
        <w:t>they are not relative, but can be interdependent to</w:t>
      </w:r>
      <w:r>
        <w:rPr>
          <w:rFonts w:hint="eastAsia"/>
          <w:lang w:val="en-US" w:eastAsia="zh-CN"/>
        </w:rPr>
        <w:t xml:space="preserve"> help the company</w:t>
      </w:r>
      <w:r>
        <w:rPr>
          <w:rFonts w:hint="default"/>
          <w:lang w:val="en-US" w:eastAsia="zh-CN"/>
        </w:rPr>
        <w:t xml:space="preserve"> maximize profits. After comparing the 7Ps with local </w:t>
      </w:r>
      <w:r>
        <w:rPr>
          <w:rFonts w:hint="eastAsia"/>
          <w:lang w:val="en-US" w:eastAsia="zh-CN"/>
        </w:rPr>
        <w:t>producer Molson</w:t>
      </w:r>
      <w:r>
        <w:rPr>
          <w:rFonts w:hint="default"/>
          <w:lang w:val="en-US" w:eastAsia="zh-CN"/>
        </w:rPr>
        <w:t xml:space="preserve">, Tomos Watkin should learn the appropriate marketing strategies of their companies and stick to their Welsh beer style. </w:t>
      </w:r>
    </w:p>
    <w:p>
      <w:pPr>
        <w:pStyle w:val="2"/>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pStyle w:val="2"/>
        <w:rPr>
          <w:rFonts w:hint="eastAsia" w:ascii="Arial" w:hAnsi="Arial" w:cs="Arial"/>
          <w:sz w:val="20"/>
          <w:szCs w:val="20"/>
          <w:lang w:val="en-US" w:eastAsia="zh-CN"/>
        </w:rPr>
      </w:pPr>
      <w:bookmarkStart w:id="13" w:name="_Toc525"/>
    </w:p>
    <w:p>
      <w:pPr>
        <w:pStyle w:val="2"/>
        <w:rPr>
          <w:rFonts w:hint="eastAsia" w:ascii="Arial" w:hAnsi="Arial" w:cs="Arial"/>
          <w:sz w:val="20"/>
          <w:szCs w:val="20"/>
          <w:lang w:val="en-US" w:eastAsia="zh-CN"/>
        </w:rPr>
      </w:pPr>
    </w:p>
    <w:p>
      <w:pPr>
        <w:pStyle w:val="2"/>
        <w:rPr>
          <w:rFonts w:hint="eastAsia" w:ascii="Arial" w:hAnsi="Arial" w:cs="Arial"/>
          <w:sz w:val="20"/>
          <w:szCs w:val="20"/>
          <w:lang w:val="en-US" w:eastAsia="zh-CN"/>
        </w:rPr>
      </w:pPr>
    </w:p>
    <w:p>
      <w:pPr>
        <w:pStyle w:val="2"/>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rPr>
          <w:rFonts w:hint="eastAsia" w:ascii="Arial" w:hAnsi="Arial" w:cs="Arial"/>
          <w:sz w:val="20"/>
          <w:szCs w:val="20"/>
          <w:lang w:val="en-US" w:eastAsia="zh-CN"/>
        </w:rPr>
      </w:pPr>
    </w:p>
    <w:p>
      <w:pPr>
        <w:pStyle w:val="2"/>
        <w:rPr>
          <w:rFonts w:hint="eastAsia" w:ascii="Arial" w:hAnsi="Arial" w:cs="Arial"/>
          <w:sz w:val="20"/>
          <w:szCs w:val="20"/>
          <w:lang w:val="en-US" w:eastAsia="zh-CN"/>
        </w:rPr>
      </w:pPr>
      <w:r>
        <w:rPr>
          <w:rFonts w:hint="eastAsia" w:ascii="Arial" w:hAnsi="Arial" w:cs="Arial"/>
          <w:sz w:val="20"/>
          <w:szCs w:val="20"/>
          <w:lang w:val="en-US" w:eastAsia="zh-CN"/>
        </w:rPr>
        <w:t>Bibliography</w:t>
      </w:r>
      <w:bookmarkEnd w:id="13"/>
    </w:p>
    <w:p>
      <w:pPr>
        <w:autoSpaceDE w:val="0"/>
        <w:autoSpaceDN w:val="0"/>
        <w:adjustRightInd w:val="0"/>
        <w:spacing w:after="200" w:line="276" w:lineRule="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Aaker, D.A., 1995. Strategic market management. 4th ed., Chichester: Wiley.</w:t>
      </w:r>
    </w:p>
    <w:p>
      <w:pPr>
        <w:jc w:val="both"/>
        <w:rPr>
          <w:rFonts w:hint="default" w:ascii="Times New Roman" w:hAnsi="Times New Roman" w:cs="Times New Roman"/>
          <w:sz w:val="22"/>
          <w:szCs w:val="22"/>
        </w:rPr>
      </w:pPr>
      <w:r>
        <w:rPr>
          <w:rFonts w:hint="default" w:ascii="Times New Roman" w:hAnsi="Times New Roman" w:cs="Times New Roman"/>
          <w:sz w:val="22"/>
          <w:szCs w:val="22"/>
        </w:rPr>
        <w:t>Akgün, Keskin &amp; Ayar, 2014. Standardization and Adaptation of International Marketing Mix Activities: A Case Study. Procedia - Social and Behavioral Sciences, 150, pp.609–618.</w:t>
      </w:r>
    </w:p>
    <w:p>
      <w:pPr>
        <w:tabs>
          <w:tab w:val="left" w:pos="2873"/>
        </w:tabs>
        <w:rPr>
          <w:rFonts w:hint="default" w:ascii="Times New Roman" w:hAnsi="Times New Roman" w:cs="Times New Roman"/>
          <w:sz w:val="22"/>
          <w:szCs w:val="22"/>
          <w:lang w:val="en-US" w:eastAsia="zh-CN"/>
        </w:rPr>
      </w:pPr>
      <w:r>
        <w:rPr>
          <w:rFonts w:hint="eastAsia" w:ascii="Times New Roman" w:hAnsi="Times New Roman" w:eastAsia="宋体" w:cs="Times New Roman"/>
          <w:sz w:val="22"/>
          <w:szCs w:val="22"/>
          <w:lang w:val="en-US" w:eastAsia="zh-CN"/>
        </w:rPr>
        <w:t>Molson</w:t>
      </w:r>
      <w:r>
        <w:rPr>
          <w:rFonts w:hint="default" w:ascii="Times New Roman" w:hAnsi="Times New Roman" w:eastAsia="宋体" w:cs="Times New Roman"/>
          <w:sz w:val="22"/>
          <w:szCs w:val="22"/>
          <w:lang w:val="en-US" w:eastAsia="zh-CN"/>
        </w:rPr>
        <w:t>.</w:t>
      </w:r>
      <w:r>
        <w:rPr>
          <w:rFonts w:hint="default" w:ascii="Times New Roman" w:hAnsi="Times New Roman" w:cs="Times New Roman"/>
          <w:sz w:val="22"/>
          <w:szCs w:val="22"/>
          <w:lang w:val="en-US"/>
        </w:rPr>
        <w:t>201</w:t>
      </w:r>
      <w:r>
        <w:rPr>
          <w:rFonts w:hint="default" w:ascii="Times New Roman" w:hAnsi="Times New Roman" w:eastAsia="宋体" w:cs="Times New Roman"/>
          <w:sz w:val="22"/>
          <w:szCs w:val="22"/>
          <w:lang w:val="en-US" w:eastAsia="zh-CN"/>
        </w:rPr>
        <w:t xml:space="preserve">8 </w:t>
      </w:r>
      <w:r>
        <w:rPr>
          <w:rFonts w:hint="default" w:ascii="Times New Roman" w:hAnsi="Times New Roman" w:cs="Times New Roman"/>
          <w:sz w:val="22"/>
          <w:szCs w:val="22"/>
          <w:lang w:val="en-US" w:eastAsia="zh-CN"/>
        </w:rPr>
        <w:t>[Online]</w:t>
      </w:r>
    </w:p>
    <w:p>
      <w:pPr>
        <w:keepNext w:val="0"/>
        <w:keepLines w:val="0"/>
        <w:widowControl/>
        <w:suppressLineNumbers w:val="0"/>
        <w:jc w:val="left"/>
        <w:rPr>
          <w:rFonts w:hint="default" w:ascii="Times New Roman" w:hAnsi="Times New Roman" w:cs="Times New Roman"/>
          <w:i w:val="0"/>
          <w:caps w:val="0"/>
          <w:color w:val="660099"/>
          <w:spacing w:val="0"/>
          <w:sz w:val="22"/>
          <w:szCs w:val="22"/>
          <w:u w:val="single"/>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"https://www.molson.ca/en/index"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https://www.molson.ca/en/index</w:t>
      </w:r>
      <w:r>
        <w:rPr>
          <w:rFonts w:hint="default" w:ascii="Times New Roman" w:hAnsi="Times New Roman" w:cs="Times New Roman"/>
          <w:sz w:val="22"/>
          <w:szCs w:val="22"/>
          <w:lang w:val="en-US" w:eastAsia="zh-CN"/>
        </w:rPr>
        <w:fldChar w:fldCharType="end"/>
      </w:r>
      <w:r>
        <w:rPr>
          <w:rFonts w:hint="eastAsia" w:ascii="Times New Roman" w:hAnsi="Times New Roman" w:cs="Times New Roman"/>
          <w:sz w:val="22"/>
          <w:szCs w:val="22"/>
          <w:lang w:val="en-US" w:eastAsia="zh-CN"/>
        </w:rPr>
        <w:t xml:space="preserve"> </w:t>
      </w:r>
      <w:r>
        <w:rPr>
          <w:rFonts w:hint="default" w:ascii="Times New Roman" w:hAnsi="Times New Roman" w:eastAsia="宋体" w:cs="Times New Roman"/>
          <w:i w:val="0"/>
          <w:caps w:val="0"/>
          <w:color w:val="660099"/>
          <w:spacing w:val="0"/>
          <w:kern w:val="0"/>
          <w:sz w:val="22"/>
          <w:szCs w:val="22"/>
          <w:u w:val="single"/>
          <w:shd w:val="clear" w:fill="FFFFFF"/>
          <w:lang w:val="en-US" w:eastAsia="zh-CN" w:bidi="ar"/>
        </w:rPr>
        <w:fldChar w:fldCharType="begin"/>
      </w:r>
      <w:r>
        <w:rPr>
          <w:rFonts w:hint="default" w:ascii="Times New Roman" w:hAnsi="Times New Roman" w:eastAsia="宋体" w:cs="Times New Roman"/>
          <w:i w:val="0"/>
          <w:caps w:val="0"/>
          <w:color w:val="660099"/>
          <w:spacing w:val="0"/>
          <w:kern w:val="0"/>
          <w:sz w:val="22"/>
          <w:szCs w:val="22"/>
          <w:u w:val="single"/>
          <w:shd w:val="clear" w:fill="FFFFFF"/>
          <w:lang w:val="en-US" w:eastAsia="zh-CN" w:bidi="ar"/>
        </w:rPr>
        <w:instrText xml:space="preserve"> HYPERLINK "https://www.budweiser.com/content/budweiser/en/home.html" </w:instrText>
      </w:r>
      <w:r>
        <w:rPr>
          <w:rFonts w:hint="default" w:ascii="Times New Roman" w:hAnsi="Times New Roman" w:eastAsia="宋体" w:cs="Times New Roman"/>
          <w:i w:val="0"/>
          <w:caps w:val="0"/>
          <w:color w:val="660099"/>
          <w:spacing w:val="0"/>
          <w:kern w:val="0"/>
          <w:sz w:val="22"/>
          <w:szCs w:val="22"/>
          <w:u w:val="single"/>
          <w:shd w:val="clear" w:fill="FFFFFF"/>
          <w:lang w:val="en-US" w:eastAsia="zh-CN" w:bidi="ar"/>
        </w:rPr>
        <w:fldChar w:fldCharType="separate"/>
      </w:r>
    </w:p>
    <w:p>
      <w:pPr>
        <w:keepNext w:val="0"/>
        <w:keepLines w:val="0"/>
        <w:widowControl/>
        <w:suppressLineNumbers w:val="0"/>
        <w:jc w:val="left"/>
        <w:rPr>
          <w:rFonts w:hint="default" w:ascii="Times New Roman" w:hAnsi="Times New Roman" w:cs="Times New Roman"/>
          <w:sz w:val="22"/>
          <w:szCs w:val="22"/>
          <w:lang w:val="en-US" w:eastAsia="zh-CN"/>
        </w:rPr>
      </w:pPr>
      <w:r>
        <w:rPr>
          <w:rFonts w:hint="default" w:ascii="Times New Roman" w:hAnsi="Times New Roman" w:eastAsia="宋体" w:cs="Times New Roman"/>
          <w:i w:val="0"/>
          <w:caps w:val="0"/>
          <w:color w:val="660099"/>
          <w:spacing w:val="0"/>
          <w:kern w:val="0"/>
          <w:sz w:val="22"/>
          <w:szCs w:val="22"/>
          <w:u w:val="single"/>
          <w:shd w:val="clear" w:fill="FFFFFF"/>
          <w:lang w:val="en-US" w:eastAsia="zh-CN" w:bidi="ar"/>
        </w:rPr>
        <w:fldChar w:fldCharType="end"/>
      </w:r>
      <w:r>
        <w:rPr>
          <w:rFonts w:hint="default" w:ascii="Times New Roman" w:hAnsi="Times New Roman" w:cs="Times New Roman"/>
          <w:sz w:val="22"/>
          <w:szCs w:val="22"/>
          <w:lang w:val="en-US" w:eastAsia="zh-CN"/>
        </w:rPr>
        <w:t>[Accessed on 13th Apr.2019]</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Brei, V. et al., 2011. The Influence of Adaptation and Standardization of the Marketing Mix on Performance: a Meta-Analysis. Brazilian Administration Review, 8(3), pp.266–287.</w:t>
      </w:r>
    </w:p>
    <w:p>
      <w:pPr>
        <w:tabs>
          <w:tab w:val="left" w:pos="2873"/>
        </w:tabs>
        <w:jc w:val="both"/>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Beergrains.</w:t>
      </w:r>
      <w:r>
        <w:rPr>
          <w:rFonts w:hint="default" w:ascii="Times New Roman" w:hAnsi="Times New Roman" w:cs="Times New Roman"/>
          <w:sz w:val="22"/>
          <w:szCs w:val="22"/>
          <w:lang w:val="en-US"/>
        </w:rPr>
        <w:t>201</w:t>
      </w:r>
      <w:r>
        <w:rPr>
          <w:rFonts w:hint="default" w:ascii="Times New Roman" w:hAnsi="Times New Roman" w:eastAsia="宋体" w:cs="Times New Roman"/>
          <w:sz w:val="22"/>
          <w:szCs w:val="22"/>
          <w:lang w:val="en-US" w:eastAsia="zh-CN"/>
        </w:rPr>
        <w:t xml:space="preserve">8 </w:t>
      </w:r>
      <w:r>
        <w:rPr>
          <w:rFonts w:hint="default" w:ascii="Times New Roman" w:hAnsi="Times New Roman" w:cs="Times New Roman"/>
          <w:sz w:val="22"/>
          <w:szCs w:val="22"/>
          <w:lang w:val="en-US" w:eastAsia="zh-CN"/>
        </w:rPr>
        <w:t>[Online]</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"https://www.beergrains.com/bottles-500ml-p-e-t-plastic-24-pack/"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https://www.beergrains.com/bottles-500ml-p-e-t-plastic-24-pack/</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12th Apr.2019]</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Cameron, E. &amp; Green, M., 2015. Making sense of change management : a complete guide to the models, tools and techniques of organizational change Fourth.,</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Debra Aho Williamson, 2001. Budweiser. Advertising Age, 72(32), p.S2.</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Diana Prihoanca, 2012. Importance of database for</w:t>
      </w:r>
      <w:r>
        <w:rPr>
          <w:rFonts w:hint="eastAsia" w:ascii="Times New Roman" w:hAnsi="Times New Roman" w:eastAsia="宋体" w:cs="Times New Roman"/>
          <w:sz w:val="22"/>
          <w:szCs w:val="22"/>
          <w:lang w:val="en-US" w:eastAsia="zh-CN"/>
        </w:rPr>
        <w:t xml:space="preserve"> agent</w:t>
      </w:r>
      <w:r>
        <w:rPr>
          <w:rFonts w:hint="default" w:ascii="Times New Roman" w:hAnsi="Times New Roman" w:eastAsia="宋体" w:cs="Times New Roman"/>
          <w:sz w:val="22"/>
          <w:szCs w:val="22"/>
          <w:lang w:val="en-US" w:eastAsia="zh-CN"/>
        </w:rPr>
        <w:t>.Scientific Researches: Economics Edition, (1</w:t>
      </w:r>
      <w:r>
        <w:rPr>
          <w:rFonts w:hint="eastAsia" w:ascii="Times New Roman" w:hAnsi="Times New Roman" w:eastAsia="宋体" w:cs="Times New Roman"/>
          <w:sz w:val="22"/>
          <w:szCs w:val="22"/>
          <w:lang w:val="en-US" w:eastAsia="zh-CN"/>
        </w:rPr>
        <w:t>8</w:t>
      </w:r>
      <w:r>
        <w:rPr>
          <w:rFonts w:hint="default" w:ascii="Times New Roman" w:hAnsi="Times New Roman" w:eastAsia="宋体" w:cs="Times New Roman"/>
          <w:sz w:val="22"/>
          <w:szCs w:val="22"/>
          <w:lang w:val="en-US" w:eastAsia="zh-CN"/>
        </w:rPr>
        <w:t>-1</w:t>
      </w:r>
      <w:r>
        <w:rPr>
          <w:rFonts w:hint="eastAsia" w:ascii="Times New Roman" w:hAnsi="Times New Roman" w:eastAsia="宋体" w:cs="Times New Roman"/>
          <w:sz w:val="22"/>
          <w:szCs w:val="22"/>
          <w:lang w:val="en-US" w:eastAsia="zh-CN"/>
        </w:rPr>
        <w:t>9</w:t>
      </w:r>
      <w:r>
        <w:rPr>
          <w:rFonts w:hint="default" w:ascii="Times New Roman" w:hAnsi="Times New Roman" w:eastAsia="宋体" w:cs="Times New Roman"/>
          <w:sz w:val="22"/>
          <w:szCs w:val="22"/>
          <w:lang w:val="en-US" w:eastAsia="zh-CN"/>
        </w:rPr>
        <w:t>), pp.Scientific Researches: Economics Edition, 0</w:t>
      </w:r>
      <w:r>
        <w:rPr>
          <w:rFonts w:hint="eastAsia" w:ascii="Times New Roman" w:hAnsi="Times New Roman" w:eastAsia="宋体" w:cs="Times New Roman"/>
          <w:sz w:val="22"/>
          <w:szCs w:val="22"/>
          <w:lang w:val="en-US" w:eastAsia="zh-CN"/>
        </w:rPr>
        <w:t>2</w:t>
      </w:r>
      <w:r>
        <w:rPr>
          <w:rFonts w:hint="default" w:ascii="Times New Roman" w:hAnsi="Times New Roman" w:eastAsia="宋体" w:cs="Times New Roman"/>
          <w:sz w:val="22"/>
          <w:szCs w:val="22"/>
          <w:lang w:val="en-US" w:eastAsia="zh-CN"/>
        </w:rPr>
        <w:t xml:space="preserve"> </w:t>
      </w:r>
      <w:r>
        <w:rPr>
          <w:rFonts w:hint="eastAsia" w:ascii="Times New Roman" w:hAnsi="Times New Roman" w:eastAsia="宋体" w:cs="Times New Roman"/>
          <w:sz w:val="22"/>
          <w:szCs w:val="22"/>
          <w:lang w:val="en-US" w:eastAsia="zh-CN"/>
        </w:rPr>
        <w:t>October</w:t>
      </w:r>
      <w:r>
        <w:rPr>
          <w:rFonts w:hint="default" w:ascii="Times New Roman" w:hAnsi="Times New Roman" w:eastAsia="宋体" w:cs="Times New Roman"/>
          <w:sz w:val="22"/>
          <w:szCs w:val="22"/>
          <w:lang w:val="en-US" w:eastAsia="zh-CN"/>
        </w:rPr>
        <w:t xml:space="preserve"> 201</w:t>
      </w:r>
      <w:r>
        <w:rPr>
          <w:rFonts w:hint="eastAsia" w:ascii="Times New Roman" w:hAnsi="Times New Roman" w:eastAsia="宋体" w:cs="Times New Roman"/>
          <w:sz w:val="22"/>
          <w:szCs w:val="22"/>
          <w:lang w:val="en-US" w:eastAsia="zh-CN"/>
        </w:rPr>
        <w:t>3</w:t>
      </w:r>
      <w:r>
        <w:rPr>
          <w:rFonts w:hint="default" w:ascii="Times New Roman" w:hAnsi="Times New Roman" w:eastAsia="宋体" w:cs="Times New Roman"/>
          <w:sz w:val="22"/>
          <w:szCs w:val="22"/>
          <w:lang w:val="en-US" w:eastAsia="zh-CN"/>
        </w:rPr>
        <w:t>, Issue 16–17.</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Doyle, C., 2011. marketing mix. A Dictionary of Marketing, pp.A Dictionary of Marketing.</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Fifield, P., 2012. Marketing Strategy 2nd ed., Hoboken: Taylor and Francis.</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Geberth, V., 2003. Physical evidence. Law &amp; Order, 51(7), p.105.</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Huang &amp; Sarigöllü 2011. How brand awareness relates to market outcome, brand equity, and the marketing mix. Journal of Business Research, pp.Journal of Business Research.</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James-MacEachern, Melissa, 2018. A comparative study of international recruitment - tensions and opportunities in institutional recruitment practice. Journal of Marketing for Higher Education, 28(2), pp.247–266.</w:t>
      </w:r>
    </w:p>
    <w:p>
      <w:pPr>
        <w:tabs>
          <w:tab w:val="left" w:pos="2873"/>
        </w:tabs>
        <w:jc w:val="both"/>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J</w:t>
      </w:r>
      <w:r>
        <w:rPr>
          <w:rFonts w:hint="default" w:ascii="Times New Roman" w:hAnsi="Times New Roman" w:cs="Times New Roman"/>
          <w:sz w:val="22"/>
          <w:szCs w:val="22"/>
        </w:rPr>
        <w:t>ustbeer</w:t>
      </w:r>
      <w:r>
        <w:rPr>
          <w:rFonts w:hint="default" w:ascii="Times New Roman" w:hAnsi="Times New Roman" w:eastAsia="宋体" w:cs="Times New Roman"/>
          <w:sz w:val="22"/>
          <w:szCs w:val="22"/>
          <w:lang w:val="en-US" w:eastAsia="zh-CN"/>
        </w:rPr>
        <w:t xml:space="preserve">.2018 </w:t>
      </w:r>
      <w:r>
        <w:rPr>
          <w:rFonts w:hint="default" w:ascii="Times New Roman" w:hAnsi="Times New Roman" w:cs="Times New Roman"/>
          <w:sz w:val="22"/>
          <w:szCs w:val="22"/>
          <w:lang w:val="en-US" w:eastAsia="zh-CN"/>
        </w:rPr>
        <w:t>[Online]</w:t>
      </w:r>
    </w:p>
    <w:p>
      <w:pPr>
        <w:tabs>
          <w:tab w:val="left" w:pos="2873"/>
        </w:tabs>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"https://justbeerapp.com/article/beer-drinking-in-canada"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https://justbeerapp.com/article/beer-drinking-in-canada</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11th Apr.2019]</w:t>
      </w:r>
    </w:p>
    <w:p>
      <w:pPr>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Kaufmann &amp; Eroglu, 1999. Standardization and adaptation in business format franchising. Journal of Business Venturing, 14(1), pp.69–85.</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Le Hieu, H. &amp; Truong, Q., 2010. Internationalization and its impacts on the standardization/adaptation mode of operations: a study of two Italian firms in Vietnam. Asia Pacific Business Review, 16(1/2), pp.221–238.</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Lundahl, A. &amp; Persson, S., 2017. Customer based pricing: The implementation of standardization and adaptation in the international pricing strategy.</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Saimagambetova, G. &amp; Imashova, Z., 2017. Company Management Systems in Development Strategy Planning. International Journal of Economic Perspectives, 11(2), pp.475–479.</w:t>
      </w:r>
    </w:p>
    <w:p>
      <w:pPr>
        <w:tabs>
          <w:tab w:val="left" w:pos="2873"/>
        </w:tabs>
        <w:jc w:val="both"/>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Statistics Canada.</w:t>
      </w:r>
      <w:r>
        <w:rPr>
          <w:rFonts w:hint="default" w:ascii="Times New Roman" w:hAnsi="Times New Roman" w:cs="Times New Roman"/>
          <w:sz w:val="22"/>
          <w:szCs w:val="22"/>
          <w:lang w:val="en-US"/>
        </w:rPr>
        <w:t>201</w:t>
      </w:r>
      <w:r>
        <w:rPr>
          <w:rFonts w:hint="default" w:ascii="Times New Roman" w:hAnsi="Times New Roman" w:eastAsia="宋体" w:cs="Times New Roman"/>
          <w:sz w:val="22"/>
          <w:szCs w:val="22"/>
          <w:lang w:val="en-US" w:eastAsia="zh-CN"/>
        </w:rPr>
        <w:t xml:space="preserve">8 </w:t>
      </w:r>
      <w:r>
        <w:rPr>
          <w:rFonts w:hint="default" w:ascii="Times New Roman" w:hAnsi="Times New Roman" w:cs="Times New Roman"/>
          <w:sz w:val="22"/>
          <w:szCs w:val="22"/>
          <w:lang w:val="en-US" w:eastAsia="zh-CN"/>
        </w:rPr>
        <w:t>[Online]</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"https://www.statcan.gc.ca/eng/start"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https://www.statcan.gc.ca/eng/start</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11th Apr.2019]</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Shaw, E., 2012. Marketing strategy. Journal of Historical Research in Marketing, 4(1), pp.30–55.</w:t>
      </w:r>
    </w:p>
    <w:p>
      <w:pPr>
        <w:autoSpaceDE w:val="0"/>
        <w:autoSpaceDN w:val="0"/>
        <w:adjustRightInd w:val="0"/>
        <w:spacing w:after="200" w:line="276" w:lineRule="auto"/>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Sudarevic, T., Radojevic, P. &amp; Lekovic, J., 2015. The standardization/adaptation dilemma in agri-food exporters marketing strategies. British Food Journal, 117(11), pp.2739–2756.</w:t>
      </w:r>
    </w:p>
    <w:p>
      <w:pPr>
        <w:tabs>
          <w:tab w:val="left" w:pos="2873"/>
        </w:tabs>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 xml:space="preserve">Tradingeconomics.2018 </w:t>
      </w:r>
      <w:r>
        <w:rPr>
          <w:rFonts w:hint="default" w:ascii="Times New Roman" w:hAnsi="Times New Roman" w:cs="Times New Roman"/>
          <w:sz w:val="22"/>
          <w:szCs w:val="22"/>
          <w:lang w:val="en-US" w:eastAsia="zh-CN"/>
        </w:rPr>
        <w:t>[Online]</w:t>
      </w:r>
    </w:p>
    <w:p>
      <w:pPr>
        <w:tabs>
          <w:tab w:val="left" w:pos="2873"/>
        </w:tabs>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"https://tradingeconomics.com/canada/inflation-cpi" </w:instrText>
      </w:r>
      <w:r>
        <w:rPr>
          <w:rFonts w:hint="default" w:ascii="Times New Roman" w:hAnsi="Times New Roman" w:cs="Times New Roman"/>
          <w:sz w:val="22"/>
          <w:szCs w:val="22"/>
        </w:rPr>
        <w:fldChar w:fldCharType="separate"/>
      </w:r>
      <w:r>
        <w:rPr>
          <w:rStyle w:val="13"/>
          <w:rFonts w:hint="default" w:ascii="Times New Roman" w:hAnsi="Times New Roman" w:cs="Times New Roman"/>
          <w:sz w:val="22"/>
          <w:szCs w:val="22"/>
          <w:lang w:val="en-US" w:eastAsia="zh-CN"/>
        </w:rPr>
        <w:t>https://tradingeconomics.com/canada/inflation-cpi</w:t>
      </w:r>
      <w:r>
        <w:rPr>
          <w:rStyle w:val="13"/>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19th Feb.2019]</w:t>
      </w:r>
    </w:p>
    <w:p>
      <w:pPr>
        <w:tabs>
          <w:tab w:val="left" w:pos="2873"/>
        </w:tabs>
        <w:jc w:val="both"/>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The beer store.</w:t>
      </w:r>
      <w:r>
        <w:rPr>
          <w:rFonts w:hint="default" w:ascii="Times New Roman" w:hAnsi="Times New Roman" w:cs="Times New Roman"/>
          <w:sz w:val="22"/>
          <w:szCs w:val="22"/>
          <w:lang w:val="en-US"/>
        </w:rPr>
        <w:t>201</w:t>
      </w:r>
      <w:r>
        <w:rPr>
          <w:rFonts w:hint="default" w:ascii="Times New Roman" w:hAnsi="Times New Roman" w:eastAsia="宋体" w:cs="Times New Roman"/>
          <w:sz w:val="22"/>
          <w:szCs w:val="22"/>
          <w:lang w:val="en-US" w:eastAsia="zh-CN"/>
        </w:rPr>
        <w:t xml:space="preserve">8 </w:t>
      </w:r>
      <w:r>
        <w:rPr>
          <w:rFonts w:hint="default" w:ascii="Times New Roman" w:hAnsi="Times New Roman" w:cs="Times New Roman"/>
          <w:sz w:val="22"/>
          <w:szCs w:val="22"/>
          <w:lang w:val="en-US" w:eastAsia="zh-CN"/>
        </w:rPr>
        <w:t>[Online]</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"http://www.thebeerstore.ca/beers/canadian"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http://www.thebeerstore.ca/beers/canadian</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12th Apr.2019]</w:t>
      </w:r>
    </w:p>
    <w:p>
      <w:pPr>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Tomoswatkin.2019 [Online]</w:t>
      </w:r>
    </w:p>
    <w:p>
      <w:pPr>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"https://tomoswatkin.com/" </w:instrText>
      </w:r>
      <w:r>
        <w:rPr>
          <w:rFonts w:hint="default" w:ascii="Times New Roman" w:hAnsi="Times New Roman" w:cs="Times New Roman"/>
          <w:sz w:val="22"/>
          <w:szCs w:val="22"/>
        </w:rPr>
        <w:fldChar w:fldCharType="separate"/>
      </w:r>
      <w:r>
        <w:rPr>
          <w:rStyle w:val="13"/>
          <w:rFonts w:hint="default" w:ascii="Times New Roman" w:hAnsi="Times New Roman" w:cs="Times New Roman"/>
          <w:sz w:val="22"/>
          <w:szCs w:val="22"/>
          <w:lang w:val="en-US" w:eastAsia="zh-CN"/>
        </w:rPr>
        <w:t>https://tomoswatkin.com/</w:t>
      </w:r>
      <w:r>
        <w:rPr>
          <w:rStyle w:val="13"/>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jc w:val="both"/>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11th Apr.2019]</w:t>
      </w:r>
    </w:p>
    <w:p>
      <w:pPr>
        <w:tabs>
          <w:tab w:val="left" w:pos="2873"/>
        </w:tabs>
        <w:jc w:val="both"/>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Valassis, K. &amp; de Rosen, Y., 2013. Adaptation/Standardization of SMEs’ Marketing Mix Elements across borders.</w:t>
      </w:r>
    </w:p>
    <w:p>
      <w:pPr>
        <w:tabs>
          <w:tab w:val="left" w:pos="2873"/>
        </w:tabs>
        <w:rPr>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Your business.</w:t>
      </w:r>
      <w:r>
        <w:rPr>
          <w:rFonts w:hint="default" w:ascii="Times New Roman" w:hAnsi="Times New Roman" w:cs="Times New Roman"/>
          <w:sz w:val="22"/>
          <w:szCs w:val="22"/>
          <w:lang w:val="en-US"/>
        </w:rPr>
        <w:t>201</w:t>
      </w:r>
      <w:r>
        <w:rPr>
          <w:rFonts w:hint="default" w:ascii="Times New Roman" w:hAnsi="Times New Roman" w:eastAsia="宋体" w:cs="Times New Roman"/>
          <w:sz w:val="22"/>
          <w:szCs w:val="22"/>
          <w:lang w:val="en-US" w:eastAsia="zh-CN"/>
        </w:rPr>
        <w:t xml:space="preserve">8 </w:t>
      </w:r>
      <w:r>
        <w:rPr>
          <w:rFonts w:hint="default" w:ascii="Times New Roman" w:hAnsi="Times New Roman" w:cs="Times New Roman"/>
          <w:sz w:val="22"/>
          <w:szCs w:val="22"/>
          <w:lang w:val="en-US" w:eastAsia="zh-CN"/>
        </w:rPr>
        <w:t>[Online]</w:t>
      </w:r>
    </w:p>
    <w:p>
      <w:pPr>
        <w:tabs>
          <w:tab w:val="left" w:pos="2873"/>
        </w:tabs>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lang w:val="en-US" w:eastAsia="zh-CN"/>
        </w:rPr>
        <w:t xml:space="preserve">Available at: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"https://yourbusiness.azcentral.com/adaptations-international-marketing-1558.html" </w:instrText>
      </w:r>
      <w:r>
        <w:rPr>
          <w:rFonts w:hint="default" w:ascii="Times New Roman" w:hAnsi="Times New Roman" w:cs="Times New Roman"/>
          <w:sz w:val="22"/>
          <w:szCs w:val="22"/>
          <w:lang w:val="en-US" w:eastAsia="zh-CN"/>
        </w:rPr>
        <w:fldChar w:fldCharType="separate"/>
      </w:r>
      <w:r>
        <w:rPr>
          <w:rStyle w:val="13"/>
          <w:rFonts w:hint="default" w:ascii="Times New Roman" w:hAnsi="Times New Roman" w:cs="Times New Roman"/>
          <w:sz w:val="22"/>
          <w:szCs w:val="22"/>
          <w:lang w:val="en-US" w:eastAsia="zh-CN"/>
        </w:rPr>
        <w:t>https://yourbusiness.azcentral.com/adaptations-international-marketing-1558.html</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xml:space="preserve"> </w:t>
      </w:r>
    </w:p>
    <w:p>
      <w:pPr>
        <w:autoSpaceDE w:val="0"/>
        <w:autoSpaceDN w:val="0"/>
        <w:adjustRightInd w:val="0"/>
        <w:spacing w:after="200" w:line="276" w:lineRule="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[Accessed on 12th Apr.2019]</w:t>
      </w:r>
    </w:p>
    <w:p>
      <w:pPr>
        <w:autoSpaceDE w:val="0"/>
        <w:autoSpaceDN w:val="0"/>
        <w:adjustRightInd w:val="0"/>
        <w:spacing w:after="200" w:line="276" w:lineRule="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Zimmerman, K., 2008. Canada. 10th ed., Footscray, Vic.: Lonely Planet.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lang w:val="en-US" w:eastAsia="zh-CN"/>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7</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lang w:val="en-US"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j4x0QAgAABwQAAA4AAABkcnMvZTJvRG9jLnhtbK1TzY7TMBC+I/EO&#10;lu80aRG7Vd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oI+MdEAIAAAcEAAAOAAAAAAAAAAEAIAAA&#10;AB8BAABkcnMvZTJvRG9jLnhtbFBLBQYAAAAABgAGAFkBAAChBQAAAAA=&#10;">
              <v:fill on="f" focussize="0,0"/>
              <v:stroke on="f" weight="0.5pt"/>
              <v:imagedata o:title=""/>
              <o:lock v:ext="edit" aspectratio="f"/>
              <v:textbox inset="0mm,0mm,0mm,0mm" style="mso-fit-shape-to-text:t;">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8</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9B371"/>
    <w:multiLevelType w:val="multilevel"/>
    <w:tmpl w:val="0C49B371"/>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27F58"/>
    <w:rsid w:val="00012FD5"/>
    <w:rsid w:val="0006112B"/>
    <w:rsid w:val="000746D7"/>
    <w:rsid w:val="00075397"/>
    <w:rsid w:val="00080B75"/>
    <w:rsid w:val="000B2293"/>
    <w:rsid w:val="00107F64"/>
    <w:rsid w:val="00131329"/>
    <w:rsid w:val="001739BF"/>
    <w:rsid w:val="002162AB"/>
    <w:rsid w:val="002C605C"/>
    <w:rsid w:val="0031600A"/>
    <w:rsid w:val="00321081"/>
    <w:rsid w:val="00372C30"/>
    <w:rsid w:val="003934B9"/>
    <w:rsid w:val="00470BDB"/>
    <w:rsid w:val="004B4A76"/>
    <w:rsid w:val="005129B9"/>
    <w:rsid w:val="006316A0"/>
    <w:rsid w:val="00635B9F"/>
    <w:rsid w:val="006850B0"/>
    <w:rsid w:val="007E2437"/>
    <w:rsid w:val="008153A5"/>
    <w:rsid w:val="00850C71"/>
    <w:rsid w:val="008B3D68"/>
    <w:rsid w:val="008C780B"/>
    <w:rsid w:val="009225A8"/>
    <w:rsid w:val="00A232D4"/>
    <w:rsid w:val="00A82FC3"/>
    <w:rsid w:val="00AB7D5C"/>
    <w:rsid w:val="00B054B5"/>
    <w:rsid w:val="00BB0A67"/>
    <w:rsid w:val="00CA7F0A"/>
    <w:rsid w:val="00CB615E"/>
    <w:rsid w:val="00DC7CB8"/>
    <w:rsid w:val="00E514D4"/>
    <w:rsid w:val="00EB49D8"/>
    <w:rsid w:val="00F46048"/>
    <w:rsid w:val="00F5124E"/>
    <w:rsid w:val="00F520AD"/>
    <w:rsid w:val="00F61EBF"/>
    <w:rsid w:val="00FC17DF"/>
    <w:rsid w:val="00FD044E"/>
    <w:rsid w:val="0B4526F8"/>
    <w:rsid w:val="0F3E58E6"/>
    <w:rsid w:val="131B26E0"/>
    <w:rsid w:val="151645DC"/>
    <w:rsid w:val="17F3408A"/>
    <w:rsid w:val="210F37DA"/>
    <w:rsid w:val="2266700F"/>
    <w:rsid w:val="22765901"/>
    <w:rsid w:val="248B3D11"/>
    <w:rsid w:val="2BE377DD"/>
    <w:rsid w:val="33845E35"/>
    <w:rsid w:val="37FC6568"/>
    <w:rsid w:val="384F2654"/>
    <w:rsid w:val="3AD2584D"/>
    <w:rsid w:val="435F6B9E"/>
    <w:rsid w:val="460F0CF9"/>
    <w:rsid w:val="47557DFF"/>
    <w:rsid w:val="4EA66411"/>
    <w:rsid w:val="50B27F58"/>
    <w:rsid w:val="55D17B06"/>
    <w:rsid w:val="563E5318"/>
    <w:rsid w:val="595965AF"/>
    <w:rsid w:val="5A6B2F3B"/>
    <w:rsid w:val="5BDC5F91"/>
    <w:rsid w:val="67E04707"/>
    <w:rsid w:val="69650F2C"/>
    <w:rsid w:val="69F844C8"/>
    <w:rsid w:val="6E9F4A27"/>
    <w:rsid w:val="77352723"/>
    <w:rsid w:val="7D8564E0"/>
    <w:rsid w:val="7FB86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unhideWhenUsed/>
    <w:qFormat/>
    <w:uiPriority w:val="0"/>
    <w:pPr>
      <w:spacing w:beforeAutospacing="1" w:after="0" w:afterAutospacing="1"/>
      <w:outlineLvl w:val="1"/>
    </w:pPr>
    <w:rPr>
      <w:rFonts w:hint="eastAsia" w:ascii="宋体" w:hAnsi="宋体" w:eastAsia="宋体" w:cs="Times New Roman"/>
      <w:b/>
      <w:sz w:val="36"/>
      <w:szCs w:val="36"/>
      <w:lang w:val="en-US" w:eastAsia="zh-CN"/>
    </w:rPr>
  </w:style>
  <w:style w:type="character" w:default="1" w:styleId="11">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6"/>
    <w:qFormat/>
    <w:uiPriority w:val="0"/>
    <w:pPr>
      <w:ind w:left="100" w:leftChars="2500"/>
    </w:pPr>
  </w:style>
  <w:style w:type="paragraph" w:styleId="5">
    <w:name w:val="Balloon Text"/>
    <w:basedOn w:val="1"/>
    <w:link w:val="15"/>
    <w:qFormat/>
    <w:uiPriority w:val="0"/>
    <w:pPr>
      <w:spacing w:after="0" w:line="240" w:lineRule="auto"/>
    </w:pPr>
    <w:rPr>
      <w:sz w:val="18"/>
      <w:szCs w:val="18"/>
    </w:rPr>
  </w:style>
  <w:style w:type="paragraph" w:styleId="6">
    <w:name w:val="footer"/>
    <w:basedOn w:val="1"/>
    <w:qFormat/>
    <w:uiPriority w:val="0"/>
    <w:pPr>
      <w:tabs>
        <w:tab w:val="center" w:pos="4153"/>
        <w:tab w:val="right" w:pos="8306"/>
      </w:tabs>
      <w:snapToGrid w:val="0"/>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styleId="14">
    <w:name w:val="No Spacing"/>
    <w:qFormat/>
    <w:uiPriority w:val="1"/>
    <w:rPr>
      <w:rFonts w:asciiTheme="minorHAnsi" w:hAnsiTheme="minorHAnsi" w:eastAsiaTheme="minorEastAsia" w:cstheme="minorBidi"/>
      <w:sz w:val="22"/>
      <w:szCs w:val="22"/>
      <w:lang w:val="en-US" w:eastAsia="en-US" w:bidi="ar-SA"/>
    </w:rPr>
  </w:style>
  <w:style w:type="character" w:customStyle="1" w:styleId="15">
    <w:name w:val="批注框文本 Char"/>
    <w:basedOn w:val="11"/>
    <w:link w:val="5"/>
    <w:qFormat/>
    <w:uiPriority w:val="0"/>
    <w:rPr>
      <w:rFonts w:asciiTheme="minorHAnsi" w:hAnsiTheme="minorHAnsi" w:eastAsiaTheme="minorHAnsi" w:cstheme="minorBidi"/>
      <w:sz w:val="18"/>
      <w:szCs w:val="18"/>
      <w:lang w:val="en-GB" w:eastAsia="en-US"/>
    </w:rPr>
  </w:style>
  <w:style w:type="character" w:customStyle="1" w:styleId="16">
    <w:name w:val="日期 Char"/>
    <w:basedOn w:val="11"/>
    <w:link w:val="4"/>
    <w:qFormat/>
    <w:uiPriority w:val="0"/>
    <w:rPr>
      <w:rFonts w:asciiTheme="minorHAnsi" w:hAnsiTheme="minorHAnsi" w:eastAsiaTheme="minorHAnsi" w:cstheme="minorBidi"/>
      <w:sz w:val="22"/>
      <w:szCs w:val="22"/>
      <w:lang w:val="en-GB" w:eastAsia="en-US"/>
    </w:rPr>
  </w:style>
  <w:style w:type="paragraph" w:styleId="17">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66253c7-5c04-4b2c-8616-3d1c1cce792e}"/>
        <w:style w:val=""/>
        <w:category>
          <w:name w:val="General"/>
          <w:gallery w:val="placeholder"/>
        </w:category>
        <w:types>
          <w:type w:val="bbPlcHdr"/>
        </w:types>
        <w:behaviors>
          <w:behavior w:val="content"/>
        </w:behaviors>
        <w:description w:val=""/>
        <w:guid w:val="{266253C7-5C04-4B2C-8616-3D1C1CCE792E}"/>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5B764A"/>
    <w:rsid w:val="005B7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2827</Words>
  <Characters>16118</Characters>
  <Lines>134</Lines>
  <Paragraphs>37</Paragraphs>
  <TotalTime>2</TotalTime>
  <ScaleCrop>false</ScaleCrop>
  <LinksUpToDate>false</LinksUpToDate>
  <CharactersWithSpaces>18908</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2019-03-01T22:34:00Z</dcterms:created>
  <dc:creator>Daniel</dc:creator>
  <cp:lastModifiedBy>Daniel</cp:lastModifiedBy>
  <dcterms:modified xsi:type="dcterms:W3CDTF">2019-05-03T21:37:46Z</dcterms:modified>
  <dc:title>MARKET ENTRY STRATEGY of</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