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0609A4" w:rsidRPr="00CB7AC7" w:rsidRDefault="00074402" w:rsidP="00CD33A8">
      <w:pPr>
        <w:spacing w:line="360" w:lineRule="auto"/>
        <w:rPr>
          <w:rFonts w:asciiTheme="minorBidi" w:hAnsiTheme="minorBidi"/>
          <w:sz w:val="22"/>
        </w:rPr>
      </w:pPr>
      <w:r w:rsidRPr="00CB7AC7">
        <w:rPr>
          <w:rFonts w:asciiTheme="minorBidi" w:hAnsiTheme="minorBidi"/>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B7AC7" w:rsidRDefault="00074402" w:rsidP="00CD33A8">
      <w:pPr>
        <w:spacing w:line="360" w:lineRule="auto"/>
        <w:rPr>
          <w:rFonts w:asciiTheme="minorBidi" w:hAnsiTheme="minorBidi"/>
          <w:sz w:val="22"/>
        </w:rPr>
      </w:pPr>
    </w:p>
    <w:p w14:paraId="4E267F2C" w14:textId="35E99859" w:rsidR="00074402" w:rsidRPr="00CB7AC7" w:rsidRDefault="00074402" w:rsidP="00CD33A8">
      <w:pPr>
        <w:spacing w:line="360" w:lineRule="auto"/>
        <w:rPr>
          <w:rFonts w:asciiTheme="minorBidi" w:hAnsiTheme="minorBidi"/>
          <w:sz w:val="22"/>
        </w:rPr>
      </w:pPr>
    </w:p>
    <w:p w14:paraId="5D864E3F" w14:textId="04749E68" w:rsidR="00074402" w:rsidRPr="00CB7AC7" w:rsidRDefault="00074402" w:rsidP="00CD33A8">
      <w:pPr>
        <w:spacing w:line="360" w:lineRule="auto"/>
        <w:rPr>
          <w:rFonts w:asciiTheme="minorBidi" w:hAnsiTheme="minorBidi"/>
          <w:sz w:val="22"/>
        </w:rPr>
      </w:pPr>
    </w:p>
    <w:p w14:paraId="22F2817A" w14:textId="77777777" w:rsidR="00074402" w:rsidRPr="00CB7AC7" w:rsidRDefault="00074402" w:rsidP="00CD33A8">
      <w:pPr>
        <w:tabs>
          <w:tab w:val="left" w:pos="6540"/>
        </w:tabs>
        <w:spacing w:line="360" w:lineRule="auto"/>
        <w:rPr>
          <w:rFonts w:asciiTheme="minorBidi" w:hAnsiTheme="minorBidi"/>
          <w:sz w:val="22"/>
        </w:rPr>
      </w:pPr>
    </w:p>
    <w:p w14:paraId="7D557BA5" w14:textId="170A3C87" w:rsidR="00CD33A8" w:rsidRPr="00CB7AC7" w:rsidRDefault="00CD33A8" w:rsidP="00CD33A8">
      <w:pPr>
        <w:tabs>
          <w:tab w:val="left" w:pos="6540"/>
        </w:tabs>
        <w:spacing w:line="360" w:lineRule="auto"/>
        <w:rPr>
          <w:rFonts w:ascii="Arial" w:hAnsi="Arial" w:cs="Arial"/>
          <w:sz w:val="28"/>
          <w:szCs w:val="28"/>
        </w:rPr>
      </w:pPr>
      <w:r w:rsidRPr="00CB7AC7">
        <w:rPr>
          <w:rFonts w:ascii="Arial" w:hAnsi="Arial" w:cs="Arial"/>
          <w:b/>
          <w:bCs/>
          <w:sz w:val="28"/>
          <w:szCs w:val="28"/>
        </w:rPr>
        <w:t>Module name</w:t>
      </w:r>
      <w:r w:rsidRPr="00CB7AC7">
        <w:rPr>
          <w:rFonts w:ascii="Arial" w:hAnsi="Arial" w:cs="Arial"/>
          <w:sz w:val="28"/>
          <w:szCs w:val="28"/>
        </w:rPr>
        <w:t xml:space="preserve">: </w:t>
      </w:r>
      <w:r w:rsidR="00303EE3">
        <w:rPr>
          <w:rFonts w:ascii="Arial" w:hAnsi="Arial" w:cs="Arial"/>
          <w:sz w:val="28"/>
          <w:szCs w:val="28"/>
        </w:rPr>
        <w:t>I</w:t>
      </w:r>
      <w:r w:rsidR="00121688">
        <w:rPr>
          <w:rFonts w:ascii="Arial" w:hAnsi="Arial" w:cs="Arial"/>
          <w:sz w:val="28"/>
          <w:szCs w:val="28"/>
        </w:rPr>
        <w:t>ntroduction to Health and Social Care</w:t>
      </w:r>
    </w:p>
    <w:p w14:paraId="537571AF" w14:textId="45BEA65F" w:rsidR="00CD33A8" w:rsidRPr="00CB7AC7" w:rsidRDefault="00CD33A8" w:rsidP="00CD33A8">
      <w:pPr>
        <w:tabs>
          <w:tab w:val="left" w:pos="6540"/>
        </w:tabs>
        <w:spacing w:line="360" w:lineRule="auto"/>
        <w:rPr>
          <w:rFonts w:ascii="Arial" w:hAnsi="Arial" w:cs="Arial"/>
          <w:sz w:val="28"/>
          <w:szCs w:val="28"/>
        </w:rPr>
      </w:pPr>
      <w:r w:rsidRPr="00CB7AC7">
        <w:rPr>
          <w:rFonts w:ascii="Arial" w:hAnsi="Arial" w:cs="Arial"/>
          <w:b/>
          <w:bCs/>
          <w:sz w:val="28"/>
          <w:szCs w:val="28"/>
        </w:rPr>
        <w:t>Module code</w:t>
      </w:r>
      <w:r w:rsidRPr="00CB7AC7">
        <w:rPr>
          <w:rFonts w:ascii="Arial" w:hAnsi="Arial" w:cs="Arial"/>
          <w:sz w:val="28"/>
          <w:szCs w:val="28"/>
        </w:rPr>
        <w:t>:</w:t>
      </w:r>
      <w:r w:rsidR="00EE6E66">
        <w:rPr>
          <w:rFonts w:ascii="Arial" w:hAnsi="Arial" w:cs="Arial"/>
          <w:sz w:val="28"/>
          <w:szCs w:val="28"/>
        </w:rPr>
        <w:t xml:space="preserve"> </w:t>
      </w:r>
      <w:r w:rsidR="00121688">
        <w:rPr>
          <w:rFonts w:ascii="Arial" w:hAnsi="Arial" w:cs="Arial"/>
          <w:sz w:val="28"/>
          <w:szCs w:val="28"/>
        </w:rPr>
        <w:t>LCHS4003</w:t>
      </w:r>
    </w:p>
    <w:p w14:paraId="529D7354" w14:textId="77777777" w:rsidR="00CD33A8" w:rsidRPr="00CB7AC7" w:rsidRDefault="00CD33A8" w:rsidP="00CD33A8">
      <w:pPr>
        <w:tabs>
          <w:tab w:val="left" w:pos="6540"/>
        </w:tabs>
        <w:spacing w:line="360" w:lineRule="auto"/>
        <w:rPr>
          <w:rFonts w:ascii="Arial" w:hAnsi="Arial" w:cs="Arial"/>
          <w:b/>
          <w:bCs/>
          <w:sz w:val="28"/>
          <w:szCs w:val="28"/>
        </w:rPr>
      </w:pPr>
    </w:p>
    <w:p w14:paraId="0A48766D" w14:textId="1CE690A6" w:rsidR="00074402" w:rsidRPr="00CB7AC7" w:rsidRDefault="00074402" w:rsidP="00CD33A8">
      <w:pPr>
        <w:tabs>
          <w:tab w:val="left" w:pos="6540"/>
        </w:tabs>
        <w:spacing w:line="360" w:lineRule="auto"/>
        <w:rPr>
          <w:rFonts w:ascii="Arial" w:hAnsi="Arial" w:cs="Arial"/>
          <w:sz w:val="28"/>
          <w:szCs w:val="28"/>
        </w:rPr>
      </w:pPr>
      <w:r w:rsidRPr="00CB7AC7">
        <w:rPr>
          <w:rFonts w:ascii="Arial" w:hAnsi="Arial" w:cs="Arial"/>
          <w:b/>
          <w:bCs/>
          <w:sz w:val="28"/>
          <w:szCs w:val="28"/>
        </w:rPr>
        <w:t>Student name</w:t>
      </w:r>
      <w:r w:rsidRPr="00CB7AC7">
        <w:rPr>
          <w:rFonts w:ascii="Arial" w:hAnsi="Arial" w:cs="Arial"/>
          <w:sz w:val="28"/>
          <w:szCs w:val="28"/>
        </w:rPr>
        <w:t>:</w:t>
      </w:r>
      <w:r w:rsidR="003B5068">
        <w:rPr>
          <w:rFonts w:ascii="Arial" w:hAnsi="Arial" w:cs="Arial"/>
          <w:sz w:val="28"/>
          <w:szCs w:val="28"/>
        </w:rPr>
        <w:t xml:space="preserve"> Sevda </w:t>
      </w:r>
      <w:proofErr w:type="spellStart"/>
      <w:r w:rsidR="003B5068">
        <w:rPr>
          <w:rFonts w:ascii="Arial" w:hAnsi="Arial" w:cs="Arial"/>
          <w:sz w:val="28"/>
          <w:szCs w:val="28"/>
        </w:rPr>
        <w:t>Martinova</w:t>
      </w:r>
      <w:proofErr w:type="spellEnd"/>
      <w:r w:rsidR="003B5068">
        <w:rPr>
          <w:rFonts w:ascii="Arial" w:hAnsi="Arial" w:cs="Arial"/>
          <w:sz w:val="28"/>
          <w:szCs w:val="28"/>
        </w:rPr>
        <w:t xml:space="preserve"> </w:t>
      </w:r>
      <w:proofErr w:type="spellStart"/>
      <w:r w:rsidR="003B5068">
        <w:rPr>
          <w:rFonts w:ascii="Arial" w:hAnsi="Arial" w:cs="Arial"/>
          <w:sz w:val="28"/>
          <w:szCs w:val="28"/>
        </w:rPr>
        <w:t>Alendieva</w:t>
      </w:r>
      <w:proofErr w:type="spellEnd"/>
    </w:p>
    <w:p w14:paraId="39AA4413" w14:textId="3E015AE9" w:rsidR="00074402" w:rsidRPr="00CB7AC7" w:rsidRDefault="00074402" w:rsidP="00CD33A8">
      <w:pPr>
        <w:tabs>
          <w:tab w:val="left" w:pos="6540"/>
        </w:tabs>
        <w:spacing w:line="360" w:lineRule="auto"/>
        <w:rPr>
          <w:rFonts w:ascii="Arial" w:hAnsi="Arial" w:cs="Arial"/>
          <w:sz w:val="28"/>
          <w:szCs w:val="28"/>
        </w:rPr>
      </w:pPr>
      <w:r w:rsidRPr="00CB7AC7">
        <w:rPr>
          <w:rFonts w:ascii="Arial" w:hAnsi="Arial" w:cs="Arial"/>
          <w:b/>
          <w:bCs/>
          <w:sz w:val="28"/>
          <w:szCs w:val="28"/>
        </w:rPr>
        <w:t>Student ID</w:t>
      </w:r>
      <w:r w:rsidRPr="00CB7AC7">
        <w:rPr>
          <w:rFonts w:ascii="Arial" w:hAnsi="Arial" w:cs="Arial"/>
          <w:sz w:val="28"/>
          <w:szCs w:val="28"/>
        </w:rPr>
        <w:t>:</w:t>
      </w:r>
      <w:r w:rsidR="00EE6E66">
        <w:rPr>
          <w:rFonts w:ascii="Arial" w:hAnsi="Arial" w:cs="Arial"/>
          <w:sz w:val="28"/>
          <w:szCs w:val="28"/>
        </w:rPr>
        <w:t xml:space="preserve"> 2532539</w:t>
      </w:r>
    </w:p>
    <w:p w14:paraId="5E81F6AD" w14:textId="77777777" w:rsidR="00074402" w:rsidRPr="00CB7AC7" w:rsidRDefault="00074402" w:rsidP="00CD33A8">
      <w:pPr>
        <w:tabs>
          <w:tab w:val="left" w:pos="6540"/>
        </w:tabs>
        <w:spacing w:line="360" w:lineRule="auto"/>
        <w:rPr>
          <w:rFonts w:ascii="Arial" w:hAnsi="Arial" w:cs="Arial"/>
          <w:sz w:val="28"/>
          <w:szCs w:val="28"/>
        </w:rPr>
      </w:pPr>
    </w:p>
    <w:p w14:paraId="1A0B2D2B" w14:textId="2A8F90BB" w:rsidR="00074402" w:rsidRPr="00CB7AC7" w:rsidRDefault="008E3943" w:rsidP="00CD33A8">
      <w:pPr>
        <w:tabs>
          <w:tab w:val="left" w:pos="6540"/>
        </w:tabs>
        <w:spacing w:line="360" w:lineRule="auto"/>
        <w:rPr>
          <w:rFonts w:ascii="Arial" w:hAnsi="Arial" w:cs="Arial"/>
          <w:sz w:val="28"/>
          <w:szCs w:val="28"/>
        </w:rPr>
      </w:pPr>
      <w:r w:rsidRPr="00CB7AC7">
        <w:rPr>
          <w:rFonts w:ascii="Arial" w:hAnsi="Arial" w:cs="Arial"/>
          <w:b/>
          <w:bCs/>
          <w:sz w:val="28"/>
          <w:szCs w:val="28"/>
        </w:rPr>
        <w:t>Lecturer’s name</w:t>
      </w:r>
      <w:r w:rsidR="00074402" w:rsidRPr="00CB7AC7">
        <w:rPr>
          <w:rFonts w:ascii="Arial" w:hAnsi="Arial" w:cs="Arial"/>
          <w:sz w:val="28"/>
          <w:szCs w:val="28"/>
        </w:rPr>
        <w:t>:</w:t>
      </w:r>
      <w:r w:rsidR="00EE6E66">
        <w:rPr>
          <w:rFonts w:ascii="Arial" w:hAnsi="Arial" w:cs="Arial"/>
          <w:sz w:val="28"/>
          <w:szCs w:val="28"/>
        </w:rPr>
        <w:t xml:space="preserve"> </w:t>
      </w:r>
      <w:r w:rsidR="00E27ADE">
        <w:rPr>
          <w:rFonts w:ascii="Arial" w:hAnsi="Arial" w:cs="Arial"/>
          <w:sz w:val="28"/>
          <w:szCs w:val="28"/>
        </w:rPr>
        <w:t>Mr Sam PARKER</w:t>
      </w:r>
    </w:p>
    <w:p w14:paraId="39D08584" w14:textId="4F693310" w:rsidR="00074402" w:rsidRPr="00125EFE" w:rsidRDefault="0055148B" w:rsidP="00CD33A8">
      <w:pPr>
        <w:tabs>
          <w:tab w:val="left" w:pos="6540"/>
        </w:tabs>
        <w:spacing w:line="360" w:lineRule="auto"/>
        <w:rPr>
          <w:rFonts w:ascii="Arial" w:hAnsi="Arial" w:cs="Arial"/>
          <w:b/>
          <w:bCs/>
          <w:sz w:val="28"/>
          <w:szCs w:val="28"/>
        </w:rPr>
      </w:pPr>
      <w:r w:rsidRPr="00125EFE">
        <w:rPr>
          <w:rFonts w:ascii="Arial" w:hAnsi="Arial" w:cs="Arial"/>
          <w:b/>
          <w:bCs/>
          <w:sz w:val="28"/>
          <w:szCs w:val="28"/>
        </w:rPr>
        <w:t>Assi</w:t>
      </w:r>
      <w:r w:rsidR="00202930" w:rsidRPr="00125EFE">
        <w:rPr>
          <w:rFonts w:ascii="Arial" w:hAnsi="Arial" w:cs="Arial"/>
          <w:b/>
          <w:bCs/>
          <w:sz w:val="28"/>
          <w:szCs w:val="28"/>
        </w:rPr>
        <w:t>gnment Title</w:t>
      </w:r>
      <w:r w:rsidR="00125EFE" w:rsidRPr="00CB7AC7">
        <w:rPr>
          <w:rFonts w:ascii="Arial" w:hAnsi="Arial" w:cs="Arial"/>
          <w:sz w:val="28"/>
          <w:szCs w:val="28"/>
        </w:rPr>
        <w:t>:</w:t>
      </w:r>
      <w:r w:rsidR="00125EFE">
        <w:rPr>
          <w:rFonts w:ascii="Arial" w:hAnsi="Arial" w:cs="Arial"/>
          <w:sz w:val="28"/>
          <w:szCs w:val="28"/>
        </w:rPr>
        <w:t xml:space="preserve"> </w:t>
      </w:r>
      <w:r w:rsidR="000F60B8">
        <w:rPr>
          <w:rFonts w:ascii="Arial" w:hAnsi="Arial" w:cs="Arial"/>
          <w:sz w:val="28"/>
          <w:szCs w:val="28"/>
        </w:rPr>
        <w:t xml:space="preserve">Component 2 – Written </w:t>
      </w:r>
      <w:r w:rsidR="0058228E">
        <w:rPr>
          <w:rFonts w:ascii="Arial" w:hAnsi="Arial" w:cs="Arial"/>
          <w:sz w:val="28"/>
          <w:szCs w:val="28"/>
        </w:rPr>
        <w:t>Assignment</w:t>
      </w:r>
    </w:p>
    <w:p w14:paraId="5B66D125" w14:textId="77777777" w:rsidR="00074402" w:rsidRPr="00CB7AC7" w:rsidRDefault="00074402" w:rsidP="00CD33A8">
      <w:pPr>
        <w:tabs>
          <w:tab w:val="left" w:pos="6540"/>
        </w:tabs>
        <w:spacing w:line="360" w:lineRule="auto"/>
        <w:rPr>
          <w:rFonts w:asciiTheme="minorBidi" w:hAnsiTheme="minorBidi"/>
          <w:sz w:val="22"/>
        </w:rPr>
      </w:pPr>
    </w:p>
    <w:p w14:paraId="291524A2" w14:textId="2CBFF360" w:rsidR="00074402" w:rsidRPr="00CB7AC7" w:rsidRDefault="00074402" w:rsidP="00CD33A8">
      <w:pPr>
        <w:tabs>
          <w:tab w:val="left" w:pos="6540"/>
        </w:tabs>
        <w:spacing w:line="360" w:lineRule="auto"/>
        <w:rPr>
          <w:rFonts w:asciiTheme="minorBidi" w:hAnsiTheme="minorBidi"/>
          <w:sz w:val="22"/>
        </w:rPr>
      </w:pPr>
    </w:p>
    <w:p w14:paraId="5AE88297" w14:textId="24E6B718" w:rsidR="00B87E75" w:rsidRPr="00CB7AC7" w:rsidRDefault="00B87E75" w:rsidP="00CD33A8">
      <w:pPr>
        <w:tabs>
          <w:tab w:val="left" w:pos="6540"/>
        </w:tabs>
        <w:spacing w:line="360" w:lineRule="auto"/>
        <w:rPr>
          <w:rFonts w:asciiTheme="minorBidi" w:hAnsiTheme="minorBidi"/>
          <w:sz w:val="22"/>
        </w:rPr>
      </w:pPr>
    </w:p>
    <w:p w14:paraId="420ADE33" w14:textId="35FB1322" w:rsidR="00B87E75" w:rsidRPr="00CB7AC7" w:rsidRDefault="00B87E75" w:rsidP="00CD33A8">
      <w:pPr>
        <w:spacing w:line="360" w:lineRule="auto"/>
        <w:rPr>
          <w:rFonts w:asciiTheme="minorBidi" w:hAnsiTheme="minorBidi"/>
          <w:sz w:val="22"/>
        </w:rPr>
      </w:pPr>
      <w:r w:rsidRPr="00CB7AC7">
        <w:rPr>
          <w:rFonts w:asciiTheme="minorBidi" w:hAnsiTheme="minorBidi"/>
          <w:sz w:val="22"/>
        </w:rPr>
        <w:br w:type="page"/>
      </w:r>
    </w:p>
    <w:p w14:paraId="05AB2C84" w14:textId="4D2C1F1C" w:rsidR="00B87E75" w:rsidRDefault="00B87E75" w:rsidP="00E620E7">
      <w:pPr>
        <w:pStyle w:val="Heading1"/>
      </w:pPr>
      <w:r w:rsidRPr="00CB7AC7">
        <w:lastRenderedPageBreak/>
        <w:t>Table of contents</w:t>
      </w:r>
    </w:p>
    <w:p w14:paraId="6A21B400" w14:textId="0085CB4C" w:rsidR="00E063BE" w:rsidRPr="00C72355" w:rsidRDefault="00630651" w:rsidP="00E35E18">
      <w:pPr>
        <w:pStyle w:val="ListParagraph"/>
        <w:numPr>
          <w:ilvl w:val="0"/>
          <w:numId w:val="3"/>
        </w:numPr>
        <w:spacing w:line="360" w:lineRule="auto"/>
        <w:rPr>
          <w:rFonts w:ascii="Arial" w:hAnsi="Arial" w:cs="Arial"/>
          <w:b/>
          <w:sz w:val="28"/>
          <w:szCs w:val="28"/>
        </w:rPr>
      </w:pPr>
      <w:r w:rsidRPr="00C72355">
        <w:rPr>
          <w:rFonts w:ascii="Arial" w:hAnsi="Arial" w:cs="Arial"/>
          <w:sz w:val="28"/>
          <w:szCs w:val="28"/>
        </w:rPr>
        <w:t>Introduction</w:t>
      </w:r>
      <w:r w:rsidR="00233251" w:rsidRPr="00C72355">
        <w:rPr>
          <w:rFonts w:ascii="Arial" w:hAnsi="Arial" w:cs="Arial"/>
          <w:sz w:val="28"/>
          <w:szCs w:val="28"/>
        </w:rPr>
        <w:t xml:space="preserve"> ……………</w:t>
      </w:r>
      <w:r w:rsidR="00E10F8D" w:rsidRPr="00C72355">
        <w:rPr>
          <w:rFonts w:ascii="Arial" w:hAnsi="Arial" w:cs="Arial"/>
          <w:sz w:val="28"/>
          <w:szCs w:val="28"/>
        </w:rPr>
        <w:t>……………………………</w:t>
      </w:r>
      <w:proofErr w:type="gramStart"/>
      <w:r w:rsidR="00C72355">
        <w:rPr>
          <w:rFonts w:ascii="Arial" w:hAnsi="Arial" w:cs="Arial"/>
          <w:sz w:val="28"/>
          <w:szCs w:val="28"/>
        </w:rPr>
        <w:t>…..</w:t>
      </w:r>
      <w:proofErr w:type="gramEnd"/>
      <w:r w:rsidR="009E2150" w:rsidRPr="00C72355">
        <w:rPr>
          <w:rFonts w:ascii="Arial" w:hAnsi="Arial" w:cs="Arial"/>
          <w:sz w:val="28"/>
          <w:szCs w:val="28"/>
        </w:rPr>
        <w:t>…</w:t>
      </w:r>
      <w:r w:rsidR="005E6FF4" w:rsidRPr="00C72355">
        <w:rPr>
          <w:rFonts w:ascii="Arial" w:hAnsi="Arial" w:cs="Arial"/>
          <w:sz w:val="28"/>
          <w:szCs w:val="28"/>
        </w:rPr>
        <w:t xml:space="preserve"> </w:t>
      </w:r>
      <w:r w:rsidR="00E063BE" w:rsidRPr="00C72355">
        <w:rPr>
          <w:rFonts w:ascii="Arial" w:hAnsi="Arial" w:cs="Arial"/>
          <w:sz w:val="28"/>
          <w:szCs w:val="28"/>
        </w:rPr>
        <w:t>3</w:t>
      </w:r>
    </w:p>
    <w:p w14:paraId="55FD487A" w14:textId="1DB94903" w:rsidR="000817C7" w:rsidRPr="00C72355" w:rsidRDefault="005E6FF4" w:rsidP="00E35E18">
      <w:pPr>
        <w:pStyle w:val="ListParagraph"/>
        <w:numPr>
          <w:ilvl w:val="0"/>
          <w:numId w:val="3"/>
        </w:numPr>
        <w:spacing w:line="360" w:lineRule="auto"/>
        <w:rPr>
          <w:rFonts w:ascii="Arial" w:hAnsi="Arial" w:cs="Arial"/>
          <w:bCs/>
          <w:sz w:val="28"/>
          <w:szCs w:val="28"/>
        </w:rPr>
      </w:pPr>
      <w:r w:rsidRPr="00C72355">
        <w:rPr>
          <w:rFonts w:ascii="Arial" w:hAnsi="Arial" w:cs="Arial"/>
          <w:bCs/>
          <w:sz w:val="28"/>
          <w:szCs w:val="28"/>
        </w:rPr>
        <w:t xml:space="preserve">Importance of </w:t>
      </w:r>
      <w:r w:rsidR="00980756" w:rsidRPr="00C72355">
        <w:rPr>
          <w:rFonts w:ascii="Arial" w:hAnsi="Arial" w:cs="Arial"/>
          <w:bCs/>
          <w:sz w:val="28"/>
          <w:szCs w:val="28"/>
        </w:rPr>
        <w:t>E</w:t>
      </w:r>
      <w:r w:rsidRPr="00C72355">
        <w:rPr>
          <w:rFonts w:ascii="Arial" w:hAnsi="Arial" w:cs="Arial"/>
          <w:bCs/>
          <w:sz w:val="28"/>
          <w:szCs w:val="28"/>
        </w:rPr>
        <w:t xml:space="preserve">ffective </w:t>
      </w:r>
      <w:r w:rsidR="00980756" w:rsidRPr="00C72355">
        <w:rPr>
          <w:rFonts w:ascii="Arial" w:hAnsi="Arial" w:cs="Arial"/>
          <w:bCs/>
          <w:sz w:val="28"/>
          <w:szCs w:val="28"/>
        </w:rPr>
        <w:t>C</w:t>
      </w:r>
      <w:r w:rsidRPr="00C72355">
        <w:rPr>
          <w:rFonts w:ascii="Arial" w:hAnsi="Arial" w:cs="Arial"/>
          <w:bCs/>
          <w:sz w:val="28"/>
          <w:szCs w:val="28"/>
        </w:rPr>
        <w:t>ommunication</w:t>
      </w:r>
      <w:r w:rsidR="00E10F8D" w:rsidRPr="00C72355">
        <w:rPr>
          <w:rFonts w:ascii="Arial" w:hAnsi="Arial" w:cs="Arial"/>
          <w:bCs/>
          <w:sz w:val="28"/>
          <w:szCs w:val="28"/>
        </w:rPr>
        <w:t xml:space="preserve"> ………</w:t>
      </w:r>
      <w:r w:rsidR="007A1556" w:rsidRPr="00C72355">
        <w:rPr>
          <w:rFonts w:ascii="Arial" w:hAnsi="Arial" w:cs="Arial"/>
          <w:bCs/>
          <w:sz w:val="28"/>
          <w:szCs w:val="28"/>
        </w:rPr>
        <w:t>…</w:t>
      </w:r>
      <w:r w:rsidR="00114636" w:rsidRPr="00C72355">
        <w:rPr>
          <w:rFonts w:ascii="Arial" w:hAnsi="Arial" w:cs="Arial"/>
          <w:bCs/>
          <w:sz w:val="28"/>
          <w:szCs w:val="28"/>
        </w:rPr>
        <w:t>…</w:t>
      </w:r>
      <w:proofErr w:type="gramStart"/>
      <w:r w:rsidR="00114636" w:rsidRPr="00C72355">
        <w:rPr>
          <w:rFonts w:ascii="Arial" w:hAnsi="Arial" w:cs="Arial"/>
          <w:bCs/>
          <w:sz w:val="28"/>
          <w:szCs w:val="28"/>
        </w:rPr>
        <w:t>….</w:t>
      </w:r>
      <w:r w:rsidR="00386820" w:rsidRPr="00C72355">
        <w:rPr>
          <w:rFonts w:ascii="Arial" w:hAnsi="Arial" w:cs="Arial"/>
          <w:bCs/>
          <w:sz w:val="28"/>
          <w:szCs w:val="28"/>
        </w:rPr>
        <w:t>.</w:t>
      </w:r>
      <w:proofErr w:type="gramEnd"/>
      <w:r w:rsidR="004A0BB4" w:rsidRPr="00C72355">
        <w:rPr>
          <w:rFonts w:ascii="Arial" w:hAnsi="Arial" w:cs="Arial"/>
          <w:bCs/>
          <w:sz w:val="28"/>
          <w:szCs w:val="28"/>
        </w:rPr>
        <w:t xml:space="preserve"> </w:t>
      </w:r>
      <w:r w:rsidR="00E10F8D" w:rsidRPr="00C72355">
        <w:rPr>
          <w:rFonts w:ascii="Arial" w:hAnsi="Arial" w:cs="Arial"/>
          <w:bCs/>
          <w:sz w:val="28"/>
          <w:szCs w:val="28"/>
        </w:rPr>
        <w:t>3</w:t>
      </w:r>
    </w:p>
    <w:p w14:paraId="2A53E035" w14:textId="7391B215" w:rsidR="005E6FF4" w:rsidRPr="00C72355" w:rsidRDefault="007C0A56" w:rsidP="00E35E18">
      <w:pPr>
        <w:pStyle w:val="ListParagraph"/>
        <w:numPr>
          <w:ilvl w:val="0"/>
          <w:numId w:val="3"/>
        </w:numPr>
        <w:spacing w:line="360" w:lineRule="auto"/>
        <w:rPr>
          <w:rFonts w:ascii="Arial" w:hAnsi="Arial" w:cs="Arial"/>
          <w:bCs/>
          <w:sz w:val="28"/>
          <w:szCs w:val="28"/>
        </w:rPr>
      </w:pPr>
      <w:r w:rsidRPr="00C72355">
        <w:rPr>
          <w:rFonts w:ascii="Arial" w:hAnsi="Arial" w:cs="Arial"/>
          <w:bCs/>
          <w:sz w:val="28"/>
          <w:szCs w:val="28"/>
        </w:rPr>
        <w:t xml:space="preserve">Importance </w:t>
      </w:r>
      <w:r w:rsidR="00B20D4E" w:rsidRPr="00C72355">
        <w:rPr>
          <w:rFonts w:ascii="Arial" w:hAnsi="Arial" w:cs="Arial"/>
          <w:bCs/>
          <w:sz w:val="28"/>
          <w:szCs w:val="28"/>
        </w:rPr>
        <w:t>of Good Admi</w:t>
      </w:r>
      <w:r w:rsidR="009315B6" w:rsidRPr="00C72355">
        <w:rPr>
          <w:rFonts w:ascii="Arial" w:hAnsi="Arial" w:cs="Arial"/>
          <w:bCs/>
          <w:sz w:val="28"/>
          <w:szCs w:val="28"/>
        </w:rPr>
        <w:t>nistrative Skills</w:t>
      </w:r>
      <w:r w:rsidR="00980756" w:rsidRPr="00C72355">
        <w:rPr>
          <w:rFonts w:ascii="Arial" w:hAnsi="Arial" w:cs="Arial"/>
          <w:bCs/>
          <w:sz w:val="28"/>
          <w:szCs w:val="28"/>
        </w:rPr>
        <w:t xml:space="preserve"> …………</w:t>
      </w:r>
      <w:r w:rsidR="00114636" w:rsidRPr="00C72355">
        <w:rPr>
          <w:rFonts w:ascii="Arial" w:hAnsi="Arial" w:cs="Arial"/>
          <w:bCs/>
          <w:sz w:val="28"/>
          <w:szCs w:val="28"/>
        </w:rPr>
        <w:t>……</w:t>
      </w:r>
      <w:r w:rsidR="00BD7BE2" w:rsidRPr="00C72355">
        <w:rPr>
          <w:rFonts w:ascii="Arial" w:hAnsi="Arial" w:cs="Arial"/>
          <w:bCs/>
          <w:sz w:val="28"/>
          <w:szCs w:val="28"/>
        </w:rPr>
        <w:t xml:space="preserve"> 4</w:t>
      </w:r>
    </w:p>
    <w:p w14:paraId="773D1DED" w14:textId="2D78970C" w:rsidR="00BD7BE2" w:rsidRPr="00C72355" w:rsidRDefault="00BD7BE2" w:rsidP="00E35E18">
      <w:pPr>
        <w:pStyle w:val="ListParagraph"/>
        <w:numPr>
          <w:ilvl w:val="0"/>
          <w:numId w:val="3"/>
        </w:numPr>
        <w:spacing w:line="360" w:lineRule="auto"/>
        <w:rPr>
          <w:rFonts w:ascii="Arial" w:hAnsi="Arial" w:cs="Arial"/>
          <w:bCs/>
          <w:sz w:val="28"/>
          <w:szCs w:val="28"/>
        </w:rPr>
      </w:pPr>
      <w:r w:rsidRPr="00C72355">
        <w:rPr>
          <w:rFonts w:ascii="Arial" w:hAnsi="Arial" w:cs="Arial"/>
          <w:bCs/>
          <w:sz w:val="28"/>
          <w:szCs w:val="28"/>
        </w:rPr>
        <w:t>Importance of Working</w:t>
      </w:r>
      <w:r w:rsidR="00386820" w:rsidRPr="00C72355">
        <w:rPr>
          <w:rFonts w:ascii="Arial" w:hAnsi="Arial" w:cs="Arial"/>
          <w:bCs/>
          <w:sz w:val="28"/>
          <w:szCs w:val="28"/>
        </w:rPr>
        <w:t xml:space="preserve"> Collaboratively ……………</w:t>
      </w:r>
      <w:r w:rsidR="00712158" w:rsidRPr="00C72355">
        <w:rPr>
          <w:rFonts w:ascii="Arial" w:hAnsi="Arial" w:cs="Arial"/>
          <w:bCs/>
          <w:sz w:val="28"/>
          <w:szCs w:val="28"/>
        </w:rPr>
        <w:t>……</w:t>
      </w:r>
      <w:r w:rsidR="00142FFA" w:rsidRPr="00C72355">
        <w:rPr>
          <w:rFonts w:ascii="Arial" w:hAnsi="Arial" w:cs="Arial"/>
          <w:bCs/>
          <w:sz w:val="28"/>
          <w:szCs w:val="28"/>
        </w:rPr>
        <w:t xml:space="preserve"> 5</w:t>
      </w:r>
    </w:p>
    <w:p w14:paraId="0FEA8165" w14:textId="0E9AF52E" w:rsidR="00C50515" w:rsidRPr="00C72355" w:rsidRDefault="00C50515" w:rsidP="00E35E18">
      <w:pPr>
        <w:pStyle w:val="ListParagraph"/>
        <w:numPr>
          <w:ilvl w:val="0"/>
          <w:numId w:val="3"/>
        </w:numPr>
        <w:spacing w:line="360" w:lineRule="auto"/>
        <w:rPr>
          <w:rFonts w:ascii="Arial" w:hAnsi="Arial" w:cs="Arial"/>
          <w:bCs/>
          <w:sz w:val="28"/>
          <w:szCs w:val="28"/>
        </w:rPr>
      </w:pPr>
      <w:r w:rsidRPr="00C72355">
        <w:rPr>
          <w:rFonts w:ascii="Arial" w:hAnsi="Arial" w:cs="Arial"/>
          <w:bCs/>
          <w:sz w:val="28"/>
          <w:szCs w:val="28"/>
        </w:rPr>
        <w:t>Conclusion ………………………………………</w:t>
      </w:r>
      <w:proofErr w:type="gramStart"/>
      <w:r w:rsidR="00712158" w:rsidRPr="00C72355">
        <w:rPr>
          <w:rFonts w:ascii="Arial" w:hAnsi="Arial" w:cs="Arial"/>
          <w:bCs/>
          <w:sz w:val="28"/>
          <w:szCs w:val="28"/>
        </w:rPr>
        <w:t>…..</w:t>
      </w:r>
      <w:proofErr w:type="gramEnd"/>
      <w:r w:rsidRPr="00C72355">
        <w:rPr>
          <w:rFonts w:ascii="Arial" w:hAnsi="Arial" w:cs="Arial"/>
          <w:bCs/>
          <w:sz w:val="28"/>
          <w:szCs w:val="28"/>
        </w:rPr>
        <w:t>…</w:t>
      </w:r>
      <w:proofErr w:type="gramStart"/>
      <w:r w:rsidR="00023F80" w:rsidRPr="00C72355">
        <w:rPr>
          <w:rFonts w:ascii="Arial" w:hAnsi="Arial" w:cs="Arial"/>
          <w:bCs/>
          <w:sz w:val="28"/>
          <w:szCs w:val="28"/>
        </w:rPr>
        <w:t>…..</w:t>
      </w:r>
      <w:proofErr w:type="gramEnd"/>
      <w:r w:rsidR="00023F80" w:rsidRPr="00C72355">
        <w:rPr>
          <w:rFonts w:ascii="Arial" w:hAnsi="Arial" w:cs="Arial"/>
          <w:bCs/>
          <w:sz w:val="28"/>
          <w:szCs w:val="28"/>
        </w:rPr>
        <w:t xml:space="preserve"> </w:t>
      </w:r>
      <w:r w:rsidRPr="00C72355">
        <w:rPr>
          <w:rFonts w:ascii="Arial" w:hAnsi="Arial" w:cs="Arial"/>
          <w:bCs/>
          <w:sz w:val="28"/>
          <w:szCs w:val="28"/>
        </w:rPr>
        <w:t>6</w:t>
      </w:r>
    </w:p>
    <w:p w14:paraId="0819C0BD" w14:textId="04CE3370" w:rsidR="00E35E18" w:rsidRPr="00C72355" w:rsidRDefault="009F295D" w:rsidP="009F295D">
      <w:pPr>
        <w:pStyle w:val="ListParagraph"/>
        <w:spacing w:line="360" w:lineRule="auto"/>
        <w:ind w:left="643"/>
        <w:rPr>
          <w:rFonts w:ascii="Arial" w:hAnsi="Arial" w:cs="Arial"/>
          <w:bCs/>
          <w:sz w:val="28"/>
          <w:szCs w:val="28"/>
        </w:rPr>
      </w:pPr>
      <w:r w:rsidRPr="00C72355">
        <w:rPr>
          <w:rFonts w:ascii="Arial" w:hAnsi="Arial" w:cs="Arial"/>
          <w:bCs/>
          <w:sz w:val="28"/>
          <w:szCs w:val="28"/>
        </w:rPr>
        <w:t>References ………………………………………………</w:t>
      </w:r>
      <w:r w:rsidR="00712158" w:rsidRPr="00C72355">
        <w:rPr>
          <w:rFonts w:ascii="Arial" w:hAnsi="Arial" w:cs="Arial"/>
          <w:bCs/>
          <w:sz w:val="28"/>
          <w:szCs w:val="28"/>
        </w:rPr>
        <w:t>…</w:t>
      </w:r>
      <w:r w:rsidR="00712158">
        <w:rPr>
          <w:rFonts w:ascii="Arial" w:hAnsi="Arial" w:cs="Arial"/>
          <w:bCs/>
          <w:sz w:val="22"/>
        </w:rPr>
        <w:t xml:space="preserve"> </w:t>
      </w:r>
      <w:r w:rsidR="001F5F1C" w:rsidRPr="00C72355">
        <w:rPr>
          <w:rFonts w:ascii="Arial" w:hAnsi="Arial" w:cs="Arial"/>
          <w:bCs/>
          <w:sz w:val="28"/>
          <w:szCs w:val="28"/>
        </w:rPr>
        <w:t>7</w:t>
      </w:r>
    </w:p>
    <w:p w14:paraId="13E00080" w14:textId="137FF22A" w:rsidR="00B87E75" w:rsidRPr="00CB7AC7" w:rsidRDefault="00B87E75" w:rsidP="00CD33A8">
      <w:pPr>
        <w:spacing w:line="360" w:lineRule="auto"/>
        <w:rPr>
          <w:rFonts w:asciiTheme="minorBidi" w:hAnsiTheme="minorBidi"/>
          <w:sz w:val="22"/>
        </w:rPr>
      </w:pPr>
    </w:p>
    <w:p w14:paraId="2E79F7ED" w14:textId="182913C0" w:rsidR="00B87E75" w:rsidRPr="00CB7AC7" w:rsidRDefault="00B87E75" w:rsidP="00CD33A8">
      <w:pPr>
        <w:spacing w:line="360" w:lineRule="auto"/>
        <w:rPr>
          <w:rFonts w:asciiTheme="minorBidi" w:hAnsiTheme="minorBidi"/>
          <w:sz w:val="22"/>
        </w:rPr>
      </w:pPr>
    </w:p>
    <w:p w14:paraId="7AE771D5" w14:textId="1C06E45A" w:rsidR="00B87E75" w:rsidRPr="00CB7AC7" w:rsidRDefault="00B87E75" w:rsidP="00CD33A8">
      <w:pPr>
        <w:spacing w:line="360" w:lineRule="auto"/>
        <w:rPr>
          <w:rFonts w:asciiTheme="minorBidi" w:hAnsiTheme="minorBidi"/>
          <w:sz w:val="22"/>
        </w:rPr>
      </w:pPr>
    </w:p>
    <w:p w14:paraId="4F7320CB" w14:textId="000D21B8" w:rsidR="00B87E75" w:rsidRPr="00CB7AC7" w:rsidRDefault="00B87E75" w:rsidP="00CD33A8">
      <w:pPr>
        <w:spacing w:line="360" w:lineRule="auto"/>
        <w:rPr>
          <w:rFonts w:asciiTheme="minorBidi" w:hAnsiTheme="minorBidi"/>
          <w:sz w:val="22"/>
        </w:rPr>
      </w:pPr>
      <w:r w:rsidRPr="00CB7AC7">
        <w:rPr>
          <w:rFonts w:asciiTheme="minorBidi" w:hAnsiTheme="minorBidi"/>
          <w:sz w:val="22"/>
        </w:rPr>
        <w:br w:type="page"/>
      </w:r>
    </w:p>
    <w:p w14:paraId="12D76753" w14:textId="2C05F8AC" w:rsidR="00B87E75" w:rsidRPr="00CB7AC7" w:rsidRDefault="00B87E75" w:rsidP="00A51759">
      <w:pPr>
        <w:pStyle w:val="Heading1"/>
        <w:numPr>
          <w:ilvl w:val="0"/>
          <w:numId w:val="1"/>
        </w:numPr>
      </w:pPr>
      <w:r w:rsidRPr="00CB7AC7">
        <w:lastRenderedPageBreak/>
        <w:t>Introduction</w:t>
      </w:r>
      <w:r w:rsidR="00A51759" w:rsidRPr="00CB7AC7">
        <w:t xml:space="preserve"> </w:t>
      </w:r>
    </w:p>
    <w:p w14:paraId="12B430A4" w14:textId="0B0F484E" w:rsidR="00910B3D" w:rsidRPr="00CB7AC7" w:rsidRDefault="00A51759" w:rsidP="007F37DE">
      <w:pPr>
        <w:spacing w:line="360" w:lineRule="auto"/>
        <w:rPr>
          <w:rFonts w:ascii="Arial" w:hAnsi="Arial" w:cs="Arial"/>
          <w:sz w:val="22"/>
        </w:rPr>
      </w:pPr>
      <w:r w:rsidRPr="00CB7AC7">
        <w:rPr>
          <w:rFonts w:ascii="Arial" w:hAnsi="Arial" w:cs="Arial"/>
          <w:sz w:val="22"/>
        </w:rPr>
        <w:t xml:space="preserve">Effective health and social care </w:t>
      </w:r>
      <w:r w:rsidR="0047156C" w:rsidRPr="00CB7AC7">
        <w:rPr>
          <w:rFonts w:ascii="Arial" w:hAnsi="Arial" w:cs="Arial"/>
          <w:sz w:val="22"/>
        </w:rPr>
        <w:t>depend</w:t>
      </w:r>
      <w:r w:rsidRPr="00CB7AC7">
        <w:rPr>
          <w:rFonts w:ascii="Arial" w:hAnsi="Arial" w:cs="Arial"/>
          <w:sz w:val="22"/>
        </w:rPr>
        <w:t xml:space="preserve"> on more than meeting a person’s immediate physical needs. Good communication, accurate record keeping and collaboration between professionals are also needed to provide safe and person-centred support. This is particularly important for older people with complex needs who receive care from several services. Mrs Thompson is 84 years old and has recently returned home after being treated in hospital for pneumonia. As she has mild dementia and sometimes forgets her medication, the recent missed doses and incident of going outside without suitable clothing raise concerns about her safety and the level of support she requires. This report will discuss how effective communication can support Mrs Thompson and her family, with reference to the Equality Act 2010 and Berlo’s communication model. It will also consider administrative practice, record keeping and data protection, before examining how collaborative working between the professionals involved can contribute to safer and more coordinated care.</w:t>
      </w:r>
    </w:p>
    <w:p w14:paraId="58AC6FC5" w14:textId="6A4FEC07" w:rsidR="00F24E82" w:rsidRPr="00CB7AC7" w:rsidRDefault="008E3943" w:rsidP="00910B3D">
      <w:pPr>
        <w:pStyle w:val="Heading1"/>
        <w:numPr>
          <w:ilvl w:val="0"/>
          <w:numId w:val="1"/>
        </w:numPr>
      </w:pPr>
      <w:r w:rsidRPr="00CB7AC7">
        <w:t>Importance of effective communication</w:t>
      </w:r>
    </w:p>
    <w:p w14:paraId="7899B1D7" w14:textId="77777777" w:rsidR="00910B3D" w:rsidRPr="00CB7AC7" w:rsidRDefault="00910B3D" w:rsidP="00910B3D">
      <w:pPr>
        <w:tabs>
          <w:tab w:val="left" w:pos="6540"/>
        </w:tabs>
        <w:spacing w:line="360" w:lineRule="auto"/>
        <w:rPr>
          <w:rFonts w:ascii="Arial" w:hAnsi="Arial" w:cs="Arial"/>
          <w:sz w:val="22"/>
        </w:rPr>
      </w:pPr>
      <w:r w:rsidRPr="00CB7AC7">
        <w:rPr>
          <w:rFonts w:ascii="Arial" w:hAnsi="Arial" w:cs="Arial"/>
          <w:sz w:val="22"/>
        </w:rPr>
        <w:t>Effective communication is an important part of safe and person-centred care because it helps professionals understand a service user’s needs, explain care clearly and recognise changes that may require further support. Communication should be clear, respectful, patient and two-way, while being adapted to the individual rather than using the same approach with everyone. This is particularly relevant to Mrs Thompson because mild dementia may affect how she understands, remembers and responds to information. NICE (2018) recommends supporting people with dementia to express their views and remain involved in decisions about their care. Carers should therefore communicate directly with Mrs Thompson and not assume that dementia prevents her from participating.</w:t>
      </w:r>
    </w:p>
    <w:p w14:paraId="3B486C6F" w14:textId="77777777" w:rsidR="00910B3D" w:rsidRPr="00CB7AC7" w:rsidRDefault="00910B3D" w:rsidP="00910B3D">
      <w:pPr>
        <w:tabs>
          <w:tab w:val="left" w:pos="6540"/>
        </w:tabs>
        <w:spacing w:line="360" w:lineRule="auto"/>
        <w:rPr>
          <w:rFonts w:ascii="Arial" w:hAnsi="Arial" w:cs="Arial"/>
          <w:sz w:val="22"/>
        </w:rPr>
      </w:pPr>
      <w:r w:rsidRPr="00CB7AC7">
        <w:rPr>
          <w:rFonts w:ascii="Arial" w:hAnsi="Arial" w:cs="Arial"/>
          <w:sz w:val="22"/>
        </w:rPr>
        <w:t>In practice, carers could use clear language, give Mrs Thompson enough time to respond and avoid providing too much information at once. Written reminders or visual prompts may also help with medication and daily routines. NICE (2018) recommends adapting communication when necessary, including the use of visual aids or simplified written information. Her family may provide useful information about her usual behaviour and preferences, especially after her recent illness. However, involving relatives should not replace Mrs Thompson’s own voice, and professionals should consider her wishes and consent when sharing information.</w:t>
      </w:r>
    </w:p>
    <w:p w14:paraId="6474A461" w14:textId="1AB8AA7F" w:rsidR="00910B3D" w:rsidRPr="00CB7AC7" w:rsidRDefault="00910B3D" w:rsidP="00910B3D">
      <w:pPr>
        <w:tabs>
          <w:tab w:val="left" w:pos="6540"/>
        </w:tabs>
        <w:spacing w:line="360" w:lineRule="auto"/>
        <w:rPr>
          <w:rFonts w:ascii="Arial" w:hAnsi="Arial" w:cs="Arial"/>
          <w:sz w:val="22"/>
        </w:rPr>
      </w:pPr>
      <w:r w:rsidRPr="00CB7AC7">
        <w:rPr>
          <w:rFonts w:ascii="Arial" w:hAnsi="Arial" w:cs="Arial"/>
          <w:sz w:val="22"/>
        </w:rPr>
        <w:t xml:space="preserve">The Equality Act 2010 is relevant because age and disability are protected characteristics and service providers have duties relating to reasonable adjustments for disabled people (Equality Act 2010). For Mrs Thompson, equitable practice does not mean communicating </w:t>
      </w:r>
      <w:r w:rsidRPr="00CB7AC7">
        <w:rPr>
          <w:rFonts w:ascii="Arial" w:hAnsi="Arial" w:cs="Arial"/>
          <w:sz w:val="22"/>
        </w:rPr>
        <w:lastRenderedPageBreak/>
        <w:t>with every service user in the same way. Instead, professionals should adjust their approach where necessary so that she has a fair opportunity to understand information and participate in her care. Providing information in a more accessible form could therefore reduce disadvantage associated with her dementia while maintaining dignity and involvement.</w:t>
      </w:r>
    </w:p>
    <w:p w14:paraId="69D31712" w14:textId="77777777" w:rsidR="00910B3D" w:rsidRPr="00CB7AC7" w:rsidRDefault="00910B3D" w:rsidP="00910B3D">
      <w:pPr>
        <w:tabs>
          <w:tab w:val="left" w:pos="6540"/>
        </w:tabs>
        <w:spacing w:line="360" w:lineRule="auto"/>
        <w:rPr>
          <w:rFonts w:ascii="Arial" w:hAnsi="Arial" w:cs="Arial"/>
          <w:sz w:val="22"/>
        </w:rPr>
      </w:pPr>
      <w:r w:rsidRPr="00CB7AC7">
        <w:rPr>
          <w:rFonts w:ascii="Arial" w:hAnsi="Arial" w:cs="Arial"/>
          <w:sz w:val="22"/>
        </w:rPr>
        <w:t>Berlo’s (1960) Sender-Message-Channel-Receiver (SMCR) model can be applied to understand this process. It identifies four main components of communication: sender, message, channel and receiver, while recognising that factors such as communication skills, knowledge and attitudes can influence understanding. In Mrs Thompson’s case, a domiciliary care worker may be the sender, medication instructions the message, a spoken explanation supported by a written reminder the channel, and Mrs Thompson the receiver. As dementia may affect how she processes or remembers the message, the worker should check her understanding rather than assume that information has been understood.</w:t>
      </w:r>
    </w:p>
    <w:p w14:paraId="3398AF2B" w14:textId="57D094FC" w:rsidR="008E3943" w:rsidRPr="00CB7AC7" w:rsidRDefault="00910B3D" w:rsidP="00CD33A8">
      <w:pPr>
        <w:tabs>
          <w:tab w:val="left" w:pos="6540"/>
        </w:tabs>
        <w:spacing w:line="360" w:lineRule="auto"/>
        <w:rPr>
          <w:rFonts w:ascii="Arial" w:hAnsi="Arial" w:cs="Arial"/>
          <w:sz w:val="22"/>
        </w:rPr>
      </w:pPr>
      <w:r w:rsidRPr="00CB7AC7">
        <w:rPr>
          <w:rFonts w:ascii="Arial" w:hAnsi="Arial" w:cs="Arial"/>
          <w:sz w:val="22"/>
        </w:rPr>
        <w:t>Using communication in this way may help professionals identify concerns earlier and reduce the risk of further missed medication. It also allows Mrs Thompson to remain involved in decisions while giving her family and care team clearer opportunities to share relevant information. Effective communication therefore supports both her safety and a respectful, person-centred approach to care.</w:t>
      </w:r>
    </w:p>
    <w:p w14:paraId="60B2CDC3" w14:textId="4FC4223D" w:rsidR="00B87E75" w:rsidRPr="00CB7AC7" w:rsidRDefault="008E3943" w:rsidP="00D76E71">
      <w:pPr>
        <w:pStyle w:val="Heading1"/>
        <w:numPr>
          <w:ilvl w:val="0"/>
          <w:numId w:val="1"/>
        </w:numPr>
      </w:pPr>
      <w:r w:rsidRPr="00CB7AC7">
        <w:t xml:space="preserve">Importance of good administrative skills </w:t>
      </w:r>
    </w:p>
    <w:p w14:paraId="7F189B9F" w14:textId="77777777" w:rsidR="00E54483" w:rsidRPr="00CB7AC7" w:rsidRDefault="007F6C52" w:rsidP="00E12CDD">
      <w:pPr>
        <w:tabs>
          <w:tab w:val="left" w:pos="6540"/>
        </w:tabs>
        <w:spacing w:line="360" w:lineRule="auto"/>
        <w:rPr>
          <w:rFonts w:ascii="Arial" w:hAnsi="Arial" w:cs="Arial"/>
          <w:sz w:val="22"/>
        </w:rPr>
      </w:pPr>
      <w:r w:rsidRPr="00CB7AC7">
        <w:rPr>
          <w:rFonts w:ascii="Arial" w:hAnsi="Arial" w:cs="Arial"/>
          <w:sz w:val="22"/>
        </w:rPr>
        <w:t>Good administrative skills are important in health and social care because information must be recorded accurately, stored safely and made available to the appropriate professionals when needed. Records provide evidence of the care delivered and can help staff identify changes in a service user’s needs. In Mrs Thompson’s case, this is particularly important because she missed two days of medication and experienced increased confusion. The incident record should clearly state what happened, when it occurred, the action taken and any concerns identified. Accurate information can then support the requested medication review and help the care team decide whether her current level of support remains suitable.</w:t>
      </w:r>
    </w:p>
    <w:p w14:paraId="30A758C0" w14:textId="07FA1A39" w:rsidR="00E54483" w:rsidRPr="00CB7AC7" w:rsidRDefault="00E54483" w:rsidP="007A4EBB">
      <w:pPr>
        <w:tabs>
          <w:tab w:val="left" w:pos="6540"/>
        </w:tabs>
        <w:spacing w:line="360" w:lineRule="auto"/>
        <w:rPr>
          <w:rFonts w:ascii="Arial" w:hAnsi="Arial" w:cs="Arial"/>
          <w:sz w:val="22"/>
        </w:rPr>
      </w:pPr>
      <w:r w:rsidRPr="00CB7AC7">
        <w:rPr>
          <w:rFonts w:ascii="Arial" w:hAnsi="Arial" w:cs="Arial"/>
          <w:color w:val="000000"/>
          <w:sz w:val="22"/>
          <w:shd w:val="clear" w:color="auto" w:fill="FFFFFF"/>
        </w:rPr>
        <w:t>Record keeping is also directly linked to medication safety. CQC (2025</w:t>
      </w:r>
      <w:r w:rsidR="005E0DC3" w:rsidRPr="00CB7AC7">
        <w:rPr>
          <w:rFonts w:ascii="Arial" w:hAnsi="Arial" w:cs="Arial"/>
          <w:color w:val="000000"/>
          <w:sz w:val="22"/>
          <w:shd w:val="clear" w:color="auto" w:fill="FFFFFF"/>
        </w:rPr>
        <w:t>a</w:t>
      </w:r>
      <w:r w:rsidRPr="00CB7AC7">
        <w:rPr>
          <w:rFonts w:ascii="Arial" w:hAnsi="Arial" w:cs="Arial"/>
          <w:color w:val="000000"/>
          <w:sz w:val="22"/>
          <w:shd w:val="clear" w:color="auto" w:fill="FFFFFF"/>
        </w:rPr>
        <w:t>) states that care workers should record each occasion when medicines support is provided, including whether the person has taken or declined their medication. A Medicines Administration Record (MAR) can therefore provide a clear account of the support Mrs Thompson receives. Her care plan should also identify her individual medication needs and how staff will support her with specific medicines (CQC, 2025</w:t>
      </w:r>
      <w:r w:rsidR="00437A3B" w:rsidRPr="00CB7AC7">
        <w:rPr>
          <w:rFonts w:ascii="Arial" w:hAnsi="Arial" w:cs="Arial"/>
          <w:color w:val="000000"/>
          <w:sz w:val="22"/>
          <w:shd w:val="clear" w:color="auto" w:fill="FFFFFF"/>
        </w:rPr>
        <w:t>b</w:t>
      </w:r>
      <w:r w:rsidRPr="00CB7AC7">
        <w:rPr>
          <w:rFonts w:ascii="Arial" w:hAnsi="Arial" w:cs="Arial"/>
          <w:color w:val="000000"/>
          <w:sz w:val="22"/>
          <w:shd w:val="clear" w:color="auto" w:fill="FFFFFF"/>
        </w:rPr>
        <w:t>). Following the recent missed doses, reviewing these records and updating her care plan where necessary could reduce the risk of the same problem occurring again and provide greater continuity between different care workers.</w:t>
      </w:r>
    </w:p>
    <w:p w14:paraId="6990640F" w14:textId="77777777" w:rsidR="007F6C52" w:rsidRPr="00CB7AC7" w:rsidRDefault="007F6C52" w:rsidP="007F6C52">
      <w:pPr>
        <w:tabs>
          <w:tab w:val="left" w:pos="6540"/>
        </w:tabs>
        <w:spacing w:line="360" w:lineRule="auto"/>
        <w:rPr>
          <w:rFonts w:ascii="Arial" w:hAnsi="Arial" w:cs="Arial"/>
          <w:sz w:val="22"/>
        </w:rPr>
      </w:pPr>
      <w:r w:rsidRPr="00CB7AC7">
        <w:rPr>
          <w:rFonts w:ascii="Arial" w:hAnsi="Arial" w:cs="Arial"/>
          <w:sz w:val="22"/>
        </w:rPr>
        <w:lastRenderedPageBreak/>
        <w:t>Administrative practice must also protect Mrs Thompson’s personal information. The Data Protection Act 2018, alongside the UK General Data Protection Regulation (UK GDPR), provides the legal framework for processing personal data in the UK. Key data protection principles require personal information to be processed lawfully, fairly and transparently, collected for specified purposes, limited to what is necessary, kept accurate and protected securely (Data Protection Act 2018). For Mrs Thompson, records concerning her dementia, medication and recent incidents contain sensitive health information. Staff should therefore only access or share information where there is an appropriate reason and should follow secure procedures when storing or transferring records.</w:t>
      </w:r>
    </w:p>
    <w:p w14:paraId="635B87A9" w14:textId="77777777" w:rsidR="007F6C52" w:rsidRPr="00CB7AC7" w:rsidRDefault="007F6C52" w:rsidP="007F6C52">
      <w:pPr>
        <w:tabs>
          <w:tab w:val="left" w:pos="6540"/>
        </w:tabs>
        <w:spacing w:line="360" w:lineRule="auto"/>
        <w:rPr>
          <w:rFonts w:ascii="Arial" w:hAnsi="Arial" w:cs="Arial"/>
          <w:sz w:val="22"/>
        </w:rPr>
      </w:pPr>
      <w:r w:rsidRPr="00CB7AC7">
        <w:rPr>
          <w:rFonts w:ascii="Arial" w:hAnsi="Arial" w:cs="Arial"/>
          <w:sz w:val="22"/>
        </w:rPr>
        <w:t>Confidentiality does not mean that relevant information can never be shared. Where information is required for Mrs Thompson’s care, appropriate sharing between authorised professionals can support her safety, while unnecessary disclosure should be avoided. This is particularly relevant to the medication review, where accurate information about the missed doses may need to be available to professionals involved in assessing her treatment and support.</w:t>
      </w:r>
    </w:p>
    <w:p w14:paraId="2B008FF6" w14:textId="0A766688" w:rsidR="008E3943" w:rsidRPr="00CB7AC7" w:rsidRDefault="008A55BA" w:rsidP="00CD33A8">
      <w:pPr>
        <w:tabs>
          <w:tab w:val="left" w:pos="6540"/>
        </w:tabs>
        <w:spacing w:line="360" w:lineRule="auto"/>
        <w:rPr>
          <w:rFonts w:ascii="Arial" w:hAnsi="Arial" w:cs="Arial"/>
          <w:sz w:val="22"/>
        </w:rPr>
      </w:pPr>
      <w:r w:rsidRPr="00CB7AC7">
        <w:rPr>
          <w:rFonts w:ascii="Arial" w:hAnsi="Arial" w:cs="Arial"/>
          <w:sz w:val="22"/>
        </w:rPr>
        <w:t>Organisational</w:t>
      </w:r>
      <w:r w:rsidR="007F6C52" w:rsidRPr="00CB7AC7">
        <w:rPr>
          <w:rFonts w:ascii="Arial" w:hAnsi="Arial" w:cs="Arial"/>
          <w:sz w:val="22"/>
        </w:rPr>
        <w:t xml:space="preserve"> policies should translate these legal and professional requirements into everyday practice. CQC</w:t>
      </w:r>
      <w:r w:rsidR="002132D4" w:rsidRPr="00CB7AC7">
        <w:rPr>
          <w:rFonts w:ascii="Arial" w:hAnsi="Arial" w:cs="Arial"/>
          <w:sz w:val="22"/>
        </w:rPr>
        <w:t xml:space="preserve"> (2025b) states that </w:t>
      </w:r>
      <w:r w:rsidR="005B2945" w:rsidRPr="00CB7AC7">
        <w:rPr>
          <w:rFonts w:ascii="Arial" w:hAnsi="Arial" w:cs="Arial"/>
          <w:sz w:val="22"/>
        </w:rPr>
        <w:t>people receiving medicines support</w:t>
      </w:r>
      <w:r w:rsidR="008D3E41" w:rsidRPr="00CB7AC7">
        <w:rPr>
          <w:rFonts w:ascii="Arial" w:hAnsi="Arial" w:cs="Arial"/>
          <w:sz w:val="22"/>
        </w:rPr>
        <w:t xml:space="preserve"> should have a</w:t>
      </w:r>
      <w:r w:rsidR="00AD67D0" w:rsidRPr="00CB7AC7">
        <w:rPr>
          <w:rFonts w:ascii="Arial" w:hAnsi="Arial" w:cs="Arial"/>
          <w:sz w:val="22"/>
        </w:rPr>
        <w:t xml:space="preserve"> medicines care plan that reflects </w:t>
      </w:r>
      <w:r w:rsidR="00BB2BA0" w:rsidRPr="00CB7AC7">
        <w:rPr>
          <w:rFonts w:ascii="Arial" w:hAnsi="Arial" w:cs="Arial"/>
          <w:sz w:val="22"/>
        </w:rPr>
        <w:t>their individual needs and explain</w:t>
      </w:r>
      <w:r w:rsidR="00037E43" w:rsidRPr="00CB7AC7">
        <w:rPr>
          <w:rFonts w:ascii="Arial" w:hAnsi="Arial" w:cs="Arial"/>
          <w:sz w:val="22"/>
        </w:rPr>
        <w:t>s how staff will</w:t>
      </w:r>
      <w:r w:rsidR="001D0AF4" w:rsidRPr="00CB7AC7">
        <w:rPr>
          <w:rFonts w:ascii="Arial" w:hAnsi="Arial" w:cs="Arial"/>
          <w:sz w:val="22"/>
        </w:rPr>
        <w:t xml:space="preserve"> support them.</w:t>
      </w:r>
      <w:r w:rsidR="007F6C52" w:rsidRPr="00CB7AC7">
        <w:rPr>
          <w:rFonts w:ascii="Arial" w:hAnsi="Arial" w:cs="Arial"/>
          <w:sz w:val="22"/>
        </w:rPr>
        <w:t xml:space="preserve"> In Mrs Thompson’s case, following the provider’s record-keeping, confidentiality and medication policies would create a clearer audit trail of the incident and the response taken. Good administration is therefore not simply paperwork; it contributes to accountability, continuity of care and safer decisions about Mrs Thompson’s future support.</w:t>
      </w:r>
    </w:p>
    <w:p w14:paraId="581C99BF" w14:textId="4FEB13FF" w:rsidR="00B87E75" w:rsidRPr="00CB7AC7" w:rsidRDefault="006C295B" w:rsidP="00E620E7">
      <w:pPr>
        <w:pStyle w:val="Heading1"/>
      </w:pPr>
      <w:r w:rsidRPr="00CB7AC7">
        <w:t xml:space="preserve">  </w:t>
      </w:r>
      <w:r w:rsidR="004A736E" w:rsidRPr="00CB7AC7">
        <w:t>4</w:t>
      </w:r>
      <w:r w:rsidR="00B87E75" w:rsidRPr="00CB7AC7">
        <w:t xml:space="preserve">. </w:t>
      </w:r>
      <w:r w:rsidR="008E3943" w:rsidRPr="00CB7AC7">
        <w:t>Importance of working collaboratively</w:t>
      </w:r>
    </w:p>
    <w:p w14:paraId="0014FB07" w14:textId="56802A6C" w:rsidR="005F4D5F" w:rsidRPr="00CB7AC7" w:rsidRDefault="005F4D5F" w:rsidP="00E12CDD">
      <w:pPr>
        <w:tabs>
          <w:tab w:val="left" w:pos="6540"/>
        </w:tabs>
        <w:spacing w:line="360" w:lineRule="auto"/>
        <w:rPr>
          <w:rFonts w:ascii="Arial" w:hAnsi="Arial" w:cs="Arial"/>
          <w:sz w:val="22"/>
        </w:rPr>
      </w:pPr>
      <w:r w:rsidRPr="00CB7AC7">
        <w:rPr>
          <w:rFonts w:ascii="Arial" w:hAnsi="Arial" w:cs="Arial"/>
          <w:sz w:val="22"/>
        </w:rPr>
        <w:t>Collaborative work brings professionals from different services together so that their knowledge and responsibilities can contribute to coordinated, person-centred care. This is particularly important when a service user has several needs that cannot be managed effectively by one professional alone. A multidisciplinary team (MDT) may include health and social care professionals who share relevant information, agree responsibilities and contribute their expertise to care decisions.</w:t>
      </w:r>
    </w:p>
    <w:p w14:paraId="3FEEF4DD" w14:textId="09473FED" w:rsidR="005F4D5F" w:rsidRPr="00CB7AC7" w:rsidRDefault="005F4D5F" w:rsidP="00E12CDD">
      <w:pPr>
        <w:tabs>
          <w:tab w:val="left" w:pos="6540"/>
        </w:tabs>
        <w:spacing w:line="360" w:lineRule="auto"/>
        <w:rPr>
          <w:rFonts w:ascii="Arial" w:hAnsi="Arial" w:cs="Arial"/>
          <w:sz w:val="22"/>
        </w:rPr>
      </w:pPr>
      <w:r w:rsidRPr="00CB7AC7">
        <w:rPr>
          <w:rFonts w:ascii="Arial" w:hAnsi="Arial" w:cs="Arial"/>
          <w:sz w:val="22"/>
        </w:rPr>
        <w:t xml:space="preserve">For Mrs Thompson, effective collaboration could involve her GP, community nurse, domiciliary care workers and the local </w:t>
      </w:r>
      <w:r w:rsidR="00567875">
        <w:rPr>
          <w:rFonts w:ascii="Arial" w:hAnsi="Arial" w:cs="Arial"/>
          <w:sz w:val="22"/>
        </w:rPr>
        <w:t xml:space="preserve">authority. </w:t>
      </w:r>
      <w:r w:rsidRPr="00CB7AC7">
        <w:rPr>
          <w:rFonts w:ascii="Arial" w:hAnsi="Arial" w:cs="Arial"/>
          <w:sz w:val="22"/>
        </w:rPr>
        <w:t xml:space="preserve">Care workers are well placed to report changes observed during daily visits, while the GP can review her medication and the community nurse can contribute to monitoring her health following pneumonia. The local </w:t>
      </w:r>
      <w:r w:rsidR="00567875">
        <w:rPr>
          <w:rFonts w:ascii="Arial" w:hAnsi="Arial" w:cs="Arial"/>
          <w:sz w:val="22"/>
        </w:rPr>
        <w:t>authority</w:t>
      </w:r>
      <w:r w:rsidRPr="00CB7AC7">
        <w:rPr>
          <w:rFonts w:ascii="Arial" w:hAnsi="Arial" w:cs="Arial"/>
          <w:sz w:val="22"/>
        </w:rPr>
        <w:t xml:space="preserve"> may also consider whether her current care arrangements adequately address her </w:t>
      </w:r>
      <w:r w:rsidRPr="00CB7AC7">
        <w:rPr>
          <w:rFonts w:ascii="Arial" w:hAnsi="Arial" w:cs="Arial"/>
          <w:sz w:val="22"/>
        </w:rPr>
        <w:lastRenderedPageBreak/>
        <w:t>safety needs. Sharing the recorded information about the missed medication and the incident outside would allow these professionals to develop a clearer picture of her needs rather than making decisions separately.</w:t>
      </w:r>
    </w:p>
    <w:p w14:paraId="4D349A67" w14:textId="62225C2F" w:rsidR="005F4D5F" w:rsidRPr="00CB7AC7" w:rsidRDefault="005F4D5F" w:rsidP="00E12CDD">
      <w:pPr>
        <w:tabs>
          <w:tab w:val="left" w:pos="6540"/>
        </w:tabs>
        <w:spacing w:line="360" w:lineRule="auto"/>
        <w:rPr>
          <w:rFonts w:ascii="Arial" w:hAnsi="Arial" w:cs="Arial"/>
          <w:sz w:val="22"/>
        </w:rPr>
      </w:pPr>
      <w:r w:rsidRPr="00CB7AC7">
        <w:rPr>
          <w:rFonts w:ascii="Arial" w:hAnsi="Arial" w:cs="Arial"/>
          <w:sz w:val="22"/>
        </w:rPr>
        <w:t>Collaboration can be encouraged through regular communication, clear allocation of responsibilities, accurate record keeping and agreed methods for sharing information.</w:t>
      </w:r>
      <w:r w:rsidR="004366A1" w:rsidRPr="00CB7AC7">
        <w:rPr>
          <w:rFonts w:ascii="Arial" w:hAnsi="Arial" w:cs="Arial"/>
          <w:sz w:val="22"/>
        </w:rPr>
        <w:t xml:space="preserve"> </w:t>
      </w:r>
      <w:r w:rsidR="00C8573B" w:rsidRPr="00CB7AC7">
        <w:rPr>
          <w:rFonts w:ascii="Arial" w:hAnsi="Arial" w:cs="Arial"/>
          <w:sz w:val="22"/>
        </w:rPr>
        <w:t>Clear communication between services</w:t>
      </w:r>
      <w:r w:rsidR="0076542F" w:rsidRPr="00CB7AC7">
        <w:rPr>
          <w:rFonts w:ascii="Arial" w:hAnsi="Arial" w:cs="Arial"/>
          <w:sz w:val="22"/>
        </w:rPr>
        <w:t xml:space="preserve"> is particularly important</w:t>
      </w:r>
      <w:r w:rsidR="0083130F" w:rsidRPr="00CB7AC7">
        <w:rPr>
          <w:rFonts w:ascii="Arial" w:hAnsi="Arial" w:cs="Arial"/>
          <w:sz w:val="22"/>
        </w:rPr>
        <w:t xml:space="preserve"> when several professionals</w:t>
      </w:r>
      <w:r w:rsidR="00726B9F" w:rsidRPr="00CB7AC7">
        <w:rPr>
          <w:rFonts w:ascii="Arial" w:hAnsi="Arial" w:cs="Arial"/>
          <w:sz w:val="22"/>
        </w:rPr>
        <w:t xml:space="preserve"> contribute to a person’s </w:t>
      </w:r>
      <w:r w:rsidR="00481329" w:rsidRPr="00CB7AC7">
        <w:rPr>
          <w:rFonts w:ascii="Arial" w:hAnsi="Arial" w:cs="Arial"/>
          <w:sz w:val="22"/>
        </w:rPr>
        <w:t>care</w:t>
      </w:r>
      <w:r w:rsidRPr="00CB7AC7">
        <w:rPr>
          <w:rFonts w:ascii="Arial" w:hAnsi="Arial" w:cs="Arial"/>
          <w:sz w:val="22"/>
        </w:rPr>
        <w:t>.</w:t>
      </w:r>
      <w:r w:rsidR="00481329" w:rsidRPr="00CB7AC7">
        <w:rPr>
          <w:rFonts w:ascii="Arial" w:hAnsi="Arial" w:cs="Arial"/>
          <w:sz w:val="22"/>
        </w:rPr>
        <w:t xml:space="preserve"> NICE (2021) recommends </w:t>
      </w:r>
      <w:r w:rsidR="004127BA" w:rsidRPr="00CB7AC7">
        <w:rPr>
          <w:rFonts w:ascii="Arial" w:hAnsi="Arial" w:cs="Arial"/>
          <w:sz w:val="22"/>
        </w:rPr>
        <w:t xml:space="preserve">that expertise and information </w:t>
      </w:r>
      <w:r w:rsidR="006035B5" w:rsidRPr="00CB7AC7">
        <w:rPr>
          <w:rFonts w:ascii="Arial" w:hAnsi="Arial" w:cs="Arial"/>
          <w:sz w:val="22"/>
        </w:rPr>
        <w:t xml:space="preserve">should be shared effectively within </w:t>
      </w:r>
      <w:r w:rsidR="00AD2C02" w:rsidRPr="00CB7AC7">
        <w:rPr>
          <w:rFonts w:ascii="Arial" w:hAnsi="Arial" w:cs="Arial"/>
          <w:sz w:val="22"/>
        </w:rPr>
        <w:t xml:space="preserve">and between organisations </w:t>
      </w:r>
      <w:r w:rsidR="00E2077F" w:rsidRPr="00CB7AC7">
        <w:rPr>
          <w:rFonts w:ascii="Arial" w:hAnsi="Arial" w:cs="Arial"/>
          <w:sz w:val="22"/>
        </w:rPr>
        <w:t>so that professionals provide consistent information.</w:t>
      </w:r>
    </w:p>
    <w:p w14:paraId="3A742EE2" w14:textId="41FB6BF1" w:rsidR="008E3943" w:rsidRPr="00CB7AC7" w:rsidRDefault="005F4D5F" w:rsidP="00E12CDD">
      <w:pPr>
        <w:tabs>
          <w:tab w:val="left" w:pos="6540"/>
        </w:tabs>
        <w:spacing w:line="360" w:lineRule="auto"/>
        <w:rPr>
          <w:rFonts w:ascii="Arial" w:hAnsi="Arial" w:cs="Arial"/>
          <w:sz w:val="22"/>
        </w:rPr>
      </w:pPr>
      <w:r w:rsidRPr="00CB7AC7">
        <w:rPr>
          <w:rFonts w:ascii="Arial" w:hAnsi="Arial" w:cs="Arial"/>
          <w:sz w:val="22"/>
        </w:rPr>
        <w:t>Multi-agency working can nevertheless create challenges.</w:t>
      </w:r>
      <w:r w:rsidR="00CB7AC7" w:rsidRPr="00CB7AC7">
        <w:rPr>
          <w:rFonts w:ascii="Arial" w:hAnsi="Arial" w:cs="Arial"/>
          <w:sz w:val="22"/>
        </w:rPr>
        <w:t xml:space="preserve"> </w:t>
      </w:r>
      <w:r w:rsidR="00CB7AC7" w:rsidRPr="00CB7AC7">
        <w:rPr>
          <w:rFonts w:ascii="Arial" w:hAnsi="Arial" w:cs="Arial"/>
          <w:sz w:val="22"/>
        </w:rPr>
        <w:t>Different organisations may have separate record systems, competing priorities or uncertainty about professional responsibilities, which can cause delays or gaps in communication. Research into community-based multidisciplinary teams in England found that information governance requirements and difficulties connecting patient record systems could create barriers to collaborative working (Douglas et al., 2022).</w:t>
      </w:r>
      <w:r w:rsidR="0033345C">
        <w:rPr>
          <w:rFonts w:ascii="Arial" w:hAnsi="Arial" w:cs="Arial"/>
          <w:sz w:val="22"/>
        </w:rPr>
        <w:t xml:space="preserve"> </w:t>
      </w:r>
      <w:r w:rsidRPr="00CB7AC7">
        <w:rPr>
          <w:rFonts w:ascii="Arial" w:hAnsi="Arial" w:cs="Arial"/>
          <w:sz w:val="22"/>
        </w:rPr>
        <w:t>Confidentiality concerns may also make staff cautious about information sharing. These difficulties can be reduced by agreeing clear roles, using secure communication methods and ensuring that relevant information is shared appropriately. For Mrs Thompson, coordinated work should help the team respond to risks earlier while avoiding fragmented or duplicated care.</w:t>
      </w:r>
    </w:p>
    <w:p w14:paraId="16FAF0EA" w14:textId="6143DDCD" w:rsidR="00B87E75" w:rsidRPr="00CB7AC7" w:rsidRDefault="00F10A6E" w:rsidP="00E620E7">
      <w:pPr>
        <w:pStyle w:val="Heading1"/>
      </w:pPr>
      <w:r w:rsidRPr="00CB7AC7">
        <w:t xml:space="preserve"> </w:t>
      </w:r>
      <w:r w:rsidR="00003142" w:rsidRPr="00CB7AC7">
        <w:t xml:space="preserve"> </w:t>
      </w:r>
      <w:r w:rsidR="008E3943" w:rsidRPr="00CB7AC7">
        <w:t>5</w:t>
      </w:r>
      <w:r w:rsidR="00B87E75" w:rsidRPr="00CB7AC7">
        <w:t>. Conclusion</w:t>
      </w:r>
      <w:r w:rsidR="00CD33A8" w:rsidRPr="00CB7AC7">
        <w:t xml:space="preserve"> </w:t>
      </w:r>
    </w:p>
    <w:p w14:paraId="7A191E03" w14:textId="480DC64F" w:rsidR="006D36C7" w:rsidRPr="00CB7AC7" w:rsidRDefault="006D36C7" w:rsidP="00C516E2">
      <w:pPr>
        <w:tabs>
          <w:tab w:val="left" w:pos="6540"/>
        </w:tabs>
        <w:spacing w:line="360" w:lineRule="auto"/>
        <w:rPr>
          <w:rFonts w:ascii="Arial" w:hAnsi="Arial" w:cs="Arial"/>
          <w:sz w:val="22"/>
        </w:rPr>
      </w:pPr>
      <w:r w:rsidRPr="00CB7AC7">
        <w:rPr>
          <w:rFonts w:ascii="Arial" w:hAnsi="Arial" w:cs="Arial"/>
          <w:sz w:val="22"/>
        </w:rPr>
        <w:t xml:space="preserve">In conclusion, Mrs Thompson’s case demonstrates how communication, good administrative practice and collaborative working are closely connected in providing safe and person-centred care. Communication that is adapted to her dementia can help her understand information, remain involved in decisions and maintain her dignity, while appropriate family involvement may provide additional support. Accurate record keeping is equally important, particularly following the missed medication and concerns about her safety, as clear records allow changes and risks to be identified and acted upon. At the same time, personal information must be handled securely and shared appropriately in line with data protection requirements. Finally, cooperation between domiciliary care workers, the GP, community nurse and local </w:t>
      </w:r>
      <w:r w:rsidR="004C3314" w:rsidRPr="00CB7AC7">
        <w:rPr>
          <w:rFonts w:ascii="Arial" w:hAnsi="Arial" w:cs="Arial"/>
          <w:sz w:val="22"/>
        </w:rPr>
        <w:t>authority</w:t>
      </w:r>
      <w:r w:rsidRPr="00CB7AC7">
        <w:rPr>
          <w:rFonts w:ascii="Arial" w:hAnsi="Arial" w:cs="Arial"/>
          <w:sz w:val="22"/>
        </w:rPr>
        <w:t xml:space="preserve"> can bring together different professional perspectives and reduce fragmented care. When these areas of practice work together effectively, they can support better decisions about Mrs Thompson’s changing needs while promoting her safety, independence and overall quality of care.</w:t>
      </w:r>
    </w:p>
    <w:p w14:paraId="6DBC958B" w14:textId="05A04FB2" w:rsidR="00CD33A8" w:rsidRPr="00CB7AC7" w:rsidRDefault="00CD33A8" w:rsidP="00C516E2">
      <w:pPr>
        <w:tabs>
          <w:tab w:val="left" w:pos="6540"/>
        </w:tabs>
        <w:spacing w:line="360" w:lineRule="auto"/>
        <w:rPr>
          <w:rFonts w:ascii="Arial" w:hAnsi="Arial" w:cs="Arial"/>
          <w:sz w:val="22"/>
        </w:rPr>
      </w:pPr>
    </w:p>
    <w:p w14:paraId="701A6678" w14:textId="77777777" w:rsidR="00D129D5" w:rsidRPr="00A11CD8" w:rsidRDefault="00D129D5" w:rsidP="008373EE">
      <w:pPr>
        <w:tabs>
          <w:tab w:val="left" w:pos="6540"/>
        </w:tabs>
        <w:spacing w:line="360" w:lineRule="auto"/>
        <w:rPr>
          <w:rFonts w:ascii="Arial" w:hAnsi="Arial" w:cs="Arial"/>
          <w:b/>
          <w:bCs/>
          <w:sz w:val="32"/>
          <w:szCs w:val="32"/>
          <w:lang w:val="en-US"/>
        </w:rPr>
      </w:pPr>
      <w:r w:rsidRPr="00A11CD8">
        <w:rPr>
          <w:rFonts w:ascii="Arial" w:hAnsi="Arial" w:cs="Arial"/>
          <w:b/>
          <w:bCs/>
          <w:sz w:val="32"/>
          <w:szCs w:val="32"/>
          <w:lang w:val="en-US"/>
        </w:rPr>
        <w:lastRenderedPageBreak/>
        <w:t>References</w:t>
      </w:r>
    </w:p>
    <w:p w14:paraId="3FD9FE55" w14:textId="77777777" w:rsidR="00D129D5" w:rsidRPr="008373EE" w:rsidRDefault="00D129D5" w:rsidP="008373EE">
      <w:pPr>
        <w:tabs>
          <w:tab w:val="left" w:pos="6540"/>
        </w:tabs>
        <w:spacing w:line="360" w:lineRule="auto"/>
        <w:rPr>
          <w:rFonts w:ascii="Arial" w:hAnsi="Arial" w:cs="Arial"/>
          <w:sz w:val="22"/>
          <w:lang w:val="en-US"/>
        </w:rPr>
      </w:pPr>
      <w:r w:rsidRPr="008373EE">
        <w:rPr>
          <w:rFonts w:ascii="Arial" w:hAnsi="Arial" w:cs="Arial"/>
          <w:sz w:val="22"/>
          <w:lang w:val="en-US"/>
        </w:rPr>
        <w:t>Berlo, D.K. (1960) </w:t>
      </w:r>
      <w:r w:rsidRPr="008373EE">
        <w:rPr>
          <w:rFonts w:ascii="Arial" w:hAnsi="Arial" w:cs="Arial"/>
          <w:i/>
          <w:iCs/>
          <w:sz w:val="22"/>
          <w:lang w:val="en-US"/>
        </w:rPr>
        <w:t>The process of communication: An introduction to theory and practice</w:t>
      </w:r>
      <w:r w:rsidRPr="008373EE">
        <w:rPr>
          <w:rFonts w:ascii="Arial" w:hAnsi="Arial" w:cs="Arial"/>
          <w:sz w:val="22"/>
          <w:lang w:val="en-US"/>
        </w:rPr>
        <w:t>. New York: Holt, Rinehart and Winston.</w:t>
      </w:r>
    </w:p>
    <w:p w14:paraId="28FEDCB8" w14:textId="77777777" w:rsidR="00D129D5" w:rsidRPr="008373EE" w:rsidRDefault="00D129D5" w:rsidP="008373EE">
      <w:pPr>
        <w:tabs>
          <w:tab w:val="left" w:pos="6540"/>
        </w:tabs>
        <w:spacing w:line="360" w:lineRule="auto"/>
        <w:rPr>
          <w:rFonts w:ascii="Arial" w:hAnsi="Arial" w:cs="Arial"/>
          <w:sz w:val="22"/>
          <w:lang w:val="en-US"/>
        </w:rPr>
      </w:pPr>
      <w:r w:rsidRPr="008373EE">
        <w:rPr>
          <w:rFonts w:ascii="Arial" w:hAnsi="Arial" w:cs="Arial"/>
          <w:sz w:val="22"/>
          <w:lang w:val="en-US"/>
        </w:rPr>
        <w:t>Care Quality Commission (CQC) (2025a) </w:t>
      </w:r>
      <w:r w:rsidRPr="008373EE">
        <w:rPr>
          <w:rFonts w:ascii="Arial" w:hAnsi="Arial" w:cs="Arial"/>
          <w:i/>
          <w:iCs/>
          <w:sz w:val="22"/>
          <w:lang w:val="en-US"/>
        </w:rPr>
        <w:t>Medicines administration records in adult social care</w:t>
      </w:r>
      <w:r w:rsidRPr="008373EE">
        <w:rPr>
          <w:rFonts w:ascii="Arial" w:hAnsi="Arial" w:cs="Arial"/>
          <w:sz w:val="22"/>
          <w:lang w:val="en-US"/>
        </w:rPr>
        <w:t>. Available at: </w:t>
      </w:r>
      <w:hyperlink r:id="rId9" w:tooltip="Outlook tarafından korunuyor: https://www.cqc.org.uk/guidance-providers/adult-social-care/medicines-administration-records-adult-social-care. Bağlantıyı izlemek için tıklayın veya dokunun." w:history="1">
        <w:r w:rsidRPr="008373EE">
          <w:rPr>
            <w:rStyle w:val="Hyperlink"/>
            <w:rFonts w:ascii="Arial" w:hAnsi="Arial" w:cs="Arial"/>
            <w:sz w:val="22"/>
            <w:lang w:val="en-US"/>
          </w:rPr>
          <w:t>https://www.cqc.org.uk/guidance-providers/adult-social-care/medicines-administration-records-adult-social-care</w:t>
        </w:r>
      </w:hyperlink>
      <w:r w:rsidRPr="008373EE">
        <w:rPr>
          <w:rFonts w:ascii="Arial" w:hAnsi="Arial" w:cs="Arial"/>
          <w:sz w:val="22"/>
          <w:lang w:val="en-US"/>
        </w:rPr>
        <w:t> (Accessed: 20 August 2026).</w:t>
      </w:r>
    </w:p>
    <w:p w14:paraId="54665084" w14:textId="77777777" w:rsidR="00D129D5" w:rsidRPr="008373EE" w:rsidRDefault="00D129D5" w:rsidP="008373EE">
      <w:pPr>
        <w:tabs>
          <w:tab w:val="left" w:pos="6540"/>
        </w:tabs>
        <w:spacing w:line="360" w:lineRule="auto"/>
        <w:rPr>
          <w:rFonts w:ascii="Arial" w:hAnsi="Arial" w:cs="Arial"/>
          <w:sz w:val="22"/>
          <w:lang w:val="en-US"/>
        </w:rPr>
      </w:pPr>
      <w:r w:rsidRPr="008373EE">
        <w:rPr>
          <w:rFonts w:ascii="Arial" w:hAnsi="Arial" w:cs="Arial"/>
          <w:sz w:val="22"/>
          <w:lang w:val="en-US"/>
        </w:rPr>
        <w:t>Care Quality Commission (CQC) (2025b) </w:t>
      </w:r>
      <w:r w:rsidRPr="008373EE">
        <w:rPr>
          <w:rFonts w:ascii="Arial" w:hAnsi="Arial" w:cs="Arial"/>
          <w:i/>
          <w:iCs/>
          <w:sz w:val="22"/>
          <w:lang w:val="en-US"/>
        </w:rPr>
        <w:t>Medicines care plans</w:t>
      </w:r>
      <w:r w:rsidRPr="008373EE">
        <w:rPr>
          <w:rFonts w:ascii="Arial" w:hAnsi="Arial" w:cs="Arial"/>
          <w:sz w:val="22"/>
          <w:lang w:val="en-US"/>
        </w:rPr>
        <w:t>. Available at: </w:t>
      </w:r>
      <w:hyperlink r:id="rId10" w:tooltip="Outlook tarafından korunuyor: https://www.cqc.org.uk/guidance-providers/adult-social-care/medicines-care-plans. Bağlantıyı izlemek için tıklayın veya dokunun." w:history="1">
        <w:r w:rsidRPr="008373EE">
          <w:rPr>
            <w:rStyle w:val="Hyperlink"/>
            <w:rFonts w:ascii="Arial" w:hAnsi="Arial" w:cs="Arial"/>
            <w:sz w:val="22"/>
            <w:lang w:val="en-US"/>
          </w:rPr>
          <w:t>https://www.cqc.org.uk/guidance-providers/adult-social-care/medicines-care-plans</w:t>
        </w:r>
      </w:hyperlink>
      <w:r w:rsidRPr="008373EE">
        <w:rPr>
          <w:rFonts w:ascii="Arial" w:hAnsi="Arial" w:cs="Arial"/>
          <w:sz w:val="22"/>
          <w:lang w:val="en-US"/>
        </w:rPr>
        <w:t> (Accessed: 20 August 2026).</w:t>
      </w:r>
    </w:p>
    <w:p w14:paraId="742BB157" w14:textId="77777777" w:rsidR="00D129D5" w:rsidRPr="008373EE" w:rsidRDefault="00D129D5" w:rsidP="008373EE">
      <w:pPr>
        <w:tabs>
          <w:tab w:val="left" w:pos="6540"/>
        </w:tabs>
        <w:spacing w:line="360" w:lineRule="auto"/>
        <w:rPr>
          <w:rFonts w:ascii="Arial" w:hAnsi="Arial" w:cs="Arial"/>
          <w:sz w:val="22"/>
          <w:lang w:val="en-US"/>
        </w:rPr>
      </w:pPr>
      <w:r w:rsidRPr="008373EE">
        <w:rPr>
          <w:rFonts w:ascii="Arial" w:hAnsi="Arial" w:cs="Arial"/>
          <w:sz w:val="22"/>
          <w:lang w:val="en-US"/>
        </w:rPr>
        <w:t>Data Protection Act 2018, c. 12. Available at: </w:t>
      </w:r>
      <w:hyperlink r:id="rId11" w:tooltip="Outlook tarafından korunuyor: https://www.legislation.gov.uk/ukpga/2018/12/contents. Bağlantıyı izlemek için tıklayın veya dokunun." w:history="1">
        <w:r w:rsidRPr="008373EE">
          <w:rPr>
            <w:rStyle w:val="Hyperlink"/>
            <w:rFonts w:ascii="Arial" w:hAnsi="Arial" w:cs="Arial"/>
            <w:sz w:val="22"/>
            <w:lang w:val="en-US"/>
          </w:rPr>
          <w:t>https://www.legislation.gov.uk/ukpga/2018/12/contents</w:t>
        </w:r>
      </w:hyperlink>
      <w:r w:rsidRPr="008373EE">
        <w:rPr>
          <w:rFonts w:ascii="Arial" w:hAnsi="Arial" w:cs="Arial"/>
          <w:sz w:val="22"/>
          <w:lang w:val="en-US"/>
        </w:rPr>
        <w:t> (Accessed: 20 August 2026).</w:t>
      </w:r>
    </w:p>
    <w:p w14:paraId="4B3F4B32" w14:textId="77777777" w:rsidR="00D129D5" w:rsidRPr="008373EE" w:rsidRDefault="00D129D5" w:rsidP="008373EE">
      <w:pPr>
        <w:tabs>
          <w:tab w:val="left" w:pos="6540"/>
        </w:tabs>
        <w:spacing w:line="360" w:lineRule="auto"/>
        <w:rPr>
          <w:rFonts w:ascii="Arial" w:hAnsi="Arial" w:cs="Arial"/>
          <w:sz w:val="22"/>
          <w:lang w:val="en-US"/>
        </w:rPr>
      </w:pPr>
      <w:r w:rsidRPr="008373EE">
        <w:rPr>
          <w:rFonts w:ascii="Arial" w:hAnsi="Arial" w:cs="Arial"/>
          <w:sz w:val="22"/>
          <w:lang w:val="en-US"/>
        </w:rPr>
        <w:t>Douglas, N., Mays, N., Al-</w:t>
      </w:r>
      <w:proofErr w:type="spellStart"/>
      <w:r w:rsidRPr="008373EE">
        <w:rPr>
          <w:rFonts w:ascii="Arial" w:hAnsi="Arial" w:cs="Arial"/>
          <w:sz w:val="22"/>
          <w:lang w:val="en-US"/>
        </w:rPr>
        <w:t>Haboubi</w:t>
      </w:r>
      <w:proofErr w:type="spellEnd"/>
      <w:r w:rsidRPr="008373EE">
        <w:rPr>
          <w:rFonts w:ascii="Arial" w:hAnsi="Arial" w:cs="Arial"/>
          <w:sz w:val="22"/>
          <w:lang w:val="en-US"/>
        </w:rPr>
        <w:t xml:space="preserve">, M., </w:t>
      </w:r>
      <w:proofErr w:type="spellStart"/>
      <w:r w:rsidRPr="008373EE">
        <w:rPr>
          <w:rFonts w:ascii="Arial" w:hAnsi="Arial" w:cs="Arial"/>
          <w:sz w:val="22"/>
          <w:lang w:val="en-US"/>
        </w:rPr>
        <w:t>Manacorda</w:t>
      </w:r>
      <w:proofErr w:type="spellEnd"/>
      <w:r w:rsidRPr="008373EE">
        <w:rPr>
          <w:rFonts w:ascii="Arial" w:hAnsi="Arial" w:cs="Arial"/>
          <w:sz w:val="22"/>
          <w:lang w:val="en-US"/>
        </w:rPr>
        <w:t xml:space="preserve">, T., Thana, L., </w:t>
      </w:r>
      <w:proofErr w:type="spellStart"/>
      <w:r w:rsidRPr="008373EE">
        <w:rPr>
          <w:rFonts w:ascii="Arial" w:hAnsi="Arial" w:cs="Arial"/>
          <w:sz w:val="22"/>
          <w:lang w:val="en-US"/>
        </w:rPr>
        <w:t>Wistow</w:t>
      </w:r>
      <w:proofErr w:type="spellEnd"/>
      <w:r w:rsidRPr="008373EE">
        <w:rPr>
          <w:rFonts w:ascii="Arial" w:hAnsi="Arial" w:cs="Arial"/>
          <w:sz w:val="22"/>
          <w:lang w:val="en-US"/>
        </w:rPr>
        <w:t>, G. and Durand, M.A. (2022) ‘Observations of community-based multidisciplinary team meetings in health and social care for older people with long term conditions in England’, </w:t>
      </w:r>
      <w:r w:rsidRPr="008373EE">
        <w:rPr>
          <w:rFonts w:ascii="Arial" w:hAnsi="Arial" w:cs="Arial"/>
          <w:i/>
          <w:iCs/>
          <w:sz w:val="22"/>
          <w:lang w:val="en-US"/>
        </w:rPr>
        <w:t>BMC Health Services Research</w:t>
      </w:r>
      <w:r w:rsidRPr="008373EE">
        <w:rPr>
          <w:rFonts w:ascii="Arial" w:hAnsi="Arial" w:cs="Arial"/>
          <w:sz w:val="22"/>
          <w:lang w:val="en-US"/>
        </w:rPr>
        <w:t xml:space="preserve">, 22, article 758. </w:t>
      </w:r>
      <w:proofErr w:type="spellStart"/>
      <w:r w:rsidRPr="008373EE">
        <w:rPr>
          <w:rFonts w:ascii="Arial" w:hAnsi="Arial" w:cs="Arial"/>
          <w:sz w:val="22"/>
          <w:lang w:val="en-US"/>
        </w:rPr>
        <w:t>doi</w:t>
      </w:r>
      <w:proofErr w:type="spellEnd"/>
      <w:r w:rsidRPr="008373EE">
        <w:rPr>
          <w:rFonts w:ascii="Arial" w:hAnsi="Arial" w:cs="Arial"/>
          <w:sz w:val="22"/>
          <w:lang w:val="en-US"/>
        </w:rPr>
        <w:t>: 10.1186/s12913-022-07971-x.</w:t>
      </w:r>
    </w:p>
    <w:p w14:paraId="563488EA" w14:textId="77777777" w:rsidR="00D129D5" w:rsidRPr="008373EE" w:rsidRDefault="00D129D5" w:rsidP="008373EE">
      <w:pPr>
        <w:tabs>
          <w:tab w:val="left" w:pos="6540"/>
        </w:tabs>
        <w:spacing w:line="360" w:lineRule="auto"/>
        <w:rPr>
          <w:rFonts w:ascii="Arial" w:hAnsi="Arial" w:cs="Arial"/>
          <w:sz w:val="22"/>
          <w:lang w:val="en-US"/>
        </w:rPr>
      </w:pPr>
      <w:r w:rsidRPr="008373EE">
        <w:rPr>
          <w:rFonts w:ascii="Arial" w:hAnsi="Arial" w:cs="Arial"/>
          <w:sz w:val="22"/>
          <w:lang w:val="en-US"/>
        </w:rPr>
        <w:t>Equality Act 2010, c. 15. Available at: </w:t>
      </w:r>
      <w:hyperlink r:id="rId12" w:tooltip="Outlook tarafından korunuyor: https://www.legislation.gov.uk/ukpga/2010/15/contents. Bağlantıyı izlemek için tıklayın veya dokunun." w:history="1">
        <w:r w:rsidRPr="008373EE">
          <w:rPr>
            <w:rStyle w:val="Hyperlink"/>
            <w:rFonts w:ascii="Arial" w:hAnsi="Arial" w:cs="Arial"/>
            <w:sz w:val="22"/>
            <w:lang w:val="en-US"/>
          </w:rPr>
          <w:t>https://www.legislation.gov.uk/ukpga/2010/15/contents</w:t>
        </w:r>
      </w:hyperlink>
      <w:r w:rsidRPr="008373EE">
        <w:rPr>
          <w:rFonts w:ascii="Arial" w:hAnsi="Arial" w:cs="Arial"/>
          <w:sz w:val="22"/>
          <w:lang w:val="en-US"/>
        </w:rPr>
        <w:t> (Accessed: 20 August 2026).</w:t>
      </w:r>
    </w:p>
    <w:p w14:paraId="38756B59" w14:textId="77777777" w:rsidR="00D129D5" w:rsidRPr="008373EE" w:rsidRDefault="00D129D5" w:rsidP="008373EE">
      <w:pPr>
        <w:tabs>
          <w:tab w:val="left" w:pos="6540"/>
        </w:tabs>
        <w:spacing w:line="360" w:lineRule="auto"/>
        <w:rPr>
          <w:rFonts w:ascii="Arial" w:hAnsi="Arial" w:cs="Arial"/>
          <w:sz w:val="22"/>
          <w:lang w:val="en-US"/>
        </w:rPr>
      </w:pPr>
      <w:r w:rsidRPr="008373EE">
        <w:rPr>
          <w:rFonts w:ascii="Arial" w:hAnsi="Arial" w:cs="Arial"/>
          <w:sz w:val="22"/>
          <w:lang w:val="en-US"/>
        </w:rPr>
        <w:t>National Institute for Health and Care Excellence (NICE) (2018) </w:t>
      </w:r>
      <w:r w:rsidRPr="008373EE">
        <w:rPr>
          <w:rFonts w:ascii="Arial" w:hAnsi="Arial" w:cs="Arial"/>
          <w:i/>
          <w:iCs/>
          <w:sz w:val="22"/>
          <w:lang w:val="en-US"/>
        </w:rPr>
        <w:t xml:space="preserve">Dementia: assessment, management and support for people living with dementia and their </w:t>
      </w:r>
      <w:proofErr w:type="spellStart"/>
      <w:r w:rsidRPr="008373EE">
        <w:rPr>
          <w:rFonts w:ascii="Arial" w:hAnsi="Arial" w:cs="Arial"/>
          <w:i/>
          <w:iCs/>
          <w:sz w:val="22"/>
          <w:lang w:val="en-US"/>
        </w:rPr>
        <w:t>carers</w:t>
      </w:r>
      <w:proofErr w:type="spellEnd"/>
      <w:r w:rsidRPr="008373EE">
        <w:rPr>
          <w:rFonts w:ascii="Arial" w:hAnsi="Arial" w:cs="Arial"/>
          <w:sz w:val="22"/>
          <w:lang w:val="en-US"/>
        </w:rPr>
        <w:t>. NICE guideline [NG97]. Available at: </w:t>
      </w:r>
      <w:hyperlink r:id="rId13" w:tooltip="Outlook tarafından korunuyor: https://www.nice.org.uk/guidance/ng97. Bağlantıyı izlemek için tıklayın veya dokunun." w:history="1">
        <w:r w:rsidRPr="008373EE">
          <w:rPr>
            <w:rStyle w:val="Hyperlink"/>
            <w:rFonts w:ascii="Arial" w:hAnsi="Arial" w:cs="Arial"/>
            <w:sz w:val="22"/>
            <w:lang w:val="en-US"/>
          </w:rPr>
          <w:t>https://www.nice.org.uk/guidance/ng97</w:t>
        </w:r>
      </w:hyperlink>
      <w:r w:rsidRPr="008373EE">
        <w:rPr>
          <w:rFonts w:ascii="Arial" w:hAnsi="Arial" w:cs="Arial"/>
          <w:sz w:val="22"/>
          <w:lang w:val="en-US"/>
        </w:rPr>
        <w:t> (Accessed: 20 August 2026).</w:t>
      </w:r>
    </w:p>
    <w:p w14:paraId="0BA41638" w14:textId="77777777" w:rsidR="00D129D5" w:rsidRPr="008373EE" w:rsidRDefault="00D129D5" w:rsidP="008373EE">
      <w:pPr>
        <w:tabs>
          <w:tab w:val="left" w:pos="6540"/>
        </w:tabs>
        <w:spacing w:line="360" w:lineRule="auto"/>
        <w:rPr>
          <w:rFonts w:ascii="Arial" w:hAnsi="Arial" w:cs="Arial"/>
          <w:sz w:val="22"/>
          <w:lang w:val="en-US"/>
        </w:rPr>
      </w:pPr>
      <w:r w:rsidRPr="008373EE">
        <w:rPr>
          <w:rFonts w:ascii="Arial" w:hAnsi="Arial" w:cs="Arial"/>
          <w:sz w:val="22"/>
          <w:lang w:val="en-US"/>
        </w:rPr>
        <w:t>National Institute for Health and Care Excellence (NICE) (2021) </w:t>
      </w:r>
      <w:r w:rsidRPr="008373EE">
        <w:rPr>
          <w:rFonts w:ascii="Arial" w:hAnsi="Arial" w:cs="Arial"/>
          <w:i/>
          <w:iCs/>
          <w:sz w:val="22"/>
          <w:lang w:val="en-US"/>
        </w:rPr>
        <w:t>Shared decision making</w:t>
      </w:r>
      <w:r w:rsidRPr="008373EE">
        <w:rPr>
          <w:rFonts w:ascii="Arial" w:hAnsi="Arial" w:cs="Arial"/>
          <w:sz w:val="22"/>
          <w:lang w:val="en-US"/>
        </w:rPr>
        <w:t>. NICE guideline [NG197]. Available at: </w:t>
      </w:r>
      <w:hyperlink r:id="rId14" w:tooltip="Outlook tarafından korunuyor: https://www.nice.org.uk/guidance/ng197. Bağlantıyı izlemek için tıklayın veya dokunun." w:history="1">
        <w:r w:rsidRPr="008373EE">
          <w:rPr>
            <w:rStyle w:val="Hyperlink"/>
            <w:rFonts w:ascii="Arial" w:hAnsi="Arial" w:cs="Arial"/>
            <w:sz w:val="22"/>
            <w:lang w:val="en-US"/>
          </w:rPr>
          <w:t>https://www.nice.org.uk/guidance/ng197</w:t>
        </w:r>
      </w:hyperlink>
      <w:r w:rsidRPr="008373EE">
        <w:rPr>
          <w:rFonts w:ascii="Arial" w:hAnsi="Arial" w:cs="Arial"/>
          <w:sz w:val="22"/>
          <w:lang w:val="en-US"/>
        </w:rPr>
        <w:t> (Accessed: 20 August 2026).</w:t>
      </w:r>
    </w:p>
    <w:p w14:paraId="6812580D" w14:textId="47452A39" w:rsidR="0090040D" w:rsidRPr="008373EE" w:rsidRDefault="0090040D" w:rsidP="008373EE">
      <w:pPr>
        <w:tabs>
          <w:tab w:val="left" w:pos="6540"/>
        </w:tabs>
        <w:spacing w:line="360" w:lineRule="auto"/>
        <w:rPr>
          <w:rFonts w:ascii="Arial" w:hAnsi="Arial" w:cs="Arial"/>
          <w:sz w:val="22"/>
        </w:rPr>
      </w:pPr>
    </w:p>
    <w:p w14:paraId="444BAD02" w14:textId="77777777" w:rsidR="00814A9E" w:rsidRPr="00CB7AC7" w:rsidRDefault="00814A9E" w:rsidP="00C516E2">
      <w:pPr>
        <w:tabs>
          <w:tab w:val="left" w:pos="6540"/>
        </w:tabs>
        <w:spacing w:line="360" w:lineRule="auto"/>
        <w:rPr>
          <w:rFonts w:ascii="Arial" w:hAnsi="Arial" w:cs="Arial"/>
          <w:sz w:val="22"/>
        </w:rPr>
      </w:pPr>
    </w:p>
    <w:p w14:paraId="1FF5BF47" w14:textId="0BEA5DD7" w:rsidR="001548DC" w:rsidRPr="001548DC" w:rsidRDefault="001548DC" w:rsidP="001548DC">
      <w:pPr>
        <w:rPr>
          <w:rFonts w:asciiTheme="minorBidi" w:eastAsiaTheme="majorEastAsia" w:hAnsiTheme="minorBidi"/>
          <w:b/>
          <w:sz w:val="28"/>
        </w:rPr>
      </w:pPr>
    </w:p>
    <w:sectPr w:rsidR="001548DC" w:rsidRPr="001548DC" w:rsidSect="00E620E7">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48E87" w14:textId="77777777" w:rsidR="001D6422" w:rsidRPr="00CB7AC7" w:rsidRDefault="001D6422" w:rsidP="003E4ECF">
      <w:pPr>
        <w:spacing w:after="0" w:line="240" w:lineRule="auto"/>
      </w:pPr>
      <w:r w:rsidRPr="00CB7AC7">
        <w:separator/>
      </w:r>
    </w:p>
  </w:endnote>
  <w:endnote w:type="continuationSeparator" w:id="0">
    <w:p w14:paraId="7B1B1FDE" w14:textId="77777777" w:rsidR="001D6422" w:rsidRPr="00CB7AC7" w:rsidRDefault="001D6422" w:rsidP="003E4ECF">
      <w:pPr>
        <w:spacing w:after="0" w:line="240" w:lineRule="auto"/>
      </w:pPr>
      <w:r w:rsidRPr="00CB7A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sz w:val="22"/>
      </w:rPr>
    </w:sdtEndPr>
    <w:sdtContent>
      <w:p w14:paraId="22F0D82E" w14:textId="45C034A5" w:rsidR="003E4ECF" w:rsidRPr="00CB7AC7" w:rsidRDefault="003E4ECF">
        <w:pPr>
          <w:pStyle w:val="Footer"/>
          <w:jc w:val="center"/>
          <w:rPr>
            <w:rFonts w:asciiTheme="minorBidi" w:hAnsiTheme="minorBidi"/>
            <w:sz w:val="22"/>
          </w:rPr>
        </w:pPr>
        <w:r w:rsidRPr="00CB7AC7">
          <w:rPr>
            <w:rFonts w:asciiTheme="minorBidi" w:hAnsiTheme="minorBidi"/>
            <w:sz w:val="22"/>
          </w:rPr>
          <w:fldChar w:fldCharType="begin"/>
        </w:r>
        <w:r w:rsidRPr="00CB7AC7">
          <w:rPr>
            <w:rFonts w:asciiTheme="minorBidi" w:hAnsiTheme="minorBidi"/>
            <w:sz w:val="22"/>
          </w:rPr>
          <w:instrText xml:space="preserve"> PAGE   \* MERGEFORMAT </w:instrText>
        </w:r>
        <w:r w:rsidRPr="00CB7AC7">
          <w:rPr>
            <w:rFonts w:asciiTheme="minorBidi" w:hAnsiTheme="minorBidi"/>
            <w:sz w:val="22"/>
          </w:rPr>
          <w:fldChar w:fldCharType="separate"/>
        </w:r>
        <w:r w:rsidRPr="00CB7AC7">
          <w:rPr>
            <w:rFonts w:asciiTheme="minorBidi" w:hAnsiTheme="minorBidi"/>
            <w:sz w:val="22"/>
          </w:rPr>
          <w:t>2</w:t>
        </w:r>
        <w:r w:rsidRPr="00CB7AC7">
          <w:rPr>
            <w:rFonts w:asciiTheme="minorBidi" w:hAnsiTheme="minorBidi"/>
            <w:sz w:val="22"/>
          </w:rPr>
          <w:fldChar w:fldCharType="end"/>
        </w:r>
      </w:p>
    </w:sdtContent>
  </w:sdt>
  <w:p w14:paraId="65BDCB89" w14:textId="77777777" w:rsidR="003E4ECF" w:rsidRPr="00CB7AC7"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B8DD3" w14:textId="77777777" w:rsidR="001D6422" w:rsidRPr="00CB7AC7" w:rsidRDefault="001D6422" w:rsidP="003E4ECF">
      <w:pPr>
        <w:spacing w:after="0" w:line="240" w:lineRule="auto"/>
      </w:pPr>
      <w:r w:rsidRPr="00CB7AC7">
        <w:separator/>
      </w:r>
    </w:p>
  </w:footnote>
  <w:footnote w:type="continuationSeparator" w:id="0">
    <w:p w14:paraId="7BA6363E" w14:textId="77777777" w:rsidR="001D6422" w:rsidRPr="00CB7AC7" w:rsidRDefault="001D6422" w:rsidP="003E4ECF">
      <w:pPr>
        <w:spacing w:after="0" w:line="240" w:lineRule="auto"/>
      </w:pPr>
      <w:r w:rsidRPr="00CB7AC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0A0C"/>
    <w:multiLevelType w:val="hybridMultilevel"/>
    <w:tmpl w:val="E9B42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C7416C"/>
    <w:multiLevelType w:val="hybridMultilevel"/>
    <w:tmpl w:val="E168E8D0"/>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BE7A99"/>
    <w:multiLevelType w:val="hybridMultilevel"/>
    <w:tmpl w:val="EE082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9151752">
    <w:abstractNumId w:val="2"/>
  </w:num>
  <w:num w:numId="2" w16cid:durableId="301691073">
    <w:abstractNumId w:val="0"/>
  </w:num>
  <w:num w:numId="3" w16cid:durableId="14380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142"/>
    <w:rsid w:val="00023F80"/>
    <w:rsid w:val="00037E43"/>
    <w:rsid w:val="000572BF"/>
    <w:rsid w:val="000609A4"/>
    <w:rsid w:val="00074402"/>
    <w:rsid w:val="000817C7"/>
    <w:rsid w:val="000F60B8"/>
    <w:rsid w:val="00114636"/>
    <w:rsid w:val="00121688"/>
    <w:rsid w:val="00125EFE"/>
    <w:rsid w:val="00142FFA"/>
    <w:rsid w:val="001548DC"/>
    <w:rsid w:val="00185E09"/>
    <w:rsid w:val="001D0AF4"/>
    <w:rsid w:val="001D6422"/>
    <w:rsid w:val="001D7C03"/>
    <w:rsid w:val="001F5F1C"/>
    <w:rsid w:val="00202930"/>
    <w:rsid w:val="002132D4"/>
    <w:rsid w:val="00216C85"/>
    <w:rsid w:val="002212FB"/>
    <w:rsid w:val="00233251"/>
    <w:rsid w:val="0025047D"/>
    <w:rsid w:val="0026393A"/>
    <w:rsid w:val="00273EDD"/>
    <w:rsid w:val="002C3965"/>
    <w:rsid w:val="00303EE3"/>
    <w:rsid w:val="00314D37"/>
    <w:rsid w:val="00321C4C"/>
    <w:rsid w:val="0033345C"/>
    <w:rsid w:val="00371A80"/>
    <w:rsid w:val="00386820"/>
    <w:rsid w:val="00392BBC"/>
    <w:rsid w:val="003B2E76"/>
    <w:rsid w:val="003B5068"/>
    <w:rsid w:val="003E4ECF"/>
    <w:rsid w:val="004127BA"/>
    <w:rsid w:val="004153B5"/>
    <w:rsid w:val="004366A1"/>
    <w:rsid w:val="00437A3B"/>
    <w:rsid w:val="00440C03"/>
    <w:rsid w:val="0047156C"/>
    <w:rsid w:val="00474CB3"/>
    <w:rsid w:val="00481329"/>
    <w:rsid w:val="004A0BB4"/>
    <w:rsid w:val="004A2201"/>
    <w:rsid w:val="004A736E"/>
    <w:rsid w:val="004C3314"/>
    <w:rsid w:val="0055148B"/>
    <w:rsid w:val="00560459"/>
    <w:rsid w:val="00567875"/>
    <w:rsid w:val="00577E36"/>
    <w:rsid w:val="0058228E"/>
    <w:rsid w:val="005B2945"/>
    <w:rsid w:val="005E0DC3"/>
    <w:rsid w:val="005E6FF4"/>
    <w:rsid w:val="005F4540"/>
    <w:rsid w:val="005F4D5F"/>
    <w:rsid w:val="006035B5"/>
    <w:rsid w:val="00630651"/>
    <w:rsid w:val="006925AA"/>
    <w:rsid w:val="006A7911"/>
    <w:rsid w:val="006C295B"/>
    <w:rsid w:val="006D36C7"/>
    <w:rsid w:val="006E5F14"/>
    <w:rsid w:val="00712158"/>
    <w:rsid w:val="00725177"/>
    <w:rsid w:val="00726B9F"/>
    <w:rsid w:val="0076542F"/>
    <w:rsid w:val="007A1556"/>
    <w:rsid w:val="007A1B8D"/>
    <w:rsid w:val="007A4EBB"/>
    <w:rsid w:val="007C0A56"/>
    <w:rsid w:val="007F37DE"/>
    <w:rsid w:val="007F6C52"/>
    <w:rsid w:val="00811F06"/>
    <w:rsid w:val="00814A9E"/>
    <w:rsid w:val="0083130F"/>
    <w:rsid w:val="008373EE"/>
    <w:rsid w:val="00841DC7"/>
    <w:rsid w:val="008A0854"/>
    <w:rsid w:val="008A55BA"/>
    <w:rsid w:val="008B6ECC"/>
    <w:rsid w:val="008D3E41"/>
    <w:rsid w:val="008E3943"/>
    <w:rsid w:val="0090040D"/>
    <w:rsid w:val="00910B3D"/>
    <w:rsid w:val="009315B6"/>
    <w:rsid w:val="009557C4"/>
    <w:rsid w:val="0095687A"/>
    <w:rsid w:val="0097493E"/>
    <w:rsid w:val="00980756"/>
    <w:rsid w:val="009A4455"/>
    <w:rsid w:val="009B5FC5"/>
    <w:rsid w:val="009D052C"/>
    <w:rsid w:val="009D1D1E"/>
    <w:rsid w:val="009E2150"/>
    <w:rsid w:val="009F295D"/>
    <w:rsid w:val="00A035FD"/>
    <w:rsid w:val="00A11CD8"/>
    <w:rsid w:val="00A42B85"/>
    <w:rsid w:val="00A51759"/>
    <w:rsid w:val="00A8465B"/>
    <w:rsid w:val="00AD23A0"/>
    <w:rsid w:val="00AD2C02"/>
    <w:rsid w:val="00AD67D0"/>
    <w:rsid w:val="00B20D4E"/>
    <w:rsid w:val="00B2783D"/>
    <w:rsid w:val="00B313B5"/>
    <w:rsid w:val="00B87E75"/>
    <w:rsid w:val="00BB2BA0"/>
    <w:rsid w:val="00BD7BE2"/>
    <w:rsid w:val="00C50515"/>
    <w:rsid w:val="00C516E2"/>
    <w:rsid w:val="00C72355"/>
    <w:rsid w:val="00C8573B"/>
    <w:rsid w:val="00C8780D"/>
    <w:rsid w:val="00CA0104"/>
    <w:rsid w:val="00CA261E"/>
    <w:rsid w:val="00CB7AC7"/>
    <w:rsid w:val="00CC78F6"/>
    <w:rsid w:val="00CD33A8"/>
    <w:rsid w:val="00CE2E52"/>
    <w:rsid w:val="00D129D5"/>
    <w:rsid w:val="00D76E71"/>
    <w:rsid w:val="00DC4631"/>
    <w:rsid w:val="00DE303B"/>
    <w:rsid w:val="00E063BE"/>
    <w:rsid w:val="00E10F8D"/>
    <w:rsid w:val="00E12CDD"/>
    <w:rsid w:val="00E2077F"/>
    <w:rsid w:val="00E27ADE"/>
    <w:rsid w:val="00E35E18"/>
    <w:rsid w:val="00E51695"/>
    <w:rsid w:val="00E54483"/>
    <w:rsid w:val="00E569FD"/>
    <w:rsid w:val="00E620E7"/>
    <w:rsid w:val="00E6475B"/>
    <w:rsid w:val="00EC79D0"/>
    <w:rsid w:val="00EE6E66"/>
    <w:rsid w:val="00F0165C"/>
    <w:rsid w:val="00F10A6E"/>
    <w:rsid w:val="00F24E82"/>
    <w:rsid w:val="00F26D4D"/>
    <w:rsid w:val="00F66E1B"/>
    <w:rsid w:val="00FF01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3F796852-5EFE-4F8F-98B5-AE7A0A6DD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7F37DE"/>
    <w:pPr>
      <w:ind w:left="720"/>
      <w:contextualSpacing/>
    </w:pPr>
  </w:style>
  <w:style w:type="paragraph" w:styleId="NormalWeb">
    <w:name w:val="Normal (Web)"/>
    <w:basedOn w:val="Normal"/>
    <w:uiPriority w:val="99"/>
    <w:semiHidden/>
    <w:unhideWhenUsed/>
    <w:rsid w:val="00CB7AC7"/>
    <w:rPr>
      <w:rFonts w:cs="Times New Roman"/>
      <w:szCs w:val="24"/>
    </w:rPr>
  </w:style>
  <w:style w:type="character" w:styleId="Hyperlink">
    <w:name w:val="Hyperlink"/>
    <w:basedOn w:val="DefaultParagraphFont"/>
    <w:uiPriority w:val="99"/>
    <w:unhideWhenUsed/>
    <w:rsid w:val="00D129D5"/>
    <w:rPr>
      <w:color w:val="0563C1" w:themeColor="hyperlink"/>
      <w:u w:val="single"/>
    </w:rPr>
  </w:style>
  <w:style w:type="character" w:styleId="UnresolvedMention">
    <w:name w:val="Unresolved Mention"/>
    <w:basedOn w:val="DefaultParagraphFont"/>
    <w:uiPriority w:val="99"/>
    <w:semiHidden/>
    <w:unhideWhenUsed/>
    <w:rsid w:val="00D12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emea01.safelinks.protection.outlook.com/?url=https%3A%2F%2Fwww.nice.org.uk%2Fguidance%2Fng97&amp;data=05%7C02%7C%7C5a46d8fcd31f41eda54208deff08186a%7C84df9e7fe9f640afb435aaaaaaaaaaaa%7C1%7C0%7C639228607383763483%7CUnknown%7CTWFpbGZsb3d8eyJFbXB0eU1hcGkiOnRydWUsIlYiOiIwLjAuMDAwMCIsIlAiOiJXaW4zMiIsIkFOIjoiTWFpbCIsIldUIjoyfQ%3D%3D%7C0%7C%7C%7C&amp;sdata=mLeFLgXPlTkT%2FiG4Tdko9GpyKnjOctbA4APZxUOMyJM%3D&amp;reserved=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mea01.safelinks.protection.outlook.com/?url=https%3A%2F%2Fwww.legislation.gov.uk%2Fukpga%2F2010%2F15%2Fcontents&amp;data=05%7C02%7C%7C5a46d8fcd31f41eda54208deff08186a%7C84df9e7fe9f640afb435aaaaaaaaaaaa%7C1%7C0%7C639228607383744152%7CUnknown%7CTWFpbGZsb3d8eyJFbXB0eU1hcGkiOnRydWUsIlYiOiIwLjAuMDAwMCIsIlAiOiJXaW4zMiIsIkFOIjoiTWFpbCIsIldUIjoyfQ%3D%3D%7C0%7C%7C%7C&amp;sdata=hl575mb4BFgViD372%2BUT%2FAFif9adjRWddFv9L3E%2Bu%2Fs%3D&amp;reserve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mea01.safelinks.protection.outlook.com/?url=https%3A%2F%2Fwww.legislation.gov.uk%2Fukpga%2F2018%2F12%2Fcontents&amp;data=05%7C02%7C%7C5a46d8fcd31f41eda54208deff08186a%7C84df9e7fe9f640afb435aaaaaaaaaaaa%7C1%7C0%7C639228607383724588%7CUnknown%7CTWFpbGZsb3d8eyJFbXB0eU1hcGkiOnRydWUsIlYiOiIwLjAuMDAwMCIsIlAiOiJXaW4zMiIsIkFOIjoiTWFpbCIsIldUIjoyfQ%3D%3D%7C0%7C%7C%7C&amp;sdata=yXQGeB%2BJSJ8naoQbAV1K6rBO2UWlP4emx96VkuCDLDc%3D&amp;reserved=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mea01.safelinks.protection.outlook.com/?url=https%3A%2F%2Fwww.cqc.org.uk%2Fguidance-providers%2Fadult-social-care%2Fmedicines-care-plans&amp;data=05%7C02%7C%7C5a46d8fcd31f41eda54208deff08186a%7C84df9e7fe9f640afb435aaaaaaaaaaaa%7C1%7C0%7C639228607383703462%7CUnknown%7CTWFpbGZsb3d8eyJFbXB0eU1hcGkiOnRydWUsIlYiOiIwLjAuMDAwMCIsIlAiOiJXaW4zMiIsIkFOIjoiTWFpbCIsIldUIjoyfQ%3D%3D%7C0%7C%7C%7C&amp;sdata=ZzLQNzluiKhi48jVLluk%2BCYsJ%2BnmhVnKLMstCB%2FdpHw%3D&amp;reserved=0" TargetMode="External"/><Relationship Id="rId4" Type="http://schemas.openxmlformats.org/officeDocument/2006/relationships/webSettings" Target="webSettings.xml"/><Relationship Id="rId9" Type="http://schemas.openxmlformats.org/officeDocument/2006/relationships/hyperlink" Target="https://emea01.safelinks.protection.outlook.com/?url=https%3A%2F%2Fwww.cqc.org.uk%2Fguidance-providers%2Fadult-social-care%2Fmedicines-administration-records-adult-social-care&amp;data=05%7C02%7C%7C5a46d8fcd31f41eda54208deff08186a%7C84df9e7fe9f640afb435aaaaaaaaaaaa%7C1%7C0%7C639228607383671941%7CUnknown%7CTWFpbGZsb3d8eyJFbXB0eU1hcGkiOnRydWUsIlYiOiIwLjAuMDAwMCIsIlAiOiJXaW4zMiIsIkFOIjoiTWFpbCIsIldUIjoyfQ%3D%3D%7C0%7C%7C%7C&amp;sdata=XWs2r5mJ8CLDNdwnIXs%2FjEef%2FcoPuyLy4zQhLxq%2B8FU%3D&amp;reserved=0" TargetMode="External"/><Relationship Id="rId14" Type="http://schemas.openxmlformats.org/officeDocument/2006/relationships/hyperlink" Target="https://emea01.safelinks.protection.outlook.com/?url=https%3A%2F%2Fwww.nice.org.uk%2Fguidance%2Fng197&amp;data=05%7C02%7C%7C5a46d8fcd31f41eda54208deff08186a%7C84df9e7fe9f640afb435aaaaaaaaaaaa%7C1%7C0%7C639228607383782495%7CUnknown%7CTWFpbGZsb3d8eyJFbXB0eU1hcGkiOnRydWUsIlYiOiIwLjAuMDAwMCIsIlAiOiJXaW4zMiIsIkFOIjoiTWFpbCIsIldUIjoyfQ%3D%3D%7C0%7C%7C%7C&amp;sdata=k8XoLHS2U539diQXu6p9OqtSUZE5ZvWDaFbqYuQAdcA%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7</Pages>
  <Words>2508</Words>
  <Characters>14299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SEVDA ALENDIEVA</cp:lastModifiedBy>
  <cp:revision>108</cp:revision>
  <dcterms:created xsi:type="dcterms:W3CDTF">2026-08-20T20:07:00Z</dcterms:created>
  <dcterms:modified xsi:type="dcterms:W3CDTF">2026-08-20T23:33:00Z</dcterms:modified>
</cp:coreProperties>
</file>