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2C21537" w14:textId="0E6D6235" w:rsidR="00E56D8F" w:rsidRPr="00616138" w:rsidRDefault="00D37BBA">
      <w:pPr>
        <w:rPr>
          <w:rFonts w:ascii="Arial" w:hAnsi="Arial" w:cs="Arial"/>
          <w:color w:val="002060"/>
          <w:sz w:val="36"/>
          <w:szCs w:val="36"/>
        </w:rPr>
      </w:pPr>
      <w:r w:rsidRPr="00616138">
        <w:rPr>
          <w:rFonts w:ascii="Arial" w:hAnsi="Arial" w:cs="Arial"/>
          <w:color w:val="002060"/>
          <w:sz w:val="36"/>
          <w:szCs w:val="36"/>
        </w:rPr>
        <w:t xml:space="preserve">Introduction and Master Plan Appraisal </w:t>
      </w:r>
    </w:p>
    <w:p w14:paraId="36DA61FD" w14:textId="6A852CA0" w:rsidR="00D37BBA" w:rsidRPr="00616138" w:rsidRDefault="00D37BBA">
      <w:pPr>
        <w:rPr>
          <w:rFonts w:ascii="Arial" w:hAnsi="Arial" w:cs="Arial"/>
          <w:color w:val="002060"/>
          <w:sz w:val="32"/>
          <w:szCs w:val="32"/>
        </w:rPr>
      </w:pPr>
      <w:r w:rsidRPr="00616138">
        <w:rPr>
          <w:rFonts w:ascii="Arial" w:hAnsi="Arial" w:cs="Arial"/>
          <w:color w:val="002060"/>
          <w:sz w:val="32"/>
          <w:szCs w:val="32"/>
        </w:rPr>
        <w:t>The Need:</w:t>
      </w:r>
    </w:p>
    <w:p w14:paraId="393A6E05" w14:textId="5C6EE262" w:rsidR="00D37BBA" w:rsidRPr="00616138" w:rsidRDefault="00D37BBA">
      <w:pPr>
        <w:rPr>
          <w:rFonts w:ascii="Arial" w:hAnsi="Arial" w:cs="Arial"/>
          <w:color w:val="002060"/>
          <w:sz w:val="28"/>
          <w:szCs w:val="28"/>
        </w:rPr>
      </w:pPr>
      <w:r w:rsidRPr="00616138">
        <w:rPr>
          <w:rFonts w:ascii="Arial" w:hAnsi="Arial" w:cs="Arial"/>
          <w:color w:val="002060"/>
          <w:sz w:val="28"/>
          <w:szCs w:val="28"/>
        </w:rPr>
        <w:t>Introduction</w:t>
      </w:r>
    </w:p>
    <w:p w14:paraId="299A2F98" w14:textId="5CFF7BFD" w:rsidR="00BD121B" w:rsidRPr="00BD121B" w:rsidRDefault="00BD121B" w:rsidP="00BD121B">
      <w:pPr>
        <w:spacing w:line="360" w:lineRule="auto"/>
        <w:rPr>
          <w:rFonts w:ascii="Arial" w:hAnsi="Arial" w:cs="Arial"/>
        </w:rPr>
      </w:pPr>
      <w:r w:rsidRPr="00BD121B">
        <w:rPr>
          <w:rFonts w:ascii="Arial" w:hAnsi="Arial" w:cs="Arial"/>
        </w:rPr>
        <w:t xml:space="preserve">“Ace Capital projects Ltd” have acquired a large plot of land situated in Port Talbot. The aim is to redevelop the town centre and hopefully have a positive impact on the community and its economy. Redeveloping the site will provide jobs for local people of Port Talbot whilst also increasing the footfall of tourism in the area, thus boosting the economy of the of Port Talbot and creating an interactive space where people can gather and enjoy the proposed developments.  </w:t>
      </w:r>
    </w:p>
    <w:p w14:paraId="4C9DA3AE" w14:textId="52894D17" w:rsidR="00BD121B" w:rsidRPr="00BD121B" w:rsidRDefault="00BD121B" w:rsidP="00BD121B">
      <w:pPr>
        <w:spacing w:line="360" w:lineRule="auto"/>
        <w:rPr>
          <w:rFonts w:ascii="Arial" w:hAnsi="Arial" w:cs="Arial"/>
        </w:rPr>
      </w:pPr>
      <w:r w:rsidRPr="00BD121B">
        <w:rPr>
          <w:rFonts w:ascii="Arial" w:hAnsi="Arial" w:cs="Arial"/>
        </w:rPr>
        <w:t xml:space="preserve">The Theatre itself is proposed to be named after Port Talbots successful actors “Richard Burton, Sir Anthony Hopkins and Michael Sheen”. This is to celebrate them and the dedication to film and the local community. At the age of 14 Michael Sheen joined “West Glamorgan Youth Theatre Company” which is </w:t>
      </w:r>
      <w:proofErr w:type="gramStart"/>
      <w:r w:rsidRPr="00BD121B">
        <w:rPr>
          <w:rFonts w:ascii="Arial" w:hAnsi="Arial" w:cs="Arial"/>
        </w:rPr>
        <w:t>actually a</w:t>
      </w:r>
      <w:proofErr w:type="gramEnd"/>
      <w:r w:rsidRPr="00BD121B">
        <w:rPr>
          <w:rFonts w:ascii="Arial" w:hAnsi="Arial" w:cs="Arial"/>
        </w:rPr>
        <w:t xml:space="preserve"> registered charity. If it weren’t for this charity his career may have never kicked off. The Charity approached Ace Capital with a bid for them to invest in a theatre to grow the performing arts community in Port Talbot. The project funding will be 75% Ace and 25% from Heritage Lottery Funding. The Theatre is to consist of an Auditorium to accommodate 450 seats, with the option to remove the seats for standing events, a backstage area with dressing rooms, showers, and facilities.​ In addition to the auditorium there is to be a studio theatre with 100 seats for smaller scale productions. This will also require a backstage area to include dressing rooms and toilet facilities.​ </w:t>
      </w:r>
    </w:p>
    <w:p w14:paraId="43CB9E1D" w14:textId="569D1703" w:rsidR="004D67F6" w:rsidRDefault="00BD121B" w:rsidP="00BD121B">
      <w:pPr>
        <w:spacing w:line="360" w:lineRule="auto"/>
        <w:rPr>
          <w:rFonts w:ascii="Arial" w:hAnsi="Arial" w:cs="Arial"/>
        </w:rPr>
      </w:pPr>
      <w:bookmarkStart w:id="0" w:name="_Hlk165489573"/>
      <w:r w:rsidRPr="00BD121B">
        <w:rPr>
          <w:rFonts w:ascii="Arial" w:hAnsi="Arial" w:cs="Arial"/>
        </w:rPr>
        <w:t xml:space="preserve">In conjunction with boosting the economy of the community. The success of this project could provide a safe place for children and adolescents to attend drama clubs and potentially increase the output of Welsh actors to add to the success of the previous mentioned.  </w:t>
      </w:r>
    </w:p>
    <w:bookmarkEnd w:id="0"/>
    <w:p w14:paraId="7D825DF1" w14:textId="6C3B829F" w:rsidR="00233681" w:rsidRPr="00233681" w:rsidRDefault="00233681" w:rsidP="00BD121B">
      <w:pPr>
        <w:spacing w:line="360" w:lineRule="auto"/>
        <w:rPr>
          <w:rFonts w:ascii="Arial" w:hAnsi="Arial" w:cs="Arial"/>
          <w:color w:val="002060"/>
          <w:sz w:val="28"/>
          <w:szCs w:val="28"/>
        </w:rPr>
      </w:pPr>
      <w:r>
        <w:rPr>
          <w:rFonts w:ascii="Arial" w:hAnsi="Arial" w:cs="Arial"/>
          <w:color w:val="002060"/>
          <w:sz w:val="28"/>
          <w:szCs w:val="28"/>
        </w:rPr>
        <w:t xml:space="preserve">Objectives </w:t>
      </w:r>
      <w:r w:rsidR="00616138">
        <w:rPr>
          <w:rFonts w:ascii="Arial" w:hAnsi="Arial" w:cs="Arial"/>
          <w:color w:val="002060"/>
          <w:sz w:val="28"/>
          <w:szCs w:val="28"/>
        </w:rPr>
        <w:t>of the feasibility study</w:t>
      </w:r>
    </w:p>
    <w:p w14:paraId="2F76415E" w14:textId="38E40D5E" w:rsidR="00CC34EB" w:rsidRDefault="00AE3C0B" w:rsidP="00BD121B">
      <w:pPr>
        <w:spacing w:line="360" w:lineRule="auto"/>
        <w:rPr>
          <w:rFonts w:ascii="Arial" w:hAnsi="Arial" w:cs="Arial"/>
        </w:rPr>
      </w:pPr>
      <w:r w:rsidRPr="00AE3C0B">
        <w:rPr>
          <w:rFonts w:ascii="Arial" w:hAnsi="Arial" w:cs="Arial"/>
          <w:color w:val="002060"/>
        </w:rPr>
        <w:t>Assessment of Viability</w:t>
      </w:r>
      <w:r w:rsidRPr="00AE3C0B">
        <w:rPr>
          <w:rFonts w:ascii="Arial" w:hAnsi="Arial" w:cs="Arial"/>
        </w:rPr>
        <w:t>: The neglected area presents an opportunity for redevelopment, but its viability must be thoroughly assessed. A feasibility study will evaluate factors such as market demand, economic viability, and regulatory requirements to determine if the project is feasible.</w:t>
      </w:r>
    </w:p>
    <w:p w14:paraId="0DE7B4B0" w14:textId="77777777" w:rsidR="00F2425D" w:rsidRDefault="00F2425D" w:rsidP="00BD121B">
      <w:pPr>
        <w:spacing w:line="360" w:lineRule="auto"/>
        <w:rPr>
          <w:rFonts w:ascii="Arial" w:hAnsi="Arial" w:cs="Arial"/>
        </w:rPr>
      </w:pPr>
    </w:p>
    <w:p w14:paraId="0B1F18A0" w14:textId="1944E40D" w:rsidR="00F2425D" w:rsidRDefault="00F2425D" w:rsidP="00BD121B">
      <w:pPr>
        <w:spacing w:line="360" w:lineRule="auto"/>
        <w:rPr>
          <w:rFonts w:ascii="Arial" w:hAnsi="Arial" w:cs="Arial"/>
        </w:rPr>
      </w:pPr>
      <w:r w:rsidRPr="00F2425D">
        <w:rPr>
          <w:rFonts w:ascii="Arial" w:hAnsi="Arial" w:cs="Arial"/>
          <w:color w:val="002060"/>
        </w:rPr>
        <w:t>Identification of Challenges</w:t>
      </w:r>
      <w:r w:rsidRPr="00F2425D">
        <w:rPr>
          <w:rFonts w:ascii="Arial" w:hAnsi="Arial" w:cs="Arial"/>
        </w:rPr>
        <w:t>: Redevelopment projects often face numerous challenges, including environmental concerns, infrastructure limitations, and community opposition. A feasibility study will identify these challenges upfront, allowing stakeholders to develop strategies to mitigate risks and overcome obstacles.</w:t>
      </w:r>
    </w:p>
    <w:p w14:paraId="21C01FFE" w14:textId="240CEDCC" w:rsidR="00505412" w:rsidRDefault="00505412" w:rsidP="00BD121B">
      <w:pPr>
        <w:spacing w:line="360" w:lineRule="auto"/>
        <w:rPr>
          <w:rFonts w:ascii="Arial" w:hAnsi="Arial" w:cs="Arial"/>
        </w:rPr>
      </w:pPr>
      <w:r w:rsidRPr="00505412">
        <w:rPr>
          <w:rFonts w:ascii="Arial" w:hAnsi="Arial" w:cs="Arial"/>
          <w:color w:val="002060"/>
        </w:rPr>
        <w:t>Financial Considerations</w:t>
      </w:r>
      <w:r w:rsidRPr="00505412">
        <w:rPr>
          <w:rFonts w:ascii="Arial" w:hAnsi="Arial" w:cs="Arial"/>
        </w:rPr>
        <w:t>: Redevelopment projects require significant financial investment, and it is essential to determine if the potential returns justify the costs. The feasibility study will assess the project's financial feasibility, including cost estimates, revenue projections, and potential funding sources.</w:t>
      </w:r>
    </w:p>
    <w:p w14:paraId="744CB29D" w14:textId="42CBE064" w:rsidR="00505412" w:rsidRDefault="00505412" w:rsidP="00BD121B">
      <w:pPr>
        <w:spacing w:line="360" w:lineRule="auto"/>
        <w:rPr>
          <w:rFonts w:ascii="Arial" w:hAnsi="Arial" w:cs="Arial"/>
        </w:rPr>
      </w:pPr>
      <w:r w:rsidRPr="00505412">
        <w:rPr>
          <w:rFonts w:ascii="Arial" w:hAnsi="Arial" w:cs="Arial"/>
          <w:color w:val="002060"/>
        </w:rPr>
        <w:t>Community Impact</w:t>
      </w:r>
      <w:r w:rsidRPr="00505412">
        <w:rPr>
          <w:rFonts w:ascii="Arial" w:hAnsi="Arial" w:cs="Arial"/>
        </w:rPr>
        <w:t>: The redevelopment project will have a profound impact on the surrounding community, affecting residents, businesses, and the environment. A feasibility study will evaluate the project's social and environmental implications, ensuring that it aligns with community needs and values.</w:t>
      </w:r>
    </w:p>
    <w:p w14:paraId="34455BEE" w14:textId="356AEC21" w:rsidR="00233681" w:rsidRDefault="00233681" w:rsidP="00BD121B">
      <w:pPr>
        <w:spacing w:line="360" w:lineRule="auto"/>
        <w:rPr>
          <w:rFonts w:ascii="Arial" w:hAnsi="Arial" w:cs="Arial"/>
        </w:rPr>
      </w:pPr>
      <w:r w:rsidRPr="00233681">
        <w:rPr>
          <w:rFonts w:ascii="Arial" w:hAnsi="Arial" w:cs="Arial"/>
          <w:color w:val="002060"/>
        </w:rPr>
        <w:t>Legal and Regulatory Compliance</w:t>
      </w:r>
      <w:r w:rsidRPr="00233681">
        <w:rPr>
          <w:rFonts w:ascii="Arial" w:hAnsi="Arial" w:cs="Arial"/>
        </w:rPr>
        <w:t>: Redevelopment projects must comply with a myriad of legal and regulatory requirements, including zoning laws, building codes, and environmental regulations. A feasibility study will assess the project's compliance with these regulations, identifying any potential legal obstacles or permitting challenges.</w:t>
      </w:r>
    </w:p>
    <w:p w14:paraId="1637D6D4" w14:textId="2A33BC2B" w:rsidR="00616138" w:rsidRDefault="00616138" w:rsidP="00BD121B">
      <w:pPr>
        <w:spacing w:line="360" w:lineRule="auto"/>
        <w:rPr>
          <w:rFonts w:ascii="Arial" w:hAnsi="Arial" w:cs="Arial"/>
          <w:color w:val="002060"/>
          <w:sz w:val="28"/>
          <w:szCs w:val="28"/>
        </w:rPr>
      </w:pPr>
      <w:r>
        <w:rPr>
          <w:rFonts w:ascii="Arial" w:hAnsi="Arial" w:cs="Arial"/>
          <w:color w:val="002060"/>
          <w:sz w:val="28"/>
          <w:szCs w:val="28"/>
        </w:rPr>
        <w:t>Conclusion</w:t>
      </w:r>
    </w:p>
    <w:p w14:paraId="000F98A1" w14:textId="77777777" w:rsidR="00840F1F" w:rsidRPr="00616138" w:rsidRDefault="00616138" w:rsidP="00BD121B">
      <w:pPr>
        <w:spacing w:line="360" w:lineRule="auto"/>
        <w:rPr>
          <w:rFonts w:ascii="Arial" w:hAnsi="Arial" w:cs="Arial"/>
        </w:rPr>
      </w:pPr>
      <w:r w:rsidRPr="00616138">
        <w:rPr>
          <w:rFonts w:ascii="Arial" w:hAnsi="Arial" w:cs="Arial"/>
        </w:rPr>
        <w:t xml:space="preserve">In conjunction with boosting the economy of the community. The success of this project could provide a safe place for children and adolescents to attend drama clubs and potentially increase the output of Welsh actors to add to the success of the previous mentioned.  </w:t>
      </w:r>
    </w:p>
    <w:sdt>
      <w:sdtPr>
        <w:id w:val="1844887857"/>
        <w:docPartObj>
          <w:docPartGallery w:val="Bibliographies"/>
          <w:docPartUnique/>
        </w:docPartObj>
      </w:sdtPr>
      <w:sdtEndPr>
        <w:rPr>
          <w:rFonts w:asciiTheme="minorHAnsi" w:eastAsiaTheme="minorHAnsi" w:hAnsiTheme="minorHAnsi" w:cstheme="minorBidi"/>
          <w:color w:val="auto"/>
          <w:sz w:val="24"/>
          <w:szCs w:val="24"/>
        </w:rPr>
      </w:sdtEndPr>
      <w:sdtContent>
        <w:p w14:paraId="715F18B3" w14:textId="1FEBDFF4" w:rsidR="00840F1F" w:rsidRPr="00840F1F" w:rsidRDefault="00840F1F">
          <w:pPr>
            <w:pStyle w:val="Heading1"/>
            <w:rPr>
              <w:rFonts w:ascii="Arial" w:hAnsi="Arial" w:cs="Arial"/>
              <w:sz w:val="28"/>
              <w:szCs w:val="28"/>
            </w:rPr>
          </w:pPr>
          <w:r w:rsidRPr="00840F1F">
            <w:rPr>
              <w:rFonts w:ascii="Arial" w:hAnsi="Arial" w:cs="Arial"/>
              <w:sz w:val="28"/>
              <w:szCs w:val="28"/>
            </w:rPr>
            <w:t>References</w:t>
          </w:r>
        </w:p>
        <w:sdt>
          <w:sdtPr>
            <w:id w:val="-573587230"/>
            <w:bibliography/>
          </w:sdtPr>
          <w:sdtContent>
            <w:p w14:paraId="388894F7" w14:textId="77777777" w:rsidR="00840F1F" w:rsidRDefault="00840F1F" w:rsidP="00840F1F">
              <w:pPr>
                <w:pStyle w:val="Bibliography"/>
                <w:ind w:left="720" w:hanging="720"/>
                <w:rPr>
                  <w:noProof/>
                  <w:kern w:val="0"/>
                  <w14:ligatures w14:val="none"/>
                </w:rPr>
              </w:pPr>
              <w:r>
                <w:fldChar w:fldCharType="begin"/>
              </w:r>
              <w:r>
                <w:instrText xml:space="preserve"> BIBLIOGRAPHY </w:instrText>
              </w:r>
              <w:r>
                <w:fldChar w:fldCharType="separate"/>
              </w:r>
              <w:r>
                <w:rPr>
                  <w:noProof/>
                </w:rPr>
                <w:t xml:space="preserve">Team, P. (2023, 12 30). </w:t>
              </w:r>
              <w:r>
                <w:rPr>
                  <w:i/>
                  <w:iCs/>
                  <w:noProof/>
                </w:rPr>
                <w:t>Mastering Project Viability: 7-Step Guide to a Flawless Feasibility Study.</w:t>
              </w:r>
              <w:r>
                <w:rPr>
                  <w:noProof/>
                </w:rPr>
                <w:t xml:space="preserve"> Retrieved from ClickUp: https://clickup.com/blog/feasibility-study/#:~:text=A%20feasibility%20study%20examines%20if%20a%20proposed%20project,necessary%20resources%20and%20budget%20for%20successful%20project%20execution.</w:t>
              </w:r>
            </w:p>
            <w:p w14:paraId="68437E6B" w14:textId="0AEC2248" w:rsidR="00840F1F" w:rsidRDefault="00840F1F" w:rsidP="00840F1F">
              <w:r>
                <w:rPr>
                  <w:b/>
                  <w:bCs/>
                  <w:noProof/>
                </w:rPr>
                <w:fldChar w:fldCharType="end"/>
              </w:r>
            </w:p>
          </w:sdtContent>
        </w:sdt>
      </w:sdtContent>
    </w:sdt>
    <w:p w14:paraId="62AB29B5" w14:textId="36B2AFD0" w:rsidR="00616138" w:rsidRPr="00616138" w:rsidRDefault="00616138" w:rsidP="00BD121B">
      <w:pPr>
        <w:spacing w:line="360" w:lineRule="auto"/>
        <w:rPr>
          <w:rFonts w:ascii="Arial" w:hAnsi="Arial" w:cs="Arial"/>
        </w:rPr>
      </w:pPr>
    </w:p>
    <w:sectPr w:rsidR="00616138" w:rsidRPr="00616138">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8B613D5" w14:textId="77777777" w:rsidR="008503E8" w:rsidRDefault="008503E8" w:rsidP="00CC3798">
      <w:pPr>
        <w:spacing w:after="0" w:line="240" w:lineRule="auto"/>
      </w:pPr>
      <w:r>
        <w:separator/>
      </w:r>
    </w:p>
  </w:endnote>
  <w:endnote w:type="continuationSeparator" w:id="0">
    <w:p w14:paraId="08A521D0" w14:textId="77777777" w:rsidR="008503E8" w:rsidRDefault="008503E8" w:rsidP="00CC37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3EC7532" w14:textId="77777777" w:rsidR="008503E8" w:rsidRDefault="008503E8" w:rsidP="00CC3798">
      <w:pPr>
        <w:spacing w:after="0" w:line="240" w:lineRule="auto"/>
      </w:pPr>
      <w:r>
        <w:separator/>
      </w:r>
    </w:p>
  </w:footnote>
  <w:footnote w:type="continuationSeparator" w:id="0">
    <w:p w14:paraId="7611697C" w14:textId="77777777" w:rsidR="008503E8" w:rsidRDefault="008503E8" w:rsidP="00CC379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8B3FA7A" w14:textId="1C2F3B7A" w:rsidR="00CC3798" w:rsidRDefault="008A2D6D">
    <w:pPr>
      <w:pStyle w:val="Header"/>
    </w:pPr>
    <w:r>
      <w:rPr>
        <w:noProof/>
      </w:rPr>
      <w:drawing>
        <wp:anchor distT="0" distB="0" distL="114300" distR="114300" simplePos="0" relativeHeight="251658240" behindDoc="0" locked="0" layoutInCell="1" allowOverlap="1" wp14:anchorId="40B1252D" wp14:editId="48D9E559">
          <wp:simplePos x="0" y="0"/>
          <wp:positionH relativeFrom="column">
            <wp:posOffset>4826000</wp:posOffset>
          </wp:positionH>
          <wp:positionV relativeFrom="paragraph">
            <wp:posOffset>-290830</wp:posOffset>
          </wp:positionV>
          <wp:extent cx="1664335" cy="542290"/>
          <wp:effectExtent l="0" t="0" r="0" b="0"/>
          <wp:wrapSquare wrapText="bothSides"/>
          <wp:docPr id="20351159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664335" cy="542290"/>
                  </a:xfrm>
                  <a:prstGeom prst="rect">
                    <a:avLst/>
                  </a:prstGeom>
                  <a:noFill/>
                </pic:spPr>
              </pic:pic>
            </a:graphicData>
          </a:graphic>
          <wp14:sizeRelH relativeFrom="page">
            <wp14:pctWidth>0</wp14:pctWidth>
          </wp14:sizeRelH>
          <wp14:sizeRelV relativeFrom="page">
            <wp14:pctHeight>0</wp14:pctHeight>
          </wp14:sizeRelV>
        </wp:anchor>
      </w:drawing>
    </w:r>
    <w:r>
      <w:t>Matthew Moore - 1911169</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6455"/>
    <w:rsid w:val="00233681"/>
    <w:rsid w:val="002F170C"/>
    <w:rsid w:val="004D67F6"/>
    <w:rsid w:val="00505412"/>
    <w:rsid w:val="00616138"/>
    <w:rsid w:val="00840F1F"/>
    <w:rsid w:val="00846455"/>
    <w:rsid w:val="008503E8"/>
    <w:rsid w:val="008A2D6D"/>
    <w:rsid w:val="00AE3C0B"/>
    <w:rsid w:val="00BD121B"/>
    <w:rsid w:val="00CC34EB"/>
    <w:rsid w:val="00CC3798"/>
    <w:rsid w:val="00D37BBA"/>
    <w:rsid w:val="00D5566E"/>
    <w:rsid w:val="00E56D8F"/>
    <w:rsid w:val="00F242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5B6AE03"/>
  <w15:chartTrackingRefBased/>
  <w15:docId w15:val="{A3FB3D36-B54F-43BB-B326-C550A82E57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4645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4645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4645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4645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4645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4645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4645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4645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4645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4645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4645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4645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4645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4645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4645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4645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4645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46455"/>
    <w:rPr>
      <w:rFonts w:eastAsiaTheme="majorEastAsia" w:cstheme="majorBidi"/>
      <w:color w:val="272727" w:themeColor="text1" w:themeTint="D8"/>
    </w:rPr>
  </w:style>
  <w:style w:type="paragraph" w:styleId="Title">
    <w:name w:val="Title"/>
    <w:basedOn w:val="Normal"/>
    <w:next w:val="Normal"/>
    <w:link w:val="TitleChar"/>
    <w:uiPriority w:val="10"/>
    <w:qFormat/>
    <w:rsid w:val="0084645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4645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4645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4645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46455"/>
    <w:pPr>
      <w:spacing w:before="160"/>
      <w:jc w:val="center"/>
    </w:pPr>
    <w:rPr>
      <w:i/>
      <w:iCs/>
      <w:color w:val="404040" w:themeColor="text1" w:themeTint="BF"/>
    </w:rPr>
  </w:style>
  <w:style w:type="character" w:customStyle="1" w:styleId="QuoteChar">
    <w:name w:val="Quote Char"/>
    <w:basedOn w:val="DefaultParagraphFont"/>
    <w:link w:val="Quote"/>
    <w:uiPriority w:val="29"/>
    <w:rsid w:val="00846455"/>
    <w:rPr>
      <w:i/>
      <w:iCs/>
      <w:color w:val="404040" w:themeColor="text1" w:themeTint="BF"/>
    </w:rPr>
  </w:style>
  <w:style w:type="paragraph" w:styleId="ListParagraph">
    <w:name w:val="List Paragraph"/>
    <w:basedOn w:val="Normal"/>
    <w:uiPriority w:val="34"/>
    <w:qFormat/>
    <w:rsid w:val="00846455"/>
    <w:pPr>
      <w:ind w:left="720"/>
      <w:contextualSpacing/>
    </w:pPr>
  </w:style>
  <w:style w:type="character" w:styleId="IntenseEmphasis">
    <w:name w:val="Intense Emphasis"/>
    <w:basedOn w:val="DefaultParagraphFont"/>
    <w:uiPriority w:val="21"/>
    <w:qFormat/>
    <w:rsid w:val="00846455"/>
    <w:rPr>
      <w:i/>
      <w:iCs/>
      <w:color w:val="0F4761" w:themeColor="accent1" w:themeShade="BF"/>
    </w:rPr>
  </w:style>
  <w:style w:type="paragraph" w:styleId="IntenseQuote">
    <w:name w:val="Intense Quote"/>
    <w:basedOn w:val="Normal"/>
    <w:next w:val="Normal"/>
    <w:link w:val="IntenseQuoteChar"/>
    <w:uiPriority w:val="30"/>
    <w:qFormat/>
    <w:rsid w:val="0084645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46455"/>
    <w:rPr>
      <w:i/>
      <w:iCs/>
      <w:color w:val="0F4761" w:themeColor="accent1" w:themeShade="BF"/>
    </w:rPr>
  </w:style>
  <w:style w:type="character" w:styleId="IntenseReference">
    <w:name w:val="Intense Reference"/>
    <w:basedOn w:val="DefaultParagraphFont"/>
    <w:uiPriority w:val="32"/>
    <w:qFormat/>
    <w:rsid w:val="00846455"/>
    <w:rPr>
      <w:b/>
      <w:bCs/>
      <w:smallCaps/>
      <w:color w:val="0F4761" w:themeColor="accent1" w:themeShade="BF"/>
      <w:spacing w:val="5"/>
    </w:rPr>
  </w:style>
  <w:style w:type="paragraph" w:styleId="Header">
    <w:name w:val="header"/>
    <w:basedOn w:val="Normal"/>
    <w:link w:val="HeaderChar"/>
    <w:uiPriority w:val="99"/>
    <w:unhideWhenUsed/>
    <w:rsid w:val="00CC3798"/>
    <w:pPr>
      <w:tabs>
        <w:tab w:val="center" w:pos="4513"/>
        <w:tab w:val="right" w:pos="9026"/>
      </w:tabs>
      <w:spacing w:after="0" w:line="240" w:lineRule="auto"/>
    </w:pPr>
  </w:style>
  <w:style w:type="character" w:customStyle="1" w:styleId="HeaderChar">
    <w:name w:val="Header Char"/>
    <w:basedOn w:val="DefaultParagraphFont"/>
    <w:link w:val="Header"/>
    <w:uiPriority w:val="99"/>
    <w:rsid w:val="00CC3798"/>
  </w:style>
  <w:style w:type="paragraph" w:styleId="Footer">
    <w:name w:val="footer"/>
    <w:basedOn w:val="Normal"/>
    <w:link w:val="FooterChar"/>
    <w:uiPriority w:val="99"/>
    <w:unhideWhenUsed/>
    <w:rsid w:val="00CC3798"/>
    <w:pPr>
      <w:tabs>
        <w:tab w:val="center" w:pos="4513"/>
        <w:tab w:val="right" w:pos="9026"/>
      </w:tabs>
      <w:spacing w:after="0" w:line="240" w:lineRule="auto"/>
    </w:pPr>
  </w:style>
  <w:style w:type="character" w:customStyle="1" w:styleId="FooterChar">
    <w:name w:val="Footer Char"/>
    <w:basedOn w:val="DefaultParagraphFont"/>
    <w:link w:val="Footer"/>
    <w:uiPriority w:val="99"/>
    <w:rsid w:val="00CC3798"/>
  </w:style>
  <w:style w:type="paragraph" w:styleId="Bibliography">
    <w:name w:val="Bibliography"/>
    <w:basedOn w:val="Normal"/>
    <w:next w:val="Normal"/>
    <w:uiPriority w:val="37"/>
    <w:unhideWhenUsed/>
    <w:rsid w:val="00840F1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5996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PMO23</b:Tag>
    <b:SourceType>DocumentFromInternetSite</b:SourceType>
    <b:Guid>{90FB8F75-8045-41A7-8932-8BE21DDC206F}</b:Guid>
    <b:Author>
      <b:Author>
        <b:NameList>
          <b:Person>
            <b:Last>Team</b:Last>
            <b:First>PMO</b:First>
          </b:Person>
        </b:NameList>
      </b:Author>
    </b:Author>
    <b:Title>Mastering Project Viability: 7-Step Guide to a Flawless Feasibility Study</b:Title>
    <b:InternetSiteTitle>ClickUp</b:InternetSiteTitle>
    <b:Year>2023</b:Year>
    <b:Month>12</b:Month>
    <b:Day>30</b:Day>
    <b:URL>https://clickup.com/blog/feasibility-study/#:~:text=A%20feasibility%20study%20examines%20if%20a%20proposed%20project,necessary%20resources%20and%20budget%20for%20successful%20project%20execution.</b:URL>
    <b:RefOrder>1</b:RefOrder>
  </b:Source>
</b:Sources>
</file>

<file path=customXml/itemProps1.xml><?xml version="1.0" encoding="utf-8"?>
<ds:datastoreItem xmlns:ds="http://schemas.openxmlformats.org/officeDocument/2006/customXml" ds:itemID="{9C43849A-BB7E-4802-887E-9842376D61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TotalTime>
  <Pages>3</Pages>
  <Words>602</Words>
  <Characters>3433</Characters>
  <Application>Microsoft Office Word</Application>
  <DocSecurity>0</DocSecurity>
  <Lines>28</Lines>
  <Paragraphs>8</Paragraphs>
  <ScaleCrop>false</ScaleCrop>
  <Company/>
  <LinksUpToDate>false</LinksUpToDate>
  <CharactersWithSpaces>4027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Moore</dc:creator>
  <cp:keywords/>
  <dc:description/>
  <cp:lastModifiedBy>Matthew Moore</cp:lastModifiedBy>
  <cp:revision>15</cp:revision>
  <dcterms:created xsi:type="dcterms:W3CDTF">2024-05-01T19:29:00Z</dcterms:created>
  <dcterms:modified xsi:type="dcterms:W3CDTF">2024-05-01T20:02:00Z</dcterms:modified>
</cp:coreProperties>
</file>