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166D1" w14:textId="1CBED90E" w:rsidR="009C4098" w:rsidRPr="009C4098" w:rsidRDefault="009C4098" w:rsidP="009C4098">
      <w:pPr>
        <w:jc w:val="center"/>
      </w:pPr>
      <w:r w:rsidRPr="009C4098">
        <w:t>Does the notion of inference to the best explanation provide the best approach to justifying our beliefs about other minds?</w:t>
      </w:r>
    </w:p>
    <w:p w14:paraId="59109D8C" w14:textId="77777777" w:rsidR="00760595" w:rsidRDefault="00760595"/>
    <w:p w14:paraId="2122BF57" w14:textId="765D16C7" w:rsidR="00A52867" w:rsidRDefault="00A52867">
      <w:r>
        <w:t xml:space="preserve">How </w:t>
      </w:r>
      <w:r w:rsidR="00BA41A8">
        <w:t>H</w:t>
      </w:r>
      <w:r w:rsidR="00BB4D86">
        <w:t xml:space="preserve">umans can best approach </w:t>
      </w:r>
      <w:r w:rsidR="00BA41A8">
        <w:t>justifying our beliefs about other minds</w:t>
      </w:r>
      <w:r w:rsidR="00C52EDF">
        <w:t xml:space="preserve"> </w:t>
      </w:r>
      <w:r w:rsidR="00F04640">
        <w:t xml:space="preserve">is a </w:t>
      </w:r>
      <w:r w:rsidR="00456FBB">
        <w:t xml:space="preserve">question relating to </w:t>
      </w:r>
      <w:r w:rsidR="00687E67">
        <w:t xml:space="preserve">the </w:t>
      </w:r>
      <w:r w:rsidR="00FE7ADB">
        <w:t>philosophical study of the mind and how it functions wi</w:t>
      </w:r>
      <w:r w:rsidR="00DD7E3A">
        <w:t xml:space="preserve">th ideas of consciousness, proof of existence and mind states. </w:t>
      </w:r>
      <w:r w:rsidR="00945E21">
        <w:t>One of the first modern philosophers to talk about this</w:t>
      </w:r>
      <w:r w:rsidR="005410B9">
        <w:t>,</w:t>
      </w:r>
      <w:r w:rsidR="00945E21">
        <w:t xml:space="preserve"> wit</w:t>
      </w:r>
      <w:r w:rsidR="00DA5219">
        <w:t xml:space="preserve">hin his book </w:t>
      </w:r>
      <w:r w:rsidR="00687501">
        <w:t>‘</w:t>
      </w:r>
      <w:r w:rsidR="001A24DB">
        <w:t xml:space="preserve">Meditations on </w:t>
      </w:r>
      <w:r w:rsidR="0085640C">
        <w:t>F</w:t>
      </w:r>
      <w:r w:rsidR="001A24DB">
        <w:t xml:space="preserve">irst </w:t>
      </w:r>
      <w:r w:rsidR="0085640C">
        <w:t>P</w:t>
      </w:r>
      <w:r w:rsidR="001A24DB">
        <w:t>hilosophy</w:t>
      </w:r>
      <w:r w:rsidR="00687501">
        <w:t>’</w:t>
      </w:r>
      <w:r w:rsidR="005410B9">
        <w:t>,</w:t>
      </w:r>
      <w:r w:rsidR="009A0183">
        <w:t xml:space="preserve"> was Ren</w:t>
      </w:r>
      <w:r w:rsidR="00846EB5">
        <w:t>é Descartes</w:t>
      </w:r>
      <w:r w:rsidR="008B794F">
        <w:t>. One of the arguments made within this book was ‘</w:t>
      </w:r>
      <w:r w:rsidR="00EC1510">
        <w:t xml:space="preserve">Cogito ergo </w:t>
      </w:r>
      <w:r w:rsidR="00D33EC6">
        <w:t>s</w:t>
      </w:r>
      <w:r w:rsidR="00EC1510">
        <w:t>um</w:t>
      </w:r>
      <w:r w:rsidR="00D33EC6">
        <w:t xml:space="preserve">’ </w:t>
      </w:r>
      <w:sdt>
        <w:sdtPr>
          <w:id w:val="-1593308042"/>
          <w:citation/>
        </w:sdtPr>
        <w:sdtContent>
          <w:r w:rsidR="00D33EC6">
            <w:fldChar w:fldCharType="begin"/>
          </w:r>
          <w:r w:rsidR="00D33EC6">
            <w:instrText xml:space="preserve"> CITATION Ren41 \l 2057 </w:instrText>
          </w:r>
          <w:r w:rsidR="00D33EC6">
            <w:fldChar w:fldCharType="separate"/>
          </w:r>
          <w:r w:rsidR="00D33EC6" w:rsidRPr="00D33EC6">
            <w:rPr>
              <w:noProof/>
            </w:rPr>
            <w:t>(Descartes, 1641)</w:t>
          </w:r>
          <w:r w:rsidR="00D33EC6">
            <w:fldChar w:fldCharType="end"/>
          </w:r>
        </w:sdtContent>
      </w:sdt>
      <w:r w:rsidR="00D33EC6">
        <w:t xml:space="preserve"> translated to English </w:t>
      </w:r>
      <w:r w:rsidR="006F1214">
        <w:t xml:space="preserve">it </w:t>
      </w:r>
      <w:r w:rsidR="00931912">
        <w:t>says,</w:t>
      </w:r>
      <w:r w:rsidR="00D33EC6">
        <w:t xml:space="preserve"> </w:t>
      </w:r>
      <w:r w:rsidR="006F1214">
        <w:t xml:space="preserve">‘I think therefore I am’. This argument seeks to provide evidence </w:t>
      </w:r>
      <w:r w:rsidR="008D4A70">
        <w:t xml:space="preserve">for our existence, if I </w:t>
      </w:r>
      <w:r w:rsidR="002C7C55">
        <w:t xml:space="preserve">have the capacity to and do think then I must exist by my own nature. This </w:t>
      </w:r>
      <w:r w:rsidR="00311A1C">
        <w:t>may give proof of our own existence but how are we to justify the existence of any other person or living being,</w:t>
      </w:r>
      <w:r w:rsidR="006578D8">
        <w:t xml:space="preserve"> if we cannot justify </w:t>
      </w:r>
      <w:r w:rsidR="00931912">
        <w:t>other</w:t>
      </w:r>
      <w:r w:rsidR="006578D8">
        <w:t xml:space="preserve"> existences then </w:t>
      </w:r>
      <w:r w:rsidR="00E6669D">
        <w:t xml:space="preserve">we cannot justify any beliefs about another mind. </w:t>
      </w:r>
      <w:r w:rsidR="00877ACC">
        <w:t>One answer to this may be Behaviourism</w:t>
      </w:r>
      <w:r w:rsidR="00A24D46">
        <w:t xml:space="preserve">, </w:t>
      </w:r>
      <w:r w:rsidR="003D02B9">
        <w:t xml:space="preserve">a system discussed by </w:t>
      </w:r>
      <w:r w:rsidR="000D1CF6" w:rsidRPr="000D1CF6">
        <w:t>John B. Watson</w:t>
      </w:r>
      <w:r w:rsidR="000D1CF6">
        <w:t xml:space="preserve"> in </w:t>
      </w:r>
      <w:r w:rsidR="00687501">
        <w:t>‘</w:t>
      </w:r>
      <w:r w:rsidR="00687501" w:rsidRPr="00687501">
        <w:t xml:space="preserve">Psychology as the Behaviourist Views </w:t>
      </w:r>
      <w:r w:rsidR="00687501">
        <w:t xml:space="preserve">It’ </w:t>
      </w:r>
      <w:sdt>
        <w:sdtPr>
          <w:id w:val="-144897212"/>
          <w:citation/>
        </w:sdtPr>
        <w:sdtContent>
          <w:r w:rsidR="00687501">
            <w:fldChar w:fldCharType="begin"/>
          </w:r>
          <w:r w:rsidR="00687501">
            <w:instrText xml:space="preserve"> CITATION Joh13 \l 2057 </w:instrText>
          </w:r>
          <w:r w:rsidR="00687501">
            <w:fldChar w:fldCharType="separate"/>
          </w:r>
          <w:r w:rsidR="00687501" w:rsidRPr="00687501">
            <w:rPr>
              <w:noProof/>
            </w:rPr>
            <w:t>(Watson, 1913)</w:t>
          </w:r>
          <w:r w:rsidR="00687501">
            <w:fldChar w:fldCharType="end"/>
          </w:r>
        </w:sdtContent>
      </w:sdt>
      <w:r w:rsidR="00687501">
        <w:t xml:space="preserve"> In which he discusses how </w:t>
      </w:r>
      <w:r w:rsidR="00A20B6E">
        <w:t xml:space="preserve">psychology may benefit from looking at studying behaviour </w:t>
      </w:r>
      <w:r w:rsidR="00633848">
        <w:t xml:space="preserve">of both humans and other animals </w:t>
      </w:r>
      <w:r w:rsidR="007A2C69">
        <w:t>as well as criticising the introspective view psychology had</w:t>
      </w:r>
      <w:r w:rsidR="004F63CD">
        <w:t>, at the time,</w:t>
      </w:r>
      <w:r w:rsidR="007A2C69">
        <w:t xml:space="preserve"> been focusing on</w:t>
      </w:r>
      <w:r w:rsidR="004F63CD">
        <w:t>. Whilst this initial example may be related to</w:t>
      </w:r>
      <w:r w:rsidR="008535BA">
        <w:t xml:space="preserve"> psychology firstly, its ideas and methods could also be applied to the question of other minds</w:t>
      </w:r>
      <w:r w:rsidR="00653365">
        <w:t xml:space="preserve">, if we don’t look inwards to our own minds and rather observe </w:t>
      </w:r>
      <w:r w:rsidR="00677C74">
        <w:t>actions</w:t>
      </w:r>
      <w:r w:rsidR="006970B0">
        <w:t xml:space="preserve"> of others</w:t>
      </w:r>
      <w:r w:rsidR="00677C74">
        <w:t xml:space="preserve"> then infer </w:t>
      </w:r>
      <w:r w:rsidR="006970B0">
        <w:t>things from said action</w:t>
      </w:r>
      <w:r w:rsidR="00745530">
        <w:t xml:space="preserve">s about their mind, with the focus on behaviour and inferences from said behaviour we can try </w:t>
      </w:r>
      <w:r w:rsidR="009001ED">
        <w:t xml:space="preserve">infer and form beliefs about other minds, both human and animal. The extent to which </w:t>
      </w:r>
      <w:r w:rsidR="000A0700">
        <w:t>inference provides the best explanation will be discussed</w:t>
      </w:r>
      <w:r w:rsidR="00621C6F">
        <w:t xml:space="preserve"> and </w:t>
      </w:r>
      <w:r w:rsidR="00CE2DD4">
        <w:t>hopefully answered within this essay</w:t>
      </w:r>
      <w:r w:rsidR="007D7F1A">
        <w:t xml:space="preserve">. </w:t>
      </w:r>
      <w:r w:rsidR="0000450A">
        <w:t xml:space="preserve">The method I will use to discuss how </w:t>
      </w:r>
      <w:r w:rsidR="0052108A">
        <w:t xml:space="preserve">useful inference is will be looking at a few different </w:t>
      </w:r>
      <w:r w:rsidR="00432E90">
        <w:t xml:space="preserve">Philosophers approaches and arguments </w:t>
      </w:r>
      <w:r w:rsidR="00153F33">
        <w:t>then discuss and compare them against one another</w:t>
      </w:r>
      <w:r w:rsidR="003F3A5B">
        <w:t xml:space="preserve">. The Philosophers that will be discussed </w:t>
      </w:r>
      <w:r w:rsidR="00692979">
        <w:t>are</w:t>
      </w:r>
      <w:r w:rsidR="00A61A9C">
        <w:t xml:space="preserve"> JS Mill, Wittgenstein</w:t>
      </w:r>
      <w:r w:rsidR="00393AB8">
        <w:t>, Gilbert Ryle.</w:t>
      </w:r>
    </w:p>
    <w:p w14:paraId="5B2914F6" w14:textId="052F537A" w:rsidR="00483B01" w:rsidRDefault="00ED3D5B">
      <w:r>
        <w:t xml:space="preserve">Within this first paragraph, I will </w:t>
      </w:r>
      <w:r w:rsidR="0028318E">
        <w:t xml:space="preserve">define, discuss and differentiate several terms and concepts that are key to the </w:t>
      </w:r>
      <w:r w:rsidR="00AB6798">
        <w:t xml:space="preserve">question of whether </w:t>
      </w:r>
      <w:r w:rsidR="00AB6798" w:rsidRPr="009C4098">
        <w:t>the notion of inference to the best explanation provide</w:t>
      </w:r>
      <w:r w:rsidR="00AB6798">
        <w:t>s</w:t>
      </w:r>
      <w:r w:rsidR="00AB6798" w:rsidRPr="009C4098">
        <w:t xml:space="preserve"> the best approach to justifying our beliefs about other minds</w:t>
      </w:r>
      <w:r w:rsidR="00714659">
        <w:t xml:space="preserve">. </w:t>
      </w:r>
      <w:r w:rsidR="00464C5D">
        <w:t xml:space="preserve">I will firstly </w:t>
      </w:r>
      <w:r w:rsidR="00002559">
        <w:t xml:space="preserve">define inference; An inference </w:t>
      </w:r>
      <w:r w:rsidR="002F68E3">
        <w:t xml:space="preserve">is </w:t>
      </w:r>
      <w:r w:rsidR="0067414F">
        <w:t xml:space="preserve">the process in which one can </w:t>
      </w:r>
      <w:r w:rsidR="000B6759">
        <w:t>de</w:t>
      </w:r>
      <w:r w:rsidR="00B114D2">
        <w:t xml:space="preserve">duce something </w:t>
      </w:r>
      <w:r w:rsidR="009563FF">
        <w:t>based on observations, evidence and reasoning</w:t>
      </w:r>
      <w:r w:rsidR="002C3A0D">
        <w:t xml:space="preserve">. An example of an inference that will later be </w:t>
      </w:r>
      <w:r w:rsidR="00A57C25">
        <w:t xml:space="preserve">discussed </w:t>
      </w:r>
      <w:r w:rsidR="00F83AC3">
        <w:t>is someone wincing whilst clutching</w:t>
      </w:r>
      <w:r w:rsidR="00825862">
        <w:t xml:space="preserve"> their ribs. From the combination of my </w:t>
      </w:r>
      <w:r w:rsidR="0088020A">
        <w:t xml:space="preserve">either innate or learned </w:t>
      </w:r>
      <w:r w:rsidR="00825862">
        <w:t>knowledge that</w:t>
      </w:r>
      <w:r w:rsidR="00A80166">
        <w:t>,</w:t>
      </w:r>
      <w:r w:rsidR="00825862">
        <w:t xml:space="preserve"> wincing usually results from pain </w:t>
      </w:r>
      <w:r w:rsidR="00CA1E2A">
        <w:t xml:space="preserve">and that clutching a </w:t>
      </w:r>
      <w:r w:rsidR="00791988">
        <w:t xml:space="preserve">body part from pain </w:t>
      </w:r>
      <w:r w:rsidR="0088020A">
        <w:t xml:space="preserve">is a common reaction, </w:t>
      </w:r>
      <w:r w:rsidR="00CB0C12">
        <w:t xml:space="preserve">I can </w:t>
      </w:r>
      <w:r w:rsidR="00F6263C">
        <w:t xml:space="preserve">infer the conclusion that this person has </w:t>
      </w:r>
      <w:r w:rsidR="003B31A2">
        <w:t>had either some internal or external damage done to their ribs</w:t>
      </w:r>
      <w:r w:rsidR="00794968">
        <w:t xml:space="preserve">. </w:t>
      </w:r>
      <w:r w:rsidR="007A777E">
        <w:t>Next,</w:t>
      </w:r>
      <w:r w:rsidR="00D33A81">
        <w:t xml:space="preserve"> </w:t>
      </w:r>
      <w:r w:rsidR="00907F9B">
        <w:t xml:space="preserve">I will </w:t>
      </w:r>
      <w:r w:rsidR="001F71DE">
        <w:t xml:space="preserve">define </w:t>
      </w:r>
      <w:r w:rsidR="003A1FA3">
        <w:t>“</w:t>
      </w:r>
      <w:r w:rsidR="002E0298">
        <w:t>Inference to the b</w:t>
      </w:r>
      <w:r w:rsidR="003A1FA3">
        <w:t xml:space="preserve">est </w:t>
      </w:r>
      <w:r w:rsidR="006925ED">
        <w:t>explanation” (</w:t>
      </w:r>
      <w:r w:rsidR="00087EDD">
        <w:t>IBE)</w:t>
      </w:r>
      <w:r w:rsidR="00081AF0">
        <w:t xml:space="preserve">; </w:t>
      </w:r>
      <w:r w:rsidR="00087EDD">
        <w:t xml:space="preserve">An IBE is </w:t>
      </w:r>
      <w:r w:rsidR="001767AA">
        <w:t>the method of logical reasoning that</w:t>
      </w:r>
      <w:r w:rsidR="005B2E11">
        <w:t xml:space="preserve"> chooses the most appropriate inference from </w:t>
      </w:r>
      <w:r w:rsidR="003203EC">
        <w:t xml:space="preserve">multiple pieces of evidence and reasoning. </w:t>
      </w:r>
      <w:r w:rsidR="00B13033">
        <w:t>Next,</w:t>
      </w:r>
      <w:r w:rsidR="00B20ECD">
        <w:t xml:space="preserve"> </w:t>
      </w:r>
      <w:r w:rsidR="00D737FA">
        <w:t xml:space="preserve">I will discuss </w:t>
      </w:r>
      <w:r w:rsidR="00B51DE8">
        <w:t>B</w:t>
      </w:r>
      <w:r w:rsidR="00D737FA">
        <w:t>ehaviourism</w:t>
      </w:r>
      <w:r w:rsidR="00B51DE8">
        <w:t>, which is a</w:t>
      </w:r>
      <w:r w:rsidR="00294D70">
        <w:t xml:space="preserve"> theory </w:t>
      </w:r>
      <w:r w:rsidR="005C0910">
        <w:t xml:space="preserve">of mind that emphasises </w:t>
      </w:r>
      <w:r w:rsidR="007A02A0">
        <w:t xml:space="preserve">the use and study </w:t>
      </w:r>
      <w:r w:rsidR="00653B52">
        <w:t xml:space="preserve">of observable behaviours in order to understand and </w:t>
      </w:r>
      <w:r w:rsidR="00664D94">
        <w:t xml:space="preserve">explain </w:t>
      </w:r>
      <w:r w:rsidR="007A777E">
        <w:t>mental states</w:t>
      </w:r>
      <w:r w:rsidR="00231152">
        <w:t xml:space="preserve"> rather than via an introspective method</w:t>
      </w:r>
      <w:sdt>
        <w:sdtPr>
          <w:id w:val="145013551"/>
          <w:citation/>
        </w:sdtPr>
        <w:sdtContent>
          <w:r w:rsidR="00DB6C21">
            <w:fldChar w:fldCharType="begin"/>
          </w:r>
          <w:r w:rsidR="00DB6C21">
            <w:instrText xml:space="preserve">CITATION Ryl49 \p 199 \l 2057 </w:instrText>
          </w:r>
          <w:r w:rsidR="00DB6C21">
            <w:fldChar w:fldCharType="separate"/>
          </w:r>
          <w:r w:rsidR="00DB6C21">
            <w:rPr>
              <w:noProof/>
            </w:rPr>
            <w:t xml:space="preserve"> </w:t>
          </w:r>
          <w:r w:rsidR="00DB6C21" w:rsidRPr="00DB6C21">
            <w:rPr>
              <w:noProof/>
            </w:rPr>
            <w:t>(Ryle, 1949, p. 199)</w:t>
          </w:r>
          <w:r w:rsidR="00DB6C21">
            <w:fldChar w:fldCharType="end"/>
          </w:r>
        </w:sdtContent>
      </w:sdt>
      <w:r w:rsidR="00F07180">
        <w:t>.</w:t>
      </w:r>
      <w:r w:rsidR="0074045F">
        <w:t xml:space="preserve"> </w:t>
      </w:r>
      <w:r w:rsidR="00365DF6">
        <w:t xml:space="preserve">This theory </w:t>
      </w:r>
      <w:r w:rsidR="00800A18">
        <w:t xml:space="preserve">argues that </w:t>
      </w:r>
      <w:r w:rsidR="00C03770">
        <w:t xml:space="preserve">there is not a mind body problem, such as what </w:t>
      </w:r>
      <w:r w:rsidR="00A52468">
        <w:t xml:space="preserve">Descartes discovered, </w:t>
      </w:r>
      <w:r w:rsidR="006D4B59">
        <w:t>but rather t</w:t>
      </w:r>
      <w:r w:rsidR="003E6ACA">
        <w:t xml:space="preserve">hat the mind can be observed and studied through the </w:t>
      </w:r>
      <w:r w:rsidR="00B44652">
        <w:t>body’s</w:t>
      </w:r>
      <w:r w:rsidR="003E6ACA">
        <w:t xml:space="preserve"> actions. As well as this some behaviourists argue for </w:t>
      </w:r>
      <w:r w:rsidR="00B44652">
        <w:t xml:space="preserve">the mind to be understood as part of the body </w:t>
      </w:r>
      <w:r w:rsidR="00CA0AF2">
        <w:t xml:space="preserve">and claim that the previous ideas of the mind and body were instead a </w:t>
      </w:r>
      <w:r w:rsidR="00C44266">
        <w:t>‘Category Mistake’</w:t>
      </w:r>
      <w:sdt>
        <w:sdtPr>
          <w:id w:val="-1853033024"/>
          <w:citation/>
        </w:sdtPr>
        <w:sdtContent>
          <w:r w:rsidR="00CA1D49">
            <w:fldChar w:fldCharType="begin"/>
          </w:r>
          <w:r w:rsidR="00CA1D49">
            <w:instrText xml:space="preserve">CITATION Ryl49 \p 16 \l 2057 </w:instrText>
          </w:r>
          <w:r w:rsidR="00CA1D49">
            <w:fldChar w:fldCharType="separate"/>
          </w:r>
          <w:r w:rsidR="00CA1D49">
            <w:rPr>
              <w:noProof/>
            </w:rPr>
            <w:t xml:space="preserve"> </w:t>
          </w:r>
          <w:r w:rsidR="00CA1D49" w:rsidRPr="00CA1D49">
            <w:rPr>
              <w:noProof/>
            </w:rPr>
            <w:t>(Ryle, 1949, p. 16)</w:t>
          </w:r>
          <w:r w:rsidR="00CA1D49">
            <w:fldChar w:fldCharType="end"/>
          </w:r>
        </w:sdtContent>
      </w:sdt>
      <w:r w:rsidR="00CA0AF2">
        <w:t xml:space="preserve"> </w:t>
      </w:r>
      <w:r w:rsidR="00CA1D49">
        <w:t xml:space="preserve">and </w:t>
      </w:r>
      <w:r w:rsidR="00095E8B">
        <w:t>that th</w:t>
      </w:r>
      <w:r w:rsidR="00493523">
        <w:t>e mind should not be considered a separate entity to the body</w:t>
      </w:r>
      <w:r w:rsidR="002A3287">
        <w:t xml:space="preserve">. </w:t>
      </w:r>
      <w:r w:rsidR="007426B9">
        <w:t>Furthermore,</w:t>
      </w:r>
      <w:r w:rsidR="00652A28">
        <w:t xml:space="preserve"> there is a difference between </w:t>
      </w:r>
      <w:r w:rsidR="007426B9">
        <w:t xml:space="preserve">certain behaviourist interpretations. Hard Behaviourism </w:t>
      </w:r>
      <w:r w:rsidR="007330C3">
        <w:t xml:space="preserve">takes the stance that </w:t>
      </w:r>
      <w:r w:rsidR="00F30DD3">
        <w:t>all mental states</w:t>
      </w:r>
      <w:r w:rsidR="00692979">
        <w:t xml:space="preserve"> can be reduced to and fully explained by </w:t>
      </w:r>
      <w:r w:rsidR="006702F3">
        <w:t xml:space="preserve">external stimuli and </w:t>
      </w:r>
      <w:r w:rsidR="00951391">
        <w:t xml:space="preserve">observable behaviours. </w:t>
      </w:r>
      <w:r w:rsidR="00E00B9F">
        <w:t>Soft Behaviourism</w:t>
      </w:r>
      <w:r w:rsidR="007E2DBB">
        <w:t xml:space="preserve"> instead takes a less rigid stance and argues that mental states </w:t>
      </w:r>
      <w:r w:rsidR="00A17B2C">
        <w:lastRenderedPageBreak/>
        <w:t xml:space="preserve">are good explanatory tools and </w:t>
      </w:r>
      <w:r w:rsidR="00AB5FC3">
        <w:t xml:space="preserve">are reflected in </w:t>
      </w:r>
      <w:r w:rsidR="00373600">
        <w:t>one’s</w:t>
      </w:r>
      <w:r w:rsidR="00AB5FC3">
        <w:t xml:space="preserve"> </w:t>
      </w:r>
      <w:r w:rsidR="00712C76">
        <w:t>behavioural dispositions</w:t>
      </w:r>
      <w:r w:rsidR="00E13F10">
        <w:t>.</w:t>
      </w:r>
      <w:r w:rsidR="002B3351">
        <w:t xml:space="preserve"> Now that these ideas and </w:t>
      </w:r>
      <w:r w:rsidR="00A70A43">
        <w:t xml:space="preserve">definitions have been discussed we can move onto discussing inference </w:t>
      </w:r>
      <w:r w:rsidR="00483B01">
        <w:t>and how it may be our best approach to justify our beliefs of other minds.</w:t>
      </w:r>
    </w:p>
    <w:p w14:paraId="0C2D4F75" w14:textId="61980681" w:rsidR="006400F1" w:rsidRDefault="0023202F">
      <w:r>
        <w:t xml:space="preserve">Within </w:t>
      </w:r>
      <w:r w:rsidR="002F1423">
        <w:t>his book</w:t>
      </w:r>
      <w:r w:rsidR="00B4491A">
        <w:t xml:space="preserve"> the Concept of Mind </w:t>
      </w:r>
      <w:sdt>
        <w:sdtPr>
          <w:id w:val="-955402961"/>
          <w:citation/>
        </w:sdtPr>
        <w:sdtContent>
          <w:r w:rsidR="00B4491A">
            <w:fldChar w:fldCharType="begin"/>
          </w:r>
          <w:r w:rsidR="00B4491A">
            <w:instrText xml:space="preserve"> CITATION Ryl49 \l 2057 </w:instrText>
          </w:r>
          <w:r w:rsidR="00B4491A">
            <w:fldChar w:fldCharType="separate"/>
          </w:r>
          <w:r w:rsidR="00B4491A" w:rsidRPr="00B4491A">
            <w:rPr>
              <w:noProof/>
            </w:rPr>
            <w:t>(Ryle, 1949)</w:t>
          </w:r>
          <w:r w:rsidR="00B4491A">
            <w:fldChar w:fldCharType="end"/>
          </w:r>
        </w:sdtContent>
      </w:sdt>
      <w:r w:rsidR="002211BC">
        <w:t xml:space="preserve"> Gilbert Ryle discusses</w:t>
      </w:r>
      <w:r w:rsidR="00A749AF">
        <w:t xml:space="preserve"> the notion that </w:t>
      </w:r>
      <w:r w:rsidR="00084168">
        <w:t xml:space="preserve">the </w:t>
      </w:r>
      <w:r w:rsidR="00482526">
        <w:t xml:space="preserve">previous method of introspective research and beliefs </w:t>
      </w:r>
      <w:r w:rsidR="004D41ED">
        <w:t xml:space="preserve">was flawed as it does not give others a true understanding of </w:t>
      </w:r>
      <w:r w:rsidR="003C05A4">
        <w:t>a person’s mind</w:t>
      </w:r>
      <w:r w:rsidR="00477607">
        <w:t>. “</w:t>
      </w:r>
      <w:r w:rsidR="002242AD">
        <w:t xml:space="preserve">these </w:t>
      </w:r>
      <w:r w:rsidR="003C05A4" w:rsidRPr="003C05A4">
        <w:t xml:space="preserve">postulated cognitive acts and processes are </w:t>
      </w:r>
      <w:r w:rsidR="000F05D7" w:rsidRPr="003C05A4">
        <w:t xml:space="preserve">said </w:t>
      </w:r>
      <w:r w:rsidR="000F05D7">
        <w:t>to</w:t>
      </w:r>
      <w:r w:rsidR="003C05A4" w:rsidRPr="003C05A4">
        <w:t xml:space="preserve"> take place behind locked doors. We cannot </w:t>
      </w:r>
      <w:r w:rsidR="003C05A4">
        <w:t>wi</w:t>
      </w:r>
      <w:r w:rsidR="003C05A4" w:rsidRPr="003C05A4">
        <w:t>tness them taking place in John Doe's life. He alone could report their occurrence</w:t>
      </w:r>
      <w:r w:rsidR="00EE62AA">
        <w:t xml:space="preserve">” </w:t>
      </w:r>
      <w:sdt>
        <w:sdtPr>
          <w:id w:val="1523360946"/>
          <w:citation/>
        </w:sdtPr>
        <w:sdtContent>
          <w:r w:rsidR="00EE62AA">
            <w:fldChar w:fldCharType="begin"/>
          </w:r>
          <w:r w:rsidR="00EE62AA">
            <w:instrText xml:space="preserve">CITATION Ryl49 \p 293 \l 2057 </w:instrText>
          </w:r>
          <w:r w:rsidR="00EE62AA">
            <w:fldChar w:fldCharType="separate"/>
          </w:r>
          <w:r w:rsidR="00EE62AA" w:rsidRPr="00EE62AA">
            <w:rPr>
              <w:noProof/>
            </w:rPr>
            <w:t>(Ryle, 1949, p. 293)</w:t>
          </w:r>
          <w:r w:rsidR="00EE62AA">
            <w:fldChar w:fldCharType="end"/>
          </w:r>
        </w:sdtContent>
      </w:sdt>
      <w:r w:rsidR="00723360">
        <w:t xml:space="preserve">, </w:t>
      </w:r>
      <w:r w:rsidR="00255CF7">
        <w:t>the p</w:t>
      </w:r>
      <w:r w:rsidR="002242AD">
        <w:t>ostulated cognitive act</w:t>
      </w:r>
      <w:r w:rsidR="0013465B">
        <w:t>s Ryle talks about here</w:t>
      </w:r>
      <w:r w:rsidR="00E26D43">
        <w:t xml:space="preserve"> </w:t>
      </w:r>
      <w:r w:rsidR="00727BBD">
        <w:t>cannot be understood by other</w:t>
      </w:r>
      <w:r w:rsidR="00C10935">
        <w:t xml:space="preserve"> minds as they are behind “Locked doors”</w:t>
      </w:r>
      <w:r w:rsidR="00EF0D6C">
        <w:t>, those doors being our inner workings and mind.</w:t>
      </w:r>
      <w:r w:rsidR="000F05D7">
        <w:t xml:space="preserve"> R</w:t>
      </w:r>
      <w:r w:rsidR="00EF0D6C" w:rsidRPr="00EF0D6C">
        <w:t>yle claims that</w:t>
      </w:r>
      <w:r w:rsidR="00EF0D6C">
        <w:t xml:space="preserve"> </w:t>
      </w:r>
      <w:r w:rsidR="00EF0D6C" w:rsidRPr="00EF0D6C">
        <w:t xml:space="preserve">the very inference made from </w:t>
      </w:r>
      <w:r w:rsidR="00EF0D6C" w:rsidRPr="00EF0D6C">
        <w:t>behaviour</w:t>
      </w:r>
      <w:r w:rsidR="00EF0D6C" w:rsidRPr="00EF0D6C">
        <w:t xml:space="preserve"> to a mental state is depending on a fallacy of what it means to ascribe a mental concept. To say that John Doe is </w:t>
      </w:r>
      <w:r w:rsidR="007551B3">
        <w:t>“</w:t>
      </w:r>
      <w:r w:rsidR="00EF0D6C" w:rsidRPr="00EF0D6C">
        <w:t>in pain</w:t>
      </w:r>
      <w:r w:rsidR="007551B3">
        <w:t xml:space="preserve">” </w:t>
      </w:r>
      <w:sdt>
        <w:sdtPr>
          <w:id w:val="-647201593"/>
          <w:citation/>
        </w:sdtPr>
        <w:sdtContent>
          <w:r w:rsidR="007551B3">
            <w:fldChar w:fldCharType="begin"/>
          </w:r>
          <w:r w:rsidR="007551B3">
            <w:instrText xml:space="preserve">CITATION Ryl49 \p 221 \l 2057 </w:instrText>
          </w:r>
          <w:r w:rsidR="007551B3">
            <w:fldChar w:fldCharType="separate"/>
          </w:r>
          <w:r w:rsidR="007551B3" w:rsidRPr="007551B3">
            <w:rPr>
              <w:noProof/>
            </w:rPr>
            <w:t>(Ryle, 1949, p. 221)</w:t>
          </w:r>
          <w:r w:rsidR="007551B3">
            <w:fldChar w:fldCharType="end"/>
          </w:r>
        </w:sdtContent>
      </w:sdt>
      <w:r w:rsidR="00EF0D6C" w:rsidRPr="00EF0D6C">
        <w:t xml:space="preserve"> is not to </w:t>
      </w:r>
      <w:r w:rsidR="000F05D7">
        <w:t>put forward</w:t>
      </w:r>
      <w:r w:rsidR="00EF0D6C" w:rsidRPr="00EF0D6C">
        <w:t xml:space="preserve"> an unobservable mental fact that explains the groaning or wincing that he</w:t>
      </w:r>
      <w:r w:rsidR="00345962">
        <w:t xml:space="preserve"> </w:t>
      </w:r>
      <w:r w:rsidR="00EF0D6C" w:rsidRPr="00EF0D6C">
        <w:t>makes. Rather, it is to</w:t>
      </w:r>
      <w:r w:rsidR="000F05D7">
        <w:t xml:space="preserve"> </w:t>
      </w:r>
      <w:r w:rsidR="00EF0D6C" w:rsidRPr="00EF0D6C">
        <w:t xml:space="preserve">identify patterns in his </w:t>
      </w:r>
      <w:r w:rsidR="00EF0D6C" w:rsidRPr="00EF0D6C">
        <w:t>behaviour</w:t>
      </w:r>
      <w:r w:rsidR="00EF0D6C" w:rsidRPr="00EF0D6C">
        <w:t xml:space="preserve"> that correspond to the concept of being </w:t>
      </w:r>
      <w:r w:rsidR="00982F89">
        <w:t>“</w:t>
      </w:r>
      <w:r w:rsidR="00EF0D6C" w:rsidRPr="00EF0D6C">
        <w:t>in pain.” The mental concepts we</w:t>
      </w:r>
      <w:r w:rsidR="00345962">
        <w:t xml:space="preserve"> create</w:t>
      </w:r>
      <w:r w:rsidR="00EF0D6C" w:rsidRPr="00EF0D6C">
        <w:t xml:space="preserve">, are not theoretical constructs inferred from evidence but accounts of how people engage with the world. </w:t>
      </w:r>
      <w:r w:rsidR="007551B3" w:rsidRPr="00EF0D6C">
        <w:t>So,</w:t>
      </w:r>
      <w:r w:rsidR="00EF0D6C" w:rsidRPr="00EF0D6C">
        <w:t xml:space="preserve"> the inference of the existence of mental states from </w:t>
      </w:r>
      <w:r w:rsidR="00EF0D6C" w:rsidRPr="00EF0D6C">
        <w:t>behaviour</w:t>
      </w:r>
      <w:r w:rsidR="00EF0D6C" w:rsidRPr="00EF0D6C">
        <w:t xml:space="preserve"> commits a category mistake: it treats mental phenomena as though they were </w:t>
      </w:r>
      <w:r w:rsidR="00CC2FD7">
        <w:t>had the same</w:t>
      </w:r>
      <w:r w:rsidR="00EF0D6C" w:rsidRPr="00EF0D6C">
        <w:t xml:space="preserve"> explanatory</w:t>
      </w:r>
      <w:r w:rsidR="00CC2FD7">
        <w:t xml:space="preserve"> meaning</w:t>
      </w:r>
      <w:r w:rsidR="00EF0D6C" w:rsidRPr="00EF0D6C">
        <w:t xml:space="preserve"> with hidden</w:t>
      </w:r>
      <w:r w:rsidR="006400F1">
        <w:t xml:space="preserve"> </w:t>
      </w:r>
      <w:r w:rsidR="00EF0D6C" w:rsidRPr="00EF0D6C">
        <w:t>physical mechanisms. Ryle’s critique further points</w:t>
      </w:r>
      <w:r w:rsidR="006400F1">
        <w:t xml:space="preserve"> </w:t>
      </w:r>
      <w:r w:rsidR="00EF0D6C" w:rsidRPr="00EF0D6C">
        <w:t>out the practical deficiencies of inference as a technique for understanding the minds of others. When</w:t>
      </w:r>
      <w:r w:rsidR="006400F1">
        <w:t xml:space="preserve"> </w:t>
      </w:r>
      <w:r w:rsidR="00EF0D6C" w:rsidRPr="00EF0D6C">
        <w:t xml:space="preserve">mental states are sealed up behind </w:t>
      </w:r>
      <w:r w:rsidR="00EF0D6C" w:rsidRPr="00EF0D6C">
        <w:t>behaviour</w:t>
      </w:r>
      <w:r w:rsidR="00EF0D6C" w:rsidRPr="00EF0D6C">
        <w:t>, how does one know that inferences about them are correct? How can one be certain that another’s conduct corresponds to the same</w:t>
      </w:r>
      <w:r w:rsidR="00EF0D6C" w:rsidRPr="00EF0D6C">
        <w:t> </w:t>
      </w:r>
      <w:r w:rsidR="00EF0D6C" w:rsidRPr="00EF0D6C">
        <w:t>mental experience one associates with it? The problems come from the mistaken</w:t>
      </w:r>
      <w:r w:rsidR="006400F1">
        <w:t xml:space="preserve"> </w:t>
      </w:r>
      <w:r w:rsidR="00EF0D6C" w:rsidRPr="00EF0D6C">
        <w:t>belief that mental life is concealed</w:t>
      </w:r>
      <w:r w:rsidR="00671309">
        <w:t>,</w:t>
      </w:r>
      <w:r w:rsidR="00EF0D6C" w:rsidRPr="00EF0D6C">
        <w:t xml:space="preserve"> the sense of understanding others is, not based on inference but rather on the eavesdropping on the meaningfulness of</w:t>
      </w:r>
      <w:r w:rsidR="00ED547C">
        <w:t xml:space="preserve"> </w:t>
      </w:r>
      <w:r w:rsidR="00EF0D6C" w:rsidRPr="00EF0D6C">
        <w:t>another’s actions within common social and linguistic practices. Attributions of mental states arise from</w:t>
      </w:r>
      <w:r w:rsidR="00ED4D31">
        <w:t xml:space="preserve"> </w:t>
      </w:r>
      <w:r w:rsidR="00EF0D6C" w:rsidRPr="00EF0D6C">
        <w:t>normal interactions, not some detached inferential process.</w:t>
      </w:r>
    </w:p>
    <w:p w14:paraId="2379DD13" w14:textId="64825816" w:rsidR="00EF0D6C" w:rsidRDefault="00EF0D6C">
      <w:r w:rsidRPr="00EF0D6C">
        <w:t>Ryle</w:t>
      </w:r>
      <w:r w:rsidR="006400F1">
        <w:t xml:space="preserve"> rejects</w:t>
      </w:r>
      <w:r w:rsidRPr="00EF0D6C">
        <w:t xml:space="preserve"> the inferential model,</w:t>
      </w:r>
      <w:r w:rsidR="006400F1">
        <w:t xml:space="preserve"> </w:t>
      </w:r>
      <w:r w:rsidRPr="00EF0D6C">
        <w:t xml:space="preserve">but in so doing he recontextualizes the relationship between </w:t>
      </w:r>
      <w:r w:rsidRPr="00EF0D6C">
        <w:t>behaviour</w:t>
      </w:r>
      <w:r w:rsidRPr="00EF0D6C">
        <w:t xml:space="preserve"> and mental life. </w:t>
      </w:r>
      <w:r w:rsidRPr="00EF0D6C">
        <w:t>Behaviours</w:t>
      </w:r>
      <w:r w:rsidRPr="00EF0D6C">
        <w:t xml:space="preserve"> are not just outward expressions of</w:t>
      </w:r>
      <w:r w:rsidR="0068578E">
        <w:t xml:space="preserve"> </w:t>
      </w:r>
      <w:r w:rsidRPr="00EF0D6C">
        <w:t xml:space="preserve">inner </w:t>
      </w:r>
      <w:r w:rsidR="001063A1" w:rsidRPr="00EF0D6C">
        <w:t>causes;</w:t>
      </w:r>
      <w:r w:rsidRPr="00EF0D6C">
        <w:t xml:space="preserve"> they are the stuff of mental life. When we say someone is thinking, feeling or hoping, we do not infer an unseen process</w:t>
      </w:r>
      <w:r w:rsidR="001063A1">
        <w:t>,</w:t>
      </w:r>
      <w:r w:rsidRPr="00EF0D6C">
        <w:t xml:space="preserve"> we interpret their actions according to a conceptual framework rooted</w:t>
      </w:r>
      <w:r w:rsidR="001063A1">
        <w:t xml:space="preserve"> </w:t>
      </w:r>
      <w:r w:rsidRPr="00EF0D6C">
        <w:t xml:space="preserve">in social practices. Dismantling the inferential gap between </w:t>
      </w:r>
      <w:r w:rsidRPr="00EF0D6C">
        <w:t>behaviour</w:t>
      </w:r>
      <w:r w:rsidRPr="00EF0D6C">
        <w:t xml:space="preserve"> and mind, Ryle substitutes a view of mental concepts as by their very nature</w:t>
      </w:r>
      <w:r w:rsidR="006400F1">
        <w:t xml:space="preserve"> </w:t>
      </w:r>
      <w:r w:rsidRPr="00EF0D6C">
        <w:t>public and observable for the Cartesian model</w:t>
      </w:r>
      <w:sdt>
        <w:sdtPr>
          <w:id w:val="-1514758740"/>
          <w:citation/>
        </w:sdtPr>
        <w:sdtContent>
          <w:r w:rsidR="0000100E">
            <w:fldChar w:fldCharType="begin"/>
          </w:r>
          <w:r w:rsidR="0000100E">
            <w:instrText xml:space="preserve">CITATION Ryl49 \p 168 \l 2057 </w:instrText>
          </w:r>
          <w:r w:rsidR="0000100E">
            <w:fldChar w:fldCharType="separate"/>
          </w:r>
          <w:r w:rsidR="0000100E">
            <w:rPr>
              <w:noProof/>
            </w:rPr>
            <w:t xml:space="preserve"> </w:t>
          </w:r>
          <w:r w:rsidR="0000100E" w:rsidRPr="0000100E">
            <w:rPr>
              <w:noProof/>
            </w:rPr>
            <w:t>(Ryle, 1949, p. 168)</w:t>
          </w:r>
          <w:r w:rsidR="0000100E">
            <w:fldChar w:fldCharType="end"/>
          </w:r>
        </w:sdtContent>
      </w:sdt>
      <w:r w:rsidRPr="00EF0D6C">
        <w:t>. In this way, Ryle destroys the idea that to know others we must always infer from surface</w:t>
      </w:r>
      <w:r w:rsidRPr="00EF0D6C">
        <w:t> </w:t>
      </w:r>
      <w:r w:rsidRPr="00EF0D6C">
        <w:t xml:space="preserve">behaviour hidden cognitive activity. </w:t>
      </w:r>
      <w:r w:rsidRPr="00EF0D6C">
        <w:t>Instead,</w:t>
      </w:r>
      <w:r w:rsidRPr="00EF0D6C">
        <w:t xml:space="preserve"> he offers a vision of the mind as something realized in the ways people behave and relate, untethered from the metaphysical weight of having to be sequestered behind doors of</w:t>
      </w:r>
      <w:r w:rsidR="006400F1">
        <w:t xml:space="preserve"> </w:t>
      </w:r>
      <w:r w:rsidRPr="00EF0D6C">
        <w:t xml:space="preserve">private introspection. Ryle’s broader negation of Cartesian dualism pivots on the hypothetical cognitive acts and cognitive processes occurring, he says, </w:t>
      </w:r>
      <w:r w:rsidR="00224724">
        <w:t>“</w:t>
      </w:r>
      <w:r w:rsidRPr="00EF0D6C">
        <w:t>behind locked doors</w:t>
      </w:r>
      <w:r w:rsidR="002F0D74">
        <w:t>”</w:t>
      </w:r>
      <w:sdt>
        <w:sdtPr>
          <w:id w:val="1905800834"/>
          <w:citation/>
        </w:sdtPr>
        <w:sdtContent>
          <w:r w:rsidR="00224724">
            <w:fldChar w:fldCharType="begin"/>
          </w:r>
          <w:r w:rsidR="0000296A">
            <w:instrText xml:space="preserve">CITATION Ryl49 \p 293 \l 2057 </w:instrText>
          </w:r>
          <w:r w:rsidR="00224724">
            <w:fldChar w:fldCharType="separate"/>
          </w:r>
          <w:r w:rsidR="0000296A">
            <w:rPr>
              <w:noProof/>
            </w:rPr>
            <w:t xml:space="preserve"> </w:t>
          </w:r>
          <w:r w:rsidR="0000296A" w:rsidRPr="0000296A">
            <w:rPr>
              <w:noProof/>
            </w:rPr>
            <w:t>(Ryle, 1949, p. 293)</w:t>
          </w:r>
          <w:r w:rsidR="00224724">
            <w:fldChar w:fldCharType="end"/>
          </w:r>
        </w:sdtContent>
      </w:sdt>
      <w:r w:rsidRPr="00EF0D6C">
        <w:t xml:space="preserve"> that he seeks to</w:t>
      </w:r>
      <w:r w:rsidR="006400F1">
        <w:t xml:space="preserve"> </w:t>
      </w:r>
      <w:r w:rsidRPr="00EF0D6C">
        <w:t>critique. In this model, making sense of the mental life of others is largely an inferential problem you</w:t>
      </w:r>
      <w:r w:rsidR="006400F1">
        <w:t xml:space="preserve"> </w:t>
      </w:r>
      <w:r w:rsidRPr="00EF0D6C">
        <w:t>observe external behaviours and infer internal hidden beliefs, desires and emotions that are generally assumed to drive those behaviours. For instance, if John Doe winces</w:t>
      </w:r>
      <w:r w:rsidR="006400F1">
        <w:t xml:space="preserve"> </w:t>
      </w:r>
      <w:r w:rsidRPr="00EF0D6C">
        <w:t>and grabs his arm, one might conclude that he is in pain. Ryle's critique of this inference model</w:t>
      </w:r>
      <w:r w:rsidR="006400F1">
        <w:t xml:space="preserve"> </w:t>
      </w:r>
      <w:r w:rsidRPr="00EF0D6C">
        <w:t>is that i</w:t>
      </w:r>
      <w:r w:rsidR="0005364B">
        <w:t>t</w:t>
      </w:r>
      <w:r w:rsidRPr="00EF0D6C">
        <w:t xml:space="preserve"> misrepresents what mental concepts are and it introduces useless and problematic philosophical conundrums about whether other minds can be there, whether we can access them and so on</w:t>
      </w:r>
      <w:r w:rsidR="00A947DB">
        <w:t>.</w:t>
      </w:r>
    </w:p>
    <w:p w14:paraId="06A39F69" w14:textId="3ADB6A91" w:rsidR="007F1FAB" w:rsidRPr="007F1FAB" w:rsidRDefault="007F1FAB" w:rsidP="007F1FAB">
      <w:r w:rsidRPr="007F1FAB">
        <w:t>Mill’s account of the inference of other</w:t>
      </w:r>
      <w:r>
        <w:t xml:space="preserve"> </w:t>
      </w:r>
      <w:r w:rsidRPr="007F1FAB">
        <w:t>minds is founded on his empiricist philosophy and inductive methodology. From his empiricist standpoint, Mill claimed all knowledge,</w:t>
      </w:r>
      <w:r w:rsidR="00247718">
        <w:t xml:space="preserve"> </w:t>
      </w:r>
      <w:r w:rsidRPr="007F1FAB">
        <w:t xml:space="preserve">including </w:t>
      </w:r>
      <w:r w:rsidRPr="007F1FAB">
        <w:lastRenderedPageBreak/>
        <w:t>knowledge about other beings' minds,</w:t>
      </w:r>
      <w:r w:rsidR="00247718">
        <w:t xml:space="preserve"> </w:t>
      </w:r>
      <w:r w:rsidRPr="007F1FAB">
        <w:t>comes from experience or observation</w:t>
      </w:r>
      <w:r w:rsidR="00247718">
        <w:t xml:space="preserve"> </w:t>
      </w:r>
      <w:r w:rsidRPr="007F1FAB">
        <w:t xml:space="preserve">not through some kind of intuition, or because we can somehow directly access others' mental states. He offered analogy and </w:t>
      </w:r>
      <w:r w:rsidR="00247718" w:rsidRPr="007F1FAB">
        <w:t>association and</w:t>
      </w:r>
      <w:r w:rsidRPr="007F1FAB">
        <w:t xml:space="preserve"> argued that our judgment of the minds of others is only a reasoned inference from the observable evidence we have, and that there is no direct evidence about the mental</w:t>
      </w:r>
      <w:r w:rsidR="00247718">
        <w:t xml:space="preserve"> </w:t>
      </w:r>
      <w:r w:rsidRPr="007F1FAB">
        <w:t xml:space="preserve">states of </w:t>
      </w:r>
      <w:r w:rsidR="00247718" w:rsidRPr="007F1FAB">
        <w:t>another</w:t>
      </w:r>
      <w:sdt>
        <w:sdtPr>
          <w:id w:val="-729532209"/>
          <w:citation/>
        </w:sdtPr>
        <w:sdtContent>
          <w:r w:rsidR="00F95BC2">
            <w:fldChar w:fldCharType="begin"/>
          </w:r>
          <w:r w:rsidR="00F95BC2">
            <w:instrText xml:space="preserve"> CITATION JSM11 \l 2057 </w:instrText>
          </w:r>
          <w:r w:rsidR="00F95BC2">
            <w:fldChar w:fldCharType="separate"/>
          </w:r>
          <w:r w:rsidR="00F95BC2">
            <w:rPr>
              <w:noProof/>
            </w:rPr>
            <w:t xml:space="preserve"> </w:t>
          </w:r>
          <w:r w:rsidR="00F95BC2" w:rsidRPr="00F95BC2">
            <w:rPr>
              <w:noProof/>
            </w:rPr>
            <w:t>(Mill, 2011)</w:t>
          </w:r>
          <w:r w:rsidR="00F95BC2">
            <w:fldChar w:fldCharType="end"/>
          </w:r>
        </w:sdtContent>
      </w:sdt>
      <w:r w:rsidRPr="007F1FAB">
        <w:t>.</w:t>
      </w:r>
      <w:r w:rsidR="00247718">
        <w:t xml:space="preserve"> </w:t>
      </w:r>
      <w:r w:rsidRPr="007F1FAB">
        <w:t>Mill argued that our knowledge</w:t>
      </w:r>
      <w:r w:rsidR="00247718">
        <w:t xml:space="preserve"> </w:t>
      </w:r>
      <w:r w:rsidRPr="007F1FAB">
        <w:t>of other minds is an</w:t>
      </w:r>
      <w:r w:rsidR="00247718">
        <w:t xml:space="preserve"> </w:t>
      </w:r>
      <w:r w:rsidRPr="007F1FAB">
        <w:t>instance of analogical inference</w:t>
      </w:r>
      <w:r w:rsidR="00247718">
        <w:t>,</w:t>
      </w:r>
      <w:r w:rsidRPr="007F1FAB">
        <w:t xml:space="preserve"> </w:t>
      </w:r>
      <w:r w:rsidR="00794261" w:rsidRPr="007F1FAB">
        <w:t>because</w:t>
      </w:r>
      <w:r w:rsidRPr="007F1FAB">
        <w:t xml:space="preserve"> we have direct extraordinary access to only our own thoughts and feelings, we</w:t>
      </w:r>
      <w:r w:rsidR="00794261">
        <w:t xml:space="preserve"> </w:t>
      </w:r>
      <w:r w:rsidRPr="007F1FAB">
        <w:t xml:space="preserve">infer that others have comparable mental states when we observe </w:t>
      </w:r>
      <w:r w:rsidR="00794261" w:rsidRPr="007F1FAB">
        <w:t>behaviours</w:t>
      </w:r>
      <w:r w:rsidRPr="007F1FAB">
        <w:t xml:space="preserve"> that are </w:t>
      </w:r>
      <w:r w:rsidR="00794261" w:rsidRPr="007F1FAB">
        <w:t>like</w:t>
      </w:r>
      <w:r w:rsidRPr="007F1FAB">
        <w:t xml:space="preserve"> our own in comparable situations. If, for instance, we feel pain when we touch something hot and we notice someone</w:t>
      </w:r>
      <w:r w:rsidR="00794261">
        <w:t xml:space="preserve"> </w:t>
      </w:r>
      <w:r w:rsidRPr="007F1FAB">
        <w:t>else react in the same way</w:t>
      </w:r>
      <w:r w:rsidR="00794261">
        <w:t>,</w:t>
      </w:r>
      <w:r w:rsidRPr="007F1FAB">
        <w:t xml:space="preserve"> we conclude that the other person is feeling pain too.</w:t>
      </w:r>
      <w:r w:rsidR="00794261">
        <w:t xml:space="preserve"> T</w:t>
      </w:r>
      <w:r w:rsidRPr="007F1FAB">
        <w:t>he</w:t>
      </w:r>
      <w:r w:rsidR="00794261">
        <w:t xml:space="preserve"> </w:t>
      </w:r>
      <w:r w:rsidRPr="007F1FAB">
        <w:t>theory of inference that Mill employs is an inductive theory</w:t>
      </w:r>
      <w:r w:rsidR="0084515E">
        <w:t xml:space="preserve"> </w:t>
      </w:r>
      <w:sdt>
        <w:sdtPr>
          <w:id w:val="-2069327629"/>
          <w:citation/>
        </w:sdtPr>
        <w:sdtContent>
          <w:r w:rsidR="0084515E">
            <w:fldChar w:fldCharType="begin"/>
          </w:r>
          <w:r w:rsidR="0084515E">
            <w:instrText xml:space="preserve">CITATION JSM65 \p 210 \l 2057 </w:instrText>
          </w:r>
          <w:r w:rsidR="0084515E">
            <w:fldChar w:fldCharType="separate"/>
          </w:r>
          <w:r w:rsidR="0084515E" w:rsidRPr="0084515E">
            <w:rPr>
              <w:noProof/>
            </w:rPr>
            <w:t>(Mill, 1865, p. 210)</w:t>
          </w:r>
          <w:r w:rsidR="0084515E">
            <w:fldChar w:fldCharType="end"/>
          </w:r>
        </w:sdtContent>
      </w:sdt>
      <w:r w:rsidRPr="007F1FAB">
        <w:t xml:space="preserve">: that is, a theory that provides a rationale for drawing general conclusions from a limited number of </w:t>
      </w:r>
      <w:r w:rsidR="0084515E" w:rsidRPr="007F1FAB">
        <w:t>observations</w:t>
      </w:r>
      <w:r w:rsidRPr="007F1FAB">
        <w:t xml:space="preserve">. From repetition of experience observing correlational events between </w:t>
      </w:r>
      <w:r w:rsidR="0084515E" w:rsidRPr="007F1FAB">
        <w:t>behaviour</w:t>
      </w:r>
      <w:r w:rsidRPr="007F1FAB">
        <w:t xml:space="preserve"> and mental states in both</w:t>
      </w:r>
      <w:r w:rsidR="0084515E">
        <w:t xml:space="preserve"> </w:t>
      </w:r>
      <w:r w:rsidRPr="007F1FAB">
        <w:t>ourselves and others, we create general rules that guide our understanding of other minds. If this is true, it means that the</w:t>
      </w:r>
      <w:r w:rsidR="0084515E">
        <w:t xml:space="preserve"> </w:t>
      </w:r>
      <w:r w:rsidRPr="007F1FAB">
        <w:t xml:space="preserve">uniformity of human nature provides a foundation for a process which, according to Mill, allows us to derive one general fact about people from another. </w:t>
      </w:r>
      <w:r w:rsidR="005A29CD">
        <w:t>H</w:t>
      </w:r>
      <w:r w:rsidRPr="007F1FAB">
        <w:t>e argues that by observing evidence and conducting</w:t>
      </w:r>
      <w:r w:rsidR="005A29CD">
        <w:t xml:space="preserve"> </w:t>
      </w:r>
      <w:r w:rsidRPr="007F1FAB">
        <w:t>systematic observation, we can reasonably generalize our inferences based on the experiences of others</w:t>
      </w:r>
      <w:sdt>
        <w:sdtPr>
          <w:id w:val="-1118596817"/>
          <w:citation/>
        </w:sdtPr>
        <w:sdtContent>
          <w:r w:rsidR="005A29CD">
            <w:fldChar w:fldCharType="begin"/>
          </w:r>
          <w:r w:rsidR="005A29CD">
            <w:instrText xml:space="preserve"> CITATION JSM11 \l 2057 </w:instrText>
          </w:r>
          <w:r w:rsidR="005A29CD">
            <w:fldChar w:fldCharType="separate"/>
          </w:r>
          <w:r w:rsidR="005A29CD">
            <w:rPr>
              <w:noProof/>
            </w:rPr>
            <w:t xml:space="preserve"> </w:t>
          </w:r>
          <w:r w:rsidR="005A29CD" w:rsidRPr="005A29CD">
            <w:rPr>
              <w:noProof/>
            </w:rPr>
            <w:t>(Mill, 2011)</w:t>
          </w:r>
          <w:r w:rsidR="005A29CD">
            <w:fldChar w:fldCharType="end"/>
          </w:r>
        </w:sdtContent>
      </w:sdt>
      <w:r w:rsidRPr="007F1FAB">
        <w:t>.</w:t>
      </w:r>
      <w:r w:rsidR="005B45AF">
        <w:t xml:space="preserve"> </w:t>
      </w:r>
      <w:r w:rsidRPr="007F1FAB">
        <w:t>Mill finds empirical observation, inductive implication and analogy to be the</w:t>
      </w:r>
      <w:r w:rsidR="005B45AF">
        <w:t xml:space="preserve"> </w:t>
      </w:r>
      <w:r w:rsidR="00081BAF">
        <w:t>processes of inference of</w:t>
      </w:r>
      <w:r w:rsidRPr="007F1FAB">
        <w:t xml:space="preserve"> other minds. He</w:t>
      </w:r>
      <w:r w:rsidR="006A0538">
        <w:t xml:space="preserve"> rejected</w:t>
      </w:r>
      <w:r w:rsidRPr="007F1FAB">
        <w:t xml:space="preserve"> speculative</w:t>
      </w:r>
      <w:r w:rsidR="006A0538">
        <w:t xml:space="preserve"> </w:t>
      </w:r>
      <w:r w:rsidRPr="007F1FAB">
        <w:t xml:space="preserve">introspection in </w:t>
      </w:r>
      <w:r w:rsidR="006A0538" w:rsidRPr="007F1FAB">
        <w:t>favour</w:t>
      </w:r>
      <w:r w:rsidRPr="007F1FAB">
        <w:t xml:space="preserve"> of a systematic, evidence-based way of grasping the mental lives of others.</w:t>
      </w:r>
    </w:p>
    <w:p w14:paraId="74CA7F45" w14:textId="3E2CFA73" w:rsidR="00292EB6" w:rsidRPr="00292EB6" w:rsidRDefault="00292EB6" w:rsidP="00292EB6">
      <w:r w:rsidRPr="00292EB6">
        <w:t xml:space="preserve">The implications of Ludwig Wittgenstein’s thought on the inference of other minds most famously examined in his later work </w:t>
      </w:r>
      <w:sdt>
        <w:sdtPr>
          <w:id w:val="1047028840"/>
          <w:citation/>
        </w:sdtPr>
        <w:sdtContent>
          <w:r w:rsidR="00CE60B4">
            <w:fldChar w:fldCharType="begin"/>
          </w:r>
          <w:r w:rsidR="00CE60B4">
            <w:instrText xml:space="preserve"> CITATION Wit53 \l 2057 </w:instrText>
          </w:r>
          <w:r w:rsidR="00CE60B4">
            <w:fldChar w:fldCharType="separate"/>
          </w:r>
          <w:r w:rsidR="00CE60B4" w:rsidRPr="00CE60B4">
            <w:rPr>
              <w:noProof/>
            </w:rPr>
            <w:t>(Wittgenstein, 1953)</w:t>
          </w:r>
          <w:r w:rsidR="00CE60B4">
            <w:fldChar w:fldCharType="end"/>
          </w:r>
        </w:sdtContent>
      </w:sdt>
      <w:r w:rsidR="00CE60B4">
        <w:t xml:space="preserve">, </w:t>
      </w:r>
      <w:r w:rsidRPr="00292EB6">
        <w:t xml:space="preserve">are philosophically challenging traditional understanding of our </w:t>
      </w:r>
      <w:r w:rsidR="00CE60B4">
        <w:t>belief</w:t>
      </w:r>
      <w:r w:rsidRPr="00292EB6">
        <w:t xml:space="preserve"> of others’ thoughts and</w:t>
      </w:r>
      <w:r w:rsidR="00CE60B4">
        <w:t xml:space="preserve"> </w:t>
      </w:r>
      <w:r w:rsidRPr="00292EB6">
        <w:t xml:space="preserve">emotions. According to Wittgenstein, we do not infer other minds from the </w:t>
      </w:r>
      <w:r w:rsidR="00CE60B4" w:rsidRPr="00292EB6">
        <w:t>behaviour</w:t>
      </w:r>
      <w:r w:rsidRPr="00292EB6">
        <w:t xml:space="preserve"> we can see to the mental states we</w:t>
      </w:r>
      <w:r w:rsidR="00CE60B4">
        <w:t xml:space="preserve"> </w:t>
      </w:r>
      <w:r w:rsidRPr="00292EB6">
        <w:t>cannot. Instead, he contends our comprehension of others is based on common public language and social</w:t>
      </w:r>
      <w:r w:rsidR="00CE60B4">
        <w:t xml:space="preserve"> </w:t>
      </w:r>
      <w:r w:rsidRPr="00292EB6">
        <w:t>practices</w:t>
      </w:r>
      <w:r w:rsidR="00CE60B4">
        <w:t>, similar to J.S. Mill</w:t>
      </w:r>
      <w:r w:rsidRPr="00292EB6">
        <w:t>.</w:t>
      </w:r>
      <w:r w:rsidR="00CE60B4">
        <w:t xml:space="preserve"> </w:t>
      </w:r>
      <w:r w:rsidRPr="00292EB6">
        <w:t>In both the traditional philosophical accounts (</w:t>
      </w:r>
      <w:r w:rsidR="00CE60B4">
        <w:t>such as</w:t>
      </w:r>
      <w:r w:rsidRPr="00292EB6">
        <w:t xml:space="preserve"> Cartesian dualism) and</w:t>
      </w:r>
      <w:r w:rsidR="00CE60B4">
        <w:t xml:space="preserve"> </w:t>
      </w:r>
      <w:r w:rsidRPr="00292EB6">
        <w:t xml:space="preserve">empirical theories (such as </w:t>
      </w:r>
      <w:r w:rsidR="00CE60B4">
        <w:t>E</w:t>
      </w:r>
      <w:r w:rsidRPr="00292EB6">
        <w:t>mpiricism), we infer the existence of the minds of other people by analogy to our mind. This inference</w:t>
      </w:r>
      <w:r w:rsidR="00CE60B4">
        <w:t xml:space="preserve"> </w:t>
      </w:r>
      <w:r w:rsidRPr="00292EB6">
        <w:t xml:space="preserve">is unnecessary and illusion-generating in Wittgenstein's eyes. He argues that mental states are not hidden, private things that need to be inferred, but are manifested in </w:t>
      </w:r>
      <w:r w:rsidR="00CE60B4" w:rsidRPr="00292EB6">
        <w:t>behaviour</w:t>
      </w:r>
      <w:r w:rsidRPr="00292EB6">
        <w:t xml:space="preserve"> that is out there in the open and publicly accessible</w:t>
      </w:r>
      <w:sdt>
        <w:sdtPr>
          <w:id w:val="678245666"/>
          <w:citation/>
        </w:sdtPr>
        <w:sdtContent>
          <w:r w:rsidR="00CE60B4">
            <w:fldChar w:fldCharType="begin"/>
          </w:r>
          <w:r w:rsidR="00CE60B4">
            <w:instrText xml:space="preserve">CITATION Wit53 \p 153 \l 2057 </w:instrText>
          </w:r>
          <w:r w:rsidR="00CE60B4">
            <w:fldChar w:fldCharType="separate"/>
          </w:r>
          <w:r w:rsidR="00CE60B4">
            <w:rPr>
              <w:noProof/>
            </w:rPr>
            <w:t xml:space="preserve"> </w:t>
          </w:r>
          <w:r w:rsidR="00CE60B4" w:rsidRPr="00CE60B4">
            <w:rPr>
              <w:noProof/>
            </w:rPr>
            <w:t>(Wittgenstein, 1953, p. 153)</w:t>
          </w:r>
          <w:r w:rsidR="00CE60B4">
            <w:fldChar w:fldCharType="end"/>
          </w:r>
        </w:sdtContent>
      </w:sdt>
      <w:r w:rsidRPr="00292EB6">
        <w:t>). In this sense, for Wittgenstein attributing pain or joy to another person is not engaging in an inferred process but rather this recognition is an expression</w:t>
      </w:r>
      <w:r w:rsidRPr="00292EB6">
        <w:t> </w:t>
      </w:r>
      <w:r w:rsidRPr="00292EB6">
        <w:t>of part of a shared form of life.</w:t>
      </w:r>
      <w:r w:rsidR="002533F9">
        <w:t xml:space="preserve"> </w:t>
      </w:r>
      <w:r w:rsidRPr="00292EB6">
        <w:t>As Wittgenstein famously says, “the meaning of a word is its use in the language”</w:t>
      </w:r>
      <w:r w:rsidR="00CE60B4">
        <w:t xml:space="preserve"> </w:t>
      </w:r>
      <w:sdt>
        <w:sdtPr>
          <w:id w:val="-1988855778"/>
          <w:citation/>
        </w:sdtPr>
        <w:sdtContent>
          <w:r w:rsidR="00CE60B4">
            <w:fldChar w:fldCharType="begin"/>
          </w:r>
          <w:r w:rsidR="00CE60B4">
            <w:instrText xml:space="preserve">CITATION Wit53 \p 43 \l 2057 </w:instrText>
          </w:r>
          <w:r w:rsidR="00CE60B4">
            <w:fldChar w:fldCharType="separate"/>
          </w:r>
          <w:r w:rsidR="00CE60B4" w:rsidRPr="00CE60B4">
            <w:rPr>
              <w:noProof/>
            </w:rPr>
            <w:t>(Wittgenstein, 1953, p. 43)</w:t>
          </w:r>
          <w:r w:rsidR="00CE60B4">
            <w:fldChar w:fldCharType="end"/>
          </w:r>
        </w:sdtContent>
      </w:sdt>
      <w:r w:rsidRPr="00292EB6">
        <w:t>. The same principle</w:t>
      </w:r>
      <w:r w:rsidR="00CE60B4">
        <w:t xml:space="preserve"> </w:t>
      </w:r>
      <w:r w:rsidRPr="00292EB6">
        <w:t xml:space="preserve">applies in the case of our grasp of mental states: we do not conclude that you are in pain because we observe you groaning; we are perceiving your pain in the way you are behaving because we have learned the publicly available criteria for applying the concept “pain.” From this view, other minds are not inferred from access to hidden mental </w:t>
      </w:r>
      <w:r w:rsidR="002533F9" w:rsidRPr="00292EB6">
        <w:t>contents but</w:t>
      </w:r>
      <w:r w:rsidRPr="00292EB6">
        <w:t xml:space="preserve"> understood through being part of a</w:t>
      </w:r>
      <w:r w:rsidR="002533F9">
        <w:t xml:space="preserve"> </w:t>
      </w:r>
      <w:r w:rsidRPr="00292EB6">
        <w:t> </w:t>
      </w:r>
      <w:r w:rsidRPr="00292EB6">
        <w:t xml:space="preserve">practice that </w:t>
      </w:r>
      <w:r w:rsidR="002533F9">
        <w:t>gives</w:t>
      </w:r>
      <w:r w:rsidRPr="00292EB6">
        <w:t xml:space="preserve"> a certain context with shared meaning. “One inner process needs another outer criterion,” </w:t>
      </w:r>
      <w:sdt>
        <w:sdtPr>
          <w:id w:val="-1020088362"/>
          <w:citation/>
        </w:sdtPr>
        <w:sdtContent>
          <w:r w:rsidR="002533F9">
            <w:fldChar w:fldCharType="begin"/>
          </w:r>
          <w:r w:rsidR="002533F9">
            <w:instrText xml:space="preserve">CITATION Wit53 \p 580 \l 2057 </w:instrText>
          </w:r>
          <w:r w:rsidR="002533F9">
            <w:fldChar w:fldCharType="separate"/>
          </w:r>
          <w:r w:rsidR="002533F9" w:rsidRPr="002533F9">
            <w:rPr>
              <w:noProof/>
            </w:rPr>
            <w:t>(Wittgenstein, 1953, p. 580)</w:t>
          </w:r>
          <w:r w:rsidR="002533F9">
            <w:fldChar w:fldCharType="end"/>
          </w:r>
        </w:sdtContent>
      </w:sdt>
      <w:r w:rsidRPr="00292EB6">
        <w:t>, illustrating the correlation</w:t>
      </w:r>
      <w:r w:rsidR="002533F9">
        <w:t xml:space="preserve"> </w:t>
      </w:r>
      <w:r w:rsidRPr="00292EB6">
        <w:t>between the inner experience and its public manifestation.</w:t>
      </w:r>
      <w:r w:rsidR="002533F9">
        <w:t xml:space="preserve"> Furthermore, </w:t>
      </w:r>
      <w:r w:rsidRPr="00292EB6">
        <w:t xml:space="preserve">Wittgenstein’s private language argument </w:t>
      </w:r>
      <w:sdt>
        <w:sdtPr>
          <w:id w:val="1450667036"/>
          <w:citation/>
        </w:sdtPr>
        <w:sdtContent>
          <w:r w:rsidR="002533F9">
            <w:fldChar w:fldCharType="begin"/>
          </w:r>
          <w:r w:rsidR="002533F9">
            <w:instrText xml:space="preserve">CITATION Wit53 \p 243-271 \l 2057 </w:instrText>
          </w:r>
          <w:r w:rsidR="002533F9">
            <w:fldChar w:fldCharType="separate"/>
          </w:r>
          <w:r w:rsidR="002533F9" w:rsidRPr="002533F9">
            <w:rPr>
              <w:noProof/>
            </w:rPr>
            <w:t>(Wittgenstein, 1953, pp. 243-271)</w:t>
          </w:r>
          <w:r w:rsidR="002533F9">
            <w:fldChar w:fldCharType="end"/>
          </w:r>
        </w:sdtContent>
      </w:sdt>
      <w:r w:rsidRPr="00292EB6">
        <w:t xml:space="preserve"> reinforces his rejection of inference as the source of our understanding of others. He maintains that if mental states were wholly private and subjective, there</w:t>
      </w:r>
      <w:r w:rsidR="002533F9">
        <w:t xml:space="preserve"> </w:t>
      </w:r>
      <w:r w:rsidRPr="00292EB6">
        <w:t>would be no basis for setting consistent meanings for the words that refer to them. Instead, the evidential concerns with language and meaning constitute publicly available criteria, implying that most of our understanding of others</w:t>
      </w:r>
      <w:r w:rsidR="002533F9">
        <w:t xml:space="preserve"> </w:t>
      </w:r>
      <w:r w:rsidRPr="00292EB6">
        <w:t xml:space="preserve">is </w:t>
      </w:r>
      <w:r w:rsidR="001B1BE3" w:rsidRPr="00292EB6">
        <w:t>a</w:t>
      </w:r>
      <w:r w:rsidRPr="00292EB6">
        <w:t xml:space="preserve"> </w:t>
      </w:r>
      <w:r w:rsidR="007E1794">
        <w:t>result</w:t>
      </w:r>
      <w:r w:rsidR="007E1794" w:rsidRPr="00292EB6">
        <w:t xml:space="preserve"> of</w:t>
      </w:r>
      <w:r w:rsidRPr="00292EB6">
        <w:t xml:space="preserve"> shared linguistic and social practices rather than individual inferential processes.</w:t>
      </w:r>
      <w:r w:rsidR="001B1BE3">
        <w:t xml:space="preserve"> </w:t>
      </w:r>
      <w:r w:rsidRPr="00292EB6">
        <w:t xml:space="preserve">Wittgenstein’s criticism of </w:t>
      </w:r>
      <w:r w:rsidRPr="00292EB6">
        <w:lastRenderedPageBreak/>
        <w:t>inference to other minds fundamentally calls</w:t>
      </w:r>
      <w:r w:rsidR="001B1BE3">
        <w:t xml:space="preserve"> </w:t>
      </w:r>
      <w:r w:rsidRPr="00292EB6">
        <w:t>into question the</w:t>
      </w:r>
      <w:r w:rsidR="001B1BE3">
        <w:t xml:space="preserve"> behaviourist</w:t>
      </w:r>
      <w:r w:rsidRPr="00292EB6">
        <w:t xml:space="preserve"> assumption that we understand others in a way that involves reasoning from </w:t>
      </w:r>
      <w:r w:rsidR="001B1BE3" w:rsidRPr="00292EB6">
        <w:t>behaviour</w:t>
      </w:r>
      <w:r w:rsidRPr="00292EB6">
        <w:t xml:space="preserve"> to hidden mental states. Rather, it comes through the language we share and our social practices, he</w:t>
      </w:r>
      <w:r w:rsidR="001B1BE3">
        <w:t xml:space="preserve"> </w:t>
      </w:r>
      <w:r w:rsidRPr="00292EB6">
        <w:t>argues. This is why other attitudes toward the world matter to Wittgenstein, and it is also why his treatment of the problem of other minds</w:t>
      </w:r>
      <w:r w:rsidR="001B1BE3">
        <w:t xml:space="preserve"> seems to</w:t>
      </w:r>
      <w:r w:rsidRPr="00292EB6">
        <w:t xml:space="preserve"> </w:t>
      </w:r>
      <w:r w:rsidR="001B1BE3" w:rsidRPr="00292EB6">
        <w:t>dissolve</w:t>
      </w:r>
      <w:r w:rsidRPr="00292EB6">
        <w:t xml:space="preserve"> the problem</w:t>
      </w:r>
      <w:r w:rsidR="001B1BE3">
        <w:t>.</w:t>
      </w:r>
    </w:p>
    <w:p w14:paraId="2738539E" w14:textId="64B55C8D" w:rsidR="00C430E6" w:rsidRDefault="0092070D" w:rsidP="007F1FAB">
      <w:r w:rsidRPr="0092070D">
        <w:t>In conclusion, the notion of inference to the best explanation does not provide the best approach to justifying our beliefs about other minds. Wittgenstein’s perspective challenges the need for inference, arguing that our understanding of others' mental states is grounded in shared language and social practices, not in inferential reasoning from behaviour to hidden mental processes. While inference models, such as those proposed by Mill or Ryle, attempt to deduce mental states based on observable actions, Wittgenstein shows that these mental states are not hidden or private but are publicly manifested in the ways individuals interact and communicate. According to Wittgenstein, we do not infer that someone is in pain because of their groaning or wincing; rather, we understand their pain through a shared understanding of the criteria for applying the concept of "pain" within our social and linguistic practices. This view dissolves the problem of other minds by removing the need for inference and highlighting the importance of communal interaction in understanding mental life. Therefore, Wittgenstein’s approach, which emphasizes the public and observable nature of mental states, offers a more accurate and effective way to justify our beliefs about other minds, rendering inference to the best explanation unnecessary.</w:t>
      </w:r>
    </w:p>
    <w:sdt>
      <w:sdtPr>
        <w:id w:val="2022354658"/>
        <w:docPartObj>
          <w:docPartGallery w:val="Bibliographies"/>
          <w:docPartUnique/>
        </w:docPartObj>
      </w:sdtPr>
      <w:sdtEndPr>
        <w:rPr>
          <w:rFonts w:asciiTheme="minorHAnsi" w:eastAsiaTheme="minorHAnsi" w:hAnsiTheme="minorHAnsi" w:cstheme="minorBidi"/>
          <w:color w:val="auto"/>
          <w:sz w:val="22"/>
          <w:szCs w:val="22"/>
        </w:rPr>
      </w:sdtEndPr>
      <w:sdtContent>
        <w:p w14:paraId="6ABDDE0D" w14:textId="2763D741" w:rsidR="00495710" w:rsidRDefault="00495710">
          <w:pPr>
            <w:pStyle w:val="Heading1"/>
          </w:pPr>
          <w:r>
            <w:t>Bibliography</w:t>
          </w:r>
        </w:p>
        <w:sdt>
          <w:sdtPr>
            <w:id w:val="111145805"/>
            <w:bibliography/>
          </w:sdtPr>
          <w:sdtContent>
            <w:p w14:paraId="3ACDC012" w14:textId="77777777" w:rsidR="00495710" w:rsidRDefault="00495710" w:rsidP="00495710">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Descartes, R., 1641. </w:t>
              </w:r>
              <w:r>
                <w:rPr>
                  <w:i/>
                  <w:iCs/>
                  <w:noProof/>
                </w:rPr>
                <w:t xml:space="preserve">Meditation on First Philosophy. </w:t>
              </w:r>
              <w:r>
                <w:rPr>
                  <w:noProof/>
                </w:rPr>
                <w:t>s.l.:s.n.</w:t>
              </w:r>
            </w:p>
            <w:p w14:paraId="024E4650" w14:textId="77777777" w:rsidR="00495710" w:rsidRDefault="00495710" w:rsidP="00495710">
              <w:pPr>
                <w:pStyle w:val="Bibliography"/>
                <w:rPr>
                  <w:noProof/>
                </w:rPr>
              </w:pPr>
              <w:r>
                <w:rPr>
                  <w:noProof/>
                </w:rPr>
                <w:t xml:space="preserve">Mill, J., 1865. </w:t>
              </w:r>
              <w:r>
                <w:rPr>
                  <w:i/>
                  <w:iCs/>
                  <w:noProof/>
                </w:rPr>
                <w:t xml:space="preserve">An examination of Sir William Hamilton's philosophy, and of the principal philosophical questions discussed in his writings. </w:t>
              </w:r>
              <w:r>
                <w:rPr>
                  <w:noProof/>
                </w:rPr>
                <w:t>London: Longman, Green, Longman, Roberts &amp; Green.</w:t>
              </w:r>
            </w:p>
            <w:p w14:paraId="0FEC2164" w14:textId="77777777" w:rsidR="00495710" w:rsidRDefault="00495710" w:rsidP="00495710">
              <w:pPr>
                <w:pStyle w:val="Bibliography"/>
                <w:rPr>
                  <w:noProof/>
                </w:rPr>
              </w:pPr>
              <w:r>
                <w:rPr>
                  <w:noProof/>
                </w:rPr>
                <w:t xml:space="preserve">Mill, J., 2011. </w:t>
              </w:r>
              <w:r>
                <w:rPr>
                  <w:i/>
                  <w:iCs/>
                  <w:noProof/>
                </w:rPr>
                <w:t xml:space="preserve">A System of Logic, Ratiocinative and Inductive: Being a Connected View of the Principles of Evidence, and the Methods of Scientific Investigation.. </w:t>
              </w:r>
              <w:r>
                <w:rPr>
                  <w:noProof/>
                </w:rPr>
                <w:t>Cambridge: Cambridge University Press.</w:t>
              </w:r>
            </w:p>
            <w:p w14:paraId="70C9A0E4" w14:textId="77777777" w:rsidR="00495710" w:rsidRDefault="00495710" w:rsidP="00495710">
              <w:pPr>
                <w:pStyle w:val="Bibliography"/>
                <w:rPr>
                  <w:noProof/>
                </w:rPr>
              </w:pPr>
              <w:r>
                <w:rPr>
                  <w:noProof/>
                </w:rPr>
                <w:t xml:space="preserve">Ryle, G., 1949. </w:t>
              </w:r>
              <w:r>
                <w:rPr>
                  <w:i/>
                  <w:iCs/>
                  <w:noProof/>
                </w:rPr>
                <w:t xml:space="preserve">The Concept of Mind. </w:t>
              </w:r>
              <w:r>
                <w:rPr>
                  <w:noProof/>
                </w:rPr>
                <w:t>s.l.:University of Chicago Press.</w:t>
              </w:r>
            </w:p>
            <w:p w14:paraId="022E3814" w14:textId="77777777" w:rsidR="00495710" w:rsidRDefault="00495710" w:rsidP="00495710">
              <w:pPr>
                <w:pStyle w:val="Bibliography"/>
                <w:rPr>
                  <w:noProof/>
                </w:rPr>
              </w:pPr>
              <w:r>
                <w:rPr>
                  <w:noProof/>
                </w:rPr>
                <w:t xml:space="preserve">Watson, J. B., 1913. </w:t>
              </w:r>
              <w:r>
                <w:rPr>
                  <w:i/>
                  <w:iCs/>
                  <w:noProof/>
                </w:rPr>
                <w:t xml:space="preserve">Psychology as the Behaviorist Views It. </w:t>
              </w:r>
              <w:r>
                <w:rPr>
                  <w:noProof/>
                </w:rPr>
                <w:t>s.l.:s.n.</w:t>
              </w:r>
            </w:p>
            <w:p w14:paraId="422A0473" w14:textId="77777777" w:rsidR="00495710" w:rsidRDefault="00495710" w:rsidP="00495710">
              <w:pPr>
                <w:pStyle w:val="Bibliography"/>
                <w:rPr>
                  <w:noProof/>
                </w:rPr>
              </w:pPr>
              <w:r>
                <w:rPr>
                  <w:noProof/>
                </w:rPr>
                <w:t xml:space="preserve">Wittgenstein, L., 1953. </w:t>
              </w:r>
              <w:r>
                <w:rPr>
                  <w:i/>
                  <w:iCs/>
                  <w:noProof/>
                </w:rPr>
                <w:t xml:space="preserve">Philisophocal Investigations. </w:t>
              </w:r>
              <w:r>
                <w:rPr>
                  <w:noProof/>
                </w:rPr>
                <w:t>Oxford: Blackwell.</w:t>
              </w:r>
            </w:p>
            <w:p w14:paraId="10FC9867" w14:textId="2A660894" w:rsidR="00495710" w:rsidRDefault="00495710" w:rsidP="00495710">
              <w:r>
                <w:rPr>
                  <w:b/>
                  <w:bCs/>
                  <w:noProof/>
                </w:rPr>
                <w:fldChar w:fldCharType="end"/>
              </w:r>
            </w:p>
          </w:sdtContent>
        </w:sdt>
      </w:sdtContent>
    </w:sdt>
    <w:p w14:paraId="211982DB" w14:textId="77777777" w:rsidR="00495710" w:rsidRDefault="00495710" w:rsidP="007F1FAB"/>
    <w:sectPr w:rsidR="004957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730EE2"/>
    <w:multiLevelType w:val="hybridMultilevel"/>
    <w:tmpl w:val="F1CCE068"/>
    <w:lvl w:ilvl="0" w:tplc="B41E6AC2">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3244061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098"/>
    <w:rsid w:val="0000100E"/>
    <w:rsid w:val="00002559"/>
    <w:rsid w:val="0000296A"/>
    <w:rsid w:val="0000450A"/>
    <w:rsid w:val="00043E23"/>
    <w:rsid w:val="0005364B"/>
    <w:rsid w:val="0007269C"/>
    <w:rsid w:val="00081AF0"/>
    <w:rsid w:val="00081BAF"/>
    <w:rsid w:val="00084168"/>
    <w:rsid w:val="00087EDD"/>
    <w:rsid w:val="00095E8B"/>
    <w:rsid w:val="000A0700"/>
    <w:rsid w:val="000A2E8F"/>
    <w:rsid w:val="000B6759"/>
    <w:rsid w:val="000D1CF6"/>
    <w:rsid w:val="000F05D7"/>
    <w:rsid w:val="000F7159"/>
    <w:rsid w:val="001063A1"/>
    <w:rsid w:val="0013465B"/>
    <w:rsid w:val="00145477"/>
    <w:rsid w:val="00153F33"/>
    <w:rsid w:val="001559F1"/>
    <w:rsid w:val="00155F67"/>
    <w:rsid w:val="001767AA"/>
    <w:rsid w:val="001A24DB"/>
    <w:rsid w:val="001B1BE3"/>
    <w:rsid w:val="001F71DE"/>
    <w:rsid w:val="002211BC"/>
    <w:rsid w:val="002242AD"/>
    <w:rsid w:val="00224538"/>
    <w:rsid w:val="00224724"/>
    <w:rsid w:val="00231152"/>
    <w:rsid w:val="0023202F"/>
    <w:rsid w:val="00232BAC"/>
    <w:rsid w:val="00240A8F"/>
    <w:rsid w:val="00244A92"/>
    <w:rsid w:val="00247718"/>
    <w:rsid w:val="002533F9"/>
    <w:rsid w:val="00255CF7"/>
    <w:rsid w:val="0027461E"/>
    <w:rsid w:val="0028318E"/>
    <w:rsid w:val="00292EB6"/>
    <w:rsid w:val="00294D70"/>
    <w:rsid w:val="002A3287"/>
    <w:rsid w:val="002B3351"/>
    <w:rsid w:val="002C3A0D"/>
    <w:rsid w:val="002C7C55"/>
    <w:rsid w:val="002E0298"/>
    <w:rsid w:val="002F0D74"/>
    <w:rsid w:val="002F1423"/>
    <w:rsid w:val="002F68E3"/>
    <w:rsid w:val="00311A1C"/>
    <w:rsid w:val="003203EC"/>
    <w:rsid w:val="00345962"/>
    <w:rsid w:val="00365DF6"/>
    <w:rsid w:val="00373600"/>
    <w:rsid w:val="00393AB8"/>
    <w:rsid w:val="003A1FA3"/>
    <w:rsid w:val="003B31A2"/>
    <w:rsid w:val="003C05A4"/>
    <w:rsid w:val="003C7584"/>
    <w:rsid w:val="003D02B9"/>
    <w:rsid w:val="003E6ACA"/>
    <w:rsid w:val="003F3A5B"/>
    <w:rsid w:val="00432E90"/>
    <w:rsid w:val="004353A8"/>
    <w:rsid w:val="00452E97"/>
    <w:rsid w:val="00456FBB"/>
    <w:rsid w:val="00464C5D"/>
    <w:rsid w:val="00471FA9"/>
    <w:rsid w:val="00477607"/>
    <w:rsid w:val="00482526"/>
    <w:rsid w:val="00483B01"/>
    <w:rsid w:val="00485FF9"/>
    <w:rsid w:val="00493523"/>
    <w:rsid w:val="00495710"/>
    <w:rsid w:val="004D41ED"/>
    <w:rsid w:val="004F63CD"/>
    <w:rsid w:val="0052108A"/>
    <w:rsid w:val="00536792"/>
    <w:rsid w:val="005410B9"/>
    <w:rsid w:val="00567F10"/>
    <w:rsid w:val="005A29CD"/>
    <w:rsid w:val="005B2E11"/>
    <w:rsid w:val="005B45AF"/>
    <w:rsid w:val="005C0910"/>
    <w:rsid w:val="00604A79"/>
    <w:rsid w:val="00621C6F"/>
    <w:rsid w:val="0062424F"/>
    <w:rsid w:val="00633848"/>
    <w:rsid w:val="006400F1"/>
    <w:rsid w:val="00652A28"/>
    <w:rsid w:val="00653365"/>
    <w:rsid w:val="00653B52"/>
    <w:rsid w:val="006578D8"/>
    <w:rsid w:val="00664D94"/>
    <w:rsid w:val="006702F3"/>
    <w:rsid w:val="00671309"/>
    <w:rsid w:val="0067414F"/>
    <w:rsid w:val="00677C74"/>
    <w:rsid w:val="0068578E"/>
    <w:rsid w:val="00687501"/>
    <w:rsid w:val="00687E67"/>
    <w:rsid w:val="006925ED"/>
    <w:rsid w:val="00692979"/>
    <w:rsid w:val="006970B0"/>
    <w:rsid w:val="006A0538"/>
    <w:rsid w:val="006D4B59"/>
    <w:rsid w:val="006F1214"/>
    <w:rsid w:val="00712C76"/>
    <w:rsid w:val="00714659"/>
    <w:rsid w:val="00723360"/>
    <w:rsid w:val="0072561D"/>
    <w:rsid w:val="00727BBD"/>
    <w:rsid w:val="00732CFD"/>
    <w:rsid w:val="007330C3"/>
    <w:rsid w:val="0074045F"/>
    <w:rsid w:val="007426B9"/>
    <w:rsid w:val="0074358B"/>
    <w:rsid w:val="00745530"/>
    <w:rsid w:val="007551B3"/>
    <w:rsid w:val="00756B68"/>
    <w:rsid w:val="00760595"/>
    <w:rsid w:val="0076298F"/>
    <w:rsid w:val="00791988"/>
    <w:rsid w:val="00794261"/>
    <w:rsid w:val="00794968"/>
    <w:rsid w:val="007A02A0"/>
    <w:rsid w:val="007A2C69"/>
    <w:rsid w:val="007A777E"/>
    <w:rsid w:val="007D7F1A"/>
    <w:rsid w:val="007E1794"/>
    <w:rsid w:val="007E2DBB"/>
    <w:rsid w:val="007F1FAB"/>
    <w:rsid w:val="00800A18"/>
    <w:rsid w:val="008048F0"/>
    <w:rsid w:val="00822A11"/>
    <w:rsid w:val="00825862"/>
    <w:rsid w:val="00827D3D"/>
    <w:rsid w:val="0084515E"/>
    <w:rsid w:val="00846EB5"/>
    <w:rsid w:val="008535BA"/>
    <w:rsid w:val="0085640C"/>
    <w:rsid w:val="00877ACC"/>
    <w:rsid w:val="0088020A"/>
    <w:rsid w:val="00885455"/>
    <w:rsid w:val="008958AA"/>
    <w:rsid w:val="008A25AA"/>
    <w:rsid w:val="008A6608"/>
    <w:rsid w:val="008B794F"/>
    <w:rsid w:val="008D4A70"/>
    <w:rsid w:val="008F6DB2"/>
    <w:rsid w:val="009001ED"/>
    <w:rsid w:val="00907F9B"/>
    <w:rsid w:val="00910117"/>
    <w:rsid w:val="00910B2C"/>
    <w:rsid w:val="0092070D"/>
    <w:rsid w:val="00931912"/>
    <w:rsid w:val="009327BA"/>
    <w:rsid w:val="0093700D"/>
    <w:rsid w:val="00945E21"/>
    <w:rsid w:val="00951391"/>
    <w:rsid w:val="009563FF"/>
    <w:rsid w:val="00964B6C"/>
    <w:rsid w:val="00982F89"/>
    <w:rsid w:val="009A0183"/>
    <w:rsid w:val="009C4098"/>
    <w:rsid w:val="009F347E"/>
    <w:rsid w:val="00A1670A"/>
    <w:rsid w:val="00A17B2C"/>
    <w:rsid w:val="00A20B6E"/>
    <w:rsid w:val="00A24D46"/>
    <w:rsid w:val="00A27223"/>
    <w:rsid w:val="00A50470"/>
    <w:rsid w:val="00A52468"/>
    <w:rsid w:val="00A52867"/>
    <w:rsid w:val="00A57C25"/>
    <w:rsid w:val="00A61A9C"/>
    <w:rsid w:val="00A70A43"/>
    <w:rsid w:val="00A749AF"/>
    <w:rsid w:val="00A80166"/>
    <w:rsid w:val="00A947DB"/>
    <w:rsid w:val="00AB5FC3"/>
    <w:rsid w:val="00AB6798"/>
    <w:rsid w:val="00AC32C8"/>
    <w:rsid w:val="00B114D2"/>
    <w:rsid w:val="00B13033"/>
    <w:rsid w:val="00B20ECD"/>
    <w:rsid w:val="00B44652"/>
    <w:rsid w:val="00B4491A"/>
    <w:rsid w:val="00B51DE8"/>
    <w:rsid w:val="00B90B02"/>
    <w:rsid w:val="00BA41A8"/>
    <w:rsid w:val="00BB365E"/>
    <w:rsid w:val="00BB4D86"/>
    <w:rsid w:val="00BD58DD"/>
    <w:rsid w:val="00C03770"/>
    <w:rsid w:val="00C10935"/>
    <w:rsid w:val="00C1547D"/>
    <w:rsid w:val="00C430E6"/>
    <w:rsid w:val="00C44266"/>
    <w:rsid w:val="00C52EDF"/>
    <w:rsid w:val="00C8677E"/>
    <w:rsid w:val="00CA0AF2"/>
    <w:rsid w:val="00CA1D49"/>
    <w:rsid w:val="00CA1E2A"/>
    <w:rsid w:val="00CB08E1"/>
    <w:rsid w:val="00CB0C12"/>
    <w:rsid w:val="00CC2FD7"/>
    <w:rsid w:val="00CE2A20"/>
    <w:rsid w:val="00CE2DD4"/>
    <w:rsid w:val="00CE5E76"/>
    <w:rsid w:val="00CE60B4"/>
    <w:rsid w:val="00CF6840"/>
    <w:rsid w:val="00D03938"/>
    <w:rsid w:val="00D33A81"/>
    <w:rsid w:val="00D33EC6"/>
    <w:rsid w:val="00D42AF3"/>
    <w:rsid w:val="00D737FA"/>
    <w:rsid w:val="00DA45BE"/>
    <w:rsid w:val="00DA5219"/>
    <w:rsid w:val="00DB6C21"/>
    <w:rsid w:val="00DD7E3A"/>
    <w:rsid w:val="00DE63C1"/>
    <w:rsid w:val="00E00B9F"/>
    <w:rsid w:val="00E07EB3"/>
    <w:rsid w:val="00E13F10"/>
    <w:rsid w:val="00E26D43"/>
    <w:rsid w:val="00E42F2A"/>
    <w:rsid w:val="00E6669D"/>
    <w:rsid w:val="00E75625"/>
    <w:rsid w:val="00EA173E"/>
    <w:rsid w:val="00EC1510"/>
    <w:rsid w:val="00ED3D5B"/>
    <w:rsid w:val="00ED4D31"/>
    <w:rsid w:val="00ED547C"/>
    <w:rsid w:val="00EE62AA"/>
    <w:rsid w:val="00EF0D6C"/>
    <w:rsid w:val="00EF6884"/>
    <w:rsid w:val="00F04640"/>
    <w:rsid w:val="00F07180"/>
    <w:rsid w:val="00F242EA"/>
    <w:rsid w:val="00F30DD3"/>
    <w:rsid w:val="00F310BC"/>
    <w:rsid w:val="00F6263C"/>
    <w:rsid w:val="00F83AC3"/>
    <w:rsid w:val="00F95BC2"/>
    <w:rsid w:val="00FE7A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5DCD1"/>
  <w15:chartTrackingRefBased/>
  <w15:docId w15:val="{674B1FB9-8708-4181-9C22-20924C797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40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40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40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40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40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40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40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40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40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40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40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40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40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40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40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40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40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4098"/>
    <w:rPr>
      <w:rFonts w:eastAsiaTheme="majorEastAsia" w:cstheme="majorBidi"/>
      <w:color w:val="272727" w:themeColor="text1" w:themeTint="D8"/>
    </w:rPr>
  </w:style>
  <w:style w:type="paragraph" w:styleId="Title">
    <w:name w:val="Title"/>
    <w:basedOn w:val="Normal"/>
    <w:next w:val="Normal"/>
    <w:link w:val="TitleChar"/>
    <w:uiPriority w:val="10"/>
    <w:qFormat/>
    <w:rsid w:val="009C40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40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40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40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4098"/>
    <w:pPr>
      <w:spacing w:before="160"/>
      <w:jc w:val="center"/>
    </w:pPr>
    <w:rPr>
      <w:i/>
      <w:iCs/>
      <w:color w:val="404040" w:themeColor="text1" w:themeTint="BF"/>
    </w:rPr>
  </w:style>
  <w:style w:type="character" w:customStyle="1" w:styleId="QuoteChar">
    <w:name w:val="Quote Char"/>
    <w:basedOn w:val="DefaultParagraphFont"/>
    <w:link w:val="Quote"/>
    <w:uiPriority w:val="29"/>
    <w:rsid w:val="009C4098"/>
    <w:rPr>
      <w:i/>
      <w:iCs/>
      <w:color w:val="404040" w:themeColor="text1" w:themeTint="BF"/>
    </w:rPr>
  </w:style>
  <w:style w:type="paragraph" w:styleId="ListParagraph">
    <w:name w:val="List Paragraph"/>
    <w:basedOn w:val="Normal"/>
    <w:uiPriority w:val="34"/>
    <w:qFormat/>
    <w:rsid w:val="009C4098"/>
    <w:pPr>
      <w:ind w:left="720"/>
      <w:contextualSpacing/>
    </w:pPr>
  </w:style>
  <w:style w:type="character" w:styleId="IntenseEmphasis">
    <w:name w:val="Intense Emphasis"/>
    <w:basedOn w:val="DefaultParagraphFont"/>
    <w:uiPriority w:val="21"/>
    <w:qFormat/>
    <w:rsid w:val="009C4098"/>
    <w:rPr>
      <w:i/>
      <w:iCs/>
      <w:color w:val="0F4761" w:themeColor="accent1" w:themeShade="BF"/>
    </w:rPr>
  </w:style>
  <w:style w:type="paragraph" w:styleId="IntenseQuote">
    <w:name w:val="Intense Quote"/>
    <w:basedOn w:val="Normal"/>
    <w:next w:val="Normal"/>
    <w:link w:val="IntenseQuoteChar"/>
    <w:uiPriority w:val="30"/>
    <w:qFormat/>
    <w:rsid w:val="009C40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4098"/>
    <w:rPr>
      <w:i/>
      <w:iCs/>
      <w:color w:val="0F4761" w:themeColor="accent1" w:themeShade="BF"/>
    </w:rPr>
  </w:style>
  <w:style w:type="character" w:styleId="IntenseReference">
    <w:name w:val="Intense Reference"/>
    <w:basedOn w:val="DefaultParagraphFont"/>
    <w:uiPriority w:val="32"/>
    <w:qFormat/>
    <w:rsid w:val="009C4098"/>
    <w:rPr>
      <w:b/>
      <w:bCs/>
      <w:smallCaps/>
      <w:color w:val="0F4761" w:themeColor="accent1" w:themeShade="BF"/>
      <w:spacing w:val="5"/>
    </w:rPr>
  </w:style>
  <w:style w:type="paragraph" w:styleId="Bibliography">
    <w:name w:val="Bibliography"/>
    <w:basedOn w:val="Normal"/>
    <w:next w:val="Normal"/>
    <w:uiPriority w:val="37"/>
    <w:unhideWhenUsed/>
    <w:rsid w:val="004957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080">
      <w:bodyDiv w:val="1"/>
      <w:marLeft w:val="0"/>
      <w:marRight w:val="0"/>
      <w:marTop w:val="0"/>
      <w:marBottom w:val="0"/>
      <w:divBdr>
        <w:top w:val="none" w:sz="0" w:space="0" w:color="auto"/>
        <w:left w:val="none" w:sz="0" w:space="0" w:color="auto"/>
        <w:bottom w:val="none" w:sz="0" w:space="0" w:color="auto"/>
        <w:right w:val="none" w:sz="0" w:space="0" w:color="auto"/>
      </w:divBdr>
    </w:div>
    <w:div w:id="43989628">
      <w:bodyDiv w:val="1"/>
      <w:marLeft w:val="0"/>
      <w:marRight w:val="0"/>
      <w:marTop w:val="0"/>
      <w:marBottom w:val="0"/>
      <w:divBdr>
        <w:top w:val="none" w:sz="0" w:space="0" w:color="auto"/>
        <w:left w:val="none" w:sz="0" w:space="0" w:color="auto"/>
        <w:bottom w:val="none" w:sz="0" w:space="0" w:color="auto"/>
        <w:right w:val="none" w:sz="0" w:space="0" w:color="auto"/>
      </w:divBdr>
    </w:div>
    <w:div w:id="65034315">
      <w:bodyDiv w:val="1"/>
      <w:marLeft w:val="0"/>
      <w:marRight w:val="0"/>
      <w:marTop w:val="0"/>
      <w:marBottom w:val="0"/>
      <w:divBdr>
        <w:top w:val="none" w:sz="0" w:space="0" w:color="auto"/>
        <w:left w:val="none" w:sz="0" w:space="0" w:color="auto"/>
        <w:bottom w:val="none" w:sz="0" w:space="0" w:color="auto"/>
        <w:right w:val="none" w:sz="0" w:space="0" w:color="auto"/>
      </w:divBdr>
    </w:div>
    <w:div w:id="147015874">
      <w:bodyDiv w:val="1"/>
      <w:marLeft w:val="0"/>
      <w:marRight w:val="0"/>
      <w:marTop w:val="0"/>
      <w:marBottom w:val="0"/>
      <w:divBdr>
        <w:top w:val="none" w:sz="0" w:space="0" w:color="auto"/>
        <w:left w:val="none" w:sz="0" w:space="0" w:color="auto"/>
        <w:bottom w:val="none" w:sz="0" w:space="0" w:color="auto"/>
        <w:right w:val="none" w:sz="0" w:space="0" w:color="auto"/>
      </w:divBdr>
    </w:div>
    <w:div w:id="166865561">
      <w:bodyDiv w:val="1"/>
      <w:marLeft w:val="0"/>
      <w:marRight w:val="0"/>
      <w:marTop w:val="0"/>
      <w:marBottom w:val="0"/>
      <w:divBdr>
        <w:top w:val="none" w:sz="0" w:space="0" w:color="auto"/>
        <w:left w:val="none" w:sz="0" w:space="0" w:color="auto"/>
        <w:bottom w:val="none" w:sz="0" w:space="0" w:color="auto"/>
        <w:right w:val="none" w:sz="0" w:space="0" w:color="auto"/>
      </w:divBdr>
    </w:div>
    <w:div w:id="282464772">
      <w:bodyDiv w:val="1"/>
      <w:marLeft w:val="0"/>
      <w:marRight w:val="0"/>
      <w:marTop w:val="0"/>
      <w:marBottom w:val="0"/>
      <w:divBdr>
        <w:top w:val="none" w:sz="0" w:space="0" w:color="auto"/>
        <w:left w:val="none" w:sz="0" w:space="0" w:color="auto"/>
        <w:bottom w:val="none" w:sz="0" w:space="0" w:color="auto"/>
        <w:right w:val="none" w:sz="0" w:space="0" w:color="auto"/>
      </w:divBdr>
    </w:div>
    <w:div w:id="316030415">
      <w:bodyDiv w:val="1"/>
      <w:marLeft w:val="0"/>
      <w:marRight w:val="0"/>
      <w:marTop w:val="0"/>
      <w:marBottom w:val="0"/>
      <w:divBdr>
        <w:top w:val="none" w:sz="0" w:space="0" w:color="auto"/>
        <w:left w:val="none" w:sz="0" w:space="0" w:color="auto"/>
        <w:bottom w:val="none" w:sz="0" w:space="0" w:color="auto"/>
        <w:right w:val="none" w:sz="0" w:space="0" w:color="auto"/>
      </w:divBdr>
    </w:div>
    <w:div w:id="363287203">
      <w:bodyDiv w:val="1"/>
      <w:marLeft w:val="0"/>
      <w:marRight w:val="0"/>
      <w:marTop w:val="0"/>
      <w:marBottom w:val="0"/>
      <w:divBdr>
        <w:top w:val="none" w:sz="0" w:space="0" w:color="auto"/>
        <w:left w:val="none" w:sz="0" w:space="0" w:color="auto"/>
        <w:bottom w:val="none" w:sz="0" w:space="0" w:color="auto"/>
        <w:right w:val="none" w:sz="0" w:space="0" w:color="auto"/>
      </w:divBdr>
    </w:div>
    <w:div w:id="392002728">
      <w:bodyDiv w:val="1"/>
      <w:marLeft w:val="0"/>
      <w:marRight w:val="0"/>
      <w:marTop w:val="0"/>
      <w:marBottom w:val="0"/>
      <w:divBdr>
        <w:top w:val="none" w:sz="0" w:space="0" w:color="auto"/>
        <w:left w:val="none" w:sz="0" w:space="0" w:color="auto"/>
        <w:bottom w:val="none" w:sz="0" w:space="0" w:color="auto"/>
        <w:right w:val="none" w:sz="0" w:space="0" w:color="auto"/>
      </w:divBdr>
    </w:div>
    <w:div w:id="392435643">
      <w:bodyDiv w:val="1"/>
      <w:marLeft w:val="0"/>
      <w:marRight w:val="0"/>
      <w:marTop w:val="0"/>
      <w:marBottom w:val="0"/>
      <w:divBdr>
        <w:top w:val="none" w:sz="0" w:space="0" w:color="auto"/>
        <w:left w:val="none" w:sz="0" w:space="0" w:color="auto"/>
        <w:bottom w:val="none" w:sz="0" w:space="0" w:color="auto"/>
        <w:right w:val="none" w:sz="0" w:space="0" w:color="auto"/>
      </w:divBdr>
    </w:div>
    <w:div w:id="502553657">
      <w:bodyDiv w:val="1"/>
      <w:marLeft w:val="0"/>
      <w:marRight w:val="0"/>
      <w:marTop w:val="0"/>
      <w:marBottom w:val="0"/>
      <w:divBdr>
        <w:top w:val="none" w:sz="0" w:space="0" w:color="auto"/>
        <w:left w:val="none" w:sz="0" w:space="0" w:color="auto"/>
        <w:bottom w:val="none" w:sz="0" w:space="0" w:color="auto"/>
        <w:right w:val="none" w:sz="0" w:space="0" w:color="auto"/>
      </w:divBdr>
    </w:div>
    <w:div w:id="547690097">
      <w:bodyDiv w:val="1"/>
      <w:marLeft w:val="0"/>
      <w:marRight w:val="0"/>
      <w:marTop w:val="0"/>
      <w:marBottom w:val="0"/>
      <w:divBdr>
        <w:top w:val="none" w:sz="0" w:space="0" w:color="auto"/>
        <w:left w:val="none" w:sz="0" w:space="0" w:color="auto"/>
        <w:bottom w:val="none" w:sz="0" w:space="0" w:color="auto"/>
        <w:right w:val="none" w:sz="0" w:space="0" w:color="auto"/>
      </w:divBdr>
    </w:div>
    <w:div w:id="679701567">
      <w:bodyDiv w:val="1"/>
      <w:marLeft w:val="0"/>
      <w:marRight w:val="0"/>
      <w:marTop w:val="0"/>
      <w:marBottom w:val="0"/>
      <w:divBdr>
        <w:top w:val="none" w:sz="0" w:space="0" w:color="auto"/>
        <w:left w:val="none" w:sz="0" w:space="0" w:color="auto"/>
        <w:bottom w:val="none" w:sz="0" w:space="0" w:color="auto"/>
        <w:right w:val="none" w:sz="0" w:space="0" w:color="auto"/>
      </w:divBdr>
    </w:div>
    <w:div w:id="709960720">
      <w:bodyDiv w:val="1"/>
      <w:marLeft w:val="0"/>
      <w:marRight w:val="0"/>
      <w:marTop w:val="0"/>
      <w:marBottom w:val="0"/>
      <w:divBdr>
        <w:top w:val="none" w:sz="0" w:space="0" w:color="auto"/>
        <w:left w:val="none" w:sz="0" w:space="0" w:color="auto"/>
        <w:bottom w:val="none" w:sz="0" w:space="0" w:color="auto"/>
        <w:right w:val="none" w:sz="0" w:space="0" w:color="auto"/>
      </w:divBdr>
    </w:div>
    <w:div w:id="713845105">
      <w:bodyDiv w:val="1"/>
      <w:marLeft w:val="0"/>
      <w:marRight w:val="0"/>
      <w:marTop w:val="0"/>
      <w:marBottom w:val="0"/>
      <w:divBdr>
        <w:top w:val="none" w:sz="0" w:space="0" w:color="auto"/>
        <w:left w:val="none" w:sz="0" w:space="0" w:color="auto"/>
        <w:bottom w:val="none" w:sz="0" w:space="0" w:color="auto"/>
        <w:right w:val="none" w:sz="0" w:space="0" w:color="auto"/>
      </w:divBdr>
    </w:div>
    <w:div w:id="789781582">
      <w:bodyDiv w:val="1"/>
      <w:marLeft w:val="0"/>
      <w:marRight w:val="0"/>
      <w:marTop w:val="0"/>
      <w:marBottom w:val="0"/>
      <w:divBdr>
        <w:top w:val="none" w:sz="0" w:space="0" w:color="auto"/>
        <w:left w:val="none" w:sz="0" w:space="0" w:color="auto"/>
        <w:bottom w:val="none" w:sz="0" w:space="0" w:color="auto"/>
        <w:right w:val="none" w:sz="0" w:space="0" w:color="auto"/>
      </w:divBdr>
    </w:div>
    <w:div w:id="840779367">
      <w:bodyDiv w:val="1"/>
      <w:marLeft w:val="0"/>
      <w:marRight w:val="0"/>
      <w:marTop w:val="0"/>
      <w:marBottom w:val="0"/>
      <w:divBdr>
        <w:top w:val="none" w:sz="0" w:space="0" w:color="auto"/>
        <w:left w:val="none" w:sz="0" w:space="0" w:color="auto"/>
        <w:bottom w:val="none" w:sz="0" w:space="0" w:color="auto"/>
        <w:right w:val="none" w:sz="0" w:space="0" w:color="auto"/>
      </w:divBdr>
    </w:div>
    <w:div w:id="879364267">
      <w:bodyDiv w:val="1"/>
      <w:marLeft w:val="0"/>
      <w:marRight w:val="0"/>
      <w:marTop w:val="0"/>
      <w:marBottom w:val="0"/>
      <w:divBdr>
        <w:top w:val="none" w:sz="0" w:space="0" w:color="auto"/>
        <w:left w:val="none" w:sz="0" w:space="0" w:color="auto"/>
        <w:bottom w:val="none" w:sz="0" w:space="0" w:color="auto"/>
        <w:right w:val="none" w:sz="0" w:space="0" w:color="auto"/>
      </w:divBdr>
      <w:divsChild>
        <w:div w:id="2027976563">
          <w:marLeft w:val="0"/>
          <w:marRight w:val="0"/>
          <w:marTop w:val="0"/>
          <w:marBottom w:val="0"/>
          <w:divBdr>
            <w:top w:val="none" w:sz="0" w:space="0" w:color="auto"/>
            <w:left w:val="none" w:sz="0" w:space="0" w:color="auto"/>
            <w:bottom w:val="none" w:sz="0" w:space="0" w:color="auto"/>
            <w:right w:val="none" w:sz="0" w:space="0" w:color="auto"/>
          </w:divBdr>
          <w:divsChild>
            <w:div w:id="1802191096">
              <w:marLeft w:val="0"/>
              <w:marRight w:val="0"/>
              <w:marTop w:val="0"/>
              <w:marBottom w:val="0"/>
              <w:divBdr>
                <w:top w:val="none" w:sz="0" w:space="0" w:color="auto"/>
                <w:left w:val="none" w:sz="0" w:space="0" w:color="auto"/>
                <w:bottom w:val="none" w:sz="0" w:space="0" w:color="auto"/>
                <w:right w:val="none" w:sz="0" w:space="0" w:color="auto"/>
              </w:divBdr>
              <w:divsChild>
                <w:div w:id="191385565">
                  <w:marLeft w:val="0"/>
                  <w:marRight w:val="0"/>
                  <w:marTop w:val="0"/>
                  <w:marBottom w:val="0"/>
                  <w:divBdr>
                    <w:top w:val="none" w:sz="0" w:space="0" w:color="auto"/>
                    <w:left w:val="none" w:sz="0" w:space="0" w:color="auto"/>
                    <w:bottom w:val="none" w:sz="0" w:space="0" w:color="auto"/>
                    <w:right w:val="none" w:sz="0" w:space="0" w:color="auto"/>
                  </w:divBdr>
                  <w:divsChild>
                    <w:div w:id="72791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3563066">
      <w:bodyDiv w:val="1"/>
      <w:marLeft w:val="0"/>
      <w:marRight w:val="0"/>
      <w:marTop w:val="0"/>
      <w:marBottom w:val="0"/>
      <w:divBdr>
        <w:top w:val="none" w:sz="0" w:space="0" w:color="auto"/>
        <w:left w:val="none" w:sz="0" w:space="0" w:color="auto"/>
        <w:bottom w:val="none" w:sz="0" w:space="0" w:color="auto"/>
        <w:right w:val="none" w:sz="0" w:space="0" w:color="auto"/>
      </w:divBdr>
    </w:div>
    <w:div w:id="917058792">
      <w:bodyDiv w:val="1"/>
      <w:marLeft w:val="0"/>
      <w:marRight w:val="0"/>
      <w:marTop w:val="0"/>
      <w:marBottom w:val="0"/>
      <w:divBdr>
        <w:top w:val="none" w:sz="0" w:space="0" w:color="auto"/>
        <w:left w:val="none" w:sz="0" w:space="0" w:color="auto"/>
        <w:bottom w:val="none" w:sz="0" w:space="0" w:color="auto"/>
        <w:right w:val="none" w:sz="0" w:space="0" w:color="auto"/>
      </w:divBdr>
    </w:div>
    <w:div w:id="985547244">
      <w:bodyDiv w:val="1"/>
      <w:marLeft w:val="0"/>
      <w:marRight w:val="0"/>
      <w:marTop w:val="0"/>
      <w:marBottom w:val="0"/>
      <w:divBdr>
        <w:top w:val="none" w:sz="0" w:space="0" w:color="auto"/>
        <w:left w:val="none" w:sz="0" w:space="0" w:color="auto"/>
        <w:bottom w:val="none" w:sz="0" w:space="0" w:color="auto"/>
        <w:right w:val="none" w:sz="0" w:space="0" w:color="auto"/>
      </w:divBdr>
    </w:div>
    <w:div w:id="1030104385">
      <w:bodyDiv w:val="1"/>
      <w:marLeft w:val="0"/>
      <w:marRight w:val="0"/>
      <w:marTop w:val="0"/>
      <w:marBottom w:val="0"/>
      <w:divBdr>
        <w:top w:val="none" w:sz="0" w:space="0" w:color="auto"/>
        <w:left w:val="none" w:sz="0" w:space="0" w:color="auto"/>
        <w:bottom w:val="none" w:sz="0" w:space="0" w:color="auto"/>
        <w:right w:val="none" w:sz="0" w:space="0" w:color="auto"/>
      </w:divBdr>
    </w:div>
    <w:div w:id="1088430512">
      <w:bodyDiv w:val="1"/>
      <w:marLeft w:val="0"/>
      <w:marRight w:val="0"/>
      <w:marTop w:val="0"/>
      <w:marBottom w:val="0"/>
      <w:divBdr>
        <w:top w:val="none" w:sz="0" w:space="0" w:color="auto"/>
        <w:left w:val="none" w:sz="0" w:space="0" w:color="auto"/>
        <w:bottom w:val="none" w:sz="0" w:space="0" w:color="auto"/>
        <w:right w:val="none" w:sz="0" w:space="0" w:color="auto"/>
      </w:divBdr>
      <w:divsChild>
        <w:div w:id="910428300">
          <w:marLeft w:val="0"/>
          <w:marRight w:val="0"/>
          <w:marTop w:val="0"/>
          <w:marBottom w:val="0"/>
          <w:divBdr>
            <w:top w:val="none" w:sz="0" w:space="0" w:color="auto"/>
            <w:left w:val="none" w:sz="0" w:space="0" w:color="auto"/>
            <w:bottom w:val="none" w:sz="0" w:space="0" w:color="auto"/>
            <w:right w:val="none" w:sz="0" w:space="0" w:color="auto"/>
          </w:divBdr>
          <w:divsChild>
            <w:div w:id="2053116020">
              <w:marLeft w:val="0"/>
              <w:marRight w:val="0"/>
              <w:marTop w:val="0"/>
              <w:marBottom w:val="0"/>
              <w:divBdr>
                <w:top w:val="none" w:sz="0" w:space="0" w:color="auto"/>
                <w:left w:val="none" w:sz="0" w:space="0" w:color="auto"/>
                <w:bottom w:val="none" w:sz="0" w:space="0" w:color="auto"/>
                <w:right w:val="none" w:sz="0" w:space="0" w:color="auto"/>
              </w:divBdr>
              <w:divsChild>
                <w:div w:id="761341801">
                  <w:marLeft w:val="0"/>
                  <w:marRight w:val="0"/>
                  <w:marTop w:val="0"/>
                  <w:marBottom w:val="0"/>
                  <w:divBdr>
                    <w:top w:val="none" w:sz="0" w:space="0" w:color="auto"/>
                    <w:left w:val="none" w:sz="0" w:space="0" w:color="auto"/>
                    <w:bottom w:val="none" w:sz="0" w:space="0" w:color="auto"/>
                    <w:right w:val="none" w:sz="0" w:space="0" w:color="auto"/>
                  </w:divBdr>
                  <w:divsChild>
                    <w:div w:id="209146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7040836">
      <w:bodyDiv w:val="1"/>
      <w:marLeft w:val="0"/>
      <w:marRight w:val="0"/>
      <w:marTop w:val="0"/>
      <w:marBottom w:val="0"/>
      <w:divBdr>
        <w:top w:val="none" w:sz="0" w:space="0" w:color="auto"/>
        <w:left w:val="none" w:sz="0" w:space="0" w:color="auto"/>
        <w:bottom w:val="none" w:sz="0" w:space="0" w:color="auto"/>
        <w:right w:val="none" w:sz="0" w:space="0" w:color="auto"/>
      </w:divBdr>
    </w:div>
    <w:div w:id="1182739045">
      <w:bodyDiv w:val="1"/>
      <w:marLeft w:val="0"/>
      <w:marRight w:val="0"/>
      <w:marTop w:val="0"/>
      <w:marBottom w:val="0"/>
      <w:divBdr>
        <w:top w:val="none" w:sz="0" w:space="0" w:color="auto"/>
        <w:left w:val="none" w:sz="0" w:space="0" w:color="auto"/>
        <w:bottom w:val="none" w:sz="0" w:space="0" w:color="auto"/>
        <w:right w:val="none" w:sz="0" w:space="0" w:color="auto"/>
      </w:divBdr>
      <w:divsChild>
        <w:div w:id="1253004749">
          <w:marLeft w:val="0"/>
          <w:marRight w:val="0"/>
          <w:marTop w:val="0"/>
          <w:marBottom w:val="0"/>
          <w:divBdr>
            <w:top w:val="none" w:sz="0" w:space="0" w:color="auto"/>
            <w:left w:val="none" w:sz="0" w:space="0" w:color="auto"/>
            <w:bottom w:val="none" w:sz="0" w:space="0" w:color="auto"/>
            <w:right w:val="none" w:sz="0" w:space="0" w:color="auto"/>
          </w:divBdr>
          <w:divsChild>
            <w:div w:id="543249696">
              <w:marLeft w:val="0"/>
              <w:marRight w:val="0"/>
              <w:marTop w:val="0"/>
              <w:marBottom w:val="0"/>
              <w:divBdr>
                <w:top w:val="none" w:sz="0" w:space="0" w:color="auto"/>
                <w:left w:val="none" w:sz="0" w:space="0" w:color="auto"/>
                <w:bottom w:val="none" w:sz="0" w:space="0" w:color="auto"/>
                <w:right w:val="none" w:sz="0" w:space="0" w:color="auto"/>
              </w:divBdr>
              <w:divsChild>
                <w:div w:id="291059593">
                  <w:marLeft w:val="0"/>
                  <w:marRight w:val="0"/>
                  <w:marTop w:val="0"/>
                  <w:marBottom w:val="0"/>
                  <w:divBdr>
                    <w:top w:val="none" w:sz="0" w:space="0" w:color="auto"/>
                    <w:left w:val="none" w:sz="0" w:space="0" w:color="auto"/>
                    <w:bottom w:val="none" w:sz="0" w:space="0" w:color="auto"/>
                    <w:right w:val="none" w:sz="0" w:space="0" w:color="auto"/>
                  </w:divBdr>
                  <w:divsChild>
                    <w:div w:id="144010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351560">
      <w:bodyDiv w:val="1"/>
      <w:marLeft w:val="0"/>
      <w:marRight w:val="0"/>
      <w:marTop w:val="0"/>
      <w:marBottom w:val="0"/>
      <w:divBdr>
        <w:top w:val="none" w:sz="0" w:space="0" w:color="auto"/>
        <w:left w:val="none" w:sz="0" w:space="0" w:color="auto"/>
        <w:bottom w:val="none" w:sz="0" w:space="0" w:color="auto"/>
        <w:right w:val="none" w:sz="0" w:space="0" w:color="auto"/>
      </w:divBdr>
    </w:div>
    <w:div w:id="1276980474">
      <w:bodyDiv w:val="1"/>
      <w:marLeft w:val="0"/>
      <w:marRight w:val="0"/>
      <w:marTop w:val="0"/>
      <w:marBottom w:val="0"/>
      <w:divBdr>
        <w:top w:val="none" w:sz="0" w:space="0" w:color="auto"/>
        <w:left w:val="none" w:sz="0" w:space="0" w:color="auto"/>
        <w:bottom w:val="none" w:sz="0" w:space="0" w:color="auto"/>
        <w:right w:val="none" w:sz="0" w:space="0" w:color="auto"/>
      </w:divBdr>
    </w:div>
    <w:div w:id="1484658502">
      <w:bodyDiv w:val="1"/>
      <w:marLeft w:val="0"/>
      <w:marRight w:val="0"/>
      <w:marTop w:val="0"/>
      <w:marBottom w:val="0"/>
      <w:divBdr>
        <w:top w:val="none" w:sz="0" w:space="0" w:color="auto"/>
        <w:left w:val="none" w:sz="0" w:space="0" w:color="auto"/>
        <w:bottom w:val="none" w:sz="0" w:space="0" w:color="auto"/>
        <w:right w:val="none" w:sz="0" w:space="0" w:color="auto"/>
      </w:divBdr>
    </w:div>
    <w:div w:id="1614433005">
      <w:bodyDiv w:val="1"/>
      <w:marLeft w:val="0"/>
      <w:marRight w:val="0"/>
      <w:marTop w:val="0"/>
      <w:marBottom w:val="0"/>
      <w:divBdr>
        <w:top w:val="none" w:sz="0" w:space="0" w:color="auto"/>
        <w:left w:val="none" w:sz="0" w:space="0" w:color="auto"/>
        <w:bottom w:val="none" w:sz="0" w:space="0" w:color="auto"/>
        <w:right w:val="none" w:sz="0" w:space="0" w:color="auto"/>
      </w:divBdr>
    </w:div>
    <w:div w:id="1686443650">
      <w:bodyDiv w:val="1"/>
      <w:marLeft w:val="0"/>
      <w:marRight w:val="0"/>
      <w:marTop w:val="0"/>
      <w:marBottom w:val="0"/>
      <w:divBdr>
        <w:top w:val="none" w:sz="0" w:space="0" w:color="auto"/>
        <w:left w:val="none" w:sz="0" w:space="0" w:color="auto"/>
        <w:bottom w:val="none" w:sz="0" w:space="0" w:color="auto"/>
        <w:right w:val="none" w:sz="0" w:space="0" w:color="auto"/>
      </w:divBdr>
    </w:div>
    <w:div w:id="1719744984">
      <w:bodyDiv w:val="1"/>
      <w:marLeft w:val="0"/>
      <w:marRight w:val="0"/>
      <w:marTop w:val="0"/>
      <w:marBottom w:val="0"/>
      <w:divBdr>
        <w:top w:val="none" w:sz="0" w:space="0" w:color="auto"/>
        <w:left w:val="none" w:sz="0" w:space="0" w:color="auto"/>
        <w:bottom w:val="none" w:sz="0" w:space="0" w:color="auto"/>
        <w:right w:val="none" w:sz="0" w:space="0" w:color="auto"/>
      </w:divBdr>
    </w:div>
    <w:div w:id="1763723247">
      <w:bodyDiv w:val="1"/>
      <w:marLeft w:val="0"/>
      <w:marRight w:val="0"/>
      <w:marTop w:val="0"/>
      <w:marBottom w:val="0"/>
      <w:divBdr>
        <w:top w:val="none" w:sz="0" w:space="0" w:color="auto"/>
        <w:left w:val="none" w:sz="0" w:space="0" w:color="auto"/>
        <w:bottom w:val="none" w:sz="0" w:space="0" w:color="auto"/>
        <w:right w:val="none" w:sz="0" w:space="0" w:color="auto"/>
      </w:divBdr>
    </w:div>
    <w:div w:id="1767505978">
      <w:bodyDiv w:val="1"/>
      <w:marLeft w:val="0"/>
      <w:marRight w:val="0"/>
      <w:marTop w:val="0"/>
      <w:marBottom w:val="0"/>
      <w:divBdr>
        <w:top w:val="none" w:sz="0" w:space="0" w:color="auto"/>
        <w:left w:val="none" w:sz="0" w:space="0" w:color="auto"/>
        <w:bottom w:val="none" w:sz="0" w:space="0" w:color="auto"/>
        <w:right w:val="none" w:sz="0" w:space="0" w:color="auto"/>
      </w:divBdr>
    </w:div>
    <w:div w:id="1835295918">
      <w:bodyDiv w:val="1"/>
      <w:marLeft w:val="0"/>
      <w:marRight w:val="0"/>
      <w:marTop w:val="0"/>
      <w:marBottom w:val="0"/>
      <w:divBdr>
        <w:top w:val="none" w:sz="0" w:space="0" w:color="auto"/>
        <w:left w:val="none" w:sz="0" w:space="0" w:color="auto"/>
        <w:bottom w:val="none" w:sz="0" w:space="0" w:color="auto"/>
        <w:right w:val="none" w:sz="0" w:space="0" w:color="auto"/>
      </w:divBdr>
    </w:div>
    <w:div w:id="1939294726">
      <w:bodyDiv w:val="1"/>
      <w:marLeft w:val="0"/>
      <w:marRight w:val="0"/>
      <w:marTop w:val="0"/>
      <w:marBottom w:val="0"/>
      <w:divBdr>
        <w:top w:val="none" w:sz="0" w:space="0" w:color="auto"/>
        <w:left w:val="none" w:sz="0" w:space="0" w:color="auto"/>
        <w:bottom w:val="none" w:sz="0" w:space="0" w:color="auto"/>
        <w:right w:val="none" w:sz="0" w:space="0" w:color="auto"/>
      </w:divBdr>
    </w:div>
    <w:div w:id="1958021249">
      <w:bodyDiv w:val="1"/>
      <w:marLeft w:val="0"/>
      <w:marRight w:val="0"/>
      <w:marTop w:val="0"/>
      <w:marBottom w:val="0"/>
      <w:divBdr>
        <w:top w:val="none" w:sz="0" w:space="0" w:color="auto"/>
        <w:left w:val="none" w:sz="0" w:space="0" w:color="auto"/>
        <w:bottom w:val="none" w:sz="0" w:space="0" w:color="auto"/>
        <w:right w:val="none" w:sz="0" w:space="0" w:color="auto"/>
      </w:divBdr>
    </w:div>
    <w:div w:id="1959221825">
      <w:bodyDiv w:val="1"/>
      <w:marLeft w:val="0"/>
      <w:marRight w:val="0"/>
      <w:marTop w:val="0"/>
      <w:marBottom w:val="0"/>
      <w:divBdr>
        <w:top w:val="none" w:sz="0" w:space="0" w:color="auto"/>
        <w:left w:val="none" w:sz="0" w:space="0" w:color="auto"/>
        <w:bottom w:val="none" w:sz="0" w:space="0" w:color="auto"/>
        <w:right w:val="none" w:sz="0" w:space="0" w:color="auto"/>
      </w:divBdr>
    </w:div>
    <w:div w:id="2068062466">
      <w:bodyDiv w:val="1"/>
      <w:marLeft w:val="0"/>
      <w:marRight w:val="0"/>
      <w:marTop w:val="0"/>
      <w:marBottom w:val="0"/>
      <w:divBdr>
        <w:top w:val="none" w:sz="0" w:space="0" w:color="auto"/>
        <w:left w:val="none" w:sz="0" w:space="0" w:color="auto"/>
        <w:bottom w:val="none" w:sz="0" w:space="0" w:color="auto"/>
        <w:right w:val="none" w:sz="0" w:space="0" w:color="auto"/>
      </w:divBdr>
      <w:divsChild>
        <w:div w:id="581840041">
          <w:marLeft w:val="0"/>
          <w:marRight w:val="0"/>
          <w:marTop w:val="0"/>
          <w:marBottom w:val="0"/>
          <w:divBdr>
            <w:top w:val="none" w:sz="0" w:space="0" w:color="auto"/>
            <w:left w:val="none" w:sz="0" w:space="0" w:color="auto"/>
            <w:bottom w:val="none" w:sz="0" w:space="0" w:color="auto"/>
            <w:right w:val="none" w:sz="0" w:space="0" w:color="auto"/>
          </w:divBdr>
          <w:divsChild>
            <w:div w:id="1273394809">
              <w:marLeft w:val="0"/>
              <w:marRight w:val="0"/>
              <w:marTop w:val="0"/>
              <w:marBottom w:val="0"/>
              <w:divBdr>
                <w:top w:val="none" w:sz="0" w:space="0" w:color="auto"/>
                <w:left w:val="none" w:sz="0" w:space="0" w:color="auto"/>
                <w:bottom w:val="none" w:sz="0" w:space="0" w:color="auto"/>
                <w:right w:val="none" w:sz="0" w:space="0" w:color="auto"/>
              </w:divBdr>
              <w:divsChild>
                <w:div w:id="970089881">
                  <w:marLeft w:val="0"/>
                  <w:marRight w:val="0"/>
                  <w:marTop w:val="0"/>
                  <w:marBottom w:val="0"/>
                  <w:divBdr>
                    <w:top w:val="none" w:sz="0" w:space="0" w:color="auto"/>
                    <w:left w:val="none" w:sz="0" w:space="0" w:color="auto"/>
                    <w:bottom w:val="none" w:sz="0" w:space="0" w:color="auto"/>
                    <w:right w:val="none" w:sz="0" w:space="0" w:color="auto"/>
                  </w:divBdr>
                  <w:divsChild>
                    <w:div w:id="1642614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162151">
      <w:bodyDiv w:val="1"/>
      <w:marLeft w:val="0"/>
      <w:marRight w:val="0"/>
      <w:marTop w:val="0"/>
      <w:marBottom w:val="0"/>
      <w:divBdr>
        <w:top w:val="none" w:sz="0" w:space="0" w:color="auto"/>
        <w:left w:val="none" w:sz="0" w:space="0" w:color="auto"/>
        <w:bottom w:val="none" w:sz="0" w:space="0" w:color="auto"/>
        <w:right w:val="none" w:sz="0" w:space="0" w:color="auto"/>
      </w:divBdr>
    </w:div>
    <w:div w:id="2089113094">
      <w:bodyDiv w:val="1"/>
      <w:marLeft w:val="0"/>
      <w:marRight w:val="0"/>
      <w:marTop w:val="0"/>
      <w:marBottom w:val="0"/>
      <w:divBdr>
        <w:top w:val="none" w:sz="0" w:space="0" w:color="auto"/>
        <w:left w:val="none" w:sz="0" w:space="0" w:color="auto"/>
        <w:bottom w:val="none" w:sz="0" w:space="0" w:color="auto"/>
        <w:right w:val="none" w:sz="0" w:space="0" w:color="auto"/>
      </w:divBdr>
    </w:div>
    <w:div w:id="2110075066">
      <w:bodyDiv w:val="1"/>
      <w:marLeft w:val="0"/>
      <w:marRight w:val="0"/>
      <w:marTop w:val="0"/>
      <w:marBottom w:val="0"/>
      <w:divBdr>
        <w:top w:val="none" w:sz="0" w:space="0" w:color="auto"/>
        <w:left w:val="none" w:sz="0" w:space="0" w:color="auto"/>
        <w:bottom w:val="none" w:sz="0" w:space="0" w:color="auto"/>
        <w:right w:val="none" w:sz="0" w:space="0" w:color="auto"/>
      </w:divBdr>
    </w:div>
    <w:div w:id="2121759380">
      <w:bodyDiv w:val="1"/>
      <w:marLeft w:val="0"/>
      <w:marRight w:val="0"/>
      <w:marTop w:val="0"/>
      <w:marBottom w:val="0"/>
      <w:divBdr>
        <w:top w:val="none" w:sz="0" w:space="0" w:color="auto"/>
        <w:left w:val="none" w:sz="0" w:space="0" w:color="auto"/>
        <w:bottom w:val="none" w:sz="0" w:space="0" w:color="auto"/>
        <w:right w:val="none" w:sz="0" w:space="0" w:color="auto"/>
      </w:divBdr>
    </w:div>
    <w:div w:id="2139252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3" ma:contentTypeDescription="Create a new document." ma:contentTypeScope="" ma:versionID="e6c781611c0372eb7497953594f88138">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9c55f2ad754f8e4ce0504bb370a42bb9"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Ren41</b:Tag>
    <b:SourceType>Book</b:SourceType>
    <b:Guid>{4E561B27-AD56-4051-BA03-C1DD7C868909}</b:Guid>
    <b:Author>
      <b:Author>
        <b:NameList>
          <b:Person>
            <b:Last>Descartes</b:Last>
            <b:First>Ren´e</b:First>
          </b:Person>
        </b:NameList>
      </b:Author>
    </b:Author>
    <b:Title>Meditation on First Philosophy</b:Title>
    <b:Year>1641</b:Year>
    <b:RefOrder>1</b:RefOrder>
  </b:Source>
  <b:Source>
    <b:Tag>Joh13</b:Tag>
    <b:SourceType>Book</b:SourceType>
    <b:Guid>{077B5B98-9F8C-423A-ABB5-987CE2F24E95}</b:Guid>
    <b:Author>
      <b:Author>
        <b:NameList>
          <b:Person>
            <b:Last>Watson</b:Last>
            <b:First>John</b:First>
            <b:Middle>B.</b:Middle>
          </b:Person>
        </b:NameList>
      </b:Author>
    </b:Author>
    <b:Title>Psychology as the Behaviorist Views It</b:Title>
    <b:Year>1913</b:Year>
    <b:RefOrder>2</b:RefOrder>
  </b:Source>
  <b:Source>
    <b:Tag>Ryl49</b:Tag>
    <b:SourceType>Book</b:SourceType>
    <b:Guid>{31A9BF33-D637-48C7-B645-650F2EBFB967}</b:Guid>
    <b:Author>
      <b:Author>
        <b:NameList>
          <b:Person>
            <b:Last>Ryle</b:Last>
            <b:First>Gilbert</b:First>
          </b:Person>
        </b:NameList>
      </b:Author>
    </b:Author>
    <b:Title>The Concept of Mind</b:Title>
    <b:Year>1949</b:Year>
    <b:Publisher>University of Chicago Press</b:Publisher>
    <b:RefOrder>3</b:RefOrder>
  </b:Source>
  <b:Source>
    <b:Tag>JSM11</b:Tag>
    <b:SourceType>Book</b:SourceType>
    <b:Guid>{8C811356-F5FF-4089-9D65-093F738DE8F4}</b:Guid>
    <b:Author>
      <b:Author>
        <b:NameList>
          <b:Person>
            <b:Last>Mill</b:Last>
            <b:First>J.S.</b:First>
          </b:Person>
        </b:NameList>
      </b:Author>
    </b:Author>
    <b:Title>A System of Logic, Ratiocinative and Inductive: Being a Connected View of the Principles of Evidence, and the Methods of Scientific Investigation.</b:Title>
    <b:Year>2011</b:Year>
    <b:City>Cambridge</b:City>
    <b:Publisher>Cambridge University Press</b:Publisher>
    <b:RefOrder>4</b:RefOrder>
  </b:Source>
  <b:Source>
    <b:Tag>JSM65</b:Tag>
    <b:SourceType>Book</b:SourceType>
    <b:Guid>{4799F555-EAA3-46AA-8479-048A59F8C348}</b:Guid>
    <b:Author>
      <b:Author>
        <b:NameList>
          <b:Person>
            <b:Last>Mill</b:Last>
            <b:First>J.S.</b:First>
          </b:Person>
        </b:NameList>
      </b:Author>
    </b:Author>
    <b:Title>An examination of Sir William Hamilton's philosophy, and of the principal philosophical questions discussed in his writings</b:Title>
    <b:Year>1865</b:Year>
    <b:City>London</b:City>
    <b:Publisher>Longman, Green, Longman, Roberts &amp; Green</b:Publisher>
    <b:RefOrder>5</b:RefOrder>
  </b:Source>
  <b:Source>
    <b:Tag>Wit53</b:Tag>
    <b:SourceType>Book</b:SourceType>
    <b:Guid>{8BD5A6D8-696A-4813-9A1B-0F1D3CEA12A6}</b:Guid>
    <b:Author>
      <b:Author>
        <b:NameList>
          <b:Person>
            <b:Last>Wittgenstein</b:Last>
            <b:First>Ludwig</b:First>
          </b:Person>
        </b:NameList>
      </b:Author>
      <b:Translator>
        <b:NameList>
          <b:Person>
            <b:Last>Anscombe</b:Last>
            <b:First>G.E.M.</b:First>
          </b:Person>
        </b:NameList>
      </b:Translator>
    </b:Author>
    <b:Title>Philisophocal Investigations</b:Title>
    <b:Year>1953</b:Year>
    <b:City>Oxford</b:City>
    <b:Publisher>Blackwell</b:Publisher>
    <b:RefOrder>6</b:RefOrder>
  </b:Source>
</b:Sources>
</file>

<file path=customXml/itemProps1.xml><?xml version="1.0" encoding="utf-8"?>
<ds:datastoreItem xmlns:ds="http://schemas.openxmlformats.org/officeDocument/2006/customXml" ds:itemID="{45821988-D62A-4892-8873-CA651F873E51}">
  <ds:schemaRefs>
    <ds:schemaRef ds:uri="http://schemas.microsoft.com/office/2006/metadata/properties"/>
    <ds:schemaRef ds:uri="http://schemas.microsoft.com/office/infopath/2007/PartnerControls"/>
    <ds:schemaRef ds:uri="ad7316b1-23f1-480c-8fa6-cbf037f4db9c"/>
  </ds:schemaRefs>
</ds:datastoreItem>
</file>

<file path=customXml/itemProps2.xml><?xml version="1.0" encoding="utf-8"?>
<ds:datastoreItem xmlns:ds="http://schemas.openxmlformats.org/officeDocument/2006/customXml" ds:itemID="{5E2F2970-AA68-4A33-8100-409BB750065E}">
  <ds:schemaRefs>
    <ds:schemaRef ds:uri="http://schemas.microsoft.com/sharepoint/v3/contenttype/forms"/>
  </ds:schemaRefs>
</ds:datastoreItem>
</file>

<file path=customXml/itemProps3.xml><?xml version="1.0" encoding="utf-8"?>
<ds:datastoreItem xmlns:ds="http://schemas.openxmlformats.org/officeDocument/2006/customXml" ds:itemID="{D6D2A439-E8D4-4D91-9845-96EB005E27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4F59D5-6AF1-43D3-8598-96D9F1DFD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2240</TotalTime>
  <Pages>4</Pages>
  <Words>2339</Words>
  <Characters>13337</Characters>
  <Application>Microsoft Office Word</Application>
  <DocSecurity>0</DocSecurity>
  <Lines>111</Lines>
  <Paragraphs>31</Paragraphs>
  <ScaleCrop>false</ScaleCrop>
  <Company/>
  <LinksUpToDate>false</LinksUpToDate>
  <CharactersWithSpaces>15645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Finley Knowles (2304020)</dc:creator>
  <cp:keywords/>
  <dc:description/>
  <cp:lastModifiedBy>Finley Knowles (2304020)</cp:lastModifiedBy>
  <cp:revision>240</cp:revision>
  <dcterms:created xsi:type="dcterms:W3CDTF">2025-01-13T15:33:00Z</dcterms:created>
  <dcterms:modified xsi:type="dcterms:W3CDTF">2025-01-20T06:18:00Z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