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5"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813333679"/>
        <w:docPartObj>
          <w:docPartGallery w:val="Cover Pages"/>
          <w:docPartUnique/>
        </w:docPartObj>
      </w:sdtPr>
      <w:sdtEndPr>
        <w:rPr>
          <w:rFonts w:ascii="Arial" w:hAnsi="Arial" w:cs="Arial"/>
          <w:u w:val="single"/>
        </w:rPr>
      </w:sdtEndPr>
      <w:sdtContent>
        <w:p w14:paraId="62A44B70" w14:textId="0CE27C31" w:rsidR="00387485" w:rsidRDefault="00387485"/>
        <w:p w14:paraId="2EFAF411" w14:textId="2E182F4D" w:rsidR="00DF3910" w:rsidRDefault="00387485" w:rsidP="00DF3910">
          <w:pPr>
            <w:rPr>
              <w:rFonts w:ascii="Arial" w:hAnsi="Arial" w:cs="Arial"/>
              <w:u w:val="single"/>
            </w:rPr>
          </w:pPr>
          <w:r>
            <w:rPr>
              <w:noProof/>
            </w:rPr>
            <mc:AlternateContent>
              <mc:Choice Requires="wps">
                <w:drawing>
                  <wp:anchor distT="0" distB="0" distL="182880" distR="182880" simplePos="0" relativeHeight="251660288" behindDoc="0" locked="0" layoutInCell="1" allowOverlap="1" wp14:anchorId="10E3EBF9" wp14:editId="53E511F6">
                    <wp:simplePos x="0" y="0"/>
                    <wp:positionH relativeFrom="margin">
                      <wp:posOffset>238760</wp:posOffset>
                    </wp:positionH>
                    <wp:positionV relativeFrom="page">
                      <wp:posOffset>3771900</wp:posOffset>
                    </wp:positionV>
                    <wp:extent cx="4525010" cy="212471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525010" cy="21247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3B2B3F" w14:textId="08C6126F" w:rsidR="00387485" w:rsidRPr="00387485" w:rsidRDefault="00387485">
                                <w:pPr>
                                  <w:pStyle w:val="NoSpacing"/>
                                  <w:spacing w:before="40" w:after="560" w:line="216" w:lineRule="auto"/>
                                  <w:rPr>
                                    <w:color w:val="4472C4" w:themeColor="accent1"/>
                                    <w:sz w:val="72"/>
                                    <w:szCs w:val="72"/>
                                    <w:u w:val="single"/>
                                  </w:rPr>
                                </w:pPr>
                                <w:sdt>
                                  <w:sdtPr>
                                    <w:rPr>
                                      <w:color w:val="4472C4" w:themeColor="accent1"/>
                                      <w:sz w:val="72"/>
                                      <w:szCs w:val="72"/>
                                      <w:u w:val="single"/>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387485">
                                      <w:rPr>
                                        <w:color w:val="4472C4" w:themeColor="accent1"/>
                                        <w:sz w:val="72"/>
                                        <w:szCs w:val="72"/>
                                        <w:u w:val="single"/>
                                      </w:rPr>
                                      <w:t>Legal Issues Within Construction Projects</w:t>
                                    </w:r>
                                  </w:sdtContent>
                                </w:sdt>
                              </w:p>
                              <w:sdt>
                                <w:sdtPr>
                                  <w:rPr>
                                    <w:caps/>
                                    <w:color w:val="5B9BD5" w:themeColor="accent5"/>
                                    <w:sz w:val="36"/>
                                    <w:szCs w:val="36"/>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7D05D7D" w14:textId="71C1EBCC" w:rsidR="00387485" w:rsidRPr="00387485" w:rsidRDefault="00387485">
                                    <w:pPr>
                                      <w:pStyle w:val="NoSpacing"/>
                                      <w:spacing w:before="80" w:after="40"/>
                                      <w:rPr>
                                        <w:caps/>
                                        <w:color w:val="5B9BD5" w:themeColor="accent5"/>
                                        <w:sz w:val="36"/>
                                        <w:szCs w:val="36"/>
                                      </w:rPr>
                                    </w:pPr>
                                    <w:r w:rsidRPr="00387485">
                                      <w:rPr>
                                        <w:caps/>
                                        <w:color w:val="5B9BD5" w:themeColor="accent5"/>
                                        <w:sz w:val="36"/>
                                        <w:szCs w:val="36"/>
                                      </w:rPr>
                                      <w:t>Joe Browett (1706572)</w:t>
                                    </w:r>
                                  </w:p>
                                </w:sdtContent>
                              </w:sdt>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3580463" w14:textId="77777777" w:rsidR="00387485" w:rsidRDefault="00387485" w:rsidP="00387485">
                                    <w:pPr>
                                      <w:pStyle w:val="NoSpacing"/>
                                      <w:spacing w:before="40" w:after="40"/>
                                      <w:rPr>
                                        <w:caps/>
                                        <w:color w:val="1F4E79" w:themeColor="accent5" w:themeShade="80"/>
                                        <w:sz w:val="28"/>
                                        <w:szCs w:val="28"/>
                                      </w:rPr>
                                    </w:pPr>
                                    <w:r>
                                      <w:rPr>
                                        <w:caps/>
                                        <w:color w:val="1F4E79" w:themeColor="accent5" w:themeShade="80"/>
                                        <w:sz w:val="28"/>
                                        <w:szCs w:val="28"/>
                                      </w:rPr>
                                      <w:t>Word count: 1804</w:t>
                                    </w:r>
                                  </w:p>
                                </w:sdtContent>
                              </w:sdt>
                              <w:p w14:paraId="7EC41924" w14:textId="77777777" w:rsidR="00387485" w:rsidRDefault="00387485"/>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0E3EBF9" id="_x0000_t202" coordsize="21600,21600" o:spt="202" path="m0,0l0,21600,21600,21600,21600,0xe">
                    <v:stroke joinstyle="miter"/>
                    <v:path gradientshapeok="t" o:connecttype="rect"/>
                  </v:shapetype>
                  <v:shape id="Text Box 131" o:spid="_x0000_s1026" type="#_x0000_t202" style="position:absolute;margin-left:18.8pt;margin-top:297pt;width:356.3pt;height:167.3pt;z-index:25166028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" filled="f" stroked="f" strokeweight=".5pt">
                    <v:textbox style="mso-fit-shape-to-text:t" inset="0,0,0,0">
                      <w:txbxContent>
                        <w:p w14:paraId="3D3B2B3F" w14:textId="08C6126F" w:rsidR="00387485" w:rsidRPr="00387485" w:rsidRDefault="00387485">
                          <w:pPr>
                            <w:pStyle w:val="NoSpacing"/>
                            <w:spacing w:before="40" w:after="560" w:line="216" w:lineRule="auto"/>
                            <w:rPr>
                              <w:color w:val="4472C4" w:themeColor="accent1"/>
                              <w:sz w:val="72"/>
                              <w:szCs w:val="72"/>
                              <w:u w:val="single"/>
                            </w:rPr>
                          </w:pPr>
                          <w:sdt>
                            <w:sdtPr>
                              <w:rPr>
                                <w:color w:val="4472C4" w:themeColor="accent1"/>
                                <w:sz w:val="72"/>
                                <w:szCs w:val="72"/>
                                <w:u w:val="single"/>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387485">
                                <w:rPr>
                                  <w:color w:val="4472C4" w:themeColor="accent1"/>
                                  <w:sz w:val="72"/>
                                  <w:szCs w:val="72"/>
                                  <w:u w:val="single"/>
                                </w:rPr>
                                <w:t>Legal Issues Within Construction Projects</w:t>
                              </w:r>
                            </w:sdtContent>
                          </w:sdt>
                        </w:p>
                        <w:sdt>
                          <w:sdtPr>
                            <w:rPr>
                              <w:caps/>
                              <w:color w:val="5B9BD5" w:themeColor="accent5"/>
                              <w:sz w:val="36"/>
                              <w:szCs w:val="36"/>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7D05D7D" w14:textId="71C1EBCC" w:rsidR="00387485" w:rsidRPr="00387485" w:rsidRDefault="00387485">
                              <w:pPr>
                                <w:pStyle w:val="NoSpacing"/>
                                <w:spacing w:before="80" w:after="40"/>
                                <w:rPr>
                                  <w:caps/>
                                  <w:color w:val="5B9BD5" w:themeColor="accent5"/>
                                  <w:sz w:val="36"/>
                                  <w:szCs w:val="36"/>
                                </w:rPr>
                              </w:pPr>
                              <w:r w:rsidRPr="00387485">
                                <w:rPr>
                                  <w:caps/>
                                  <w:color w:val="5B9BD5" w:themeColor="accent5"/>
                                  <w:sz w:val="36"/>
                                  <w:szCs w:val="36"/>
                                </w:rPr>
                                <w:t>Joe Browett (1706572)</w:t>
                              </w:r>
                            </w:p>
                          </w:sdtContent>
                        </w:sdt>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3580463" w14:textId="77777777" w:rsidR="00387485" w:rsidRDefault="00387485" w:rsidP="00387485">
                              <w:pPr>
                                <w:pStyle w:val="NoSpacing"/>
                                <w:spacing w:before="40" w:after="40"/>
                                <w:rPr>
                                  <w:caps/>
                                  <w:color w:val="1F4E79" w:themeColor="accent5" w:themeShade="80"/>
                                  <w:sz w:val="28"/>
                                  <w:szCs w:val="28"/>
                                </w:rPr>
                              </w:pPr>
                              <w:r>
                                <w:rPr>
                                  <w:caps/>
                                  <w:color w:val="1F4E79" w:themeColor="accent5" w:themeShade="80"/>
                                  <w:sz w:val="28"/>
                                  <w:szCs w:val="28"/>
                                </w:rPr>
                                <w:t>Word count: 1804</w:t>
                              </w:r>
                            </w:p>
                          </w:sdtContent>
                        </w:sdt>
                        <w:p w14:paraId="7EC41924" w14:textId="77777777" w:rsidR="00387485" w:rsidRDefault="00387485"/>
                      </w:txbxContent>
                    </v:textbox>
                    <w10:wrap type="square" anchorx="margin" anchory="page"/>
                  </v:shape>
                </w:pict>
              </mc:Fallback>
            </mc:AlternateContent>
          </w:r>
          <w:r>
            <w:rPr>
              <w:rFonts w:ascii="Arial" w:hAnsi="Arial" w:cs="Arial"/>
              <w:u w:val="single"/>
            </w:rPr>
            <w:br w:type="page"/>
          </w:r>
        </w:p>
      </w:sdtContent>
    </w:sdt>
    <w:p w14:paraId="69E67BF0" w14:textId="77777777" w:rsidR="00DF3910" w:rsidRPr="008A73CB" w:rsidRDefault="00DF3910" w:rsidP="00DF3910">
      <w:pPr>
        <w:rPr>
          <w:rFonts w:ascii="Arial" w:hAnsi="Arial" w:cs="Arial"/>
          <w:u w:val="single"/>
        </w:rPr>
      </w:pPr>
      <w:r w:rsidRPr="008A73CB">
        <w:rPr>
          <w:rFonts w:ascii="Arial" w:hAnsi="Arial" w:cs="Arial"/>
          <w:u w:val="single"/>
        </w:rPr>
        <w:lastRenderedPageBreak/>
        <w:t>Introduction</w:t>
      </w:r>
    </w:p>
    <w:p w14:paraId="4A2DA198" w14:textId="77777777" w:rsidR="00DF3910" w:rsidRPr="008A73CB" w:rsidRDefault="00DF3910" w:rsidP="00DF3910">
      <w:pPr>
        <w:ind w:firstLine="720"/>
        <w:rPr>
          <w:rFonts w:ascii="Arial" w:hAnsi="Arial" w:cs="Arial"/>
        </w:rPr>
      </w:pPr>
    </w:p>
    <w:p w14:paraId="539D2447" w14:textId="77777777" w:rsidR="00DF3910" w:rsidRPr="008A73CB" w:rsidRDefault="00DF3910" w:rsidP="00DF3910">
      <w:pPr>
        <w:ind w:firstLine="720"/>
        <w:rPr>
          <w:rFonts w:ascii="Arial" w:hAnsi="Arial" w:cs="Arial"/>
        </w:rPr>
      </w:pPr>
      <w:r w:rsidRPr="008A73CB">
        <w:rPr>
          <w:rFonts w:ascii="Arial" w:hAnsi="Arial" w:cs="Arial"/>
        </w:rPr>
        <w:t xml:space="preserve">This report will be comprised of 3 parts. First, I will explain why contracts are critical for construction projects and the implications that can arise if the contract is not fully discharged. Then, I will describe the essential elements to a contract. Finally, I will cover certain scenarios that have ramifications and the areas of law that they cover. </w:t>
      </w:r>
    </w:p>
    <w:p w14:paraId="4E858C63" w14:textId="77777777" w:rsidR="00DF3910" w:rsidRPr="008A73CB" w:rsidRDefault="00DF3910" w:rsidP="00DF3910">
      <w:pPr>
        <w:rPr>
          <w:rFonts w:ascii="Arial" w:hAnsi="Arial" w:cs="Arial"/>
        </w:rPr>
      </w:pPr>
    </w:p>
    <w:p w14:paraId="74678E93" w14:textId="77777777" w:rsidR="00DF3910" w:rsidRPr="008A73CB" w:rsidRDefault="00DF3910" w:rsidP="00DF3910">
      <w:pPr>
        <w:rPr>
          <w:rFonts w:ascii="Arial" w:hAnsi="Arial" w:cs="Arial"/>
          <w:u w:val="single"/>
        </w:rPr>
      </w:pPr>
      <w:r w:rsidRPr="008A73CB">
        <w:rPr>
          <w:rFonts w:ascii="Arial" w:hAnsi="Arial" w:cs="Arial"/>
          <w:u w:val="single"/>
        </w:rPr>
        <w:t>Critical Contract Areas</w:t>
      </w:r>
    </w:p>
    <w:p w14:paraId="43D58AB9" w14:textId="77777777" w:rsidR="00DF3910" w:rsidRPr="008A73CB" w:rsidRDefault="00DF3910" w:rsidP="00DF3910">
      <w:pPr>
        <w:ind w:firstLine="720"/>
        <w:rPr>
          <w:rFonts w:ascii="Arial" w:hAnsi="Arial" w:cs="Arial"/>
        </w:rPr>
      </w:pPr>
    </w:p>
    <w:p w14:paraId="7237B5A5" w14:textId="77777777" w:rsidR="00DF3910" w:rsidRPr="008A73CB" w:rsidRDefault="00DF3910" w:rsidP="00DF3910">
      <w:pPr>
        <w:ind w:firstLine="720"/>
        <w:rPr>
          <w:rFonts w:ascii="Arial" w:hAnsi="Arial" w:cs="Arial"/>
        </w:rPr>
      </w:pPr>
      <w:r w:rsidRPr="008A73CB">
        <w:rPr>
          <w:rFonts w:ascii="Arial" w:hAnsi="Arial" w:cs="Arial"/>
        </w:rPr>
        <w:t>In construction, unforeseen circumstances can arise which neither contracting party are able to control. A contract helps limit these uncertainties by making the parties agree to what remedies will be available if the contract cannot be completed as agreed. For example, if one party underestimates how long it will take them to perform their duties under the contract, the other party will be able to enforce particular clauses to have their position rectified. Alternatively, in events such as prolonged bad weather or an “act of God” where construction is delayed or damaged, the contract can protect any innocent parties from unfair claims.</w:t>
      </w:r>
    </w:p>
    <w:p w14:paraId="5E405DFF" w14:textId="77777777" w:rsidR="00DF3910" w:rsidRPr="008A73CB" w:rsidRDefault="00DF3910" w:rsidP="00DF3910">
      <w:pPr>
        <w:rPr>
          <w:rFonts w:ascii="Arial" w:hAnsi="Arial" w:cs="Arial"/>
        </w:rPr>
      </w:pPr>
    </w:p>
    <w:p w14:paraId="6662DE92" w14:textId="77777777" w:rsidR="00DF3910" w:rsidRPr="008A73CB" w:rsidRDefault="00DF3910" w:rsidP="00DF3910">
      <w:pPr>
        <w:ind w:firstLine="720"/>
        <w:rPr>
          <w:rFonts w:ascii="Arial" w:hAnsi="Arial" w:cs="Arial"/>
        </w:rPr>
      </w:pPr>
      <w:r w:rsidRPr="008A73CB">
        <w:rPr>
          <w:rFonts w:ascii="Arial" w:hAnsi="Arial" w:cs="Arial"/>
        </w:rPr>
        <w:t>The building design can raise issues later in construction. For example, if there is a defect in the original design the contract will be able to determine which party will be response for paying to correct the mistake. Furthermore, if the soil on which the construction is taking place turns out to be substandard and unsuitable to be built upon, the contract will contain clauses which assign liability to the party whose duty is was to check the quality of soil and how they must rectify the situation.</w:t>
      </w:r>
    </w:p>
    <w:p w14:paraId="7A016632" w14:textId="77777777" w:rsidR="00DF3910" w:rsidRPr="008A73CB" w:rsidRDefault="00DF3910" w:rsidP="00DF3910">
      <w:pPr>
        <w:rPr>
          <w:rFonts w:ascii="Arial" w:hAnsi="Arial" w:cs="Arial"/>
        </w:rPr>
      </w:pPr>
    </w:p>
    <w:p w14:paraId="22BA803B" w14:textId="77777777" w:rsidR="00DF3910" w:rsidRPr="008A73CB" w:rsidRDefault="00DF3910" w:rsidP="00DF3910">
      <w:pPr>
        <w:ind w:firstLine="720"/>
        <w:rPr>
          <w:rFonts w:ascii="Arial" w:hAnsi="Arial" w:cs="Arial"/>
        </w:rPr>
      </w:pPr>
      <w:r w:rsidRPr="008A73CB">
        <w:rPr>
          <w:rFonts w:ascii="Arial" w:hAnsi="Arial" w:cs="Arial"/>
        </w:rPr>
        <w:t xml:space="preserve">Project funding could also create issues. If there is disruption to the flow of money, due to a lack of disbursements from a lender, the contract may contain which party is responsible. The contract may also contain clauses which stipulate whether or not work should continue despite a lack of funding. </w:t>
      </w:r>
    </w:p>
    <w:p w14:paraId="67D618D8" w14:textId="77777777" w:rsidR="00DF3910" w:rsidRPr="008A73CB" w:rsidRDefault="00DF3910" w:rsidP="00DF3910">
      <w:pPr>
        <w:ind w:firstLine="720"/>
        <w:rPr>
          <w:rFonts w:ascii="Arial" w:hAnsi="Arial" w:cs="Arial"/>
        </w:rPr>
      </w:pPr>
    </w:p>
    <w:p w14:paraId="1B840644" w14:textId="77777777" w:rsidR="00DF3910" w:rsidRPr="008A73CB" w:rsidRDefault="00DF3910" w:rsidP="00DF3910">
      <w:pPr>
        <w:ind w:firstLine="720"/>
        <w:rPr>
          <w:rFonts w:ascii="Arial" w:hAnsi="Arial" w:cs="Arial"/>
        </w:rPr>
      </w:pPr>
      <w:r w:rsidRPr="008A73CB">
        <w:rPr>
          <w:rFonts w:ascii="Arial" w:hAnsi="Arial" w:cs="Arial"/>
        </w:rPr>
        <w:t>Finally, issues can arise such that neither parties were responsible in creating. For example, situations can arise where, where the government fails to provide necessary approvals or issues regulations which require a change in design or delay performance and parties must know who is liable to cover any price increases. This is also true where damage or injury is caused to a third party which they are strictly liable for but could not have prevented. Here, parties can evade liability in these circumstances be including an indemnity clause.</w:t>
      </w:r>
    </w:p>
    <w:p w14:paraId="32F1127B" w14:textId="77777777" w:rsidR="00DF3910" w:rsidRPr="008A73CB" w:rsidRDefault="00DF3910" w:rsidP="00DF3910">
      <w:pPr>
        <w:rPr>
          <w:rFonts w:ascii="Arial" w:hAnsi="Arial" w:cs="Arial"/>
        </w:rPr>
      </w:pPr>
    </w:p>
    <w:p w14:paraId="655EBFDD" w14:textId="77777777" w:rsidR="00DF3910" w:rsidRPr="008A73CB" w:rsidRDefault="00DF3910" w:rsidP="00DF3910">
      <w:pPr>
        <w:rPr>
          <w:rFonts w:ascii="Arial" w:hAnsi="Arial" w:cs="Arial"/>
        </w:rPr>
      </w:pPr>
      <w:r w:rsidRPr="008A73CB">
        <w:rPr>
          <w:rFonts w:ascii="Arial" w:hAnsi="Arial" w:cs="Arial"/>
          <w:u w:val="single"/>
        </w:rPr>
        <w:t>Essential Elements of a Contract</w:t>
      </w:r>
    </w:p>
    <w:p w14:paraId="7EF3708D" w14:textId="77777777" w:rsidR="00DF3910" w:rsidRPr="008A73CB" w:rsidRDefault="00DF3910" w:rsidP="00DF3910">
      <w:pPr>
        <w:ind w:firstLine="720"/>
        <w:rPr>
          <w:rFonts w:ascii="Arial" w:hAnsi="Arial" w:cs="Arial"/>
        </w:rPr>
      </w:pPr>
    </w:p>
    <w:p w14:paraId="5C31C74F" w14:textId="77777777" w:rsidR="00DF3910" w:rsidRPr="008A73CB" w:rsidRDefault="00DF3910" w:rsidP="00DF3910">
      <w:pPr>
        <w:ind w:firstLine="720"/>
        <w:rPr>
          <w:rFonts w:ascii="Arial" w:hAnsi="Arial" w:cs="Arial"/>
        </w:rPr>
      </w:pPr>
      <w:r w:rsidRPr="008A73CB">
        <w:rPr>
          <w:rFonts w:ascii="Arial" w:hAnsi="Arial" w:cs="Arial"/>
        </w:rPr>
        <w:t xml:space="preserve">There are three essential elements to a contract, the first of which is agreement. A contract comes into effect when the offeror makes an offer to the offeree who is then free to accept, decline or propose a counter offer. When an offer is officially accepted, both parties are bound by the terms of the agreement and any obligations which they have agreed to fulfil. Once accepted the agreement must be fulfilled with no alterations. The importance of agreement is highlighted in the case of G Percy Trentham v Archital Luxfer Ltd where it was found that part performance of a contract was sufficient evidence of there being an agreement between the parties. Since the agreement had been reached and one of the parties relied upon it, the agreement became binding on them both, regardless of there being no formal signed contract </w:t>
      </w:r>
      <w:r w:rsidRPr="008A73CB">
        <w:rPr>
          <w:rFonts w:ascii="Arial" w:hAnsi="Arial" w:cs="Arial"/>
        </w:rPr>
        <w:fldChar w:fldCharType="begin"/>
      </w:r>
      <w:r w:rsidRPr="008A73CB">
        <w:rPr>
          <w:rFonts w:ascii="Arial" w:hAnsi="Arial" w:cs="Arial"/>
        </w:rPr>
        <w:instrText xml:space="preserve"> ADDIN ZOTERO_ITEM CSL_CITATION {"citationID":"a2l8mslvobs","properties":{"formattedCitation":"{\\rtf (\\uc0\\u8220{}G Percy Trentham Ltd v Archital Luxfer Ltd | Westlaw UK,\\uc0\\u8221{} n.d.)}","plainCitation":"(“G Percy Trentham Ltd v Archital Luxfer Ltd | Westlaw UK,” n.d.)"},"citationItems":[{"id":7,"uris":["http://zotero.org/users/4607659/items/XKUIV33X"],"uri":["http://zotero.org/users/4607659/items/XKUIV33X"],"itemData":{"id":7,"type":"webpage","title":"G Percy Trentham Ltd v Archital Luxfer Ltd | Westlaw UK","URL":"https://login-westlaw-co-uk.ezproxy.uwtsd.ac.uk/maf/wluk/app/document?&amp;srguid=i0ad69f8e00000160c71fd097467fdf19&amp;docguid=IAC521951E42711DA8FC2A0F0355337E9&amp;hitguid=IAC521951E42711DA8FC2A0F0355337E9&amp;rank=1&amp;spos=1&amp;epos=1&amp;td=82&amp;crumb-action=append&amp;context=13&amp;resolvein=true","accessed":{"date-parts":[["2018",1,5]]}}}],"schema":"https://github.com/citation-style-language/schema/raw/master/csl-citation.json"} </w:instrText>
      </w:r>
      <w:r w:rsidRPr="008A73CB">
        <w:rPr>
          <w:rFonts w:ascii="Arial" w:hAnsi="Arial" w:cs="Arial"/>
        </w:rPr>
        <w:fldChar w:fldCharType="separate"/>
      </w:r>
      <w:r w:rsidRPr="008A73CB">
        <w:rPr>
          <w:rFonts w:ascii="Arial" w:eastAsia="Times New Roman" w:hAnsi="Arial" w:cs="Arial"/>
        </w:rPr>
        <w:t>(“G Percy Trentham Ltd v Archital Luxfer Ltd | Westlaw UK,” n.d.)</w:t>
      </w:r>
      <w:r w:rsidRPr="008A73CB">
        <w:rPr>
          <w:rFonts w:ascii="Arial" w:hAnsi="Arial" w:cs="Arial"/>
        </w:rPr>
        <w:fldChar w:fldCharType="end"/>
      </w:r>
      <w:r w:rsidRPr="008A73CB">
        <w:rPr>
          <w:rFonts w:ascii="Arial" w:hAnsi="Arial" w:cs="Arial"/>
        </w:rPr>
        <w:t xml:space="preserve">. An agreement has been reached where there has been offer and acceptance. An offer is “An expression of willingness to contract on specified terms, made with the intention that it shall become binding as soon as it is accepted by the person” </w:t>
      </w:r>
      <w:r w:rsidRPr="008A73CB">
        <w:rPr>
          <w:rFonts w:ascii="Arial" w:hAnsi="Arial" w:cs="Arial"/>
        </w:rPr>
        <w:fldChar w:fldCharType="begin"/>
      </w:r>
      <w:r w:rsidRPr="008A73CB">
        <w:rPr>
          <w:rFonts w:ascii="Arial" w:hAnsi="Arial" w:cs="Arial"/>
        </w:rPr>
        <w:instrText xml:space="preserve"> ADDIN ZOTERO_ITEM CSL_CITATION {"citationID":"a1mcjikm1vv","properties":{"formattedCitation":"(Peel and Treitel, 2015)","plainCitation":"(Peel and Treitel, 2015)"},"citationItems":[{"id":10,"uris":["http://zotero.org/users/4607659/items/GSAXXAHW"],"uri":["http://zotero.org/users/4607659/items/GSAXXAHW"],"itemData":{"id":10,"type":"book","title":"The law of contract","publisher":"Sweet &amp; Maxwell : Thomson Reuters","publisher-place":"London","number-of-pages":"1388","edition":"Fourteenth edition","source":"Library of Congress ISBN","event-place":"London","ISBN":"978-0-414-03739-7","call-number":"KD1554 .T7 2015","note":"OCLC: ocn925340730","author":[{"family":"Peel","given":"Edwin"},{"family":"Treitel","given":"G. H."}],"issued":{"date-parts":[["2015"]]}}}],"schema":"https://github.com/citation-style-language/schema/raw/master/csl-citation.json"} </w:instrText>
      </w:r>
      <w:r w:rsidRPr="008A73CB">
        <w:rPr>
          <w:rFonts w:ascii="Arial" w:hAnsi="Arial" w:cs="Arial"/>
        </w:rPr>
        <w:fldChar w:fldCharType="separate"/>
      </w:r>
      <w:r w:rsidRPr="008A73CB">
        <w:rPr>
          <w:rFonts w:ascii="Arial" w:hAnsi="Arial" w:cs="Arial"/>
          <w:noProof/>
        </w:rPr>
        <w:t>(Peel and Treitel, 2015)</w:t>
      </w:r>
      <w:r w:rsidRPr="008A73CB">
        <w:rPr>
          <w:rFonts w:ascii="Arial" w:hAnsi="Arial" w:cs="Arial"/>
        </w:rPr>
        <w:fldChar w:fldCharType="end"/>
      </w:r>
      <w:r w:rsidRPr="008A73CB">
        <w:rPr>
          <w:rFonts w:ascii="Arial" w:hAnsi="Arial" w:cs="Arial"/>
        </w:rPr>
        <w:t xml:space="preserve"> and acceptance is “A final and unqualified expressions of accent to the terms of an offer” </w:t>
      </w:r>
      <w:r w:rsidRPr="008A73CB">
        <w:rPr>
          <w:rFonts w:ascii="Arial" w:hAnsi="Arial" w:cs="Arial"/>
        </w:rPr>
        <w:fldChar w:fldCharType="begin"/>
      </w:r>
      <w:r w:rsidRPr="008A73CB">
        <w:rPr>
          <w:rFonts w:ascii="Arial" w:hAnsi="Arial" w:cs="Arial"/>
        </w:rPr>
        <w:instrText xml:space="preserve"> ADDIN ZOTERO_ITEM CSL_CITATION {"citationID":"a2kl4fku7p9","properties":{"formattedCitation":"(Peel and Treitel, 2015)","plainCitation":"(Peel and Treitel, 2015)"},"citationItems":[{"id":10,"uris":["http://zotero.org/users/4607659/items/GSAXXAHW"],"uri":["http://zotero.org/users/4607659/items/GSAXXAHW"],"itemData":{"id":10,"type":"book","title":"The law of contract","publisher":"Sweet &amp; Maxwell : Thomson Reuters","publisher-place":"London","number-of-pages":"1388","edition":"Fourteenth edition","source":"Library of Congress ISBN","event-place":"London","ISBN":"978-0-414-03739-7","call-number":"KD1554 .T7 2015","note":"OCLC: ocn925340730","author":[{"family":"Peel","given":"Edwin"},{"family":"Treitel","given":"G. H."}],"issued":{"date-parts":[["2015"]]}}}],"schema":"https://github.com/citation-style-language/schema/raw/master/csl-citation.json"} </w:instrText>
      </w:r>
      <w:r w:rsidRPr="008A73CB">
        <w:rPr>
          <w:rFonts w:ascii="Arial" w:hAnsi="Arial" w:cs="Arial"/>
        </w:rPr>
        <w:fldChar w:fldCharType="separate"/>
      </w:r>
      <w:r w:rsidRPr="008A73CB">
        <w:rPr>
          <w:rFonts w:ascii="Arial" w:hAnsi="Arial" w:cs="Arial"/>
          <w:noProof/>
        </w:rPr>
        <w:t>(Peel and Treitel, 2015)</w:t>
      </w:r>
      <w:r w:rsidRPr="008A73CB">
        <w:rPr>
          <w:rFonts w:ascii="Arial" w:hAnsi="Arial" w:cs="Arial"/>
        </w:rPr>
        <w:fldChar w:fldCharType="end"/>
      </w:r>
      <w:r w:rsidRPr="008A73CB">
        <w:rPr>
          <w:rFonts w:ascii="Arial" w:hAnsi="Arial" w:cs="Arial"/>
        </w:rPr>
        <w:t>.</w:t>
      </w:r>
    </w:p>
    <w:p w14:paraId="7CB805BA" w14:textId="77777777" w:rsidR="00DF3910" w:rsidRPr="008A73CB" w:rsidRDefault="00DF3910" w:rsidP="00DF3910">
      <w:pPr>
        <w:rPr>
          <w:rFonts w:ascii="Arial" w:hAnsi="Arial" w:cs="Arial"/>
        </w:rPr>
      </w:pPr>
    </w:p>
    <w:p w14:paraId="3AC09D38" w14:textId="77777777" w:rsidR="00DF3910" w:rsidRPr="008A73CB" w:rsidRDefault="00DF3910" w:rsidP="00DF3910">
      <w:pPr>
        <w:ind w:firstLine="720"/>
        <w:rPr>
          <w:rFonts w:ascii="Arial" w:hAnsi="Arial" w:cs="Arial"/>
        </w:rPr>
      </w:pPr>
      <w:r w:rsidRPr="008A73CB">
        <w:rPr>
          <w:rFonts w:ascii="Arial" w:hAnsi="Arial" w:cs="Arial"/>
        </w:rPr>
        <w:t>The second essential element to a contract is consideration. A court will only enforce a contract if there has been consideration. Consideration can take the form of detriment by the promiser or promisee, it must</w:t>
      </w:r>
      <w:ins w:id="0" w:author="Joe Browett (1706572)" w:date="2018-01-10T23:33:00Z">
        <w:r w:rsidRPr="008A73CB">
          <w:rPr>
            <w:rFonts w:ascii="Arial" w:hAnsi="Arial" w:cs="Arial"/>
          </w:rPr>
          <w:t xml:space="preserve"> </w:t>
        </w:r>
      </w:ins>
      <w:r w:rsidRPr="008A73CB">
        <w:rPr>
          <w:rFonts w:ascii="Arial" w:hAnsi="Arial" w:cs="Arial"/>
        </w:rPr>
        <w:t xml:space="preserve">have value in the eyes of the law and must be considered sufficient but need not be adequate. The importance of consideration is that it prevents people being able to rely on gratuitous promises since a promise will be deemed a gift if there is no consideration and a gift is not enforceable by the courts. This can be seen in the case Chen v NG where the defendant (D) claimed they had transferred shares to the claimant (C) on the understanding they would be transferred back six months later. C denied that and claimed that they owned the shares in their entirety. The Court of Appeal found that no consideration had moved from the promisee and so ruled that C held the shares on resulting trust for D </w:t>
      </w:r>
      <w:r w:rsidRPr="008A73CB">
        <w:rPr>
          <w:rFonts w:ascii="Arial" w:hAnsi="Arial" w:cs="Arial"/>
        </w:rPr>
        <w:fldChar w:fldCharType="begin"/>
      </w:r>
      <w:r w:rsidRPr="008A73CB">
        <w:rPr>
          <w:rFonts w:ascii="Arial" w:hAnsi="Arial" w:cs="Arial"/>
        </w:rPr>
        <w:instrText xml:space="preserve"> ADDIN ZOTERO_ITEM CSL_CITATION {"citationID":"a23v0a7b68f","properties":{"formattedCitation":"{\\rtf (\\uc0\\u8220{}Chen v NG | Westlaw UK,\\uc0\\u8221{} n.d.)}","plainCitation":"(“Chen v NG | Westlaw UK,” n.d.)"},"citationItems":[{"id":12,"uris":["http://zotero.org/users/4607659/items/RSFCC7GW"],"uri":["http://zotero.org/users/4607659/items/RSFCC7GW"],"itemData":{"id":12,"type":"webpage","title":"Chen v NG | Westlaw UK","URL":"https://login-westlaw-co-uk.ezproxy.uwtsd.ac.uk/maf/wluk/app/document?&amp;suppsrguid=i0ad6290300000160c86409bedc782a33&amp;docguid=I9B0C4880897211E7AFB1BFB050106DD0&amp;hitguid=I999476F089B111E7A29098B176583070&amp;rank=4&amp;spos=4&amp;epos=4&amp;td=305&amp;crumb-action=append&amp;context=23&amp;resolvein=true","accessed":{"date-parts":[["2018",1,5]]}}}],"schema":"https://github.com/citation-style-language/schema/raw/master/csl-citation.json"} </w:instrText>
      </w:r>
      <w:r w:rsidRPr="008A73CB">
        <w:rPr>
          <w:rFonts w:ascii="Arial" w:hAnsi="Arial" w:cs="Arial"/>
        </w:rPr>
        <w:fldChar w:fldCharType="separate"/>
      </w:r>
      <w:r w:rsidRPr="008A73CB">
        <w:rPr>
          <w:rFonts w:ascii="Arial" w:eastAsia="Times New Roman" w:hAnsi="Arial" w:cs="Arial"/>
        </w:rPr>
        <w:t>(“Chen v NG | Westlaw UK,” n.d.)</w:t>
      </w:r>
      <w:r w:rsidRPr="008A73CB">
        <w:rPr>
          <w:rFonts w:ascii="Arial" w:hAnsi="Arial" w:cs="Arial"/>
        </w:rPr>
        <w:fldChar w:fldCharType="end"/>
      </w:r>
      <w:r w:rsidRPr="008A73CB">
        <w:rPr>
          <w:rFonts w:ascii="Arial" w:hAnsi="Arial" w:cs="Arial"/>
        </w:rPr>
        <w:t>.</w:t>
      </w:r>
      <w:r>
        <w:rPr>
          <w:rFonts w:ascii="Arial" w:hAnsi="Arial" w:cs="Arial"/>
        </w:rPr>
        <w:t xml:space="preserve"> Alternatively, consideration must move from the promisee, meaning the promisee cannot enforce the agreement if a person other than the promisee has to provide the consideration. As seen in the case of </w:t>
      </w:r>
      <w:proofErr w:type="spellStart"/>
      <w:r>
        <w:rPr>
          <w:rFonts w:ascii="Arial" w:hAnsi="Arial" w:cs="Arial"/>
        </w:rPr>
        <w:t>Tweddle</w:t>
      </w:r>
      <w:proofErr w:type="spellEnd"/>
      <w:r>
        <w:rPr>
          <w:rFonts w:ascii="Arial" w:hAnsi="Arial" w:cs="Arial"/>
        </w:rPr>
        <w:t xml:space="preserve"> v Atkinson where the father of the bride agreed with the father of the groom that they would each pay the couple a sum of money, both fathers died before the payments. The son made a claim against the executor of the will and the claim failed because he was not a party of the agreement and the consideration did not move from him </w:t>
      </w:r>
      <w:r>
        <w:rPr>
          <w:rFonts w:ascii="Arial" w:hAnsi="Arial" w:cs="Arial"/>
        </w:rPr>
        <w:fldChar w:fldCharType="begin"/>
      </w:r>
      <w:r>
        <w:rPr>
          <w:rFonts w:ascii="Arial" w:hAnsi="Arial" w:cs="Arial"/>
        </w:rPr>
        <w:instrText xml:space="preserve"> ADDIN ZOTERO_ITEM CSL_CITATION {"citationID":"a2ld9s8nsuc","properties":{"formattedCitation":"{\\rtf (\\uc0\\u8220{}Tweddle v Atkinson,\\uc0\\u8221{} n.d.)}","plainCitation":"(“Tweddle v Atkinson,” n.d.)"},"citationItems":[{"id":56,"uris":["http://zotero.org/users/4607659/items/7I9EAIIZ"],"uri":["http://zotero.org/users/4607659/items/7I9EAIIZ"],"itemData":{"id":56,"type":"webpage","title":"Tweddle v Atkinson","URL":"http://www.e-lawresources.co.uk/Tweddle-v-Atkinson.php","accessed":{"date-parts":[["2018",1,11]]}}}],"schema":"https://github.com/citation-style-language/schema/raw/master/csl-citation.json"} </w:instrText>
      </w:r>
      <w:r>
        <w:rPr>
          <w:rFonts w:ascii="Arial" w:hAnsi="Arial" w:cs="Arial"/>
        </w:rPr>
        <w:fldChar w:fldCharType="separate"/>
      </w:r>
      <w:r w:rsidRPr="00E64ADA">
        <w:rPr>
          <w:rFonts w:ascii="Arial" w:eastAsia="Times New Roman" w:hAnsi="Arial" w:cs="Arial"/>
        </w:rPr>
        <w:t>(“</w:t>
      </w:r>
      <w:proofErr w:type="spellStart"/>
      <w:r w:rsidRPr="00E64ADA">
        <w:rPr>
          <w:rFonts w:ascii="Arial" w:eastAsia="Times New Roman" w:hAnsi="Arial" w:cs="Arial"/>
        </w:rPr>
        <w:t>Tweddle</w:t>
      </w:r>
      <w:proofErr w:type="spellEnd"/>
      <w:r w:rsidRPr="00E64ADA">
        <w:rPr>
          <w:rFonts w:ascii="Arial" w:eastAsia="Times New Roman" w:hAnsi="Arial" w:cs="Arial"/>
        </w:rPr>
        <w:t xml:space="preserve"> v Atkinson,” n.d.)</w:t>
      </w:r>
      <w:r>
        <w:rPr>
          <w:rFonts w:ascii="Arial" w:hAnsi="Arial" w:cs="Arial"/>
        </w:rPr>
        <w:fldChar w:fldCharType="end"/>
      </w:r>
      <w:r>
        <w:rPr>
          <w:rFonts w:ascii="Arial" w:hAnsi="Arial" w:cs="Arial"/>
        </w:rPr>
        <w:t>.</w:t>
      </w:r>
    </w:p>
    <w:p w14:paraId="0A5C2F82" w14:textId="77777777" w:rsidR="00DF3910" w:rsidRPr="008A73CB" w:rsidRDefault="00DF3910" w:rsidP="00DF3910">
      <w:pPr>
        <w:rPr>
          <w:rFonts w:ascii="Arial" w:hAnsi="Arial" w:cs="Arial"/>
        </w:rPr>
      </w:pPr>
    </w:p>
    <w:p w14:paraId="0D97509E" w14:textId="77777777" w:rsidR="00DF3910" w:rsidRPr="008A73CB" w:rsidRDefault="00DF3910" w:rsidP="00DF3910">
      <w:pPr>
        <w:rPr>
          <w:rFonts w:ascii="Arial" w:hAnsi="Arial" w:cs="Arial"/>
        </w:rPr>
      </w:pPr>
      <w:r w:rsidRPr="008A73CB">
        <w:rPr>
          <w:rFonts w:ascii="Arial" w:hAnsi="Arial" w:cs="Arial"/>
        </w:rPr>
        <w:tab/>
        <w:t xml:space="preserve">The final essential element to a contract is the intention to create legal relations. Intention to create legal relations is defined as “an intention to enter a legally binding agreement or contract” </w:t>
      </w:r>
      <w:r w:rsidRPr="008A73CB">
        <w:rPr>
          <w:rFonts w:ascii="Arial" w:hAnsi="Arial" w:cs="Arial"/>
        </w:rPr>
        <w:fldChar w:fldCharType="begin"/>
      </w:r>
      <w:r w:rsidRPr="008A73CB">
        <w:rPr>
          <w:rFonts w:ascii="Arial" w:hAnsi="Arial" w:cs="Arial"/>
        </w:rPr>
        <w:instrText xml:space="preserve"> ADDIN ZOTERO_ITEM CSL_CITATION {"citationID":"a2hpo6r1tlf","properties":{"formattedCitation":"{\\rtf (\\uc0\\u8220{}Intention to create legal relations,\\uc0\\u8221{} n.d.)}","plainCitation":"(“Intention to create legal relations,” n.d.)"},"citationItems":[{"id":42,"uris":["http://zotero.org/users/4607659/items/WKGBRJTR"],"uri":["http://zotero.org/users/4607659/items/WKGBRJTR"],"itemData":{"id":42,"type":"webpage","title":"Intention to create legal relations","abstract":"As we all know, intention to create legal relations is part of elements in contract.","URL":"https://www.lawteacher.net/free-law-essays/contract-law/intention-to-create-legal-relations.php","accessed":{"date-parts":[["2018",1,10]]}}}],"schema":"https://github.com/citation-style-language/schema/raw/master/csl-citation.json"} </w:instrText>
      </w:r>
      <w:r w:rsidRPr="008A73CB">
        <w:rPr>
          <w:rFonts w:ascii="Arial" w:hAnsi="Arial" w:cs="Arial"/>
        </w:rPr>
        <w:fldChar w:fldCharType="separate"/>
      </w:r>
      <w:r w:rsidRPr="008A73CB">
        <w:rPr>
          <w:rFonts w:ascii="Arial" w:eastAsia="Times New Roman" w:hAnsi="Arial" w:cs="Arial"/>
        </w:rPr>
        <w:t>(“Intention to create legal relations,” n.d.)</w:t>
      </w:r>
      <w:r w:rsidRPr="008A73CB">
        <w:rPr>
          <w:rFonts w:ascii="Arial" w:hAnsi="Arial" w:cs="Arial"/>
        </w:rPr>
        <w:fldChar w:fldCharType="end"/>
      </w:r>
      <w:r w:rsidRPr="008A73CB">
        <w:rPr>
          <w:rFonts w:ascii="Arial" w:hAnsi="Arial" w:cs="Arial"/>
        </w:rPr>
        <w:t xml:space="preserve">.  To ensure that an agreement is binding, certain requirements regarding the offer and acceptance must be met. For an offer to exist, it must be differentiated from an invitation to treat, enquiries and replies to enquiries. The offeror would not be legally bound to the offeree if the offer were in fact to be any of the latter 3 things. For there to be acceptance, it must first be in response to an offer and it must correspond precisely with the offer. At the time of acceptance both parties need to be in the right state of mind to agree of the terms of the offer. Not all agreements are intended to be legally binding, such as social and domestic agreements. Under these circumstances it is presumed that the agreement has no intention to be legally binding in a case of law. However, any presumption can be rebutted if there is a written agreement containing language which is suggestive of the parties intending to create legal relations. The involvement of a third party can help to rebut any presumption of no intention to create legal relations in domestic agreements. This was evidenced in Simpkins v Pays (1955) where a grandmother, her lodger and her granddaughter entered a weekly competition in the grandmother’s name and the agreement was that the three would alternate paying to enter the competition. When they won, the grandmother kept the money and the lodger brought action to claim a third of the money. Because there was a third party involved it was held that there were intentions to create legal relations despite there being a family connection </w:t>
      </w:r>
      <w:r w:rsidRPr="008A73CB">
        <w:rPr>
          <w:rFonts w:ascii="Arial" w:hAnsi="Arial" w:cs="Arial"/>
        </w:rPr>
        <w:fldChar w:fldCharType="begin"/>
      </w:r>
      <w:r w:rsidRPr="008A73CB">
        <w:rPr>
          <w:rFonts w:ascii="Arial" w:hAnsi="Arial" w:cs="Arial"/>
        </w:rPr>
        <w:instrText xml:space="preserve"> ADDIN ZOTERO_ITEM CSL_CITATION {"citationID":"a225060nr9p","properties":{"formattedCitation":"{\\rtf (\\uc0\\u8220{}Simpkins v Pays,\\uc0\\u8221{} n.d.)}","plainCitation":"(“Simpkins v Pays,” n.d.)"},"citationItems":[{"id":44,"uris":["http://zotero.org/users/4607659/items/BUZY6WTA"],"uri":["http://zotero.org/users/4607659/items/BUZY6WTA"],"itemData":{"id":44,"type":"webpage","title":"Simpkins v Pays","URL":"http://e-lawresources.co.uk/Simpkins-v-Pays.php","accessed":{"date-parts":[["2018",1,10]]}}}],"schema":"https://github.com/citation-style-language/schema/raw/master/csl-citation.json"} </w:instrText>
      </w:r>
      <w:r w:rsidRPr="008A73CB">
        <w:rPr>
          <w:rFonts w:ascii="Arial" w:hAnsi="Arial" w:cs="Arial"/>
        </w:rPr>
        <w:fldChar w:fldCharType="separate"/>
      </w:r>
      <w:r w:rsidRPr="008A73CB">
        <w:rPr>
          <w:rFonts w:ascii="Arial" w:eastAsia="Times New Roman" w:hAnsi="Arial" w:cs="Arial"/>
        </w:rPr>
        <w:t>(“Simpkins v Pays,” n.d.)</w:t>
      </w:r>
      <w:r w:rsidRPr="008A73CB">
        <w:rPr>
          <w:rFonts w:ascii="Arial" w:hAnsi="Arial" w:cs="Arial"/>
        </w:rPr>
        <w:fldChar w:fldCharType="end"/>
      </w:r>
      <w:r w:rsidRPr="008A73CB">
        <w:rPr>
          <w:rFonts w:ascii="Arial" w:hAnsi="Arial" w:cs="Arial"/>
        </w:rPr>
        <w:t xml:space="preserve">. </w:t>
      </w:r>
    </w:p>
    <w:p w14:paraId="00FC6E55" w14:textId="77777777" w:rsidR="00DF3910" w:rsidRPr="008A73CB" w:rsidRDefault="00DF3910" w:rsidP="00DF3910">
      <w:pPr>
        <w:rPr>
          <w:rFonts w:ascii="Arial" w:hAnsi="Arial" w:cs="Arial"/>
        </w:rPr>
      </w:pPr>
    </w:p>
    <w:p w14:paraId="6F215771" w14:textId="77777777" w:rsidR="00DF3910" w:rsidRPr="008A73CB" w:rsidRDefault="00DF3910" w:rsidP="00DF3910">
      <w:pPr>
        <w:rPr>
          <w:rFonts w:ascii="Arial" w:hAnsi="Arial" w:cs="Arial"/>
          <w:u w:val="single"/>
        </w:rPr>
      </w:pPr>
      <w:r w:rsidRPr="008A73CB">
        <w:rPr>
          <w:rFonts w:ascii="Arial" w:hAnsi="Arial" w:cs="Arial"/>
          <w:u w:val="single"/>
        </w:rPr>
        <w:t>Ramifications for Certain Scenarios and the Areas of Law They Cover</w:t>
      </w:r>
    </w:p>
    <w:p w14:paraId="6D247C77" w14:textId="77777777" w:rsidR="00DF3910" w:rsidRPr="008A73CB" w:rsidRDefault="00DF3910" w:rsidP="00DF3910">
      <w:pPr>
        <w:rPr>
          <w:rFonts w:ascii="Arial" w:hAnsi="Arial" w:cs="Arial"/>
          <w:u w:val="single"/>
        </w:rPr>
      </w:pPr>
    </w:p>
    <w:p w14:paraId="2BC7D4B2" w14:textId="77777777" w:rsidR="00DF3910" w:rsidRPr="008A73CB" w:rsidRDefault="00DF3910" w:rsidP="00DF3910">
      <w:pPr>
        <w:rPr>
          <w:rFonts w:ascii="Arial" w:hAnsi="Arial" w:cs="Arial"/>
        </w:rPr>
      </w:pPr>
      <w:r w:rsidRPr="008A73CB">
        <w:rPr>
          <w:rFonts w:ascii="Arial" w:hAnsi="Arial" w:cs="Arial"/>
        </w:rPr>
        <w:tab/>
        <w:t xml:space="preserve">The first scenario to be addressed is where the contractors decide to burn waste on-site without a license. It is illegal for any company to burn any waste on-site without a license or permit as it is classed as a statutory nuisance under the Environmental Protection Act 1990 Part III. A statutory nuisance  occurs where an act takes place which is “prejudicial to health” </w:t>
      </w:r>
      <w:r w:rsidRPr="008A73CB">
        <w:rPr>
          <w:rFonts w:ascii="Arial" w:hAnsi="Arial" w:cs="Arial"/>
        </w:rPr>
        <w:fldChar w:fldCharType="begin"/>
      </w:r>
      <w:r w:rsidRPr="008A73CB">
        <w:rPr>
          <w:rFonts w:ascii="Arial" w:hAnsi="Arial" w:cs="Arial"/>
        </w:rPr>
        <w:instrText xml:space="preserve"> ADDIN ZOTERO_ITEM CSL_CITATION {"citationID":"a1j841qrvv6","properties":{"formattedCitation":"{\\rtf (\\uc0\\u8220{}Insight - Statutory nuisance | Westlaw UK,\\uc0\\u8221{} n.d.)}","plainCitation":"(“Insight - Statutory nuisance | Westlaw UK,” n.d.)"},"citationItems":[{"id":46,"uris":["http://zotero.org/users/4607659/items/RKTM6IXV"],"uri":["http://zotero.org/users/4607659/items/RKTM6IXV"],"itemData":{"id":46,"type":"webpage","title":"Insight - Statutory nuisance | Westlaw UK","URL":"https://login-westlaw-co-uk.ezproxy.uwtsd.ac.uk/maf/wluk/app/document?&amp;srguid=i0ad832f200000160e132a1423201752e&amp;docguid=I70DF3B90C20111E28E56926A0AD1314D&amp;hitguid=I70DF3B90C20111E28E56926A0AD1314D&amp;rank=1&amp;spos=1&amp;epos=1&amp;td=2541&amp;crumb-action=append&amp;context=17&amp;resolvein=true","accessed":{"date-parts":[["2018",1,10]]}}}],"schema":"https://github.com/citation-style-language/schema/raw/master/csl-citation.json"} </w:instrText>
      </w:r>
      <w:r w:rsidRPr="008A73CB">
        <w:rPr>
          <w:rFonts w:ascii="Arial" w:hAnsi="Arial" w:cs="Arial"/>
        </w:rPr>
        <w:fldChar w:fldCharType="separate"/>
      </w:r>
      <w:r w:rsidRPr="008A73CB">
        <w:rPr>
          <w:rFonts w:ascii="Arial" w:eastAsia="Times New Roman" w:hAnsi="Arial" w:cs="Arial"/>
        </w:rPr>
        <w:t>(“Insight - Statutory nuisance | Westlaw UK,” n.d.)</w:t>
      </w:r>
      <w:r w:rsidRPr="008A73CB">
        <w:rPr>
          <w:rFonts w:ascii="Arial" w:hAnsi="Arial" w:cs="Arial"/>
        </w:rPr>
        <w:fldChar w:fldCharType="end"/>
      </w:r>
      <w:r w:rsidRPr="008A73CB">
        <w:rPr>
          <w:rFonts w:ascii="Arial" w:hAnsi="Arial" w:cs="Arial"/>
        </w:rPr>
        <w:t xml:space="preserve">. This can be seen in the case of O’Grady Plant and Haulage Ltd v Tower Hamlets LBC where O’Grady Plant and Haulage Ltd were found to have breached the Environmental Protection Act 1990  due to causing harm to human and environmental health by burning waste after a demolition even though they had been granted an exemption under the Waste Management Licensing Regulations 1994 </w:t>
      </w:r>
      <w:r w:rsidRPr="008A73CB">
        <w:rPr>
          <w:rFonts w:ascii="Arial" w:hAnsi="Arial" w:cs="Arial"/>
        </w:rPr>
        <w:fldChar w:fldCharType="begin"/>
      </w:r>
      <w:r w:rsidRPr="008A73CB">
        <w:rPr>
          <w:rFonts w:ascii="Arial" w:hAnsi="Arial" w:cs="Arial"/>
        </w:rPr>
        <w:instrText xml:space="preserve"> ADDIN ZOTERO_ITEM CSL_CITATION {"citationID":"a17lesea95n","properties":{"formattedCitation":"{\\rtf (\\uc0\\u8220{}O\\uc0\\u8217{}Grady Plant and Haulage Ltd v Tower Hamlets LBC | Westlaw UK,\\uc0\\u8221{} n.d.)}","plainCitation":"(“O’Grady Plant and Haulage Ltd v Tower Hamlets LBC | Westlaw UK,” n.d.)"},"citationItems":[{"id":48,"uris":["http://zotero.org/users/4607659/items/FVVCHJ3D"],"uri":["http://zotero.org/users/4607659/items/FVVCHJ3D"],"itemData":{"id":48,"type":"webpage","title":"O'Grady Plant and Haulage Ltd v Tower Hamlets LBC | Westlaw UK","URL":"https://login-westlaw-co-uk.ezproxy.uwtsd.ac.uk/maf/wluk/app/document?&amp;suppsrguid=i0ad832f200000160e15d1fb6bdc214cf&amp;docguid=I871A90A088B811E0A76CCC5E83DCD6B1&amp;hitguid=I1F3B8140EBBB11E082D6936BE5774A1C&amp;rank=12&amp;spos=12&amp;epos=12&amp;td=73&amp;crumb-action=append&amp;context=88&amp;resolvein=true","accessed":{"date-parts":[["2018",1,10]]}}}],"schema":"https://github.com/citation-style-language/schema/raw/master/csl-citation.json"} </w:instrText>
      </w:r>
      <w:r w:rsidRPr="008A73CB">
        <w:rPr>
          <w:rFonts w:ascii="Arial" w:hAnsi="Arial" w:cs="Arial"/>
        </w:rPr>
        <w:fldChar w:fldCharType="separate"/>
      </w:r>
      <w:r w:rsidRPr="008A73CB">
        <w:rPr>
          <w:rFonts w:ascii="Arial" w:eastAsia="Times New Roman" w:hAnsi="Arial" w:cs="Arial"/>
        </w:rPr>
        <w:t>(“O’Grady Plant and Haulage Ltd v Tower Hamlets LBC | Westlaw UK,” n.d.)</w:t>
      </w:r>
      <w:r w:rsidRPr="008A73CB">
        <w:rPr>
          <w:rFonts w:ascii="Arial" w:hAnsi="Arial" w:cs="Arial"/>
        </w:rPr>
        <w:fldChar w:fldCharType="end"/>
      </w:r>
      <w:r w:rsidRPr="008A73CB">
        <w:rPr>
          <w:rFonts w:ascii="Arial" w:hAnsi="Arial" w:cs="Arial"/>
        </w:rPr>
        <w:t>.</w:t>
      </w:r>
    </w:p>
    <w:p w14:paraId="2C37870F" w14:textId="77777777" w:rsidR="00DF3910" w:rsidRPr="008A73CB" w:rsidRDefault="00DF3910" w:rsidP="00DF3910">
      <w:pPr>
        <w:rPr>
          <w:rFonts w:ascii="Arial" w:hAnsi="Arial" w:cs="Arial"/>
        </w:rPr>
      </w:pPr>
    </w:p>
    <w:p w14:paraId="69450E7B" w14:textId="77777777" w:rsidR="00DF3910" w:rsidRPr="008A73CB" w:rsidRDefault="00DF3910" w:rsidP="00DF3910">
      <w:pPr>
        <w:rPr>
          <w:rFonts w:ascii="Arial" w:hAnsi="Arial" w:cs="Arial"/>
        </w:rPr>
      </w:pPr>
      <w:r w:rsidRPr="008A73CB">
        <w:rPr>
          <w:rFonts w:ascii="Arial" w:hAnsi="Arial" w:cs="Arial"/>
        </w:rPr>
        <w:tab/>
        <w:t>The second scenario is that the site has been broken into and materials have been removed or disturbed. This is seen in the eyes of the law as trespass, “to enter someone’s land without permission”, and theft “the intention to permanently deprive owner of property”, this is a criminal offence. If the person breaking on to the site removes or disturbs materials and is not apprehended then it will be in the contract which party is liable for the costs depending on if the party that owned the site did everything within their power to prevent such an occurrence.</w:t>
      </w:r>
      <w:r>
        <w:rPr>
          <w:rFonts w:ascii="Arial" w:hAnsi="Arial" w:cs="Arial"/>
        </w:rPr>
        <w:t xml:space="preserve"> If only trespass occurs then it is mostly up to the judge’s discretion. In the case of </w:t>
      </w:r>
      <w:proofErr w:type="spellStart"/>
      <w:r>
        <w:rPr>
          <w:rFonts w:ascii="Arial" w:hAnsi="Arial" w:cs="Arial"/>
        </w:rPr>
        <w:t>Wollerton</w:t>
      </w:r>
      <w:proofErr w:type="spellEnd"/>
      <w:r>
        <w:rPr>
          <w:rFonts w:ascii="Arial" w:hAnsi="Arial" w:cs="Arial"/>
        </w:rPr>
        <w:t xml:space="preserve"> and Wilson Ltd v Richard </w:t>
      </w:r>
      <w:proofErr w:type="spellStart"/>
      <w:r>
        <w:rPr>
          <w:rFonts w:ascii="Arial" w:hAnsi="Arial" w:cs="Arial"/>
        </w:rPr>
        <w:t>Costain</w:t>
      </w:r>
      <w:proofErr w:type="spellEnd"/>
      <w:r>
        <w:rPr>
          <w:rFonts w:ascii="Arial" w:hAnsi="Arial" w:cs="Arial"/>
        </w:rPr>
        <w:t xml:space="preserve"> Ltd, although trespass had taken place in the form of a crane occasionally entering the air space, there were no damages and no risk of any future damages. The judge therefore suspended the injunction until the works had finished nullifying the claim altogether </w:t>
      </w:r>
      <w:r>
        <w:rPr>
          <w:rFonts w:ascii="Arial" w:hAnsi="Arial" w:cs="Arial"/>
        </w:rPr>
        <w:fldChar w:fldCharType="begin"/>
      </w:r>
      <w:r>
        <w:rPr>
          <w:rFonts w:ascii="Arial" w:hAnsi="Arial" w:cs="Arial"/>
        </w:rPr>
        <w:instrText xml:space="preserve"> ADDIN ZOTERO_ITEM CSL_CITATION {"citationID":"a1np494aucm","properties":{"formattedCitation":"{\\rtf (\\uc0\\u8220{}Wollerton and Wilson v Richard,\\uc0\\u8221{} n.d.)}","plainCitation":"(“Wollerton and Wilson v Richard,” n.d.)"},"citationItems":[{"id":54,"uris":["http://zotero.org/users/4607659/items/CEJ4K7NZ"],"uri":["http://zotero.org/users/4607659/items/CEJ4K7NZ"],"itemData":{"id":54,"type":"webpage","title":"Wollerton and Wilson v Richard","abstract":"The defendant was a building company involved in a construction project which required the use of a crane. When the crane was erected...","URL":"https://www.lawteacher.net/cases/woollerton-and-wilson-v-richard.php","accessed":{"date-parts":[["2018",1,11]]}}}],"schema":"https://github.com/citation-style-language/schema/raw/master/csl-citation.json"} </w:instrText>
      </w:r>
      <w:r>
        <w:rPr>
          <w:rFonts w:ascii="Arial" w:hAnsi="Arial" w:cs="Arial"/>
        </w:rPr>
        <w:fldChar w:fldCharType="separate"/>
      </w:r>
      <w:r w:rsidRPr="004F1B3C">
        <w:rPr>
          <w:rFonts w:ascii="Arial" w:eastAsia="Times New Roman" w:hAnsi="Arial" w:cs="Arial"/>
        </w:rPr>
        <w:t>(“</w:t>
      </w:r>
      <w:proofErr w:type="spellStart"/>
      <w:r w:rsidRPr="004F1B3C">
        <w:rPr>
          <w:rFonts w:ascii="Arial" w:eastAsia="Times New Roman" w:hAnsi="Arial" w:cs="Arial"/>
        </w:rPr>
        <w:t>Wollerton</w:t>
      </w:r>
      <w:proofErr w:type="spellEnd"/>
      <w:r w:rsidRPr="004F1B3C">
        <w:rPr>
          <w:rFonts w:ascii="Arial" w:eastAsia="Times New Roman" w:hAnsi="Arial" w:cs="Arial"/>
        </w:rPr>
        <w:t xml:space="preserve"> and Wilson v Richard,” n.d.)</w:t>
      </w:r>
      <w:r>
        <w:rPr>
          <w:rFonts w:ascii="Arial" w:hAnsi="Arial" w:cs="Arial"/>
        </w:rPr>
        <w:fldChar w:fldCharType="end"/>
      </w:r>
      <w:r>
        <w:rPr>
          <w:rFonts w:ascii="Arial" w:hAnsi="Arial" w:cs="Arial"/>
        </w:rPr>
        <w:t xml:space="preserve">. However, in the case of </w:t>
      </w:r>
      <w:proofErr w:type="spellStart"/>
      <w:r>
        <w:rPr>
          <w:rFonts w:ascii="Arial" w:hAnsi="Arial" w:cs="Arial"/>
        </w:rPr>
        <w:t>Westripp</w:t>
      </w:r>
      <w:proofErr w:type="spellEnd"/>
      <w:r>
        <w:rPr>
          <w:rFonts w:ascii="Arial" w:hAnsi="Arial" w:cs="Arial"/>
        </w:rPr>
        <w:t xml:space="preserve"> v </w:t>
      </w:r>
      <w:proofErr w:type="spellStart"/>
      <w:r>
        <w:rPr>
          <w:rFonts w:ascii="Arial" w:hAnsi="Arial" w:cs="Arial"/>
        </w:rPr>
        <w:t>Baldock</w:t>
      </w:r>
      <w:proofErr w:type="spellEnd"/>
      <w:r>
        <w:rPr>
          <w:rFonts w:ascii="Arial" w:hAnsi="Arial" w:cs="Arial"/>
        </w:rPr>
        <w:t xml:space="preserve">, the case of a ladder leaning against another person’s house was considered trespass. </w:t>
      </w:r>
    </w:p>
    <w:p w14:paraId="19498231" w14:textId="77777777" w:rsidR="00DF3910" w:rsidRPr="008A73CB" w:rsidRDefault="00DF3910" w:rsidP="00DF3910">
      <w:pPr>
        <w:rPr>
          <w:rFonts w:ascii="Arial" w:hAnsi="Arial" w:cs="Arial"/>
        </w:rPr>
      </w:pPr>
    </w:p>
    <w:p w14:paraId="34144ECB" w14:textId="77777777" w:rsidR="00DF3910" w:rsidRDefault="00DF3910" w:rsidP="00DF3910">
      <w:pPr>
        <w:rPr>
          <w:rFonts w:ascii="Arial" w:hAnsi="Arial" w:cs="Arial"/>
        </w:rPr>
      </w:pPr>
      <w:r w:rsidRPr="008A73CB">
        <w:rPr>
          <w:rFonts w:ascii="Arial" w:hAnsi="Arial" w:cs="Arial"/>
        </w:rPr>
        <w:tab/>
        <w:t>The final scenario is concerning, whilst the site is broken into, the perpetra</w:t>
      </w:r>
      <w:r>
        <w:rPr>
          <w:rFonts w:ascii="Arial" w:hAnsi="Arial" w:cs="Arial"/>
        </w:rPr>
        <w:t xml:space="preserve">tor injures themselves. As stated above, the first instance of perpetration is trespass. Then is how the perpetrator got to be injured and whether it can be linked to negligence, making the keeper of the site liable. In Tomlinson v Congleton Borough Council a sign by a lake was put up stating “Dangerous Water, No Swimming”, along with rangers to try and prevent people from entering. Tomlinson dove into a shallow point in the lake and broke his neck. The council were found not liable as it was the actions of Tomlinson without any pressure or inducement engaged in an activity with an inherent risk </w:t>
      </w:r>
      <w:r>
        <w:rPr>
          <w:rFonts w:ascii="Arial" w:hAnsi="Arial" w:cs="Arial"/>
        </w:rPr>
        <w:fldChar w:fldCharType="begin"/>
      </w:r>
      <w:r>
        <w:rPr>
          <w:rFonts w:ascii="Arial" w:hAnsi="Arial" w:cs="Arial"/>
        </w:rPr>
        <w:instrText xml:space="preserve"> ADDIN ZOTERO_ITEM CSL_CITATION {"citationID":"a1ql256881e","properties":{"formattedCitation":"{\\rtf (\\uc0\\u8220{}Tomlinson v Congleton Borough Council,\\uc0\\u8221{} n.d.)}","plainCitation":"(“Tomlinson v Congleton Borough Council,” n.d.)"},"citationItems":[{"id":50,"uris":["http://zotero.org/users/4607659/items/56A7HJMM"],"uri":["http://zotero.org/users/4607659/items/56A7HJMM"],"itemData":{"id":50,"type":"webpage","title":"Tomlinson v Congleton Borough Council","URL":"http://www.e-lawresources.co.uk/cases/Tomlinson-v-Congleton-Borough-Council.php","accessed":{"date-parts":[["2018",1,11]]}}}],"schema":"https://github.com/citation-style-language/schema/raw/master/csl-citation.json"} </w:instrText>
      </w:r>
      <w:r>
        <w:rPr>
          <w:rFonts w:ascii="Arial" w:hAnsi="Arial" w:cs="Arial"/>
        </w:rPr>
        <w:fldChar w:fldCharType="separate"/>
      </w:r>
      <w:r w:rsidRPr="00BC1CFB">
        <w:rPr>
          <w:rFonts w:ascii="Arial" w:eastAsia="Times New Roman" w:hAnsi="Arial" w:cs="Arial"/>
        </w:rPr>
        <w:t>(“Tomlinson v Congleton Borough Council,” n.d.)</w:t>
      </w:r>
      <w:r>
        <w:rPr>
          <w:rFonts w:ascii="Arial" w:hAnsi="Arial" w:cs="Arial"/>
        </w:rPr>
        <w:fldChar w:fldCharType="end"/>
      </w:r>
      <w:r>
        <w:rPr>
          <w:rFonts w:ascii="Arial" w:hAnsi="Arial" w:cs="Arial"/>
        </w:rPr>
        <w:t xml:space="preserve">. However, in the case of Jolley v Sutton, where two boys found a rotten boat on Sutton Council land and tried to restore it, a sign was placed on the boat explaining to the original owner that if it was not removed then it would be removed by the council a week later, it was never removed. The boys jacked up the boat to get at the underbelly and the jack broke through the rotten wood, fell on one of the boys and he became paraplegic. Sutton Council were found to be liable as leaving the boat was an act of negligence and that there was a risk that the children would “meddle with the boat at the risk of some physical injury” </w:t>
      </w:r>
      <w:r>
        <w:rPr>
          <w:rFonts w:ascii="Arial" w:hAnsi="Arial" w:cs="Arial"/>
        </w:rPr>
        <w:fldChar w:fldCharType="begin"/>
      </w:r>
      <w:r>
        <w:rPr>
          <w:rFonts w:ascii="Arial" w:hAnsi="Arial" w:cs="Arial"/>
        </w:rPr>
        <w:instrText xml:space="preserve"> ADDIN ZOTERO_ITEM CSL_CITATION {"citationID":"a195ggq8pj9","properties":{"formattedCitation":"{\\rtf (\\uc0\\u8220{}Jolley v Sutton,\\uc0\\u8221{} n.d.)}","plainCitation":"(“Jolley v Sutton,” n.d.)"},"citationItems":[{"id":52,"uris":["http://zotero.org/users/4607659/items/DHRCL8DS"],"uri":["http://zotero.org/users/4607659/items/DHRCL8DS"],"itemData":{"id":52,"type":"webpage","title":"Jolley v Sutton","URL":"http://www.e-lawresources.co.uk/Jolley-v-Sutton.php","accessed":{"date-parts":[["2018",1,11]]}}}],"schema":"https://github.com/citation-style-language/schema/raw/master/csl-citation.json"} </w:instrText>
      </w:r>
      <w:r>
        <w:rPr>
          <w:rFonts w:ascii="Arial" w:hAnsi="Arial" w:cs="Arial"/>
        </w:rPr>
        <w:fldChar w:fldCharType="separate"/>
      </w:r>
      <w:r w:rsidRPr="00F04423">
        <w:rPr>
          <w:rFonts w:ascii="Arial" w:eastAsia="Times New Roman" w:hAnsi="Arial" w:cs="Arial"/>
        </w:rPr>
        <w:t>(“Jolley v Sutton,” n.d.)</w:t>
      </w:r>
      <w:r>
        <w:rPr>
          <w:rFonts w:ascii="Arial" w:hAnsi="Arial" w:cs="Arial"/>
        </w:rPr>
        <w:fldChar w:fldCharType="end"/>
      </w:r>
      <w:r>
        <w:rPr>
          <w:rFonts w:ascii="Arial" w:hAnsi="Arial" w:cs="Arial"/>
        </w:rPr>
        <w:t>.</w:t>
      </w:r>
    </w:p>
    <w:p w14:paraId="0A1F960B" w14:textId="77777777" w:rsidR="00DF3910" w:rsidRPr="005C1C06" w:rsidRDefault="00DF3910" w:rsidP="00DF3910">
      <w:pPr>
        <w:rPr>
          <w:rFonts w:ascii="Arial" w:hAnsi="Arial" w:cs="Arial"/>
        </w:rPr>
      </w:pPr>
      <w:r>
        <w:rPr>
          <w:rFonts w:ascii="Arial" w:hAnsi="Arial" w:cs="Arial"/>
        </w:rPr>
        <w:br w:type="page"/>
      </w:r>
      <w:r>
        <w:rPr>
          <w:rFonts w:ascii="Arial" w:hAnsi="Arial" w:cs="Arial"/>
          <w:u w:val="single"/>
        </w:rPr>
        <w:t xml:space="preserve">Bibliography </w:t>
      </w:r>
    </w:p>
    <w:p w14:paraId="78CBE4BB" w14:textId="77777777" w:rsidR="00DF3910" w:rsidRDefault="00DF3910" w:rsidP="00DF3910">
      <w:pPr>
        <w:rPr>
          <w:rFonts w:ascii="Arial" w:hAnsi="Arial" w:cs="Arial"/>
          <w:u w:val="single"/>
        </w:rPr>
      </w:pPr>
    </w:p>
    <w:p w14:paraId="4112D7BD" w14:textId="77777777" w:rsidR="00DF3910" w:rsidRPr="00E64ADA" w:rsidRDefault="00DF3910" w:rsidP="00DF3910">
      <w:pPr>
        <w:pStyle w:val="Bibliography"/>
        <w:rPr>
          <w:rFonts w:ascii="Arial" w:hAnsi="Arial" w:cs="Arial"/>
        </w:rPr>
      </w:pPr>
      <w:r>
        <w:rPr>
          <w:rFonts w:ascii="Arial" w:hAnsi="Arial" w:cs="Arial"/>
          <w:u w:val="single"/>
        </w:rPr>
        <w:fldChar w:fldCharType="begin"/>
      </w:r>
      <w:r>
        <w:rPr>
          <w:rFonts w:ascii="Arial" w:hAnsi="Arial" w:cs="Arial"/>
          <w:u w:val="single"/>
        </w:rPr>
        <w:instrText xml:space="preserve"> ADDIN ZOTERO_BIBL {"custom":[]} CSL_BIBLIOGRAPHY </w:instrText>
      </w:r>
      <w:r>
        <w:rPr>
          <w:rFonts w:ascii="Arial" w:hAnsi="Arial" w:cs="Arial"/>
          <w:u w:val="single"/>
        </w:rPr>
        <w:fldChar w:fldCharType="separate"/>
      </w:r>
      <w:r w:rsidRPr="00E64ADA">
        <w:rPr>
          <w:rFonts w:ascii="Arial" w:hAnsi="Arial" w:cs="Arial"/>
        </w:rPr>
        <w:t>Chen v NG | Westlaw UK [WWW Document], n.d. URL https://login-westlaw-co-uk.ezproxy.uwtsd.ac.uk/maf/wluk/app/document?&amp;suppsrguid=i0ad6290300000160c86409bedc782a33&amp;docguid=I9B0C4880897211E7AFB1BFB050106DD0&amp;hitguid=I999476F089B111E7A29098B176583070&amp;rank=4&amp;spos=4&amp;epos=4&amp;td=305&amp;crumb-action=append&amp;context=23&amp;resolvein=true (accessed 1.5.18).</w:t>
      </w:r>
    </w:p>
    <w:p w14:paraId="0AEB469B" w14:textId="77777777" w:rsidR="00DF3910" w:rsidRPr="00E64ADA" w:rsidRDefault="00DF3910" w:rsidP="00DF3910">
      <w:pPr>
        <w:pStyle w:val="Bibliography"/>
        <w:rPr>
          <w:rFonts w:ascii="Arial" w:hAnsi="Arial" w:cs="Arial"/>
        </w:rPr>
      </w:pPr>
      <w:r w:rsidRPr="00E64ADA">
        <w:rPr>
          <w:rFonts w:ascii="Arial" w:hAnsi="Arial" w:cs="Arial"/>
        </w:rPr>
        <w:t>G Percy Trentham Ltd v Archital Luxfer Ltd | Westlaw UK [WWW Document], n.d. URL https://login-westlaw-co-uk.ezproxy.uwtsd.ac.uk/maf/wluk/app/document?&amp;srguid=i0ad69f8e00000160c71fd097467fdf19&amp;docguid=IAC521951E42711DA8FC2A0F0355337E9&amp;hitguid=IAC521951E42711DA8FC2A0F0355337E9&amp;rank=1&amp;spos=1&amp;epos=1&amp;td=82&amp;crumb-action=append&amp;context=13&amp;resolvein=true (accessed 1.5.18).</w:t>
      </w:r>
    </w:p>
    <w:p w14:paraId="7F004CB8" w14:textId="77777777" w:rsidR="00DF3910" w:rsidRPr="00E64ADA" w:rsidRDefault="00DF3910" w:rsidP="00DF3910">
      <w:pPr>
        <w:pStyle w:val="Bibliography"/>
        <w:rPr>
          <w:rFonts w:ascii="Arial" w:hAnsi="Arial" w:cs="Arial"/>
        </w:rPr>
      </w:pPr>
      <w:r w:rsidRPr="00E64ADA">
        <w:rPr>
          <w:rFonts w:ascii="Arial" w:hAnsi="Arial" w:cs="Arial"/>
        </w:rPr>
        <w:t>Insight - Statutory nuisance | Westlaw UK [WWW Document], n.d. URL https://login-westlaw-co-uk.ezproxy.uwtsd.ac.uk/maf/wluk/app/document?&amp;srguid=i0ad832f200000160e132a1423201752e&amp;docguid=I70DF3B90C20111E28E56926A0AD1314D&amp;hitguid=I70DF3B90C20111E28E56926A0AD1314D&amp;rank=1&amp;spos=1&amp;epos=1&amp;td=2541&amp;crumb-action=append&amp;context=17&amp;resolvein=true (accessed 1.10.18).</w:t>
      </w:r>
    </w:p>
    <w:p w14:paraId="498C39B0" w14:textId="77777777" w:rsidR="00DF3910" w:rsidRPr="00E64ADA" w:rsidRDefault="00DF3910" w:rsidP="00DF3910">
      <w:pPr>
        <w:pStyle w:val="Bibliography"/>
        <w:rPr>
          <w:rFonts w:ascii="Arial" w:hAnsi="Arial" w:cs="Arial"/>
        </w:rPr>
      </w:pPr>
      <w:r w:rsidRPr="00E64ADA">
        <w:rPr>
          <w:rFonts w:ascii="Arial" w:hAnsi="Arial" w:cs="Arial"/>
        </w:rPr>
        <w:t>Intention to create legal relations [WWW Document], n.d. URL https://www.lawteacher.net/free-law-essays/contract-law/intention-to-create-legal-relations.php (accessed 1.10.18).</w:t>
      </w:r>
    </w:p>
    <w:p w14:paraId="238DDEBE" w14:textId="77777777" w:rsidR="00DF3910" w:rsidRPr="00E64ADA" w:rsidRDefault="00DF3910" w:rsidP="00DF3910">
      <w:pPr>
        <w:pStyle w:val="Bibliography"/>
        <w:rPr>
          <w:rFonts w:ascii="Arial" w:hAnsi="Arial" w:cs="Arial"/>
        </w:rPr>
      </w:pPr>
      <w:r w:rsidRPr="00E64ADA">
        <w:rPr>
          <w:rFonts w:ascii="Arial" w:hAnsi="Arial" w:cs="Arial"/>
        </w:rPr>
        <w:t>Jolley v Sutton [WWW Document], n.d. URL http://www.e-lawresources.co.uk/Jolley-v-Sutton.php (accessed 1.11.18).</w:t>
      </w:r>
    </w:p>
    <w:p w14:paraId="14A6F5A5" w14:textId="77777777" w:rsidR="00DF3910" w:rsidRPr="00E64ADA" w:rsidRDefault="00DF3910" w:rsidP="00DF3910">
      <w:pPr>
        <w:pStyle w:val="Bibliography"/>
        <w:rPr>
          <w:rFonts w:ascii="Arial" w:hAnsi="Arial" w:cs="Arial"/>
        </w:rPr>
      </w:pPr>
      <w:r w:rsidRPr="00E64ADA">
        <w:rPr>
          <w:rFonts w:ascii="Arial" w:hAnsi="Arial" w:cs="Arial"/>
        </w:rPr>
        <w:t>O’Grady Plant and Haulage Ltd v Tower Hamlets LBC | Westlaw UK [WWW Document], n.d. URL https://login-westlaw-co-uk.ezproxy.uwtsd.ac.uk/maf/wluk/app/document?&amp;suppsrguid=i0ad832f200000160e15d1fb6bdc214cf&amp;docguid=I871A90A088B811E0A76CCC5E83DCD6B1&amp;hitguid=I1F3B8140EBBB11E082D6936BE5774A1C&amp;rank=12&amp;spos=12&amp;epos=12&amp;td=73&amp;crumb-action=append&amp;context=88&amp;resolvein=true (accessed 1.10.18).</w:t>
      </w:r>
    </w:p>
    <w:p w14:paraId="642A6D84" w14:textId="77777777" w:rsidR="00DF3910" w:rsidRPr="00E64ADA" w:rsidRDefault="00DF3910" w:rsidP="00DF3910">
      <w:pPr>
        <w:pStyle w:val="Bibliography"/>
        <w:rPr>
          <w:rFonts w:ascii="Arial" w:hAnsi="Arial" w:cs="Arial"/>
        </w:rPr>
      </w:pPr>
      <w:r w:rsidRPr="00E64ADA">
        <w:rPr>
          <w:rFonts w:ascii="Arial" w:hAnsi="Arial" w:cs="Arial"/>
        </w:rPr>
        <w:t xml:space="preserve">Peel, E., </w:t>
      </w:r>
      <w:proofErr w:type="spellStart"/>
      <w:r w:rsidRPr="00E64ADA">
        <w:rPr>
          <w:rFonts w:ascii="Arial" w:hAnsi="Arial" w:cs="Arial"/>
        </w:rPr>
        <w:t>Treitel</w:t>
      </w:r>
      <w:proofErr w:type="spellEnd"/>
      <w:r w:rsidRPr="00E64ADA">
        <w:rPr>
          <w:rFonts w:ascii="Arial" w:hAnsi="Arial" w:cs="Arial"/>
        </w:rPr>
        <w:t xml:space="preserve">, G.H., 2015. The law of contract, Fourteenth edition. ed. Sweet &amp; </w:t>
      </w:r>
      <w:proofErr w:type="gramStart"/>
      <w:r w:rsidRPr="00E64ADA">
        <w:rPr>
          <w:rFonts w:ascii="Arial" w:hAnsi="Arial" w:cs="Arial"/>
        </w:rPr>
        <w:t>Maxwell :</w:t>
      </w:r>
      <w:proofErr w:type="gramEnd"/>
      <w:r w:rsidRPr="00E64ADA">
        <w:rPr>
          <w:rFonts w:ascii="Arial" w:hAnsi="Arial" w:cs="Arial"/>
        </w:rPr>
        <w:t xml:space="preserve"> Thomson Reuters, London.</w:t>
      </w:r>
    </w:p>
    <w:p w14:paraId="4AB85218" w14:textId="77777777" w:rsidR="00DF3910" w:rsidRPr="00E64ADA" w:rsidRDefault="00DF3910" w:rsidP="00DF3910">
      <w:pPr>
        <w:pStyle w:val="Bibliography"/>
        <w:rPr>
          <w:rFonts w:ascii="Arial" w:hAnsi="Arial" w:cs="Arial"/>
        </w:rPr>
      </w:pPr>
      <w:r w:rsidRPr="00E64ADA">
        <w:rPr>
          <w:rFonts w:ascii="Arial" w:hAnsi="Arial" w:cs="Arial"/>
        </w:rPr>
        <w:t>Simpkins v Pays [WWW Document], n.d. URL http://e-lawresources.co.uk/Simpkins-v-Pays.php (accessed 1.10.18).</w:t>
      </w:r>
    </w:p>
    <w:p w14:paraId="1C324733" w14:textId="77777777" w:rsidR="00DF3910" w:rsidRPr="00E64ADA" w:rsidRDefault="00DF3910" w:rsidP="00DF3910">
      <w:pPr>
        <w:pStyle w:val="Bibliography"/>
        <w:rPr>
          <w:rFonts w:ascii="Arial" w:hAnsi="Arial" w:cs="Arial"/>
        </w:rPr>
      </w:pPr>
      <w:r w:rsidRPr="00E64ADA">
        <w:rPr>
          <w:rFonts w:ascii="Arial" w:hAnsi="Arial" w:cs="Arial"/>
        </w:rPr>
        <w:t>Tomlinson v Congleton Borough Council [WWW Document], n.d. URL http://www.e-lawresources.co.uk/cases/Tomlinson-v-Congleton-Borough-Council.php (accessed 1.11.18).</w:t>
      </w:r>
    </w:p>
    <w:p w14:paraId="4FE23942" w14:textId="77777777" w:rsidR="00DF3910" w:rsidRPr="00E64ADA" w:rsidRDefault="00DF3910" w:rsidP="00DF3910">
      <w:pPr>
        <w:pStyle w:val="Bibliography"/>
        <w:rPr>
          <w:rFonts w:ascii="Arial" w:hAnsi="Arial" w:cs="Arial"/>
        </w:rPr>
      </w:pPr>
      <w:proofErr w:type="spellStart"/>
      <w:r w:rsidRPr="00E64ADA">
        <w:rPr>
          <w:rFonts w:ascii="Arial" w:hAnsi="Arial" w:cs="Arial"/>
        </w:rPr>
        <w:t>Tweddle</w:t>
      </w:r>
      <w:proofErr w:type="spellEnd"/>
      <w:r w:rsidRPr="00E64ADA">
        <w:rPr>
          <w:rFonts w:ascii="Arial" w:hAnsi="Arial" w:cs="Arial"/>
        </w:rPr>
        <w:t xml:space="preserve"> v Atkinson [WWW Document], n.d. URL http://www.e-lawresources.co.uk/Tweddle-v-Atkinson.php (accessed 1.11.18).</w:t>
      </w:r>
    </w:p>
    <w:p w14:paraId="34BB68A0" w14:textId="77777777" w:rsidR="00DF3910" w:rsidRPr="00E64ADA" w:rsidRDefault="00DF3910" w:rsidP="00DF3910">
      <w:pPr>
        <w:pStyle w:val="Bibliography"/>
        <w:rPr>
          <w:rFonts w:ascii="Arial" w:hAnsi="Arial" w:cs="Arial"/>
        </w:rPr>
      </w:pPr>
      <w:proofErr w:type="spellStart"/>
      <w:r w:rsidRPr="00E64ADA">
        <w:rPr>
          <w:rFonts w:ascii="Arial" w:hAnsi="Arial" w:cs="Arial"/>
        </w:rPr>
        <w:t>Wollerton</w:t>
      </w:r>
      <w:proofErr w:type="spellEnd"/>
      <w:r w:rsidRPr="00E64ADA">
        <w:rPr>
          <w:rFonts w:ascii="Arial" w:hAnsi="Arial" w:cs="Arial"/>
        </w:rPr>
        <w:t xml:space="preserve"> and Wilson v Richard [WWW Document], n.d. URL https://www.lawteacher.net/cases/woollerton-and-wilson-v-richard.php (accessed 1.11.18).</w:t>
      </w:r>
    </w:p>
    <w:p w14:paraId="68C4E922" w14:textId="7AB2D766" w:rsidR="006B0CCA" w:rsidRPr="00FB7533" w:rsidRDefault="00DF3910" w:rsidP="0024676B">
      <w:pPr>
        <w:rPr>
          <w:rFonts w:ascii="Arial" w:hAnsi="Arial" w:cs="Arial"/>
          <w:u w:val="single"/>
        </w:rPr>
      </w:pPr>
      <w:r>
        <w:rPr>
          <w:rFonts w:ascii="Arial" w:hAnsi="Arial" w:cs="Arial"/>
          <w:u w:val="single"/>
        </w:rPr>
        <w:fldChar w:fldCharType="end"/>
      </w:r>
    </w:p>
    <w:sectPr w:rsidR="006B0CCA" w:rsidRPr="00FB7533" w:rsidSect="00387485">
      <w:pgSz w:w="11900" w:h="16840"/>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5D671AD"/>
    <w:multiLevelType w:val="hybridMultilevel"/>
    <w:tmpl w:val="2EE8F162"/>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oe Browett (1706572)">
    <w15:presenceInfo w15:providerId="None" w15:userId="Joe Browett (170657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9"/>
  <w:proofState w:spelling="clean" w:grammar="clean"/>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4B37"/>
    <w:rsid w:val="000177F6"/>
    <w:rsid w:val="0002216F"/>
    <w:rsid w:val="0004501B"/>
    <w:rsid w:val="00072F53"/>
    <w:rsid w:val="00097E2F"/>
    <w:rsid w:val="000A430A"/>
    <w:rsid w:val="000A7F65"/>
    <w:rsid w:val="000C1E77"/>
    <w:rsid w:val="000C20B4"/>
    <w:rsid w:val="000D25AB"/>
    <w:rsid w:val="000D5051"/>
    <w:rsid w:val="000E0857"/>
    <w:rsid w:val="00115B78"/>
    <w:rsid w:val="00153DBA"/>
    <w:rsid w:val="001658F4"/>
    <w:rsid w:val="00180C07"/>
    <w:rsid w:val="00194C04"/>
    <w:rsid w:val="001B44B5"/>
    <w:rsid w:val="001B771C"/>
    <w:rsid w:val="001B7BA9"/>
    <w:rsid w:val="001C0684"/>
    <w:rsid w:val="001F3E51"/>
    <w:rsid w:val="00207A9F"/>
    <w:rsid w:val="002104AB"/>
    <w:rsid w:val="00232815"/>
    <w:rsid w:val="0024676B"/>
    <w:rsid w:val="002564DF"/>
    <w:rsid w:val="00261CE3"/>
    <w:rsid w:val="002859FC"/>
    <w:rsid w:val="002910EE"/>
    <w:rsid w:val="002D4907"/>
    <w:rsid w:val="002D532E"/>
    <w:rsid w:val="002F4A19"/>
    <w:rsid w:val="003124CB"/>
    <w:rsid w:val="00335944"/>
    <w:rsid w:val="00362DF7"/>
    <w:rsid w:val="00366628"/>
    <w:rsid w:val="00387485"/>
    <w:rsid w:val="003A3938"/>
    <w:rsid w:val="003E0611"/>
    <w:rsid w:val="003E4F2F"/>
    <w:rsid w:val="003F429B"/>
    <w:rsid w:val="004255A9"/>
    <w:rsid w:val="00434993"/>
    <w:rsid w:val="00440AF8"/>
    <w:rsid w:val="004877EF"/>
    <w:rsid w:val="00492EB9"/>
    <w:rsid w:val="00493C8A"/>
    <w:rsid w:val="004C6904"/>
    <w:rsid w:val="004D49D0"/>
    <w:rsid w:val="004D7D9A"/>
    <w:rsid w:val="004F2A99"/>
    <w:rsid w:val="004F53CE"/>
    <w:rsid w:val="00512E5D"/>
    <w:rsid w:val="0054148D"/>
    <w:rsid w:val="00587114"/>
    <w:rsid w:val="005B59ED"/>
    <w:rsid w:val="005E0A3A"/>
    <w:rsid w:val="005E53E6"/>
    <w:rsid w:val="005F4D06"/>
    <w:rsid w:val="006272C1"/>
    <w:rsid w:val="00630BCB"/>
    <w:rsid w:val="0066311F"/>
    <w:rsid w:val="00663D90"/>
    <w:rsid w:val="006A1509"/>
    <w:rsid w:val="006A4096"/>
    <w:rsid w:val="006A7E8A"/>
    <w:rsid w:val="006B0CCA"/>
    <w:rsid w:val="006D062C"/>
    <w:rsid w:val="006E745B"/>
    <w:rsid w:val="00743267"/>
    <w:rsid w:val="00761D6C"/>
    <w:rsid w:val="00766E07"/>
    <w:rsid w:val="00767AAE"/>
    <w:rsid w:val="00772F1E"/>
    <w:rsid w:val="00792AE4"/>
    <w:rsid w:val="007A7A45"/>
    <w:rsid w:val="007B2DA6"/>
    <w:rsid w:val="007C6BF7"/>
    <w:rsid w:val="007D0F3F"/>
    <w:rsid w:val="007E4958"/>
    <w:rsid w:val="007F0213"/>
    <w:rsid w:val="007F2311"/>
    <w:rsid w:val="007F5A86"/>
    <w:rsid w:val="00803817"/>
    <w:rsid w:val="00826430"/>
    <w:rsid w:val="00833601"/>
    <w:rsid w:val="00841AA2"/>
    <w:rsid w:val="00844ECE"/>
    <w:rsid w:val="00854A1D"/>
    <w:rsid w:val="0086663F"/>
    <w:rsid w:val="00881CAA"/>
    <w:rsid w:val="0088787E"/>
    <w:rsid w:val="0089701D"/>
    <w:rsid w:val="008A40C7"/>
    <w:rsid w:val="008A48AE"/>
    <w:rsid w:val="008D2B71"/>
    <w:rsid w:val="008F098A"/>
    <w:rsid w:val="008F6BF3"/>
    <w:rsid w:val="00913105"/>
    <w:rsid w:val="00932A11"/>
    <w:rsid w:val="00935C7B"/>
    <w:rsid w:val="0094110F"/>
    <w:rsid w:val="0094465F"/>
    <w:rsid w:val="00944B37"/>
    <w:rsid w:val="00976005"/>
    <w:rsid w:val="0098004A"/>
    <w:rsid w:val="00980FC5"/>
    <w:rsid w:val="00982BE8"/>
    <w:rsid w:val="009B609A"/>
    <w:rsid w:val="009D3C17"/>
    <w:rsid w:val="009E3B6A"/>
    <w:rsid w:val="009E6DD4"/>
    <w:rsid w:val="00A1601A"/>
    <w:rsid w:val="00A26B78"/>
    <w:rsid w:val="00A309E0"/>
    <w:rsid w:val="00A373AD"/>
    <w:rsid w:val="00A71312"/>
    <w:rsid w:val="00A80AE8"/>
    <w:rsid w:val="00AA0C54"/>
    <w:rsid w:val="00AB03F1"/>
    <w:rsid w:val="00AC1BC7"/>
    <w:rsid w:val="00AD12A6"/>
    <w:rsid w:val="00AE44B5"/>
    <w:rsid w:val="00AE55A8"/>
    <w:rsid w:val="00AE7182"/>
    <w:rsid w:val="00B16CC9"/>
    <w:rsid w:val="00B57693"/>
    <w:rsid w:val="00B6130B"/>
    <w:rsid w:val="00B9450F"/>
    <w:rsid w:val="00BB4BFB"/>
    <w:rsid w:val="00BB76F2"/>
    <w:rsid w:val="00BC75B2"/>
    <w:rsid w:val="00BD0CFB"/>
    <w:rsid w:val="00BD59C2"/>
    <w:rsid w:val="00BE2A65"/>
    <w:rsid w:val="00BE7DD6"/>
    <w:rsid w:val="00BF1F5D"/>
    <w:rsid w:val="00C168E3"/>
    <w:rsid w:val="00C248F6"/>
    <w:rsid w:val="00C25BC0"/>
    <w:rsid w:val="00C361C8"/>
    <w:rsid w:val="00C4618D"/>
    <w:rsid w:val="00C60F35"/>
    <w:rsid w:val="00C73DE8"/>
    <w:rsid w:val="00C73FD4"/>
    <w:rsid w:val="00CA196C"/>
    <w:rsid w:val="00CB4C35"/>
    <w:rsid w:val="00CD7D67"/>
    <w:rsid w:val="00D14D4F"/>
    <w:rsid w:val="00D24328"/>
    <w:rsid w:val="00D44696"/>
    <w:rsid w:val="00D5544C"/>
    <w:rsid w:val="00D62564"/>
    <w:rsid w:val="00D715A2"/>
    <w:rsid w:val="00D87BD3"/>
    <w:rsid w:val="00D911D7"/>
    <w:rsid w:val="00DB3FD6"/>
    <w:rsid w:val="00DD66AF"/>
    <w:rsid w:val="00DF3910"/>
    <w:rsid w:val="00E57877"/>
    <w:rsid w:val="00E7182C"/>
    <w:rsid w:val="00EB5834"/>
    <w:rsid w:val="00EB7B8A"/>
    <w:rsid w:val="00F4132E"/>
    <w:rsid w:val="00F51B5B"/>
    <w:rsid w:val="00F52DF1"/>
    <w:rsid w:val="00F91FA1"/>
    <w:rsid w:val="00F9572E"/>
    <w:rsid w:val="00FA49FD"/>
    <w:rsid w:val="00FA60E5"/>
    <w:rsid w:val="00FB75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BBF8C"/>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F3910"/>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60E5"/>
    <w:pPr>
      <w:ind w:left="720"/>
      <w:contextualSpacing/>
    </w:pPr>
  </w:style>
  <w:style w:type="paragraph" w:styleId="Bibliography">
    <w:name w:val="Bibliography"/>
    <w:basedOn w:val="Normal"/>
    <w:next w:val="Normal"/>
    <w:uiPriority w:val="37"/>
    <w:unhideWhenUsed/>
    <w:rsid w:val="00DF3910"/>
    <w:pPr>
      <w:ind w:left="720" w:hanging="720"/>
    </w:pPr>
  </w:style>
  <w:style w:type="paragraph" w:styleId="NoSpacing">
    <w:name w:val="No Spacing"/>
    <w:link w:val="NoSpacingChar"/>
    <w:uiPriority w:val="1"/>
    <w:qFormat/>
    <w:rsid w:val="00387485"/>
    <w:rPr>
      <w:rFonts w:eastAsiaTheme="minorEastAsia"/>
      <w:sz w:val="22"/>
      <w:szCs w:val="22"/>
      <w:lang w:eastAsia="zh-CN"/>
    </w:rPr>
  </w:style>
  <w:style w:type="character" w:customStyle="1" w:styleId="NoSpacingChar">
    <w:name w:val="No Spacing Char"/>
    <w:basedOn w:val="DefaultParagraphFont"/>
    <w:link w:val="NoSpacing"/>
    <w:uiPriority w:val="1"/>
    <w:rsid w:val="00387485"/>
    <w:rPr>
      <w:rFonts w:eastAsiaTheme="minorEastAsia"/>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6848901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microsoft.com/office/2011/relationships/people" Target="peop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362BD06F-3281-4E43-97B1-80137BD772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617</TotalTime>
  <Pages>5</Pages>
  <Words>3668</Words>
  <Characters>18892</Characters>
  <Application>Microsoft Macintosh Word</Application>
  <DocSecurity>0</DocSecurity>
  <Lines>699</Lines>
  <Paragraphs>180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22380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Issues Within Construction Projects</dc:title>
  <dc:subject>Word count: 1804</dc:subject>
  <dc:creator>Joe Browett (1706572)</dc:creator>
  <cp:keywords/>
  <dc:description/>
  <cp:lastModifiedBy>Joe Browett (1706572)</cp:lastModifiedBy>
  <cp:revision>3</cp:revision>
  <dcterms:created xsi:type="dcterms:W3CDTF">2018-01-11T01:44:00Z</dcterms:created>
  <dcterms:modified xsi:type="dcterms:W3CDTF">2018-01-11T12:00:00Z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zotero-version="5.0.33"&gt;&lt;session id="W2rrad9Q"/&gt;&lt;style id="http://www.zotero.org/styles/elsevier-harvard" hasBibliography="1" bibliographyStyleHasBeenSet="0"/&gt;&lt;prefs&gt;&lt;pref name="fieldType" value="Field"/&gt;&lt;pref name="automaticJournal</vt:lpwstr>
  </property>
  <property fmtid="{D5CDD505-2E9C-101B-9397-08002B2CF9AE}" pid="3" name="ZOTERO_PREF_2">
    <vt:lpwstr>Abbreviations" value="true"/&gt;&lt;pref name="noteType" value="0"/&gt;&lt;/prefs&gt;&lt;/data&gt;</vt:lpwstr>
  </property>
</Properties>
</file>