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9E2467" w14:textId="77777777" w:rsidR="00432592" w:rsidRPr="00432592" w:rsidRDefault="00432592" w:rsidP="00432592">
      <w:pPr>
        <w:pBdr>
          <w:left w:val="single" w:sz="12" w:space="0" w:color="000000"/>
          <w:right w:val="single" w:sz="12" w:space="0" w:color="000000"/>
        </w:pBdr>
        <w:shd w:val="clear" w:color="auto" w:fill="000000" w:themeFill="text1"/>
        <w:spacing w:after="0"/>
        <w:rPr>
          <w:rFonts w:ascii="Arial" w:hAnsi="Arial" w:cs="Arial"/>
        </w:rPr>
      </w:pPr>
      <w:bookmarkStart w:id="0" w:name="_Hlk178319665"/>
    </w:p>
    <w:p w14:paraId="4CE7303A" w14:textId="77777777" w:rsidR="00432592" w:rsidRPr="00432592" w:rsidRDefault="00432592" w:rsidP="00432592">
      <w:pPr>
        <w:pBdr>
          <w:left w:val="single" w:sz="12" w:space="0" w:color="000000"/>
          <w:right w:val="single" w:sz="12" w:space="0" w:color="000000"/>
        </w:pBdr>
        <w:shd w:val="clear" w:color="auto" w:fill="000000" w:themeFill="text1"/>
        <w:spacing w:after="0"/>
        <w:jc w:val="center"/>
        <w:rPr>
          <w:rFonts w:ascii="Arial" w:hAnsi="Arial" w:cs="Arial"/>
        </w:rPr>
      </w:pPr>
      <w:r w:rsidRPr="00432592">
        <w:rPr>
          <w:rFonts w:ascii="Arial" w:eastAsia="Arial" w:hAnsi="Arial" w:cs="Arial"/>
          <w:b/>
          <w:bCs/>
          <w:color w:val="FFFFFF" w:themeColor="background1"/>
        </w:rPr>
        <w:t>ECCP7002</w:t>
      </w:r>
    </w:p>
    <w:p w14:paraId="5C31EC5F" w14:textId="77777777" w:rsidR="00432592" w:rsidRPr="00432592" w:rsidRDefault="00432592" w:rsidP="00432592">
      <w:pPr>
        <w:pBdr>
          <w:left w:val="single" w:sz="12" w:space="0" w:color="000000"/>
          <w:right w:val="single" w:sz="12" w:space="0" w:color="000000"/>
        </w:pBdr>
        <w:shd w:val="clear" w:color="auto" w:fill="000000" w:themeFill="text1"/>
        <w:spacing w:after="0"/>
        <w:jc w:val="center"/>
        <w:rPr>
          <w:rFonts w:ascii="Arial" w:hAnsi="Arial" w:cs="Arial"/>
        </w:rPr>
      </w:pPr>
      <w:r w:rsidRPr="00432592">
        <w:rPr>
          <w:rFonts w:ascii="Arial" w:eastAsia="Arial" w:hAnsi="Arial" w:cs="Arial"/>
          <w:b/>
          <w:bCs/>
          <w:color w:val="F5F5F5"/>
        </w:rPr>
        <w:t>Critical perspectives in policy, planning and delivery</w:t>
      </w:r>
    </w:p>
    <w:p w14:paraId="0245E769" w14:textId="77777777" w:rsidR="00432592" w:rsidRPr="00432592" w:rsidRDefault="00432592" w:rsidP="00432592">
      <w:pPr>
        <w:pBdr>
          <w:left w:val="single" w:sz="12" w:space="0" w:color="000000"/>
          <w:bottom w:val="single" w:sz="12" w:space="0" w:color="000000"/>
          <w:right w:val="single" w:sz="12" w:space="0" w:color="000000"/>
        </w:pBdr>
        <w:shd w:val="clear" w:color="auto" w:fill="000000" w:themeFill="text1"/>
        <w:spacing w:after="0"/>
        <w:rPr>
          <w:rFonts w:ascii="Arial" w:hAnsi="Arial" w:cs="Arial"/>
        </w:rPr>
      </w:pPr>
      <w:r w:rsidRPr="00432592">
        <w:rPr>
          <w:rFonts w:ascii="Arial" w:eastAsia="Arial" w:hAnsi="Arial" w:cs="Arial"/>
          <w:b/>
          <w:bCs/>
          <w:color w:val="F5F5F5"/>
        </w:rPr>
        <w:t xml:space="preserve">  </w:t>
      </w:r>
    </w:p>
    <w:p w14:paraId="4ECB5407" w14:textId="77777777" w:rsidR="00432592" w:rsidRPr="00432592" w:rsidRDefault="00432592" w:rsidP="00432592">
      <w:pPr>
        <w:rPr>
          <w:rFonts w:ascii="Arial" w:hAnsi="Arial" w:cs="Arial"/>
        </w:rPr>
      </w:pPr>
    </w:p>
    <w:p w14:paraId="696362D0" w14:textId="77777777" w:rsidR="00432592" w:rsidRPr="00432592" w:rsidRDefault="00432592" w:rsidP="00432592">
      <w:pPr>
        <w:rPr>
          <w:rFonts w:ascii="Arial" w:hAnsi="Arial" w:cs="Arial"/>
        </w:rPr>
      </w:pPr>
      <w:r w:rsidRPr="00432592">
        <w:rPr>
          <w:rFonts w:ascii="Arial" w:hAnsi="Arial" w:cs="Arial"/>
          <w:noProof/>
        </w:rPr>
        <w:drawing>
          <wp:inline distT="0" distB="0" distL="0" distR="0" wp14:anchorId="291301FF" wp14:editId="4A301CE1">
            <wp:extent cx="5724524" cy="3114675"/>
            <wp:effectExtent l="0" t="0" r="0" b="0"/>
            <wp:docPr id="62271061" name="Picture 62271061" descr="A group of cartoon children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71061" name="Picture 62271061" descr="A group of cartoon children holding signs&#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24524" cy="3114675"/>
                    </a:xfrm>
                    <a:prstGeom prst="rect">
                      <a:avLst/>
                    </a:prstGeom>
                  </pic:spPr>
                </pic:pic>
              </a:graphicData>
            </a:graphic>
          </wp:inline>
        </w:drawing>
      </w:r>
    </w:p>
    <w:p w14:paraId="24D2C757" w14:textId="77777777" w:rsidR="00432592" w:rsidRPr="00432592" w:rsidRDefault="00432592" w:rsidP="00432592">
      <w:pPr>
        <w:pStyle w:val="Heading1"/>
        <w:spacing w:before="240" w:after="0" w:line="257" w:lineRule="auto"/>
        <w:rPr>
          <w:rFonts w:ascii="Arial" w:hAnsi="Arial" w:cs="Arial"/>
          <w:sz w:val="24"/>
          <w:szCs w:val="24"/>
        </w:rPr>
      </w:pPr>
      <w:r w:rsidRPr="00432592">
        <w:rPr>
          <w:rFonts w:ascii="Arial" w:eastAsia="Arial" w:hAnsi="Arial" w:cs="Arial"/>
          <w:color w:val="FFC000"/>
          <w:sz w:val="24"/>
          <w:szCs w:val="24"/>
        </w:rPr>
        <w:t>Introduction</w:t>
      </w:r>
    </w:p>
    <w:p w14:paraId="45361F29" w14:textId="77777777" w:rsidR="00432592" w:rsidRPr="00432592" w:rsidRDefault="00432592" w:rsidP="00432592">
      <w:pPr>
        <w:spacing w:line="257" w:lineRule="auto"/>
        <w:rPr>
          <w:rFonts w:ascii="Arial" w:hAnsi="Arial" w:cs="Arial"/>
        </w:rPr>
      </w:pPr>
      <w:r w:rsidRPr="00432592">
        <w:rPr>
          <w:rFonts w:ascii="Arial" w:eastAsia="Arial" w:hAnsi="Arial" w:cs="Arial"/>
        </w:rPr>
        <w:t xml:space="preserve"> </w:t>
      </w:r>
    </w:p>
    <w:p w14:paraId="48563778" w14:textId="77777777" w:rsidR="00432592" w:rsidRPr="00432592" w:rsidRDefault="00432592" w:rsidP="00432592">
      <w:pPr>
        <w:spacing w:after="0" w:line="240" w:lineRule="auto"/>
        <w:rPr>
          <w:rFonts w:ascii="Arial" w:eastAsia="Arial" w:hAnsi="Arial" w:cs="Arial"/>
          <w:i/>
          <w:iCs/>
          <w:color w:val="7030A0"/>
        </w:rPr>
      </w:pPr>
      <w:r w:rsidRPr="00432592">
        <w:rPr>
          <w:rFonts w:ascii="Arial" w:eastAsia="Arial" w:hAnsi="Arial" w:cs="Arial"/>
          <w:i/>
          <w:iCs/>
          <w:color w:val="7030A0"/>
        </w:rPr>
        <w:t>This module requires you to complete asynchronous work– this means you must complete sections of this work before and after each session. This will give you a depth of knowledge and understanding and help you find some critical pieces of literature that may help you with your assignment. This is a personal handbook, and lecturers will not need to see it.</w:t>
      </w:r>
    </w:p>
    <w:p w14:paraId="2E9ACCB0" w14:textId="77777777" w:rsidR="00432592" w:rsidRPr="00432592" w:rsidRDefault="00432592" w:rsidP="00432592">
      <w:pPr>
        <w:spacing w:after="0" w:line="240" w:lineRule="auto"/>
        <w:rPr>
          <w:rFonts w:ascii="Arial" w:eastAsia="Arial" w:hAnsi="Arial" w:cs="Arial"/>
          <w:i/>
          <w:iCs/>
          <w:color w:val="7030A0"/>
        </w:rPr>
      </w:pPr>
    </w:p>
    <w:p w14:paraId="03AB4A77" w14:textId="77777777" w:rsidR="00432592" w:rsidRPr="00432592" w:rsidRDefault="00432592" w:rsidP="00432592">
      <w:pPr>
        <w:spacing w:after="0" w:line="240" w:lineRule="auto"/>
        <w:rPr>
          <w:rFonts w:ascii="Arial" w:eastAsia="Arial" w:hAnsi="Arial" w:cs="Arial"/>
          <w:i/>
          <w:iCs/>
          <w:color w:val="7030A0"/>
        </w:rPr>
      </w:pPr>
      <w:r w:rsidRPr="00432592">
        <w:rPr>
          <w:rFonts w:ascii="Arial" w:eastAsia="Arial" w:hAnsi="Arial" w:cs="Arial"/>
          <w:i/>
          <w:iCs/>
          <w:color w:val="7030A0"/>
        </w:rPr>
        <w:t>This will take approximately 2 hours</w:t>
      </w:r>
    </w:p>
    <w:p w14:paraId="5D54787E" w14:textId="77777777" w:rsidR="00432592" w:rsidRPr="00432592" w:rsidRDefault="00432592" w:rsidP="00432592">
      <w:pPr>
        <w:spacing w:after="0" w:line="240" w:lineRule="auto"/>
        <w:rPr>
          <w:rFonts w:ascii="Arial" w:eastAsia="Arial" w:hAnsi="Arial" w:cs="Arial"/>
          <w:i/>
          <w:iCs/>
          <w:color w:val="7030A0"/>
        </w:rPr>
      </w:pPr>
    </w:p>
    <w:p w14:paraId="0C9F5BA2" w14:textId="77777777" w:rsidR="00432592" w:rsidRPr="00432592" w:rsidRDefault="00432592" w:rsidP="00432592">
      <w:pPr>
        <w:spacing w:after="0" w:line="240" w:lineRule="auto"/>
        <w:rPr>
          <w:rFonts w:ascii="Arial" w:eastAsia="Arial" w:hAnsi="Arial" w:cs="Arial"/>
          <w:i/>
          <w:iCs/>
          <w:color w:val="7030A0"/>
        </w:rPr>
      </w:pPr>
      <w:r w:rsidRPr="00432592">
        <w:rPr>
          <w:rFonts w:ascii="Arial" w:eastAsia="Arial" w:hAnsi="Arial" w:cs="Arial"/>
          <w:i/>
          <w:iCs/>
          <w:color w:val="7030A0"/>
        </w:rPr>
        <w:t xml:space="preserve"> </w:t>
      </w:r>
      <w:r w:rsidRPr="00432592">
        <w:rPr>
          <w:rFonts w:ascii="Arial" w:eastAsia="Arial" w:hAnsi="Arial" w:cs="Arial"/>
          <w:color w:val="FFC000"/>
        </w:rPr>
        <w:t xml:space="preserve"> </w:t>
      </w:r>
    </w:p>
    <w:p w14:paraId="588B11DE" w14:textId="77777777" w:rsidR="00432592" w:rsidRPr="00432592" w:rsidRDefault="00432592" w:rsidP="00432592">
      <w:pPr>
        <w:pStyle w:val="Heading2"/>
        <w:spacing w:before="40" w:after="0" w:line="257" w:lineRule="auto"/>
        <w:rPr>
          <w:rFonts w:ascii="Arial" w:hAnsi="Arial" w:cs="Arial"/>
          <w:sz w:val="24"/>
          <w:szCs w:val="24"/>
        </w:rPr>
      </w:pPr>
      <w:r w:rsidRPr="00432592">
        <w:rPr>
          <w:rFonts w:ascii="Arial" w:eastAsia="Arial" w:hAnsi="Arial" w:cs="Arial"/>
          <w:color w:val="FFC000"/>
          <w:sz w:val="24"/>
          <w:szCs w:val="24"/>
        </w:rPr>
        <w:t xml:space="preserve">Setting the scene:  </w:t>
      </w:r>
    </w:p>
    <w:p w14:paraId="6A395E71" w14:textId="77777777" w:rsidR="00432592" w:rsidRPr="00432592" w:rsidRDefault="00432592" w:rsidP="00432592">
      <w:pPr>
        <w:spacing w:line="257" w:lineRule="auto"/>
        <w:rPr>
          <w:rFonts w:ascii="Arial" w:hAnsi="Arial" w:cs="Arial"/>
        </w:rPr>
      </w:pPr>
      <w:r w:rsidRPr="00432592">
        <w:rPr>
          <w:rFonts w:ascii="Arial" w:eastAsia="Arial" w:hAnsi="Arial" w:cs="Arial"/>
          <w:color w:val="FFC000"/>
        </w:rPr>
        <w:t xml:space="preserve"> </w:t>
      </w:r>
    </w:p>
    <w:p w14:paraId="35E90B5D" w14:textId="77777777" w:rsidR="00432592" w:rsidRPr="00432592" w:rsidRDefault="00432592" w:rsidP="00432592">
      <w:pPr>
        <w:pStyle w:val="Heading1"/>
      </w:pPr>
      <w:r w:rsidRPr="00432592">
        <w:t xml:space="preserve">Complete for </w:t>
      </w:r>
      <w:proofErr w:type="gramStart"/>
      <w:r w:rsidRPr="00432592">
        <w:t>face to face</w:t>
      </w:r>
      <w:proofErr w:type="gramEnd"/>
      <w:r w:rsidRPr="00432592">
        <w:t xml:space="preserve"> session - Saturday 5th October </w:t>
      </w:r>
    </w:p>
    <w:p w14:paraId="4865C15B" w14:textId="77777777" w:rsidR="00432592" w:rsidRPr="00432592" w:rsidRDefault="00432592" w:rsidP="00432592">
      <w:pPr>
        <w:rPr>
          <w:rFonts w:ascii="Arial" w:hAnsi="Arial" w:cs="Arial"/>
        </w:rPr>
      </w:pPr>
    </w:p>
    <w:p w14:paraId="02B7A058" w14:textId="77777777" w:rsidR="00432592" w:rsidRPr="00432592" w:rsidRDefault="00432592" w:rsidP="00432592">
      <w:pPr>
        <w:spacing w:line="278" w:lineRule="auto"/>
        <w:rPr>
          <w:rFonts w:ascii="Arial" w:eastAsia="Arial" w:hAnsi="Arial" w:cs="Arial"/>
        </w:rPr>
      </w:pPr>
      <w:r w:rsidRPr="00432592">
        <w:rPr>
          <w:rFonts w:ascii="Arial" w:eastAsia="Arial" w:hAnsi="Arial" w:cs="Arial"/>
          <w:color w:val="000000" w:themeColor="text1"/>
        </w:rPr>
        <w:t xml:space="preserve">LO1:   </w:t>
      </w:r>
      <w:r w:rsidRPr="00432592">
        <w:rPr>
          <w:rFonts w:ascii="Arial" w:eastAsia="Arial" w:hAnsi="Arial" w:cs="Arial"/>
        </w:rPr>
        <w:t>Critically evaluate the influences of historical and current children and young people and/or communities (</w:t>
      </w:r>
      <w:proofErr w:type="spellStart"/>
      <w:r w:rsidRPr="00432592">
        <w:rPr>
          <w:rFonts w:ascii="Arial" w:eastAsia="Arial" w:hAnsi="Arial" w:cs="Arial"/>
        </w:rPr>
        <w:t>CYPC</w:t>
      </w:r>
      <w:proofErr w:type="spellEnd"/>
      <w:r w:rsidRPr="00432592">
        <w:rPr>
          <w:rFonts w:ascii="Arial" w:eastAsia="Arial" w:hAnsi="Arial" w:cs="Arial"/>
        </w:rPr>
        <w:t>) policy contexts and how they impact on contemporary practice</w:t>
      </w:r>
    </w:p>
    <w:p w14:paraId="598F131A" w14:textId="77777777" w:rsidR="00432592" w:rsidRPr="00432592" w:rsidRDefault="00432592" w:rsidP="00432592">
      <w:pPr>
        <w:spacing w:line="278" w:lineRule="auto"/>
        <w:rPr>
          <w:rFonts w:ascii="Arial" w:eastAsia="Arial" w:hAnsi="Arial" w:cs="Arial"/>
        </w:rPr>
      </w:pPr>
    </w:p>
    <w:p w14:paraId="60DCC30F" w14:textId="77777777" w:rsidR="00432592" w:rsidRPr="00432592" w:rsidRDefault="00432592" w:rsidP="00432592">
      <w:pPr>
        <w:spacing w:line="278" w:lineRule="auto"/>
        <w:rPr>
          <w:rFonts w:ascii="Arial" w:hAnsi="Arial" w:cs="Arial"/>
        </w:rPr>
      </w:pPr>
      <w:r w:rsidRPr="00432592">
        <w:rPr>
          <w:rFonts w:ascii="Arial" w:eastAsia="Arial" w:hAnsi="Arial" w:cs="Arial"/>
        </w:rPr>
        <w:t>LO2: Analyse the enablers and barriers that exist in translating policy into practice in CYP contexts.</w:t>
      </w:r>
    </w:p>
    <w:p w14:paraId="1033F589" w14:textId="77777777" w:rsidR="00432592" w:rsidRPr="00432592" w:rsidRDefault="00432592" w:rsidP="00432592">
      <w:pPr>
        <w:pStyle w:val="Heading1"/>
      </w:pPr>
      <w:r w:rsidRPr="00432592">
        <w:t>What is policy?</w:t>
      </w:r>
    </w:p>
    <w:p w14:paraId="345F4F81" w14:textId="77777777" w:rsidR="00432592" w:rsidRPr="00432592" w:rsidRDefault="00432592" w:rsidP="00432592">
      <w:pPr>
        <w:rPr>
          <w:rFonts w:ascii="Arial" w:hAnsi="Arial" w:cs="Arial"/>
        </w:rPr>
      </w:pPr>
    </w:p>
    <w:p w14:paraId="4779CD52" w14:textId="77777777" w:rsidR="00432592" w:rsidRPr="00432592" w:rsidRDefault="00432592" w:rsidP="00432592">
      <w:pPr>
        <w:rPr>
          <w:rFonts w:ascii="Arial" w:hAnsi="Arial" w:cs="Arial"/>
          <w:i/>
          <w:iCs/>
        </w:rPr>
      </w:pPr>
      <w:r w:rsidRPr="00432592">
        <w:rPr>
          <w:rFonts w:ascii="Arial" w:hAnsi="Arial" w:cs="Arial"/>
        </w:rPr>
        <w:t>Listen to Paul Cairney’s podcast on Understanding public policy -</w:t>
      </w:r>
      <w:r w:rsidRPr="00432592">
        <w:rPr>
          <w:rFonts w:ascii="Arial" w:hAnsi="Arial" w:cs="Arial"/>
          <w:i/>
          <w:iCs/>
        </w:rPr>
        <w:t>Policy concepts in 1000 words: What is policy?</w:t>
      </w:r>
    </w:p>
    <w:p w14:paraId="26C6AB3E" w14:textId="77777777" w:rsidR="00432592" w:rsidRPr="00432592" w:rsidRDefault="00432592" w:rsidP="00432592">
      <w:pPr>
        <w:rPr>
          <w:rFonts w:ascii="Arial" w:hAnsi="Arial" w:cs="Arial"/>
        </w:rPr>
      </w:pPr>
      <w:hyperlink r:id="rId5" w:anchor=":~:text=Listen%20to%20Understanding%20Public%20Policy%20(in%201000%20and" w:history="1">
        <w:r w:rsidRPr="00432592">
          <w:rPr>
            <w:rStyle w:val="Hyperlink"/>
            <w:rFonts w:ascii="Arial" w:hAnsi="Arial" w:cs="Arial"/>
          </w:rPr>
          <w:t>Understanding Public Policy (in 1000 and 500 words) | Podcast on Spotify</w:t>
        </w:r>
      </w:hyperlink>
    </w:p>
    <w:p w14:paraId="2EA424F1" w14:textId="77777777" w:rsidR="00432592" w:rsidRPr="00432592" w:rsidRDefault="00432592" w:rsidP="00432592">
      <w:pPr>
        <w:rPr>
          <w:rFonts w:ascii="Arial" w:hAnsi="Arial" w:cs="Arial"/>
        </w:rPr>
      </w:pPr>
    </w:p>
    <w:p w14:paraId="6A2A0CF6" w14:textId="77777777" w:rsidR="00432592" w:rsidRPr="00432592" w:rsidRDefault="00432592" w:rsidP="00432592">
      <w:pPr>
        <w:rPr>
          <w:rFonts w:ascii="Arial" w:hAnsi="Arial" w:cs="Arial"/>
        </w:rPr>
      </w:pPr>
      <w:r w:rsidRPr="00432592">
        <w:rPr>
          <w:rFonts w:ascii="Arial" w:hAnsi="Arial" w:cs="Arial"/>
          <w:noProof/>
        </w:rPr>
        <mc:AlternateContent>
          <mc:Choice Requires="wps">
            <w:drawing>
              <wp:anchor distT="45720" distB="45720" distL="114300" distR="114300" simplePos="0" relativeHeight="251660288" behindDoc="0" locked="0" layoutInCell="1" allowOverlap="1" wp14:anchorId="15FFC6A7" wp14:editId="1074B449">
                <wp:simplePos x="0" y="0"/>
                <wp:positionH relativeFrom="margin">
                  <wp:align>left</wp:align>
                </wp:positionH>
                <wp:positionV relativeFrom="paragraph">
                  <wp:posOffset>500380</wp:posOffset>
                </wp:positionV>
                <wp:extent cx="5683250" cy="140462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3250" cy="1404620"/>
                        </a:xfrm>
                        <a:prstGeom prst="rect">
                          <a:avLst/>
                        </a:prstGeom>
                        <a:solidFill>
                          <a:srgbClr val="FFFFFF"/>
                        </a:solidFill>
                        <a:ln w="9525">
                          <a:solidFill>
                            <a:srgbClr val="000000"/>
                          </a:solidFill>
                          <a:miter lim="800000"/>
                          <a:headEnd/>
                          <a:tailEnd/>
                        </a:ln>
                      </wps:spPr>
                      <wps:txbx>
                        <w:txbxContent>
                          <w:p w14:paraId="4C5FA086" w14:textId="77777777" w:rsidR="00432592" w:rsidRDefault="00432592" w:rsidP="0043259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5FFC6A7" id="_x0000_t202" coordsize="21600,21600" o:spt="202" path="m,l,21600r21600,l21600,xe">
                <v:stroke joinstyle="miter"/>
                <v:path gradientshapeok="t" o:connecttype="rect"/>
              </v:shapetype>
              <v:shape id="Text Box 2" o:spid="_x0000_s1026" type="#_x0000_t202" style="position:absolute;margin-left:0;margin-top:39.4pt;width:447.5pt;height:110.6pt;z-index:25166028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">
                <v:textbox style="mso-fit-shape-to-text:t">
                  <w:txbxContent>
                    <w:p w14:paraId="4C5FA086" w14:textId="77777777" w:rsidR="00432592" w:rsidRDefault="00432592" w:rsidP="00432592"/>
                  </w:txbxContent>
                </v:textbox>
                <w10:wrap type="square" anchorx="margin"/>
              </v:shape>
            </w:pict>
          </mc:Fallback>
        </mc:AlternateContent>
      </w:r>
      <w:r w:rsidRPr="00432592">
        <w:rPr>
          <w:rFonts w:ascii="Arial" w:hAnsi="Arial" w:cs="Arial"/>
        </w:rPr>
        <w:t>What is your favourite definition of policy?</w:t>
      </w:r>
    </w:p>
    <w:p w14:paraId="6A402A48" w14:textId="77777777" w:rsidR="00432592" w:rsidRPr="00432592" w:rsidRDefault="00432592" w:rsidP="00432592">
      <w:pPr>
        <w:rPr>
          <w:rFonts w:ascii="Arial" w:hAnsi="Arial" w:cs="Arial"/>
        </w:rPr>
      </w:pPr>
    </w:p>
    <w:p w14:paraId="3AA30218" w14:textId="77777777" w:rsidR="00432592" w:rsidRPr="00432592" w:rsidRDefault="00432592" w:rsidP="00432592">
      <w:pPr>
        <w:pStyle w:val="Heading1"/>
        <w:rPr>
          <w:b/>
          <w:bCs/>
        </w:rPr>
      </w:pPr>
      <w:commentRangeStart w:id="1"/>
      <w:r w:rsidRPr="00432592">
        <w:t xml:space="preserve">Session 1: Constructions of childhood </w:t>
      </w:r>
      <w:commentRangeEnd w:id="1"/>
      <w:r w:rsidRPr="00432592">
        <w:commentReference w:id="1"/>
      </w:r>
    </w:p>
    <w:p w14:paraId="1A9428D0" w14:textId="77777777" w:rsidR="00432592" w:rsidRPr="00432592" w:rsidRDefault="00432592" w:rsidP="00432592">
      <w:pPr>
        <w:rPr>
          <w:rFonts w:ascii="Arial" w:hAnsi="Arial" w:cs="Arial"/>
        </w:rPr>
      </w:pPr>
    </w:p>
    <w:p w14:paraId="40EE8216" w14:textId="77777777" w:rsidR="00432592" w:rsidRPr="00432592" w:rsidRDefault="00432592" w:rsidP="00432592">
      <w:pPr>
        <w:pStyle w:val="Heading3"/>
        <w:rPr>
          <w:rFonts w:ascii="Arial" w:hAnsi="Arial" w:cs="Arial"/>
          <w:sz w:val="24"/>
          <w:szCs w:val="24"/>
        </w:rPr>
      </w:pPr>
      <w:r w:rsidRPr="00432592">
        <w:rPr>
          <w:rFonts w:ascii="Arial" w:hAnsi="Arial" w:cs="Arial"/>
          <w:sz w:val="24"/>
          <w:szCs w:val="24"/>
        </w:rPr>
        <w:t>Please choose one of the following to read before the session.</w:t>
      </w:r>
    </w:p>
    <w:p w14:paraId="19016D9F" w14:textId="77777777" w:rsidR="00432592" w:rsidRPr="00432592" w:rsidRDefault="00432592" w:rsidP="00432592">
      <w:pPr>
        <w:rPr>
          <w:rFonts w:ascii="Arial" w:hAnsi="Arial" w:cs="Arial"/>
        </w:rPr>
      </w:pPr>
    </w:p>
    <w:p w14:paraId="66D72841" w14:textId="77777777" w:rsidR="00432592" w:rsidRPr="00432592" w:rsidRDefault="00432592" w:rsidP="00432592">
      <w:pPr>
        <w:rPr>
          <w:rFonts w:ascii="Arial" w:hAnsi="Arial" w:cs="Arial"/>
        </w:rPr>
      </w:pPr>
      <w:r w:rsidRPr="00432592">
        <w:rPr>
          <w:rFonts w:ascii="Arial" w:hAnsi="Arial" w:cs="Arial"/>
        </w:rPr>
        <w:t xml:space="preserve">•Adair, </w:t>
      </w:r>
      <w:proofErr w:type="spellStart"/>
      <w:r w:rsidRPr="00432592">
        <w:rPr>
          <w:rFonts w:ascii="Arial" w:hAnsi="Arial" w:cs="Arial"/>
        </w:rPr>
        <w:t>J.K</w:t>
      </w:r>
      <w:proofErr w:type="spellEnd"/>
      <w:r w:rsidRPr="00432592">
        <w:rPr>
          <w:rFonts w:ascii="Arial" w:hAnsi="Arial" w:cs="Arial"/>
        </w:rPr>
        <w:t>. and Sachdeva, S., (2021) Agency and Power in Young Children’s Lives. </w:t>
      </w:r>
      <w:r w:rsidRPr="00432592">
        <w:rPr>
          <w:rFonts w:ascii="Arial" w:hAnsi="Arial" w:cs="Arial"/>
          <w:i/>
          <w:iCs/>
        </w:rPr>
        <w:t>YC Young Children</w:t>
      </w:r>
      <w:r w:rsidRPr="00432592">
        <w:rPr>
          <w:rFonts w:ascii="Arial" w:hAnsi="Arial" w:cs="Arial"/>
        </w:rPr>
        <w:t>, </w:t>
      </w:r>
      <w:r w:rsidRPr="00432592">
        <w:rPr>
          <w:rFonts w:ascii="Arial" w:hAnsi="Arial" w:cs="Arial"/>
          <w:i/>
          <w:iCs/>
        </w:rPr>
        <w:t>76</w:t>
      </w:r>
      <w:r w:rsidRPr="00432592">
        <w:rPr>
          <w:rFonts w:ascii="Arial" w:hAnsi="Arial" w:cs="Arial"/>
        </w:rPr>
        <w:t>(2), pp.40-48.</w:t>
      </w:r>
    </w:p>
    <w:p w14:paraId="673027FE" w14:textId="77777777" w:rsidR="00432592" w:rsidRPr="00432592" w:rsidRDefault="00432592" w:rsidP="00432592">
      <w:pPr>
        <w:rPr>
          <w:rFonts w:ascii="Arial" w:hAnsi="Arial" w:cs="Arial"/>
        </w:rPr>
      </w:pPr>
      <w:r w:rsidRPr="00432592">
        <w:rPr>
          <w:rFonts w:ascii="Arial" w:hAnsi="Arial" w:cs="Arial"/>
        </w:rPr>
        <w:t>•Baker, S. and Le Courtois, S. (2022) Agency, children’s voice and adults’ responsibility, </w:t>
      </w:r>
      <w:r w:rsidRPr="00432592">
        <w:rPr>
          <w:rFonts w:ascii="Arial" w:hAnsi="Arial" w:cs="Arial"/>
          <w:i/>
          <w:iCs/>
        </w:rPr>
        <w:t>Education</w:t>
      </w:r>
      <w:r w:rsidRPr="00432592">
        <w:rPr>
          <w:rFonts w:ascii="Arial" w:hAnsi="Arial" w:cs="Arial"/>
        </w:rPr>
        <w:t> 3-13, 50:4, 435-438, DOI: </w:t>
      </w:r>
      <w:hyperlink r:id="rId10" w:tgtFrame="_blank" w:tooltip="Original URL: https://doi.org/10.1080/03004279.2022.2052234. Click or tap if you trust this link." w:history="1">
        <w:r w:rsidRPr="00432592">
          <w:rPr>
            <w:rStyle w:val="Hyperlink"/>
            <w:rFonts w:ascii="Arial" w:hAnsi="Arial" w:cs="Arial"/>
          </w:rPr>
          <w:t>10.1080/03004279.2022.2052234</w:t>
        </w:r>
      </w:hyperlink>
    </w:p>
    <w:p w14:paraId="3D7B2812" w14:textId="77777777" w:rsidR="00432592" w:rsidRPr="00432592" w:rsidRDefault="00432592" w:rsidP="00432592">
      <w:pPr>
        <w:rPr>
          <w:rFonts w:ascii="Arial" w:hAnsi="Arial" w:cs="Arial"/>
        </w:rPr>
      </w:pPr>
      <w:r w:rsidRPr="00432592">
        <w:rPr>
          <w:rFonts w:ascii="Arial" w:hAnsi="Arial" w:cs="Arial"/>
        </w:rPr>
        <w:t xml:space="preserve">•Barros Araújo, S (2022) What’s your image of the child? Examining trajectories of prospective ECE teachers’ beliefs during practicum, </w:t>
      </w:r>
      <w:r w:rsidRPr="00432592">
        <w:rPr>
          <w:rFonts w:ascii="Arial" w:hAnsi="Arial" w:cs="Arial"/>
          <w:i/>
          <w:iCs/>
        </w:rPr>
        <w:t xml:space="preserve">European Early Childhood Education Research Journal, </w:t>
      </w:r>
      <w:r w:rsidRPr="00432592">
        <w:rPr>
          <w:rFonts w:ascii="Arial" w:hAnsi="Arial" w:cs="Arial"/>
        </w:rPr>
        <w:t>30:6, 899-911, DOI: 10.1080/1350293X.2022.208134</w:t>
      </w:r>
    </w:p>
    <w:p w14:paraId="38BD0A7D" w14:textId="77777777" w:rsidR="00432592" w:rsidRPr="00432592" w:rsidRDefault="00432592" w:rsidP="00432592">
      <w:pPr>
        <w:pStyle w:val="Heading2"/>
      </w:pPr>
      <w:r w:rsidRPr="00432592">
        <w:t>Think about questions to ask in the session:</w:t>
      </w:r>
    </w:p>
    <w:p w14:paraId="47482FFB" w14:textId="77777777" w:rsidR="00432592" w:rsidRPr="00432592" w:rsidRDefault="00432592" w:rsidP="00432592">
      <w:pPr>
        <w:rPr>
          <w:rFonts w:ascii="Arial" w:hAnsi="Arial" w:cs="Arial"/>
        </w:rPr>
      </w:pPr>
    </w:p>
    <w:tbl>
      <w:tblPr>
        <w:tblStyle w:val="TableGrid"/>
        <w:tblW w:w="0" w:type="auto"/>
        <w:tblLook w:val="04A0" w:firstRow="1" w:lastRow="0" w:firstColumn="1" w:lastColumn="0" w:noHBand="0" w:noVBand="1"/>
      </w:tblPr>
      <w:tblGrid>
        <w:gridCol w:w="9016"/>
      </w:tblGrid>
      <w:tr w:rsidR="00432592" w:rsidRPr="00432592" w14:paraId="4E640EBB" w14:textId="77777777" w:rsidTr="00394230">
        <w:tc>
          <w:tcPr>
            <w:tcW w:w="9016" w:type="dxa"/>
          </w:tcPr>
          <w:p w14:paraId="37659078" w14:textId="77777777" w:rsidR="00432592" w:rsidRPr="00432592" w:rsidRDefault="00432592" w:rsidP="00394230">
            <w:pPr>
              <w:rPr>
                <w:rFonts w:ascii="Arial" w:hAnsi="Arial" w:cs="Arial"/>
              </w:rPr>
            </w:pPr>
          </w:p>
        </w:tc>
      </w:tr>
    </w:tbl>
    <w:p w14:paraId="65928F27" w14:textId="77777777" w:rsidR="00432592" w:rsidRPr="00432592" w:rsidRDefault="00432592" w:rsidP="00432592">
      <w:pPr>
        <w:pStyle w:val="Heading1"/>
      </w:pPr>
      <w:r w:rsidRPr="00432592">
        <w:lastRenderedPageBreak/>
        <w:t>After the session:</w:t>
      </w:r>
    </w:p>
    <w:p w14:paraId="428AC17B" w14:textId="77777777" w:rsidR="00432592" w:rsidRPr="00432592" w:rsidRDefault="00432592" w:rsidP="00432592">
      <w:pPr>
        <w:rPr>
          <w:rFonts w:ascii="Arial" w:hAnsi="Arial" w:cs="Arial"/>
        </w:rPr>
      </w:pPr>
      <w:r w:rsidRPr="00432592">
        <w:rPr>
          <w:rFonts w:ascii="Arial" w:hAnsi="Arial" w:cs="Arial"/>
        </w:rPr>
        <w:t xml:space="preserve">It is important for you to consider the construction of childhood from a  local and global perspective. Terzi, </w:t>
      </w:r>
      <w:proofErr w:type="spellStart"/>
      <w:r w:rsidRPr="00432592">
        <w:rPr>
          <w:rFonts w:ascii="Arial" w:hAnsi="Arial" w:cs="Arial"/>
        </w:rPr>
        <w:t>Unterhalter</w:t>
      </w:r>
      <w:proofErr w:type="spellEnd"/>
      <w:r w:rsidRPr="00432592">
        <w:rPr>
          <w:rFonts w:ascii="Arial" w:hAnsi="Arial" w:cs="Arial"/>
        </w:rPr>
        <w:t xml:space="preserve"> and Suissa (2022)’s article - </w:t>
      </w:r>
      <w:hyperlink r:id="rId11">
        <w:r w:rsidRPr="00432592">
          <w:rPr>
            <w:rStyle w:val="Hyperlink"/>
            <w:rFonts w:ascii="Arial" w:hAnsi="Arial" w:cs="Arial"/>
          </w:rPr>
          <w:t>Philosophical reflections on child poverty and education have a section called – Political theory and political imaginaries (p.6).</w:t>
        </w:r>
      </w:hyperlink>
      <w:r w:rsidRPr="00432592">
        <w:rPr>
          <w:rFonts w:ascii="Arial" w:hAnsi="Arial" w:cs="Arial"/>
        </w:rPr>
        <w:t xml:space="preserve"> Please read this and consider the way we may view children in various parts of the world. </w:t>
      </w:r>
    </w:p>
    <w:p w14:paraId="602D5E41" w14:textId="77777777" w:rsidR="00432592" w:rsidRPr="00432592" w:rsidRDefault="00432592" w:rsidP="00432592">
      <w:pPr>
        <w:rPr>
          <w:rFonts w:ascii="Arial" w:hAnsi="Arial" w:cs="Arial"/>
        </w:rPr>
      </w:pPr>
    </w:p>
    <w:p w14:paraId="4785C3E5" w14:textId="77777777" w:rsidR="00432592" w:rsidRPr="00432592" w:rsidRDefault="00432592" w:rsidP="00432592">
      <w:pPr>
        <w:rPr>
          <w:rFonts w:ascii="Arial" w:hAnsi="Arial" w:cs="Arial"/>
        </w:rPr>
      </w:pPr>
      <w:r w:rsidRPr="00432592">
        <w:rPr>
          <w:rFonts w:ascii="Arial" w:hAnsi="Arial" w:cs="Arial"/>
        </w:rPr>
        <w:t>What is a Westernised viewpoint of children in poverty?</w:t>
      </w:r>
    </w:p>
    <w:tbl>
      <w:tblPr>
        <w:tblStyle w:val="TableGrid"/>
        <w:tblW w:w="0" w:type="auto"/>
        <w:tblLayout w:type="fixed"/>
        <w:tblLook w:val="06A0" w:firstRow="1" w:lastRow="0" w:firstColumn="1" w:lastColumn="0" w:noHBand="1" w:noVBand="1"/>
      </w:tblPr>
      <w:tblGrid>
        <w:gridCol w:w="9015"/>
      </w:tblGrid>
      <w:tr w:rsidR="00432592" w:rsidRPr="00432592" w14:paraId="63E8838C" w14:textId="77777777" w:rsidTr="00394230">
        <w:trPr>
          <w:trHeight w:val="300"/>
        </w:trPr>
        <w:tc>
          <w:tcPr>
            <w:tcW w:w="9015" w:type="dxa"/>
          </w:tcPr>
          <w:p w14:paraId="71B911B0" w14:textId="77777777" w:rsidR="00432592" w:rsidRPr="00432592" w:rsidRDefault="00432592" w:rsidP="00394230">
            <w:pPr>
              <w:rPr>
                <w:rFonts w:ascii="Arial" w:hAnsi="Arial" w:cs="Arial"/>
              </w:rPr>
            </w:pPr>
          </w:p>
        </w:tc>
      </w:tr>
    </w:tbl>
    <w:p w14:paraId="6A0B8060" w14:textId="77777777" w:rsidR="00432592" w:rsidRPr="00432592" w:rsidRDefault="00432592" w:rsidP="00432592">
      <w:pPr>
        <w:rPr>
          <w:rFonts w:ascii="Arial" w:hAnsi="Arial" w:cs="Arial"/>
        </w:rPr>
      </w:pPr>
    </w:p>
    <w:p w14:paraId="5648E001" w14:textId="77777777" w:rsidR="00432592" w:rsidRPr="00432592" w:rsidRDefault="00432592" w:rsidP="00432592">
      <w:pPr>
        <w:rPr>
          <w:rFonts w:ascii="Arial" w:hAnsi="Arial" w:cs="Arial"/>
        </w:rPr>
      </w:pPr>
      <w:r w:rsidRPr="00432592">
        <w:rPr>
          <w:rFonts w:ascii="Arial" w:hAnsi="Arial" w:cs="Arial"/>
        </w:rPr>
        <w:t xml:space="preserve">What is the problem of relying on theories which bracket and normalise certain assumptions about social and political life? </w:t>
      </w:r>
    </w:p>
    <w:tbl>
      <w:tblPr>
        <w:tblStyle w:val="TableGrid"/>
        <w:tblW w:w="0" w:type="auto"/>
        <w:tblLayout w:type="fixed"/>
        <w:tblLook w:val="06A0" w:firstRow="1" w:lastRow="0" w:firstColumn="1" w:lastColumn="0" w:noHBand="1" w:noVBand="1"/>
      </w:tblPr>
      <w:tblGrid>
        <w:gridCol w:w="9015"/>
      </w:tblGrid>
      <w:tr w:rsidR="00432592" w:rsidRPr="00432592" w14:paraId="0B59A610" w14:textId="77777777" w:rsidTr="00394230">
        <w:trPr>
          <w:trHeight w:val="300"/>
        </w:trPr>
        <w:tc>
          <w:tcPr>
            <w:tcW w:w="9015" w:type="dxa"/>
          </w:tcPr>
          <w:p w14:paraId="44C66D3D" w14:textId="77777777" w:rsidR="00432592" w:rsidRPr="00432592" w:rsidRDefault="00432592" w:rsidP="00394230">
            <w:pPr>
              <w:rPr>
                <w:rFonts w:ascii="Arial" w:hAnsi="Arial" w:cs="Arial"/>
              </w:rPr>
            </w:pPr>
          </w:p>
        </w:tc>
      </w:tr>
    </w:tbl>
    <w:p w14:paraId="094472AE" w14:textId="77777777" w:rsidR="00432592" w:rsidRPr="00432592" w:rsidRDefault="00432592" w:rsidP="00432592">
      <w:pPr>
        <w:rPr>
          <w:rFonts w:ascii="Arial" w:hAnsi="Arial" w:cs="Arial"/>
          <w:color w:val="FF0000"/>
        </w:rPr>
      </w:pPr>
    </w:p>
    <w:p w14:paraId="21F03FE6" w14:textId="77777777" w:rsidR="00432592" w:rsidRPr="00432592" w:rsidRDefault="00432592" w:rsidP="00432592">
      <w:pPr>
        <w:pStyle w:val="Heading2"/>
      </w:pPr>
      <w:r w:rsidRPr="00432592">
        <w:t>Dr Barbera Rogoff – It starts at home: Letting children collaborate (15 minutes)</w:t>
      </w:r>
    </w:p>
    <w:p w14:paraId="18D0275C" w14:textId="77777777" w:rsidR="00432592" w:rsidRPr="00432592" w:rsidRDefault="00432592" w:rsidP="00432592">
      <w:pPr>
        <w:rPr>
          <w:rFonts w:ascii="Arial" w:hAnsi="Arial" w:cs="Arial"/>
        </w:rPr>
      </w:pPr>
    </w:p>
    <w:p w14:paraId="0482AEDF" w14:textId="77777777" w:rsidR="00432592" w:rsidRPr="00432592" w:rsidRDefault="00432592" w:rsidP="00432592">
      <w:pPr>
        <w:rPr>
          <w:rFonts w:ascii="Arial" w:hAnsi="Arial" w:cs="Arial"/>
        </w:rPr>
      </w:pPr>
      <w:r w:rsidRPr="00432592">
        <w:rPr>
          <w:rFonts w:ascii="Arial" w:hAnsi="Arial" w:cs="Arial"/>
        </w:rPr>
        <w:t>Please see the TED talk looking at Rogoff’s work in Central America and the United States in how children collaborate:</w:t>
      </w:r>
    </w:p>
    <w:p w14:paraId="247B4834" w14:textId="77777777" w:rsidR="00432592" w:rsidRPr="00432592" w:rsidRDefault="00432592" w:rsidP="00432592">
      <w:pPr>
        <w:rPr>
          <w:rFonts w:ascii="Arial" w:hAnsi="Arial" w:cs="Arial"/>
        </w:rPr>
      </w:pPr>
    </w:p>
    <w:p w14:paraId="288DA64B" w14:textId="77777777" w:rsidR="00432592" w:rsidRPr="00432592" w:rsidRDefault="00432592" w:rsidP="00432592">
      <w:pPr>
        <w:rPr>
          <w:rFonts w:ascii="Arial" w:hAnsi="Arial" w:cs="Arial"/>
        </w:rPr>
      </w:pPr>
      <w:r w:rsidRPr="00432592">
        <w:rPr>
          <w:rFonts w:ascii="Arial" w:hAnsi="Arial" w:cs="Arial"/>
          <w:noProof/>
        </w:rPr>
        <w:drawing>
          <wp:anchor distT="0" distB="0" distL="114300" distR="114300" simplePos="0" relativeHeight="251659264" behindDoc="0" locked="0" layoutInCell="1" allowOverlap="1" wp14:anchorId="68351029" wp14:editId="56B9E536">
            <wp:simplePos x="0" y="0"/>
            <wp:positionH relativeFrom="column">
              <wp:align>left</wp:align>
            </wp:positionH>
            <wp:positionV relativeFrom="paragraph">
              <wp:posOffset>0</wp:posOffset>
            </wp:positionV>
            <wp:extent cx="5553074" cy="3228975"/>
            <wp:effectExtent l="0" t="0" r="0" b="0"/>
            <wp:wrapSquare wrapText="bothSides"/>
            <wp:docPr id="2125063628" name="picture" title="Video titled: It Starts At Home: Letting Children Collaborate | Dr. Barbara Rogoff | TEDxSantaCruz">
              <a:hlinkClick xmlns:a="http://schemas.openxmlformats.org/drawingml/2006/main" r:id="rId12"/>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3">
                      <a:extLst>
                        <a:ext uri="{28A0092B-C50C-407E-A947-70E740481C1C}">
                          <a14:useLocalDpi xmlns:a14="http://schemas.microsoft.com/office/drawing/2010/main" val="0"/>
                        </a:ext>
                        <a:ext uri="http://schemas.microsoft.com/office/word/2020/oembed">
                          <woe:oembed xmlns:woe="http://schemas.microsoft.com/office/word/2020/oembed" oEmbedUrl="https://www.youtube.com/watch?v=Bu03KUNI1Zk" mediaType="Video" picLocksAutoForOEmbed="1"/>
                        </a:ext>
                      </a:extLst>
                    </a:blip>
                    <a:stretch>
                      <a:fillRect/>
                    </a:stretch>
                  </pic:blipFill>
                  <pic:spPr>
                    <a:xfrm>
                      <a:off x="0" y="0"/>
                      <a:ext cx="5553074" cy="3228975"/>
                    </a:xfrm>
                    <a:prstGeom prst="rect">
                      <a:avLst/>
                    </a:prstGeom>
                  </pic:spPr>
                </pic:pic>
              </a:graphicData>
            </a:graphic>
            <wp14:sizeRelH relativeFrom="page">
              <wp14:pctWidth>0</wp14:pctWidth>
            </wp14:sizeRelH>
            <wp14:sizeRelV relativeFrom="page">
              <wp14:pctHeight>0</wp14:pctHeight>
            </wp14:sizeRelV>
          </wp:anchor>
        </w:drawing>
      </w:r>
    </w:p>
    <w:p w14:paraId="5D3155F3" w14:textId="77777777" w:rsidR="00432592" w:rsidRPr="00432592" w:rsidRDefault="00432592" w:rsidP="00432592">
      <w:pPr>
        <w:rPr>
          <w:rFonts w:ascii="Arial" w:hAnsi="Arial" w:cs="Arial"/>
        </w:rPr>
      </w:pPr>
    </w:p>
    <w:p w14:paraId="48BB28CA" w14:textId="77777777" w:rsidR="00432592" w:rsidRPr="00432592" w:rsidRDefault="00432592" w:rsidP="00432592">
      <w:pPr>
        <w:rPr>
          <w:rFonts w:ascii="Arial" w:hAnsi="Arial" w:cs="Arial"/>
        </w:rPr>
      </w:pPr>
      <w:r w:rsidRPr="00432592">
        <w:rPr>
          <w:rFonts w:ascii="Arial" w:hAnsi="Arial" w:cs="Arial"/>
        </w:rPr>
        <w:t>What does this say about our social construction of children in our own cultures and others?</w:t>
      </w:r>
    </w:p>
    <w:p w14:paraId="4F189B3C" w14:textId="77777777" w:rsidR="00432592" w:rsidRPr="00432592" w:rsidRDefault="00432592" w:rsidP="00432592">
      <w:pPr>
        <w:pBdr>
          <w:top w:val="single" w:sz="4" w:space="4" w:color="000000"/>
          <w:left w:val="single" w:sz="4" w:space="4" w:color="000000"/>
          <w:bottom w:val="single" w:sz="4" w:space="4" w:color="000000"/>
          <w:right w:val="single" w:sz="4" w:space="4" w:color="000000"/>
        </w:pBdr>
        <w:rPr>
          <w:rFonts w:ascii="Arial" w:hAnsi="Arial" w:cs="Arial"/>
        </w:rPr>
      </w:pPr>
    </w:p>
    <w:p w14:paraId="7E081C11" w14:textId="77777777" w:rsidR="00432592" w:rsidRPr="00432592" w:rsidRDefault="00432592" w:rsidP="00432592">
      <w:pPr>
        <w:rPr>
          <w:rFonts w:ascii="Arial" w:hAnsi="Arial" w:cs="Arial"/>
        </w:rPr>
      </w:pPr>
    </w:p>
    <w:p w14:paraId="1829BF20" w14:textId="77777777" w:rsidR="00432592" w:rsidRPr="00432592" w:rsidRDefault="00432592" w:rsidP="00432592">
      <w:pPr>
        <w:rPr>
          <w:rFonts w:ascii="Arial" w:hAnsi="Arial" w:cs="Arial"/>
        </w:rPr>
      </w:pPr>
      <w:r w:rsidRPr="00432592">
        <w:rPr>
          <w:rFonts w:ascii="Arial" w:hAnsi="Arial" w:cs="Arial"/>
        </w:rPr>
        <w:t>How could this affect the way we view children within our own societies and the policies that influence their lives?</w:t>
      </w:r>
    </w:p>
    <w:p w14:paraId="1495E759" w14:textId="77777777" w:rsidR="00432592" w:rsidRPr="00432592" w:rsidRDefault="00432592" w:rsidP="00432592">
      <w:pPr>
        <w:pBdr>
          <w:top w:val="single" w:sz="4" w:space="4" w:color="000000"/>
          <w:left w:val="single" w:sz="4" w:space="4" w:color="000000"/>
          <w:bottom w:val="single" w:sz="4" w:space="4" w:color="000000"/>
          <w:right w:val="single" w:sz="4" w:space="4" w:color="000000"/>
        </w:pBdr>
        <w:rPr>
          <w:rFonts w:ascii="Arial" w:hAnsi="Arial" w:cs="Arial"/>
        </w:rPr>
      </w:pPr>
    </w:p>
    <w:p w14:paraId="55D90810" w14:textId="77777777" w:rsidR="00432592" w:rsidRPr="00432592" w:rsidRDefault="00432592" w:rsidP="00432592">
      <w:pPr>
        <w:rPr>
          <w:rFonts w:ascii="Arial" w:hAnsi="Arial" w:cs="Arial"/>
        </w:rPr>
      </w:pPr>
    </w:p>
    <w:p w14:paraId="021739A3" w14:textId="77777777" w:rsidR="00432592" w:rsidRPr="00432592" w:rsidRDefault="00432592" w:rsidP="00432592">
      <w:pPr>
        <w:rPr>
          <w:rFonts w:ascii="Arial" w:hAnsi="Arial" w:cs="Arial"/>
        </w:rPr>
      </w:pPr>
      <w:r w:rsidRPr="00432592">
        <w:rPr>
          <w:rFonts w:ascii="Arial" w:hAnsi="Arial" w:cs="Arial"/>
        </w:rPr>
        <w:t>Rogoff’s work has influenced the way we view learning communities or communities of practice.</w:t>
      </w:r>
    </w:p>
    <w:p w14:paraId="500AE44D" w14:textId="77777777" w:rsidR="00432592" w:rsidRPr="00432592" w:rsidRDefault="00432592" w:rsidP="00432592">
      <w:pPr>
        <w:pStyle w:val="Heading2"/>
      </w:pPr>
    </w:p>
    <w:p w14:paraId="4CE53FC2" w14:textId="77777777" w:rsidR="00432592" w:rsidRPr="00432592" w:rsidRDefault="00432592" w:rsidP="00432592">
      <w:pPr>
        <w:pStyle w:val="Heading2"/>
        <w:rPr>
          <w:rStyle w:val="Heading2Char"/>
        </w:rPr>
      </w:pPr>
      <w:r w:rsidRPr="00432592">
        <w:t xml:space="preserve">Phillipe </w:t>
      </w:r>
      <w:proofErr w:type="spellStart"/>
      <w:r w:rsidRPr="00432592">
        <w:rPr>
          <w:rStyle w:val="Heading2Char"/>
        </w:rPr>
        <w:t>Ariés</w:t>
      </w:r>
      <w:proofErr w:type="spellEnd"/>
      <w:r w:rsidRPr="00432592">
        <w:rPr>
          <w:rStyle w:val="Heading2Char"/>
        </w:rPr>
        <w:t>: Childhood and the everyday</w:t>
      </w:r>
    </w:p>
    <w:p w14:paraId="11CBC188" w14:textId="77777777" w:rsidR="00432592" w:rsidRPr="00432592" w:rsidRDefault="00432592" w:rsidP="00432592">
      <w:pPr>
        <w:rPr>
          <w:rFonts w:ascii="Arial" w:hAnsi="Arial" w:cs="Arial"/>
        </w:rPr>
      </w:pPr>
    </w:p>
    <w:p w14:paraId="50CC3FE5" w14:textId="77777777" w:rsidR="00432592" w:rsidRPr="00432592" w:rsidRDefault="00432592" w:rsidP="00432592">
      <w:pPr>
        <w:rPr>
          <w:rFonts w:ascii="Arial" w:eastAsia="Aptos" w:hAnsi="Arial" w:cs="Arial"/>
        </w:rPr>
      </w:pPr>
      <w:r w:rsidRPr="00432592">
        <w:rPr>
          <w:rFonts w:ascii="Arial" w:eastAsia="Noto Sans" w:hAnsi="Arial" w:cs="Arial"/>
          <w:color w:val="333333"/>
        </w:rPr>
        <w:t xml:space="preserve">Philippe </w:t>
      </w:r>
      <w:proofErr w:type="spellStart"/>
      <w:r w:rsidRPr="00432592">
        <w:rPr>
          <w:rFonts w:ascii="Arial" w:eastAsia="Noto Sans" w:hAnsi="Arial" w:cs="Arial"/>
          <w:color w:val="333333"/>
        </w:rPr>
        <w:t>Ariès’s</w:t>
      </w:r>
      <w:proofErr w:type="spellEnd"/>
      <w:r w:rsidRPr="00432592">
        <w:rPr>
          <w:rFonts w:ascii="Arial" w:eastAsia="Noto Sans" w:hAnsi="Arial" w:cs="Arial"/>
          <w:color w:val="333333"/>
        </w:rPr>
        <w:t xml:space="preserve"> </w:t>
      </w:r>
      <w:r w:rsidRPr="00432592">
        <w:rPr>
          <w:rFonts w:ascii="Arial" w:eastAsia="Noto Sans" w:hAnsi="Arial" w:cs="Arial"/>
          <w:i/>
          <w:iCs/>
          <w:color w:val="333333"/>
        </w:rPr>
        <w:t>Centuries of Childhood</w:t>
      </w:r>
      <w:r w:rsidRPr="00432592">
        <w:rPr>
          <w:rFonts w:ascii="Arial" w:eastAsia="Noto Sans" w:hAnsi="Arial" w:cs="Arial"/>
          <w:color w:val="333333"/>
        </w:rPr>
        <w:t xml:space="preserve"> is now over 50 years old, but it holds its place as a pioneering study of childhood, education and the family.</w:t>
      </w:r>
      <w:r w:rsidRPr="00432592">
        <w:rPr>
          <w:rFonts w:ascii="Arial" w:eastAsia="Open Sans" w:hAnsi="Arial" w:cs="Arial"/>
        </w:rPr>
        <w:t xml:space="preserve"> </w:t>
      </w:r>
      <w:proofErr w:type="spellStart"/>
      <w:r w:rsidRPr="00432592">
        <w:rPr>
          <w:rFonts w:ascii="Arial" w:eastAsia="Open Sans" w:hAnsi="Arial" w:cs="Arial"/>
          <w:color w:val="333333"/>
        </w:rPr>
        <w:t>Ariés</w:t>
      </w:r>
      <w:proofErr w:type="spellEnd"/>
      <w:r w:rsidRPr="00432592">
        <w:rPr>
          <w:rFonts w:ascii="Arial" w:eastAsia="Open Sans" w:hAnsi="Arial" w:cs="Arial"/>
          <w:color w:val="333333"/>
        </w:rPr>
        <w:t xml:space="preserve">’ was a French writer and philosopher who wrote about socio-cultural history of childhood, family, private life and death, focussing on thinking about ‘who is a child?’ </w:t>
      </w:r>
      <w:r w:rsidRPr="00432592">
        <w:rPr>
          <w:rFonts w:ascii="Arial" w:eastAsia="Aptos" w:hAnsi="Arial" w:cs="Arial"/>
        </w:rPr>
        <w:t xml:space="preserve"> is a seminal piece of work. Gulati (2022) presents his life work in this article that you can find in the online library. His book can be found in the library but can be a difficult read. Aries has his </w:t>
      </w:r>
      <w:proofErr w:type="gramStart"/>
      <w:r w:rsidRPr="00432592">
        <w:rPr>
          <w:rFonts w:ascii="Arial" w:eastAsia="Aptos" w:hAnsi="Arial" w:cs="Arial"/>
        </w:rPr>
        <w:t>critics</w:t>
      </w:r>
      <w:proofErr w:type="gramEnd"/>
      <w:r w:rsidRPr="00432592">
        <w:rPr>
          <w:rFonts w:ascii="Arial" w:eastAsia="Aptos" w:hAnsi="Arial" w:cs="Arial"/>
        </w:rPr>
        <w:t xml:space="preserve"> and it is worth finding them in your own time.</w:t>
      </w:r>
    </w:p>
    <w:p w14:paraId="46BC0497" w14:textId="77777777" w:rsidR="00432592" w:rsidRPr="00432592" w:rsidRDefault="00432592" w:rsidP="00432592">
      <w:pPr>
        <w:rPr>
          <w:rFonts w:ascii="Arial" w:eastAsia="Aptos" w:hAnsi="Arial" w:cs="Arial"/>
        </w:rPr>
      </w:pPr>
    </w:p>
    <w:p w14:paraId="3608EAE0" w14:textId="77777777" w:rsidR="00432592" w:rsidRPr="00432592" w:rsidRDefault="00432592" w:rsidP="00432592">
      <w:pPr>
        <w:rPr>
          <w:rFonts w:ascii="Arial" w:eastAsia="Aptos" w:hAnsi="Arial" w:cs="Arial"/>
        </w:rPr>
      </w:pPr>
      <w:hyperlink r:id="rId14">
        <w:r w:rsidRPr="00432592">
          <w:rPr>
            <w:rStyle w:val="Hyperlink"/>
            <w:rFonts w:ascii="Arial" w:eastAsia="Aptos" w:hAnsi="Arial" w:cs="Arial"/>
          </w:rPr>
          <w:t xml:space="preserve">Philippe </w:t>
        </w:r>
        <w:proofErr w:type="spellStart"/>
        <w:r w:rsidRPr="00432592">
          <w:rPr>
            <w:rStyle w:val="Hyperlink"/>
            <w:rFonts w:ascii="Arial" w:eastAsia="Aptos" w:hAnsi="Arial" w:cs="Arial"/>
          </w:rPr>
          <w:t>Ariés</w:t>
        </w:r>
        <w:proofErr w:type="spellEnd"/>
        <w:r w:rsidRPr="00432592">
          <w:rPr>
            <w:rStyle w:val="Hyperlink"/>
            <w:rFonts w:ascii="Arial" w:eastAsia="Aptos" w:hAnsi="Arial" w:cs="Arial"/>
          </w:rPr>
          <w:t>, Childhood and the Everyday - Nidhi Gulati, 2022 (uwtsd.ac.uk)</w:t>
        </w:r>
      </w:hyperlink>
    </w:p>
    <w:bookmarkEnd w:id="0"/>
    <w:tbl>
      <w:tblPr>
        <w:tblStyle w:val="TableGrid"/>
        <w:tblpPr w:leftFromText="180" w:rightFromText="180" w:vertAnchor="text" w:horzAnchor="margin" w:tblpY="391"/>
        <w:tblW w:w="0" w:type="auto"/>
        <w:tblLook w:val="04A0" w:firstRow="1" w:lastRow="0" w:firstColumn="1" w:lastColumn="0" w:noHBand="0" w:noVBand="1"/>
      </w:tblPr>
      <w:tblGrid>
        <w:gridCol w:w="9016"/>
      </w:tblGrid>
      <w:tr w:rsidR="00432592" w:rsidRPr="00432592" w14:paraId="73D84834" w14:textId="77777777" w:rsidTr="00394230">
        <w:tc>
          <w:tcPr>
            <w:tcW w:w="9016" w:type="dxa"/>
          </w:tcPr>
          <w:p w14:paraId="0F275AEF" w14:textId="77777777" w:rsidR="00432592" w:rsidRPr="00432592" w:rsidRDefault="00432592" w:rsidP="00394230">
            <w:pPr>
              <w:rPr>
                <w:rFonts w:ascii="Arial" w:hAnsi="Arial" w:cs="Arial"/>
              </w:rPr>
            </w:pPr>
          </w:p>
        </w:tc>
      </w:tr>
    </w:tbl>
    <w:p w14:paraId="4B56FABC" w14:textId="77777777" w:rsidR="00432592" w:rsidRPr="00432592" w:rsidRDefault="00432592" w:rsidP="00432592">
      <w:pPr>
        <w:rPr>
          <w:rFonts w:ascii="Arial" w:hAnsi="Arial" w:cs="Arial"/>
        </w:rPr>
      </w:pPr>
      <w:r w:rsidRPr="00432592">
        <w:rPr>
          <w:rFonts w:ascii="Arial" w:hAnsi="Arial" w:cs="Arial"/>
        </w:rPr>
        <w:t xml:space="preserve">What are </w:t>
      </w:r>
      <w:proofErr w:type="spellStart"/>
      <w:r w:rsidRPr="004A3BDF">
        <w:rPr>
          <w:rFonts w:ascii="Arial" w:eastAsia="Aptos" w:hAnsi="Arial" w:cs="Arial"/>
          <w:lang w:val="cy-GB"/>
        </w:rPr>
        <w:t>Ariès</w:t>
      </w:r>
      <w:proofErr w:type="spellEnd"/>
      <w:r w:rsidRPr="00432592">
        <w:rPr>
          <w:rFonts w:ascii="Arial" w:eastAsia="Aptos" w:hAnsi="Arial" w:cs="Arial"/>
          <w:lang w:val="cy-GB"/>
        </w:rPr>
        <w:t xml:space="preserve"> main </w:t>
      </w:r>
      <w:proofErr w:type="spellStart"/>
      <w:r w:rsidRPr="00432592">
        <w:rPr>
          <w:rFonts w:ascii="Arial" w:eastAsia="Aptos" w:hAnsi="Arial" w:cs="Arial"/>
          <w:lang w:val="cy-GB"/>
        </w:rPr>
        <w:t>opinions</w:t>
      </w:r>
      <w:proofErr w:type="spellEnd"/>
      <w:r w:rsidRPr="00432592">
        <w:rPr>
          <w:rFonts w:ascii="Arial" w:eastAsia="Aptos" w:hAnsi="Arial" w:cs="Arial"/>
          <w:lang w:val="cy-GB"/>
        </w:rPr>
        <w:t xml:space="preserve"> </w:t>
      </w:r>
      <w:proofErr w:type="spellStart"/>
      <w:r w:rsidRPr="00432592">
        <w:rPr>
          <w:rFonts w:ascii="Arial" w:eastAsia="Aptos" w:hAnsi="Arial" w:cs="Arial"/>
          <w:lang w:val="cy-GB"/>
        </w:rPr>
        <w:t>about</w:t>
      </w:r>
      <w:proofErr w:type="spellEnd"/>
      <w:r w:rsidRPr="00432592">
        <w:rPr>
          <w:rFonts w:ascii="Arial" w:eastAsia="Aptos" w:hAnsi="Arial" w:cs="Arial"/>
          <w:lang w:val="cy-GB"/>
        </w:rPr>
        <w:t xml:space="preserve"> </w:t>
      </w:r>
      <w:proofErr w:type="spellStart"/>
      <w:r w:rsidRPr="00432592">
        <w:rPr>
          <w:rFonts w:ascii="Arial" w:eastAsia="Aptos" w:hAnsi="Arial" w:cs="Arial"/>
          <w:lang w:val="cy-GB"/>
        </w:rPr>
        <w:t>childhood</w:t>
      </w:r>
      <w:proofErr w:type="spellEnd"/>
      <w:r w:rsidRPr="00432592">
        <w:rPr>
          <w:rFonts w:ascii="Arial" w:eastAsia="Aptos" w:hAnsi="Arial" w:cs="Arial"/>
          <w:lang w:val="cy-GB"/>
        </w:rPr>
        <w:t>?</w:t>
      </w:r>
    </w:p>
    <w:p w14:paraId="62DDE446" w14:textId="77777777" w:rsidR="00432592" w:rsidRPr="00432592" w:rsidRDefault="00432592" w:rsidP="00432592">
      <w:pPr>
        <w:rPr>
          <w:rFonts w:ascii="Arial" w:hAnsi="Arial" w:cs="Arial"/>
        </w:rPr>
      </w:pPr>
    </w:p>
    <w:p w14:paraId="758B336F" w14:textId="77777777" w:rsidR="00432592" w:rsidRPr="00C903D2" w:rsidRDefault="00432592" w:rsidP="00432592">
      <w:pPr>
        <w:rPr>
          <w:rFonts w:ascii="Arial" w:hAnsi="Arial" w:cs="Arial"/>
        </w:rPr>
      </w:pPr>
      <w:r w:rsidRPr="00432592">
        <w:rPr>
          <w:rFonts w:ascii="Arial" w:hAnsi="Arial" w:cs="Arial"/>
        </w:rPr>
        <w:t xml:space="preserve">Look for resources that critique </w:t>
      </w:r>
      <w:proofErr w:type="spellStart"/>
      <w:r w:rsidRPr="004A3BDF">
        <w:rPr>
          <w:rFonts w:ascii="Arial" w:eastAsia="Aptos" w:hAnsi="Arial" w:cs="Arial"/>
          <w:lang w:val="cy-GB"/>
        </w:rPr>
        <w:t>Ariès</w:t>
      </w:r>
      <w:proofErr w:type="spellEnd"/>
      <w:r w:rsidRPr="00432592">
        <w:rPr>
          <w:rFonts w:ascii="Arial" w:eastAsia="Aptos" w:hAnsi="Arial" w:cs="Arial"/>
          <w:lang w:val="cy-GB"/>
        </w:rPr>
        <w:t xml:space="preserve">’ </w:t>
      </w:r>
      <w:proofErr w:type="spellStart"/>
      <w:r w:rsidRPr="00432592">
        <w:rPr>
          <w:rFonts w:ascii="Arial" w:eastAsia="Aptos" w:hAnsi="Arial" w:cs="Arial"/>
          <w:lang w:val="cy-GB"/>
        </w:rPr>
        <w:t>opinion</w:t>
      </w:r>
      <w:proofErr w:type="spellEnd"/>
    </w:p>
    <w:tbl>
      <w:tblPr>
        <w:tblStyle w:val="TableGrid"/>
        <w:tblW w:w="0" w:type="auto"/>
        <w:tblLook w:val="04A0" w:firstRow="1" w:lastRow="0" w:firstColumn="1" w:lastColumn="0" w:noHBand="0" w:noVBand="1"/>
      </w:tblPr>
      <w:tblGrid>
        <w:gridCol w:w="9016"/>
      </w:tblGrid>
      <w:tr w:rsidR="00432592" w:rsidRPr="00432592" w14:paraId="74818D34" w14:textId="77777777" w:rsidTr="00394230">
        <w:tc>
          <w:tcPr>
            <w:tcW w:w="9016" w:type="dxa"/>
          </w:tcPr>
          <w:p w14:paraId="784119A3" w14:textId="77777777" w:rsidR="00432592" w:rsidRPr="00432592" w:rsidRDefault="00432592" w:rsidP="00394230">
            <w:pPr>
              <w:rPr>
                <w:rFonts w:ascii="Arial" w:hAnsi="Arial" w:cs="Arial"/>
              </w:rPr>
            </w:pPr>
          </w:p>
        </w:tc>
      </w:tr>
    </w:tbl>
    <w:p w14:paraId="29A0D976" w14:textId="77777777" w:rsidR="00850E2A" w:rsidRPr="00432592" w:rsidRDefault="00850E2A">
      <w:pPr>
        <w:rPr>
          <w:rFonts w:ascii="Arial" w:hAnsi="Arial" w:cs="Arial"/>
        </w:rPr>
      </w:pPr>
    </w:p>
    <w:sectPr w:rsidR="00850E2A" w:rsidRPr="0043259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 w:author="Jessica Pitman" w:date="2024-07-25T15:18:00Z" w:initials="JP">
    <w:p w14:paraId="349B2D2C" w14:textId="77777777" w:rsidR="00432592" w:rsidRDefault="00432592" w:rsidP="00432592">
      <w:r>
        <w:t>add about 40-1 hour work for each section. This  is to include reading and watching as well as reflection.</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49B2D2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771ACFFB" w16cex:dateUtc="2024-07-25T14: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49B2D2C" w16cid:durableId="771ACFF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essica Pitman">
    <w15:presenceInfo w15:providerId="AD" w15:userId="S::j.pitman@uwtsd.ac.uk::32810b54-0e4c-4b23-98da-f3c8604117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592"/>
    <w:rsid w:val="00210E57"/>
    <w:rsid w:val="00432592"/>
    <w:rsid w:val="007C189B"/>
    <w:rsid w:val="007D6F30"/>
    <w:rsid w:val="00850E2A"/>
    <w:rsid w:val="00B331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A2897"/>
  <w15:chartTrackingRefBased/>
  <w15:docId w15:val="{EF5AD2DC-7AED-4EE9-90D5-8B582DAE5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592"/>
    <w:pPr>
      <w:spacing w:line="279" w:lineRule="auto"/>
    </w:pPr>
    <w:rPr>
      <w:kern w:val="0"/>
      <w:lang w:eastAsia="ja-JP"/>
      <w14:ligatures w14:val="none"/>
    </w:rPr>
  </w:style>
  <w:style w:type="paragraph" w:styleId="Heading1">
    <w:name w:val="heading 1"/>
    <w:basedOn w:val="Normal"/>
    <w:next w:val="Normal"/>
    <w:link w:val="Heading1Char"/>
    <w:uiPriority w:val="9"/>
    <w:qFormat/>
    <w:rsid w:val="0043259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43259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432592"/>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32592"/>
    <w:pPr>
      <w:keepNext/>
      <w:keepLines/>
      <w:spacing w:before="80" w:after="40" w:line="278" w:lineRule="auto"/>
      <w:outlineLvl w:val="3"/>
    </w:pPr>
    <w:rPr>
      <w:rFonts w:eastAsiaTheme="majorEastAsia"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432592"/>
    <w:pPr>
      <w:keepNext/>
      <w:keepLines/>
      <w:spacing w:before="80" w:after="40" w:line="278" w:lineRule="auto"/>
      <w:outlineLvl w:val="4"/>
    </w:pPr>
    <w:rPr>
      <w:rFonts w:eastAsiaTheme="majorEastAsia"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432592"/>
    <w:pPr>
      <w:keepNext/>
      <w:keepLines/>
      <w:spacing w:before="40" w:after="0" w:line="278" w:lineRule="auto"/>
      <w:outlineLvl w:val="5"/>
    </w:pPr>
    <w:rPr>
      <w:rFonts w:eastAsiaTheme="majorEastAsia"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432592"/>
    <w:pPr>
      <w:keepNext/>
      <w:keepLines/>
      <w:spacing w:before="40" w:after="0" w:line="278" w:lineRule="auto"/>
      <w:outlineLvl w:val="6"/>
    </w:pPr>
    <w:rPr>
      <w:rFonts w:eastAsiaTheme="majorEastAsia"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432592"/>
    <w:pPr>
      <w:keepNext/>
      <w:keepLines/>
      <w:spacing w:after="0" w:line="278" w:lineRule="auto"/>
      <w:outlineLvl w:val="7"/>
    </w:pPr>
    <w:rPr>
      <w:rFonts w:eastAsiaTheme="majorEastAsia"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432592"/>
    <w:pPr>
      <w:keepNext/>
      <w:keepLines/>
      <w:spacing w:after="0" w:line="278" w:lineRule="auto"/>
      <w:outlineLvl w:val="8"/>
    </w:pPr>
    <w:rPr>
      <w:rFonts w:eastAsiaTheme="majorEastAsia"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5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25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25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5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5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5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5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5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592"/>
    <w:rPr>
      <w:rFonts w:eastAsiaTheme="majorEastAsia" w:cstheme="majorBidi"/>
      <w:color w:val="272727" w:themeColor="text1" w:themeTint="D8"/>
    </w:rPr>
  </w:style>
  <w:style w:type="paragraph" w:styleId="Title">
    <w:name w:val="Title"/>
    <w:basedOn w:val="Normal"/>
    <w:next w:val="Normal"/>
    <w:link w:val="TitleChar"/>
    <w:uiPriority w:val="10"/>
    <w:qFormat/>
    <w:rsid w:val="00432592"/>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325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592"/>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325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592"/>
    <w:pPr>
      <w:spacing w:before="160" w:line="278" w:lineRule="auto"/>
      <w:jc w:val="center"/>
    </w:pPr>
    <w:rPr>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432592"/>
    <w:rPr>
      <w:i/>
      <w:iCs/>
      <w:color w:val="404040" w:themeColor="text1" w:themeTint="BF"/>
    </w:rPr>
  </w:style>
  <w:style w:type="paragraph" w:styleId="ListParagraph">
    <w:name w:val="List Paragraph"/>
    <w:basedOn w:val="Normal"/>
    <w:uiPriority w:val="34"/>
    <w:qFormat/>
    <w:rsid w:val="00432592"/>
    <w:pPr>
      <w:spacing w:line="278" w:lineRule="auto"/>
      <w:ind w:left="720"/>
      <w:contextualSpacing/>
    </w:pPr>
    <w:rPr>
      <w:kern w:val="2"/>
      <w:lang w:eastAsia="zh-CN"/>
      <w14:ligatures w14:val="standardContextual"/>
    </w:rPr>
  </w:style>
  <w:style w:type="character" w:styleId="IntenseEmphasis">
    <w:name w:val="Intense Emphasis"/>
    <w:basedOn w:val="DefaultParagraphFont"/>
    <w:uiPriority w:val="21"/>
    <w:qFormat/>
    <w:rsid w:val="00432592"/>
    <w:rPr>
      <w:i/>
      <w:iCs/>
      <w:color w:val="0F4761" w:themeColor="accent1" w:themeShade="BF"/>
    </w:rPr>
  </w:style>
  <w:style w:type="paragraph" w:styleId="IntenseQuote">
    <w:name w:val="Intense Quote"/>
    <w:basedOn w:val="Normal"/>
    <w:next w:val="Normal"/>
    <w:link w:val="IntenseQuoteChar"/>
    <w:uiPriority w:val="30"/>
    <w:qFormat/>
    <w:rsid w:val="00432592"/>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432592"/>
    <w:rPr>
      <w:i/>
      <w:iCs/>
      <w:color w:val="0F4761" w:themeColor="accent1" w:themeShade="BF"/>
    </w:rPr>
  </w:style>
  <w:style w:type="character" w:styleId="IntenseReference">
    <w:name w:val="Intense Reference"/>
    <w:basedOn w:val="DefaultParagraphFont"/>
    <w:uiPriority w:val="32"/>
    <w:qFormat/>
    <w:rsid w:val="00432592"/>
    <w:rPr>
      <w:b/>
      <w:bCs/>
      <w:smallCaps/>
      <w:color w:val="0F4761" w:themeColor="accent1" w:themeShade="BF"/>
      <w:spacing w:val="5"/>
    </w:rPr>
  </w:style>
  <w:style w:type="character" w:styleId="Hyperlink">
    <w:name w:val="Hyperlink"/>
    <w:basedOn w:val="DefaultParagraphFont"/>
    <w:uiPriority w:val="99"/>
    <w:unhideWhenUsed/>
    <w:rsid w:val="00432592"/>
    <w:rPr>
      <w:color w:val="467886" w:themeColor="hyperlink"/>
      <w:u w:val="single"/>
    </w:rPr>
  </w:style>
  <w:style w:type="table" w:styleId="TableGrid">
    <w:name w:val="Table Grid"/>
    <w:basedOn w:val="TableNormal"/>
    <w:uiPriority w:val="59"/>
    <w:rsid w:val="00432592"/>
    <w:pPr>
      <w:spacing w:after="0" w:line="240" w:lineRule="auto"/>
    </w:pPr>
    <w:rPr>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2.jpg"/><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hyperlink" Target="https://www.youtube.com/watch?v=Bu03KUNI1Zk" TargetMode="External"/><Relationship Id="rId17" Type="http://schemas.openxmlformats.org/officeDocument/2006/relationships/theme" Target="theme/theme1.xml"/><Relationship Id="rId2" Type="http://schemas.openxmlformats.org/officeDocument/2006/relationships/settings" Target="settings.xml"/><Relationship Id="rId16" Type="http://schemas.microsoft.com/office/2011/relationships/people" Target="peop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s://discovery.ucl.ac.uk/id/eprint/10164214/1/s11217-022-09865-1.pdf" TargetMode="External"/><Relationship Id="rId5" Type="http://schemas.openxmlformats.org/officeDocument/2006/relationships/hyperlink" Target="https://open.spotify.com/show/3uKHzhCGAn1SXvE75pvLPf" TargetMode="External"/><Relationship Id="rId15" Type="http://schemas.openxmlformats.org/officeDocument/2006/relationships/fontTable" Target="fontTable.xml"/><Relationship Id="rId10" Type="http://schemas.openxmlformats.org/officeDocument/2006/relationships/hyperlink" Target="https://eur01.safelinks.protection.outlook.com/?url=https%3A%2F%2Fdoi.org%2F10.1080%2F03004279.2022.2052234&amp;data=05%7C02%7Cj.pitman%40uwtsd.ac.uk%7C1e21b64685494f3d793108dcc11bde2d%7C4e0f11f9046e45059cb8db2152311e21%7C0%7C0%7C638597572632830569%7CUnknown%7CTWFpbGZsb3d8eyJWIjoiMC4wLjAwMDAiLCJQIjoiV2luMzIiLCJBTiI6Ik1haWwiLCJXVCI6Mn0%3D%7C0%7C%7C%7C&amp;sdata=jFiS7VGMi8ED7dsB5Q5GV4CKd49rMSewHl7%2BHt%2Fobx0%3D&amp;reserved=0" TargetMode="External"/><Relationship Id="rId4" Type="http://schemas.openxmlformats.org/officeDocument/2006/relationships/image" Target="media/image1.png"/><Relationship Id="rId9" Type="http://schemas.microsoft.com/office/2018/08/relationships/commentsExtensible" Target="commentsExtensible.xml"/><Relationship Id="rId14" Type="http://schemas.openxmlformats.org/officeDocument/2006/relationships/hyperlink" Target="https://journals-sagepub-com.ezproxy.uwtsd.ac.uk/doi/full/10.1177/097318492110531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679</Words>
  <Characters>3875</Characters>
  <Application>Microsoft Office Word</Application>
  <DocSecurity>0</DocSecurity>
  <Lines>32</Lines>
  <Paragraphs>9</Paragraphs>
  <ScaleCrop>false</ScaleCrop>
  <Company>University of Wales Trinity Saint David</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1</cp:revision>
  <dcterms:created xsi:type="dcterms:W3CDTF">2024-09-27T08:22:00Z</dcterms:created>
  <dcterms:modified xsi:type="dcterms:W3CDTF">2024-09-27T08:23:00Z</dcterms:modified>
</cp:coreProperties>
</file>