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F6DD7" w14:textId="4F4C3531" w:rsidR="002A09E7" w:rsidRPr="004A38D4" w:rsidRDefault="002A09E7" w:rsidP="002A09E7">
      <w:pPr>
        <w:spacing w:before="100" w:beforeAutospacing="1" w:after="100" w:afterAutospacing="1" w:line="240" w:lineRule="auto"/>
        <w:rPr>
          <w:rFonts w:ascii="Arial" w:eastAsia="Times New Roman" w:hAnsi="Arial" w:cs="Arial"/>
          <w:sz w:val="28"/>
          <w:szCs w:val="28"/>
          <w:lang w:eastAsia="en-GB"/>
        </w:rPr>
      </w:pPr>
      <w:r w:rsidRPr="002A09E7">
        <w:rPr>
          <w:rFonts w:ascii="Arial" w:eastAsia="Times New Roman" w:hAnsi="Arial" w:cs="Arial"/>
          <w:lang w:eastAsia="en-GB"/>
        </w:rPr>
        <w:br/>
      </w:r>
      <w:r w:rsidRPr="002A09E7">
        <w:rPr>
          <w:rFonts w:ascii="Arial" w:eastAsia="Times New Roman" w:hAnsi="Arial" w:cs="Arial"/>
          <w:lang w:eastAsia="en-GB"/>
        </w:rPr>
        <w:br/>
      </w:r>
    </w:p>
    <w:p w14:paraId="6645942A" w14:textId="77777777" w:rsidR="002A09E7" w:rsidRDefault="002A09E7" w:rsidP="00917CCB">
      <w:pPr>
        <w:spacing w:after="0" w:line="360" w:lineRule="auto"/>
        <w:rPr>
          <w:rFonts w:ascii="Arial" w:eastAsia="Times New Roman" w:hAnsi="Arial" w:cs="Arial"/>
          <w:b/>
          <w:bCs/>
          <w:sz w:val="24"/>
          <w:szCs w:val="24"/>
          <w:lang w:eastAsia="en-GB"/>
        </w:rPr>
      </w:pPr>
    </w:p>
    <w:p w14:paraId="1651FEE7" w14:textId="77777777" w:rsidR="002A09E7" w:rsidRDefault="002A09E7" w:rsidP="00917CCB">
      <w:pPr>
        <w:spacing w:after="0" w:line="360" w:lineRule="auto"/>
        <w:rPr>
          <w:rFonts w:ascii="Arial" w:eastAsia="Times New Roman" w:hAnsi="Arial" w:cs="Arial"/>
          <w:b/>
          <w:bCs/>
          <w:lang w:eastAsia="en-GB"/>
        </w:rPr>
      </w:pPr>
    </w:p>
    <w:p w14:paraId="62ACB01E" w14:textId="1923626D" w:rsidR="002A09E7" w:rsidRDefault="002A09E7" w:rsidP="00917CCB">
      <w:pPr>
        <w:spacing w:after="0" w:line="360" w:lineRule="auto"/>
        <w:rPr>
          <w:rFonts w:ascii="Arial" w:eastAsia="Times New Roman" w:hAnsi="Arial" w:cs="Arial"/>
          <w:b/>
          <w:bCs/>
          <w:lang w:eastAsia="en-GB"/>
        </w:rPr>
      </w:pPr>
    </w:p>
    <w:p w14:paraId="15ED64B0" w14:textId="4912B4F1" w:rsidR="002A09E7"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STUDENT NAME:ASIA BAKARI</w:t>
      </w:r>
    </w:p>
    <w:p w14:paraId="396B10CA" w14:textId="50CFE868"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STUDENT NUMBER: 2419862</w:t>
      </w:r>
    </w:p>
    <w:p w14:paraId="34E2D2AB" w14:textId="3354A9BE"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MODULE TITLE: PRINCIPLES OF HEALTH AND SOCIAL CARE PRACTISE</w:t>
      </w:r>
    </w:p>
    <w:p w14:paraId="6B302EBA" w14:textId="7716DB4A"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MODULE CODE: BMHP5016</w:t>
      </w:r>
    </w:p>
    <w:p w14:paraId="4882D247" w14:textId="1DEEC0DF"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LECTURER NAME: TSIWANI KHUMALO</w:t>
      </w:r>
    </w:p>
    <w:p w14:paraId="5A12D5DA" w14:textId="54F66675"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ASSIGNMENT TITLE: COMPONENT 1 (REFLECTION REPORT)</w:t>
      </w:r>
    </w:p>
    <w:p w14:paraId="30001D3F" w14:textId="77777777" w:rsidR="004A38D4" w:rsidRPr="004A38D4" w:rsidRDefault="004A38D4" w:rsidP="00917CCB">
      <w:pPr>
        <w:spacing w:after="0" w:line="360" w:lineRule="auto"/>
        <w:rPr>
          <w:rFonts w:ascii="Arial" w:eastAsia="Times New Roman" w:hAnsi="Arial" w:cs="Arial"/>
          <w:b/>
          <w:bCs/>
          <w:sz w:val="28"/>
          <w:szCs w:val="28"/>
          <w:lang w:eastAsia="en-GB"/>
        </w:rPr>
      </w:pPr>
    </w:p>
    <w:p w14:paraId="4F3C7C18" w14:textId="77777777" w:rsidR="002A09E7" w:rsidRDefault="002A09E7" w:rsidP="00917CCB">
      <w:pPr>
        <w:spacing w:after="0" w:line="360" w:lineRule="auto"/>
        <w:rPr>
          <w:rFonts w:ascii="Arial" w:eastAsia="Times New Roman" w:hAnsi="Arial" w:cs="Arial"/>
          <w:b/>
          <w:bCs/>
          <w:lang w:eastAsia="en-GB"/>
        </w:rPr>
      </w:pPr>
    </w:p>
    <w:p w14:paraId="5E717B7C" w14:textId="77777777" w:rsidR="002A09E7" w:rsidRDefault="002A09E7" w:rsidP="00917CCB">
      <w:pPr>
        <w:spacing w:after="0" w:line="360" w:lineRule="auto"/>
        <w:rPr>
          <w:rFonts w:ascii="Arial" w:eastAsia="Times New Roman" w:hAnsi="Arial" w:cs="Arial"/>
          <w:b/>
          <w:bCs/>
          <w:lang w:eastAsia="en-GB"/>
        </w:rPr>
      </w:pPr>
    </w:p>
    <w:p w14:paraId="429B2AEC" w14:textId="77777777" w:rsidR="002A09E7" w:rsidRDefault="002A09E7" w:rsidP="00917CCB">
      <w:pPr>
        <w:spacing w:after="0" w:line="360" w:lineRule="auto"/>
        <w:rPr>
          <w:rFonts w:ascii="Arial" w:eastAsia="Times New Roman" w:hAnsi="Arial" w:cs="Arial"/>
          <w:b/>
          <w:bCs/>
          <w:lang w:eastAsia="en-GB"/>
        </w:rPr>
      </w:pPr>
    </w:p>
    <w:p w14:paraId="55CA88A2" w14:textId="77777777" w:rsidR="002A09E7" w:rsidRDefault="002A09E7" w:rsidP="00917CCB">
      <w:pPr>
        <w:spacing w:after="0" w:line="360" w:lineRule="auto"/>
        <w:rPr>
          <w:rFonts w:ascii="Arial" w:eastAsia="Times New Roman" w:hAnsi="Arial" w:cs="Arial"/>
          <w:b/>
          <w:bCs/>
          <w:lang w:eastAsia="en-GB"/>
        </w:rPr>
      </w:pPr>
    </w:p>
    <w:p w14:paraId="55E89414" w14:textId="77777777" w:rsidR="002A09E7" w:rsidRDefault="002A09E7" w:rsidP="00917CCB">
      <w:pPr>
        <w:spacing w:after="0" w:line="360" w:lineRule="auto"/>
        <w:rPr>
          <w:rFonts w:ascii="Arial" w:eastAsia="Times New Roman" w:hAnsi="Arial" w:cs="Arial"/>
          <w:b/>
          <w:bCs/>
          <w:lang w:eastAsia="en-GB"/>
        </w:rPr>
      </w:pPr>
    </w:p>
    <w:p w14:paraId="5685AC50" w14:textId="77777777" w:rsidR="002A09E7" w:rsidRDefault="002A09E7" w:rsidP="00917CCB">
      <w:pPr>
        <w:spacing w:after="0" w:line="360" w:lineRule="auto"/>
        <w:rPr>
          <w:rFonts w:ascii="Arial" w:eastAsia="Times New Roman" w:hAnsi="Arial" w:cs="Arial"/>
          <w:b/>
          <w:bCs/>
          <w:lang w:eastAsia="en-GB"/>
        </w:rPr>
      </w:pPr>
    </w:p>
    <w:p w14:paraId="61306C3A" w14:textId="77777777" w:rsidR="002A09E7" w:rsidRDefault="002A09E7" w:rsidP="00917CCB">
      <w:pPr>
        <w:spacing w:after="0" w:line="360" w:lineRule="auto"/>
        <w:rPr>
          <w:rFonts w:ascii="Arial" w:eastAsia="Times New Roman" w:hAnsi="Arial" w:cs="Arial"/>
          <w:b/>
          <w:bCs/>
          <w:lang w:eastAsia="en-GB"/>
        </w:rPr>
      </w:pPr>
    </w:p>
    <w:p w14:paraId="19B4CDE1" w14:textId="77777777" w:rsidR="002A09E7" w:rsidRDefault="002A09E7" w:rsidP="00917CCB">
      <w:pPr>
        <w:spacing w:after="0" w:line="360" w:lineRule="auto"/>
        <w:rPr>
          <w:rFonts w:ascii="Arial" w:eastAsia="Times New Roman" w:hAnsi="Arial" w:cs="Arial"/>
          <w:b/>
          <w:bCs/>
          <w:lang w:eastAsia="en-GB"/>
        </w:rPr>
      </w:pPr>
    </w:p>
    <w:p w14:paraId="484AFE4A" w14:textId="77777777" w:rsidR="002A09E7" w:rsidRDefault="002A09E7" w:rsidP="00917CCB">
      <w:pPr>
        <w:spacing w:after="0" w:line="360" w:lineRule="auto"/>
        <w:rPr>
          <w:rFonts w:ascii="Arial" w:eastAsia="Times New Roman" w:hAnsi="Arial" w:cs="Arial"/>
          <w:b/>
          <w:bCs/>
          <w:lang w:eastAsia="en-GB"/>
        </w:rPr>
      </w:pPr>
    </w:p>
    <w:p w14:paraId="000A36A7" w14:textId="77777777" w:rsidR="002A09E7" w:rsidRDefault="002A09E7" w:rsidP="00917CCB">
      <w:pPr>
        <w:spacing w:after="0" w:line="360" w:lineRule="auto"/>
        <w:rPr>
          <w:rFonts w:ascii="Arial" w:eastAsia="Times New Roman" w:hAnsi="Arial" w:cs="Arial"/>
          <w:b/>
          <w:bCs/>
          <w:lang w:eastAsia="en-GB"/>
        </w:rPr>
      </w:pPr>
    </w:p>
    <w:p w14:paraId="22DF4903" w14:textId="77777777" w:rsidR="002A09E7" w:rsidRDefault="002A09E7" w:rsidP="00917CCB">
      <w:pPr>
        <w:spacing w:after="0" w:line="360" w:lineRule="auto"/>
        <w:rPr>
          <w:rFonts w:ascii="Arial" w:eastAsia="Times New Roman" w:hAnsi="Arial" w:cs="Arial"/>
          <w:b/>
          <w:bCs/>
          <w:lang w:eastAsia="en-GB"/>
        </w:rPr>
      </w:pPr>
    </w:p>
    <w:p w14:paraId="6B00AF3C" w14:textId="77777777" w:rsidR="002A09E7" w:rsidRDefault="002A09E7" w:rsidP="00917CCB">
      <w:pPr>
        <w:spacing w:after="0" w:line="360" w:lineRule="auto"/>
        <w:rPr>
          <w:rFonts w:ascii="Arial" w:eastAsia="Times New Roman" w:hAnsi="Arial" w:cs="Arial"/>
          <w:b/>
          <w:bCs/>
          <w:lang w:eastAsia="en-GB"/>
        </w:rPr>
      </w:pPr>
    </w:p>
    <w:p w14:paraId="144F92A7" w14:textId="77777777" w:rsidR="002A09E7" w:rsidRDefault="002A09E7" w:rsidP="00917CCB">
      <w:pPr>
        <w:spacing w:after="0" w:line="360" w:lineRule="auto"/>
        <w:rPr>
          <w:rFonts w:ascii="Arial" w:eastAsia="Times New Roman" w:hAnsi="Arial" w:cs="Arial"/>
          <w:b/>
          <w:bCs/>
          <w:lang w:eastAsia="en-GB"/>
        </w:rPr>
      </w:pPr>
    </w:p>
    <w:p w14:paraId="4BB9BBE7" w14:textId="77777777" w:rsidR="002A09E7" w:rsidRDefault="002A09E7" w:rsidP="00917CCB">
      <w:pPr>
        <w:spacing w:after="0" w:line="360" w:lineRule="auto"/>
        <w:rPr>
          <w:rFonts w:ascii="Arial" w:eastAsia="Times New Roman" w:hAnsi="Arial" w:cs="Arial"/>
          <w:b/>
          <w:bCs/>
          <w:lang w:eastAsia="en-GB"/>
        </w:rPr>
      </w:pPr>
    </w:p>
    <w:p w14:paraId="2F6A5F57" w14:textId="77777777" w:rsidR="002A09E7" w:rsidRDefault="002A09E7" w:rsidP="00917CCB">
      <w:pPr>
        <w:spacing w:after="0" w:line="360" w:lineRule="auto"/>
        <w:rPr>
          <w:rFonts w:ascii="Arial" w:eastAsia="Times New Roman" w:hAnsi="Arial" w:cs="Arial"/>
          <w:b/>
          <w:bCs/>
          <w:lang w:eastAsia="en-GB"/>
        </w:rPr>
      </w:pPr>
    </w:p>
    <w:p w14:paraId="1ED85EF4" w14:textId="77777777" w:rsidR="002A09E7" w:rsidRDefault="002A09E7" w:rsidP="00917CCB">
      <w:pPr>
        <w:spacing w:after="0" w:line="360" w:lineRule="auto"/>
        <w:rPr>
          <w:rFonts w:ascii="Arial" w:eastAsia="Times New Roman" w:hAnsi="Arial" w:cs="Arial"/>
          <w:b/>
          <w:bCs/>
          <w:lang w:eastAsia="en-GB"/>
        </w:rPr>
      </w:pPr>
    </w:p>
    <w:p w14:paraId="6DBF8204" w14:textId="77777777" w:rsidR="002A09E7" w:rsidRDefault="002A09E7" w:rsidP="00917CCB">
      <w:pPr>
        <w:spacing w:after="0" w:line="360" w:lineRule="auto"/>
        <w:rPr>
          <w:rFonts w:ascii="Arial" w:eastAsia="Times New Roman" w:hAnsi="Arial" w:cs="Arial"/>
          <w:b/>
          <w:bCs/>
          <w:lang w:eastAsia="en-GB"/>
        </w:rPr>
      </w:pPr>
    </w:p>
    <w:p w14:paraId="66EBC950" w14:textId="77777777" w:rsidR="002A09E7" w:rsidRDefault="002A09E7" w:rsidP="00917CCB">
      <w:pPr>
        <w:spacing w:after="0" w:line="360" w:lineRule="auto"/>
        <w:rPr>
          <w:rFonts w:ascii="Arial" w:eastAsia="Times New Roman" w:hAnsi="Arial" w:cs="Arial"/>
          <w:b/>
          <w:bCs/>
          <w:lang w:eastAsia="en-GB"/>
        </w:rPr>
      </w:pPr>
    </w:p>
    <w:p w14:paraId="7E96F79F" w14:textId="77777777" w:rsidR="002A09E7" w:rsidRDefault="002A09E7" w:rsidP="00917CCB">
      <w:pPr>
        <w:spacing w:after="0" w:line="360" w:lineRule="auto"/>
        <w:rPr>
          <w:rFonts w:ascii="Arial" w:eastAsia="Times New Roman" w:hAnsi="Arial" w:cs="Arial"/>
          <w:b/>
          <w:bCs/>
          <w:lang w:eastAsia="en-GB"/>
        </w:rPr>
      </w:pPr>
    </w:p>
    <w:p w14:paraId="00A68EBE" w14:textId="77777777" w:rsidR="002A09E7" w:rsidRDefault="002A09E7" w:rsidP="00917CCB">
      <w:pPr>
        <w:spacing w:after="0" w:line="360" w:lineRule="auto"/>
        <w:rPr>
          <w:rFonts w:ascii="Arial" w:eastAsia="Times New Roman" w:hAnsi="Arial" w:cs="Arial"/>
          <w:b/>
          <w:bCs/>
          <w:lang w:eastAsia="en-GB"/>
        </w:rPr>
      </w:pPr>
    </w:p>
    <w:sdt>
      <w:sdtPr>
        <w:id w:val="2016493640"/>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3D62BC4" w14:textId="2A63BB3A" w:rsidR="004C5195" w:rsidRDefault="004C5195" w:rsidP="004C5195">
          <w:pPr>
            <w:pStyle w:val="TOCHeading"/>
          </w:pPr>
        </w:p>
        <w:p w14:paraId="4A59C263" w14:textId="782E73EE" w:rsidR="00831CEE" w:rsidRDefault="00831CEE"/>
      </w:sdtContent>
    </w:sdt>
    <w:p w14:paraId="3A5AAF61" w14:textId="77777777"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Table of Contents</w:t>
      </w:r>
    </w:p>
    <w:p w14:paraId="4406EFC9" w14:textId="77777777"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Introduction .............................................................. 1</w:t>
      </w:r>
    </w:p>
    <w:p w14:paraId="5929D0CD" w14:textId="77777777"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Task 1: Core Principles in Health and Social Care ........ 3</w:t>
      </w:r>
    </w:p>
    <w:p w14:paraId="343C400F"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2.1 Person-Centred Care ..................................... </w:t>
      </w:r>
    </w:p>
    <w:p w14:paraId="06725565"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2.2 Partnership Working ....................................... </w:t>
      </w:r>
    </w:p>
    <w:p w14:paraId="6B42C447"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2.3 Ethics in Health and Social Care ........................ 4</w:t>
      </w:r>
    </w:p>
    <w:p w14:paraId="7B70C7A8" w14:textId="77777777" w:rsidR="004C5195" w:rsidRPr="004C5195" w:rsidRDefault="004C5195" w:rsidP="004C5195">
      <w:pPr>
        <w:pStyle w:val="ListParagraph"/>
        <w:numPr>
          <w:ilvl w:val="0"/>
          <w:numId w:val="3"/>
        </w:numPr>
        <w:rPr>
          <w:rFonts w:ascii="Arial" w:hAnsi="Arial" w:cs="Arial"/>
        </w:rPr>
      </w:pPr>
    </w:p>
    <w:p w14:paraId="30A87F94" w14:textId="77777777" w:rsidR="004C5195" w:rsidRPr="004C5195" w:rsidRDefault="004C5195" w:rsidP="004C5195">
      <w:pPr>
        <w:pStyle w:val="ListParagraph"/>
        <w:numPr>
          <w:ilvl w:val="0"/>
          <w:numId w:val="3"/>
        </w:numPr>
        <w:rPr>
          <w:rFonts w:ascii="Arial" w:hAnsi="Arial" w:cs="Arial"/>
          <w:b/>
          <w:bCs/>
        </w:rPr>
      </w:pPr>
      <w:r w:rsidRPr="004C5195">
        <w:rPr>
          <w:rFonts w:ascii="Arial" w:hAnsi="Arial" w:cs="Arial"/>
        </w:rPr>
        <w:t xml:space="preserve">Task 2: </w:t>
      </w:r>
      <w:r w:rsidRPr="004C5195">
        <w:rPr>
          <w:rFonts w:ascii="Arial" w:hAnsi="Arial" w:cs="Arial"/>
          <w:b/>
          <w:bCs/>
        </w:rPr>
        <w:t xml:space="preserve">Practical Application — Joan’s Story ........... 5 </w:t>
      </w:r>
    </w:p>
    <w:p w14:paraId="4B331ADF"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3.1 Personalised Care and Patient Activation .......... </w:t>
      </w:r>
    </w:p>
    <w:p w14:paraId="029AA925"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3.2 Partnership Working in Practice ........................ </w:t>
      </w:r>
    </w:p>
    <w:p w14:paraId="0257928A"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3.3 Ethical Considerations ..................................... </w:t>
      </w:r>
    </w:p>
    <w:p w14:paraId="749D5E0C"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3.4 Outcomes and Impact ...................................... 7</w:t>
      </w:r>
    </w:p>
    <w:p w14:paraId="542DDFC0" w14:textId="77777777" w:rsidR="004C5195" w:rsidRPr="004C5195" w:rsidRDefault="004C5195" w:rsidP="004C5195">
      <w:pPr>
        <w:pStyle w:val="ListParagraph"/>
        <w:numPr>
          <w:ilvl w:val="0"/>
          <w:numId w:val="3"/>
        </w:numPr>
        <w:rPr>
          <w:rFonts w:ascii="Arial" w:hAnsi="Arial" w:cs="Arial"/>
          <w:b/>
          <w:bCs/>
        </w:rPr>
      </w:pPr>
    </w:p>
    <w:p w14:paraId="7EEDA296" w14:textId="77777777"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 xml:space="preserve">Task 3: Professional Self-Reflection (Gibbs’ Reflective Cycle) 8 </w:t>
      </w:r>
    </w:p>
    <w:p w14:paraId="7D834C86"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4.1 Description .................................................. 8 </w:t>
      </w:r>
    </w:p>
    <w:p w14:paraId="311BB095"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4.2 Feelings ...................................................... 8 </w:t>
      </w:r>
    </w:p>
    <w:p w14:paraId="0E52205E"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4.3 Evaluation .................................................. 9 </w:t>
      </w:r>
    </w:p>
    <w:p w14:paraId="7FB080A0"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4.4 Analysis ..................................................... 9 </w:t>
      </w:r>
    </w:p>
    <w:p w14:paraId="31436918"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 xml:space="preserve">4.5 Conclusion .................................................. 9 </w:t>
      </w:r>
    </w:p>
    <w:p w14:paraId="02239803"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4.6 Action Plan .................................................10</w:t>
      </w:r>
    </w:p>
    <w:p w14:paraId="2A8B59D9"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5. Conclusion .........................................................11</w:t>
      </w:r>
    </w:p>
    <w:p w14:paraId="3F029A7F" w14:textId="77777777" w:rsidR="004C5195" w:rsidRPr="004C5195" w:rsidRDefault="004C5195" w:rsidP="004C5195">
      <w:pPr>
        <w:pStyle w:val="ListParagraph"/>
        <w:numPr>
          <w:ilvl w:val="0"/>
          <w:numId w:val="3"/>
        </w:numPr>
        <w:rPr>
          <w:rFonts w:ascii="Arial" w:hAnsi="Arial" w:cs="Arial"/>
        </w:rPr>
      </w:pPr>
      <w:r w:rsidRPr="004C5195">
        <w:rPr>
          <w:rFonts w:ascii="Arial" w:hAnsi="Arial" w:cs="Arial"/>
        </w:rPr>
        <w:t>6. Reference List ....................................................12</w:t>
      </w:r>
    </w:p>
    <w:p w14:paraId="6851010B" w14:textId="3DE6CC87" w:rsidR="00E24094" w:rsidRPr="00E24094" w:rsidRDefault="00917CCB" w:rsidP="004C5195">
      <w:pPr>
        <w:numPr>
          <w:ilvl w:val="0"/>
          <w:numId w:val="3"/>
        </w:numPr>
        <w:spacing w:after="0" w:line="360" w:lineRule="auto"/>
        <w:rPr>
          <w:rFonts w:ascii="Times New Roman" w:eastAsia="Times New Roman" w:hAnsi="Times New Roman" w:cs="Times New Roman"/>
          <w:sz w:val="24"/>
          <w:szCs w:val="24"/>
          <w:lang w:eastAsia="en-GB"/>
        </w:rPr>
      </w:pPr>
      <w:r w:rsidRPr="00917CCB">
        <w:rPr>
          <w:rFonts w:ascii="Arial" w:eastAsia="Times New Roman" w:hAnsi="Arial" w:cs="Arial"/>
          <w:lang w:eastAsia="en-GB"/>
        </w:rPr>
        <w:br/>
      </w:r>
    </w:p>
    <w:p w14:paraId="71738022" w14:textId="2F062BF8" w:rsidR="00917CCB" w:rsidRPr="00917CCB" w:rsidRDefault="00917CCB" w:rsidP="00E24094">
      <w:pPr>
        <w:spacing w:after="0" w:line="360" w:lineRule="auto"/>
        <w:ind w:left="720"/>
        <w:rPr>
          <w:rFonts w:ascii="Times New Roman" w:eastAsia="Times New Roman" w:hAnsi="Times New Roman" w:cs="Times New Roman"/>
          <w:sz w:val="24"/>
          <w:szCs w:val="24"/>
          <w:lang w:eastAsia="en-GB"/>
        </w:rPr>
      </w:pPr>
      <w:r w:rsidRPr="00917CCB">
        <w:rPr>
          <w:rFonts w:ascii="Arial" w:eastAsia="Times New Roman" w:hAnsi="Arial" w:cs="Arial"/>
          <w:lang w:eastAsia="en-GB"/>
        </w:rPr>
        <w:br/>
      </w:r>
    </w:p>
    <w:p w14:paraId="77C804AD" w14:textId="38BB403A" w:rsidR="00917CCB" w:rsidRPr="00711892" w:rsidRDefault="00917CCB" w:rsidP="00711892">
      <w:pPr>
        <w:spacing w:after="0" w:line="360" w:lineRule="auto"/>
        <w:ind w:left="720"/>
        <w:rPr>
          <w:rFonts w:ascii="Arial" w:eastAsia="Times New Roman" w:hAnsi="Arial" w:cs="Arial"/>
          <w:lang w:eastAsia="en-GB"/>
        </w:rPr>
      </w:pPr>
    </w:p>
    <w:p w14:paraId="4F684879" w14:textId="77777777" w:rsidR="00917CCB" w:rsidRDefault="00917CCB" w:rsidP="00336AC2">
      <w:pPr>
        <w:spacing w:after="0" w:line="240" w:lineRule="auto"/>
        <w:rPr>
          <w:rFonts w:ascii="Arial" w:eastAsia="Times New Roman" w:hAnsi="Arial" w:cs="Arial"/>
          <w:b/>
          <w:bCs/>
          <w:sz w:val="24"/>
          <w:szCs w:val="24"/>
          <w:lang w:eastAsia="en-GB"/>
        </w:rPr>
      </w:pPr>
    </w:p>
    <w:p w14:paraId="6EB12BE3" w14:textId="77777777" w:rsidR="00917CCB" w:rsidRDefault="00917CCB" w:rsidP="00336AC2">
      <w:pPr>
        <w:spacing w:after="0" w:line="240" w:lineRule="auto"/>
        <w:rPr>
          <w:rFonts w:ascii="Arial" w:eastAsia="Times New Roman" w:hAnsi="Arial" w:cs="Arial"/>
          <w:b/>
          <w:bCs/>
          <w:sz w:val="24"/>
          <w:szCs w:val="24"/>
          <w:lang w:eastAsia="en-GB"/>
        </w:rPr>
      </w:pPr>
    </w:p>
    <w:p w14:paraId="1DED8CD1" w14:textId="77777777" w:rsidR="00C07634" w:rsidRDefault="00C07634" w:rsidP="00336AC2">
      <w:pPr>
        <w:spacing w:after="0" w:line="360" w:lineRule="auto"/>
        <w:jc w:val="both"/>
        <w:rPr>
          <w:rFonts w:ascii="Arial" w:eastAsia="Times New Roman" w:hAnsi="Arial" w:cs="Arial"/>
          <w:b/>
          <w:lang w:eastAsia="en-GB"/>
        </w:rPr>
      </w:pPr>
    </w:p>
    <w:p w14:paraId="3D3FF063" w14:textId="77777777" w:rsidR="00C07634" w:rsidRDefault="00C07634" w:rsidP="00336AC2">
      <w:pPr>
        <w:spacing w:after="0" w:line="360" w:lineRule="auto"/>
        <w:jc w:val="both"/>
        <w:rPr>
          <w:rFonts w:ascii="Arial" w:eastAsia="Times New Roman" w:hAnsi="Arial" w:cs="Arial"/>
          <w:b/>
          <w:lang w:eastAsia="en-GB"/>
        </w:rPr>
      </w:pPr>
    </w:p>
    <w:p w14:paraId="58F5E439" w14:textId="77777777" w:rsidR="00C07634" w:rsidRDefault="00C07634" w:rsidP="00336AC2">
      <w:pPr>
        <w:spacing w:after="0" w:line="360" w:lineRule="auto"/>
        <w:jc w:val="both"/>
        <w:rPr>
          <w:rFonts w:ascii="Arial" w:eastAsia="Times New Roman" w:hAnsi="Arial" w:cs="Arial"/>
          <w:b/>
          <w:lang w:eastAsia="en-GB"/>
        </w:rPr>
      </w:pPr>
    </w:p>
    <w:p w14:paraId="6C414BE0" w14:textId="77777777" w:rsidR="00C07634" w:rsidRDefault="00C07634" w:rsidP="00336AC2">
      <w:pPr>
        <w:spacing w:after="0" w:line="360" w:lineRule="auto"/>
        <w:jc w:val="both"/>
        <w:rPr>
          <w:rFonts w:ascii="Arial" w:eastAsia="Times New Roman" w:hAnsi="Arial" w:cs="Arial"/>
          <w:b/>
          <w:lang w:eastAsia="en-GB"/>
        </w:rPr>
      </w:pPr>
    </w:p>
    <w:p w14:paraId="1FD6EED0" w14:textId="77777777" w:rsidR="002A09E7" w:rsidRDefault="002A09E7" w:rsidP="00336AC2">
      <w:pPr>
        <w:spacing w:after="0" w:line="360" w:lineRule="auto"/>
        <w:jc w:val="both"/>
        <w:rPr>
          <w:rFonts w:ascii="Arial" w:eastAsia="Times New Roman" w:hAnsi="Arial" w:cs="Arial"/>
          <w:b/>
          <w:lang w:eastAsia="en-GB"/>
        </w:rPr>
      </w:pPr>
    </w:p>
    <w:p w14:paraId="13945BDC" w14:textId="77777777" w:rsidR="00336AC2" w:rsidRPr="00B15303" w:rsidRDefault="006A5EC2" w:rsidP="00352706">
      <w:pPr>
        <w:pStyle w:val="Heading1"/>
        <w:rPr>
          <w:rFonts w:ascii="Arial" w:eastAsia="Times New Roman" w:hAnsi="Arial" w:cs="Arial"/>
          <w:b/>
          <w:bCs/>
          <w:color w:val="000000" w:themeColor="text1"/>
          <w:sz w:val="28"/>
          <w:szCs w:val="28"/>
          <w:lang w:eastAsia="en-GB"/>
        </w:rPr>
      </w:pPr>
      <w:r w:rsidRPr="00B15303">
        <w:rPr>
          <w:rFonts w:ascii="Arial" w:eastAsia="Times New Roman" w:hAnsi="Arial" w:cs="Arial"/>
          <w:b/>
          <w:bCs/>
          <w:color w:val="000000" w:themeColor="text1"/>
          <w:sz w:val="28"/>
          <w:szCs w:val="28"/>
          <w:lang w:eastAsia="en-GB"/>
        </w:rPr>
        <w:t>Introduction</w:t>
      </w:r>
    </w:p>
    <w:p w14:paraId="0B6A356B" w14:textId="77777777" w:rsidR="00B15303" w:rsidRPr="00B15303" w:rsidRDefault="00B15303" w:rsidP="00B15303">
      <w:pPr>
        <w:rPr>
          <w:lang w:eastAsia="en-GB"/>
        </w:rPr>
      </w:pPr>
    </w:p>
    <w:p w14:paraId="3D94C689" w14:textId="77777777" w:rsidR="00336AC2" w:rsidRDefault="00336AC2" w:rsidP="00336AC2">
      <w:pPr>
        <w:spacing w:after="0" w:line="360" w:lineRule="auto"/>
        <w:jc w:val="both"/>
        <w:rPr>
          <w:rFonts w:ascii="Arial" w:eastAsia="Times New Roman" w:hAnsi="Arial" w:cs="Arial"/>
          <w:lang w:eastAsia="en-GB"/>
        </w:rPr>
      </w:pPr>
      <w:r w:rsidRPr="00336AC2">
        <w:rPr>
          <w:rFonts w:ascii="Arial" w:eastAsia="Times New Roman" w:hAnsi="Arial" w:cs="Arial"/>
          <w:lang w:eastAsia="en-GB"/>
        </w:rPr>
        <w:t>Health and social care practice in the United Kingdom is guided by legislation, ethical frameworks, and professional standards designed to safeguard dignity, promote wellbeing, and ensure high-quality service delivery (Care Act 2014; Health and Care Act 2022). Central to contemporary policy are the principles of person-</w:t>
      </w:r>
      <w:proofErr w:type="spellStart"/>
      <w:r w:rsidRPr="00336AC2">
        <w:rPr>
          <w:rFonts w:ascii="Arial" w:eastAsia="Times New Roman" w:hAnsi="Arial" w:cs="Arial"/>
          <w:lang w:eastAsia="en-GB"/>
        </w:rPr>
        <w:t>centered</w:t>
      </w:r>
      <w:proofErr w:type="spellEnd"/>
      <w:r w:rsidRPr="00336AC2">
        <w:rPr>
          <w:rFonts w:ascii="Arial" w:eastAsia="Times New Roman" w:hAnsi="Arial" w:cs="Arial"/>
          <w:lang w:eastAsia="en-GB"/>
        </w:rPr>
        <w:t xml:space="preserve"> care, partnership working, and </w:t>
      </w:r>
      <w:r w:rsidRPr="00336AC2">
        <w:rPr>
          <w:rFonts w:ascii="Arial" w:eastAsia="Times New Roman" w:hAnsi="Arial" w:cs="Arial"/>
          <w:lang w:eastAsia="en-GB"/>
        </w:rPr>
        <w:lastRenderedPageBreak/>
        <w:t>ethical decision-making. These principles are particularly relevant in the management of long-term conditions, where sustained engagement, self-management, and collaborative care significantly influence outcomes (NHS England, 2023). </w:t>
      </w:r>
    </w:p>
    <w:p w14:paraId="1D6C4FBA" w14:textId="77777777" w:rsidR="001F576C" w:rsidRPr="00336AC2" w:rsidRDefault="001F576C" w:rsidP="00336AC2">
      <w:pPr>
        <w:spacing w:after="0" w:line="360" w:lineRule="auto"/>
        <w:jc w:val="both"/>
        <w:rPr>
          <w:rFonts w:ascii="Arial" w:eastAsia="Times New Roman" w:hAnsi="Arial" w:cs="Arial"/>
          <w:lang w:eastAsia="en-GB"/>
        </w:rPr>
      </w:pPr>
    </w:p>
    <w:p w14:paraId="0F9157C7" w14:textId="77777777" w:rsidR="00336AC2" w:rsidRDefault="00336AC2" w:rsidP="00336AC2">
      <w:pPr>
        <w:spacing w:after="0" w:line="360" w:lineRule="auto"/>
        <w:jc w:val="both"/>
        <w:rPr>
          <w:rFonts w:ascii="Arial" w:eastAsia="Times New Roman" w:hAnsi="Arial" w:cs="Arial"/>
          <w:lang w:eastAsia="en-GB"/>
        </w:rPr>
      </w:pPr>
      <w:r w:rsidRPr="00336AC2">
        <w:rPr>
          <w:rFonts w:ascii="Arial" w:eastAsia="Times New Roman" w:hAnsi="Arial" w:cs="Arial"/>
          <w:lang w:eastAsia="en-GB"/>
        </w:rPr>
        <w:t>This report critically reflects on these principles using Joan’s story, a published case study from NHS England (2023). Joan lives with Chronic Obstructive Pulmonary Disease (COPD) and Crohn’s disease. Despite clinical support, she experienced repeated hospital admissions due to low confidence and limited engagement with pulmonary rehabilitation. Through personalised care planning, the use of the Patient Activation Measure (PAM®), and multidisciplinary collaboration, her health outcomes improved significantly. This report evaluates the theoretical, legislative, and ethical foundations underpinning this transformation and concludes with professional reflection.  </w:t>
      </w:r>
    </w:p>
    <w:p w14:paraId="01CCB716" w14:textId="77777777" w:rsidR="001F576C" w:rsidRPr="00336AC2" w:rsidRDefault="001F576C" w:rsidP="00336AC2">
      <w:pPr>
        <w:spacing w:after="0" w:line="360" w:lineRule="auto"/>
        <w:jc w:val="both"/>
        <w:rPr>
          <w:rFonts w:ascii="Arial" w:eastAsia="Times New Roman" w:hAnsi="Arial" w:cs="Arial"/>
          <w:lang w:eastAsia="en-GB"/>
        </w:rPr>
      </w:pPr>
    </w:p>
    <w:p w14:paraId="55E1373F" w14:textId="77777777" w:rsidR="00CD14B2" w:rsidRDefault="00CD14B2" w:rsidP="00352706">
      <w:pPr>
        <w:pStyle w:val="Heading1"/>
        <w:rPr>
          <w:rFonts w:ascii="Arial" w:eastAsia="Times New Roman" w:hAnsi="Arial" w:cs="Arial"/>
          <w:b/>
          <w:bCs/>
          <w:color w:val="000000" w:themeColor="text1"/>
          <w:sz w:val="28"/>
          <w:szCs w:val="28"/>
          <w:lang w:eastAsia="en-GB"/>
        </w:rPr>
      </w:pPr>
      <w:bookmarkStart w:id="0" w:name="_Toc223261956"/>
      <w:r w:rsidRPr="00B15303">
        <w:rPr>
          <w:rFonts w:ascii="Arial" w:eastAsia="Times New Roman" w:hAnsi="Arial" w:cs="Arial"/>
          <w:b/>
          <w:bCs/>
          <w:color w:val="000000" w:themeColor="text1"/>
          <w:sz w:val="28"/>
          <w:szCs w:val="28"/>
          <w:lang w:eastAsia="en-GB"/>
        </w:rPr>
        <w:t>Task 1: Reflection on Core Principles</w:t>
      </w:r>
      <w:bookmarkEnd w:id="0"/>
    </w:p>
    <w:p w14:paraId="633DBAAF" w14:textId="77777777" w:rsidR="001F576C" w:rsidRPr="001F576C" w:rsidRDefault="001F576C" w:rsidP="001F576C">
      <w:pPr>
        <w:rPr>
          <w:lang w:eastAsia="en-GB"/>
        </w:rPr>
      </w:pPr>
    </w:p>
    <w:p w14:paraId="3C115071" w14:textId="77777777" w:rsidR="00CD14B2" w:rsidRPr="00B15303" w:rsidRDefault="00CD14B2" w:rsidP="00352706">
      <w:pPr>
        <w:pStyle w:val="Heading2"/>
        <w:rPr>
          <w:rFonts w:ascii="Arial" w:eastAsia="Times New Roman" w:hAnsi="Arial" w:cs="Arial"/>
          <w:b/>
          <w:bCs/>
          <w:color w:val="000000" w:themeColor="text1"/>
          <w:lang w:eastAsia="en-GB"/>
        </w:rPr>
      </w:pPr>
      <w:r w:rsidRPr="00B15303">
        <w:rPr>
          <w:rFonts w:ascii="Arial" w:eastAsia="Times New Roman" w:hAnsi="Arial" w:cs="Arial"/>
          <w:b/>
          <w:bCs/>
          <w:color w:val="000000" w:themeColor="text1"/>
          <w:lang w:eastAsia="en-GB"/>
        </w:rPr>
        <w:t xml:space="preserve">Person-centred care </w:t>
      </w:r>
    </w:p>
    <w:p w14:paraId="0AFD6D42" w14:textId="77777777" w:rsid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Person</w:t>
      </w:r>
      <w:r w:rsidRPr="00CD14B2">
        <w:rPr>
          <w:rFonts w:ascii="Arial" w:eastAsia="Times New Roman" w:hAnsi="Arial" w:cs="Arial"/>
          <w:lang w:eastAsia="en-GB"/>
        </w:rPr>
        <w:noBreakHyphen/>
        <w:t xml:space="preserve">centred care is a core principle in UK health and social care, emphasising that individuals should be recognised as unique rather than defined by their diagnoses. It involves tailoring support to a person’s history, preferences, abilities, and values, promoting dignity, autonomy, and meaningful engagement (Rogers, 1951; NHS England, 2023). </w:t>
      </w:r>
    </w:p>
    <w:p w14:paraId="473B752A" w14:textId="77777777" w:rsidR="001F576C" w:rsidRDefault="001F576C" w:rsidP="00CD14B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Person centred care</w:t>
      </w:r>
      <w:r w:rsidR="00CD14B2" w:rsidRPr="00CD14B2">
        <w:rPr>
          <w:rFonts w:ascii="Arial" w:eastAsia="Times New Roman" w:hAnsi="Arial" w:cs="Arial"/>
          <w:lang w:eastAsia="en-GB"/>
        </w:rPr>
        <w:t xml:space="preserve"> ensures care is holistic rather than task</w:t>
      </w:r>
      <w:r w:rsidR="00CD14B2" w:rsidRPr="00CD14B2">
        <w:rPr>
          <w:rFonts w:ascii="Arial" w:eastAsia="Times New Roman" w:hAnsi="Arial" w:cs="Arial"/>
          <w:lang w:eastAsia="en-GB"/>
        </w:rPr>
        <w:noBreakHyphen/>
        <w:t>driven, addressing physical, emotional, and psychosocial needs. However, professionals often face challenges when applying person</w:t>
      </w:r>
      <w:r w:rsidR="00CD14B2" w:rsidRPr="00CD14B2">
        <w:rPr>
          <w:rFonts w:ascii="Arial" w:eastAsia="Times New Roman" w:hAnsi="Arial" w:cs="Arial"/>
          <w:lang w:eastAsia="en-GB"/>
        </w:rPr>
        <w:noBreakHyphen/>
        <w:t xml:space="preserve">centred care, including time pressures, high caseloads, limited staffing, and organisational routines that prioritise efficiency over individualisation. </w:t>
      </w:r>
    </w:p>
    <w:p w14:paraId="2829CC19" w14:textId="77777777" w:rsid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 xml:space="preserve">Communication barriers, fluctuating capacity, and conflicting family expectations can also make it difficult to fully involve individuals in decisions. Maslow’s Hierarchy of Needs (1943) reinforces </w:t>
      </w:r>
      <w:r w:rsidR="001F576C">
        <w:rPr>
          <w:rFonts w:ascii="Arial" w:eastAsia="Times New Roman" w:hAnsi="Arial" w:cs="Arial"/>
          <w:lang w:eastAsia="en-GB"/>
        </w:rPr>
        <w:t xml:space="preserve">person centred care </w:t>
      </w:r>
      <w:r w:rsidRPr="00CD14B2">
        <w:rPr>
          <w:rFonts w:ascii="Arial" w:eastAsia="Times New Roman" w:hAnsi="Arial" w:cs="Arial"/>
          <w:lang w:eastAsia="en-GB"/>
        </w:rPr>
        <w:t>holistic approach by highlighting that unmet physiological needs must be addressed before higher</w:t>
      </w:r>
      <w:r w:rsidRPr="00CD14B2">
        <w:rPr>
          <w:rFonts w:ascii="Arial" w:eastAsia="Times New Roman" w:hAnsi="Arial" w:cs="Arial"/>
          <w:lang w:eastAsia="en-GB"/>
        </w:rPr>
        <w:noBreakHyphen/>
        <w:t>level goals such as motivation and self</w:t>
      </w:r>
      <w:r w:rsidRPr="00CD14B2">
        <w:rPr>
          <w:rFonts w:ascii="Arial" w:eastAsia="Times New Roman" w:hAnsi="Arial" w:cs="Arial"/>
          <w:lang w:eastAsia="en-GB"/>
        </w:rPr>
        <w:noBreakHyphen/>
        <w:t xml:space="preserve">efficacy can be achieved. </w:t>
      </w:r>
    </w:p>
    <w:p w14:paraId="00F9C448" w14:textId="66879B25" w:rsidR="00C07634" w:rsidRP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Legislative frameworks, including the Care Act 2014 and the Mental Capacity Act 2005, further embed person</w:t>
      </w:r>
      <w:r w:rsidRPr="00CD14B2">
        <w:rPr>
          <w:rFonts w:ascii="Arial" w:eastAsia="Times New Roman" w:hAnsi="Arial" w:cs="Arial"/>
          <w:lang w:eastAsia="en-GB"/>
        </w:rPr>
        <w:noBreakHyphen/>
        <w:t>centred principles by requiring involvement in decision</w:t>
      </w:r>
      <w:r w:rsidRPr="00CD14B2">
        <w:rPr>
          <w:rFonts w:ascii="Arial" w:eastAsia="Times New Roman" w:hAnsi="Arial" w:cs="Arial"/>
          <w:lang w:eastAsia="en-GB"/>
        </w:rPr>
        <w:noBreakHyphen/>
        <w:t>making and prioritising wellbeing.</w:t>
      </w:r>
    </w:p>
    <w:p w14:paraId="08EBB53B" w14:textId="77777777" w:rsidR="00CD14B2" w:rsidRPr="00C07634" w:rsidRDefault="00CD14B2" w:rsidP="00CD14B2">
      <w:pPr>
        <w:spacing w:before="100" w:beforeAutospacing="1" w:after="100" w:afterAutospacing="1" w:line="360" w:lineRule="auto"/>
        <w:jc w:val="both"/>
        <w:rPr>
          <w:rFonts w:ascii="Arial" w:eastAsia="Times New Roman" w:hAnsi="Arial" w:cs="Arial"/>
          <w:b/>
          <w:lang w:eastAsia="en-GB"/>
        </w:rPr>
      </w:pPr>
      <w:r w:rsidRPr="00C07634">
        <w:rPr>
          <w:rFonts w:ascii="Arial" w:eastAsia="Times New Roman" w:hAnsi="Arial" w:cs="Arial"/>
          <w:b/>
          <w:lang w:eastAsia="en-GB"/>
        </w:rPr>
        <w:lastRenderedPageBreak/>
        <w:t xml:space="preserve">Partnership working </w:t>
      </w:r>
    </w:p>
    <w:p w14:paraId="70698BC8" w14:textId="77777777" w:rsid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Partnership working involves coordinated collaboration between professionals, patients, and families to deliver seamless care (Glasby and Dickinson, 2014). It is important because it improves continuity, reduces duplication, enhances safety, and ensures that individuals receive consistent, joined</w:t>
      </w:r>
      <w:r w:rsidRPr="00CD14B2">
        <w:rPr>
          <w:rFonts w:ascii="Arial" w:eastAsia="Times New Roman" w:hAnsi="Arial" w:cs="Arial"/>
          <w:lang w:eastAsia="en-GB"/>
        </w:rPr>
        <w:noBreakHyphen/>
        <w:t>up support across services (SCIE, 2022; WHO, 2016). The World Health Organization (2016) emphasises that people</w:t>
      </w:r>
      <w:r w:rsidRPr="00CD14B2">
        <w:rPr>
          <w:rFonts w:ascii="Arial" w:eastAsia="Times New Roman" w:hAnsi="Arial" w:cs="Arial"/>
          <w:lang w:eastAsia="en-GB"/>
        </w:rPr>
        <w:noBreakHyphen/>
        <w:t xml:space="preserve">centred integrated services strengthen communication, continuity, and empowerment. </w:t>
      </w:r>
    </w:p>
    <w:p w14:paraId="55945F51" w14:textId="7B57BFE4" w:rsidR="006A5EC2" w:rsidRPr="00C07634"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However, challenges such as unclear roles, organisational silos, and limited information sharing can hinder effective collaboration, as highlighted by Cameron et al. (2014), who note that poor inter</w:t>
      </w:r>
      <w:r w:rsidRPr="00CD14B2">
        <w:rPr>
          <w:rFonts w:ascii="Arial" w:eastAsia="Times New Roman" w:hAnsi="Arial" w:cs="Arial"/>
          <w:lang w:eastAsia="en-GB"/>
        </w:rPr>
        <w:noBreakHyphen/>
        <w:t>agency communication is a common barrier. Legislation such as the Health and Social Care Act 2012 supports partnership working by requiring agencies to collaborate, share information appropriately, and coordinate care to improve outcomes.</w:t>
      </w:r>
    </w:p>
    <w:p w14:paraId="38198553" w14:textId="77777777" w:rsidR="00CD14B2" w:rsidRPr="00C07634" w:rsidRDefault="00CD14B2" w:rsidP="00CD14B2">
      <w:pPr>
        <w:spacing w:before="100" w:beforeAutospacing="1" w:after="100" w:afterAutospacing="1" w:line="360" w:lineRule="auto"/>
        <w:jc w:val="both"/>
        <w:rPr>
          <w:rFonts w:ascii="Arial" w:eastAsia="Times New Roman" w:hAnsi="Arial" w:cs="Arial"/>
          <w:b/>
          <w:lang w:eastAsia="en-GB"/>
        </w:rPr>
      </w:pPr>
      <w:r w:rsidRPr="00C07634">
        <w:rPr>
          <w:rFonts w:ascii="Arial" w:eastAsia="Times New Roman" w:hAnsi="Arial" w:cs="Arial"/>
          <w:b/>
          <w:lang w:eastAsia="en-GB"/>
        </w:rPr>
        <w:t xml:space="preserve">Ethics in health and social care </w:t>
      </w:r>
    </w:p>
    <w:p w14:paraId="3A4B7062" w14:textId="77777777" w:rsid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Ethics in health and social care refers to the moral principles and professional values that guide decision</w:t>
      </w:r>
      <w:r w:rsidRPr="00CD14B2">
        <w:rPr>
          <w:rFonts w:ascii="Arial" w:eastAsia="Times New Roman" w:hAnsi="Arial" w:cs="Arial"/>
          <w:lang w:eastAsia="en-GB"/>
        </w:rPr>
        <w:noBreakHyphen/>
        <w:t>making and behaviour, ensuring that practice is safe, fair, and respectful (Beauchamp and Childress, 2019). Ethical practice is guided by autonomy, beneficence, non</w:t>
      </w:r>
      <w:r w:rsidRPr="00CD14B2">
        <w:rPr>
          <w:rFonts w:ascii="Arial" w:eastAsia="Times New Roman" w:hAnsi="Arial" w:cs="Arial"/>
          <w:lang w:eastAsia="en-GB"/>
        </w:rPr>
        <w:noBreakHyphen/>
        <w:t xml:space="preserve">maleficence, and justice. It is important because it protects individuals’ rights, promotes trust, ensures accountability, and supports safe, compassionate care, particularly when people are vulnerable or have fluctuating capacity. </w:t>
      </w:r>
    </w:p>
    <w:p w14:paraId="0E5FF842" w14:textId="77777777" w:rsid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 xml:space="preserve">An ethical dilemma occurs when a practitioner faces two or more conflicting moral obligations, making it difficult to decide which course of action is most appropriate (Banks, 2020). Balancing informed choice with safeguarding responsibilities is complex, particularly when confidence or capacity fluctuates. </w:t>
      </w:r>
    </w:p>
    <w:p w14:paraId="461C89AF" w14:textId="7B23256E"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The Human Rights Act 1998 protects dignity and private life, while the Nursing and Midwifery Council (2018) Code requires practitioners to prioritise people and preserve safety. These principles collectively underpin high</w:t>
      </w:r>
      <w:r w:rsidRPr="00CD14B2">
        <w:rPr>
          <w:rFonts w:ascii="Arial" w:eastAsia="Times New Roman" w:hAnsi="Arial" w:cs="Arial"/>
          <w:lang w:eastAsia="en-GB"/>
        </w:rPr>
        <w:noBreakHyphen/>
        <w:t>quality, person</w:t>
      </w:r>
      <w:r w:rsidRPr="00CD14B2">
        <w:rPr>
          <w:rFonts w:ascii="Arial" w:eastAsia="Times New Roman" w:hAnsi="Arial" w:cs="Arial"/>
          <w:lang w:eastAsia="en-GB"/>
        </w:rPr>
        <w:noBreakHyphen/>
        <w:t>centred practice.</w:t>
      </w:r>
    </w:p>
    <w:p w14:paraId="4FDAD1D2" w14:textId="77777777" w:rsidR="00CD14B2" w:rsidRPr="00B15303" w:rsidRDefault="00CD14B2" w:rsidP="00352706">
      <w:pPr>
        <w:pStyle w:val="Heading2"/>
        <w:rPr>
          <w:rFonts w:ascii="Arial" w:eastAsia="Times New Roman" w:hAnsi="Arial" w:cs="Arial"/>
          <w:b/>
          <w:bCs/>
          <w:color w:val="000000" w:themeColor="text1"/>
          <w:sz w:val="28"/>
          <w:szCs w:val="28"/>
          <w:lang w:eastAsia="en-GB"/>
        </w:rPr>
      </w:pPr>
      <w:bookmarkStart w:id="1" w:name="_Toc223261957"/>
      <w:r w:rsidRPr="00B15303">
        <w:rPr>
          <w:rFonts w:ascii="Arial" w:eastAsia="Times New Roman" w:hAnsi="Arial" w:cs="Arial"/>
          <w:b/>
          <w:bCs/>
          <w:color w:val="000000" w:themeColor="text1"/>
          <w:sz w:val="28"/>
          <w:szCs w:val="28"/>
          <w:lang w:eastAsia="en-GB"/>
        </w:rPr>
        <w:t>Task 2: Practical Application — Joan’s Story</w:t>
      </w:r>
      <w:bookmarkEnd w:id="1"/>
    </w:p>
    <w:p w14:paraId="18B03790" w14:textId="764BDC89"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 xml:space="preserve">Joan’s case demonstrates how </w:t>
      </w:r>
      <w:r w:rsidR="001F576C" w:rsidRPr="00CD14B2">
        <w:rPr>
          <w:rFonts w:ascii="Arial" w:eastAsia="Times New Roman" w:hAnsi="Arial" w:cs="Arial"/>
          <w:lang w:eastAsia="en-GB"/>
        </w:rPr>
        <w:t>this core</w:t>
      </w:r>
      <w:r w:rsidRPr="00CD14B2">
        <w:rPr>
          <w:rFonts w:ascii="Arial" w:eastAsia="Times New Roman" w:hAnsi="Arial" w:cs="Arial"/>
          <w:lang w:eastAsia="en-GB"/>
        </w:rPr>
        <w:t xml:space="preserve"> principles translate into meaningful, real</w:t>
      </w:r>
      <w:r w:rsidRPr="00CD14B2">
        <w:rPr>
          <w:rFonts w:ascii="Arial" w:eastAsia="Times New Roman" w:hAnsi="Arial" w:cs="Arial"/>
          <w:lang w:eastAsia="en-GB"/>
        </w:rPr>
        <w:noBreakHyphen/>
        <w:t>world change when applied consistently. Her repeated hospital admissions indicated difficulties with self</w:t>
      </w:r>
      <w:r w:rsidRPr="00CD14B2">
        <w:rPr>
          <w:rFonts w:ascii="Arial" w:eastAsia="Times New Roman" w:hAnsi="Arial" w:cs="Arial"/>
          <w:lang w:eastAsia="en-GB"/>
        </w:rPr>
        <w:noBreakHyphen/>
        <w:t>management, suggesting that traditional, task</w:t>
      </w:r>
      <w:r w:rsidRPr="00CD14B2">
        <w:rPr>
          <w:rFonts w:ascii="Arial" w:eastAsia="Times New Roman" w:hAnsi="Arial" w:cs="Arial"/>
          <w:lang w:eastAsia="en-GB"/>
        </w:rPr>
        <w:noBreakHyphen/>
        <w:t xml:space="preserve">focused approaches were not addressing her holistic needs. Introducing the Patient Activation Measure (PAM®) enabled clinicians to </w:t>
      </w:r>
      <w:r w:rsidRPr="00CD14B2">
        <w:rPr>
          <w:rFonts w:ascii="Arial" w:eastAsia="Times New Roman" w:hAnsi="Arial" w:cs="Arial"/>
          <w:lang w:eastAsia="en-GB"/>
        </w:rPr>
        <w:lastRenderedPageBreak/>
        <w:t>tailor support according to her activation level (Hibbard and Gilburt, 2014). Identifying Joan’s low confidence and limited health</w:t>
      </w:r>
      <w:r w:rsidRPr="00CD14B2">
        <w:rPr>
          <w:rFonts w:ascii="Arial" w:eastAsia="Times New Roman" w:hAnsi="Arial" w:cs="Arial"/>
          <w:lang w:eastAsia="en-GB"/>
        </w:rPr>
        <w:noBreakHyphen/>
        <w:t>management skills allowed professionals to adapt communication, simplify information, and focus on building gradual capability. This reflects the NHS commitment to personalised care as a central component of modern service delivery (NHS England, 2023).</w:t>
      </w:r>
    </w:p>
    <w:p w14:paraId="3B5053B9" w14:textId="77777777"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Breaking rehabilitation goals into manageable steps increased Joan’s confidence and reduced the pressure she associated with attending full pulmonary rehabilitation sessions. This strengths</w:t>
      </w:r>
      <w:r w:rsidRPr="00CD14B2">
        <w:rPr>
          <w:rFonts w:ascii="Arial" w:eastAsia="Times New Roman" w:hAnsi="Arial" w:cs="Arial"/>
          <w:lang w:eastAsia="en-GB"/>
        </w:rPr>
        <w:noBreakHyphen/>
        <w:t>based approach aligns with Bandura’s (1977) self</w:t>
      </w:r>
      <w:r w:rsidRPr="00CD14B2">
        <w:rPr>
          <w:rFonts w:ascii="Arial" w:eastAsia="Times New Roman" w:hAnsi="Arial" w:cs="Arial"/>
          <w:lang w:eastAsia="en-GB"/>
        </w:rPr>
        <w:noBreakHyphen/>
        <w:t>efficacy theory, which emphasises that mastery of small tasks enhances belief in one’s ability to succeed in more complex behaviours. It also reflects the holistic, dignity</w:t>
      </w:r>
      <w:r w:rsidRPr="00CD14B2">
        <w:rPr>
          <w:rFonts w:ascii="Arial" w:eastAsia="Times New Roman" w:hAnsi="Arial" w:cs="Arial"/>
          <w:lang w:eastAsia="en-GB"/>
        </w:rPr>
        <w:noBreakHyphen/>
        <w:t>focused principles outlined in Task 1.</w:t>
      </w:r>
    </w:p>
    <w:p w14:paraId="13A8B3D4" w14:textId="77777777"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 xml:space="preserve">Bronfenbrenner’s Ecological Systems Theory further deepens understanding of Joan’s situation by recognising that behaviour is shaped by multiple interacting systems. Her microsystem (health status, fatigue, confidence), mesosystem (relationships between GP, respiratory team, and family), and </w:t>
      </w:r>
      <w:proofErr w:type="spellStart"/>
      <w:r w:rsidRPr="00CD14B2">
        <w:rPr>
          <w:rFonts w:ascii="Arial" w:eastAsia="Times New Roman" w:hAnsi="Arial" w:cs="Arial"/>
          <w:lang w:eastAsia="en-GB"/>
        </w:rPr>
        <w:t>exosystem</w:t>
      </w:r>
      <w:proofErr w:type="spellEnd"/>
      <w:r w:rsidRPr="00CD14B2">
        <w:rPr>
          <w:rFonts w:ascii="Arial" w:eastAsia="Times New Roman" w:hAnsi="Arial" w:cs="Arial"/>
          <w:lang w:eastAsia="en-GB"/>
        </w:rPr>
        <w:t xml:space="preserve"> (service structures, appointment systems) all influenced her engagement. Acknowledging these interconnected layers enabled practitioners</w:t>
      </w:r>
      <w:r w:rsidRPr="00CD14B2">
        <w:rPr>
          <w:rFonts w:ascii="Times New Roman" w:eastAsia="Times New Roman" w:hAnsi="Times New Roman" w:cs="Times New Roman"/>
          <w:sz w:val="24"/>
          <w:szCs w:val="24"/>
          <w:lang w:eastAsia="en-GB"/>
        </w:rPr>
        <w:t xml:space="preserve"> </w:t>
      </w:r>
      <w:r w:rsidRPr="00CD14B2">
        <w:rPr>
          <w:rFonts w:ascii="Arial" w:eastAsia="Times New Roman" w:hAnsi="Arial" w:cs="Arial"/>
          <w:lang w:eastAsia="en-GB"/>
        </w:rPr>
        <w:t>to design interventions that addressed not only her symptoms but also the wider environmental factors affecting her motivation.</w:t>
      </w:r>
    </w:p>
    <w:p w14:paraId="4A079AC4" w14:textId="77777777"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Addressing Joan’s Crohn’s symptoms through GP collaboration removed a significant physical barrier to participation. Effective interdisciplinary communication ensured that treatment plans were aligned, demonstrating the value of coordinated, holistic assessment. This mirrors the principles discussed in Task 1, where partnership working enhances continuity, reduces duplication, and supports shared accountability across services. NICE (2021) guidance reinforces the importance of shared decision</w:t>
      </w:r>
      <w:r w:rsidRPr="00CD14B2">
        <w:rPr>
          <w:rFonts w:ascii="Arial" w:eastAsia="Times New Roman" w:hAnsi="Arial" w:cs="Arial"/>
          <w:lang w:eastAsia="en-GB"/>
        </w:rPr>
        <w:noBreakHyphen/>
        <w:t>making, emphasising that individuals should be supported to understand their options, express preferences, and participate actively in planning. In Joan’s case, collaborative goal</w:t>
      </w:r>
      <w:r w:rsidRPr="00CD14B2">
        <w:rPr>
          <w:rFonts w:ascii="Arial" w:eastAsia="Times New Roman" w:hAnsi="Arial" w:cs="Arial"/>
          <w:lang w:eastAsia="en-GB"/>
        </w:rPr>
        <w:noBreakHyphen/>
        <w:t>setting strengthened trust and reduced the feelings of failure she previously associated with missed appointments.</w:t>
      </w:r>
    </w:p>
    <w:p w14:paraId="20C9275F" w14:textId="77777777"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Ethical practice underpinned every stage of Joan’s care. Supporting her autonomy while ensuring safety required sensitive communication and respect for fluctuating confidence levels. However, systemic pressures such as limited time, workforce shortages, and high caseloads can challenge the consistent delivery of personalised care (Ham et al., 2018). Tools like PAM® require training and organisational commitment, highlighting the ethical responsibility of services to create environments where person</w:t>
      </w:r>
      <w:r w:rsidRPr="00CD14B2">
        <w:rPr>
          <w:rFonts w:ascii="Arial" w:eastAsia="Times New Roman" w:hAnsi="Arial" w:cs="Arial"/>
          <w:lang w:eastAsia="en-GB"/>
        </w:rPr>
        <w:noBreakHyphen/>
        <w:t>centred practice is feasible.</w:t>
      </w:r>
    </w:p>
    <w:p w14:paraId="5FF83D01" w14:textId="77777777" w:rsidR="00336AC2" w:rsidRPr="00C07634" w:rsidRDefault="00CD14B2" w:rsidP="00336AC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lastRenderedPageBreak/>
        <w:t>Following intervention, Joan’s activation score improved significantly, alongside reduced hospital admissions (NHS England, 2023). These outcomes demonstrate how personalised, ethically grounded, and collaborative care can enhance wellbeing while reducing pressure on acute services. Her story shows how the principles explored in Task 1 become powerful drivers of sustainable behaviour change when applied in practice.</w:t>
      </w:r>
    </w:p>
    <w:p w14:paraId="514932DE" w14:textId="77777777" w:rsidR="00336AC2" w:rsidRPr="00B15303" w:rsidRDefault="00336AC2" w:rsidP="00352706">
      <w:pPr>
        <w:pStyle w:val="Heading3"/>
        <w:rPr>
          <w:rFonts w:ascii="Arial" w:eastAsia="Times New Roman" w:hAnsi="Arial" w:cs="Arial"/>
          <w:b/>
          <w:bCs/>
          <w:color w:val="000000" w:themeColor="text1"/>
          <w:sz w:val="28"/>
          <w:szCs w:val="28"/>
          <w:lang w:eastAsia="en-GB"/>
        </w:rPr>
      </w:pPr>
      <w:r w:rsidRPr="00B15303">
        <w:rPr>
          <w:rFonts w:ascii="Arial" w:eastAsia="Times New Roman" w:hAnsi="Arial" w:cs="Arial"/>
          <w:b/>
          <w:bCs/>
          <w:color w:val="000000" w:themeColor="text1"/>
          <w:sz w:val="28"/>
          <w:szCs w:val="28"/>
          <w:lang w:eastAsia="en-GB"/>
        </w:rPr>
        <w:t>Task 3: Professional Self</w:t>
      </w:r>
      <w:r w:rsidRPr="00B15303">
        <w:rPr>
          <w:rFonts w:ascii="Arial" w:eastAsia="Times New Roman" w:hAnsi="Arial" w:cs="Arial"/>
          <w:b/>
          <w:bCs/>
          <w:color w:val="000000" w:themeColor="text1"/>
          <w:sz w:val="28"/>
          <w:szCs w:val="28"/>
          <w:lang w:eastAsia="en-GB"/>
        </w:rPr>
        <w:noBreakHyphen/>
        <w:t>Reflection (Using Gibbs’ Reflective Cycle)</w:t>
      </w:r>
    </w:p>
    <w:p w14:paraId="003150E2" w14:textId="0D933CEE" w:rsidR="00336AC2" w:rsidRPr="001F576C" w:rsidRDefault="00336AC2" w:rsidP="00336AC2">
      <w:pPr>
        <w:spacing w:before="100" w:beforeAutospacing="1" w:after="100" w:afterAutospacing="1" w:line="360" w:lineRule="auto"/>
        <w:jc w:val="both"/>
        <w:rPr>
          <w:rFonts w:ascii="Arial" w:eastAsia="Times New Roman" w:hAnsi="Arial" w:cs="Arial"/>
          <w:b/>
          <w:bCs/>
          <w:color w:val="EE0000"/>
          <w:lang w:eastAsia="en-GB"/>
        </w:rPr>
      </w:pPr>
      <w:r w:rsidRPr="00336AC2">
        <w:rPr>
          <w:rFonts w:ascii="Arial" w:eastAsia="Times New Roman" w:hAnsi="Arial" w:cs="Arial"/>
          <w:b/>
          <w:bCs/>
          <w:lang w:eastAsia="en-GB"/>
        </w:rPr>
        <w:t>1. Description</w:t>
      </w:r>
      <w:r w:rsidR="001F576C">
        <w:rPr>
          <w:rFonts w:ascii="Arial" w:eastAsia="Times New Roman" w:hAnsi="Arial" w:cs="Arial"/>
          <w:b/>
          <w:bCs/>
          <w:lang w:eastAsia="en-GB"/>
        </w:rPr>
        <w:t xml:space="preserve"> </w:t>
      </w:r>
      <w:r w:rsidR="001F576C">
        <w:rPr>
          <w:rFonts w:ascii="Arial" w:eastAsia="Times New Roman" w:hAnsi="Arial" w:cs="Arial"/>
          <w:b/>
          <w:bCs/>
          <w:color w:val="EE0000"/>
          <w:lang w:eastAsia="en-GB"/>
        </w:rPr>
        <w:t xml:space="preserve">-briefly discuss your workplace- what you do </w:t>
      </w:r>
    </w:p>
    <w:p w14:paraId="7EF8A698"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Reflecting on Joan’s story has deepened my understanding of how person</w:t>
      </w:r>
      <w:r w:rsidRPr="00336AC2">
        <w:rPr>
          <w:rFonts w:ascii="Arial" w:eastAsia="Times New Roman" w:hAnsi="Arial" w:cs="Arial"/>
          <w:lang w:eastAsia="en-GB"/>
        </w:rPr>
        <w:noBreakHyphen/>
        <w:t>centred care, partnershi</w:t>
      </w:r>
      <w:r w:rsidR="000168F0">
        <w:rPr>
          <w:rFonts w:ascii="Arial" w:eastAsia="Times New Roman" w:hAnsi="Arial" w:cs="Arial"/>
          <w:lang w:eastAsia="en-GB"/>
        </w:rPr>
        <w:t xml:space="preserve">p working, and ethical practice explored in Tasks 1 and 2 </w:t>
      </w:r>
      <w:r w:rsidRPr="00336AC2">
        <w:rPr>
          <w:rFonts w:ascii="Arial" w:eastAsia="Times New Roman" w:hAnsi="Arial" w:cs="Arial"/>
          <w:lang w:eastAsia="en-GB"/>
        </w:rPr>
        <w:t>shape real</w:t>
      </w:r>
      <w:r w:rsidRPr="00336AC2">
        <w:rPr>
          <w:rFonts w:ascii="Arial" w:eastAsia="Times New Roman" w:hAnsi="Arial" w:cs="Arial"/>
          <w:lang w:eastAsia="en-GB"/>
        </w:rPr>
        <w:noBreakHyphen/>
        <w:t>world outcomes. Joan’s initial disengagement from pulmonary rehabilitation was not due to unwillingness but reflected low confidence, fluctuating health, and limited self</w:t>
      </w:r>
      <w:r w:rsidRPr="00336AC2">
        <w:rPr>
          <w:rFonts w:ascii="Arial" w:eastAsia="Times New Roman" w:hAnsi="Arial" w:cs="Arial"/>
          <w:lang w:eastAsia="en-GB"/>
        </w:rPr>
        <w:noBreakHyphen/>
        <w:t>efficacy. Through personalised care planning, shared decision</w:t>
      </w:r>
      <w:r w:rsidRPr="00336AC2">
        <w:rPr>
          <w:rFonts w:ascii="Arial" w:eastAsia="Times New Roman" w:hAnsi="Arial" w:cs="Arial"/>
          <w:lang w:eastAsia="en-GB"/>
        </w:rPr>
        <w:noBreakHyphen/>
        <w:t>making, and coordinated partnership working, her activation level improved and her hospital admissions reduced. Observing this process prompted me to reflect on my own practice and how I can apply these principles more effectively in my current and future roles. It also highlighted the importance of recognising the wider ecological influences on behaviour, as described by Bronfenbrenner, where individual actions are shaped by multiple interacting systems. Joan’s story therefore provided a meaningful opportunity to examine how my professional behaviours, communication style, and decision</w:t>
      </w:r>
      <w:r w:rsidRPr="00336AC2">
        <w:rPr>
          <w:rFonts w:ascii="Arial" w:eastAsia="Times New Roman" w:hAnsi="Arial" w:cs="Arial"/>
          <w:lang w:eastAsia="en-GB"/>
        </w:rPr>
        <w:noBreakHyphen/>
        <w:t>making processes can either support or hinder engagement.</w:t>
      </w:r>
    </w:p>
    <w:p w14:paraId="241C13C7" w14:textId="58DCE848" w:rsidR="00336AC2" w:rsidRPr="005D5ED8" w:rsidRDefault="00336AC2" w:rsidP="00336AC2">
      <w:pPr>
        <w:spacing w:before="100" w:beforeAutospacing="1" w:after="100" w:afterAutospacing="1" w:line="360" w:lineRule="auto"/>
        <w:jc w:val="both"/>
        <w:rPr>
          <w:rFonts w:ascii="Arial" w:eastAsia="Times New Roman" w:hAnsi="Arial" w:cs="Arial"/>
          <w:b/>
          <w:bCs/>
          <w:color w:val="EE0000"/>
          <w:lang w:eastAsia="en-GB"/>
        </w:rPr>
      </w:pPr>
      <w:r w:rsidRPr="00336AC2">
        <w:rPr>
          <w:rFonts w:ascii="Arial" w:eastAsia="Times New Roman" w:hAnsi="Arial" w:cs="Arial"/>
          <w:b/>
          <w:bCs/>
          <w:lang w:eastAsia="en-GB"/>
        </w:rPr>
        <w:t>2. Feelings</w:t>
      </w:r>
      <w:r w:rsidR="005D5ED8">
        <w:rPr>
          <w:rFonts w:ascii="Arial" w:eastAsia="Times New Roman" w:hAnsi="Arial" w:cs="Arial"/>
          <w:b/>
          <w:bCs/>
          <w:lang w:eastAsia="en-GB"/>
        </w:rPr>
        <w:t xml:space="preserve"> </w:t>
      </w:r>
      <w:r w:rsidR="005D5ED8">
        <w:rPr>
          <w:rFonts w:ascii="Arial" w:eastAsia="Times New Roman" w:hAnsi="Arial" w:cs="Arial"/>
          <w:b/>
          <w:bCs/>
          <w:color w:val="EE0000"/>
          <w:lang w:eastAsia="en-GB"/>
        </w:rPr>
        <w:t xml:space="preserve">Discuss if you were confident using the </w:t>
      </w:r>
      <w:proofErr w:type="spellStart"/>
      <w:r w:rsidR="005D5ED8">
        <w:rPr>
          <w:rFonts w:ascii="Arial" w:eastAsia="Times New Roman" w:hAnsi="Arial" w:cs="Arial"/>
          <w:b/>
          <w:bCs/>
          <w:color w:val="EE0000"/>
          <w:lang w:eastAsia="en-GB"/>
        </w:rPr>
        <w:t>prinpciples</w:t>
      </w:r>
      <w:proofErr w:type="spellEnd"/>
      <w:r w:rsidR="005D5ED8">
        <w:rPr>
          <w:rFonts w:ascii="Arial" w:eastAsia="Times New Roman" w:hAnsi="Arial" w:cs="Arial"/>
          <w:b/>
          <w:bCs/>
          <w:color w:val="EE0000"/>
          <w:lang w:eastAsia="en-GB"/>
        </w:rPr>
        <w:t xml:space="preserve"> before the module. </w:t>
      </w:r>
      <w:r w:rsidR="005D5ED8">
        <w:rPr>
          <w:rFonts w:ascii="Arial" w:eastAsia="Times New Roman" w:hAnsi="Arial" w:cs="Arial"/>
          <w:b/>
          <w:bCs/>
          <w:color w:val="EE0000"/>
          <w:lang w:eastAsia="en-GB"/>
        </w:rPr>
        <w:t xml:space="preserve">how do you feel </w:t>
      </w:r>
      <w:proofErr w:type="gramStart"/>
      <w:r w:rsidR="005D5ED8">
        <w:rPr>
          <w:rFonts w:ascii="Arial" w:eastAsia="Times New Roman" w:hAnsi="Arial" w:cs="Arial"/>
          <w:b/>
          <w:bCs/>
          <w:color w:val="EE0000"/>
          <w:lang w:eastAsia="en-GB"/>
        </w:rPr>
        <w:t>at the moment</w:t>
      </w:r>
      <w:proofErr w:type="gramEnd"/>
      <w:r w:rsidR="005D5ED8">
        <w:rPr>
          <w:rFonts w:ascii="Arial" w:eastAsia="Times New Roman" w:hAnsi="Arial" w:cs="Arial"/>
          <w:b/>
          <w:bCs/>
          <w:color w:val="EE0000"/>
          <w:lang w:eastAsia="en-GB"/>
        </w:rPr>
        <w:t>.</w:t>
      </w:r>
    </w:p>
    <w:p w14:paraId="642F7336" w14:textId="77777777" w:rsidR="00EE5CBC" w:rsidRPr="00C07634"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Initially, I felt a mixture of empathy and concern when considering Joan’s repeated non</w:t>
      </w:r>
      <w:r w:rsidRPr="00336AC2">
        <w:rPr>
          <w:rFonts w:ascii="Arial" w:eastAsia="Times New Roman" w:hAnsi="Arial" w:cs="Arial"/>
          <w:lang w:eastAsia="en-GB"/>
        </w:rPr>
        <w:noBreakHyphen/>
        <w:t>attendance. In practice, it can be easy to feel frustrated when individuals appear disengaged, especially when services are under pressure and attendance is essential for clinical outcomes. However, learning more about her emotional barriers and physical challenges helped me recognise how quickly assumptions can form without a holistic assessment. I also felt encouraged</w:t>
      </w:r>
      <w:r w:rsidR="00EE5CBC">
        <w:rPr>
          <w:rFonts w:ascii="Arial" w:eastAsia="Times New Roman" w:hAnsi="Arial" w:cs="Arial"/>
          <w:lang w:eastAsia="en-GB"/>
        </w:rPr>
        <w:t xml:space="preserve"> by how small, achievable goals </w:t>
      </w:r>
      <w:r w:rsidRPr="00336AC2">
        <w:rPr>
          <w:rFonts w:ascii="Arial" w:eastAsia="Times New Roman" w:hAnsi="Arial" w:cs="Arial"/>
          <w:lang w:eastAsia="en-GB"/>
        </w:rPr>
        <w:t>aligned with</w:t>
      </w:r>
      <w:r w:rsidR="00EE5CBC">
        <w:rPr>
          <w:rFonts w:ascii="Arial" w:eastAsia="Times New Roman" w:hAnsi="Arial" w:cs="Arial"/>
          <w:lang w:eastAsia="en-GB"/>
        </w:rPr>
        <w:t xml:space="preserve"> Bandura’s self</w:t>
      </w:r>
      <w:r w:rsidR="00EE5CBC">
        <w:rPr>
          <w:rFonts w:ascii="Arial" w:eastAsia="Times New Roman" w:hAnsi="Arial" w:cs="Arial"/>
          <w:lang w:eastAsia="en-GB"/>
        </w:rPr>
        <w:noBreakHyphen/>
        <w:t xml:space="preserve">efficacy theory </w:t>
      </w:r>
      <w:r w:rsidRPr="00336AC2">
        <w:rPr>
          <w:rFonts w:ascii="Arial" w:eastAsia="Times New Roman" w:hAnsi="Arial" w:cs="Arial"/>
          <w:lang w:eastAsia="en-GB"/>
        </w:rPr>
        <w:t xml:space="preserve">helped Joan regain confidence. This reinforced my belief that relational competence, empathy, and emotional intelligence are as essential as clinical knowledge. I felt motivated to strengthen these skills further, particularly in communication and motivational interviewing. At the same time, I became more aware of my own emotional responses, such as impatience or worry, and how these feelings can subtly influence my interactions. </w:t>
      </w:r>
      <w:r w:rsidRPr="00336AC2">
        <w:rPr>
          <w:rFonts w:ascii="Arial" w:eastAsia="Times New Roman" w:hAnsi="Arial" w:cs="Arial"/>
          <w:lang w:eastAsia="en-GB"/>
        </w:rPr>
        <w:lastRenderedPageBreak/>
        <w:t>Acknowledging these emotions is important for maintaining professionalism and ensuring that my responses remain compassionate and person</w:t>
      </w:r>
      <w:r w:rsidRPr="00336AC2">
        <w:rPr>
          <w:rFonts w:ascii="Arial" w:eastAsia="Times New Roman" w:hAnsi="Arial" w:cs="Arial"/>
          <w:lang w:eastAsia="en-GB"/>
        </w:rPr>
        <w:noBreakHyphen/>
        <w:t>centred.</w:t>
      </w:r>
    </w:p>
    <w:p w14:paraId="0B63C81F" w14:textId="77777777" w:rsidR="00C07634" w:rsidRDefault="00C07634" w:rsidP="00336AC2">
      <w:pPr>
        <w:spacing w:before="100" w:beforeAutospacing="1" w:after="100" w:afterAutospacing="1" w:line="360" w:lineRule="auto"/>
        <w:jc w:val="both"/>
        <w:rPr>
          <w:rFonts w:ascii="Arial" w:eastAsia="Times New Roman" w:hAnsi="Arial" w:cs="Arial"/>
          <w:b/>
          <w:bCs/>
          <w:lang w:eastAsia="en-GB"/>
        </w:rPr>
      </w:pPr>
    </w:p>
    <w:p w14:paraId="0E00F726" w14:textId="77777777" w:rsidR="00336AC2" w:rsidRPr="00336AC2" w:rsidRDefault="00336AC2" w:rsidP="00336AC2">
      <w:pPr>
        <w:spacing w:before="100" w:beforeAutospacing="1" w:after="100" w:afterAutospacing="1" w:line="360" w:lineRule="auto"/>
        <w:jc w:val="both"/>
        <w:rPr>
          <w:rFonts w:ascii="Arial" w:eastAsia="Times New Roman" w:hAnsi="Arial" w:cs="Arial"/>
          <w:b/>
          <w:bCs/>
          <w:lang w:eastAsia="en-GB"/>
        </w:rPr>
      </w:pPr>
      <w:r w:rsidRPr="00336AC2">
        <w:rPr>
          <w:rFonts w:ascii="Arial" w:eastAsia="Times New Roman" w:hAnsi="Arial" w:cs="Arial"/>
          <w:b/>
          <w:bCs/>
          <w:lang w:eastAsia="en-GB"/>
        </w:rPr>
        <w:t>3. Evaluation</w:t>
      </w:r>
    </w:p>
    <w:p w14:paraId="561634E2"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Reflecting on my strengths, I recognise that building rapport and establishing trust are areas where I feel confident. I naturally use active listening, open body language, and non</w:t>
      </w:r>
      <w:r w:rsidRPr="00336AC2">
        <w:rPr>
          <w:rFonts w:ascii="Arial" w:eastAsia="Times New Roman" w:hAnsi="Arial" w:cs="Arial"/>
          <w:lang w:eastAsia="en-GB"/>
        </w:rPr>
        <w:noBreakHyphen/>
        <w:t>judgemental responses, which aligns with Rogers’ (1951) humanistic principles of empathy, genuineness, and unconditional positive regard. These qualities help individuals feel heard and respected, which is essential for person</w:t>
      </w:r>
      <w:r w:rsidRPr="00336AC2">
        <w:rPr>
          <w:rFonts w:ascii="Arial" w:eastAsia="Times New Roman" w:hAnsi="Arial" w:cs="Arial"/>
          <w:lang w:eastAsia="en-GB"/>
        </w:rPr>
        <w:noBreakHyphen/>
        <w:t>centred care. I also value the importance of exploring emotional barriers and understanding the person behind the behaviour, which aligns with the principles of personalised care.</w:t>
      </w:r>
    </w:p>
    <w:p w14:paraId="2CF7B844"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However, I also recognise areas for improvement. For example, I sometimes focus heavily on problem</w:t>
      </w:r>
      <w:r w:rsidRPr="00336AC2">
        <w:rPr>
          <w:rFonts w:ascii="Arial" w:eastAsia="Times New Roman" w:hAnsi="Arial" w:cs="Arial"/>
          <w:lang w:eastAsia="en-GB"/>
        </w:rPr>
        <w:noBreakHyphen/>
        <w:t>solving, which may unintentionally shift the dynamic towards professional</w:t>
      </w:r>
      <w:r w:rsidRPr="00336AC2">
        <w:rPr>
          <w:rFonts w:ascii="Arial" w:eastAsia="Times New Roman" w:hAnsi="Arial" w:cs="Arial"/>
          <w:lang w:eastAsia="en-GB"/>
        </w:rPr>
        <w:noBreakHyphen/>
        <w:t>led decision</w:t>
      </w:r>
      <w:r w:rsidRPr="00336AC2">
        <w:rPr>
          <w:rFonts w:ascii="Arial" w:eastAsia="Times New Roman" w:hAnsi="Arial" w:cs="Arial"/>
          <w:lang w:eastAsia="en-GB"/>
        </w:rPr>
        <w:noBreakHyphen/>
        <w:t>making rather than shared decision</w:t>
      </w:r>
      <w:r w:rsidRPr="00336AC2">
        <w:rPr>
          <w:rFonts w:ascii="Arial" w:eastAsia="Times New Roman" w:hAnsi="Arial" w:cs="Arial"/>
          <w:lang w:eastAsia="en-GB"/>
        </w:rPr>
        <w:noBreakHyphen/>
        <w:t>making. Joan’s story highlighted how important it is to explore underlying barriers before drawing conclusions. I also identified that I could strengthen my skills in motivational interviewing to better support individuals who feel ambivalent or overwhelmed. Additionally, I need to be more intentional in applying structured reflection, as this can help me identify patterns in my practice and respond more effectively to complex situations. I also recognise that I sometimes hesitate to challenge decisions made by other professionals, even when I feel that a more holistic assessment is needed. This is an area where I want to build confidence.</w:t>
      </w:r>
    </w:p>
    <w:p w14:paraId="6B701364" w14:textId="77777777" w:rsidR="005D5ED8" w:rsidRDefault="005D5ED8" w:rsidP="00336AC2">
      <w:pPr>
        <w:spacing w:before="100" w:beforeAutospacing="1" w:after="100" w:afterAutospacing="1" w:line="360" w:lineRule="auto"/>
        <w:jc w:val="both"/>
        <w:rPr>
          <w:rFonts w:ascii="Arial" w:eastAsia="Times New Roman" w:hAnsi="Arial" w:cs="Arial"/>
          <w:b/>
          <w:bCs/>
          <w:lang w:eastAsia="en-GB"/>
        </w:rPr>
      </w:pPr>
    </w:p>
    <w:p w14:paraId="4D56B3D1" w14:textId="77777777" w:rsidR="005D5ED8" w:rsidRDefault="005D5ED8" w:rsidP="00336AC2">
      <w:pPr>
        <w:spacing w:before="100" w:beforeAutospacing="1" w:after="100" w:afterAutospacing="1" w:line="360" w:lineRule="auto"/>
        <w:jc w:val="both"/>
        <w:rPr>
          <w:rFonts w:ascii="Arial" w:eastAsia="Times New Roman" w:hAnsi="Arial" w:cs="Arial"/>
          <w:b/>
          <w:bCs/>
          <w:lang w:eastAsia="en-GB"/>
        </w:rPr>
      </w:pPr>
      <w:r>
        <w:rPr>
          <w:rFonts w:ascii="Arial" w:eastAsia="Times New Roman" w:hAnsi="Arial" w:cs="Arial"/>
          <w:b/>
          <w:bCs/>
          <w:lang w:eastAsia="en-GB"/>
        </w:rPr>
        <w:t>Analysis</w:t>
      </w:r>
    </w:p>
    <w:p w14:paraId="5B28FBF4" w14:textId="2C556EE4" w:rsidR="00336AC2" w:rsidRPr="00336AC2" w:rsidRDefault="005D5ED8" w:rsidP="00336AC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b/>
          <w:bCs/>
          <w:lang w:eastAsia="en-GB"/>
        </w:rPr>
        <w:t xml:space="preserve">I have learned that </w:t>
      </w:r>
      <w:r>
        <w:rPr>
          <w:rFonts w:ascii="Arial" w:eastAsia="Times New Roman" w:hAnsi="Arial" w:cs="Arial"/>
          <w:lang w:eastAsia="en-GB"/>
        </w:rPr>
        <w:t>p</w:t>
      </w:r>
      <w:r w:rsidR="00336AC2" w:rsidRPr="00336AC2">
        <w:rPr>
          <w:rFonts w:ascii="Arial" w:eastAsia="Times New Roman" w:hAnsi="Arial" w:cs="Arial"/>
          <w:lang w:eastAsia="en-GB"/>
        </w:rPr>
        <w:t>artnership working play</w:t>
      </w:r>
      <w:r>
        <w:rPr>
          <w:rFonts w:ascii="Arial" w:eastAsia="Times New Roman" w:hAnsi="Arial" w:cs="Arial"/>
          <w:lang w:eastAsia="en-GB"/>
        </w:rPr>
        <w:t xml:space="preserve"> </w:t>
      </w:r>
      <w:r w:rsidR="00336AC2" w:rsidRPr="00336AC2">
        <w:rPr>
          <w:rFonts w:ascii="Arial" w:eastAsia="Times New Roman" w:hAnsi="Arial" w:cs="Arial"/>
          <w:lang w:eastAsia="en-GB"/>
        </w:rPr>
        <w:t>a crucial role</w:t>
      </w:r>
      <w:r>
        <w:rPr>
          <w:rFonts w:ascii="Arial" w:eastAsia="Times New Roman" w:hAnsi="Arial" w:cs="Arial"/>
          <w:lang w:eastAsia="en-GB"/>
        </w:rPr>
        <w:t xml:space="preserve"> in healthcare</w:t>
      </w:r>
      <w:r w:rsidR="00336AC2" w:rsidRPr="00336AC2">
        <w:rPr>
          <w:rFonts w:ascii="Arial" w:eastAsia="Times New Roman" w:hAnsi="Arial" w:cs="Arial"/>
          <w:lang w:eastAsia="en-GB"/>
        </w:rPr>
        <w:t xml:space="preserve">. Collaboration between GP </w:t>
      </w:r>
      <w:r>
        <w:rPr>
          <w:rFonts w:ascii="Arial" w:eastAsia="Times New Roman" w:hAnsi="Arial" w:cs="Arial"/>
          <w:lang w:eastAsia="en-GB"/>
        </w:rPr>
        <w:t>and other agencies</w:t>
      </w:r>
      <w:r w:rsidR="00336AC2" w:rsidRPr="00336AC2">
        <w:rPr>
          <w:rFonts w:ascii="Arial" w:eastAsia="Times New Roman" w:hAnsi="Arial" w:cs="Arial"/>
          <w:lang w:eastAsia="en-GB"/>
        </w:rPr>
        <w:t xml:space="preserve">. This reinforced my understanding that effective care requires coordinated communication and shared accountability. In my own practice, I sometimes hesitate to challenge or question decisions made by other professionals, </w:t>
      </w:r>
      <w:proofErr w:type="gramStart"/>
      <w:r>
        <w:rPr>
          <w:rFonts w:ascii="Arial" w:eastAsia="Times New Roman" w:hAnsi="Arial" w:cs="Arial"/>
          <w:lang w:eastAsia="en-GB"/>
        </w:rPr>
        <w:t>But</w:t>
      </w:r>
      <w:proofErr w:type="gramEnd"/>
      <w:r>
        <w:rPr>
          <w:rFonts w:ascii="Arial" w:eastAsia="Times New Roman" w:hAnsi="Arial" w:cs="Arial"/>
          <w:lang w:eastAsia="en-GB"/>
        </w:rPr>
        <w:t xml:space="preserve"> now I am confident in </w:t>
      </w:r>
      <w:r w:rsidR="00336AC2" w:rsidRPr="00336AC2">
        <w:rPr>
          <w:rFonts w:ascii="Arial" w:eastAsia="Times New Roman" w:hAnsi="Arial" w:cs="Arial"/>
          <w:lang w:eastAsia="en-GB"/>
        </w:rPr>
        <w:t>advocating for holistic assessment and ensuring that all relevant factors are considered.</w:t>
      </w:r>
    </w:p>
    <w:p w14:paraId="4E5696EE" w14:textId="0D431D5D"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 xml:space="preserve">Ethical practice </w:t>
      </w:r>
      <w:r w:rsidR="005D5ED8">
        <w:rPr>
          <w:rFonts w:ascii="Arial" w:eastAsia="Times New Roman" w:hAnsi="Arial" w:cs="Arial"/>
          <w:lang w:eastAsia="en-GB"/>
        </w:rPr>
        <w:t>is</w:t>
      </w:r>
      <w:r w:rsidRPr="00336AC2">
        <w:rPr>
          <w:rFonts w:ascii="Arial" w:eastAsia="Times New Roman" w:hAnsi="Arial" w:cs="Arial"/>
          <w:lang w:eastAsia="en-GB"/>
        </w:rPr>
        <w:t xml:space="preserve"> also central. Balancing autonomy with safeguarding can be challenging, especially when individuals appear disengaged. This aligns with Beauchamp and Childress’ </w:t>
      </w:r>
      <w:r w:rsidRPr="00336AC2">
        <w:rPr>
          <w:rFonts w:ascii="Arial" w:eastAsia="Times New Roman" w:hAnsi="Arial" w:cs="Arial"/>
          <w:lang w:eastAsia="en-GB"/>
        </w:rPr>
        <w:lastRenderedPageBreak/>
        <w:t>(2019) principles of autonomy, beneficence, non</w:t>
      </w:r>
      <w:r w:rsidRPr="00336AC2">
        <w:rPr>
          <w:rFonts w:ascii="Arial" w:eastAsia="Times New Roman" w:hAnsi="Arial" w:cs="Arial"/>
          <w:lang w:eastAsia="en-GB"/>
        </w:rPr>
        <w:noBreakHyphen/>
        <w:t>maleficence, and justice. It also reminded me that ethical sensitivity requires ongoing reflection, emotional awareness, and a commitment to avoiding paternalism. I realised that my own desire to “fix” situations quickly may sometimes conflict with the need to support autonomy and allow individuals to progress at their own pace.</w:t>
      </w:r>
    </w:p>
    <w:p w14:paraId="6AE919C0" w14:textId="77777777" w:rsidR="00336AC2" w:rsidRPr="00336AC2" w:rsidRDefault="00336AC2" w:rsidP="00336AC2">
      <w:pPr>
        <w:spacing w:before="100" w:beforeAutospacing="1" w:after="100" w:afterAutospacing="1" w:line="360" w:lineRule="auto"/>
        <w:jc w:val="both"/>
        <w:rPr>
          <w:rFonts w:ascii="Arial" w:eastAsia="Times New Roman" w:hAnsi="Arial" w:cs="Arial"/>
          <w:b/>
          <w:bCs/>
          <w:lang w:eastAsia="en-GB"/>
        </w:rPr>
      </w:pPr>
      <w:r w:rsidRPr="00336AC2">
        <w:rPr>
          <w:rFonts w:ascii="Arial" w:eastAsia="Times New Roman" w:hAnsi="Arial" w:cs="Arial"/>
          <w:b/>
          <w:bCs/>
          <w:lang w:eastAsia="en-GB"/>
        </w:rPr>
        <w:t>5. Conclusion</w:t>
      </w:r>
    </w:p>
    <w:p w14:paraId="0B8DCD2B" w14:textId="327007BD" w:rsidR="00336AC2" w:rsidRPr="00336AC2" w:rsidRDefault="005D5ED8" w:rsidP="00336AC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The module</w:t>
      </w:r>
      <w:r w:rsidR="00336AC2" w:rsidRPr="00336AC2">
        <w:rPr>
          <w:rFonts w:ascii="Arial" w:eastAsia="Times New Roman" w:hAnsi="Arial" w:cs="Arial"/>
          <w:lang w:eastAsia="en-GB"/>
        </w:rPr>
        <w:t xml:space="preserve"> has strengthened my understanding of how person</w:t>
      </w:r>
      <w:r w:rsidR="00336AC2" w:rsidRPr="00336AC2">
        <w:rPr>
          <w:rFonts w:ascii="Arial" w:eastAsia="Times New Roman" w:hAnsi="Arial" w:cs="Arial"/>
          <w:lang w:eastAsia="en-GB"/>
        </w:rPr>
        <w:noBreakHyphen/>
        <w:t>centred care, partnership working, and ethical practice must work together to support sustainable behaviour change. I have learned that empathy, curiosity, and collaborative communication are essential for uncovering the emotional and practical barriers that shape engagement. I have also recognised the importance of structured reflection in maintaining professionalism and improving practice. While I have strengths in rapport</w:t>
      </w:r>
      <w:r w:rsidR="00336AC2" w:rsidRPr="00336AC2">
        <w:rPr>
          <w:rFonts w:ascii="Arial" w:eastAsia="Times New Roman" w:hAnsi="Arial" w:cs="Arial"/>
          <w:lang w:eastAsia="en-GB"/>
        </w:rPr>
        <w:noBreakHyphen/>
        <w:t>building and active listening, I need to further develop my skills in motivational interviewing, shared decision</w:t>
      </w:r>
      <w:r w:rsidR="00336AC2" w:rsidRPr="00336AC2">
        <w:rPr>
          <w:rFonts w:ascii="Arial" w:eastAsia="Times New Roman" w:hAnsi="Arial" w:cs="Arial"/>
          <w:lang w:eastAsia="en-GB"/>
        </w:rPr>
        <w:noBreakHyphen/>
        <w:t>making, and interprofessional communication. I also need to be more aware of how my own emotions</w:t>
      </w:r>
      <w:r w:rsidR="00EE5CBC">
        <w:rPr>
          <w:rFonts w:ascii="Arial" w:eastAsia="Times New Roman" w:hAnsi="Arial" w:cs="Arial"/>
          <w:lang w:eastAsia="en-GB"/>
        </w:rPr>
        <w:t xml:space="preserve"> such as frustration or concern </w:t>
      </w:r>
      <w:r w:rsidR="00336AC2" w:rsidRPr="00336AC2">
        <w:rPr>
          <w:rFonts w:ascii="Arial" w:eastAsia="Times New Roman" w:hAnsi="Arial" w:cs="Arial"/>
          <w:lang w:eastAsia="en-GB"/>
        </w:rPr>
        <w:t>may influence my responses. Overall, this reflection has reinforced my commitment to providing care that is compassionate, collaborative, and grounded in respect for individual autonomy.</w:t>
      </w:r>
    </w:p>
    <w:p w14:paraId="5A04AC2F" w14:textId="77777777" w:rsidR="00336AC2" w:rsidRPr="00336AC2" w:rsidRDefault="00336AC2" w:rsidP="00336AC2">
      <w:pPr>
        <w:spacing w:before="100" w:beforeAutospacing="1" w:after="100" w:afterAutospacing="1" w:line="360" w:lineRule="auto"/>
        <w:jc w:val="both"/>
        <w:rPr>
          <w:rFonts w:ascii="Arial" w:eastAsia="Times New Roman" w:hAnsi="Arial" w:cs="Arial"/>
          <w:b/>
          <w:bCs/>
          <w:lang w:eastAsia="en-GB"/>
        </w:rPr>
      </w:pPr>
      <w:r w:rsidRPr="00336AC2">
        <w:rPr>
          <w:rFonts w:ascii="Arial" w:eastAsia="Times New Roman" w:hAnsi="Arial" w:cs="Arial"/>
          <w:b/>
          <w:bCs/>
          <w:lang w:eastAsia="en-GB"/>
        </w:rPr>
        <w:t>6. Action Plan</w:t>
      </w:r>
    </w:p>
    <w:p w14:paraId="004E5E72"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To improve my practice, I will take several steps:</w:t>
      </w:r>
    </w:p>
    <w:p w14:paraId="5989E6F2"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Develop motivational interviewing skills</w:t>
      </w:r>
      <w:r w:rsidRPr="00336AC2">
        <w:rPr>
          <w:rFonts w:ascii="Arial" w:eastAsia="Times New Roman" w:hAnsi="Arial" w:cs="Arial"/>
          <w:lang w:eastAsia="en-GB"/>
        </w:rPr>
        <w:t xml:space="preserve"> by completing formal training and practising OARS techniques (open questions, affirmations, reflective listening, summarising).</w:t>
      </w:r>
    </w:p>
    <w:p w14:paraId="1A6DC036"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Strengthen shared decision</w:t>
      </w:r>
      <w:r w:rsidRPr="00336AC2">
        <w:rPr>
          <w:rFonts w:ascii="Arial" w:eastAsia="Times New Roman" w:hAnsi="Arial" w:cs="Arial"/>
          <w:b/>
          <w:bCs/>
          <w:lang w:eastAsia="en-GB"/>
        </w:rPr>
        <w:noBreakHyphen/>
        <w:t>making</w:t>
      </w:r>
      <w:r w:rsidRPr="00336AC2">
        <w:rPr>
          <w:rFonts w:ascii="Arial" w:eastAsia="Times New Roman" w:hAnsi="Arial" w:cs="Arial"/>
          <w:lang w:eastAsia="en-GB"/>
        </w:rPr>
        <w:t xml:space="preserve"> by consistently using accessible language, checking understanding, and encouraging individuals to articulate their own goals.</w:t>
      </w:r>
    </w:p>
    <w:p w14:paraId="7F73A7DD"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Enhance interprofessional collaboration</w:t>
      </w:r>
      <w:r w:rsidRPr="00336AC2">
        <w:rPr>
          <w:rFonts w:ascii="Arial" w:eastAsia="Times New Roman" w:hAnsi="Arial" w:cs="Arial"/>
          <w:lang w:eastAsia="en-GB"/>
        </w:rPr>
        <w:t xml:space="preserve"> by participating more actively in multidisciplinary discussions, improving documentation clarity, and seeking feedback from colleagues.</w:t>
      </w:r>
    </w:p>
    <w:p w14:paraId="12FBB7BC"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Apply structured reflection regularly</w:t>
      </w:r>
      <w:r w:rsidRPr="00336AC2">
        <w:rPr>
          <w:rFonts w:ascii="Arial" w:eastAsia="Times New Roman" w:hAnsi="Arial" w:cs="Arial"/>
          <w:lang w:eastAsia="en-GB"/>
        </w:rPr>
        <w:t xml:space="preserve"> using Gibbs’ cycle after complex interactions to identify learning points and emotional responses.</w:t>
      </w:r>
    </w:p>
    <w:p w14:paraId="5DC450E1"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Maintain ethical sensitivity</w:t>
      </w:r>
      <w:r w:rsidRPr="00336AC2">
        <w:rPr>
          <w:rFonts w:ascii="Arial" w:eastAsia="Times New Roman" w:hAnsi="Arial" w:cs="Arial"/>
          <w:lang w:eastAsia="en-GB"/>
        </w:rPr>
        <w:t xml:space="preserve"> by revisiting professional codes, reflecting on autonomy and safeguarding dilemmas, and seeking supervision when needed.</w:t>
      </w:r>
    </w:p>
    <w:p w14:paraId="4F5FC0AC"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Continue CPD</w:t>
      </w:r>
      <w:r w:rsidRPr="00336AC2">
        <w:rPr>
          <w:rFonts w:ascii="Arial" w:eastAsia="Times New Roman" w:hAnsi="Arial" w:cs="Arial"/>
          <w:lang w:eastAsia="en-GB"/>
        </w:rPr>
        <w:t xml:space="preserve"> in personalised care planning, cultural competence, and communication to align with NHS priorities and evidence</w:t>
      </w:r>
      <w:r w:rsidRPr="00336AC2">
        <w:rPr>
          <w:rFonts w:ascii="Arial" w:eastAsia="Times New Roman" w:hAnsi="Arial" w:cs="Arial"/>
          <w:lang w:eastAsia="en-GB"/>
        </w:rPr>
        <w:noBreakHyphen/>
        <w:t>based practice.</w:t>
      </w:r>
    </w:p>
    <w:p w14:paraId="276F66C5"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lastRenderedPageBreak/>
        <w:t>Advocate for holistic assessment</w:t>
      </w:r>
      <w:r w:rsidRPr="00336AC2">
        <w:rPr>
          <w:rFonts w:ascii="Arial" w:eastAsia="Times New Roman" w:hAnsi="Arial" w:cs="Arial"/>
          <w:lang w:eastAsia="en-GB"/>
        </w:rPr>
        <w:t xml:space="preserve"> by confidently rais</w:t>
      </w:r>
      <w:r w:rsidR="00EE5CBC">
        <w:rPr>
          <w:rFonts w:ascii="Arial" w:eastAsia="Times New Roman" w:hAnsi="Arial" w:cs="Arial"/>
          <w:lang w:eastAsia="en-GB"/>
        </w:rPr>
        <w:t xml:space="preserve">ing concerns when wider factors </w:t>
      </w:r>
      <w:r w:rsidRPr="00336AC2">
        <w:rPr>
          <w:rFonts w:ascii="Arial" w:eastAsia="Times New Roman" w:hAnsi="Arial" w:cs="Arial"/>
          <w:lang w:eastAsia="en-GB"/>
        </w:rPr>
        <w:t>such as physical health, emotional wellb</w:t>
      </w:r>
      <w:r w:rsidR="00EE5CBC">
        <w:rPr>
          <w:rFonts w:ascii="Arial" w:eastAsia="Times New Roman" w:hAnsi="Arial" w:cs="Arial"/>
          <w:lang w:eastAsia="en-GB"/>
        </w:rPr>
        <w:t xml:space="preserve">eing, or environmental barriers </w:t>
      </w:r>
      <w:r w:rsidRPr="00336AC2">
        <w:rPr>
          <w:rFonts w:ascii="Arial" w:eastAsia="Times New Roman" w:hAnsi="Arial" w:cs="Arial"/>
          <w:lang w:eastAsia="en-GB"/>
        </w:rPr>
        <w:t>may be affecting engagement.</w:t>
      </w:r>
    </w:p>
    <w:p w14:paraId="0EF907A4" w14:textId="444A4D4F" w:rsidR="00C07634" w:rsidRDefault="00C07634" w:rsidP="00352706">
      <w:pPr>
        <w:pStyle w:val="Heading4"/>
        <w:rPr>
          <w:rFonts w:eastAsia="Times New Roman"/>
          <w:i w:val="0"/>
          <w:iCs w:val="0"/>
          <w:lang w:eastAsia="en-GB"/>
        </w:rPr>
      </w:pPr>
    </w:p>
    <w:p w14:paraId="085D90D6" w14:textId="5098B6A4" w:rsidR="00352706" w:rsidRPr="00B15303" w:rsidRDefault="00352706" w:rsidP="00352706">
      <w:pPr>
        <w:rPr>
          <w:rFonts w:ascii="Arial" w:hAnsi="Arial" w:cs="Arial"/>
          <w:sz w:val="28"/>
          <w:szCs w:val="28"/>
          <w:lang w:eastAsia="en-GB"/>
        </w:rPr>
      </w:pPr>
      <w:r w:rsidRPr="00B15303">
        <w:rPr>
          <w:rFonts w:ascii="Arial" w:hAnsi="Arial" w:cs="Arial"/>
          <w:sz w:val="28"/>
          <w:szCs w:val="28"/>
          <w:lang w:eastAsia="en-GB"/>
        </w:rPr>
        <w:t>Conclusion</w:t>
      </w:r>
    </w:p>
    <w:p w14:paraId="02A6E6BD" w14:textId="77777777" w:rsidR="00C07634" w:rsidRPr="00C07634" w:rsidRDefault="00C07634" w:rsidP="00C07634">
      <w:pPr>
        <w:spacing w:before="100" w:beforeAutospacing="1" w:after="100" w:afterAutospacing="1" w:line="360" w:lineRule="auto"/>
        <w:jc w:val="both"/>
        <w:rPr>
          <w:rFonts w:ascii="Arial" w:eastAsia="Times New Roman" w:hAnsi="Arial" w:cs="Arial"/>
          <w:bCs/>
          <w:lang w:eastAsia="en-GB"/>
        </w:rPr>
      </w:pPr>
      <w:r w:rsidRPr="00C07634">
        <w:rPr>
          <w:rFonts w:ascii="Arial" w:eastAsia="Times New Roman" w:hAnsi="Arial" w:cs="Arial"/>
          <w:bCs/>
          <w:lang w:eastAsia="en-GB"/>
        </w:rPr>
        <w:t>Person centred care, partnership working, and ethical practice are essential principles that ensure dignity, uphold individual rights, and promote high quality care. Joan’s story demonstrates how these principles work together to support meaningful engagement, reduce barriers, and improve health outcomes, particularly for individuals managing long term conditions. When applied collaboratively, they promote coordinated decision making and lawful, person focused care in line with the Health and Care Act 2022. These principles also strengthen professional practice by fostering empathy, reflective thinking, and shared accountability.</w:t>
      </w:r>
    </w:p>
    <w:p w14:paraId="57EE9110" w14:textId="77777777" w:rsidR="00EB387B" w:rsidRPr="00EB387B" w:rsidRDefault="00C07634" w:rsidP="00C07634">
      <w:pPr>
        <w:spacing w:before="100" w:beforeAutospacing="1" w:after="100" w:afterAutospacing="1" w:line="360" w:lineRule="auto"/>
        <w:jc w:val="both"/>
        <w:rPr>
          <w:rFonts w:ascii="Arial" w:eastAsia="Times New Roman" w:hAnsi="Arial" w:cs="Arial"/>
          <w:bCs/>
          <w:lang w:eastAsia="en-GB"/>
        </w:rPr>
      </w:pPr>
      <w:r w:rsidRPr="00C07634">
        <w:rPr>
          <w:rFonts w:ascii="Arial" w:eastAsia="Times New Roman" w:hAnsi="Arial" w:cs="Arial"/>
          <w:bCs/>
          <w:lang w:eastAsia="en-GB"/>
        </w:rPr>
        <w:t xml:space="preserve">Using frameworks such as the CQC standards, NICE guidance, and Gibbs’ Reflective Cycle enables practitioners to evaluate their actions, recognise areas for improvement, and continually enhance the quality of care they provide. Integrating partnership working with ethical and </w:t>
      </w:r>
      <w:proofErr w:type="gramStart"/>
      <w:r w:rsidRPr="00C07634">
        <w:rPr>
          <w:rFonts w:ascii="Arial" w:eastAsia="Times New Roman" w:hAnsi="Arial" w:cs="Arial"/>
          <w:bCs/>
          <w:lang w:eastAsia="en-GB"/>
        </w:rPr>
        <w:t>person centred</w:t>
      </w:r>
      <w:proofErr w:type="gramEnd"/>
      <w:r w:rsidRPr="00C07634">
        <w:rPr>
          <w:rFonts w:ascii="Arial" w:eastAsia="Times New Roman" w:hAnsi="Arial" w:cs="Arial"/>
          <w:bCs/>
          <w:lang w:eastAsia="en-GB"/>
        </w:rPr>
        <w:t xml:space="preserve"> approaches </w:t>
      </w:r>
      <w:proofErr w:type="gramStart"/>
      <w:r w:rsidRPr="00C07634">
        <w:rPr>
          <w:rFonts w:ascii="Arial" w:eastAsia="Times New Roman" w:hAnsi="Arial" w:cs="Arial"/>
          <w:bCs/>
          <w:lang w:eastAsia="en-GB"/>
        </w:rPr>
        <w:t>helps</w:t>
      </w:r>
      <w:proofErr w:type="gramEnd"/>
      <w:r w:rsidRPr="00C07634">
        <w:rPr>
          <w:rFonts w:ascii="Arial" w:eastAsia="Times New Roman" w:hAnsi="Arial" w:cs="Arial"/>
          <w:bCs/>
          <w:lang w:eastAsia="en-GB"/>
        </w:rPr>
        <w:t xml:space="preserve"> reduce risks such as miscommunication and fragmented care. Ultimately, these principles support both service user wellbeing and ongoing professional development.</w:t>
      </w:r>
    </w:p>
    <w:p w14:paraId="763FF9B0" w14:textId="77777777" w:rsidR="006A5EC2" w:rsidRDefault="006A5EC2" w:rsidP="00EE5CBC">
      <w:pPr>
        <w:spacing w:before="100" w:beforeAutospacing="1" w:after="100" w:afterAutospacing="1" w:line="360" w:lineRule="auto"/>
        <w:jc w:val="both"/>
        <w:rPr>
          <w:rFonts w:ascii="Arial" w:eastAsia="Times New Roman" w:hAnsi="Arial" w:cs="Arial"/>
          <w:b/>
          <w:bCs/>
          <w:lang w:eastAsia="en-GB"/>
        </w:rPr>
      </w:pPr>
    </w:p>
    <w:p w14:paraId="0F5AD4D8" w14:textId="77777777" w:rsidR="00C07634" w:rsidRDefault="00C07634" w:rsidP="00EE5CBC">
      <w:pPr>
        <w:spacing w:before="100" w:beforeAutospacing="1" w:after="100" w:afterAutospacing="1" w:line="360" w:lineRule="auto"/>
        <w:jc w:val="both"/>
        <w:rPr>
          <w:rFonts w:ascii="Arial" w:eastAsia="Times New Roman" w:hAnsi="Arial" w:cs="Arial"/>
          <w:b/>
          <w:bCs/>
          <w:lang w:eastAsia="en-GB"/>
        </w:rPr>
      </w:pPr>
    </w:p>
    <w:p w14:paraId="2AA41858" w14:textId="77777777" w:rsidR="00C07634" w:rsidRDefault="00C07634" w:rsidP="00EE5CBC">
      <w:pPr>
        <w:spacing w:before="100" w:beforeAutospacing="1" w:after="100" w:afterAutospacing="1" w:line="360" w:lineRule="auto"/>
        <w:jc w:val="both"/>
        <w:rPr>
          <w:rFonts w:ascii="Arial" w:eastAsia="Times New Roman" w:hAnsi="Arial" w:cs="Arial"/>
          <w:b/>
          <w:bCs/>
          <w:lang w:eastAsia="en-GB"/>
        </w:rPr>
      </w:pPr>
    </w:p>
    <w:p w14:paraId="7446B272" w14:textId="77777777" w:rsidR="00C07634" w:rsidRDefault="00C07634" w:rsidP="00EE5CBC">
      <w:pPr>
        <w:spacing w:before="100" w:beforeAutospacing="1" w:after="100" w:afterAutospacing="1" w:line="360" w:lineRule="auto"/>
        <w:jc w:val="both"/>
        <w:rPr>
          <w:rFonts w:ascii="Arial" w:eastAsia="Times New Roman" w:hAnsi="Arial" w:cs="Arial"/>
          <w:b/>
          <w:bCs/>
          <w:lang w:eastAsia="en-GB"/>
        </w:rPr>
      </w:pPr>
    </w:p>
    <w:p w14:paraId="3486BFE4" w14:textId="6ACBB96F" w:rsidR="00EB387B" w:rsidRPr="00B15303" w:rsidRDefault="00B15303" w:rsidP="00352706">
      <w:pPr>
        <w:pStyle w:val="Heading5"/>
        <w:rPr>
          <w:rFonts w:ascii="Arial" w:eastAsia="Times New Roman" w:hAnsi="Arial" w:cs="Arial"/>
          <w:b/>
          <w:bCs/>
          <w:color w:val="auto"/>
          <w:lang w:eastAsia="en-GB"/>
        </w:rPr>
      </w:pPr>
      <w:r w:rsidRPr="00B15303">
        <w:rPr>
          <w:rFonts w:ascii="Arial" w:eastAsia="Times New Roman" w:hAnsi="Arial" w:cs="Arial"/>
          <w:b/>
          <w:bCs/>
          <w:color w:val="auto"/>
          <w:lang w:eastAsia="en-GB"/>
        </w:rPr>
        <w:t>Reference list</w:t>
      </w:r>
    </w:p>
    <w:p w14:paraId="307C62F3" w14:textId="77777777" w:rsidR="00EE5CBC" w:rsidRPr="00EB387B" w:rsidRDefault="00EE5CBC" w:rsidP="00EE5CBC">
      <w:pPr>
        <w:spacing w:before="100" w:beforeAutospacing="1" w:after="100" w:afterAutospacing="1" w:line="360" w:lineRule="auto"/>
        <w:jc w:val="both"/>
        <w:rPr>
          <w:rFonts w:ascii="Arial" w:eastAsia="Times New Roman" w:hAnsi="Arial" w:cs="Arial"/>
          <w:bCs/>
          <w:lang w:eastAsia="en-GB"/>
        </w:rPr>
      </w:pPr>
      <w:r w:rsidRPr="00EB387B">
        <w:rPr>
          <w:rFonts w:ascii="Arial" w:eastAsia="Times New Roman" w:hAnsi="Arial" w:cs="Arial"/>
          <w:bCs/>
          <w:lang w:eastAsia="en-GB"/>
        </w:rPr>
        <w:t>Banks, S. (2020)</w:t>
      </w:r>
      <w:r w:rsidRPr="00EB387B">
        <w:rPr>
          <w:rFonts w:ascii="Arial" w:eastAsia="Times New Roman" w:hAnsi="Arial" w:cs="Arial"/>
          <w:lang w:eastAsia="en-GB"/>
        </w:rPr>
        <w:t xml:space="preserve"> </w:t>
      </w:r>
      <w:r w:rsidRPr="00EB387B">
        <w:rPr>
          <w:rFonts w:ascii="Arial" w:eastAsia="Times New Roman" w:hAnsi="Arial" w:cs="Arial"/>
          <w:i/>
          <w:iCs/>
          <w:lang w:eastAsia="en-GB"/>
        </w:rPr>
        <w:t>Ethics and Values in Social Work</w:t>
      </w:r>
      <w:r w:rsidRPr="00EB387B">
        <w:rPr>
          <w:rFonts w:ascii="Arial" w:eastAsia="Times New Roman" w:hAnsi="Arial" w:cs="Arial"/>
          <w:lang w:eastAsia="en-GB"/>
        </w:rPr>
        <w:t>. London: Red Globe Press.</w:t>
      </w:r>
    </w:p>
    <w:p w14:paraId="2EECC4F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Bandura, A. (1977)</w:t>
      </w:r>
      <w:r w:rsidRPr="00EB387B">
        <w:rPr>
          <w:rFonts w:ascii="Arial" w:eastAsia="Times New Roman" w:hAnsi="Arial" w:cs="Arial"/>
          <w:lang w:eastAsia="en-GB"/>
        </w:rPr>
        <w:t xml:space="preserve"> ‘Self-efficacy: Toward a unifying theory of behavioural change’, </w:t>
      </w:r>
      <w:r w:rsidRPr="00EB387B">
        <w:rPr>
          <w:rFonts w:ascii="Arial" w:eastAsia="Times New Roman" w:hAnsi="Arial" w:cs="Arial"/>
          <w:i/>
          <w:iCs/>
          <w:lang w:eastAsia="en-GB"/>
        </w:rPr>
        <w:t>Psychological Review</w:t>
      </w:r>
      <w:r w:rsidRPr="00EB387B">
        <w:rPr>
          <w:rFonts w:ascii="Arial" w:eastAsia="Times New Roman" w:hAnsi="Arial" w:cs="Arial"/>
          <w:lang w:eastAsia="en-GB"/>
        </w:rPr>
        <w:t>, 84(2), pp. 191–215.</w:t>
      </w:r>
    </w:p>
    <w:p w14:paraId="4C4C2206"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Beauchamp, T.L. and Childress, J.F. (2019)</w:t>
      </w:r>
      <w:r w:rsidRPr="00EB387B">
        <w:rPr>
          <w:rFonts w:ascii="Arial" w:eastAsia="Times New Roman" w:hAnsi="Arial" w:cs="Arial"/>
          <w:lang w:eastAsia="en-GB"/>
        </w:rPr>
        <w:t xml:space="preserve"> </w:t>
      </w:r>
      <w:r w:rsidRPr="00EB387B">
        <w:rPr>
          <w:rFonts w:ascii="Arial" w:eastAsia="Times New Roman" w:hAnsi="Arial" w:cs="Arial"/>
          <w:i/>
          <w:iCs/>
          <w:lang w:eastAsia="en-GB"/>
        </w:rPr>
        <w:t>Principles of Biomedical Ethics</w:t>
      </w:r>
      <w:r w:rsidRPr="00EB387B">
        <w:rPr>
          <w:rFonts w:ascii="Arial" w:eastAsia="Times New Roman" w:hAnsi="Arial" w:cs="Arial"/>
          <w:lang w:eastAsia="en-GB"/>
        </w:rPr>
        <w:t xml:space="preserve">. 8th </w:t>
      </w:r>
      <w:proofErr w:type="spellStart"/>
      <w:r w:rsidRPr="00EB387B">
        <w:rPr>
          <w:rFonts w:ascii="Arial" w:eastAsia="Times New Roman" w:hAnsi="Arial" w:cs="Arial"/>
          <w:lang w:eastAsia="en-GB"/>
        </w:rPr>
        <w:t>edn</w:t>
      </w:r>
      <w:proofErr w:type="spellEnd"/>
      <w:r w:rsidRPr="00EB387B">
        <w:rPr>
          <w:rFonts w:ascii="Arial" w:eastAsia="Times New Roman" w:hAnsi="Arial" w:cs="Arial"/>
          <w:lang w:eastAsia="en-GB"/>
        </w:rPr>
        <w:t>. Oxford: Oxford University Press.</w:t>
      </w:r>
    </w:p>
    <w:p w14:paraId="1FC21D2B"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lastRenderedPageBreak/>
        <w:t>Bronfenbrenner, U. (1979)</w:t>
      </w:r>
      <w:r w:rsidRPr="00EB387B">
        <w:rPr>
          <w:rFonts w:ascii="Arial" w:eastAsia="Times New Roman" w:hAnsi="Arial" w:cs="Arial"/>
          <w:lang w:eastAsia="en-GB"/>
        </w:rPr>
        <w:t xml:space="preserve"> </w:t>
      </w:r>
      <w:r w:rsidRPr="00EB387B">
        <w:rPr>
          <w:rFonts w:ascii="Arial" w:eastAsia="Times New Roman" w:hAnsi="Arial" w:cs="Arial"/>
          <w:i/>
          <w:iCs/>
          <w:lang w:eastAsia="en-GB"/>
        </w:rPr>
        <w:t>The Ecology of Human Development</w:t>
      </w:r>
      <w:r w:rsidRPr="00EB387B">
        <w:rPr>
          <w:rFonts w:ascii="Arial" w:eastAsia="Times New Roman" w:hAnsi="Arial" w:cs="Arial"/>
          <w:lang w:eastAsia="en-GB"/>
        </w:rPr>
        <w:t>. Cambridge, MA: Harvard University Press.</w:t>
      </w:r>
    </w:p>
    <w:p w14:paraId="74E5BE0E"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Cameron, A., Lart, R., Bostock, L. and Coomber, C. (2014)</w:t>
      </w:r>
      <w:r w:rsidRPr="00EB387B">
        <w:rPr>
          <w:rFonts w:ascii="Arial" w:eastAsia="Times New Roman" w:hAnsi="Arial" w:cs="Arial"/>
          <w:lang w:eastAsia="en-GB"/>
        </w:rPr>
        <w:t xml:space="preserve"> </w:t>
      </w:r>
      <w:r w:rsidRPr="00EB387B">
        <w:rPr>
          <w:rFonts w:ascii="Arial" w:eastAsia="Times New Roman" w:hAnsi="Arial" w:cs="Arial"/>
          <w:i/>
          <w:iCs/>
          <w:lang w:eastAsia="en-GB"/>
        </w:rPr>
        <w:t>Factors that promote and hinder joint and integrated working</w:t>
      </w:r>
      <w:r w:rsidRPr="00EB387B">
        <w:rPr>
          <w:rFonts w:ascii="Arial" w:eastAsia="Times New Roman" w:hAnsi="Arial" w:cs="Arial"/>
          <w:lang w:eastAsia="en-GB"/>
        </w:rPr>
        <w:t>. London: Social Care Institute for Excellence.</w:t>
      </w:r>
    </w:p>
    <w:p w14:paraId="2CB90B3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Care Act 2014</w:t>
      </w:r>
      <w:r w:rsidRPr="00EB387B">
        <w:rPr>
          <w:rFonts w:ascii="Arial" w:eastAsia="Times New Roman" w:hAnsi="Arial" w:cs="Arial"/>
          <w:lang w:eastAsia="en-GB"/>
        </w:rPr>
        <w:t>. London: HMSO.</w:t>
      </w:r>
    </w:p>
    <w:p w14:paraId="51EFCE4A"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Coulter, A., Roberts, S. and Dixon, A. (2015)</w:t>
      </w:r>
      <w:r w:rsidRPr="00EB387B">
        <w:rPr>
          <w:rFonts w:ascii="Arial" w:eastAsia="Times New Roman" w:hAnsi="Arial" w:cs="Arial"/>
          <w:lang w:eastAsia="en-GB"/>
        </w:rPr>
        <w:t xml:space="preserve"> </w:t>
      </w:r>
      <w:r w:rsidRPr="00EB387B">
        <w:rPr>
          <w:rFonts w:ascii="Arial" w:eastAsia="Times New Roman" w:hAnsi="Arial" w:cs="Arial"/>
          <w:i/>
          <w:iCs/>
          <w:lang w:eastAsia="en-GB"/>
        </w:rPr>
        <w:t>Delivering better services for people with long-term conditions: Building the house of care</w:t>
      </w:r>
      <w:r w:rsidRPr="00EB387B">
        <w:rPr>
          <w:rFonts w:ascii="Arial" w:eastAsia="Times New Roman" w:hAnsi="Arial" w:cs="Arial"/>
          <w:lang w:eastAsia="en-GB"/>
        </w:rPr>
        <w:t>. London: The King’s Fund.</w:t>
      </w:r>
    </w:p>
    <w:p w14:paraId="77C9C52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Gibbs, G. (1988)</w:t>
      </w:r>
      <w:r w:rsidRPr="00EB387B">
        <w:rPr>
          <w:rFonts w:ascii="Arial" w:eastAsia="Times New Roman" w:hAnsi="Arial" w:cs="Arial"/>
          <w:lang w:eastAsia="en-GB"/>
        </w:rPr>
        <w:t xml:space="preserve"> </w:t>
      </w:r>
      <w:r w:rsidRPr="00EB387B">
        <w:rPr>
          <w:rFonts w:ascii="Arial" w:eastAsia="Times New Roman" w:hAnsi="Arial" w:cs="Arial"/>
          <w:i/>
          <w:iCs/>
          <w:lang w:eastAsia="en-GB"/>
        </w:rPr>
        <w:t>Learning by Doing: A Guide to Teaching and Learning Methods</w:t>
      </w:r>
      <w:r w:rsidRPr="00EB387B">
        <w:rPr>
          <w:rFonts w:ascii="Arial" w:eastAsia="Times New Roman" w:hAnsi="Arial" w:cs="Arial"/>
          <w:lang w:eastAsia="en-GB"/>
        </w:rPr>
        <w:t>. Oxford: Oxford Polytechnic.</w:t>
      </w:r>
    </w:p>
    <w:p w14:paraId="129D1B99"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Glasby, J. and Dickinson, H. (2014)</w:t>
      </w:r>
      <w:r w:rsidRPr="00EB387B">
        <w:rPr>
          <w:rFonts w:ascii="Arial" w:eastAsia="Times New Roman" w:hAnsi="Arial" w:cs="Arial"/>
          <w:lang w:eastAsia="en-GB"/>
        </w:rPr>
        <w:t xml:space="preserve"> </w:t>
      </w:r>
      <w:r w:rsidRPr="00EB387B">
        <w:rPr>
          <w:rFonts w:ascii="Arial" w:eastAsia="Times New Roman" w:hAnsi="Arial" w:cs="Arial"/>
          <w:i/>
          <w:iCs/>
          <w:lang w:eastAsia="en-GB"/>
        </w:rPr>
        <w:t>Partnership Working in Health and Social Care</w:t>
      </w:r>
      <w:r w:rsidRPr="00EB387B">
        <w:rPr>
          <w:rFonts w:ascii="Arial" w:eastAsia="Times New Roman" w:hAnsi="Arial" w:cs="Arial"/>
          <w:lang w:eastAsia="en-GB"/>
        </w:rPr>
        <w:t>. Bristol: Policy Press.</w:t>
      </w:r>
    </w:p>
    <w:p w14:paraId="30387980"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Goodwin, N., Smith, J., Davies, A., Perry, C., Rosen, R., Dixon, A., Dixon, J. and Ham, C. (2012)</w:t>
      </w:r>
      <w:r w:rsidRPr="00EB387B">
        <w:rPr>
          <w:rFonts w:ascii="Arial" w:eastAsia="Times New Roman" w:hAnsi="Arial" w:cs="Arial"/>
          <w:lang w:eastAsia="en-GB"/>
        </w:rPr>
        <w:t xml:space="preserve"> </w:t>
      </w:r>
      <w:r w:rsidRPr="00EB387B">
        <w:rPr>
          <w:rFonts w:ascii="Arial" w:eastAsia="Times New Roman" w:hAnsi="Arial" w:cs="Arial"/>
          <w:i/>
          <w:iCs/>
          <w:lang w:eastAsia="en-GB"/>
        </w:rPr>
        <w:t>Integrated care for patients and populations: Improving outcomes by working together</w:t>
      </w:r>
      <w:r w:rsidRPr="00EB387B">
        <w:rPr>
          <w:rFonts w:ascii="Arial" w:eastAsia="Times New Roman" w:hAnsi="Arial" w:cs="Arial"/>
          <w:lang w:eastAsia="en-GB"/>
        </w:rPr>
        <w:t>. London: The King’s Fund.</w:t>
      </w:r>
    </w:p>
    <w:p w14:paraId="0199F0D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Ham, C., Heenan, D., Longley, M. and Steel, D. (2018)</w:t>
      </w:r>
      <w:r w:rsidRPr="00EB387B">
        <w:rPr>
          <w:rFonts w:ascii="Arial" w:eastAsia="Times New Roman" w:hAnsi="Arial" w:cs="Arial"/>
          <w:lang w:eastAsia="en-GB"/>
        </w:rPr>
        <w:t xml:space="preserve"> </w:t>
      </w:r>
      <w:r w:rsidRPr="00EB387B">
        <w:rPr>
          <w:rFonts w:ascii="Arial" w:eastAsia="Times New Roman" w:hAnsi="Arial" w:cs="Arial"/>
          <w:i/>
          <w:iCs/>
          <w:lang w:eastAsia="en-GB"/>
        </w:rPr>
        <w:t>Making sense of integrated care systems, integrated care partnerships and accountable care organisations in the NHS in England</w:t>
      </w:r>
      <w:r w:rsidRPr="00EB387B">
        <w:rPr>
          <w:rFonts w:ascii="Arial" w:eastAsia="Times New Roman" w:hAnsi="Arial" w:cs="Arial"/>
          <w:lang w:eastAsia="en-GB"/>
        </w:rPr>
        <w:t>. London: The King’s Fund.</w:t>
      </w:r>
    </w:p>
    <w:p w14:paraId="09B8B9E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Health and Care Act 2022</w:t>
      </w:r>
      <w:r w:rsidRPr="00EB387B">
        <w:rPr>
          <w:rFonts w:ascii="Arial" w:eastAsia="Times New Roman" w:hAnsi="Arial" w:cs="Arial"/>
          <w:lang w:eastAsia="en-GB"/>
        </w:rPr>
        <w:t>. London: HMSO.</w:t>
      </w:r>
    </w:p>
    <w:p w14:paraId="0EBF9D72"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Hibbard, J.H. and Gilburt, H. (2014)</w:t>
      </w:r>
      <w:r w:rsidRPr="00EB387B">
        <w:rPr>
          <w:rFonts w:ascii="Arial" w:eastAsia="Times New Roman" w:hAnsi="Arial" w:cs="Arial"/>
          <w:lang w:eastAsia="en-GB"/>
        </w:rPr>
        <w:t xml:space="preserve"> </w:t>
      </w:r>
      <w:r w:rsidRPr="00EB387B">
        <w:rPr>
          <w:rFonts w:ascii="Arial" w:eastAsia="Times New Roman" w:hAnsi="Arial" w:cs="Arial"/>
          <w:i/>
          <w:iCs/>
          <w:lang w:eastAsia="en-GB"/>
        </w:rPr>
        <w:t>Supporting people to manage their health: An introduction to patient activation</w:t>
      </w:r>
      <w:r w:rsidRPr="00EB387B">
        <w:rPr>
          <w:rFonts w:ascii="Arial" w:eastAsia="Times New Roman" w:hAnsi="Arial" w:cs="Arial"/>
          <w:lang w:eastAsia="en-GB"/>
        </w:rPr>
        <w:t>. London: The King’s Fund.</w:t>
      </w:r>
    </w:p>
    <w:p w14:paraId="6807DFF0"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Human Rights Act 1998</w:t>
      </w:r>
      <w:r w:rsidRPr="00EB387B">
        <w:rPr>
          <w:rFonts w:ascii="Arial" w:eastAsia="Times New Roman" w:hAnsi="Arial" w:cs="Arial"/>
          <w:lang w:eastAsia="en-GB"/>
        </w:rPr>
        <w:t>. London: HMSO.</w:t>
      </w:r>
    </w:p>
    <w:p w14:paraId="1126E14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Maslow, A.H. (1943)</w:t>
      </w:r>
      <w:r w:rsidRPr="00EB387B">
        <w:rPr>
          <w:rFonts w:ascii="Arial" w:eastAsia="Times New Roman" w:hAnsi="Arial" w:cs="Arial"/>
          <w:lang w:eastAsia="en-GB"/>
        </w:rPr>
        <w:t xml:space="preserve"> ‘A theory of human motivation’, </w:t>
      </w:r>
      <w:r w:rsidRPr="00EB387B">
        <w:rPr>
          <w:rFonts w:ascii="Arial" w:eastAsia="Times New Roman" w:hAnsi="Arial" w:cs="Arial"/>
          <w:i/>
          <w:iCs/>
          <w:lang w:eastAsia="en-GB"/>
        </w:rPr>
        <w:t>Psychological Review</w:t>
      </w:r>
      <w:r w:rsidRPr="00EB387B">
        <w:rPr>
          <w:rFonts w:ascii="Arial" w:eastAsia="Times New Roman" w:hAnsi="Arial" w:cs="Arial"/>
          <w:lang w:eastAsia="en-GB"/>
        </w:rPr>
        <w:t>, 50(4), pp. 370–396.</w:t>
      </w:r>
    </w:p>
    <w:p w14:paraId="1B9C3B5B"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Miller, W.R. and Rollnick, S. (2010)</w:t>
      </w:r>
      <w:r w:rsidRPr="00EB387B">
        <w:rPr>
          <w:rFonts w:ascii="Arial" w:eastAsia="Times New Roman" w:hAnsi="Arial" w:cs="Arial"/>
          <w:lang w:eastAsia="en-GB"/>
        </w:rPr>
        <w:t xml:space="preserve"> </w:t>
      </w:r>
      <w:r w:rsidRPr="00EB387B">
        <w:rPr>
          <w:rFonts w:ascii="Arial" w:eastAsia="Times New Roman" w:hAnsi="Arial" w:cs="Arial"/>
          <w:i/>
          <w:iCs/>
          <w:lang w:eastAsia="en-GB"/>
        </w:rPr>
        <w:t>Motivational Interviewing: Helping People Change</w:t>
      </w:r>
      <w:r w:rsidRPr="00EB387B">
        <w:rPr>
          <w:rFonts w:ascii="Arial" w:eastAsia="Times New Roman" w:hAnsi="Arial" w:cs="Arial"/>
          <w:lang w:eastAsia="en-GB"/>
        </w:rPr>
        <w:t xml:space="preserve">. 3rd </w:t>
      </w:r>
      <w:proofErr w:type="spellStart"/>
      <w:r w:rsidRPr="00EB387B">
        <w:rPr>
          <w:rFonts w:ascii="Arial" w:eastAsia="Times New Roman" w:hAnsi="Arial" w:cs="Arial"/>
          <w:lang w:eastAsia="en-GB"/>
        </w:rPr>
        <w:t>edn</w:t>
      </w:r>
      <w:proofErr w:type="spellEnd"/>
      <w:r w:rsidRPr="00EB387B">
        <w:rPr>
          <w:rFonts w:ascii="Arial" w:eastAsia="Times New Roman" w:hAnsi="Arial" w:cs="Arial"/>
          <w:lang w:eastAsia="en-GB"/>
        </w:rPr>
        <w:t>. New York: Guilford Press.</w:t>
      </w:r>
    </w:p>
    <w:p w14:paraId="539DC323"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National Institute for Health and Care Excellence (2021)</w:t>
      </w:r>
      <w:r w:rsidRPr="00EB387B">
        <w:rPr>
          <w:rFonts w:ascii="Arial" w:eastAsia="Times New Roman" w:hAnsi="Arial" w:cs="Arial"/>
          <w:lang w:eastAsia="en-GB"/>
        </w:rPr>
        <w:t xml:space="preserve"> </w:t>
      </w:r>
      <w:r w:rsidRPr="00EB387B">
        <w:rPr>
          <w:rFonts w:ascii="Arial" w:eastAsia="Times New Roman" w:hAnsi="Arial" w:cs="Arial"/>
          <w:i/>
          <w:iCs/>
          <w:lang w:eastAsia="en-GB"/>
        </w:rPr>
        <w:t>Shared decision making (NG197)</w:t>
      </w:r>
      <w:r w:rsidRPr="00EB387B">
        <w:rPr>
          <w:rFonts w:ascii="Arial" w:eastAsia="Times New Roman" w:hAnsi="Arial" w:cs="Arial"/>
          <w:lang w:eastAsia="en-GB"/>
        </w:rPr>
        <w:t>. London: NICE.</w:t>
      </w:r>
    </w:p>
    <w:p w14:paraId="6653EE94"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lastRenderedPageBreak/>
        <w:t>NHS England (2023)</w:t>
      </w:r>
      <w:r w:rsidRPr="00EB387B">
        <w:rPr>
          <w:rFonts w:ascii="Arial" w:eastAsia="Times New Roman" w:hAnsi="Arial" w:cs="Arial"/>
          <w:lang w:eastAsia="en-GB"/>
        </w:rPr>
        <w:t xml:space="preserve"> </w:t>
      </w:r>
      <w:r w:rsidRPr="00EB387B">
        <w:rPr>
          <w:rFonts w:ascii="Arial" w:eastAsia="Times New Roman" w:hAnsi="Arial" w:cs="Arial"/>
          <w:i/>
          <w:iCs/>
          <w:lang w:eastAsia="en-GB"/>
        </w:rPr>
        <w:t>Joan’s story: Personalised care case study</w:t>
      </w:r>
      <w:r w:rsidRPr="00EB387B">
        <w:rPr>
          <w:rFonts w:ascii="Arial" w:eastAsia="Times New Roman" w:hAnsi="Arial" w:cs="Arial"/>
          <w:lang w:eastAsia="en-GB"/>
        </w:rPr>
        <w:t>. London: NHS England.</w:t>
      </w:r>
    </w:p>
    <w:p w14:paraId="3CF48DF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Nursing and Midwifery Council (2018)</w:t>
      </w:r>
      <w:r w:rsidRPr="00EB387B">
        <w:rPr>
          <w:rFonts w:ascii="Arial" w:eastAsia="Times New Roman" w:hAnsi="Arial" w:cs="Arial"/>
          <w:lang w:eastAsia="en-GB"/>
        </w:rPr>
        <w:t xml:space="preserve"> </w:t>
      </w:r>
      <w:r w:rsidRPr="00EB387B">
        <w:rPr>
          <w:rFonts w:ascii="Arial" w:eastAsia="Times New Roman" w:hAnsi="Arial" w:cs="Arial"/>
          <w:i/>
          <w:iCs/>
          <w:lang w:eastAsia="en-GB"/>
        </w:rPr>
        <w:t>The Code: Professional standards of practice and behaviour for nurses, midwives and nursing associates</w:t>
      </w:r>
      <w:r w:rsidRPr="00EB387B">
        <w:rPr>
          <w:rFonts w:ascii="Arial" w:eastAsia="Times New Roman" w:hAnsi="Arial" w:cs="Arial"/>
          <w:lang w:eastAsia="en-GB"/>
        </w:rPr>
        <w:t>. London: NMC.</w:t>
      </w:r>
    </w:p>
    <w:p w14:paraId="0CF618CA"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Rogers, C.R. (1951)</w:t>
      </w:r>
      <w:r w:rsidRPr="00EB387B">
        <w:rPr>
          <w:rFonts w:ascii="Arial" w:eastAsia="Times New Roman" w:hAnsi="Arial" w:cs="Arial"/>
          <w:lang w:eastAsia="en-GB"/>
        </w:rPr>
        <w:t xml:space="preserve"> </w:t>
      </w:r>
      <w:r w:rsidRPr="00EB387B">
        <w:rPr>
          <w:rFonts w:ascii="Arial" w:eastAsia="Times New Roman" w:hAnsi="Arial" w:cs="Arial"/>
          <w:i/>
          <w:iCs/>
          <w:lang w:eastAsia="en-GB"/>
        </w:rPr>
        <w:t>Client-</w:t>
      </w:r>
      <w:proofErr w:type="spellStart"/>
      <w:r w:rsidRPr="00EB387B">
        <w:rPr>
          <w:rFonts w:ascii="Arial" w:eastAsia="Times New Roman" w:hAnsi="Arial" w:cs="Arial"/>
          <w:i/>
          <w:iCs/>
          <w:lang w:eastAsia="en-GB"/>
        </w:rPr>
        <w:t>Centered</w:t>
      </w:r>
      <w:proofErr w:type="spellEnd"/>
      <w:r w:rsidRPr="00EB387B">
        <w:rPr>
          <w:rFonts w:ascii="Arial" w:eastAsia="Times New Roman" w:hAnsi="Arial" w:cs="Arial"/>
          <w:i/>
          <w:iCs/>
          <w:lang w:eastAsia="en-GB"/>
        </w:rPr>
        <w:t xml:space="preserve"> Therapy: Its Current Practice, Implications and Theory</w:t>
      </w:r>
      <w:r w:rsidRPr="00EB387B">
        <w:rPr>
          <w:rFonts w:ascii="Arial" w:eastAsia="Times New Roman" w:hAnsi="Arial" w:cs="Arial"/>
          <w:lang w:eastAsia="en-GB"/>
        </w:rPr>
        <w:t>. Boston: Houghton Mifflin.</w:t>
      </w:r>
    </w:p>
    <w:p w14:paraId="5821C6BD"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Social Care Institute for Excellence (2022)</w:t>
      </w:r>
      <w:r w:rsidRPr="00EB387B">
        <w:rPr>
          <w:rFonts w:ascii="Arial" w:eastAsia="Times New Roman" w:hAnsi="Arial" w:cs="Arial"/>
          <w:lang w:eastAsia="en-GB"/>
        </w:rPr>
        <w:t xml:space="preserve"> </w:t>
      </w:r>
      <w:r w:rsidRPr="00EB387B">
        <w:rPr>
          <w:rFonts w:ascii="Arial" w:eastAsia="Times New Roman" w:hAnsi="Arial" w:cs="Arial"/>
          <w:i/>
          <w:iCs/>
          <w:lang w:eastAsia="en-GB"/>
        </w:rPr>
        <w:t>Partnership working in health and social care</w:t>
      </w:r>
      <w:r w:rsidRPr="00EB387B">
        <w:rPr>
          <w:rFonts w:ascii="Arial" w:eastAsia="Times New Roman" w:hAnsi="Arial" w:cs="Arial"/>
          <w:lang w:eastAsia="en-GB"/>
        </w:rPr>
        <w:t>. London: SCIE.</w:t>
      </w:r>
    </w:p>
    <w:p w14:paraId="22D213D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World Health Organization (2016)</w:t>
      </w:r>
      <w:r w:rsidRPr="00EB387B">
        <w:rPr>
          <w:rFonts w:ascii="Arial" w:eastAsia="Times New Roman" w:hAnsi="Arial" w:cs="Arial"/>
          <w:lang w:eastAsia="en-GB"/>
        </w:rPr>
        <w:t xml:space="preserve"> </w:t>
      </w:r>
      <w:r w:rsidRPr="00EB387B">
        <w:rPr>
          <w:rFonts w:ascii="Arial" w:eastAsia="Times New Roman" w:hAnsi="Arial" w:cs="Arial"/>
          <w:i/>
          <w:iCs/>
          <w:lang w:eastAsia="en-GB"/>
        </w:rPr>
        <w:t>Framework on integrated, people-centred health services</w:t>
      </w:r>
      <w:r w:rsidRPr="00EB387B">
        <w:rPr>
          <w:rFonts w:ascii="Arial" w:eastAsia="Times New Roman" w:hAnsi="Arial" w:cs="Arial"/>
          <w:lang w:eastAsia="en-GB"/>
        </w:rPr>
        <w:t>. Geneva: WHO.</w:t>
      </w:r>
    </w:p>
    <w:p w14:paraId="704F9DAE" w14:textId="77777777" w:rsidR="00EE5CBC" w:rsidRPr="00EE5CBC" w:rsidRDefault="00EE5CBC" w:rsidP="00EE5CBC">
      <w:pPr>
        <w:spacing w:before="100" w:beforeAutospacing="1" w:after="100" w:afterAutospacing="1" w:line="360" w:lineRule="auto"/>
        <w:jc w:val="both"/>
        <w:rPr>
          <w:rFonts w:ascii="Arial" w:eastAsia="Times New Roman" w:hAnsi="Arial" w:cs="Arial"/>
          <w:lang w:eastAsia="en-GB"/>
        </w:rPr>
      </w:pPr>
    </w:p>
    <w:p w14:paraId="39610B1B" w14:textId="77777777" w:rsidR="00EE5CBC" w:rsidRPr="00336AC2" w:rsidRDefault="00EE5CBC" w:rsidP="00336AC2">
      <w:pPr>
        <w:spacing w:before="100" w:beforeAutospacing="1" w:after="100" w:afterAutospacing="1" w:line="360" w:lineRule="auto"/>
        <w:jc w:val="both"/>
        <w:rPr>
          <w:rFonts w:ascii="Arial" w:eastAsia="Times New Roman" w:hAnsi="Arial" w:cs="Arial"/>
          <w:lang w:eastAsia="en-GB"/>
        </w:rPr>
      </w:pPr>
    </w:p>
    <w:p w14:paraId="5AF3DE0D"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p>
    <w:p w14:paraId="589A915B" w14:textId="77777777" w:rsidR="00336AC2" w:rsidRPr="00CD14B2" w:rsidRDefault="00336AC2" w:rsidP="00CD14B2">
      <w:pPr>
        <w:spacing w:before="100" w:beforeAutospacing="1" w:after="100" w:afterAutospacing="1" w:line="360" w:lineRule="auto"/>
        <w:jc w:val="both"/>
        <w:rPr>
          <w:rFonts w:ascii="Arial" w:eastAsia="Times New Roman" w:hAnsi="Arial" w:cs="Arial"/>
          <w:lang w:eastAsia="en-GB"/>
        </w:rPr>
      </w:pPr>
    </w:p>
    <w:p w14:paraId="3CC73AD5" w14:textId="77777777" w:rsidR="00CD14B2" w:rsidRPr="00CD14B2" w:rsidRDefault="00CD14B2" w:rsidP="00CD14B2">
      <w:pPr>
        <w:spacing w:after="0" w:line="240" w:lineRule="auto"/>
        <w:rPr>
          <w:rFonts w:ascii="Times New Roman" w:eastAsia="Times New Roman" w:hAnsi="Times New Roman" w:cs="Times New Roman"/>
          <w:sz w:val="24"/>
          <w:szCs w:val="24"/>
          <w:lang w:eastAsia="en-GB"/>
        </w:rPr>
      </w:pPr>
    </w:p>
    <w:p w14:paraId="4228D100" w14:textId="77777777" w:rsidR="004715E8" w:rsidRDefault="004715E8"/>
    <w:p w14:paraId="34FE5D23" w14:textId="77777777" w:rsidR="00B84F52" w:rsidRDefault="00B84F52"/>
    <w:p w14:paraId="69D893ED" w14:textId="77777777" w:rsidR="00B84F52" w:rsidRDefault="00B84F52"/>
    <w:p w14:paraId="5C333706" w14:textId="77777777" w:rsidR="00B84F52" w:rsidRDefault="00B84F52"/>
    <w:p w14:paraId="3640C1C8" w14:textId="77777777" w:rsidR="00B84F52" w:rsidRDefault="00B84F52"/>
    <w:p w14:paraId="3B8AA8AC" w14:textId="77777777" w:rsidR="00B84F52" w:rsidRDefault="00B84F52"/>
    <w:p w14:paraId="2737E750" w14:textId="77777777" w:rsidR="00B84F52" w:rsidRDefault="00B84F52"/>
    <w:p w14:paraId="3EDE5DA0" w14:textId="4BA2A0BD" w:rsidR="00B84F52" w:rsidRDefault="00B84F52" w:rsidP="00B84F52"/>
    <w:p w14:paraId="73BAA6ED" w14:textId="77777777" w:rsidR="00B84F52" w:rsidRDefault="00B84F52" w:rsidP="00B84F52"/>
    <w:p w14:paraId="5591B0E2" w14:textId="4AC3132C" w:rsidR="00B84F52" w:rsidRDefault="00B84F52"/>
    <w:sectPr w:rsidR="00B84F5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C9830" w14:textId="77777777" w:rsidR="00096C6B" w:rsidRDefault="00096C6B" w:rsidP="004C55AA">
      <w:pPr>
        <w:spacing w:after="0" w:line="240" w:lineRule="auto"/>
      </w:pPr>
      <w:r>
        <w:separator/>
      </w:r>
    </w:p>
  </w:endnote>
  <w:endnote w:type="continuationSeparator" w:id="0">
    <w:p w14:paraId="5951FB05" w14:textId="77777777" w:rsidR="00096C6B" w:rsidRDefault="00096C6B" w:rsidP="004C5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182509"/>
      <w:docPartObj>
        <w:docPartGallery w:val="Page Numbers (Bottom of Page)"/>
        <w:docPartUnique/>
      </w:docPartObj>
    </w:sdtPr>
    <w:sdtContent>
      <w:p w14:paraId="603B9735" w14:textId="06E55343" w:rsidR="00831CEE" w:rsidRDefault="00831CEE">
        <w:pPr>
          <w:pStyle w:val="Footer"/>
          <w:jc w:val="center"/>
        </w:pPr>
        <w:r>
          <w:fldChar w:fldCharType="begin"/>
        </w:r>
        <w:r>
          <w:instrText>PAGE   \* MERGEFORMAT</w:instrText>
        </w:r>
        <w:r>
          <w:fldChar w:fldCharType="separate"/>
        </w:r>
        <w:r>
          <w:t>2</w:t>
        </w:r>
        <w:r>
          <w:fldChar w:fldCharType="end"/>
        </w:r>
      </w:p>
    </w:sdtContent>
  </w:sdt>
  <w:p w14:paraId="7D87FDFB" w14:textId="77777777" w:rsidR="004C55AA" w:rsidRDefault="004C5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1E28D" w14:textId="77777777" w:rsidR="00096C6B" w:rsidRDefault="00096C6B" w:rsidP="004C55AA">
      <w:pPr>
        <w:spacing w:after="0" w:line="240" w:lineRule="auto"/>
      </w:pPr>
      <w:r>
        <w:separator/>
      </w:r>
    </w:p>
  </w:footnote>
  <w:footnote w:type="continuationSeparator" w:id="0">
    <w:p w14:paraId="2D92D122" w14:textId="77777777" w:rsidR="00096C6B" w:rsidRDefault="00096C6B" w:rsidP="004C55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008622"/>
      <w:docPartObj>
        <w:docPartGallery w:val="Page Numbers (Top of Page)"/>
        <w:docPartUnique/>
      </w:docPartObj>
    </w:sdtPr>
    <w:sdtEndPr>
      <w:rPr>
        <w:noProof/>
      </w:rPr>
    </w:sdtEndPr>
    <w:sdtContent>
      <w:p w14:paraId="4A901278" w14:textId="77777777" w:rsidR="004C55AA" w:rsidRDefault="004C55AA">
        <w:pPr>
          <w:pStyle w:val="Header"/>
        </w:pPr>
        <w:r>
          <w:fldChar w:fldCharType="begin"/>
        </w:r>
        <w:r>
          <w:instrText xml:space="preserve"> PAGE   \* MERGEFORMAT </w:instrText>
        </w:r>
        <w:r>
          <w:fldChar w:fldCharType="separate"/>
        </w:r>
        <w:r>
          <w:rPr>
            <w:noProof/>
          </w:rPr>
          <w:t>2</w:t>
        </w:r>
        <w:r>
          <w:rPr>
            <w:noProof/>
          </w:rPr>
          <w:fldChar w:fldCharType="end"/>
        </w:r>
      </w:p>
    </w:sdtContent>
  </w:sdt>
  <w:p w14:paraId="142163A2" w14:textId="77777777" w:rsidR="004C55AA" w:rsidRDefault="004C5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56430"/>
    <w:multiLevelType w:val="multilevel"/>
    <w:tmpl w:val="BCF6C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B018DF"/>
    <w:multiLevelType w:val="hybridMultilevel"/>
    <w:tmpl w:val="FDEE3B1C"/>
    <w:lvl w:ilvl="0" w:tplc="CD584AC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6192B"/>
    <w:multiLevelType w:val="multilevel"/>
    <w:tmpl w:val="95E88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2222B4"/>
    <w:multiLevelType w:val="multilevel"/>
    <w:tmpl w:val="115EA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0844602">
    <w:abstractNumId w:val="3"/>
  </w:num>
  <w:num w:numId="2" w16cid:durableId="106396323">
    <w:abstractNumId w:val="2"/>
  </w:num>
  <w:num w:numId="3" w16cid:durableId="751926564">
    <w:abstractNumId w:val="0"/>
  </w:num>
  <w:num w:numId="4" w16cid:durableId="1251892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4B2"/>
    <w:rsid w:val="000168F0"/>
    <w:rsid w:val="000203E4"/>
    <w:rsid w:val="000576C8"/>
    <w:rsid w:val="00096C6B"/>
    <w:rsid w:val="000A2A28"/>
    <w:rsid w:val="001F576C"/>
    <w:rsid w:val="0022542B"/>
    <w:rsid w:val="002A09E7"/>
    <w:rsid w:val="00336AC2"/>
    <w:rsid w:val="00352706"/>
    <w:rsid w:val="003C7E2C"/>
    <w:rsid w:val="004354C3"/>
    <w:rsid w:val="004715E8"/>
    <w:rsid w:val="004A38D4"/>
    <w:rsid w:val="004C5195"/>
    <w:rsid w:val="004C55AA"/>
    <w:rsid w:val="004D0E13"/>
    <w:rsid w:val="005026D2"/>
    <w:rsid w:val="00526189"/>
    <w:rsid w:val="005D5ED8"/>
    <w:rsid w:val="006A5EC2"/>
    <w:rsid w:val="00711892"/>
    <w:rsid w:val="00831CEE"/>
    <w:rsid w:val="008579AD"/>
    <w:rsid w:val="00917CCB"/>
    <w:rsid w:val="00993B3B"/>
    <w:rsid w:val="00A02D59"/>
    <w:rsid w:val="00B15303"/>
    <w:rsid w:val="00B84F52"/>
    <w:rsid w:val="00C07634"/>
    <w:rsid w:val="00CD14B2"/>
    <w:rsid w:val="00D50884"/>
    <w:rsid w:val="00E24094"/>
    <w:rsid w:val="00EB387B"/>
    <w:rsid w:val="00EE5CBC"/>
    <w:rsid w:val="00F34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94549"/>
  <w15:chartTrackingRefBased/>
  <w15:docId w15:val="{08D24AF4-E652-44B7-BDC4-542424DF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9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27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527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527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5270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55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AA"/>
  </w:style>
  <w:style w:type="paragraph" w:styleId="Footer">
    <w:name w:val="footer"/>
    <w:basedOn w:val="Normal"/>
    <w:link w:val="FooterChar"/>
    <w:uiPriority w:val="99"/>
    <w:unhideWhenUsed/>
    <w:rsid w:val="004C55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AA"/>
  </w:style>
  <w:style w:type="character" w:customStyle="1" w:styleId="Heading1Char">
    <w:name w:val="Heading 1 Char"/>
    <w:basedOn w:val="DefaultParagraphFont"/>
    <w:link w:val="Heading1"/>
    <w:uiPriority w:val="9"/>
    <w:rsid w:val="008579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579AD"/>
    <w:pPr>
      <w:outlineLvl w:val="9"/>
    </w:pPr>
    <w:rPr>
      <w:lang w:eastAsia="en-GB"/>
    </w:rPr>
  </w:style>
  <w:style w:type="paragraph" w:styleId="TOC2">
    <w:name w:val="toc 2"/>
    <w:basedOn w:val="Normal"/>
    <w:next w:val="Normal"/>
    <w:autoRedefine/>
    <w:uiPriority w:val="39"/>
    <w:unhideWhenUsed/>
    <w:rsid w:val="008579AD"/>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8579AD"/>
    <w:pPr>
      <w:spacing w:after="100"/>
    </w:pPr>
    <w:rPr>
      <w:rFonts w:eastAsiaTheme="minorEastAsia" w:cs="Times New Roman"/>
      <w:lang w:eastAsia="en-GB"/>
    </w:rPr>
  </w:style>
  <w:style w:type="paragraph" w:styleId="TOC3">
    <w:name w:val="toc 3"/>
    <w:basedOn w:val="Normal"/>
    <w:next w:val="Normal"/>
    <w:autoRedefine/>
    <w:uiPriority w:val="39"/>
    <w:unhideWhenUsed/>
    <w:rsid w:val="008579AD"/>
    <w:pPr>
      <w:spacing w:after="100"/>
      <w:ind w:left="440"/>
    </w:pPr>
    <w:rPr>
      <w:rFonts w:eastAsiaTheme="minorEastAsia" w:cs="Times New Roman"/>
      <w:lang w:eastAsia="en-GB"/>
    </w:rPr>
  </w:style>
  <w:style w:type="character" w:styleId="Hyperlink">
    <w:name w:val="Hyperlink"/>
    <w:basedOn w:val="DefaultParagraphFont"/>
    <w:uiPriority w:val="99"/>
    <w:unhideWhenUsed/>
    <w:rsid w:val="00831CEE"/>
    <w:rPr>
      <w:color w:val="0563C1" w:themeColor="hyperlink"/>
      <w:u w:val="single"/>
    </w:rPr>
  </w:style>
  <w:style w:type="character" w:customStyle="1" w:styleId="Heading2Char">
    <w:name w:val="Heading 2 Char"/>
    <w:basedOn w:val="DefaultParagraphFont"/>
    <w:link w:val="Heading2"/>
    <w:uiPriority w:val="9"/>
    <w:rsid w:val="0035270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5270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5270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52706"/>
    <w:rPr>
      <w:rFonts w:asciiTheme="majorHAnsi" w:eastAsiaTheme="majorEastAsia" w:hAnsiTheme="majorHAnsi" w:cstheme="majorBidi"/>
      <w:color w:val="2E74B5" w:themeColor="accent1" w:themeShade="BF"/>
    </w:rPr>
  </w:style>
  <w:style w:type="paragraph" w:styleId="ListParagraph">
    <w:name w:val="List Paragraph"/>
    <w:basedOn w:val="Normal"/>
    <w:uiPriority w:val="34"/>
    <w:qFormat/>
    <w:rsid w:val="001F57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305299">
      <w:bodyDiv w:val="1"/>
      <w:marLeft w:val="0"/>
      <w:marRight w:val="0"/>
      <w:marTop w:val="0"/>
      <w:marBottom w:val="0"/>
      <w:divBdr>
        <w:top w:val="none" w:sz="0" w:space="0" w:color="auto"/>
        <w:left w:val="none" w:sz="0" w:space="0" w:color="auto"/>
        <w:bottom w:val="none" w:sz="0" w:space="0" w:color="auto"/>
        <w:right w:val="none" w:sz="0" w:space="0" w:color="auto"/>
      </w:divBdr>
      <w:divsChild>
        <w:div w:id="782959377">
          <w:marLeft w:val="0"/>
          <w:marRight w:val="0"/>
          <w:marTop w:val="0"/>
          <w:marBottom w:val="0"/>
          <w:divBdr>
            <w:top w:val="none" w:sz="0" w:space="0" w:color="auto"/>
            <w:left w:val="none" w:sz="0" w:space="0" w:color="auto"/>
            <w:bottom w:val="none" w:sz="0" w:space="0" w:color="auto"/>
            <w:right w:val="none" w:sz="0" w:space="0" w:color="auto"/>
          </w:divBdr>
        </w:div>
        <w:div w:id="681397656">
          <w:marLeft w:val="0"/>
          <w:marRight w:val="0"/>
          <w:marTop w:val="0"/>
          <w:marBottom w:val="0"/>
          <w:divBdr>
            <w:top w:val="none" w:sz="0" w:space="0" w:color="auto"/>
            <w:left w:val="none" w:sz="0" w:space="0" w:color="auto"/>
            <w:bottom w:val="none" w:sz="0" w:space="0" w:color="auto"/>
            <w:right w:val="none" w:sz="0" w:space="0" w:color="auto"/>
          </w:divBdr>
        </w:div>
        <w:div w:id="1658261812">
          <w:marLeft w:val="0"/>
          <w:marRight w:val="0"/>
          <w:marTop w:val="0"/>
          <w:marBottom w:val="0"/>
          <w:divBdr>
            <w:top w:val="none" w:sz="0" w:space="0" w:color="auto"/>
            <w:left w:val="none" w:sz="0" w:space="0" w:color="auto"/>
            <w:bottom w:val="none" w:sz="0" w:space="0" w:color="auto"/>
            <w:right w:val="none" w:sz="0" w:space="0" w:color="auto"/>
          </w:divBdr>
        </w:div>
      </w:divsChild>
    </w:div>
    <w:div w:id="250550618">
      <w:bodyDiv w:val="1"/>
      <w:marLeft w:val="0"/>
      <w:marRight w:val="0"/>
      <w:marTop w:val="0"/>
      <w:marBottom w:val="0"/>
      <w:divBdr>
        <w:top w:val="none" w:sz="0" w:space="0" w:color="auto"/>
        <w:left w:val="none" w:sz="0" w:space="0" w:color="auto"/>
        <w:bottom w:val="none" w:sz="0" w:space="0" w:color="auto"/>
        <w:right w:val="none" w:sz="0" w:space="0" w:color="auto"/>
      </w:divBdr>
    </w:div>
    <w:div w:id="1064374442">
      <w:bodyDiv w:val="1"/>
      <w:marLeft w:val="0"/>
      <w:marRight w:val="0"/>
      <w:marTop w:val="0"/>
      <w:marBottom w:val="0"/>
      <w:divBdr>
        <w:top w:val="none" w:sz="0" w:space="0" w:color="auto"/>
        <w:left w:val="none" w:sz="0" w:space="0" w:color="auto"/>
        <w:bottom w:val="none" w:sz="0" w:space="0" w:color="auto"/>
        <w:right w:val="none" w:sz="0" w:space="0" w:color="auto"/>
      </w:divBdr>
    </w:div>
    <w:div w:id="1611203272">
      <w:bodyDiv w:val="1"/>
      <w:marLeft w:val="0"/>
      <w:marRight w:val="0"/>
      <w:marTop w:val="0"/>
      <w:marBottom w:val="0"/>
      <w:divBdr>
        <w:top w:val="none" w:sz="0" w:space="0" w:color="auto"/>
        <w:left w:val="none" w:sz="0" w:space="0" w:color="auto"/>
        <w:bottom w:val="none" w:sz="0" w:space="0" w:color="auto"/>
        <w:right w:val="none" w:sz="0" w:space="0" w:color="auto"/>
      </w:divBdr>
    </w:div>
    <w:div w:id="1740983357">
      <w:bodyDiv w:val="1"/>
      <w:marLeft w:val="0"/>
      <w:marRight w:val="0"/>
      <w:marTop w:val="0"/>
      <w:marBottom w:val="0"/>
      <w:divBdr>
        <w:top w:val="none" w:sz="0" w:space="0" w:color="auto"/>
        <w:left w:val="none" w:sz="0" w:space="0" w:color="auto"/>
        <w:bottom w:val="none" w:sz="0" w:space="0" w:color="auto"/>
        <w:right w:val="none" w:sz="0" w:space="0" w:color="auto"/>
      </w:divBdr>
    </w:div>
    <w:div w:id="199467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0ef65b69dff2a7afa9ecb967a62093c">
  <xsd:schema xmlns:xsd="http://www.w3.org/2001/XMLSchema" xmlns:xs="http://www.w3.org/2001/XMLSchema" xmlns:p="http://schemas.microsoft.com/office/2006/metadata/properties" xmlns:ns3="ccfc14db-0f45-423b-b2f5-752f8f8a0ada" targetNamespace="http://schemas.microsoft.com/office/2006/metadata/properties" ma:root="true" ma:fieldsID="5c3691cac19e742d457d995cf065bcf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F246491C-27CA-4BFE-8B95-07C24E8F9B60}">
  <ds:schemaRefs>
    <ds:schemaRef ds:uri="http://schemas.openxmlformats.org/officeDocument/2006/bibliography"/>
  </ds:schemaRefs>
</ds:datastoreItem>
</file>

<file path=customXml/itemProps2.xml><?xml version="1.0" encoding="utf-8"?>
<ds:datastoreItem xmlns:ds="http://schemas.openxmlformats.org/officeDocument/2006/customXml" ds:itemID="{BA7E6775-EA53-4F7F-81FA-A5165DFDC2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7E2C54-FB85-4FE2-B8D1-D3EC6322D50F}">
  <ds:schemaRefs>
    <ds:schemaRef ds:uri="http://schemas.microsoft.com/sharepoint/v3/contenttype/forms"/>
  </ds:schemaRefs>
</ds:datastoreItem>
</file>

<file path=customXml/itemProps4.xml><?xml version="1.0" encoding="utf-8"?>
<ds:datastoreItem xmlns:ds="http://schemas.openxmlformats.org/officeDocument/2006/customXml" ds:itemID="{85427114-7A15-4440-8DA3-0CE2202D7F59}">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3054</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Asia Bakari</cp:lastModifiedBy>
  <cp:revision>2</cp:revision>
  <dcterms:created xsi:type="dcterms:W3CDTF">2026-03-01T14:23:00Z</dcterms:created>
  <dcterms:modified xsi:type="dcterms:W3CDTF">2026-03-01T14:23:00Z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