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3"/>
        <w:gridCol w:w="3953"/>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1D0A423D"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0456F9">
              <w:rPr>
                <w:rFonts w:cs="Times New Roman"/>
                <w:b/>
                <w:bCs/>
                <w:color w:val="auto"/>
                <w:sz w:val="22"/>
              </w:rPr>
              <w:t>Mihaela Suruianu</w:t>
            </w:r>
          </w:p>
          <w:p w14:paraId="0225E82F" w14:textId="173FE34A"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0456F9">
              <w:rPr>
                <w:rFonts w:cs="Times New Roman"/>
                <w:b/>
                <w:bCs/>
                <w:noProof/>
                <w:sz w:val="22"/>
              </w:rPr>
              <w:t>2226557</w:t>
            </w:r>
          </w:p>
          <w:p w14:paraId="0348FFA9" w14:textId="289CE67E"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0A7D84" w:rsidRPr="000456F9">
              <w:rPr>
                <w:rFonts w:cs="Times New Roman"/>
                <w:b/>
                <w:bCs/>
                <w:i/>
                <w:iCs/>
                <w:sz w:val="22"/>
              </w:rPr>
              <w:t xml:space="preserve"> </w:t>
            </w:r>
            <w:r w:rsidR="000456F9" w:rsidRPr="000456F9">
              <w:rPr>
                <w:rFonts w:cs="Times New Roman"/>
                <w:b/>
                <w:bCs/>
                <w:sz w:val="22"/>
              </w:rPr>
              <w:t>Foreign Languages and Cultural Awareness</w:t>
            </w:r>
          </w:p>
          <w:p w14:paraId="2284ACCC" w14:textId="78721D48"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0456F9">
              <w:rPr>
                <w:rFonts w:cs="Times New Roman"/>
                <w:b/>
                <w:bCs/>
                <w:color w:val="auto"/>
                <w:sz w:val="22"/>
                <w:lang w:val="en-AU"/>
              </w:rPr>
              <w:t xml:space="preserve"> BMIH5003</w:t>
            </w:r>
          </w:p>
          <w:p w14:paraId="489EC369" w14:textId="4359F690"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0456F9">
              <w:rPr>
                <w:rFonts w:cs="Times New Roman"/>
                <w:b/>
                <w:bCs/>
                <w:color w:val="auto"/>
                <w:sz w:val="22"/>
                <w:lang w:val="en-AU"/>
              </w:rPr>
              <w:t xml:space="preserve"> Heidi Prosser</w:t>
            </w:r>
          </w:p>
          <w:p w14:paraId="0260DAF0" w14:textId="1930D43B"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0456F9">
              <w:rPr>
                <w:rFonts w:cs="Times New Roman"/>
                <w:b/>
                <w:bCs/>
                <w:noProof/>
                <w:sz w:val="22"/>
              </w:rPr>
              <w:t xml:space="preserve"> 0</w:t>
            </w:r>
            <w:r w:rsidR="00F7746F">
              <w:rPr>
                <w:rFonts w:cs="Times New Roman"/>
                <w:b/>
                <w:bCs/>
                <w:noProof/>
                <w:sz w:val="22"/>
              </w:rPr>
              <w:t>6</w:t>
            </w:r>
            <w:r w:rsidR="000456F9">
              <w:rPr>
                <w:rFonts w:cs="Times New Roman"/>
                <w:b/>
                <w:bCs/>
                <w:noProof/>
                <w:sz w:val="22"/>
              </w:rPr>
              <w:t xml:space="preserve"> February 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3B40E5A9" w14:textId="77777777" w:rsidR="000456F9" w:rsidRPr="000456F9" w:rsidRDefault="000456F9" w:rsidP="000456F9">
            <w:pPr>
              <w:spacing w:line="360" w:lineRule="auto"/>
              <w:jc w:val="both"/>
              <w:rPr>
                <w:rFonts w:eastAsia="Calibri" w:cs="Mangal"/>
                <w:color w:val="auto"/>
              </w:rPr>
            </w:pPr>
            <w:r w:rsidRPr="000456F9">
              <w:rPr>
                <w:rFonts w:eastAsia="Calibri" w:cs="Mangal"/>
                <w:color w:val="auto"/>
              </w:rPr>
              <w:t xml:space="preserve">Cultural refers to the concept which includes all the social behaviours, norms, and institutions that are found in human societies, beliefs, laws, customs, and arts of an individual living in those groups. Culture can change from person to person and within a distance of a few </w:t>
            </w:r>
            <w:proofErr w:type="spellStart"/>
            <w:r w:rsidRPr="000456F9">
              <w:rPr>
                <w:rFonts w:eastAsia="Calibri" w:cs="Mangal"/>
                <w:color w:val="auto"/>
              </w:rPr>
              <w:t>kilometers</w:t>
            </w:r>
            <w:proofErr w:type="spellEnd"/>
            <w:r w:rsidRPr="000456F9">
              <w:rPr>
                <w:rFonts w:eastAsia="Calibri" w:cs="Mangal"/>
                <w:color w:val="auto"/>
              </w:rPr>
              <w:t xml:space="preserve"> only. Cultural misunderstanding refers to the accidents in which the differences between different cultures lead to certain conflicts or mistakes.</w:t>
            </w:r>
          </w:p>
          <w:p w14:paraId="43B753F8" w14:textId="77777777" w:rsidR="000456F9" w:rsidRPr="000456F9" w:rsidRDefault="000456F9" w:rsidP="000456F9">
            <w:pPr>
              <w:keepNext/>
              <w:spacing w:line="360" w:lineRule="auto"/>
              <w:jc w:val="center"/>
              <w:rPr>
                <w:rFonts w:eastAsia="Calibri" w:cs="Mangal"/>
                <w:color w:val="auto"/>
              </w:rPr>
            </w:pPr>
            <w:r w:rsidRPr="000456F9">
              <w:rPr>
                <w:rFonts w:eastAsia="Calibri" w:cs="Mangal"/>
                <w:color w:val="auto"/>
              </w:rPr>
              <w:lastRenderedPageBreak/>
              <w:fldChar w:fldCharType="begin"/>
            </w:r>
            <w:r w:rsidRPr="000456F9">
              <w:rPr>
                <w:rFonts w:eastAsia="Calibri" w:cs="Mangal"/>
                <w:color w:val="auto"/>
              </w:rPr>
              <w:instrText xml:space="preserve"> INCLUDEPICTURE "https://culturalconflict.files.wordpress.com/2013/11/cross-cultural1.jpg" \* MERGEFORMATINET </w:instrText>
            </w:r>
            <w:r w:rsidRPr="000456F9">
              <w:rPr>
                <w:rFonts w:eastAsia="Calibri" w:cs="Mangal"/>
                <w:color w:val="auto"/>
              </w:rPr>
              <w:fldChar w:fldCharType="separate"/>
            </w:r>
            <w:r>
              <w:rPr>
                <w:rFonts w:eastAsia="Calibri" w:cs="Mangal"/>
                <w:noProof/>
                <w:color w:val="auto"/>
              </w:rPr>
              <w:fldChar w:fldCharType="begin"/>
            </w:r>
            <w:r>
              <w:rPr>
                <w:rFonts w:eastAsia="Calibri" w:cs="Mangal"/>
                <w:noProof/>
                <w:color w:val="auto"/>
              </w:rPr>
              <w:instrText xml:space="preserve"> INCLUDEPICTURE  "https://culturalconflict.files.wordpress.com/2013/11/cross-cultural1.jpg" \* MERGEFORMATINET </w:instrText>
            </w:r>
            <w:r>
              <w:rPr>
                <w:rFonts w:eastAsia="Calibri" w:cs="Mangal"/>
                <w:noProof/>
                <w:color w:val="auto"/>
              </w:rPr>
              <w:fldChar w:fldCharType="separate"/>
            </w:r>
            <w:r>
              <w:rPr>
                <w:rFonts w:eastAsia="Calibri" w:cs="Mangal"/>
                <w:noProof/>
                <w:color w:val="auto"/>
              </w:rPr>
              <w:fldChar w:fldCharType="begin"/>
            </w:r>
            <w:r>
              <w:rPr>
                <w:rFonts w:eastAsia="Calibri" w:cs="Mangal"/>
                <w:noProof/>
                <w:color w:val="auto"/>
              </w:rPr>
              <w:instrText xml:space="preserve"> INCLUDEPICTURE  "https://culturalconflict.files.wordpress.com/2013/11/cross-cultural1.jpg" \* MERGEFORMATINET </w:instrText>
            </w:r>
            <w:r>
              <w:rPr>
                <w:rFonts w:eastAsia="Calibri" w:cs="Mangal"/>
                <w:noProof/>
                <w:color w:val="auto"/>
              </w:rPr>
              <w:fldChar w:fldCharType="separate"/>
            </w:r>
            <w:r>
              <w:rPr>
                <w:rFonts w:eastAsia="Calibri" w:cs="Mangal"/>
                <w:noProof/>
                <w:color w:val="auto"/>
              </w:rPr>
              <w:fldChar w:fldCharType="begin"/>
            </w:r>
            <w:r>
              <w:rPr>
                <w:rFonts w:eastAsia="Calibri" w:cs="Mangal"/>
                <w:noProof/>
                <w:color w:val="auto"/>
              </w:rPr>
              <w:instrText xml:space="preserve"> INCLUDEPICTURE  "https://culturalconflict.files.wordpress.com/2013/11/cross-cultural1.jpg" \* MERGEFORMATINET </w:instrText>
            </w:r>
            <w:r>
              <w:rPr>
                <w:rFonts w:eastAsia="Calibri" w:cs="Mangal"/>
                <w:noProof/>
                <w:color w:val="auto"/>
              </w:rPr>
              <w:fldChar w:fldCharType="separate"/>
            </w:r>
            <w:r>
              <w:rPr>
                <w:rFonts w:eastAsia="Calibri" w:cs="Mangal"/>
                <w:noProof/>
                <w:color w:val="auto"/>
              </w:rPr>
              <w:fldChar w:fldCharType="begin"/>
            </w:r>
            <w:r>
              <w:rPr>
                <w:rFonts w:eastAsia="Calibri" w:cs="Mangal"/>
                <w:noProof/>
                <w:color w:val="auto"/>
              </w:rPr>
              <w:instrText xml:space="preserve"> INCLUDEPICTURE  "https://culturalconflict.files.wordpress.com/2013/11/cross-cultural1.jpg" \* MERGEFORMATINET </w:instrText>
            </w:r>
            <w:r>
              <w:rPr>
                <w:rFonts w:eastAsia="Calibri" w:cs="Mangal"/>
                <w:noProof/>
                <w:color w:val="auto"/>
              </w:rPr>
              <w:fldChar w:fldCharType="separate"/>
            </w:r>
            <w:r>
              <w:rPr>
                <w:rFonts w:eastAsia="Calibri" w:cs="Mangal"/>
                <w:noProof/>
                <w:color w:val="auto"/>
              </w:rPr>
              <w:fldChar w:fldCharType="begin"/>
            </w:r>
            <w:r>
              <w:rPr>
                <w:rFonts w:eastAsia="Calibri" w:cs="Mangal"/>
                <w:noProof/>
                <w:color w:val="auto"/>
              </w:rPr>
              <w:instrText xml:space="preserve"> INCLUDEPICTURE  "https://culturalconflict.files.wordpress.com/2013/11/cross-cultural1.jpg" \* MERGEFORMATINET </w:instrText>
            </w:r>
            <w:r>
              <w:rPr>
                <w:rFonts w:eastAsia="Calibri" w:cs="Mangal"/>
                <w:noProof/>
                <w:color w:val="auto"/>
              </w:rPr>
              <w:fldChar w:fldCharType="separate"/>
            </w:r>
            <w:r>
              <w:rPr>
                <w:rFonts w:eastAsia="Calibri" w:cs="Mangal"/>
                <w:noProof/>
                <w:color w:val="auto"/>
              </w:rPr>
              <w:fldChar w:fldCharType="begin"/>
            </w:r>
            <w:r>
              <w:rPr>
                <w:rFonts w:eastAsia="Calibri" w:cs="Mangal"/>
                <w:noProof/>
                <w:color w:val="auto"/>
              </w:rPr>
              <w:instrText xml:space="preserve"> INCLUDEPICTURE  "https://culturalconflict.files.wordpress.com/2013/11/cross-cultural1.jpg" \* MERGEFORMATINET </w:instrText>
            </w:r>
            <w:r>
              <w:rPr>
                <w:rFonts w:eastAsia="Calibri" w:cs="Mangal"/>
                <w:noProof/>
                <w:color w:val="auto"/>
              </w:rPr>
              <w:fldChar w:fldCharType="separate"/>
            </w:r>
            <w:r w:rsidR="00000000">
              <w:rPr>
                <w:rFonts w:eastAsia="Calibri" w:cs="Mangal"/>
                <w:noProof/>
                <w:color w:val="auto"/>
              </w:rPr>
              <w:fldChar w:fldCharType="begin"/>
            </w:r>
            <w:r w:rsidR="00000000">
              <w:rPr>
                <w:rFonts w:eastAsia="Calibri" w:cs="Mangal"/>
                <w:noProof/>
                <w:color w:val="auto"/>
              </w:rPr>
              <w:instrText xml:space="preserve"> INCLUDEPICTURE  "https://culturalconflict.files.wordpress.com/2013/11/cross-cultural1.jpg" \* MERGEFORMATINET </w:instrText>
            </w:r>
            <w:r w:rsidR="00000000">
              <w:rPr>
                <w:rFonts w:eastAsia="Calibri" w:cs="Mangal"/>
                <w:noProof/>
                <w:color w:val="auto"/>
              </w:rPr>
              <w:fldChar w:fldCharType="separate"/>
            </w:r>
            <w:r w:rsidR="00F7746F">
              <w:rPr>
                <w:rFonts w:eastAsia="Calibri" w:cs="Mangal"/>
                <w:noProof/>
                <w:color w:val="auto"/>
              </w:rPr>
              <w:pict w14:anchorId="60FF3F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ross-cultural1" style="width:334.5pt;height:236.5pt">
                  <v:imagedata r:id="rId8" r:href="rId9"/>
                </v:shape>
              </w:pict>
            </w:r>
            <w:r w:rsidR="00000000">
              <w:rPr>
                <w:rFonts w:eastAsia="Calibri" w:cs="Mangal"/>
                <w:noProof/>
                <w:color w:val="auto"/>
              </w:rPr>
              <w:fldChar w:fldCharType="end"/>
            </w:r>
            <w:r>
              <w:rPr>
                <w:rFonts w:eastAsia="Calibri" w:cs="Mangal"/>
                <w:noProof/>
                <w:color w:val="auto"/>
              </w:rPr>
              <w:fldChar w:fldCharType="end"/>
            </w:r>
            <w:r>
              <w:rPr>
                <w:rFonts w:eastAsia="Calibri" w:cs="Mangal"/>
                <w:noProof/>
                <w:color w:val="auto"/>
              </w:rPr>
              <w:fldChar w:fldCharType="end"/>
            </w:r>
            <w:r>
              <w:rPr>
                <w:rFonts w:eastAsia="Calibri" w:cs="Mangal"/>
                <w:noProof/>
                <w:color w:val="auto"/>
              </w:rPr>
              <w:fldChar w:fldCharType="end"/>
            </w:r>
            <w:r>
              <w:rPr>
                <w:rFonts w:eastAsia="Calibri" w:cs="Mangal"/>
                <w:noProof/>
                <w:color w:val="auto"/>
              </w:rPr>
              <w:fldChar w:fldCharType="end"/>
            </w:r>
            <w:r>
              <w:rPr>
                <w:rFonts w:eastAsia="Calibri" w:cs="Mangal"/>
                <w:noProof/>
                <w:color w:val="auto"/>
              </w:rPr>
              <w:fldChar w:fldCharType="end"/>
            </w:r>
            <w:r>
              <w:rPr>
                <w:rFonts w:eastAsia="Calibri" w:cs="Mangal"/>
                <w:noProof/>
                <w:color w:val="auto"/>
              </w:rPr>
              <w:fldChar w:fldCharType="end"/>
            </w:r>
            <w:r w:rsidRPr="000456F9">
              <w:rPr>
                <w:rFonts w:eastAsia="Calibri" w:cs="Mangal"/>
                <w:color w:val="auto"/>
              </w:rPr>
              <w:fldChar w:fldCharType="end"/>
            </w:r>
          </w:p>
          <w:p w14:paraId="6B1D272F" w14:textId="77777777" w:rsidR="000456F9" w:rsidRPr="000456F9" w:rsidRDefault="000456F9" w:rsidP="000456F9">
            <w:pPr>
              <w:spacing w:line="360" w:lineRule="auto"/>
              <w:jc w:val="center"/>
              <w:rPr>
                <w:rFonts w:eastAsia="Calibri" w:cs="Mangal"/>
                <w:b/>
                <w:bCs/>
                <w:color w:val="auto"/>
                <w:szCs w:val="24"/>
              </w:rPr>
            </w:pPr>
            <w:r w:rsidRPr="000456F9">
              <w:rPr>
                <w:rFonts w:eastAsia="Calibri" w:cs="Mangal"/>
                <w:b/>
                <w:bCs/>
                <w:color w:val="auto"/>
                <w:szCs w:val="24"/>
              </w:rPr>
              <w:t xml:space="preserve">Figure </w:t>
            </w:r>
            <w:r w:rsidRPr="000456F9">
              <w:rPr>
                <w:rFonts w:eastAsia="Calibri" w:cs="Mangal"/>
                <w:b/>
                <w:bCs/>
                <w:color w:val="auto"/>
                <w:szCs w:val="24"/>
              </w:rPr>
              <w:fldChar w:fldCharType="begin"/>
            </w:r>
            <w:r w:rsidRPr="000456F9">
              <w:rPr>
                <w:rFonts w:eastAsia="Calibri" w:cs="Mangal"/>
                <w:b/>
                <w:bCs/>
                <w:color w:val="auto"/>
                <w:szCs w:val="24"/>
              </w:rPr>
              <w:instrText xml:space="preserve"> SEQ Figure \* ARABIC </w:instrText>
            </w:r>
            <w:r w:rsidRPr="000456F9">
              <w:rPr>
                <w:rFonts w:eastAsia="Calibri" w:cs="Mangal"/>
                <w:b/>
                <w:bCs/>
                <w:color w:val="auto"/>
                <w:szCs w:val="24"/>
              </w:rPr>
              <w:fldChar w:fldCharType="separate"/>
            </w:r>
            <w:r w:rsidRPr="000456F9">
              <w:rPr>
                <w:rFonts w:eastAsia="Calibri" w:cs="Mangal"/>
                <w:b/>
                <w:bCs/>
                <w:noProof/>
                <w:color w:val="auto"/>
                <w:szCs w:val="24"/>
              </w:rPr>
              <w:t>1</w:t>
            </w:r>
            <w:r w:rsidRPr="000456F9">
              <w:rPr>
                <w:rFonts w:eastAsia="Calibri" w:cs="Mangal"/>
                <w:b/>
                <w:bCs/>
                <w:color w:val="auto"/>
                <w:szCs w:val="24"/>
              </w:rPr>
              <w:fldChar w:fldCharType="end"/>
            </w:r>
            <w:r w:rsidRPr="000456F9">
              <w:rPr>
                <w:rFonts w:eastAsia="Calibri" w:cs="Mangal"/>
                <w:b/>
                <w:bCs/>
                <w:color w:val="auto"/>
                <w:szCs w:val="24"/>
              </w:rPr>
              <w:t>: Cross-cultural misunderstanding</w:t>
            </w:r>
          </w:p>
          <w:p w14:paraId="58752AF6" w14:textId="77777777" w:rsidR="000456F9" w:rsidRPr="000456F9" w:rsidRDefault="000456F9" w:rsidP="000456F9">
            <w:pPr>
              <w:spacing w:line="360" w:lineRule="auto"/>
              <w:jc w:val="center"/>
              <w:rPr>
                <w:rFonts w:eastAsia="Calibri" w:cs="Mangal"/>
                <w:color w:val="auto"/>
              </w:rPr>
            </w:pPr>
            <w:r w:rsidRPr="000456F9">
              <w:rPr>
                <w:rFonts w:eastAsia="Calibri" w:cs="Mangal"/>
                <w:color w:val="auto"/>
              </w:rPr>
              <w:t xml:space="preserve">(Source: </w:t>
            </w:r>
            <w:proofErr w:type="spellStart"/>
            <w:r w:rsidRPr="000456F9">
              <w:rPr>
                <w:rFonts w:eastAsia="Calibri" w:cs="Mangal"/>
                <w:color w:val="auto"/>
              </w:rPr>
              <w:t>BlueStream</w:t>
            </w:r>
            <w:proofErr w:type="spellEnd"/>
            <w:r w:rsidRPr="000456F9">
              <w:rPr>
                <w:rFonts w:eastAsia="Calibri" w:cs="Mangal"/>
                <w:color w:val="auto"/>
              </w:rPr>
              <w:t xml:space="preserve"> Marketing. 2013)</w:t>
            </w:r>
          </w:p>
          <w:p w14:paraId="21FE06FF" w14:textId="170D77EB" w:rsidR="000456F9" w:rsidRPr="000456F9" w:rsidRDefault="000456F9" w:rsidP="000456F9">
            <w:pPr>
              <w:spacing w:line="360" w:lineRule="auto"/>
              <w:jc w:val="both"/>
              <w:rPr>
                <w:rFonts w:eastAsia="Calibri" w:cs="Mangal"/>
                <w:color w:val="auto"/>
                <w:shd w:val="clear" w:color="auto" w:fill="FFFFFF"/>
              </w:rPr>
            </w:pPr>
            <w:r w:rsidRPr="000456F9">
              <w:rPr>
                <w:rFonts w:eastAsia="Calibri" w:cs="Mangal"/>
                <w:color w:val="auto"/>
              </w:rPr>
              <w:t xml:space="preserve">The situation can be understood with the application of a scenario that I witnessed in the last week of my placement at Rossington Hall in Doncaster. I have chosen the scenario in which Alex was a waiter in the hotel and worked at dinner time. At the time of working, Alex faced a cultural misunderstanding with the guest at the hotel. While Alex was working, one of the guests requested a dish that was traditionally prepared with a certain type of meat </w:t>
            </w:r>
            <w:r w:rsidRPr="000456F9">
              <w:rPr>
                <w:rFonts w:eastAsia="Calibri" w:cs="Mangal"/>
                <w:color w:val="auto"/>
                <w:shd w:val="clear" w:color="auto" w:fill="FFFFFF"/>
              </w:rPr>
              <w:t xml:space="preserve">(Rustamov and </w:t>
            </w:r>
            <w:proofErr w:type="spellStart"/>
            <w:r w:rsidRPr="000456F9">
              <w:rPr>
                <w:rFonts w:eastAsia="Calibri" w:cs="Mangal"/>
                <w:color w:val="auto"/>
                <w:shd w:val="clear" w:color="auto" w:fill="FFFFFF"/>
              </w:rPr>
              <w:t>Mamaziyayev</w:t>
            </w:r>
            <w:proofErr w:type="spellEnd"/>
            <w:r w:rsidRPr="000456F9">
              <w:rPr>
                <w:rFonts w:eastAsia="Calibri" w:cs="Mangal"/>
                <w:color w:val="auto"/>
                <w:shd w:val="clear" w:color="auto" w:fill="FFFFFF"/>
              </w:rPr>
              <w:t>, 2022)</w:t>
            </w:r>
            <w:r w:rsidRPr="000456F9">
              <w:rPr>
                <w:rFonts w:eastAsia="Calibri" w:cs="Mangal"/>
                <w:color w:val="auto"/>
              </w:rPr>
              <w:t xml:space="preserve">. The guest was from a different culture in which there were certain dietary restrictions based on religious beliefs. Therefore, people from such cultural backgrounds are not allowed to consume that kind of meat. However, due to the language barrier as well as a lack of awareness of the guest’s cultural background, Alex served the dish as requested. When the guest realised his mistake, he expressed his dissatisfaction with the hotel. </w:t>
            </w:r>
          </w:p>
          <w:p w14:paraId="295F2022" w14:textId="77777777" w:rsidR="000456F9" w:rsidRPr="000456F9" w:rsidRDefault="000456F9" w:rsidP="000456F9">
            <w:pPr>
              <w:spacing w:line="360" w:lineRule="auto"/>
              <w:jc w:val="both"/>
              <w:rPr>
                <w:rFonts w:eastAsia="Calibri" w:cs="Mangal"/>
                <w:color w:val="auto"/>
                <w:shd w:val="clear" w:color="auto" w:fill="FFFFFF"/>
              </w:rPr>
            </w:pPr>
            <w:r w:rsidRPr="000456F9">
              <w:rPr>
                <w:rFonts w:eastAsia="Calibri" w:cs="Mangal"/>
                <w:color w:val="auto"/>
              </w:rPr>
              <w:t xml:space="preserve">In the chosen scenario, I have understood that cultural misunderstandings arise due to the lack of awareness on the part of Alex on the dietary restrictions of the guests based on their cultural and religious beliefs. Moreover, the issue was complicated more due to the language barrier which complicated the entire communication between Alex and the guest because even the guest was unable to communicate the specific restrictions to Alex clearly in the first place. Cultural misunderstandings in the Food and Beverage industry are common and can arise from differences in dietary practices, languages, and customs as well. As a server, Alex </w:t>
            </w:r>
            <w:r w:rsidRPr="000456F9">
              <w:rPr>
                <w:rFonts w:eastAsia="Calibri" w:cs="Mangal"/>
                <w:color w:val="auto"/>
              </w:rPr>
              <w:lastRenderedPageBreak/>
              <w:t xml:space="preserve">needs to be sensitive to the backgrounds of the guests so that they can offer inclusive and satisfactory services or dining experiences to the guests </w:t>
            </w:r>
            <w:r w:rsidRPr="000456F9">
              <w:rPr>
                <w:rFonts w:eastAsia="Calibri" w:cs="Mangal"/>
                <w:color w:val="auto"/>
                <w:shd w:val="clear" w:color="auto" w:fill="FFFFFF"/>
              </w:rPr>
              <w:t>(</w:t>
            </w:r>
            <w:proofErr w:type="spellStart"/>
            <w:r w:rsidRPr="000456F9">
              <w:rPr>
                <w:rFonts w:eastAsia="Calibri" w:cs="Mangal"/>
                <w:color w:val="auto"/>
                <w:shd w:val="clear" w:color="auto" w:fill="FFFFFF"/>
              </w:rPr>
              <w:t>Tursunovich</w:t>
            </w:r>
            <w:proofErr w:type="spellEnd"/>
            <w:r w:rsidRPr="000456F9">
              <w:rPr>
                <w:rFonts w:eastAsia="Calibri" w:cs="Mangal"/>
                <w:color w:val="auto"/>
                <w:shd w:val="clear" w:color="auto" w:fill="FFFFFF"/>
              </w:rPr>
              <w:t>, 2023)</w:t>
            </w:r>
            <w:r w:rsidRPr="000456F9">
              <w:rPr>
                <w:rFonts w:eastAsia="Calibri" w:cs="Mangal"/>
                <w:color w:val="auto"/>
              </w:rPr>
              <w:t xml:space="preserve">. Therefore, this requires individuals in the Food and Beverage industry to develop cultural competence. This requires understanding and respecting the values, preferences, and beliefs of different cultures. </w:t>
            </w:r>
          </w:p>
          <w:p w14:paraId="4160745F" w14:textId="77777777" w:rsidR="000456F9" w:rsidRPr="000456F9" w:rsidRDefault="000456F9" w:rsidP="000456F9">
            <w:pPr>
              <w:spacing w:line="360" w:lineRule="auto"/>
              <w:jc w:val="both"/>
              <w:rPr>
                <w:rFonts w:eastAsia="Calibri" w:cs="Mangal"/>
                <w:color w:val="auto"/>
              </w:rPr>
            </w:pPr>
            <w:r w:rsidRPr="000456F9">
              <w:rPr>
                <w:rFonts w:eastAsia="Calibri" w:cs="Mangal"/>
                <w:color w:val="auto"/>
              </w:rPr>
              <w:t>Additionally, from the scenario I have witnessed, I have realised Alex needs to develop several skills and changes in their behaviours. These skills have been defined as follows:</w:t>
            </w:r>
          </w:p>
          <w:p w14:paraId="2C5D26F2" w14:textId="77777777" w:rsidR="000456F9" w:rsidRPr="000456F9" w:rsidRDefault="000456F9" w:rsidP="000456F9">
            <w:pPr>
              <w:numPr>
                <w:ilvl w:val="0"/>
                <w:numId w:val="1"/>
              </w:numPr>
              <w:spacing w:line="360" w:lineRule="auto"/>
              <w:jc w:val="both"/>
              <w:rPr>
                <w:rFonts w:eastAsia="Calibri" w:cs="Mangal"/>
                <w:color w:val="auto"/>
              </w:rPr>
            </w:pPr>
            <w:r w:rsidRPr="000456F9">
              <w:rPr>
                <w:rFonts w:eastAsia="Calibri" w:cs="Mangal"/>
                <w:b/>
                <w:bCs/>
                <w:i/>
                <w:iCs/>
                <w:color w:val="auto"/>
              </w:rPr>
              <w:t>Cultural competence</w:t>
            </w:r>
            <w:r w:rsidRPr="000456F9">
              <w:rPr>
                <w:rFonts w:eastAsia="Calibri" w:cs="Mangal"/>
                <w:color w:val="auto"/>
              </w:rPr>
              <w:t>: These are the primary skills that can prevent any misunderstandings in the future. Individuals like Alex need to educate themselves on different cultural practices. This can include attending training sessions and reading literature as well.</w:t>
            </w:r>
          </w:p>
          <w:p w14:paraId="0CABE1DE" w14:textId="77777777" w:rsidR="000456F9" w:rsidRPr="000456F9" w:rsidRDefault="000456F9" w:rsidP="000456F9">
            <w:pPr>
              <w:numPr>
                <w:ilvl w:val="0"/>
                <w:numId w:val="1"/>
              </w:numPr>
              <w:spacing w:line="360" w:lineRule="auto"/>
              <w:jc w:val="both"/>
              <w:rPr>
                <w:rFonts w:eastAsia="Calibri" w:cs="Mangal"/>
                <w:color w:val="auto"/>
                <w:shd w:val="clear" w:color="auto" w:fill="FFFFFF"/>
              </w:rPr>
            </w:pPr>
            <w:r w:rsidRPr="000456F9">
              <w:rPr>
                <w:rFonts w:eastAsia="Calibri" w:cs="Mangal"/>
                <w:b/>
                <w:bCs/>
                <w:i/>
                <w:iCs/>
                <w:color w:val="auto"/>
              </w:rPr>
              <w:t>Effective communication</w:t>
            </w:r>
            <w:r w:rsidRPr="000456F9">
              <w:rPr>
                <w:rFonts w:eastAsia="Calibri" w:cs="Mangal"/>
                <w:color w:val="auto"/>
              </w:rPr>
              <w:t xml:space="preserve">: This is a common skill that is required in every field. However, improvement of language skills is considered essential so that communication with guests from different backgrounds can be enhanced. This can include learning basic phrases in different languages and being able to use non-verbal cues so that clear communication can be ensured </w:t>
            </w:r>
            <w:r w:rsidRPr="000456F9">
              <w:rPr>
                <w:rFonts w:eastAsia="Calibri" w:cs="Mangal"/>
                <w:color w:val="auto"/>
                <w:shd w:val="clear" w:color="auto" w:fill="FFFFFF"/>
              </w:rPr>
              <w:t>(Galante, 2022)</w:t>
            </w:r>
            <w:r w:rsidRPr="000456F9">
              <w:rPr>
                <w:rFonts w:eastAsia="Calibri" w:cs="Mangal"/>
                <w:color w:val="auto"/>
              </w:rPr>
              <w:t>.</w:t>
            </w:r>
          </w:p>
          <w:p w14:paraId="6423AD4C" w14:textId="27063B6C" w:rsidR="00DA485D" w:rsidRPr="00E95FE6" w:rsidRDefault="00DA485D" w:rsidP="007C2128">
            <w:pPr>
              <w:rPr>
                <w:b/>
                <w:bCs/>
                <w:i/>
                <w:iCs/>
                <w:color w:val="BFBFBF" w:themeColor="background1" w:themeShade="BF"/>
                <w:sz w:val="28"/>
                <w:szCs w:val="24"/>
              </w:rPr>
            </w:pPr>
          </w:p>
          <w:p w14:paraId="139AE4AB" w14:textId="706EC3C3" w:rsidR="00085A4E" w:rsidRDefault="00085A4E" w:rsidP="007C2128">
            <w:pPr>
              <w:rPr>
                <w:b/>
                <w:bCs/>
                <w:sz w:val="28"/>
                <w:szCs w:val="24"/>
              </w:rPr>
            </w:pPr>
          </w:p>
          <w:p w14:paraId="49CFDEEE" w14:textId="77777777" w:rsidR="00136D1F" w:rsidRDefault="00136D1F" w:rsidP="007C2128">
            <w:pPr>
              <w:rPr>
                <w:b/>
                <w:bCs/>
                <w:sz w:val="28"/>
                <w:szCs w:val="24"/>
              </w:rPr>
            </w:pPr>
          </w:p>
          <w:p w14:paraId="036CC918" w14:textId="4C4C9464" w:rsidR="00085A4E" w:rsidRDefault="003164B2" w:rsidP="007C2128">
            <w:pPr>
              <w:rPr>
                <w:b/>
                <w:bCs/>
                <w:sz w:val="28"/>
                <w:szCs w:val="24"/>
              </w:rPr>
            </w:pPr>
            <w:r>
              <w:rPr>
                <w:b/>
                <w:bCs/>
                <w:sz w:val="28"/>
                <w:szCs w:val="24"/>
              </w:rPr>
              <w:t>References:</w:t>
            </w:r>
          </w:p>
          <w:p w14:paraId="1BB30CD7" w14:textId="77777777" w:rsidR="005D04E6" w:rsidRPr="005D04E6" w:rsidRDefault="005D04E6" w:rsidP="005D04E6">
            <w:pPr>
              <w:spacing w:line="360" w:lineRule="auto"/>
              <w:jc w:val="both"/>
              <w:rPr>
                <w:rFonts w:eastAsia="Calibri" w:cs="Mangal"/>
                <w:color w:val="auto"/>
                <w:shd w:val="clear" w:color="auto" w:fill="FFFFFF"/>
              </w:rPr>
            </w:pPr>
            <w:r w:rsidRPr="005D04E6">
              <w:rPr>
                <w:rFonts w:eastAsia="Calibri" w:cs="Mangal"/>
                <w:color w:val="auto"/>
                <w:shd w:val="clear" w:color="auto" w:fill="FFFFFF"/>
              </w:rPr>
              <w:t>Galante, A. (2022) Plurilingual and pluricultural competence (PPC) scale: The inseparability of language and culture. </w:t>
            </w:r>
            <w:r w:rsidRPr="005D04E6">
              <w:rPr>
                <w:rFonts w:eastAsia="Calibri" w:cs="Mangal"/>
                <w:i/>
                <w:iCs/>
                <w:color w:val="auto"/>
                <w:shd w:val="clear" w:color="auto" w:fill="FFFFFF"/>
              </w:rPr>
              <w:t>International Journal of Multilingualism</w:t>
            </w:r>
            <w:r w:rsidRPr="005D04E6">
              <w:rPr>
                <w:rFonts w:eastAsia="Calibri" w:cs="Mangal"/>
                <w:color w:val="auto"/>
                <w:shd w:val="clear" w:color="auto" w:fill="FFFFFF"/>
              </w:rPr>
              <w:t>, </w:t>
            </w:r>
            <w:r w:rsidRPr="005D04E6">
              <w:rPr>
                <w:rFonts w:eastAsia="Calibri" w:cs="Mangal"/>
                <w:i/>
                <w:iCs/>
                <w:color w:val="auto"/>
                <w:shd w:val="clear" w:color="auto" w:fill="FFFFFF"/>
              </w:rPr>
              <w:t>19</w:t>
            </w:r>
            <w:r w:rsidRPr="005D04E6">
              <w:rPr>
                <w:rFonts w:eastAsia="Calibri" w:cs="Mangal"/>
                <w:color w:val="auto"/>
                <w:shd w:val="clear" w:color="auto" w:fill="FFFFFF"/>
              </w:rPr>
              <w:t>(4), pp.477-498.</w:t>
            </w:r>
          </w:p>
          <w:p w14:paraId="581FF771" w14:textId="77777777" w:rsidR="005D04E6" w:rsidRPr="005D04E6" w:rsidRDefault="005D04E6" w:rsidP="005D04E6">
            <w:pPr>
              <w:spacing w:line="360" w:lineRule="auto"/>
              <w:jc w:val="both"/>
              <w:rPr>
                <w:rFonts w:eastAsia="Calibri" w:cs="Mangal"/>
                <w:color w:val="auto"/>
                <w:shd w:val="clear" w:color="auto" w:fill="FFFFFF"/>
              </w:rPr>
            </w:pPr>
            <w:r w:rsidRPr="005D04E6">
              <w:rPr>
                <w:rFonts w:eastAsia="Calibri" w:cs="Mangal"/>
                <w:color w:val="auto"/>
                <w:shd w:val="clear" w:color="auto" w:fill="FFFFFF"/>
              </w:rPr>
              <w:t xml:space="preserve">Rustamov, I.T. and </w:t>
            </w:r>
            <w:proofErr w:type="spellStart"/>
            <w:r w:rsidRPr="005D04E6">
              <w:rPr>
                <w:rFonts w:eastAsia="Calibri" w:cs="Mangal"/>
                <w:color w:val="auto"/>
                <w:shd w:val="clear" w:color="auto" w:fill="FFFFFF"/>
              </w:rPr>
              <w:t>Mamaziyayev</w:t>
            </w:r>
            <w:proofErr w:type="spellEnd"/>
            <w:r w:rsidRPr="005D04E6">
              <w:rPr>
                <w:rFonts w:eastAsia="Calibri" w:cs="Mangal"/>
                <w:color w:val="auto"/>
                <w:shd w:val="clear" w:color="auto" w:fill="FFFFFF"/>
              </w:rPr>
              <w:t>, Z.X. (2022) Development of speaking comprehension in teaching foreign language for professional purposes. </w:t>
            </w:r>
            <w:r w:rsidRPr="005D04E6">
              <w:rPr>
                <w:rFonts w:eastAsia="Calibri" w:cs="Mangal"/>
                <w:i/>
                <w:iCs/>
                <w:color w:val="auto"/>
                <w:shd w:val="clear" w:color="auto" w:fill="FFFFFF"/>
              </w:rPr>
              <w:t>Asian Journal of Research in Social Sciences and Humanities</w:t>
            </w:r>
            <w:r w:rsidRPr="005D04E6">
              <w:rPr>
                <w:rFonts w:eastAsia="Calibri" w:cs="Mangal"/>
                <w:color w:val="auto"/>
                <w:shd w:val="clear" w:color="auto" w:fill="FFFFFF"/>
              </w:rPr>
              <w:t>, </w:t>
            </w:r>
            <w:r w:rsidRPr="005D04E6">
              <w:rPr>
                <w:rFonts w:eastAsia="Calibri" w:cs="Mangal"/>
                <w:i/>
                <w:iCs/>
                <w:color w:val="auto"/>
                <w:shd w:val="clear" w:color="auto" w:fill="FFFFFF"/>
              </w:rPr>
              <w:t>12</w:t>
            </w:r>
            <w:r w:rsidRPr="005D04E6">
              <w:rPr>
                <w:rFonts w:eastAsia="Calibri" w:cs="Mangal"/>
                <w:color w:val="auto"/>
                <w:shd w:val="clear" w:color="auto" w:fill="FFFFFF"/>
              </w:rPr>
              <w:t>(2), pp.227-233.</w:t>
            </w:r>
          </w:p>
          <w:p w14:paraId="2B686354" w14:textId="77777777" w:rsidR="005D04E6" w:rsidRPr="005D04E6" w:rsidRDefault="005D04E6" w:rsidP="005D04E6">
            <w:pPr>
              <w:spacing w:line="360" w:lineRule="auto"/>
              <w:jc w:val="both"/>
              <w:rPr>
                <w:rFonts w:eastAsia="Calibri" w:cs="Mangal"/>
                <w:color w:val="auto"/>
                <w:shd w:val="clear" w:color="auto" w:fill="FFFFFF"/>
              </w:rPr>
            </w:pPr>
            <w:proofErr w:type="spellStart"/>
            <w:r w:rsidRPr="005D04E6">
              <w:rPr>
                <w:rFonts w:eastAsia="Calibri" w:cs="Mangal"/>
                <w:color w:val="auto"/>
                <w:shd w:val="clear" w:color="auto" w:fill="FFFFFF"/>
              </w:rPr>
              <w:t>Tursunovich</w:t>
            </w:r>
            <w:proofErr w:type="spellEnd"/>
            <w:r w:rsidRPr="005D04E6">
              <w:rPr>
                <w:rFonts w:eastAsia="Calibri" w:cs="Mangal"/>
                <w:color w:val="auto"/>
                <w:shd w:val="clear" w:color="auto" w:fill="FFFFFF"/>
              </w:rPr>
              <w:t>, R.I. (2023) Development of Communicative Competence in Teaching Foreign Language for Professional Purposes. In </w:t>
            </w:r>
            <w:r w:rsidRPr="005D04E6">
              <w:rPr>
                <w:rFonts w:eastAsia="Calibri" w:cs="Mangal"/>
                <w:i/>
                <w:iCs/>
                <w:color w:val="auto"/>
                <w:shd w:val="clear" w:color="auto" w:fill="FFFFFF"/>
              </w:rPr>
              <w:t>Proceedings of International Conference on Scientific Research in Natural and Social Sciences</w:t>
            </w:r>
            <w:r w:rsidRPr="005D04E6">
              <w:rPr>
                <w:rFonts w:eastAsia="Calibri" w:cs="Mangal"/>
                <w:color w:val="auto"/>
                <w:shd w:val="clear" w:color="auto" w:fill="FFFFFF"/>
              </w:rPr>
              <w:t> (Vol. 2, No. 1, pp. 26-33).</w:t>
            </w:r>
          </w:p>
          <w:p w14:paraId="44A016D5" w14:textId="77777777" w:rsidR="00DA485D" w:rsidRDefault="00DA485D" w:rsidP="007C2128">
            <w:pPr>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B452404" w14:textId="4CBEA0FB" w:rsidR="00B3346C"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w:t>
            </w:r>
          </w:p>
          <w:p w14:paraId="4832A2B6" w14:textId="193ECAE8" w:rsidR="002922B5" w:rsidRPr="002922B5" w:rsidRDefault="002922B5" w:rsidP="005C77A4">
            <w:pPr>
              <w:rPr>
                <w:b/>
                <w:bCs/>
                <w:sz w:val="28"/>
                <w:szCs w:val="24"/>
              </w:rPr>
            </w:pPr>
            <w:r w:rsidRPr="000456F9">
              <w:rPr>
                <w:rFonts w:eastAsia="Calibri" w:cs="Mangal"/>
                <w:color w:val="auto"/>
              </w:rPr>
              <w:t>The training plan has been created based on the above cultural misunderstanding scenario.</w:t>
            </w:r>
          </w:p>
          <w:p w14:paraId="36C029D2" w14:textId="77777777" w:rsidR="00A135A5" w:rsidRPr="00A135A5" w:rsidRDefault="00A135A5" w:rsidP="005C77A4">
            <w:pPr>
              <w:rPr>
                <w:b/>
                <w:bCs/>
                <w:i/>
                <w:iCs/>
                <w:color w:val="BFBFBF" w:themeColor="background1" w:themeShade="BF"/>
                <w:sz w:val="28"/>
                <w:szCs w:val="24"/>
              </w:rPr>
            </w:pPr>
          </w:p>
          <w:p w14:paraId="05112560" w14:textId="7012F095" w:rsidR="00A135A5" w:rsidRDefault="00723301" w:rsidP="00A135A5">
            <w:pPr>
              <w:rPr>
                <w:b/>
                <w:bCs/>
                <w:sz w:val="28"/>
                <w:szCs w:val="24"/>
              </w:rPr>
            </w:pPr>
            <w:r>
              <w:rPr>
                <w:b/>
                <w:bCs/>
                <w:sz w:val="28"/>
                <w:szCs w:val="24"/>
              </w:rPr>
              <w:t>Training plan (Why/What</w:t>
            </w:r>
            <w:r w:rsidR="00A135A5">
              <w:rPr>
                <w:b/>
                <w:bCs/>
                <w:sz w:val="28"/>
                <w:szCs w:val="24"/>
              </w:rPr>
              <w:t>/</w:t>
            </w:r>
            <w:r>
              <w:rPr>
                <w:b/>
                <w:bCs/>
                <w:sz w:val="28"/>
                <w:szCs w:val="24"/>
              </w:rPr>
              <w:t>/Who/Where/When):</w:t>
            </w:r>
          </w:p>
          <w:p w14:paraId="3E2DFBB2" w14:textId="6D26D3E9" w:rsidR="000456F9" w:rsidRPr="000456F9" w:rsidRDefault="000456F9" w:rsidP="000456F9">
            <w:pPr>
              <w:spacing w:line="360" w:lineRule="auto"/>
              <w:jc w:val="both"/>
              <w:rPr>
                <w:rFonts w:eastAsia="Calibri" w:cs="Mangal"/>
                <w:color w:val="auto"/>
              </w:rPr>
            </w:pPr>
            <w:r w:rsidRPr="000456F9">
              <w:rPr>
                <w:rFonts w:eastAsia="Calibri" w:cs="Mangal"/>
                <w:color w:val="auto"/>
              </w:rPr>
              <w:t>The plan has been discussed as follows:</w:t>
            </w:r>
          </w:p>
          <w:p w14:paraId="051DBE0D" w14:textId="77777777" w:rsidR="000456F9" w:rsidRPr="000456F9" w:rsidRDefault="000456F9" w:rsidP="000456F9">
            <w:pPr>
              <w:spacing w:line="360" w:lineRule="auto"/>
              <w:jc w:val="both"/>
              <w:rPr>
                <w:rFonts w:eastAsia="Calibri" w:cs="Mangal"/>
                <w:color w:val="auto"/>
                <w:shd w:val="clear" w:color="auto" w:fill="FFFFFF"/>
              </w:rPr>
            </w:pPr>
            <w:r w:rsidRPr="000456F9">
              <w:rPr>
                <w:rFonts w:eastAsia="Calibri" w:cs="Mangal"/>
                <w:color w:val="auto"/>
              </w:rPr>
              <w:t xml:space="preserve">Objective: The objective of the training plan is to equip the Food and Beverage team at Rossington Hall with the required skills and knowledge so that cultural misunderstanding can be prevented and navigated at the same time. The training plan aims to enhance the dining experience of the guests regardless of their diverse cultural backgrounds </w:t>
            </w:r>
            <w:r w:rsidRPr="000456F9">
              <w:rPr>
                <w:rFonts w:eastAsia="Calibri" w:cs="Mangal"/>
                <w:color w:val="auto"/>
                <w:shd w:val="clear" w:color="auto" w:fill="FFFFFF"/>
              </w:rPr>
              <w:t>(</w:t>
            </w:r>
            <w:proofErr w:type="spellStart"/>
            <w:r w:rsidRPr="000456F9">
              <w:rPr>
                <w:rFonts w:eastAsia="Calibri" w:cs="Mangal"/>
                <w:color w:val="auto"/>
                <w:shd w:val="clear" w:color="auto" w:fill="FFFFFF"/>
              </w:rPr>
              <w:t>Irkinovich</w:t>
            </w:r>
            <w:proofErr w:type="spellEnd"/>
            <w:r w:rsidRPr="000456F9">
              <w:rPr>
                <w:rFonts w:eastAsia="Calibri" w:cs="Mangal"/>
                <w:color w:val="auto"/>
                <w:shd w:val="clear" w:color="auto" w:fill="FFFFFF"/>
              </w:rPr>
              <w:t>, 2022)</w:t>
            </w:r>
            <w:r w:rsidRPr="000456F9">
              <w:rPr>
                <w:rFonts w:eastAsia="Calibri" w:cs="Mangal"/>
                <w:color w:val="auto"/>
              </w:rPr>
              <w:t xml:space="preserve">. </w:t>
            </w:r>
          </w:p>
          <w:p w14:paraId="611098CA" w14:textId="77777777" w:rsidR="000456F9" w:rsidRPr="000456F9" w:rsidRDefault="000456F9" w:rsidP="000456F9">
            <w:pPr>
              <w:spacing w:line="360" w:lineRule="auto"/>
              <w:jc w:val="both"/>
              <w:rPr>
                <w:rFonts w:eastAsia="Calibri" w:cs="Mangal"/>
                <w:color w:val="auto"/>
              </w:rPr>
            </w:pPr>
            <w:r w:rsidRPr="000456F9">
              <w:rPr>
                <w:rFonts w:eastAsia="Calibri" w:cs="Mangal"/>
                <w:b/>
                <w:bCs/>
                <w:i/>
                <w:iCs/>
                <w:color w:val="auto"/>
              </w:rPr>
              <w:t>Training components</w:t>
            </w:r>
            <w:r w:rsidRPr="000456F9">
              <w:rPr>
                <w:rFonts w:eastAsia="Calibri" w:cs="Mangal"/>
                <w:color w:val="auto"/>
              </w:rPr>
              <w:t>: The current training plan will include the following components as a part of the plan:</w:t>
            </w:r>
          </w:p>
          <w:p w14:paraId="54C273B2" w14:textId="3EB4A3E2" w:rsidR="000456F9" w:rsidRPr="000456F9" w:rsidRDefault="000456F9" w:rsidP="000456F9">
            <w:pPr>
              <w:spacing w:line="360" w:lineRule="auto"/>
              <w:jc w:val="both"/>
              <w:rPr>
                <w:rFonts w:eastAsia="Calibri" w:cs="Mangal"/>
                <w:color w:val="auto"/>
              </w:rPr>
            </w:pPr>
            <w:r w:rsidRPr="000456F9">
              <w:rPr>
                <w:rFonts w:eastAsia="Calibri" w:cs="Mangal"/>
                <w:color w:val="auto"/>
              </w:rPr>
              <w:t xml:space="preserve">Cultural competence workshop: This aspect requires the company to conduct a comprehensive workshop which </w:t>
            </w:r>
            <w:r w:rsidR="002922B5">
              <w:rPr>
                <w:rFonts w:eastAsia="Calibri" w:cs="Mangal"/>
                <w:color w:val="auto"/>
              </w:rPr>
              <w:t>the cultural competence expert and consultants will lead</w:t>
            </w:r>
            <w:r w:rsidRPr="000456F9">
              <w:rPr>
                <w:rFonts w:eastAsia="Calibri" w:cs="Mangal"/>
                <w:color w:val="auto"/>
              </w:rPr>
              <w:t xml:space="preserve">. These experts will cover different topics like understanding cultural dimensions, </w:t>
            </w:r>
            <w:r w:rsidR="00F7746F">
              <w:rPr>
                <w:rFonts w:eastAsia="Calibri" w:cs="Mangal"/>
                <w:color w:val="auto"/>
              </w:rPr>
              <w:t xml:space="preserve">recognition </w:t>
            </w:r>
            <w:r w:rsidRPr="000456F9">
              <w:rPr>
                <w:rFonts w:eastAsia="Calibri" w:cs="Mangal"/>
                <w:color w:val="auto"/>
              </w:rPr>
              <w:t xml:space="preserve">variation in dietary practices as well as fostering a culturally sensitive environment. </w:t>
            </w:r>
          </w:p>
          <w:p w14:paraId="42DD463C" w14:textId="77777777" w:rsidR="000456F9" w:rsidRPr="000456F9" w:rsidRDefault="000456F9" w:rsidP="000456F9">
            <w:pPr>
              <w:spacing w:line="360" w:lineRule="auto"/>
              <w:jc w:val="both"/>
              <w:rPr>
                <w:rFonts w:eastAsia="Calibri" w:cs="Mangal"/>
                <w:color w:val="auto"/>
                <w:shd w:val="clear" w:color="auto" w:fill="FFFFFF"/>
              </w:rPr>
            </w:pPr>
            <w:r w:rsidRPr="000456F9">
              <w:rPr>
                <w:rFonts w:eastAsia="Calibri" w:cs="Mangal"/>
                <w:color w:val="auto"/>
              </w:rPr>
              <w:t xml:space="preserve">Language skills: This aspect of the training program will offer language training sessions which are emphasised basic phrases such as greetings and order taking which are spoken commonly in different languages as per the guest demographics of the hotel </w:t>
            </w:r>
            <w:r w:rsidRPr="000456F9">
              <w:rPr>
                <w:rFonts w:eastAsia="Calibri" w:cs="Mangal"/>
                <w:color w:val="auto"/>
                <w:shd w:val="clear" w:color="auto" w:fill="FFFFFF"/>
              </w:rPr>
              <w:t>(Kim, 2020)</w:t>
            </w:r>
            <w:r w:rsidRPr="000456F9">
              <w:rPr>
                <w:rFonts w:eastAsia="Calibri" w:cs="Mangal"/>
                <w:color w:val="auto"/>
              </w:rPr>
              <w:t xml:space="preserve">. This will include the company's leading practical training sessions like role-playing exercises so that real-world situations in which language barriers might lead to misunderstanding can be stimulated. </w:t>
            </w:r>
          </w:p>
          <w:p w14:paraId="3DDC4C15" w14:textId="77777777" w:rsidR="000456F9" w:rsidRPr="000456F9" w:rsidRDefault="000456F9" w:rsidP="000456F9">
            <w:pPr>
              <w:spacing w:line="360" w:lineRule="auto"/>
              <w:jc w:val="both"/>
              <w:rPr>
                <w:rFonts w:eastAsia="Calibri" w:cs="Mangal"/>
                <w:color w:val="auto"/>
              </w:rPr>
            </w:pPr>
            <w:r w:rsidRPr="000456F9">
              <w:rPr>
                <w:rFonts w:eastAsia="Calibri" w:cs="Mangal"/>
                <w:color w:val="auto"/>
              </w:rPr>
              <w:t xml:space="preserve">Diversity and inclusion training: This is the most vital aspect of the training plan in which diversity and inclusion training will be integrated into the regular staff development </w:t>
            </w:r>
            <w:r w:rsidRPr="000456F9">
              <w:rPr>
                <w:rFonts w:eastAsia="Calibri" w:cs="Mangal"/>
                <w:color w:val="auto"/>
              </w:rPr>
              <w:lastRenderedPageBreak/>
              <w:t xml:space="preserve">programs offered by the company. The focus of this plan will be on the creation of a welcoming environment for all the guests from different cultural backgrounds. </w:t>
            </w:r>
          </w:p>
          <w:p w14:paraId="475F84C4" w14:textId="77777777" w:rsidR="000456F9" w:rsidRPr="000456F9" w:rsidRDefault="000456F9" w:rsidP="000456F9">
            <w:pPr>
              <w:spacing w:line="360" w:lineRule="auto"/>
              <w:jc w:val="both"/>
              <w:rPr>
                <w:rFonts w:eastAsia="Calibri" w:cs="Mangal"/>
                <w:color w:val="auto"/>
                <w:shd w:val="clear" w:color="auto" w:fill="FFFFFF"/>
              </w:rPr>
            </w:pPr>
            <w:r w:rsidRPr="000456F9">
              <w:rPr>
                <w:rFonts w:eastAsia="Calibri" w:cs="Mangal"/>
                <w:color w:val="auto"/>
              </w:rPr>
              <w:t xml:space="preserve">Effective communication: This part of the training will focus on enhancing the communication skills of the employees </w:t>
            </w:r>
            <w:r w:rsidRPr="000456F9">
              <w:rPr>
                <w:rFonts w:eastAsia="Calibri" w:cs="Mangal"/>
                <w:color w:val="auto"/>
                <w:shd w:val="clear" w:color="auto" w:fill="FFFFFF"/>
              </w:rPr>
              <w:t>(</w:t>
            </w:r>
            <w:proofErr w:type="spellStart"/>
            <w:r w:rsidRPr="000456F9">
              <w:rPr>
                <w:rFonts w:eastAsia="Calibri" w:cs="Mangal"/>
                <w:color w:val="auto"/>
                <w:shd w:val="clear" w:color="auto" w:fill="FFFFFF"/>
              </w:rPr>
              <w:t>Dubreil</w:t>
            </w:r>
            <w:proofErr w:type="spellEnd"/>
            <w:r w:rsidRPr="000456F9">
              <w:rPr>
                <w:rFonts w:eastAsia="Calibri" w:cs="Mangal"/>
                <w:color w:val="auto"/>
                <w:shd w:val="clear" w:color="auto" w:fill="FFFFFF"/>
              </w:rPr>
              <w:t>, 2020)</w:t>
            </w:r>
            <w:r w:rsidRPr="000456F9">
              <w:rPr>
                <w:rFonts w:eastAsia="Calibri" w:cs="Mangal"/>
                <w:color w:val="auto"/>
              </w:rPr>
              <w:t xml:space="preserve">. In this, training on effective communication strategies and active listening will be offered.  </w:t>
            </w:r>
          </w:p>
          <w:p w14:paraId="36752374" w14:textId="77777777" w:rsidR="000456F9" w:rsidRPr="000456F9" w:rsidRDefault="000456F9" w:rsidP="000456F9">
            <w:pPr>
              <w:spacing w:line="360" w:lineRule="auto"/>
              <w:jc w:val="both"/>
              <w:rPr>
                <w:rFonts w:eastAsia="Calibri" w:cs="Mangal"/>
                <w:color w:val="auto"/>
              </w:rPr>
            </w:pPr>
            <w:r w:rsidRPr="000456F9">
              <w:rPr>
                <w:rFonts w:eastAsia="Calibri" w:cs="Mangal"/>
                <w:b/>
                <w:bCs/>
                <w:i/>
                <w:iCs/>
                <w:color w:val="auto"/>
              </w:rPr>
              <w:t>Implementation of the plan</w:t>
            </w:r>
            <w:r w:rsidRPr="000456F9">
              <w:rPr>
                <w:rFonts w:eastAsia="Calibri" w:cs="Mangal"/>
                <w:color w:val="auto"/>
              </w:rPr>
              <w:t>: The training plan will be implemented through following the steps described below:</w:t>
            </w:r>
          </w:p>
          <w:p w14:paraId="46DDE139" w14:textId="77777777" w:rsidR="000456F9" w:rsidRPr="000456F9" w:rsidRDefault="000456F9" w:rsidP="000456F9">
            <w:pPr>
              <w:numPr>
                <w:ilvl w:val="0"/>
                <w:numId w:val="2"/>
              </w:numPr>
              <w:spacing w:line="360" w:lineRule="auto"/>
              <w:jc w:val="both"/>
              <w:rPr>
                <w:rFonts w:eastAsia="Calibri" w:cs="Mangal"/>
                <w:color w:val="auto"/>
              </w:rPr>
            </w:pPr>
            <w:r w:rsidRPr="000456F9">
              <w:rPr>
                <w:rFonts w:eastAsia="Calibri" w:cs="Mangal"/>
                <w:color w:val="auto"/>
              </w:rPr>
              <w:t>The first step will be to schedule the workshops and training sessions so that the availability of the team can be accommodated.</w:t>
            </w:r>
          </w:p>
          <w:p w14:paraId="49161781" w14:textId="77777777" w:rsidR="000456F9" w:rsidRPr="000456F9" w:rsidRDefault="000456F9" w:rsidP="000456F9">
            <w:pPr>
              <w:numPr>
                <w:ilvl w:val="0"/>
                <w:numId w:val="2"/>
              </w:numPr>
              <w:spacing w:line="360" w:lineRule="auto"/>
              <w:jc w:val="both"/>
              <w:rPr>
                <w:rFonts w:eastAsia="Calibri" w:cs="Mangal"/>
                <w:color w:val="auto"/>
              </w:rPr>
            </w:pPr>
            <w:r w:rsidRPr="000456F9">
              <w:rPr>
                <w:rFonts w:eastAsia="Calibri" w:cs="Mangal"/>
                <w:color w:val="auto"/>
              </w:rPr>
              <w:t>The next step is to utilise a mix of people and online training methods so that the accessibility of all the staff members can be ensured.</w:t>
            </w:r>
          </w:p>
          <w:p w14:paraId="6F909ADC" w14:textId="77777777" w:rsidR="000456F9" w:rsidRPr="000456F9" w:rsidRDefault="000456F9" w:rsidP="000456F9">
            <w:pPr>
              <w:numPr>
                <w:ilvl w:val="0"/>
                <w:numId w:val="2"/>
              </w:numPr>
              <w:spacing w:line="360" w:lineRule="auto"/>
              <w:jc w:val="both"/>
              <w:rPr>
                <w:rFonts w:eastAsia="Calibri" w:cs="Mangal"/>
                <w:color w:val="auto"/>
              </w:rPr>
            </w:pPr>
            <w:r w:rsidRPr="000456F9">
              <w:rPr>
                <w:rFonts w:eastAsia="Calibri" w:cs="Mangal"/>
                <w:color w:val="auto"/>
              </w:rPr>
              <w:t>At last, the team members will be encouraged to share their experiences as well as opinions so that a collaborative learning environment can be fostered.</w:t>
            </w:r>
          </w:p>
          <w:p w14:paraId="1991D273" w14:textId="1CD69C19" w:rsidR="000456F9" w:rsidRPr="000456F9" w:rsidRDefault="000456F9" w:rsidP="000456F9">
            <w:pPr>
              <w:spacing w:line="360" w:lineRule="auto"/>
              <w:jc w:val="both"/>
              <w:rPr>
                <w:rFonts w:eastAsia="Calibri" w:cs="Mangal"/>
                <w:color w:val="auto"/>
              </w:rPr>
            </w:pPr>
            <w:r w:rsidRPr="000456F9">
              <w:rPr>
                <w:rFonts w:eastAsia="Calibri" w:cs="Mangal"/>
                <w:b/>
                <w:bCs/>
                <w:i/>
                <w:iCs/>
                <w:color w:val="auto"/>
              </w:rPr>
              <w:t>Assessment of the plan</w:t>
            </w:r>
            <w:r w:rsidRPr="000456F9">
              <w:rPr>
                <w:rFonts w:eastAsia="Calibri" w:cs="Mangal"/>
                <w:color w:val="auto"/>
              </w:rPr>
              <w:t xml:space="preserve">: Rossington Hall </w:t>
            </w:r>
            <w:r w:rsidR="005D04E6" w:rsidRPr="000456F9">
              <w:rPr>
                <w:rFonts w:eastAsia="Calibri" w:cs="Mangal"/>
                <w:color w:val="auto"/>
              </w:rPr>
              <w:t>must</w:t>
            </w:r>
            <w:r w:rsidRPr="000456F9">
              <w:rPr>
                <w:rFonts w:eastAsia="Calibri" w:cs="Mangal"/>
                <w:color w:val="auto"/>
              </w:rPr>
              <w:t xml:space="preserve"> conduct periodic assessments so that the effectiveness of the training can be measured. The company can also collect feedback from employees and managers so that different areas of improvement can be identified, and further training programs can be customised accordingly.</w:t>
            </w:r>
          </w:p>
          <w:p w14:paraId="0A43483E" w14:textId="15373B5E" w:rsidR="000456F9" w:rsidRPr="000456F9" w:rsidRDefault="000456F9" w:rsidP="000456F9">
            <w:pPr>
              <w:spacing w:line="360" w:lineRule="auto"/>
              <w:jc w:val="both"/>
              <w:rPr>
                <w:rFonts w:eastAsia="Calibri" w:cs="Mangal"/>
                <w:color w:val="auto"/>
                <w:shd w:val="clear" w:color="auto" w:fill="FFFFFF"/>
              </w:rPr>
            </w:pPr>
            <w:r w:rsidRPr="000456F9">
              <w:rPr>
                <w:rFonts w:eastAsia="Calibri" w:cs="Mangal"/>
                <w:color w:val="auto"/>
              </w:rPr>
              <w:t xml:space="preserve">Continuous improvement: </w:t>
            </w:r>
            <w:r w:rsidR="005D04E6" w:rsidRPr="000456F9">
              <w:rPr>
                <w:rFonts w:eastAsia="Calibri" w:cs="Mangal"/>
                <w:color w:val="auto"/>
              </w:rPr>
              <w:t>Open Dining</w:t>
            </w:r>
            <w:r w:rsidRPr="000456F9">
              <w:rPr>
                <w:rFonts w:eastAsia="Calibri" w:cs="Mangal"/>
                <w:color w:val="auto"/>
              </w:rPr>
              <w:t xml:space="preserve"> can establish a system through which it can create ongoing competency training and incorporate new insights and best practices in the hotel. The company also </w:t>
            </w:r>
            <w:r w:rsidR="003F3D25" w:rsidRPr="000456F9">
              <w:rPr>
                <w:rFonts w:eastAsia="Calibri" w:cs="Mangal"/>
                <w:color w:val="auto"/>
              </w:rPr>
              <w:t>must</w:t>
            </w:r>
            <w:r w:rsidRPr="000456F9">
              <w:rPr>
                <w:rFonts w:eastAsia="Calibri" w:cs="Mangal"/>
                <w:color w:val="auto"/>
              </w:rPr>
              <w:t xml:space="preserve"> regularly update the training materials so that it can stay competent with the dynamic cultural aspects </w:t>
            </w:r>
            <w:r w:rsidRPr="000456F9">
              <w:rPr>
                <w:rFonts w:eastAsia="Calibri" w:cs="Mangal"/>
                <w:color w:val="auto"/>
                <w:shd w:val="clear" w:color="auto" w:fill="FFFFFF"/>
              </w:rPr>
              <w:t>(</w:t>
            </w:r>
            <w:proofErr w:type="spellStart"/>
            <w:r w:rsidRPr="000456F9">
              <w:rPr>
                <w:rFonts w:eastAsia="Calibri" w:cs="Mangal"/>
                <w:color w:val="auto"/>
                <w:shd w:val="clear" w:color="auto" w:fill="FFFFFF"/>
              </w:rPr>
              <w:t>Saydakhmetova</w:t>
            </w:r>
            <w:proofErr w:type="spellEnd"/>
            <w:r w:rsidRPr="000456F9">
              <w:rPr>
                <w:rFonts w:eastAsia="Calibri" w:cs="Mangal"/>
                <w:color w:val="auto"/>
                <w:shd w:val="clear" w:color="auto" w:fill="FFFFFF"/>
              </w:rPr>
              <w:t>, 2020)</w:t>
            </w:r>
            <w:r w:rsidRPr="000456F9">
              <w:rPr>
                <w:rFonts w:eastAsia="Calibri" w:cs="Mangal"/>
                <w:color w:val="auto"/>
              </w:rPr>
              <w:t>.</w:t>
            </w:r>
          </w:p>
          <w:p w14:paraId="5066B4DD" w14:textId="77777777" w:rsidR="005C77A4" w:rsidRDefault="005C77A4"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179D08E3" w14:textId="53C44024" w:rsidR="005D04E6" w:rsidRDefault="005D04E6" w:rsidP="005D04E6">
            <w:pPr>
              <w:spacing w:line="360" w:lineRule="auto"/>
              <w:jc w:val="both"/>
              <w:rPr>
                <w:rFonts w:eastAsia="Calibri" w:cs="Mangal"/>
                <w:color w:val="auto"/>
                <w:shd w:val="clear" w:color="auto" w:fill="FFFFFF"/>
              </w:rPr>
            </w:pPr>
            <w:proofErr w:type="spellStart"/>
            <w:r w:rsidRPr="005D04E6">
              <w:rPr>
                <w:rFonts w:eastAsia="Calibri" w:cs="Mangal"/>
                <w:color w:val="auto"/>
                <w:shd w:val="clear" w:color="auto" w:fill="FFFFFF"/>
              </w:rPr>
              <w:t>Dubreil</w:t>
            </w:r>
            <w:proofErr w:type="spellEnd"/>
            <w:r w:rsidRPr="005D04E6">
              <w:rPr>
                <w:rFonts w:eastAsia="Calibri" w:cs="Mangal"/>
                <w:color w:val="auto"/>
                <w:shd w:val="clear" w:color="auto" w:fill="FFFFFF"/>
              </w:rPr>
              <w:t>, S. (2020) Using games for language learning in the age of social distancing. </w:t>
            </w:r>
            <w:r w:rsidRPr="005D04E6">
              <w:rPr>
                <w:rFonts w:eastAsia="Calibri" w:cs="Mangal"/>
                <w:i/>
                <w:iCs/>
                <w:color w:val="auto"/>
                <w:shd w:val="clear" w:color="auto" w:fill="FFFFFF"/>
              </w:rPr>
              <w:t>Foreign language annals</w:t>
            </w:r>
            <w:r w:rsidRPr="005D04E6">
              <w:rPr>
                <w:rFonts w:eastAsia="Calibri" w:cs="Mangal"/>
                <w:color w:val="auto"/>
                <w:shd w:val="clear" w:color="auto" w:fill="FFFFFF"/>
              </w:rPr>
              <w:t>, </w:t>
            </w:r>
            <w:r w:rsidRPr="005D04E6">
              <w:rPr>
                <w:rFonts w:eastAsia="Calibri" w:cs="Mangal"/>
                <w:i/>
                <w:iCs/>
                <w:color w:val="auto"/>
                <w:shd w:val="clear" w:color="auto" w:fill="FFFFFF"/>
              </w:rPr>
              <w:t>53</w:t>
            </w:r>
            <w:r w:rsidRPr="005D04E6">
              <w:rPr>
                <w:rFonts w:eastAsia="Calibri" w:cs="Mangal"/>
                <w:color w:val="auto"/>
                <w:shd w:val="clear" w:color="auto" w:fill="FFFFFF"/>
              </w:rPr>
              <w:t>(2), pp.250-259.</w:t>
            </w:r>
          </w:p>
          <w:p w14:paraId="04B892B0" w14:textId="77777777" w:rsidR="005D04E6" w:rsidRPr="005D04E6" w:rsidRDefault="005D04E6" w:rsidP="005D04E6">
            <w:pPr>
              <w:spacing w:line="360" w:lineRule="auto"/>
              <w:jc w:val="both"/>
              <w:rPr>
                <w:rFonts w:eastAsia="Calibri" w:cs="Mangal"/>
                <w:color w:val="auto"/>
                <w:shd w:val="clear" w:color="auto" w:fill="FFFFFF"/>
              </w:rPr>
            </w:pPr>
            <w:r w:rsidRPr="005D04E6">
              <w:rPr>
                <w:rFonts w:eastAsia="Calibri" w:cs="Mangal"/>
                <w:color w:val="auto"/>
                <w:shd w:val="clear" w:color="auto" w:fill="FFFFFF"/>
              </w:rPr>
              <w:t>Kim, D. (2020) Learning language, learning culture: Teaching language to the whole student. </w:t>
            </w:r>
            <w:r w:rsidRPr="005D04E6">
              <w:rPr>
                <w:rFonts w:eastAsia="Calibri" w:cs="Mangal"/>
                <w:i/>
                <w:iCs/>
                <w:color w:val="auto"/>
                <w:shd w:val="clear" w:color="auto" w:fill="FFFFFF"/>
              </w:rPr>
              <w:t>ECNU Review of Education</w:t>
            </w:r>
            <w:r w:rsidRPr="005D04E6">
              <w:rPr>
                <w:rFonts w:eastAsia="Calibri" w:cs="Mangal"/>
                <w:color w:val="auto"/>
                <w:shd w:val="clear" w:color="auto" w:fill="FFFFFF"/>
              </w:rPr>
              <w:t>, </w:t>
            </w:r>
            <w:r w:rsidRPr="005D04E6">
              <w:rPr>
                <w:rFonts w:eastAsia="Calibri" w:cs="Mangal"/>
                <w:i/>
                <w:iCs/>
                <w:color w:val="auto"/>
                <w:shd w:val="clear" w:color="auto" w:fill="FFFFFF"/>
              </w:rPr>
              <w:t>3</w:t>
            </w:r>
            <w:r w:rsidRPr="005D04E6">
              <w:rPr>
                <w:rFonts w:eastAsia="Calibri" w:cs="Mangal"/>
                <w:color w:val="auto"/>
                <w:shd w:val="clear" w:color="auto" w:fill="FFFFFF"/>
              </w:rPr>
              <w:t>(3), pp.519-541.</w:t>
            </w:r>
          </w:p>
          <w:p w14:paraId="65568162" w14:textId="77777777" w:rsidR="005D04E6" w:rsidRPr="005D04E6" w:rsidRDefault="005D04E6" w:rsidP="005D04E6">
            <w:pPr>
              <w:spacing w:line="360" w:lineRule="auto"/>
              <w:jc w:val="both"/>
              <w:rPr>
                <w:rFonts w:eastAsia="Calibri" w:cs="Mangal"/>
                <w:color w:val="auto"/>
                <w:shd w:val="clear" w:color="auto" w:fill="FFFFFF"/>
              </w:rPr>
            </w:pPr>
            <w:proofErr w:type="spellStart"/>
            <w:r w:rsidRPr="005D04E6">
              <w:rPr>
                <w:rFonts w:eastAsia="Calibri" w:cs="Mangal"/>
                <w:color w:val="auto"/>
                <w:shd w:val="clear" w:color="auto" w:fill="FFFFFF"/>
              </w:rPr>
              <w:t>Onishchuk</w:t>
            </w:r>
            <w:proofErr w:type="spellEnd"/>
            <w:r w:rsidRPr="005D04E6">
              <w:rPr>
                <w:rFonts w:eastAsia="Calibri" w:cs="Mangal"/>
                <w:color w:val="auto"/>
                <w:shd w:val="clear" w:color="auto" w:fill="FFFFFF"/>
              </w:rPr>
              <w:t xml:space="preserve">, I., </w:t>
            </w:r>
            <w:proofErr w:type="spellStart"/>
            <w:r w:rsidRPr="005D04E6">
              <w:rPr>
                <w:rFonts w:eastAsia="Calibri" w:cs="Mangal"/>
                <w:color w:val="auto"/>
                <w:shd w:val="clear" w:color="auto" w:fill="FFFFFF"/>
              </w:rPr>
              <w:t>Ikonnikova</w:t>
            </w:r>
            <w:proofErr w:type="spellEnd"/>
            <w:r w:rsidRPr="005D04E6">
              <w:rPr>
                <w:rFonts w:eastAsia="Calibri" w:cs="Mangal"/>
                <w:color w:val="auto"/>
                <w:shd w:val="clear" w:color="auto" w:fill="FFFFFF"/>
              </w:rPr>
              <w:t xml:space="preserve">, M., Antonenko, T., Kharchenko, I., Shestakova, S., Kuzmenko, N. and </w:t>
            </w:r>
            <w:proofErr w:type="spellStart"/>
            <w:r w:rsidRPr="005D04E6">
              <w:rPr>
                <w:rFonts w:eastAsia="Calibri" w:cs="Mangal"/>
                <w:color w:val="auto"/>
                <w:shd w:val="clear" w:color="auto" w:fill="FFFFFF"/>
              </w:rPr>
              <w:t>Maksymchuk</w:t>
            </w:r>
            <w:proofErr w:type="spellEnd"/>
            <w:r w:rsidRPr="005D04E6">
              <w:rPr>
                <w:rFonts w:eastAsia="Calibri" w:cs="Mangal"/>
                <w:color w:val="auto"/>
                <w:shd w:val="clear" w:color="auto" w:fill="FFFFFF"/>
              </w:rPr>
              <w:t xml:space="preserve">, B. (2020) Characteristics of foreign language education in foreign </w:t>
            </w:r>
            <w:r w:rsidRPr="005D04E6">
              <w:rPr>
                <w:rFonts w:eastAsia="Calibri" w:cs="Mangal"/>
                <w:color w:val="auto"/>
                <w:shd w:val="clear" w:color="auto" w:fill="FFFFFF"/>
              </w:rPr>
              <w:lastRenderedPageBreak/>
              <w:t>countries and ways of applying foreign experience in pedagogical universities of Ukraine. </w:t>
            </w:r>
            <w:proofErr w:type="spellStart"/>
            <w:r w:rsidRPr="005D04E6">
              <w:rPr>
                <w:rFonts w:eastAsia="Calibri" w:cs="Mangal"/>
                <w:i/>
                <w:iCs/>
                <w:color w:val="auto"/>
                <w:shd w:val="clear" w:color="auto" w:fill="FFFFFF"/>
              </w:rPr>
              <w:t>Revista</w:t>
            </w:r>
            <w:proofErr w:type="spellEnd"/>
            <w:r w:rsidRPr="005D04E6">
              <w:rPr>
                <w:rFonts w:eastAsia="Calibri" w:cs="Mangal"/>
                <w:i/>
                <w:iCs/>
                <w:color w:val="auto"/>
                <w:shd w:val="clear" w:color="auto" w:fill="FFFFFF"/>
              </w:rPr>
              <w:t xml:space="preserve"> </w:t>
            </w:r>
            <w:proofErr w:type="spellStart"/>
            <w:r w:rsidRPr="005D04E6">
              <w:rPr>
                <w:rFonts w:eastAsia="Calibri" w:cs="Mangal"/>
                <w:i/>
                <w:iCs/>
                <w:color w:val="auto"/>
                <w:shd w:val="clear" w:color="auto" w:fill="FFFFFF"/>
              </w:rPr>
              <w:t>Romaneasca</w:t>
            </w:r>
            <w:proofErr w:type="spellEnd"/>
            <w:r w:rsidRPr="005D04E6">
              <w:rPr>
                <w:rFonts w:eastAsia="Calibri" w:cs="Mangal"/>
                <w:i/>
                <w:iCs/>
                <w:color w:val="auto"/>
                <w:shd w:val="clear" w:color="auto" w:fill="FFFFFF"/>
              </w:rPr>
              <w:t xml:space="preserve"> </w:t>
            </w:r>
            <w:proofErr w:type="spellStart"/>
            <w:r w:rsidRPr="005D04E6">
              <w:rPr>
                <w:rFonts w:eastAsia="Calibri" w:cs="Mangal"/>
                <w:i/>
                <w:iCs/>
                <w:color w:val="auto"/>
                <w:shd w:val="clear" w:color="auto" w:fill="FFFFFF"/>
              </w:rPr>
              <w:t>Pentru</w:t>
            </w:r>
            <w:proofErr w:type="spellEnd"/>
            <w:r w:rsidRPr="005D04E6">
              <w:rPr>
                <w:rFonts w:eastAsia="Calibri" w:cs="Mangal"/>
                <w:i/>
                <w:iCs/>
                <w:color w:val="auto"/>
                <w:shd w:val="clear" w:color="auto" w:fill="FFFFFF"/>
              </w:rPr>
              <w:t xml:space="preserve"> </w:t>
            </w:r>
            <w:proofErr w:type="spellStart"/>
            <w:r w:rsidRPr="005D04E6">
              <w:rPr>
                <w:rFonts w:eastAsia="Calibri" w:cs="Mangal"/>
                <w:i/>
                <w:iCs/>
                <w:color w:val="auto"/>
                <w:shd w:val="clear" w:color="auto" w:fill="FFFFFF"/>
              </w:rPr>
              <w:t>Educatie</w:t>
            </w:r>
            <w:proofErr w:type="spellEnd"/>
            <w:r w:rsidRPr="005D04E6">
              <w:rPr>
                <w:rFonts w:eastAsia="Calibri" w:cs="Mangal"/>
                <w:i/>
                <w:iCs/>
                <w:color w:val="auto"/>
                <w:shd w:val="clear" w:color="auto" w:fill="FFFFFF"/>
              </w:rPr>
              <w:t xml:space="preserve"> </w:t>
            </w:r>
            <w:proofErr w:type="spellStart"/>
            <w:r w:rsidRPr="005D04E6">
              <w:rPr>
                <w:rFonts w:eastAsia="Calibri" w:cs="Mangal"/>
                <w:i/>
                <w:iCs/>
                <w:color w:val="auto"/>
                <w:shd w:val="clear" w:color="auto" w:fill="FFFFFF"/>
              </w:rPr>
              <w:t>Multidimensionala</w:t>
            </w:r>
            <w:proofErr w:type="spellEnd"/>
            <w:r w:rsidRPr="005D04E6">
              <w:rPr>
                <w:rFonts w:eastAsia="Calibri" w:cs="Mangal"/>
                <w:color w:val="auto"/>
                <w:shd w:val="clear" w:color="auto" w:fill="FFFFFF"/>
              </w:rPr>
              <w:t>, </w:t>
            </w:r>
            <w:r w:rsidRPr="005D04E6">
              <w:rPr>
                <w:rFonts w:eastAsia="Calibri" w:cs="Mangal"/>
                <w:i/>
                <w:iCs/>
                <w:color w:val="auto"/>
                <w:shd w:val="clear" w:color="auto" w:fill="FFFFFF"/>
              </w:rPr>
              <w:t>12</w:t>
            </w:r>
            <w:r w:rsidRPr="005D04E6">
              <w:rPr>
                <w:rFonts w:eastAsia="Calibri" w:cs="Mangal"/>
                <w:color w:val="auto"/>
                <w:shd w:val="clear" w:color="auto" w:fill="FFFFFF"/>
              </w:rPr>
              <w:t>(3), pp.44-65.</w:t>
            </w:r>
          </w:p>
          <w:p w14:paraId="1364DF18" w14:textId="77777777" w:rsidR="005D04E6" w:rsidRPr="005D04E6" w:rsidRDefault="005D04E6" w:rsidP="005D04E6">
            <w:pPr>
              <w:spacing w:line="360" w:lineRule="auto"/>
              <w:jc w:val="both"/>
              <w:rPr>
                <w:rFonts w:eastAsia="Calibri" w:cs="Mangal"/>
                <w:color w:val="auto"/>
                <w:shd w:val="clear" w:color="auto" w:fill="FFFFFF"/>
              </w:rPr>
            </w:pPr>
            <w:proofErr w:type="spellStart"/>
            <w:r w:rsidRPr="005D04E6">
              <w:rPr>
                <w:rFonts w:eastAsia="Calibri" w:cs="Mangal"/>
                <w:color w:val="auto"/>
                <w:shd w:val="clear" w:color="auto" w:fill="FFFFFF"/>
              </w:rPr>
              <w:t>Saydakhmetova</w:t>
            </w:r>
            <w:proofErr w:type="spellEnd"/>
            <w:r w:rsidRPr="005D04E6">
              <w:rPr>
                <w:rFonts w:eastAsia="Calibri" w:cs="Mangal"/>
                <w:color w:val="auto"/>
                <w:shd w:val="clear" w:color="auto" w:fill="FFFFFF"/>
              </w:rPr>
              <w:t>, D. (2020) Teaching Russian as a foreign language through stories. </w:t>
            </w:r>
            <w:r w:rsidRPr="005D04E6">
              <w:rPr>
                <w:rFonts w:eastAsia="Calibri" w:cs="Mangal"/>
                <w:i/>
                <w:iCs/>
                <w:color w:val="auto"/>
                <w:shd w:val="clear" w:color="auto" w:fill="FFFFFF"/>
              </w:rPr>
              <w:t>European Journal of Research and Reflection in Educational Sciences Vol</w:t>
            </w:r>
            <w:r w:rsidRPr="005D04E6">
              <w:rPr>
                <w:rFonts w:eastAsia="Calibri" w:cs="Mangal"/>
                <w:color w:val="auto"/>
                <w:shd w:val="clear" w:color="auto" w:fill="FFFFFF"/>
              </w:rPr>
              <w:t>, </w:t>
            </w:r>
            <w:r w:rsidRPr="005D04E6">
              <w:rPr>
                <w:rFonts w:eastAsia="Calibri" w:cs="Mangal"/>
                <w:i/>
                <w:iCs/>
                <w:color w:val="auto"/>
                <w:shd w:val="clear" w:color="auto" w:fill="FFFFFF"/>
              </w:rPr>
              <w:t>8</w:t>
            </w:r>
            <w:r w:rsidRPr="005D04E6">
              <w:rPr>
                <w:rFonts w:eastAsia="Calibri" w:cs="Mangal"/>
                <w:color w:val="auto"/>
                <w:shd w:val="clear" w:color="auto" w:fill="FFFFFF"/>
              </w:rPr>
              <w:t>(5).</w:t>
            </w: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50CBC8F5" w14:textId="03E21B30" w:rsidR="000456F9" w:rsidRPr="000456F9" w:rsidRDefault="000456F9" w:rsidP="000456F9">
            <w:pPr>
              <w:spacing w:line="360" w:lineRule="auto"/>
              <w:jc w:val="both"/>
              <w:rPr>
                <w:rFonts w:eastAsia="Calibri" w:cs="Mangal"/>
                <w:color w:val="auto"/>
              </w:rPr>
            </w:pPr>
            <w:r w:rsidRPr="000456F9">
              <w:rPr>
                <w:rFonts w:eastAsia="Calibri" w:cs="Mangal"/>
                <w:color w:val="auto"/>
              </w:rPr>
              <w:t xml:space="preserve">Throughout my learning in this module, I have realised that cultural understanding has a huge significance in the </w:t>
            </w:r>
            <w:r w:rsidR="00777250">
              <w:rPr>
                <w:rFonts w:eastAsia="Calibri" w:cs="Mangal"/>
                <w:color w:val="auto"/>
              </w:rPr>
              <w:t>H</w:t>
            </w:r>
            <w:r w:rsidRPr="000456F9">
              <w:rPr>
                <w:rFonts w:eastAsia="Calibri" w:cs="Mangal"/>
                <w:color w:val="auto"/>
              </w:rPr>
              <w:t xml:space="preserve">ospitality </w:t>
            </w:r>
            <w:r w:rsidR="00777250">
              <w:rPr>
                <w:rFonts w:eastAsia="Calibri" w:cs="Mangal"/>
                <w:color w:val="auto"/>
              </w:rPr>
              <w:t>I</w:t>
            </w:r>
            <w:r w:rsidRPr="000456F9">
              <w:rPr>
                <w:rFonts w:eastAsia="Calibri" w:cs="Mangal"/>
                <w:color w:val="auto"/>
              </w:rPr>
              <w:t>ndustry. The understating has evolved through various experiences which have encouraged me to critically reflect on the importance of cultural sensitivity in this field. My reflection with the application of the Gibbs Model of reflection is as follows:</w:t>
            </w:r>
          </w:p>
          <w:p w14:paraId="34E92CB5" w14:textId="02CEED24" w:rsidR="000456F9" w:rsidRPr="000456F9" w:rsidRDefault="000456F9" w:rsidP="000456F9">
            <w:pPr>
              <w:keepNext/>
              <w:spacing w:line="360" w:lineRule="auto"/>
              <w:jc w:val="center"/>
              <w:rPr>
                <w:rFonts w:eastAsia="Calibri" w:cs="Mangal"/>
                <w:color w:val="auto"/>
              </w:rPr>
            </w:pPr>
            <w:r w:rsidRPr="000456F9">
              <w:rPr>
                <w:rFonts w:eastAsia="Calibri" w:cs="Mangal"/>
                <w:noProof/>
                <w:color w:val="auto"/>
              </w:rPr>
              <w:drawing>
                <wp:inline distT="0" distB="0" distL="0" distR="0" wp14:anchorId="5FD6DC3C" wp14:editId="1E06B809">
                  <wp:extent cx="4330700" cy="38227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0700" cy="3822700"/>
                          </a:xfrm>
                          <a:prstGeom prst="rect">
                            <a:avLst/>
                          </a:prstGeom>
                          <a:noFill/>
                          <a:ln>
                            <a:noFill/>
                          </a:ln>
                        </pic:spPr>
                      </pic:pic>
                    </a:graphicData>
                  </a:graphic>
                </wp:inline>
              </w:drawing>
            </w:r>
          </w:p>
          <w:p w14:paraId="7064DD17" w14:textId="77777777" w:rsidR="000456F9" w:rsidRPr="000456F9" w:rsidRDefault="000456F9" w:rsidP="000456F9">
            <w:pPr>
              <w:spacing w:line="360" w:lineRule="auto"/>
              <w:jc w:val="center"/>
              <w:rPr>
                <w:rFonts w:eastAsia="Calibri" w:cs="Mangal"/>
                <w:b/>
                <w:bCs/>
                <w:color w:val="auto"/>
                <w:szCs w:val="24"/>
              </w:rPr>
            </w:pPr>
            <w:r w:rsidRPr="000456F9">
              <w:rPr>
                <w:rFonts w:eastAsia="Calibri" w:cs="Mangal"/>
                <w:b/>
                <w:bCs/>
                <w:color w:val="auto"/>
                <w:szCs w:val="24"/>
              </w:rPr>
              <w:t xml:space="preserve">Figure </w:t>
            </w:r>
            <w:r w:rsidRPr="000456F9">
              <w:rPr>
                <w:rFonts w:eastAsia="Calibri" w:cs="Mangal"/>
                <w:b/>
                <w:bCs/>
                <w:color w:val="auto"/>
                <w:szCs w:val="24"/>
              </w:rPr>
              <w:fldChar w:fldCharType="begin"/>
            </w:r>
            <w:r w:rsidRPr="000456F9">
              <w:rPr>
                <w:rFonts w:eastAsia="Calibri" w:cs="Mangal"/>
                <w:b/>
                <w:bCs/>
                <w:color w:val="auto"/>
                <w:szCs w:val="24"/>
              </w:rPr>
              <w:instrText xml:space="preserve"> SEQ Figure \* ARABIC </w:instrText>
            </w:r>
            <w:r w:rsidRPr="000456F9">
              <w:rPr>
                <w:rFonts w:eastAsia="Calibri" w:cs="Mangal"/>
                <w:b/>
                <w:bCs/>
                <w:color w:val="auto"/>
                <w:szCs w:val="24"/>
              </w:rPr>
              <w:fldChar w:fldCharType="separate"/>
            </w:r>
            <w:r w:rsidRPr="000456F9">
              <w:rPr>
                <w:rFonts w:eastAsia="Calibri" w:cs="Mangal"/>
                <w:b/>
                <w:bCs/>
                <w:noProof/>
                <w:color w:val="auto"/>
                <w:szCs w:val="24"/>
              </w:rPr>
              <w:t>2</w:t>
            </w:r>
            <w:r w:rsidRPr="000456F9">
              <w:rPr>
                <w:rFonts w:eastAsia="Calibri" w:cs="Mangal"/>
                <w:b/>
                <w:bCs/>
                <w:color w:val="auto"/>
                <w:szCs w:val="24"/>
              </w:rPr>
              <w:fldChar w:fldCharType="end"/>
            </w:r>
            <w:r w:rsidRPr="000456F9">
              <w:rPr>
                <w:rFonts w:eastAsia="Calibri" w:cs="Mangal"/>
                <w:b/>
                <w:bCs/>
                <w:color w:val="auto"/>
                <w:szCs w:val="24"/>
              </w:rPr>
              <w:t>: Gibbs reflective model</w:t>
            </w:r>
          </w:p>
          <w:p w14:paraId="6882A42E" w14:textId="77777777" w:rsidR="000456F9" w:rsidRPr="000456F9" w:rsidRDefault="000456F9" w:rsidP="000456F9">
            <w:pPr>
              <w:spacing w:line="360" w:lineRule="auto"/>
              <w:jc w:val="center"/>
              <w:rPr>
                <w:rFonts w:eastAsia="Calibri" w:cs="Mangal"/>
                <w:color w:val="auto"/>
              </w:rPr>
            </w:pPr>
            <w:r w:rsidRPr="000456F9">
              <w:rPr>
                <w:rFonts w:eastAsia="Calibri" w:cs="Mangal"/>
                <w:color w:val="auto"/>
              </w:rPr>
              <w:lastRenderedPageBreak/>
              <w:t xml:space="preserve">(Source: </w:t>
            </w:r>
            <w:r w:rsidRPr="000456F9">
              <w:rPr>
                <w:rFonts w:eastAsia="Calibri" w:cs="Times New Roman"/>
                <w:color w:val="auto"/>
                <w:szCs w:val="24"/>
              </w:rPr>
              <w:t>Jonathan Gibbon. 2019)</w:t>
            </w:r>
          </w:p>
          <w:p w14:paraId="76E1570B" w14:textId="77777777" w:rsidR="000456F9" w:rsidRPr="000456F9" w:rsidRDefault="000456F9" w:rsidP="000456F9">
            <w:pPr>
              <w:spacing w:line="360" w:lineRule="auto"/>
              <w:jc w:val="both"/>
              <w:rPr>
                <w:rFonts w:eastAsia="Calibri" w:cs="Mangal"/>
                <w:color w:val="auto"/>
                <w:shd w:val="clear" w:color="auto" w:fill="FFFFFF"/>
              </w:rPr>
            </w:pPr>
            <w:r w:rsidRPr="000456F9">
              <w:rPr>
                <w:rFonts w:eastAsia="Calibri" w:cs="Mangal"/>
                <w:b/>
                <w:bCs/>
                <w:i/>
                <w:iCs/>
                <w:color w:val="auto"/>
              </w:rPr>
              <w:t>Description</w:t>
            </w:r>
            <w:r w:rsidRPr="000456F9">
              <w:rPr>
                <w:rFonts w:eastAsia="Calibri" w:cs="Mangal"/>
                <w:color w:val="auto"/>
              </w:rPr>
              <w:t xml:space="preserve">: This step is associated with describing the situation that has happened in the first place </w:t>
            </w:r>
            <w:r w:rsidRPr="000456F9">
              <w:rPr>
                <w:rFonts w:eastAsia="Calibri" w:cs="Mangal"/>
                <w:color w:val="auto"/>
                <w:shd w:val="clear" w:color="auto" w:fill="FFFFFF"/>
              </w:rPr>
              <w:t>(</w:t>
            </w:r>
            <w:proofErr w:type="spellStart"/>
            <w:r w:rsidRPr="000456F9">
              <w:rPr>
                <w:rFonts w:eastAsia="Calibri" w:cs="Mangal"/>
                <w:color w:val="auto"/>
                <w:shd w:val="clear" w:color="auto" w:fill="FFFFFF"/>
              </w:rPr>
              <w:t>Onishchuk</w:t>
            </w:r>
            <w:proofErr w:type="spellEnd"/>
            <w:r w:rsidRPr="000456F9">
              <w:rPr>
                <w:rFonts w:eastAsia="Calibri" w:cs="Mangal"/>
                <w:color w:val="auto"/>
                <w:shd w:val="clear" w:color="auto" w:fill="FFFFFF"/>
              </w:rPr>
              <w:t xml:space="preserve"> et. al., 2020)</w:t>
            </w:r>
            <w:r w:rsidRPr="000456F9">
              <w:rPr>
                <w:rFonts w:eastAsia="Calibri" w:cs="Mangal"/>
                <w:color w:val="auto"/>
              </w:rPr>
              <w:t xml:space="preserve">. My understanding of cultural awareness initially in the hospitality industry was only limited to surface-level factors like common greetings. My interactions were majorly based on the avoidance of cultural misunderstanding rather than embracing diversity to offer a better guest experience. </w:t>
            </w:r>
          </w:p>
          <w:p w14:paraId="3DD53523" w14:textId="77777777" w:rsidR="000456F9" w:rsidRPr="000456F9" w:rsidRDefault="000456F9" w:rsidP="000456F9">
            <w:pPr>
              <w:spacing w:line="360" w:lineRule="auto"/>
              <w:jc w:val="both"/>
              <w:rPr>
                <w:rFonts w:eastAsia="Calibri" w:cs="Mangal"/>
                <w:color w:val="auto"/>
              </w:rPr>
            </w:pPr>
            <w:r w:rsidRPr="000456F9">
              <w:rPr>
                <w:rFonts w:eastAsia="Calibri" w:cs="Mangal"/>
                <w:b/>
                <w:bCs/>
                <w:i/>
                <w:iCs/>
                <w:color w:val="auto"/>
              </w:rPr>
              <w:t>Feelings</w:t>
            </w:r>
            <w:r w:rsidRPr="000456F9">
              <w:rPr>
                <w:rFonts w:eastAsia="Calibri" w:cs="Mangal"/>
                <w:color w:val="auto"/>
              </w:rPr>
              <w:t>: In this step, the feelings or thoughts had at the time of experience are explored and how they have impacted the overall experience are explored. I felt a sense of responsibility however, I was overwhelmed by the prospect of catering to different cultural needs. As I have encountered challenges, the realisation of the importance of cultural awareness beyond etiquette has grown even more.</w:t>
            </w:r>
          </w:p>
          <w:p w14:paraId="3764482C" w14:textId="77777777" w:rsidR="000456F9" w:rsidRPr="000456F9" w:rsidRDefault="000456F9" w:rsidP="000456F9">
            <w:pPr>
              <w:spacing w:line="360" w:lineRule="auto"/>
              <w:jc w:val="both"/>
              <w:rPr>
                <w:rFonts w:eastAsia="Calibri" w:cs="Mangal"/>
                <w:color w:val="auto"/>
              </w:rPr>
            </w:pPr>
            <w:r w:rsidRPr="000456F9">
              <w:rPr>
                <w:rFonts w:eastAsia="Calibri" w:cs="Mangal"/>
                <w:b/>
                <w:bCs/>
                <w:i/>
                <w:iCs/>
                <w:color w:val="auto"/>
              </w:rPr>
              <w:t>Evaluation</w:t>
            </w:r>
            <w:r w:rsidRPr="000456F9">
              <w:rPr>
                <w:rFonts w:eastAsia="Calibri" w:cs="Mangal"/>
                <w:color w:val="auto"/>
              </w:rPr>
              <w:t>: This step aims to evaluate what worked and what didn’t work in the situation. It includes analysis of positive and negative aspects. Over time, my prospects for the situation evolved as I encountered diverse scenarios in the food and beverage industry. I began to appreciate the impact of culture on the experiences of guests as well as their satisfaction with the hotel company.</w:t>
            </w:r>
          </w:p>
          <w:p w14:paraId="1D318C44" w14:textId="77777777" w:rsidR="000456F9" w:rsidRPr="000456F9" w:rsidRDefault="000456F9" w:rsidP="000456F9">
            <w:pPr>
              <w:spacing w:line="360" w:lineRule="auto"/>
              <w:jc w:val="both"/>
              <w:rPr>
                <w:rFonts w:eastAsia="Calibri" w:cs="Mangal"/>
                <w:color w:val="auto"/>
                <w:shd w:val="clear" w:color="auto" w:fill="FFFFFF"/>
              </w:rPr>
            </w:pPr>
            <w:r w:rsidRPr="000456F9">
              <w:rPr>
                <w:rFonts w:eastAsia="Calibri" w:cs="Mangal"/>
                <w:b/>
                <w:bCs/>
                <w:i/>
                <w:iCs/>
                <w:color w:val="auto"/>
              </w:rPr>
              <w:t>Analysis</w:t>
            </w:r>
            <w:r w:rsidRPr="000456F9">
              <w:rPr>
                <w:rFonts w:eastAsia="Calibri" w:cs="Mangal"/>
                <w:color w:val="auto"/>
              </w:rPr>
              <w:t xml:space="preserve">: This step aims to make sense of what has happened in the overall experience </w:t>
            </w:r>
            <w:r w:rsidRPr="000456F9">
              <w:rPr>
                <w:rFonts w:eastAsia="Calibri" w:cs="Mangal"/>
                <w:color w:val="auto"/>
                <w:shd w:val="clear" w:color="auto" w:fill="FFFFFF"/>
              </w:rPr>
              <w:t>(Makhmudov, 2020)</w:t>
            </w:r>
            <w:r w:rsidRPr="000456F9">
              <w:rPr>
                <w:rFonts w:eastAsia="Calibri" w:cs="Mangal"/>
                <w:color w:val="auto"/>
              </w:rPr>
              <w:t>. Through the management of a diverse team of people as well as attending to an international clientele (considering the example of Alex), I have learned that cultural awareness is not only about avoiding downfalls but is also associated with a strategic approach so that guest experiences can be enhanced. Moreover, I have analysed that understanding cultural nuances has become more critical in the adaptation of communication styles, marketing strategies as well as delivery of services.</w:t>
            </w:r>
          </w:p>
          <w:p w14:paraId="10DEBCBC" w14:textId="77777777" w:rsidR="000456F9" w:rsidRPr="000456F9" w:rsidRDefault="000456F9" w:rsidP="000456F9">
            <w:pPr>
              <w:spacing w:line="360" w:lineRule="auto"/>
              <w:jc w:val="both"/>
              <w:rPr>
                <w:rFonts w:eastAsia="Calibri" w:cs="Mangal"/>
                <w:color w:val="auto"/>
              </w:rPr>
            </w:pPr>
            <w:r w:rsidRPr="000456F9">
              <w:rPr>
                <w:rFonts w:eastAsia="Calibri" w:cs="Mangal"/>
                <w:b/>
                <w:bCs/>
                <w:i/>
                <w:iCs/>
                <w:color w:val="auto"/>
              </w:rPr>
              <w:t>Conclusion</w:t>
            </w:r>
            <w:r w:rsidRPr="000456F9">
              <w:rPr>
                <w:rFonts w:eastAsia="Calibri" w:cs="Mangal"/>
                <w:color w:val="auto"/>
              </w:rPr>
              <w:t>: This is the next step, in which a conclusion on what has happened is made. The overall experience has highlighted the dynamic of cultural awareness as well as the integral aspect of the hospitality industry. The identification of the different needs of cultural groups and individuals has allowed us to customize the services accordingly.</w:t>
            </w:r>
          </w:p>
          <w:p w14:paraId="4BFB3C55" w14:textId="77777777" w:rsidR="000456F9" w:rsidRPr="000456F9" w:rsidRDefault="000456F9" w:rsidP="000456F9">
            <w:pPr>
              <w:spacing w:line="360" w:lineRule="auto"/>
              <w:jc w:val="both"/>
              <w:rPr>
                <w:rFonts w:eastAsia="Calibri" w:cs="Mangal"/>
                <w:color w:val="auto"/>
                <w:shd w:val="clear" w:color="auto" w:fill="FFFFFF"/>
              </w:rPr>
            </w:pPr>
            <w:r w:rsidRPr="000456F9">
              <w:rPr>
                <w:rFonts w:eastAsia="Calibri" w:cs="Mangal"/>
                <w:b/>
                <w:bCs/>
                <w:i/>
                <w:iCs/>
                <w:color w:val="auto"/>
              </w:rPr>
              <w:t>Action plan:</w:t>
            </w:r>
            <w:r w:rsidRPr="000456F9">
              <w:rPr>
                <w:rFonts w:eastAsia="Calibri" w:cs="Mangal"/>
                <w:color w:val="auto"/>
              </w:rPr>
              <w:t xml:space="preserve"> This is the last step, in which steps that can help in enhancing learning are led </w:t>
            </w:r>
            <w:r w:rsidRPr="000456F9">
              <w:rPr>
                <w:rFonts w:eastAsia="Calibri" w:cs="Mangal"/>
                <w:color w:val="auto"/>
                <w:shd w:val="clear" w:color="auto" w:fill="FFFFFF"/>
              </w:rPr>
              <w:t>(Ho, 2020)</w:t>
            </w:r>
            <w:r w:rsidRPr="000456F9">
              <w:rPr>
                <w:rFonts w:eastAsia="Calibri" w:cs="Mangal"/>
                <w:color w:val="auto"/>
              </w:rPr>
              <w:t xml:space="preserve">. From my experience, I have committed to continuous learning and staying updated on cultural trends so that the evolving needs of diverse guests can be adapted. I will </w:t>
            </w:r>
            <w:r w:rsidRPr="000456F9">
              <w:rPr>
                <w:rFonts w:eastAsia="Calibri" w:cs="Mangal"/>
                <w:color w:val="auto"/>
              </w:rPr>
              <w:lastRenderedPageBreak/>
              <w:t>also try to actively seek feedback from the guests I will be serving and the team members I work with so that I can identify areas for improvement in cultural responsiveness.</w:t>
            </w:r>
          </w:p>
          <w:p w14:paraId="00466006" w14:textId="77777777" w:rsidR="000456F9" w:rsidRPr="000456F9" w:rsidRDefault="000456F9" w:rsidP="000456F9">
            <w:pPr>
              <w:spacing w:line="360" w:lineRule="auto"/>
              <w:jc w:val="both"/>
              <w:rPr>
                <w:rFonts w:eastAsia="Calibri" w:cs="Mangal"/>
                <w:color w:val="auto"/>
              </w:rPr>
            </w:pPr>
            <w:r w:rsidRPr="000456F9">
              <w:rPr>
                <w:rFonts w:eastAsia="Calibri" w:cs="Mangal"/>
                <w:color w:val="auto"/>
              </w:rPr>
              <w:t>For example, a Japanese guest preferred a more private and serene environment. By recognizing this cultural preference, the company ensured their accommodation was in a secluded area, leading to a positive and memorable experience.</w:t>
            </w:r>
          </w:p>
          <w:p w14:paraId="44F8565E" w14:textId="77777777" w:rsidR="005C77A4" w:rsidRDefault="005C77A4" w:rsidP="005C77A4">
            <w:pPr>
              <w:rPr>
                <w:b/>
                <w:bCs/>
                <w:sz w:val="28"/>
                <w:szCs w:val="24"/>
              </w:rPr>
            </w:pPr>
          </w:p>
          <w:p w14:paraId="06162095" w14:textId="02715D92" w:rsidR="005C77A4" w:rsidRDefault="005C77A4" w:rsidP="005C77A4">
            <w:pPr>
              <w:rPr>
                <w:b/>
                <w:bCs/>
                <w:sz w:val="28"/>
                <w:szCs w:val="24"/>
              </w:rPr>
            </w:pPr>
            <w:r>
              <w:rPr>
                <w:b/>
                <w:bCs/>
                <w:sz w:val="28"/>
                <w:szCs w:val="24"/>
              </w:rPr>
              <w:t>References:</w:t>
            </w:r>
          </w:p>
          <w:p w14:paraId="0192B7C4" w14:textId="77777777" w:rsidR="005D04E6" w:rsidRPr="005D04E6" w:rsidRDefault="005D04E6" w:rsidP="005D04E6">
            <w:pPr>
              <w:spacing w:line="360" w:lineRule="auto"/>
              <w:jc w:val="both"/>
              <w:rPr>
                <w:rFonts w:eastAsia="Calibri" w:cs="Mangal"/>
                <w:color w:val="auto"/>
                <w:shd w:val="clear" w:color="auto" w:fill="FFFFFF"/>
              </w:rPr>
            </w:pPr>
            <w:r w:rsidRPr="005D04E6">
              <w:rPr>
                <w:rFonts w:eastAsia="Calibri" w:cs="Mangal"/>
                <w:color w:val="auto"/>
                <w:shd w:val="clear" w:color="auto" w:fill="FFFFFF"/>
              </w:rPr>
              <w:t>Ho, Y.Y.C. (2020) Communicative language teaching and English as a foreign language undergraduates’ communicative competence in Tourism English. </w:t>
            </w:r>
            <w:r w:rsidRPr="005D04E6">
              <w:rPr>
                <w:rFonts w:eastAsia="Calibri" w:cs="Mangal"/>
                <w:i/>
                <w:iCs/>
                <w:color w:val="auto"/>
                <w:shd w:val="clear" w:color="auto" w:fill="FFFFFF"/>
              </w:rPr>
              <w:t>Journal of Hospitality, Leisure, Sport &amp; Tourism Education</w:t>
            </w:r>
            <w:r w:rsidRPr="005D04E6">
              <w:rPr>
                <w:rFonts w:eastAsia="Calibri" w:cs="Mangal"/>
                <w:color w:val="auto"/>
                <w:shd w:val="clear" w:color="auto" w:fill="FFFFFF"/>
              </w:rPr>
              <w:t>, </w:t>
            </w:r>
            <w:r w:rsidRPr="005D04E6">
              <w:rPr>
                <w:rFonts w:eastAsia="Calibri" w:cs="Mangal"/>
                <w:i/>
                <w:iCs/>
                <w:color w:val="auto"/>
                <w:shd w:val="clear" w:color="auto" w:fill="FFFFFF"/>
              </w:rPr>
              <w:t>27</w:t>
            </w:r>
            <w:r w:rsidRPr="005D04E6">
              <w:rPr>
                <w:rFonts w:eastAsia="Calibri" w:cs="Mangal"/>
                <w:color w:val="auto"/>
                <w:shd w:val="clear" w:color="auto" w:fill="FFFFFF"/>
              </w:rPr>
              <w:t>, p.100271.</w:t>
            </w:r>
          </w:p>
          <w:p w14:paraId="2B5C43EE" w14:textId="77777777" w:rsidR="005D04E6" w:rsidRPr="005D04E6" w:rsidRDefault="005D04E6" w:rsidP="005D04E6">
            <w:pPr>
              <w:spacing w:line="360" w:lineRule="auto"/>
              <w:jc w:val="both"/>
              <w:rPr>
                <w:rFonts w:eastAsia="Calibri" w:cs="Mangal"/>
                <w:color w:val="auto"/>
                <w:shd w:val="clear" w:color="auto" w:fill="FFFFFF"/>
              </w:rPr>
            </w:pPr>
            <w:r w:rsidRPr="005D04E6">
              <w:rPr>
                <w:rFonts w:eastAsia="Calibri" w:cs="Mangal"/>
                <w:color w:val="auto"/>
                <w:shd w:val="clear" w:color="auto" w:fill="FFFFFF"/>
              </w:rPr>
              <w:t>Makhmudov, K. (2020) Ways of forming intercultural communication in foreign language teaching. </w:t>
            </w:r>
            <w:r w:rsidRPr="005D04E6">
              <w:rPr>
                <w:rFonts w:eastAsia="Calibri" w:cs="Mangal"/>
                <w:i/>
                <w:iCs/>
                <w:color w:val="auto"/>
                <w:shd w:val="clear" w:color="auto" w:fill="FFFFFF"/>
              </w:rPr>
              <w:t>Science and Education</w:t>
            </w:r>
            <w:r w:rsidRPr="005D04E6">
              <w:rPr>
                <w:rFonts w:eastAsia="Calibri" w:cs="Mangal"/>
                <w:color w:val="auto"/>
                <w:shd w:val="clear" w:color="auto" w:fill="FFFFFF"/>
              </w:rPr>
              <w:t>, </w:t>
            </w:r>
            <w:r w:rsidRPr="005D04E6">
              <w:rPr>
                <w:rFonts w:eastAsia="Calibri" w:cs="Mangal"/>
                <w:i/>
                <w:iCs/>
                <w:color w:val="auto"/>
                <w:shd w:val="clear" w:color="auto" w:fill="FFFFFF"/>
              </w:rPr>
              <w:t>1</w:t>
            </w:r>
            <w:r w:rsidRPr="005D04E6">
              <w:rPr>
                <w:rFonts w:eastAsia="Calibri" w:cs="Mangal"/>
                <w:color w:val="auto"/>
                <w:shd w:val="clear" w:color="auto" w:fill="FFFFFF"/>
              </w:rPr>
              <w:t>(4), pp.84-89.</w:t>
            </w:r>
          </w:p>
          <w:p w14:paraId="20D31C8B" w14:textId="77777777" w:rsidR="005D04E6" w:rsidRPr="005D04E6" w:rsidRDefault="005D04E6" w:rsidP="005D04E6">
            <w:pPr>
              <w:spacing w:line="360" w:lineRule="auto"/>
              <w:jc w:val="both"/>
              <w:rPr>
                <w:rFonts w:eastAsia="Calibri" w:cs="Mangal"/>
                <w:color w:val="auto"/>
                <w:shd w:val="clear" w:color="auto" w:fill="FFFFFF"/>
              </w:rPr>
            </w:pPr>
            <w:proofErr w:type="spellStart"/>
            <w:r w:rsidRPr="005D04E6">
              <w:rPr>
                <w:rFonts w:eastAsia="Calibri" w:cs="Mangal"/>
                <w:color w:val="auto"/>
                <w:shd w:val="clear" w:color="auto" w:fill="FFFFFF"/>
              </w:rPr>
              <w:t>Onishchuk</w:t>
            </w:r>
            <w:proofErr w:type="spellEnd"/>
            <w:r w:rsidRPr="005D04E6">
              <w:rPr>
                <w:rFonts w:eastAsia="Calibri" w:cs="Mangal"/>
                <w:color w:val="auto"/>
                <w:shd w:val="clear" w:color="auto" w:fill="FFFFFF"/>
              </w:rPr>
              <w:t xml:space="preserve">, I., </w:t>
            </w:r>
            <w:proofErr w:type="spellStart"/>
            <w:r w:rsidRPr="005D04E6">
              <w:rPr>
                <w:rFonts w:eastAsia="Calibri" w:cs="Mangal"/>
                <w:color w:val="auto"/>
                <w:shd w:val="clear" w:color="auto" w:fill="FFFFFF"/>
              </w:rPr>
              <w:t>Ikonnikova</w:t>
            </w:r>
            <w:proofErr w:type="spellEnd"/>
            <w:r w:rsidRPr="005D04E6">
              <w:rPr>
                <w:rFonts w:eastAsia="Calibri" w:cs="Mangal"/>
                <w:color w:val="auto"/>
                <w:shd w:val="clear" w:color="auto" w:fill="FFFFFF"/>
              </w:rPr>
              <w:t xml:space="preserve">, M., Antonenko, T., Kharchenko, I., Shestakova, S., Kuzmenko, N. and </w:t>
            </w:r>
            <w:proofErr w:type="spellStart"/>
            <w:r w:rsidRPr="005D04E6">
              <w:rPr>
                <w:rFonts w:eastAsia="Calibri" w:cs="Mangal"/>
                <w:color w:val="auto"/>
                <w:shd w:val="clear" w:color="auto" w:fill="FFFFFF"/>
              </w:rPr>
              <w:t>Maksymchuk</w:t>
            </w:r>
            <w:proofErr w:type="spellEnd"/>
            <w:r w:rsidRPr="005D04E6">
              <w:rPr>
                <w:rFonts w:eastAsia="Calibri" w:cs="Mangal"/>
                <w:color w:val="auto"/>
                <w:shd w:val="clear" w:color="auto" w:fill="FFFFFF"/>
              </w:rPr>
              <w:t>, B. (2020) Characteristics of foreign language education in foreign countries and ways of applying foreign experience in pedagogical universities of Ukraine. </w:t>
            </w:r>
            <w:proofErr w:type="spellStart"/>
            <w:r w:rsidRPr="005D04E6">
              <w:rPr>
                <w:rFonts w:eastAsia="Calibri" w:cs="Mangal"/>
                <w:i/>
                <w:iCs/>
                <w:color w:val="auto"/>
                <w:shd w:val="clear" w:color="auto" w:fill="FFFFFF"/>
              </w:rPr>
              <w:t>Revista</w:t>
            </w:r>
            <w:proofErr w:type="spellEnd"/>
            <w:r w:rsidRPr="005D04E6">
              <w:rPr>
                <w:rFonts w:eastAsia="Calibri" w:cs="Mangal"/>
                <w:i/>
                <w:iCs/>
                <w:color w:val="auto"/>
                <w:shd w:val="clear" w:color="auto" w:fill="FFFFFF"/>
              </w:rPr>
              <w:t xml:space="preserve"> </w:t>
            </w:r>
            <w:proofErr w:type="spellStart"/>
            <w:r w:rsidRPr="005D04E6">
              <w:rPr>
                <w:rFonts w:eastAsia="Calibri" w:cs="Mangal"/>
                <w:i/>
                <w:iCs/>
                <w:color w:val="auto"/>
                <w:shd w:val="clear" w:color="auto" w:fill="FFFFFF"/>
              </w:rPr>
              <w:t>Romaneasca</w:t>
            </w:r>
            <w:proofErr w:type="spellEnd"/>
            <w:r w:rsidRPr="005D04E6">
              <w:rPr>
                <w:rFonts w:eastAsia="Calibri" w:cs="Mangal"/>
                <w:i/>
                <w:iCs/>
                <w:color w:val="auto"/>
                <w:shd w:val="clear" w:color="auto" w:fill="FFFFFF"/>
              </w:rPr>
              <w:t xml:space="preserve"> </w:t>
            </w:r>
            <w:proofErr w:type="spellStart"/>
            <w:r w:rsidRPr="005D04E6">
              <w:rPr>
                <w:rFonts w:eastAsia="Calibri" w:cs="Mangal"/>
                <w:i/>
                <w:iCs/>
                <w:color w:val="auto"/>
                <w:shd w:val="clear" w:color="auto" w:fill="FFFFFF"/>
              </w:rPr>
              <w:t>Pentru</w:t>
            </w:r>
            <w:proofErr w:type="spellEnd"/>
            <w:r w:rsidRPr="005D04E6">
              <w:rPr>
                <w:rFonts w:eastAsia="Calibri" w:cs="Mangal"/>
                <w:i/>
                <w:iCs/>
                <w:color w:val="auto"/>
                <w:shd w:val="clear" w:color="auto" w:fill="FFFFFF"/>
              </w:rPr>
              <w:t xml:space="preserve"> </w:t>
            </w:r>
            <w:proofErr w:type="spellStart"/>
            <w:r w:rsidRPr="005D04E6">
              <w:rPr>
                <w:rFonts w:eastAsia="Calibri" w:cs="Mangal"/>
                <w:i/>
                <w:iCs/>
                <w:color w:val="auto"/>
                <w:shd w:val="clear" w:color="auto" w:fill="FFFFFF"/>
              </w:rPr>
              <w:t>Educatie</w:t>
            </w:r>
            <w:proofErr w:type="spellEnd"/>
            <w:r w:rsidRPr="005D04E6">
              <w:rPr>
                <w:rFonts w:eastAsia="Calibri" w:cs="Mangal"/>
                <w:i/>
                <w:iCs/>
                <w:color w:val="auto"/>
                <w:shd w:val="clear" w:color="auto" w:fill="FFFFFF"/>
              </w:rPr>
              <w:t xml:space="preserve"> </w:t>
            </w:r>
            <w:proofErr w:type="spellStart"/>
            <w:r w:rsidRPr="005D04E6">
              <w:rPr>
                <w:rFonts w:eastAsia="Calibri" w:cs="Mangal"/>
                <w:i/>
                <w:iCs/>
                <w:color w:val="auto"/>
                <w:shd w:val="clear" w:color="auto" w:fill="FFFFFF"/>
              </w:rPr>
              <w:t>Multidimensionala</w:t>
            </w:r>
            <w:proofErr w:type="spellEnd"/>
            <w:r w:rsidRPr="005D04E6">
              <w:rPr>
                <w:rFonts w:eastAsia="Calibri" w:cs="Mangal"/>
                <w:color w:val="auto"/>
                <w:shd w:val="clear" w:color="auto" w:fill="FFFFFF"/>
              </w:rPr>
              <w:t>, </w:t>
            </w:r>
            <w:r w:rsidRPr="005D04E6">
              <w:rPr>
                <w:rFonts w:eastAsia="Calibri" w:cs="Mangal"/>
                <w:i/>
                <w:iCs/>
                <w:color w:val="auto"/>
                <w:shd w:val="clear" w:color="auto" w:fill="FFFFFF"/>
              </w:rPr>
              <w:t>12</w:t>
            </w:r>
            <w:r w:rsidRPr="005D04E6">
              <w:rPr>
                <w:rFonts w:eastAsia="Calibri" w:cs="Mangal"/>
                <w:color w:val="auto"/>
                <w:shd w:val="clear" w:color="auto" w:fill="FFFFFF"/>
              </w:rPr>
              <w:t>(3), pp.44-65.</w:t>
            </w:r>
          </w:p>
          <w:p w14:paraId="521F5054" w14:textId="77777777" w:rsidR="005D04E6" w:rsidRDefault="005D04E6" w:rsidP="005C77A4">
            <w:pPr>
              <w:rPr>
                <w:b/>
                <w:bCs/>
                <w:sz w:val="28"/>
                <w:szCs w:val="24"/>
              </w:rPr>
            </w:pPr>
          </w:p>
          <w:p w14:paraId="2C6F710B" w14:textId="77777777" w:rsidR="005C77A4" w:rsidRDefault="005C77A4" w:rsidP="005C77A4">
            <w:pPr>
              <w:rPr>
                <w:b/>
                <w:bCs/>
                <w:sz w:val="28"/>
                <w:szCs w:val="24"/>
              </w:rPr>
            </w:pP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2F0A6BE3" w14:textId="77777777" w:rsidR="005C77A4" w:rsidRDefault="005C77A4" w:rsidP="005C77A4">
            <w:pPr>
              <w:rPr>
                <w:b/>
                <w:bCs/>
                <w:sz w:val="28"/>
                <w:szCs w:val="24"/>
              </w:rPr>
            </w:pPr>
          </w:p>
          <w:p w14:paraId="61FBB0A4" w14:textId="77777777" w:rsidR="005C77A4" w:rsidRDefault="005C77A4" w:rsidP="005C77A4">
            <w:pPr>
              <w:rPr>
                <w:b/>
                <w:bCs/>
                <w:sz w:val="28"/>
                <w:szCs w:val="24"/>
              </w:rPr>
            </w:pPr>
          </w:p>
          <w:p w14:paraId="16DDB31F" w14:textId="77777777" w:rsidR="005C77A4" w:rsidRDefault="005C77A4" w:rsidP="005C77A4">
            <w:pPr>
              <w:rPr>
                <w:b/>
                <w:bCs/>
                <w:sz w:val="28"/>
                <w:szCs w:val="24"/>
              </w:rPr>
            </w:pPr>
          </w:p>
          <w:p w14:paraId="33BB7071" w14:textId="77777777" w:rsidR="005C77A4" w:rsidRDefault="005C77A4" w:rsidP="005C77A4">
            <w:pPr>
              <w:rPr>
                <w:b/>
                <w:bCs/>
                <w:sz w:val="28"/>
                <w:szCs w:val="24"/>
              </w:rPr>
            </w:pPr>
          </w:p>
          <w:p w14:paraId="7066362E" w14:textId="77777777" w:rsidR="005C77A4" w:rsidRDefault="005C77A4" w:rsidP="005C77A4">
            <w:pPr>
              <w:rPr>
                <w:b/>
                <w:bCs/>
                <w:sz w:val="28"/>
                <w:szCs w:val="24"/>
              </w:rPr>
            </w:pPr>
          </w:p>
          <w:p w14:paraId="61D6A56A" w14:textId="77777777" w:rsidR="005C77A4" w:rsidRDefault="005C77A4" w:rsidP="005C77A4">
            <w:pPr>
              <w:rPr>
                <w:b/>
                <w:bCs/>
                <w:sz w:val="28"/>
                <w:szCs w:val="24"/>
              </w:rPr>
            </w:pPr>
          </w:p>
          <w:p w14:paraId="218AEA4D"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6CD2E993" w:rsidR="00E73500" w:rsidRDefault="007C08D8" w:rsidP="006C0FE2">
            <w:pPr>
              <w:rPr>
                <w:b/>
                <w:bCs/>
                <w:sz w:val="28"/>
                <w:szCs w:val="24"/>
              </w:rPr>
            </w:pPr>
            <w:r w:rsidRPr="007C08D8">
              <w:rPr>
                <w:b/>
                <w:bCs/>
                <w:noProof/>
                <w:sz w:val="28"/>
                <w:szCs w:val="24"/>
              </w:rPr>
              <w:drawing>
                <wp:inline distT="0" distB="0" distL="0" distR="0" wp14:anchorId="7257997F" wp14:editId="25A888F6">
                  <wp:extent cx="5731510" cy="32397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39770"/>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538ED458" w:rsidR="003164B2" w:rsidRPr="00E73500" w:rsidRDefault="00CC4381" w:rsidP="007F06B0">
            <w:pPr>
              <w:rPr>
                <w:b/>
                <w:bCs/>
                <w:i/>
                <w:iCs/>
                <w:color w:val="BFBFBF" w:themeColor="background1" w:themeShade="BF"/>
                <w:sz w:val="28"/>
                <w:szCs w:val="24"/>
              </w:rPr>
            </w:pPr>
            <w:r w:rsidRPr="00CC4381">
              <w:rPr>
                <w:b/>
                <w:bCs/>
                <w:i/>
                <w:iCs/>
                <w:noProof/>
                <w:color w:val="BFBFBF" w:themeColor="background1" w:themeShade="BF"/>
                <w:sz w:val="28"/>
                <w:szCs w:val="24"/>
              </w:rPr>
              <w:drawing>
                <wp:inline distT="0" distB="0" distL="0" distR="0" wp14:anchorId="297525A3" wp14:editId="0E31A6C0">
                  <wp:extent cx="5731510" cy="322008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0085"/>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26CC1437" w:rsidR="003164B2" w:rsidRDefault="00CC4381" w:rsidP="003164B2">
            <w:pPr>
              <w:rPr>
                <w:b/>
                <w:bCs/>
                <w:sz w:val="28"/>
                <w:szCs w:val="24"/>
              </w:rPr>
            </w:pPr>
            <w:r w:rsidRPr="00CC4381">
              <w:rPr>
                <w:b/>
                <w:bCs/>
                <w:noProof/>
                <w:sz w:val="28"/>
                <w:szCs w:val="24"/>
              </w:rPr>
              <w:lastRenderedPageBreak/>
              <w:drawing>
                <wp:inline distT="0" distB="0" distL="0" distR="0" wp14:anchorId="7E304C3B" wp14:editId="1DE973DD">
                  <wp:extent cx="5731510" cy="323659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36595"/>
                          </a:xfrm>
                          <a:prstGeom prst="rect">
                            <a:avLst/>
                          </a:prstGeom>
                        </pic:spPr>
                      </pic:pic>
                    </a:graphicData>
                  </a:graphic>
                </wp:inline>
              </w:drawing>
            </w:r>
          </w:p>
          <w:p w14:paraId="309CF798" w14:textId="77777777" w:rsidR="003164B2" w:rsidRDefault="003164B2" w:rsidP="003164B2">
            <w:pPr>
              <w:rPr>
                <w:b/>
                <w:bCs/>
                <w:i/>
                <w:iCs/>
                <w:color w:val="BFBFBF" w:themeColor="background1" w:themeShade="BF"/>
                <w:sz w:val="28"/>
                <w:szCs w:val="24"/>
              </w:rPr>
            </w:pP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577201B1" w:rsidR="003164B2" w:rsidRPr="007F06B0" w:rsidRDefault="00CC4381" w:rsidP="003164B2">
            <w:pPr>
              <w:rPr>
                <w:b/>
                <w:bCs/>
                <w:sz w:val="28"/>
                <w:szCs w:val="24"/>
              </w:rPr>
            </w:pPr>
            <w:r w:rsidRPr="00CC4381">
              <w:rPr>
                <w:b/>
                <w:bCs/>
                <w:noProof/>
                <w:sz w:val="28"/>
                <w:szCs w:val="24"/>
              </w:rPr>
              <w:drawing>
                <wp:inline distT="0" distB="0" distL="0" distR="0" wp14:anchorId="4BB7C229" wp14:editId="63A0828C">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482BEA1A" w:rsidR="003164B2" w:rsidRDefault="00CC4381" w:rsidP="003164B2">
            <w:pPr>
              <w:rPr>
                <w:b/>
                <w:bCs/>
                <w:sz w:val="28"/>
                <w:szCs w:val="24"/>
              </w:rPr>
            </w:pPr>
            <w:r w:rsidRPr="00CC4381">
              <w:rPr>
                <w:b/>
                <w:bCs/>
                <w:noProof/>
                <w:sz w:val="28"/>
                <w:szCs w:val="24"/>
              </w:rPr>
              <w:lastRenderedPageBreak/>
              <w:drawing>
                <wp:inline distT="0" distB="0" distL="0" distR="0" wp14:anchorId="57C0B838" wp14:editId="17680ED8">
                  <wp:extent cx="5731510" cy="325056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50565"/>
                          </a:xfrm>
                          <a:prstGeom prst="rect">
                            <a:avLst/>
                          </a:prstGeom>
                        </pic:spPr>
                      </pic:pic>
                    </a:graphicData>
                  </a:graphic>
                </wp:inline>
              </w:drawing>
            </w:r>
          </w:p>
          <w:p w14:paraId="59A6DDC8" w14:textId="6AF67AFB" w:rsidR="003164B2" w:rsidRDefault="003164B2" w:rsidP="003164B2">
            <w:pPr>
              <w:rPr>
                <w:b/>
                <w:bCs/>
                <w:i/>
                <w:iCs/>
                <w:color w:val="BFBFBF" w:themeColor="background1" w:themeShade="BF"/>
                <w:sz w:val="28"/>
                <w:szCs w:val="24"/>
              </w:rPr>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600FDB42" w:rsidR="003164B2" w:rsidRPr="003164B2" w:rsidRDefault="00C110A3" w:rsidP="006C0FE2">
            <w:pPr>
              <w:rPr>
                <w:b/>
                <w:bCs/>
                <w:sz w:val="28"/>
                <w:szCs w:val="24"/>
              </w:rPr>
            </w:pPr>
            <w:r w:rsidRPr="00C110A3">
              <w:rPr>
                <w:b/>
                <w:bCs/>
                <w:noProof/>
                <w:sz w:val="28"/>
                <w:szCs w:val="24"/>
              </w:rPr>
              <w:drawing>
                <wp:inline distT="0" distB="0" distL="0" distR="0" wp14:anchorId="5B5B5EDF" wp14:editId="5B53806E">
                  <wp:extent cx="5731510" cy="32023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02305"/>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47091BEF" w14:textId="054A5E75" w:rsidR="00C94793" w:rsidRDefault="00C110A3" w:rsidP="003164B2">
            <w:pPr>
              <w:rPr>
                <w:b/>
                <w:bCs/>
                <w:sz w:val="28"/>
                <w:szCs w:val="24"/>
              </w:rPr>
            </w:pPr>
            <w:r w:rsidRPr="00C110A3">
              <w:rPr>
                <w:b/>
                <w:bCs/>
                <w:noProof/>
                <w:sz w:val="28"/>
                <w:szCs w:val="24"/>
              </w:rPr>
              <w:lastRenderedPageBreak/>
              <w:drawing>
                <wp:inline distT="0" distB="0" distL="0" distR="0" wp14:anchorId="111672E1" wp14:editId="2541DEB2">
                  <wp:extent cx="5731510" cy="32404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40405"/>
                          </a:xfrm>
                          <a:prstGeom prst="rect">
                            <a:avLst/>
                          </a:prstGeom>
                        </pic:spPr>
                      </pic:pic>
                    </a:graphicData>
                  </a:graphic>
                </wp:inline>
              </w:drawing>
            </w:r>
          </w:p>
          <w:p w14:paraId="7879583C" w14:textId="3ED2FB59" w:rsidR="006C0FE2" w:rsidRDefault="006C0FE2" w:rsidP="006C0FE2">
            <w:pPr>
              <w:rPr>
                <w:b/>
                <w:bCs/>
                <w:sz w:val="28"/>
                <w:szCs w:val="24"/>
              </w:rPr>
            </w:pPr>
          </w:p>
          <w:p w14:paraId="0980C0D2" w14:textId="77777777" w:rsidR="0064455E" w:rsidRDefault="0064455E" w:rsidP="006C0FE2">
            <w:pPr>
              <w:rPr>
                <w:b/>
                <w:bCs/>
                <w:sz w:val="28"/>
                <w:szCs w:val="24"/>
              </w:rPr>
            </w:pPr>
          </w:p>
          <w:p w14:paraId="4E7118BA" w14:textId="1034E38B" w:rsidR="0064455E" w:rsidRDefault="00CC4381" w:rsidP="006C0FE2">
            <w:pPr>
              <w:rPr>
                <w:b/>
                <w:bCs/>
                <w:sz w:val="28"/>
                <w:szCs w:val="24"/>
              </w:rPr>
            </w:pPr>
            <w:r w:rsidRPr="00CC4381">
              <w:rPr>
                <w:b/>
                <w:bCs/>
                <w:noProof/>
                <w:sz w:val="28"/>
                <w:szCs w:val="24"/>
              </w:rPr>
              <w:drawing>
                <wp:inline distT="0" distB="0" distL="0" distR="0" wp14:anchorId="580A0018" wp14:editId="12B28631">
                  <wp:extent cx="5731510" cy="3199130"/>
                  <wp:effectExtent l="0" t="0" r="254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199130"/>
                          </a:xfrm>
                          <a:prstGeom prst="rect">
                            <a:avLst/>
                          </a:prstGeom>
                        </pic:spPr>
                      </pic:pic>
                    </a:graphicData>
                  </a:graphic>
                </wp:inline>
              </w:drawing>
            </w:r>
          </w:p>
          <w:p w14:paraId="00800ABA" w14:textId="77777777" w:rsidR="0064455E" w:rsidRDefault="0064455E" w:rsidP="006C0FE2">
            <w:pPr>
              <w:rPr>
                <w:b/>
                <w:bCs/>
                <w:sz w:val="28"/>
                <w:szCs w:val="24"/>
              </w:rPr>
            </w:pPr>
          </w:p>
          <w:p w14:paraId="0CD767EF" w14:textId="3E2CCAE8" w:rsidR="0064455E" w:rsidRDefault="00CC4381" w:rsidP="006C0FE2">
            <w:pPr>
              <w:rPr>
                <w:b/>
                <w:bCs/>
                <w:sz w:val="28"/>
                <w:szCs w:val="24"/>
              </w:rPr>
            </w:pPr>
            <w:r w:rsidRPr="00CC4381">
              <w:rPr>
                <w:b/>
                <w:bCs/>
                <w:noProof/>
                <w:sz w:val="28"/>
                <w:szCs w:val="24"/>
              </w:rPr>
              <w:lastRenderedPageBreak/>
              <w:drawing>
                <wp:inline distT="0" distB="0" distL="0" distR="0" wp14:anchorId="57710B22" wp14:editId="26C503ED">
                  <wp:extent cx="5731510" cy="3211195"/>
                  <wp:effectExtent l="0" t="0" r="254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11195"/>
                          </a:xfrm>
                          <a:prstGeom prst="rect">
                            <a:avLst/>
                          </a:prstGeom>
                        </pic:spPr>
                      </pic:pic>
                    </a:graphicData>
                  </a:graphic>
                </wp:inline>
              </w:drawing>
            </w: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76E69D4D" w14:textId="77777777" w:rsidR="005C77A4" w:rsidRDefault="005C77A4" w:rsidP="006C0FE2">
            <w:pPr>
              <w:rPr>
                <w:b/>
                <w:bCs/>
                <w:sz w:val="28"/>
                <w:szCs w:val="24"/>
              </w:rPr>
            </w:pPr>
          </w:p>
          <w:p w14:paraId="4B6455CB" w14:textId="77777777" w:rsidR="00CC4381" w:rsidRDefault="00CC4381" w:rsidP="00CC4381">
            <w:pPr>
              <w:rPr>
                <w:b/>
                <w:bCs/>
                <w:sz w:val="28"/>
                <w:szCs w:val="24"/>
              </w:rPr>
            </w:pPr>
            <w:r>
              <w:rPr>
                <w:b/>
                <w:bCs/>
                <w:sz w:val="28"/>
                <w:szCs w:val="24"/>
              </w:rPr>
              <w:t>References (no screenshots):</w:t>
            </w:r>
          </w:p>
          <w:p w14:paraId="633C2CCD" w14:textId="77777777" w:rsidR="00CC4381" w:rsidRPr="00C94793" w:rsidRDefault="00CC4381" w:rsidP="00CC4381">
            <w:pPr>
              <w:spacing w:line="360" w:lineRule="auto"/>
              <w:jc w:val="both"/>
              <w:rPr>
                <w:rFonts w:eastAsia="Calibri" w:cs="Mangal"/>
                <w:color w:val="auto"/>
                <w:shd w:val="clear" w:color="auto" w:fill="FFFFFF"/>
              </w:rPr>
            </w:pPr>
            <w:r w:rsidRPr="00C94793">
              <w:rPr>
                <w:rFonts w:eastAsia="Calibri" w:cs="Mangal"/>
                <w:color w:val="auto"/>
                <w:shd w:val="clear" w:color="auto" w:fill="FFFFFF"/>
              </w:rPr>
              <w:t>American Occupational Therapy Association, 2020. Educator’s guide for addressing cultural awareness, humility, and dexterity in occupational therapy curricula. </w:t>
            </w:r>
            <w:r w:rsidRPr="00C94793">
              <w:rPr>
                <w:rFonts w:eastAsia="Calibri" w:cs="Mangal"/>
                <w:i/>
                <w:iCs/>
                <w:color w:val="auto"/>
                <w:shd w:val="clear" w:color="auto" w:fill="FFFFFF"/>
              </w:rPr>
              <w:t>The American Journal of Occupational Therapy</w:t>
            </w:r>
            <w:r w:rsidRPr="00C94793">
              <w:rPr>
                <w:rFonts w:eastAsia="Calibri" w:cs="Mangal"/>
                <w:color w:val="auto"/>
                <w:shd w:val="clear" w:color="auto" w:fill="FFFFFF"/>
              </w:rPr>
              <w:t>, </w:t>
            </w:r>
            <w:r w:rsidRPr="00C94793">
              <w:rPr>
                <w:rFonts w:eastAsia="Calibri" w:cs="Mangal"/>
                <w:i/>
                <w:iCs/>
                <w:color w:val="auto"/>
                <w:shd w:val="clear" w:color="auto" w:fill="FFFFFF"/>
              </w:rPr>
              <w:t>74</w:t>
            </w:r>
            <w:r w:rsidRPr="00C94793">
              <w:rPr>
                <w:rFonts w:eastAsia="Calibri" w:cs="Mangal"/>
                <w:color w:val="auto"/>
                <w:shd w:val="clear" w:color="auto" w:fill="FFFFFF"/>
              </w:rPr>
              <w:t>(Supplement_3), pp.7413420003p1-7413420003p19.</w:t>
            </w:r>
          </w:p>
          <w:p w14:paraId="168FAF6F" w14:textId="77777777" w:rsidR="00CC4381" w:rsidRPr="00C94793" w:rsidRDefault="00CC4381" w:rsidP="00CC4381">
            <w:pPr>
              <w:spacing w:line="360" w:lineRule="auto"/>
              <w:jc w:val="both"/>
              <w:rPr>
                <w:rFonts w:eastAsia="Calibri" w:cs="Mangal"/>
                <w:color w:val="auto"/>
                <w:shd w:val="clear" w:color="auto" w:fill="FFFFFF"/>
              </w:rPr>
            </w:pPr>
            <w:r w:rsidRPr="00C94793">
              <w:rPr>
                <w:rFonts w:eastAsia="Calibri" w:cs="Mangal"/>
                <w:color w:val="auto"/>
                <w:shd w:val="clear" w:color="auto" w:fill="FFFFFF"/>
              </w:rPr>
              <w:t xml:space="preserve">Guillén, G., Sawin, T. and </w:t>
            </w:r>
            <w:proofErr w:type="spellStart"/>
            <w:r w:rsidRPr="00C94793">
              <w:rPr>
                <w:rFonts w:eastAsia="Calibri" w:cs="Mangal"/>
                <w:color w:val="auto"/>
                <w:shd w:val="clear" w:color="auto" w:fill="FFFFFF"/>
              </w:rPr>
              <w:t>Avineri</w:t>
            </w:r>
            <w:proofErr w:type="spellEnd"/>
            <w:r w:rsidRPr="00C94793">
              <w:rPr>
                <w:rFonts w:eastAsia="Calibri" w:cs="Mangal"/>
                <w:color w:val="auto"/>
                <w:shd w:val="clear" w:color="auto" w:fill="FFFFFF"/>
              </w:rPr>
              <w:t>, N., 2020. Zooming out of the crisis: Language and human collaboration. </w:t>
            </w:r>
            <w:r w:rsidRPr="00C94793">
              <w:rPr>
                <w:rFonts w:eastAsia="Calibri" w:cs="Mangal"/>
                <w:i/>
                <w:iCs/>
                <w:color w:val="auto"/>
                <w:shd w:val="clear" w:color="auto" w:fill="FFFFFF"/>
              </w:rPr>
              <w:t>Foreign Language Annals</w:t>
            </w:r>
            <w:r w:rsidRPr="00C94793">
              <w:rPr>
                <w:rFonts w:eastAsia="Calibri" w:cs="Mangal"/>
                <w:color w:val="auto"/>
                <w:shd w:val="clear" w:color="auto" w:fill="FFFFFF"/>
              </w:rPr>
              <w:t>, </w:t>
            </w:r>
            <w:r w:rsidRPr="00C94793">
              <w:rPr>
                <w:rFonts w:eastAsia="Calibri" w:cs="Mangal"/>
                <w:i/>
                <w:iCs/>
                <w:color w:val="auto"/>
                <w:shd w:val="clear" w:color="auto" w:fill="FFFFFF"/>
              </w:rPr>
              <w:t>53</w:t>
            </w:r>
            <w:r w:rsidRPr="00C94793">
              <w:rPr>
                <w:rFonts w:eastAsia="Calibri" w:cs="Mangal"/>
                <w:color w:val="auto"/>
                <w:shd w:val="clear" w:color="auto" w:fill="FFFFFF"/>
              </w:rPr>
              <w:t>(2), pp.320-328.</w:t>
            </w:r>
          </w:p>
          <w:p w14:paraId="2149EB93" w14:textId="77777777" w:rsidR="00CC4381" w:rsidRPr="00C94793" w:rsidRDefault="00CC4381" w:rsidP="00CC4381">
            <w:pPr>
              <w:spacing w:line="360" w:lineRule="auto"/>
              <w:jc w:val="both"/>
              <w:rPr>
                <w:rFonts w:eastAsia="Calibri" w:cs="Mangal"/>
                <w:color w:val="auto"/>
                <w:shd w:val="clear" w:color="auto" w:fill="FFFFFF"/>
              </w:rPr>
            </w:pPr>
            <w:r w:rsidRPr="00C94793">
              <w:rPr>
                <w:rFonts w:eastAsia="Calibri" w:cs="Mangal"/>
                <w:color w:val="auto"/>
                <w:shd w:val="clear" w:color="auto" w:fill="FFFFFF"/>
              </w:rPr>
              <w:t>Reinhardt, J., 2020. Metaphors for social media</w:t>
            </w:r>
            <w:r w:rsidRPr="00C94793">
              <w:rPr>
                <w:rFonts w:ascii="Cambria Math" w:eastAsia="Calibri" w:hAnsi="Cambria Math" w:cs="Cambria Math"/>
                <w:color w:val="auto"/>
                <w:shd w:val="clear" w:color="auto" w:fill="FFFFFF"/>
              </w:rPr>
              <w:t>‐</w:t>
            </w:r>
            <w:r w:rsidRPr="00C94793">
              <w:rPr>
                <w:rFonts w:eastAsia="Calibri" w:cs="Mangal"/>
                <w:color w:val="auto"/>
                <w:shd w:val="clear" w:color="auto" w:fill="FFFFFF"/>
              </w:rPr>
              <w:t>enhanced foreign language teaching and learning. </w:t>
            </w:r>
            <w:r w:rsidRPr="00C94793">
              <w:rPr>
                <w:rFonts w:eastAsia="Calibri" w:cs="Mangal"/>
                <w:i/>
                <w:iCs/>
                <w:color w:val="auto"/>
                <w:shd w:val="clear" w:color="auto" w:fill="FFFFFF"/>
              </w:rPr>
              <w:t>Foreign Language Annals</w:t>
            </w:r>
            <w:r w:rsidRPr="00C94793">
              <w:rPr>
                <w:rFonts w:eastAsia="Calibri" w:cs="Mangal"/>
                <w:color w:val="auto"/>
                <w:shd w:val="clear" w:color="auto" w:fill="FFFFFF"/>
              </w:rPr>
              <w:t>, </w:t>
            </w:r>
            <w:r w:rsidRPr="00C94793">
              <w:rPr>
                <w:rFonts w:eastAsia="Calibri" w:cs="Mangal"/>
                <w:i/>
                <w:iCs/>
                <w:color w:val="auto"/>
                <w:shd w:val="clear" w:color="auto" w:fill="FFFFFF"/>
              </w:rPr>
              <w:t>53</w:t>
            </w:r>
            <w:r w:rsidRPr="00C94793">
              <w:rPr>
                <w:rFonts w:eastAsia="Calibri" w:cs="Mangal"/>
                <w:color w:val="auto"/>
                <w:shd w:val="clear" w:color="auto" w:fill="FFFFFF"/>
              </w:rPr>
              <w:t>(2), pp.234-242.</w:t>
            </w:r>
          </w:p>
          <w:p w14:paraId="2BDF2D5C" w14:textId="77777777" w:rsidR="00CC4381" w:rsidRPr="00C94793" w:rsidRDefault="00CC4381" w:rsidP="00CC4381">
            <w:pPr>
              <w:spacing w:line="360" w:lineRule="auto"/>
              <w:jc w:val="both"/>
              <w:rPr>
                <w:rFonts w:eastAsia="Calibri" w:cs="Mangal"/>
                <w:color w:val="auto"/>
                <w:shd w:val="clear" w:color="auto" w:fill="FFFFFF"/>
              </w:rPr>
            </w:pPr>
            <w:r w:rsidRPr="00C94793">
              <w:rPr>
                <w:rFonts w:eastAsia="Calibri" w:cs="Mangal"/>
                <w:color w:val="auto"/>
                <w:shd w:val="clear" w:color="auto" w:fill="FFFFFF"/>
              </w:rPr>
              <w:t xml:space="preserve">Risager, K., 2020. </w:t>
            </w:r>
            <w:proofErr w:type="spellStart"/>
            <w:r w:rsidRPr="00C94793">
              <w:rPr>
                <w:rFonts w:eastAsia="Calibri" w:cs="Mangal"/>
                <w:color w:val="auto"/>
                <w:shd w:val="clear" w:color="auto" w:fill="FFFFFF"/>
              </w:rPr>
              <w:t>Linguaculture</w:t>
            </w:r>
            <w:proofErr w:type="spellEnd"/>
            <w:r w:rsidRPr="00C94793">
              <w:rPr>
                <w:rFonts w:eastAsia="Calibri" w:cs="Mangal"/>
                <w:color w:val="auto"/>
                <w:shd w:val="clear" w:color="auto" w:fill="FFFFFF"/>
              </w:rPr>
              <w:t xml:space="preserve"> and transnationality are the cultural dimensions of language. In </w:t>
            </w:r>
            <w:r w:rsidRPr="00C94793">
              <w:rPr>
                <w:rFonts w:eastAsia="Calibri" w:cs="Mangal"/>
                <w:i/>
                <w:iCs/>
                <w:color w:val="auto"/>
                <w:shd w:val="clear" w:color="auto" w:fill="FFFFFF"/>
              </w:rPr>
              <w:t>The Routledge Handbook of Language and Intercultural Communication</w:t>
            </w:r>
            <w:r w:rsidRPr="00C94793">
              <w:rPr>
                <w:rFonts w:eastAsia="Calibri" w:cs="Mangal"/>
                <w:color w:val="auto"/>
                <w:shd w:val="clear" w:color="auto" w:fill="FFFFFF"/>
              </w:rPr>
              <w:t> (pp. 109-123). Routledge.</w:t>
            </w:r>
          </w:p>
          <w:p w14:paraId="2BDBFCC9" w14:textId="77777777" w:rsidR="00CC4381" w:rsidRDefault="00CC4381" w:rsidP="00CC4381">
            <w:pPr>
              <w:rPr>
                <w:b/>
                <w:bCs/>
                <w:sz w:val="28"/>
                <w:szCs w:val="24"/>
              </w:rPr>
            </w:pPr>
            <w:r w:rsidRPr="00C94793">
              <w:rPr>
                <w:rFonts w:eastAsia="Calibri" w:cs="Mangal"/>
                <w:color w:val="auto"/>
                <w:shd w:val="clear" w:color="auto" w:fill="FFFFFF"/>
              </w:rPr>
              <w:t>Shin, J.Y., Dixon, L.Q. and Choi, Y., 2020. An updated review on the use of L1 in foreign language classrooms. </w:t>
            </w:r>
            <w:r w:rsidRPr="00C94793">
              <w:rPr>
                <w:rFonts w:eastAsia="Calibri" w:cs="Mangal"/>
                <w:i/>
                <w:iCs/>
                <w:color w:val="auto"/>
                <w:shd w:val="clear" w:color="auto" w:fill="FFFFFF"/>
              </w:rPr>
              <w:t>Journal of Multilingual and Multicultural Development</w:t>
            </w:r>
            <w:r w:rsidRPr="00C94793">
              <w:rPr>
                <w:rFonts w:eastAsia="Calibri" w:cs="Mangal"/>
                <w:color w:val="auto"/>
                <w:shd w:val="clear" w:color="auto" w:fill="FFFFFF"/>
              </w:rPr>
              <w:t>, </w:t>
            </w:r>
            <w:r w:rsidRPr="00C94793">
              <w:rPr>
                <w:rFonts w:eastAsia="Calibri" w:cs="Mangal"/>
                <w:i/>
                <w:iCs/>
                <w:color w:val="auto"/>
                <w:shd w:val="clear" w:color="auto" w:fill="FFFFFF"/>
              </w:rPr>
              <w:t>41</w:t>
            </w:r>
            <w:r w:rsidRPr="00C94793">
              <w:rPr>
                <w:rFonts w:eastAsia="Calibri" w:cs="Mangal"/>
                <w:color w:val="auto"/>
                <w:shd w:val="clear" w:color="auto" w:fill="FFFFFF"/>
              </w:rPr>
              <w:t>(5), pp.406-419.</w:t>
            </w: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4D387" w14:textId="77777777" w:rsidR="00241209" w:rsidRDefault="00241209" w:rsidP="007C2128">
      <w:pPr>
        <w:spacing w:after="0" w:line="240" w:lineRule="auto"/>
      </w:pPr>
      <w:r>
        <w:separator/>
      </w:r>
    </w:p>
  </w:endnote>
  <w:endnote w:type="continuationSeparator" w:id="0">
    <w:p w14:paraId="5FBE3A14" w14:textId="77777777" w:rsidR="00241209" w:rsidRDefault="00241209"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11300" w14:textId="77777777" w:rsidR="00241209" w:rsidRDefault="00241209" w:rsidP="007C2128">
      <w:pPr>
        <w:spacing w:after="0" w:line="240" w:lineRule="auto"/>
      </w:pPr>
      <w:r>
        <w:separator/>
      </w:r>
    </w:p>
  </w:footnote>
  <w:footnote w:type="continuationSeparator" w:id="0">
    <w:p w14:paraId="6693DF72" w14:textId="77777777" w:rsidR="00241209" w:rsidRDefault="00241209"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D261A"/>
    <w:multiLevelType w:val="hybridMultilevel"/>
    <w:tmpl w:val="DAAA6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2E28BE"/>
    <w:multiLevelType w:val="hybridMultilevel"/>
    <w:tmpl w:val="7C0C5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933EC4"/>
    <w:multiLevelType w:val="hybridMultilevel"/>
    <w:tmpl w:val="5616E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6564366">
    <w:abstractNumId w:val="1"/>
  </w:num>
  <w:num w:numId="2" w16cid:durableId="2117171011">
    <w:abstractNumId w:val="2"/>
  </w:num>
  <w:num w:numId="3" w16cid:durableId="309674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456F9"/>
    <w:rsid w:val="000544C5"/>
    <w:rsid w:val="00085A4E"/>
    <w:rsid w:val="00091775"/>
    <w:rsid w:val="000A23B0"/>
    <w:rsid w:val="000A7D84"/>
    <w:rsid w:val="00136D1F"/>
    <w:rsid w:val="001C05B9"/>
    <w:rsid w:val="00241209"/>
    <w:rsid w:val="002922B5"/>
    <w:rsid w:val="002F762E"/>
    <w:rsid w:val="003164B2"/>
    <w:rsid w:val="003439EA"/>
    <w:rsid w:val="00373FD2"/>
    <w:rsid w:val="003F3D25"/>
    <w:rsid w:val="0040519F"/>
    <w:rsid w:val="00433E3E"/>
    <w:rsid w:val="00452F90"/>
    <w:rsid w:val="004F3356"/>
    <w:rsid w:val="005671B3"/>
    <w:rsid w:val="0059363C"/>
    <w:rsid w:val="005C77A4"/>
    <w:rsid w:val="005D04E6"/>
    <w:rsid w:val="00602C4B"/>
    <w:rsid w:val="0064455E"/>
    <w:rsid w:val="006572A5"/>
    <w:rsid w:val="00675DCB"/>
    <w:rsid w:val="006B575E"/>
    <w:rsid w:val="006C0FE2"/>
    <w:rsid w:val="006D765B"/>
    <w:rsid w:val="006F6F16"/>
    <w:rsid w:val="00723301"/>
    <w:rsid w:val="00777250"/>
    <w:rsid w:val="007A0095"/>
    <w:rsid w:val="007C08D8"/>
    <w:rsid w:val="007C2128"/>
    <w:rsid w:val="007F06B0"/>
    <w:rsid w:val="00833B1F"/>
    <w:rsid w:val="00834656"/>
    <w:rsid w:val="00847B3C"/>
    <w:rsid w:val="008C0A30"/>
    <w:rsid w:val="00903A18"/>
    <w:rsid w:val="00910929"/>
    <w:rsid w:val="009C5BA7"/>
    <w:rsid w:val="009D60B1"/>
    <w:rsid w:val="009E74DD"/>
    <w:rsid w:val="00A135A5"/>
    <w:rsid w:val="00A60F09"/>
    <w:rsid w:val="00AA645D"/>
    <w:rsid w:val="00AD744C"/>
    <w:rsid w:val="00B3346C"/>
    <w:rsid w:val="00C110A3"/>
    <w:rsid w:val="00C91424"/>
    <w:rsid w:val="00C94793"/>
    <w:rsid w:val="00C974B9"/>
    <w:rsid w:val="00CC4381"/>
    <w:rsid w:val="00DA485D"/>
    <w:rsid w:val="00E714F2"/>
    <w:rsid w:val="00E73500"/>
    <w:rsid w:val="00E95FE6"/>
    <w:rsid w:val="00EF0C8A"/>
    <w:rsid w:val="00F04604"/>
    <w:rsid w:val="00F774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https://culturalconflict.files.wordpress.com/2013/11/cross-cultural1.jpg" TargetMode="External"/><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2128</Words>
  <Characters>12327</Characters>
  <Application>Microsoft Office Word</Application>
  <DocSecurity>0</DocSecurity>
  <Lines>267</Lines>
  <Paragraphs>87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mihaela suruianu</cp:lastModifiedBy>
  <cp:revision>45</cp:revision>
  <dcterms:created xsi:type="dcterms:W3CDTF">2023-12-20T11:14:00Z</dcterms:created>
  <dcterms:modified xsi:type="dcterms:W3CDTF">2024-02-06T21:26:00Z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18846a3d924e5607d92bdd56636b301626a05a71949526c77ed9396790dcb3e4</vt:lpwstr>
  </property>
</Properties>
</file>