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Times New Roman" w:cs="Times New Roman" w:eastAsia="Times New Roman" w:hAnsi="Times New Roman"/>
          <w:b w:val="1"/>
          <w:bCs w:val="1"/>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114300</wp:posOffset>
            </wp:positionH>
            <wp:positionV relativeFrom="paragraph">
              <wp:posOffset>0</wp:posOffset>
            </wp:positionV>
            <wp:extent cx="1809750" cy="723900"/>
            <wp:effectExtent b="0" l="0" r="0" t="0"/>
            <wp:wrapSquare wrapText="bothSides" distB="0" distT="0" distL="114300" distR="11430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spacing w:line="360" w:lineRule="auto"/>
        <w:jc w:val="center"/>
        <w:rPr>
          <w:rFonts w:ascii="Times New Roman" w:cs="Times New Roman" w:eastAsia="Times New Roman" w:hAnsi="Times New Roman"/>
          <w:b w:val="1"/>
          <w:bCs w:val="1"/>
        </w:rPr>
      </w:pPr>
      <w:r w:rsidDel="00000000" w:rsidR="00000000" w:rsidRPr="00000000">
        <w:rPr>
          <w:rtl w:val="0"/>
        </w:rPr>
      </w:r>
    </w:p>
    <w:p w:rsidR="00000000" w:rsidDel="00000000" w:rsidP="00000000" w:rsidRDefault="00000000" w:rsidRPr="00000000" w14:paraId="00000003">
      <w:pPr>
        <w:spacing w:line="360" w:lineRule="auto"/>
        <w:jc w:val="left"/>
        <w:rPr>
          <w:rFonts w:ascii="Times New Roman" w:cs="Times New Roman" w:eastAsia="Times New Roman" w:hAnsi="Times New Roman"/>
          <w:b w:val="1"/>
          <w:bCs w:val="1"/>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bCs w:val="1"/>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The Influence of Health Literacy on the Self-Management of Type 2 Diabetes in the UK</w:t>
      </w:r>
    </w:p>
    <w:p w:rsidR="00000000" w:rsidDel="00000000" w:rsidP="00000000" w:rsidRDefault="00000000" w:rsidRPr="00000000" w14:paraId="00000006">
      <w:pPr>
        <w:tabs>
          <w:tab w:val="left" w:leader="none" w:pos="6540"/>
        </w:tabs>
        <w:spacing w:after="240" w:line="360" w:lineRule="auto"/>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07">
      <w:pPr>
        <w:tabs>
          <w:tab w:val="left" w:leader="none" w:pos="6540"/>
        </w:tabs>
        <w:spacing w:after="240"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name</w:t>
      </w:r>
      <w:r w:rsidDel="00000000" w:rsidR="00000000" w:rsidRPr="00000000">
        <w:rPr>
          <w:rFonts w:ascii="Arial" w:cs="Arial" w:eastAsia="Arial" w:hAnsi="Arial"/>
          <w:sz w:val="28"/>
          <w:szCs w:val="28"/>
          <w:rtl w:val="0"/>
        </w:rPr>
        <w:t xml:space="preserve">:Momodou Lamin Demba</w:t>
      </w:r>
    </w:p>
    <w:p w:rsidR="00000000" w:rsidDel="00000000" w:rsidP="00000000" w:rsidRDefault="00000000" w:rsidRPr="00000000" w14:paraId="00000008">
      <w:pPr>
        <w:tabs>
          <w:tab w:val="left" w:leader="none" w:pos="6540"/>
        </w:tabs>
        <w:spacing w:after="240"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ID</w:t>
      </w:r>
      <w:r w:rsidDel="00000000" w:rsidR="00000000" w:rsidRPr="00000000">
        <w:rPr>
          <w:rFonts w:ascii="Arial" w:cs="Arial" w:eastAsia="Arial" w:hAnsi="Arial"/>
          <w:sz w:val="28"/>
          <w:szCs w:val="28"/>
          <w:rtl w:val="0"/>
        </w:rPr>
        <w:t xml:space="preserve">:2415947</w:t>
      </w:r>
    </w:p>
    <w:p w:rsidR="00000000" w:rsidDel="00000000" w:rsidP="00000000" w:rsidRDefault="00000000" w:rsidRPr="00000000" w14:paraId="00000009">
      <w:pPr>
        <w:tabs>
          <w:tab w:val="left" w:leader="none" w:pos="6540"/>
        </w:tabs>
        <w:spacing w:after="240"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name</w:t>
      </w:r>
      <w:r w:rsidDel="00000000" w:rsidR="00000000" w:rsidRPr="00000000">
        <w:rPr>
          <w:rFonts w:ascii="Arial" w:cs="Arial" w:eastAsia="Arial" w:hAnsi="Arial"/>
          <w:sz w:val="28"/>
          <w:szCs w:val="28"/>
          <w:rtl w:val="0"/>
        </w:rPr>
        <w:t xml:space="preserve">: Introduction to Independent Research Skills</w:t>
      </w:r>
    </w:p>
    <w:p w:rsidR="00000000" w:rsidDel="00000000" w:rsidP="00000000" w:rsidRDefault="00000000" w:rsidRPr="00000000" w14:paraId="0000000A">
      <w:pPr>
        <w:tabs>
          <w:tab w:val="left" w:leader="none" w:pos="6540"/>
        </w:tabs>
        <w:spacing w:after="240"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code</w:t>
      </w:r>
      <w:r w:rsidDel="00000000" w:rsidR="00000000" w:rsidRPr="00000000">
        <w:rPr>
          <w:rFonts w:ascii="Arial" w:cs="Arial" w:eastAsia="Arial" w:hAnsi="Arial"/>
          <w:sz w:val="28"/>
          <w:szCs w:val="28"/>
          <w:rtl w:val="0"/>
        </w:rPr>
        <w:t xml:space="preserve">:BMHP5019</w:t>
      </w:r>
    </w:p>
    <w:p w:rsidR="00000000" w:rsidDel="00000000" w:rsidP="00000000" w:rsidRDefault="00000000" w:rsidRPr="00000000" w14:paraId="0000000B">
      <w:pPr>
        <w:tabs>
          <w:tab w:val="left" w:leader="none" w:pos="6540"/>
        </w:tabs>
        <w:spacing w:after="240"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Lecturer name</w:t>
      </w:r>
      <w:r w:rsidDel="00000000" w:rsidR="00000000" w:rsidRPr="00000000">
        <w:rPr>
          <w:rFonts w:ascii="Arial" w:cs="Arial" w:eastAsia="Arial" w:hAnsi="Arial"/>
          <w:sz w:val="28"/>
          <w:szCs w:val="28"/>
          <w:rtl w:val="0"/>
        </w:rPr>
        <w:t xml:space="preserve">:Muhammed Khan</w:t>
      </w:r>
    </w:p>
    <w:p w:rsidR="00000000" w:rsidDel="00000000" w:rsidP="00000000" w:rsidRDefault="00000000" w:rsidRPr="00000000" w14:paraId="0000000C">
      <w:pPr>
        <w:tabs>
          <w:tab w:val="left" w:leader="none" w:pos="6540"/>
        </w:tabs>
        <w:spacing w:after="240"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D">
      <w:pPr>
        <w:spacing w:line="360" w:lineRule="auto"/>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0E">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Abstract</w:t>
      </w:r>
    </w:p>
    <w:p w:rsidR="00000000" w:rsidDel="00000000" w:rsidP="00000000" w:rsidRDefault="00000000" w:rsidRPr="00000000" w14:paraId="0000000F">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Type 2 diabetes (T2D) is an increasing public health concern in the UK, and its daily management requires active patient involvement. Self-management is based on the capacity to locate, comprehend and apply health information - health literacy. This scoping review posed the question: What impact does health literacy have on self-management behaviours of UK adults with T2D? Guided by the framework developed by Arksey and O'Malley (2005), MEDLINE, CINAHL and PsycINFO were searched, including peer-reviewed UK primary studies published before 2015. Eight studies were thematically charted and analysed. Four overarching themes were identified: trustworthy and easy-to-understand information in support of self-management; digital divide between health literacy and social disadvantage; health literacy is socially and culturally situated; and systematic education enhances knowledge, but among a few. Deprivation, education and ethnicity, and knowledge-based behaviours like diet, monitoring and understanding medication were always the most sensitive to health literacy. These UK results are consistent with global evidence that health literacy is an important determinant of self-management, albeit to a lesser degree. A critical finding of this review is that there was no validated health-literacy measure used in any UK study; the majority of evidence used was in one research programme, and none of the studies tracked patients longitudinally, and therefore the relationship between the two is associative. The review finds that health literacy has a profound impact on UK T2D self-management, and suggests that for these groups, standard health-literacy assessment, culturally-sensitive assistive support, and more robust primary research in the UK are needed.</w:t>
      </w:r>
    </w:p>
    <w:p w:rsidR="00000000" w:rsidDel="00000000" w:rsidP="00000000" w:rsidRDefault="00000000" w:rsidRPr="00000000" w14:paraId="00000010">
      <w:pPr>
        <w:spacing w:line="360" w:lineRule="auto"/>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11">
      <w:pPr>
        <w:pStyle w:val="Heading1"/>
        <w:spacing w:line="360" w:lineRule="auto"/>
        <w:rPr/>
      </w:pPr>
      <w:r w:rsidDel="00000000" w:rsidR="00000000" w:rsidRPr="00000000">
        <w:rPr>
          <w:rtl w:val="0"/>
        </w:rPr>
        <w:t xml:space="preserve">1. Introduction</w:t>
      </w:r>
    </w:p>
    <w:p w:rsidR="00000000" w:rsidDel="00000000" w:rsidP="00000000" w:rsidRDefault="00000000" w:rsidRPr="00000000" w14:paraId="00000012">
      <w:pPr>
        <w:pStyle w:val="Heading2"/>
        <w:spacing w:line="360" w:lineRule="auto"/>
        <w:rPr/>
      </w:pPr>
      <w:r w:rsidDel="00000000" w:rsidR="00000000" w:rsidRPr="00000000">
        <w:rPr>
          <w:rtl w:val="0"/>
        </w:rPr>
        <w:t xml:space="preserve">1.1: Introduction to the topic</w:t>
      </w:r>
    </w:p>
    <w:p w:rsidR="00000000" w:rsidDel="00000000" w:rsidP="00000000" w:rsidRDefault="00000000" w:rsidRPr="00000000" w14:paraId="00000013">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Diabetes type 2 (T2D) is a chronic disease. The body is unable to respond to insulin, which makes blood sugar excessively high (Butayeva et al., 2023). Patients are responsible for most aspects of their own care and self-management. This includes diet, physical activity, medication, monitoring and help-seeking (Maina, Pienaar and Reid, 2023).</w:t>
      </w:r>
    </w:p>
    <w:p w:rsidR="00000000" w:rsidDel="00000000" w:rsidP="00000000" w:rsidRDefault="00000000" w:rsidRPr="00000000" w14:paraId="00000014">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Health literacy is the ability to comprehend health information, which is essential to good self-management. The ability to locate, understand, evaluate and apply health information to make informed decisions is known as such (Nugent, Galea and Sammut, 2023). Low health literacy negatively affects self-management behaviours.</w:t>
      </w:r>
    </w:p>
    <w:p w:rsidR="00000000" w:rsidDel="00000000" w:rsidP="00000000" w:rsidRDefault="00000000" w:rsidRPr="00000000" w14:paraId="00000015">
      <w:pPr>
        <w:pStyle w:val="Heading2"/>
        <w:spacing w:line="360" w:lineRule="auto"/>
        <w:rPr/>
      </w:pPr>
      <w:r w:rsidDel="00000000" w:rsidR="00000000" w:rsidRPr="00000000">
        <w:rPr>
          <w:rtl w:val="0"/>
        </w:rPr>
        <w:t xml:space="preserve">1.2: Problem statement:</w:t>
      </w:r>
    </w:p>
    <w:p w:rsidR="00000000" w:rsidDel="00000000" w:rsidP="00000000" w:rsidRDefault="00000000" w:rsidRPr="00000000" w14:paraId="00000016">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prevalence of diabetes is increasing rapidly in the UK and disproportionately affecting deprived groups (Diabetes UK, 2024). Poor health literacy is also associated with worse blood sugar management and reduced self-management (Butayeva et al., 2023), which contributes to many adults in the UK struggling with health information (Rowlands et al., 2015). Nevertheless, the influence of health literacy on every self-management behaviour of UK adults with T2D has not yet been comprehensively explored, making it difficult to design targeted and equitable interventions.</w:t>
      </w:r>
    </w:p>
    <w:p w:rsidR="00000000" w:rsidDel="00000000" w:rsidP="00000000" w:rsidRDefault="00000000" w:rsidRPr="00000000" w14:paraId="00000017">
      <w:pPr>
        <w:pStyle w:val="Heading2"/>
        <w:spacing w:line="360" w:lineRule="auto"/>
        <w:rPr/>
      </w:pPr>
      <w:r w:rsidDel="00000000" w:rsidR="00000000" w:rsidRPr="00000000">
        <w:rPr>
          <w:rtl w:val="0"/>
        </w:rPr>
        <w:t xml:space="preserve">1.3: Rationale: </w:t>
      </w:r>
    </w:p>
    <w:p w:rsidR="00000000" w:rsidDel="00000000" w:rsidP="00000000" w:rsidRDefault="00000000" w:rsidRPr="00000000" w14:paraId="00000018">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evidence can inform UK clinical practice, healthcare policy and future research, and can be used to decrease health inequalities by mapping this evidence.</w:t>
      </w:r>
    </w:p>
    <w:p w:rsidR="00000000" w:rsidDel="00000000" w:rsidP="00000000" w:rsidRDefault="00000000" w:rsidRPr="00000000" w14:paraId="00000019">
      <w:pPr>
        <w:pStyle w:val="Heading2"/>
        <w:spacing w:line="360" w:lineRule="auto"/>
        <w:rPr/>
      </w:pPr>
      <w:r w:rsidDel="00000000" w:rsidR="00000000" w:rsidRPr="00000000">
        <w:rPr>
          <w:rtl w:val="0"/>
        </w:rPr>
        <w:t xml:space="preserve">1.4: Review question </w:t>
      </w:r>
    </w:p>
    <w:p w:rsidR="00000000" w:rsidDel="00000000" w:rsidP="00000000" w:rsidRDefault="00000000" w:rsidRPr="00000000" w14:paraId="0000001A">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How does health literacy affect self-management behaviours among adults with type 2 diabetes in the UK?</w:t>
      </w:r>
    </w:p>
    <w:p w:rsidR="00000000" w:rsidDel="00000000" w:rsidP="00000000" w:rsidRDefault="00000000" w:rsidRPr="00000000" w14:paraId="0000001B">
      <w:pPr>
        <w:pStyle w:val="Heading2"/>
        <w:spacing w:line="360" w:lineRule="auto"/>
        <w:rPr/>
      </w:pPr>
      <w:r w:rsidDel="00000000" w:rsidR="00000000" w:rsidRPr="00000000">
        <w:rPr>
          <w:rtl w:val="0"/>
        </w:rPr>
        <w:t xml:space="preserve">1.5: Aim and Objectives</w:t>
      </w:r>
    </w:p>
    <w:p w:rsidR="00000000" w:rsidDel="00000000" w:rsidP="00000000" w:rsidRDefault="00000000" w:rsidRPr="00000000" w14:paraId="0000001C">
      <w:pPr>
        <w:pStyle w:val="Heading3"/>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Aim: </w:t>
      </w:r>
    </w:p>
    <w:p w:rsidR="00000000" w:rsidDel="00000000" w:rsidP="00000000" w:rsidRDefault="00000000" w:rsidRPr="00000000" w14:paraId="0000001D">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research aims to critically examine the role of health literacy in the self-management behaviours among adults with type 2 diabetes in the UK.</w:t>
      </w:r>
    </w:p>
    <w:p w:rsidR="00000000" w:rsidDel="00000000" w:rsidP="00000000" w:rsidRDefault="00000000" w:rsidRPr="00000000" w14:paraId="0000001E">
      <w:pPr>
        <w:pStyle w:val="Heading3"/>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Objectives:</w:t>
      </w:r>
    </w:p>
    <w:p w:rsidR="00000000" w:rsidDel="00000000" w:rsidP="00000000" w:rsidRDefault="00000000" w:rsidRPr="00000000" w14:paraId="0000001F">
      <w:pPr>
        <w:spacing w:after="60" w:line="360" w:lineRule="auto"/>
        <w:ind w:left="360" w:firstLine="0"/>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I.  </w:t>
      </w:r>
      <w:r w:rsidDel="00000000" w:rsidR="00000000" w:rsidRPr="00000000">
        <w:rPr>
          <w:rFonts w:ascii="Times New Roman" w:cs="Times New Roman" w:eastAsia="Times New Roman" w:hAnsi="Times New Roman"/>
          <w:rtl w:val="0"/>
        </w:rPr>
        <w:t xml:space="preserve">To review how adults with T2D in the UK experience the relationship between self-management and health literacy.</w:t>
      </w:r>
    </w:p>
    <w:p w:rsidR="00000000" w:rsidDel="00000000" w:rsidP="00000000" w:rsidRDefault="00000000" w:rsidRPr="00000000" w14:paraId="00000020">
      <w:pPr>
        <w:spacing w:after="60" w:line="360" w:lineRule="auto"/>
        <w:ind w:left="360" w:firstLine="0"/>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II.  </w:t>
      </w:r>
      <w:r w:rsidDel="00000000" w:rsidR="00000000" w:rsidRPr="00000000">
        <w:rPr>
          <w:rFonts w:ascii="Times New Roman" w:cs="Times New Roman" w:eastAsia="Times New Roman" w:hAnsi="Times New Roman"/>
          <w:rtl w:val="0"/>
        </w:rPr>
        <w:t xml:space="preserve">To determine which component of self-management (diet, physical activity, medication, monitoring and help-seeking) is most influenced by varying levels of health literacy.</w:t>
      </w:r>
    </w:p>
    <w:p w:rsidR="00000000" w:rsidDel="00000000" w:rsidP="00000000" w:rsidRDefault="00000000" w:rsidRPr="00000000" w14:paraId="00000021">
      <w:pPr>
        <w:spacing w:after="60" w:line="360" w:lineRule="auto"/>
        <w:ind w:left="360" w:firstLine="0"/>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III.  </w:t>
      </w:r>
      <w:r w:rsidDel="00000000" w:rsidR="00000000" w:rsidRPr="00000000">
        <w:rPr>
          <w:rFonts w:ascii="Times New Roman" w:cs="Times New Roman" w:eastAsia="Times New Roman" w:hAnsi="Times New Roman"/>
          <w:rtl w:val="0"/>
        </w:rPr>
        <w:t xml:space="preserve">To examine the interaction between socioeconomic and demographic variables and health literacy.</w:t>
      </w:r>
    </w:p>
    <w:p w:rsidR="00000000" w:rsidDel="00000000" w:rsidP="00000000" w:rsidRDefault="00000000" w:rsidRPr="00000000" w14:paraId="00000022">
      <w:pPr>
        <w:pStyle w:val="Heading1"/>
        <w:spacing w:line="360" w:lineRule="auto"/>
        <w:rPr/>
      </w:pPr>
      <w:r w:rsidDel="00000000" w:rsidR="00000000" w:rsidRPr="00000000">
        <w:rPr>
          <w:rtl w:val="0"/>
        </w:rPr>
        <w:t xml:space="preserve">2. Background</w:t>
      </w:r>
    </w:p>
    <w:p w:rsidR="00000000" w:rsidDel="00000000" w:rsidP="00000000" w:rsidRDefault="00000000" w:rsidRPr="00000000" w14:paraId="00000023">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Diabetes is a major and growing public health challenge in the UK. The UK has a record number of people with diabetes (more than five million), with a majority of the cases being type 2 (Diabetes UK, 2024). In England, the prevalence of T2D, based on GP, in adults exceeded 7.0% in March 2024 (Office for Health Improvement and Disparities, 2025). An estimated 1.3 million additional people are living with undiagnosed type 2 diabetes (Diabetes UK, 2024). Diabetes also places a substantial financial burden on the NHS. The NHS is estimated to spend around £10.7 billion annually on diabetes (Diabetes UK, 2024).</w:t>
      </w:r>
    </w:p>
    <w:p w:rsidR="00000000" w:rsidDel="00000000" w:rsidP="00000000" w:rsidRDefault="00000000" w:rsidRPr="00000000" w14:paraId="00000024">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Assuming that the prevalence continues to increase at the same pace, this cost may approach almost £18 billion in 2035 (Diabetes UK, 2024). However, this burden is not equally distributed. Individuals in the poorest households are at 2 times greater risk of having T2D than those in the richest households. Children in the poorest communities have over five times higher chances of the condition than those in the wealthiest communities (Diabetes UK, 2024). It is also the younger adults where rates are increasing fastest. These groups also tend to have the poorest access to clear and understandable health information to clear health information.</w:t>
      </w:r>
    </w:p>
    <w:p w:rsidR="00000000" w:rsidDel="00000000" w:rsidP="00000000" w:rsidRDefault="00000000" w:rsidRPr="00000000" w14:paraId="00000025">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is also low health literacy in England. Approximately 43% of adults (16-65 years old) lack the literacy skills required to understand health information, understanding it sufficiently to apply it. When numeracy skills are also considered, this figure increases to 61% (Rowlands et al., 2015). Deprived, less-educated, and minority-ethnic groups are more likely to have limited health literacy (Rowlands et al., 2015). This discrepancy is important to the outcomes of diabetes because self-management relies on receiving advice (Butayeva et al., 2023).</w:t>
      </w:r>
    </w:p>
    <w:p w:rsidR="00000000" w:rsidDel="00000000" w:rsidP="00000000" w:rsidRDefault="00000000" w:rsidRPr="00000000" w14:paraId="00000026">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policy in the UK has reacted, but primarily by prevention and education, as opposed to health literacy directly. NICE guideline NG28 suggests the structured teaching and personalised care of adults with T2D (NICE, 2022). The Healthier You NHS Diabetes Prevention Programme provides lifestyle support to individuals who are at high risk and has already helped over 1.6 million people (NHS England, 2024). Stylised learning assists patients in developing self-management abilities.</w:t>
      </w:r>
    </w:p>
    <w:p w:rsidR="00000000" w:rsidDel="00000000" w:rsidP="00000000" w:rsidRDefault="00000000" w:rsidRPr="00000000" w14:paraId="00000027">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Nevertheless, the adoption of trained education is minimal, and individuals who belong to low health literacy might have the least benefit from written or complicated resources (Rowlands et al., 2015). Another responsibility of the NHS is to decrease health disparities, but existing diabetes services seldom evaluate or adjust to the health literacy level of a patient. This imposes an applied distance between policy objectives and daily treatment. It is relevant to understand how health literacy can lead to a fairer service under the influence of self-management (Butayeva et al., 2023). The purpose of this scoping review is to map evidence on that relationship in the UK to inform future research, policy, and practice.</w:t>
      </w:r>
    </w:p>
    <w:p w:rsidR="00000000" w:rsidDel="00000000" w:rsidP="00000000" w:rsidRDefault="00000000" w:rsidRPr="00000000" w14:paraId="00000028">
      <w:pPr>
        <w:pStyle w:val="Heading1"/>
        <w:spacing w:line="360" w:lineRule="auto"/>
        <w:rPr/>
      </w:pPr>
      <w:r w:rsidDel="00000000" w:rsidR="00000000" w:rsidRPr="00000000">
        <w:rPr>
          <w:rtl w:val="0"/>
        </w:rPr>
        <w:t xml:space="preserve">3. Methods</w:t>
      </w:r>
    </w:p>
    <w:p w:rsidR="00000000" w:rsidDel="00000000" w:rsidP="00000000" w:rsidRDefault="00000000" w:rsidRPr="00000000" w14:paraId="00000029">
      <w:pPr>
        <w:pStyle w:val="Heading2"/>
        <w:spacing w:line="360" w:lineRule="auto"/>
        <w:rPr/>
      </w:pPr>
      <w:r w:rsidDel="00000000" w:rsidR="00000000" w:rsidRPr="00000000">
        <w:rPr>
          <w:rtl w:val="0"/>
        </w:rPr>
        <w:t xml:space="preserve">Research Design</w:t>
      </w:r>
    </w:p>
    <w:p w:rsidR="00000000" w:rsidDel="00000000" w:rsidP="00000000" w:rsidRDefault="00000000" w:rsidRPr="00000000" w14:paraId="0000002A">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is a review based on a scoping review design. This review adopts the five-stage framework of Arksey and O’ Malley (2005), extended by Levac, Colquhoun and O’ Brien (2010). It was a deliberate choice of a scoping review. The review question is expansive and intends to map the existing evidence, as opposed to quantifying one effect. A narrow effect question would be suitable for a systematic review. A scoping review is more suitable in this case since it has the ability to explore the relationship between health literacy and various self-management behaviours (Arksey and O'Malley, 2005). The five steps include: defining the question, locating the studies, choosing the studies, tabulating the data, and summarising and reporting the findings (Levac, Colquhoun and O'Brien, 2010). The transparency is reported with the PRISMA-ScR checklist (Tricco et al., 2018).</w:t>
      </w:r>
    </w:p>
    <w:p w:rsidR="00000000" w:rsidDel="00000000" w:rsidP="00000000" w:rsidRDefault="00000000" w:rsidRPr="00000000" w14:paraId="0000002B">
      <w:pPr>
        <w:pStyle w:val="Heading2"/>
        <w:spacing w:line="360" w:lineRule="auto"/>
        <w:rPr/>
      </w:pPr>
      <w:r w:rsidDel="00000000" w:rsidR="00000000" w:rsidRPr="00000000">
        <w:rPr>
          <w:rtl w:val="0"/>
        </w:rPr>
        <w:t xml:space="preserve">Search strategy/Data collection</w:t>
      </w:r>
    </w:p>
    <w:p w:rsidR="00000000" w:rsidDel="00000000" w:rsidP="00000000" w:rsidRDefault="00000000" w:rsidRPr="00000000" w14:paraId="0000002C">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Searches were conducted in three databases: MEDLINE, CINAHL and PsycINFO. Both were selected with a definite purpose. MEDLINE is a fast access to biomedical and clinical research on diabetes. CINAHL covers nursing and allied health, in which self-management is at the centre stage. PsycINFO is particularly suitable for research on health literacy and behaviour because it discusses behavioural and psychological research. The three complementary databases are used in order to reduce the risk of omitting relevant studies. Search terms are organised into concept blocks and are used together with Boolean operators (Table 1).</w:t>
      </w:r>
    </w:p>
    <w:p w:rsidR="00000000" w:rsidDel="00000000" w:rsidP="00000000" w:rsidRDefault="00000000" w:rsidRPr="00000000" w14:paraId="0000002D">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left"/>
        <w:rPr>
          <w:rFonts w:ascii="Times New Roman" w:cs="Times New Roman" w:eastAsia="Times New Roman" w:hAnsi="Times New Roman"/>
          <w:b w:val="0"/>
          <w:bCs w:val="0"/>
          <w:i w:val="1"/>
          <w:iCs w:val="1"/>
          <w:smallCaps w:val="0"/>
          <w:strike w:val="0"/>
          <w:color w:val="44546a"/>
          <w:sz w:val="24"/>
          <w:szCs w:val="24"/>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24"/>
          <w:szCs w:val="24"/>
          <w:u w:val="none"/>
          <w:shd w:fill="auto" w:val="clear"/>
          <w:vertAlign w:val="baseline"/>
          <w:rtl w:val="0"/>
        </w:rPr>
        <w:t xml:space="preserve">Table 1: Concept block search terms</w:t>
      </w:r>
    </w:p>
    <w:tbl>
      <w:tblPr>
        <w:tblStyle w:val="Table1"/>
        <w:tblW w:w="9020.0" w:type="dxa"/>
        <w:jc w:val="left"/>
        <w:tblBorders>
          <w:top w:color="8eaadb" w:space="0" w:sz="4" w:val="single"/>
          <w:left w:color="8eaadb" w:space="0" w:sz="4" w:val="single"/>
          <w:bottom w:color="8eaadb" w:space="0" w:sz="4" w:val="single"/>
          <w:right w:color="8eaadb" w:space="0" w:sz="4" w:val="single"/>
          <w:insideH w:color="8eaadb" w:space="0" w:sz="4" w:val="single"/>
          <w:insideV w:color="8eaadb" w:space="0" w:sz="4" w:val="single"/>
        </w:tblBorders>
        <w:tblLayout w:type="fixed"/>
        <w:tblLook w:val="04A0"/>
      </w:tblPr>
      <w:tblGrid>
        <w:gridCol w:w="2600"/>
        <w:gridCol w:w="6420"/>
        <w:tblGridChange w:id="0">
          <w:tblGrid>
            <w:gridCol w:w="2600"/>
            <w:gridCol w:w="6420"/>
          </w:tblGrid>
        </w:tblGridChange>
      </w:tblGrid>
      <w:tr>
        <w:trPr>
          <w:cantSplit w:val="0"/>
          <w:tblHeader w:val="0"/>
        </w:trPr>
        <w:tc>
          <w:tcPr/>
          <w:p w:rsidR="00000000" w:rsidDel="00000000" w:rsidP="00000000" w:rsidRDefault="00000000" w:rsidRPr="00000000" w14:paraId="0000002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ffffff"/>
                <w:sz w:val="24"/>
                <w:szCs w:val="24"/>
                <w:rtl w:val="0"/>
              </w:rPr>
              <w:t xml:space="preserve">Concept block</w:t>
            </w:r>
            <w:r w:rsidDel="00000000" w:rsidR="00000000" w:rsidRPr="00000000">
              <w:rPr>
                <w:rtl w:val="0"/>
              </w:rPr>
            </w:r>
          </w:p>
        </w:tc>
        <w:tc>
          <w:tcPr/>
          <w:p w:rsidR="00000000" w:rsidDel="00000000" w:rsidP="00000000" w:rsidRDefault="00000000" w:rsidRPr="00000000" w14:paraId="0000002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ffffff"/>
                <w:sz w:val="24"/>
                <w:szCs w:val="24"/>
                <w:rtl w:val="0"/>
              </w:rPr>
              <w:t xml:space="preserve">Keywords/search terms (combined within block using OR)</w:t>
            </w:r>
            <w:r w:rsidDel="00000000" w:rsidR="00000000" w:rsidRPr="00000000">
              <w:rPr>
                <w:rtl w:val="0"/>
              </w:rPr>
            </w:r>
          </w:p>
        </w:tc>
      </w:tr>
      <w:tr>
        <w:trPr>
          <w:cantSplit w:val="0"/>
          <w:tblHeader w:val="0"/>
        </w:trPr>
        <w:tc>
          <w:tcPr/>
          <w:p w:rsidR="00000000" w:rsidDel="00000000" w:rsidP="00000000" w:rsidRDefault="00000000" w:rsidRPr="00000000" w14:paraId="0000003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bCs w:val="0"/>
                <w:color w:val="000000"/>
                <w:sz w:val="24"/>
                <w:szCs w:val="24"/>
                <w:rtl w:val="0"/>
              </w:rPr>
              <w:t xml:space="preserve">Health literacy</w:t>
            </w:r>
            <w:r w:rsidDel="00000000" w:rsidR="00000000" w:rsidRPr="00000000">
              <w:rPr>
                <w:rtl w:val="0"/>
              </w:rPr>
            </w:r>
          </w:p>
        </w:tc>
        <w:tc>
          <w:tcPr/>
          <w:p w:rsidR="00000000" w:rsidDel="00000000" w:rsidP="00000000" w:rsidRDefault="00000000" w:rsidRPr="00000000" w14:paraId="0000003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"health literacy" OR "health numeracy" OR "understanding health information"</w:t>
            </w:r>
            <w:r w:rsidDel="00000000" w:rsidR="00000000" w:rsidRPr="00000000">
              <w:rPr>
                <w:rtl w:val="0"/>
              </w:rPr>
            </w:r>
          </w:p>
        </w:tc>
      </w:tr>
      <w:tr>
        <w:trPr>
          <w:cantSplit w:val="0"/>
          <w:tblHeader w:val="0"/>
        </w:trPr>
        <w:tc>
          <w:tcPr/>
          <w:p w:rsidR="00000000" w:rsidDel="00000000" w:rsidP="00000000" w:rsidRDefault="00000000" w:rsidRPr="00000000" w14:paraId="0000003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bCs w:val="0"/>
                <w:color w:val="000000"/>
                <w:sz w:val="24"/>
                <w:szCs w:val="24"/>
                <w:rtl w:val="0"/>
              </w:rPr>
              <w:t xml:space="preserve">Self-management</w:t>
            </w:r>
            <w:r w:rsidDel="00000000" w:rsidR="00000000" w:rsidRPr="00000000">
              <w:rPr>
                <w:rtl w:val="0"/>
              </w:rPr>
            </w:r>
          </w:p>
        </w:tc>
        <w:tc>
          <w:tcPr/>
          <w:p w:rsidR="00000000" w:rsidDel="00000000" w:rsidP="00000000" w:rsidRDefault="00000000" w:rsidRPr="00000000" w14:paraId="0000003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"self-management" OR "self-care" OR "diet" OR "physical activity" OR "medication adherence" OR "blood glucose monitoring"</w:t>
            </w:r>
            <w:r w:rsidDel="00000000" w:rsidR="00000000" w:rsidRPr="00000000">
              <w:rPr>
                <w:rtl w:val="0"/>
              </w:rPr>
            </w:r>
          </w:p>
        </w:tc>
      </w:tr>
      <w:tr>
        <w:trPr>
          <w:cantSplit w:val="0"/>
          <w:tblHeader w:val="0"/>
        </w:trPr>
        <w:tc>
          <w:tcPr/>
          <w:p w:rsidR="00000000" w:rsidDel="00000000" w:rsidP="00000000" w:rsidRDefault="00000000" w:rsidRPr="00000000" w14:paraId="0000003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bCs w:val="0"/>
                <w:color w:val="000000"/>
                <w:sz w:val="24"/>
                <w:szCs w:val="24"/>
                <w:rtl w:val="0"/>
              </w:rPr>
              <w:t xml:space="preserve">Type 2 diabetes</w:t>
            </w:r>
            <w:r w:rsidDel="00000000" w:rsidR="00000000" w:rsidRPr="00000000">
              <w:rPr>
                <w:rtl w:val="0"/>
              </w:rPr>
            </w:r>
          </w:p>
        </w:tc>
        <w:tc>
          <w:tcPr/>
          <w:p w:rsidR="00000000" w:rsidDel="00000000" w:rsidP="00000000" w:rsidRDefault="00000000" w:rsidRPr="00000000" w14:paraId="0000003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"type 2 diabetes" OR "type II diabetes" OR "T2DM" OR "diabetes mellitus"</w:t>
            </w:r>
            <w:r w:rsidDel="00000000" w:rsidR="00000000" w:rsidRPr="00000000">
              <w:rPr>
                <w:rtl w:val="0"/>
              </w:rPr>
            </w:r>
          </w:p>
        </w:tc>
      </w:tr>
      <w:tr>
        <w:trPr>
          <w:cantSplit w:val="0"/>
          <w:tblHeader w:val="0"/>
        </w:trPr>
        <w:tc>
          <w:tcPr/>
          <w:p w:rsidR="00000000" w:rsidDel="00000000" w:rsidP="00000000" w:rsidRDefault="00000000" w:rsidRPr="00000000" w14:paraId="0000003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bCs w:val="0"/>
                <w:color w:val="000000"/>
                <w:sz w:val="24"/>
                <w:szCs w:val="24"/>
                <w:rtl w:val="0"/>
              </w:rPr>
              <w:t xml:space="preserve">Context (UK)</w:t>
            </w:r>
            <w:r w:rsidDel="00000000" w:rsidR="00000000" w:rsidRPr="00000000">
              <w:rPr>
                <w:rtl w:val="0"/>
              </w:rPr>
            </w:r>
          </w:p>
        </w:tc>
        <w:tc>
          <w:tcPr/>
          <w:p w:rsidR="00000000" w:rsidDel="00000000" w:rsidP="00000000" w:rsidRDefault="00000000" w:rsidRPr="00000000" w14:paraId="0000003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"UK" OR "United Kingdom" OR "England" OR "Britain" OR "NHS"</w:t>
            </w:r>
            <w:r w:rsidDel="00000000" w:rsidR="00000000" w:rsidRPr="00000000">
              <w:rPr>
                <w:rtl w:val="0"/>
              </w:rPr>
            </w:r>
          </w:p>
        </w:tc>
      </w:tr>
      <w:tr>
        <w:trPr>
          <w:cantSplit w:val="0"/>
          <w:tblHeader w:val="0"/>
        </w:trPr>
        <w:tc>
          <w:tcPr/>
          <w:p w:rsidR="00000000" w:rsidDel="00000000" w:rsidP="00000000" w:rsidRDefault="00000000" w:rsidRPr="00000000" w14:paraId="0000003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bCs w:val="0"/>
                <w:color w:val="000000"/>
                <w:sz w:val="24"/>
                <w:szCs w:val="24"/>
                <w:rtl w:val="0"/>
              </w:rPr>
              <w:t xml:space="preserve">Combination</w:t>
            </w:r>
            <w:r w:rsidDel="00000000" w:rsidR="00000000" w:rsidRPr="00000000">
              <w:rPr>
                <w:rtl w:val="0"/>
              </w:rPr>
            </w:r>
          </w:p>
        </w:tc>
        <w:tc>
          <w:tcPr/>
          <w:p w:rsidR="00000000" w:rsidDel="00000000" w:rsidP="00000000" w:rsidRDefault="00000000" w:rsidRPr="00000000" w14:paraId="0000003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The four blocks are combined using the AND operator.</w:t>
            </w:r>
            <w:r w:rsidDel="00000000" w:rsidR="00000000" w:rsidRPr="00000000">
              <w:rPr>
                <w:rtl w:val="0"/>
              </w:rPr>
            </w:r>
          </w:p>
        </w:tc>
      </w:tr>
    </w:tbl>
    <w:p w:rsidR="00000000" w:rsidDel="00000000" w:rsidP="00000000" w:rsidRDefault="00000000" w:rsidRPr="00000000" w14:paraId="0000003A">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B">
      <w:pPr>
        <w:pStyle w:val="Heading2"/>
        <w:spacing w:line="360" w:lineRule="auto"/>
        <w:rPr/>
      </w:pPr>
      <w:r w:rsidDel="00000000" w:rsidR="00000000" w:rsidRPr="00000000">
        <w:rPr>
          <w:rtl w:val="0"/>
        </w:rPr>
        <w:t xml:space="preserve">Study selection</w:t>
      </w:r>
    </w:p>
    <w:p w:rsidR="00000000" w:rsidDel="00000000" w:rsidP="00000000" w:rsidRDefault="00000000" w:rsidRPr="00000000" w14:paraId="0000003C">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Clear inclusion and exclusion criteria guide screening (Table 2). The criteria have adhered to the Population Concept Context (PCC) framework that is suggested in scoping reviews. Both primary and secondary peer-reviewed studies published since 2015 are made to ensure that the evidence is up-to-date. Screening was conducted in two phases: initially, the title and abstract, and then the full text. Decisions remain transparent and repeatable because all decisions are documented.</w:t>
      </w:r>
    </w:p>
    <w:p w:rsidR="00000000" w:rsidDel="00000000" w:rsidP="00000000" w:rsidRDefault="00000000" w:rsidRPr="00000000" w14:paraId="0000003D">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left"/>
        <w:rPr>
          <w:rFonts w:ascii="Times New Roman" w:cs="Times New Roman" w:eastAsia="Times New Roman" w:hAnsi="Times New Roman"/>
          <w:b w:val="0"/>
          <w:bCs w:val="0"/>
          <w:i w:val="1"/>
          <w:iCs w:val="1"/>
          <w:smallCaps w:val="0"/>
          <w:strike w:val="0"/>
          <w:color w:val="44546a"/>
          <w:sz w:val="24"/>
          <w:szCs w:val="24"/>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24"/>
          <w:szCs w:val="24"/>
          <w:u w:val="none"/>
          <w:shd w:fill="auto" w:val="clear"/>
          <w:vertAlign w:val="baseline"/>
          <w:rtl w:val="0"/>
        </w:rPr>
        <w:t xml:space="preserve">Table 2: Inclusion criteria and Exclusion criteria</w:t>
      </w:r>
    </w:p>
    <w:tbl>
      <w:tblPr>
        <w:tblStyle w:val="Table2"/>
        <w:tblW w:w="9020.0" w:type="dxa"/>
        <w:jc w:val="left"/>
        <w:tblBorders>
          <w:top w:color="8eaadb" w:space="0" w:sz="4" w:val="single"/>
          <w:left w:color="8eaadb" w:space="0" w:sz="4" w:val="single"/>
          <w:bottom w:color="8eaadb" w:space="0" w:sz="4" w:val="single"/>
          <w:right w:color="8eaadb" w:space="0" w:sz="4" w:val="single"/>
          <w:insideH w:color="8eaadb" w:space="0" w:sz="4" w:val="single"/>
          <w:insideV w:color="8eaadb" w:space="0" w:sz="4" w:val="single"/>
        </w:tblBorders>
        <w:tblLayout w:type="fixed"/>
        <w:tblLook w:val="04A0"/>
      </w:tblPr>
      <w:tblGrid>
        <w:gridCol w:w="2000"/>
        <w:gridCol w:w="3510"/>
        <w:gridCol w:w="3510"/>
        <w:tblGridChange w:id="0">
          <w:tblGrid>
            <w:gridCol w:w="2000"/>
            <w:gridCol w:w="3510"/>
            <w:gridCol w:w="3510"/>
          </w:tblGrid>
        </w:tblGridChange>
      </w:tblGrid>
      <w:tr>
        <w:trPr>
          <w:cantSplit w:val="0"/>
          <w:tblHeader w:val="0"/>
        </w:trPr>
        <w:tc>
          <w:tcPr/>
          <w:p w:rsidR="00000000" w:rsidDel="00000000" w:rsidP="00000000" w:rsidRDefault="00000000" w:rsidRPr="00000000" w14:paraId="0000003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ffffff"/>
                <w:sz w:val="24"/>
                <w:szCs w:val="24"/>
                <w:rtl w:val="0"/>
              </w:rPr>
              <w:t xml:space="preserve">Criterion</w:t>
            </w:r>
            <w:r w:rsidDel="00000000" w:rsidR="00000000" w:rsidRPr="00000000">
              <w:rPr>
                <w:rtl w:val="0"/>
              </w:rPr>
            </w:r>
          </w:p>
        </w:tc>
        <w:tc>
          <w:tcPr/>
          <w:p w:rsidR="00000000" w:rsidDel="00000000" w:rsidP="00000000" w:rsidRDefault="00000000" w:rsidRPr="00000000" w14:paraId="0000003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ffffff"/>
                <w:sz w:val="24"/>
                <w:szCs w:val="24"/>
                <w:rtl w:val="0"/>
              </w:rPr>
              <w:t xml:space="preserve">Inclusion</w:t>
            </w:r>
            <w:r w:rsidDel="00000000" w:rsidR="00000000" w:rsidRPr="00000000">
              <w:rPr>
                <w:rtl w:val="0"/>
              </w:rPr>
            </w:r>
          </w:p>
        </w:tc>
        <w:tc>
          <w:tcPr/>
          <w:p w:rsidR="00000000" w:rsidDel="00000000" w:rsidP="00000000" w:rsidRDefault="00000000" w:rsidRPr="00000000" w14:paraId="0000004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ffffff"/>
                <w:sz w:val="24"/>
                <w:szCs w:val="24"/>
                <w:rtl w:val="0"/>
              </w:rPr>
              <w:t xml:space="preserve">Exclusion</w:t>
            </w:r>
            <w:r w:rsidDel="00000000" w:rsidR="00000000" w:rsidRPr="00000000">
              <w:rPr>
                <w:rtl w:val="0"/>
              </w:rPr>
            </w:r>
          </w:p>
        </w:tc>
      </w:tr>
      <w:tr>
        <w:trPr>
          <w:cantSplit w:val="0"/>
          <w:tblHeader w:val="0"/>
        </w:trPr>
        <w:tc>
          <w:tcPr/>
          <w:p w:rsidR="00000000" w:rsidDel="00000000" w:rsidP="00000000" w:rsidRDefault="00000000" w:rsidRPr="00000000" w14:paraId="0000004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bCs w:val="0"/>
                <w:color w:val="000000"/>
                <w:sz w:val="24"/>
                <w:szCs w:val="24"/>
                <w:rtl w:val="0"/>
              </w:rPr>
              <w:t xml:space="preserve">Population</w:t>
            </w:r>
            <w:r w:rsidDel="00000000" w:rsidR="00000000" w:rsidRPr="00000000">
              <w:rPr>
                <w:rtl w:val="0"/>
              </w:rPr>
            </w:r>
          </w:p>
        </w:tc>
        <w:tc>
          <w:tcPr/>
          <w:p w:rsidR="00000000" w:rsidDel="00000000" w:rsidP="00000000" w:rsidRDefault="00000000" w:rsidRPr="00000000" w14:paraId="0000004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Adults (18+) with type 2 diabetes</w:t>
            </w:r>
            <w:r w:rsidDel="00000000" w:rsidR="00000000" w:rsidRPr="00000000">
              <w:rPr>
                <w:rtl w:val="0"/>
              </w:rPr>
            </w:r>
          </w:p>
        </w:tc>
        <w:tc>
          <w:tcPr/>
          <w:p w:rsidR="00000000" w:rsidDel="00000000" w:rsidP="00000000" w:rsidRDefault="00000000" w:rsidRPr="00000000" w14:paraId="0000004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Children: type 1 or gestational diabetes</w:t>
            </w:r>
            <w:r w:rsidDel="00000000" w:rsidR="00000000" w:rsidRPr="00000000">
              <w:rPr>
                <w:rtl w:val="0"/>
              </w:rPr>
            </w:r>
          </w:p>
        </w:tc>
      </w:tr>
      <w:tr>
        <w:trPr>
          <w:cantSplit w:val="0"/>
          <w:tblHeader w:val="0"/>
        </w:trPr>
        <w:tc>
          <w:tcPr/>
          <w:p w:rsidR="00000000" w:rsidDel="00000000" w:rsidP="00000000" w:rsidRDefault="00000000" w:rsidRPr="00000000" w14:paraId="0000004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bCs w:val="0"/>
                <w:color w:val="000000"/>
                <w:sz w:val="24"/>
                <w:szCs w:val="24"/>
                <w:rtl w:val="0"/>
              </w:rPr>
              <w:t xml:space="preserve">Concept</w:t>
            </w:r>
            <w:r w:rsidDel="00000000" w:rsidR="00000000" w:rsidRPr="00000000">
              <w:rPr>
                <w:rtl w:val="0"/>
              </w:rPr>
            </w:r>
          </w:p>
        </w:tc>
        <w:tc>
          <w:tcPr/>
          <w:p w:rsidR="00000000" w:rsidDel="00000000" w:rsidP="00000000" w:rsidRDefault="00000000" w:rsidRPr="00000000" w14:paraId="0000004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Health literacy and self-management behaviours</w:t>
            </w:r>
            <w:r w:rsidDel="00000000" w:rsidR="00000000" w:rsidRPr="00000000">
              <w:rPr>
                <w:rtl w:val="0"/>
              </w:rPr>
            </w:r>
          </w:p>
        </w:tc>
        <w:tc>
          <w:tcPr/>
          <w:p w:rsidR="00000000" w:rsidDel="00000000" w:rsidP="00000000" w:rsidRDefault="00000000" w:rsidRPr="00000000" w14:paraId="0000004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No clear health literacy focus</w:t>
            </w:r>
            <w:r w:rsidDel="00000000" w:rsidR="00000000" w:rsidRPr="00000000">
              <w:rPr>
                <w:rtl w:val="0"/>
              </w:rPr>
            </w:r>
          </w:p>
        </w:tc>
      </w:tr>
      <w:tr>
        <w:trPr>
          <w:cantSplit w:val="0"/>
          <w:tblHeader w:val="0"/>
        </w:trPr>
        <w:tc>
          <w:tcPr/>
          <w:p w:rsidR="00000000" w:rsidDel="00000000" w:rsidP="00000000" w:rsidRDefault="00000000" w:rsidRPr="00000000" w14:paraId="0000004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bCs w:val="0"/>
                <w:color w:val="000000"/>
                <w:sz w:val="24"/>
                <w:szCs w:val="24"/>
                <w:rtl w:val="0"/>
              </w:rPr>
              <w:t xml:space="preserve">Context</w:t>
            </w:r>
            <w:r w:rsidDel="00000000" w:rsidR="00000000" w:rsidRPr="00000000">
              <w:rPr>
                <w:rtl w:val="0"/>
              </w:rPr>
            </w:r>
          </w:p>
        </w:tc>
        <w:tc>
          <w:tcPr/>
          <w:p w:rsidR="00000000" w:rsidDel="00000000" w:rsidP="00000000" w:rsidRDefault="00000000" w:rsidRPr="00000000" w14:paraId="0000004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UK / NHS setting</w:t>
            </w:r>
            <w:r w:rsidDel="00000000" w:rsidR="00000000" w:rsidRPr="00000000">
              <w:rPr>
                <w:rtl w:val="0"/>
              </w:rPr>
            </w:r>
          </w:p>
        </w:tc>
        <w:tc>
          <w:tcPr/>
          <w:p w:rsidR="00000000" w:rsidDel="00000000" w:rsidP="00000000" w:rsidRDefault="00000000" w:rsidRPr="00000000" w14:paraId="0000004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Non-UK settings</w:t>
            </w:r>
            <w:r w:rsidDel="00000000" w:rsidR="00000000" w:rsidRPr="00000000">
              <w:rPr>
                <w:rtl w:val="0"/>
              </w:rPr>
            </w:r>
          </w:p>
        </w:tc>
      </w:tr>
      <w:tr>
        <w:trPr>
          <w:cantSplit w:val="0"/>
          <w:tblHeader w:val="0"/>
        </w:trPr>
        <w:tc>
          <w:tcPr/>
          <w:p w:rsidR="00000000" w:rsidDel="00000000" w:rsidP="00000000" w:rsidRDefault="00000000" w:rsidRPr="00000000" w14:paraId="0000004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bCs w:val="0"/>
                <w:color w:val="000000"/>
                <w:sz w:val="24"/>
                <w:szCs w:val="24"/>
                <w:rtl w:val="0"/>
              </w:rPr>
              <w:t xml:space="preserve">Study type</w:t>
            </w:r>
            <w:r w:rsidDel="00000000" w:rsidR="00000000" w:rsidRPr="00000000">
              <w:rPr>
                <w:rtl w:val="0"/>
              </w:rPr>
            </w:r>
          </w:p>
        </w:tc>
        <w:tc>
          <w:tcPr/>
          <w:p w:rsidR="00000000" w:rsidDel="00000000" w:rsidP="00000000" w:rsidRDefault="00000000" w:rsidRPr="00000000" w14:paraId="0000004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Peer-reviewed primary or secondary research</w:t>
            </w:r>
            <w:r w:rsidDel="00000000" w:rsidR="00000000" w:rsidRPr="00000000">
              <w:rPr>
                <w:rtl w:val="0"/>
              </w:rPr>
            </w:r>
          </w:p>
        </w:tc>
        <w:tc>
          <w:tcPr/>
          <w:p w:rsidR="00000000" w:rsidDel="00000000" w:rsidP="00000000" w:rsidRDefault="00000000" w:rsidRPr="00000000" w14:paraId="0000004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Policy papers, editorials, commentaries, conference proceedings</w:t>
            </w:r>
            <w:r w:rsidDel="00000000" w:rsidR="00000000" w:rsidRPr="00000000">
              <w:rPr>
                <w:rtl w:val="0"/>
              </w:rPr>
            </w:r>
          </w:p>
        </w:tc>
      </w:tr>
      <w:tr>
        <w:trPr>
          <w:cantSplit w:val="0"/>
          <w:tblHeader w:val="0"/>
        </w:trPr>
        <w:tc>
          <w:tcPr/>
          <w:p w:rsidR="00000000" w:rsidDel="00000000" w:rsidP="00000000" w:rsidRDefault="00000000" w:rsidRPr="00000000" w14:paraId="0000004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bCs w:val="0"/>
                <w:color w:val="000000"/>
                <w:sz w:val="24"/>
                <w:szCs w:val="24"/>
                <w:rtl w:val="0"/>
              </w:rPr>
              <w:t xml:space="preserve">Date</w:t>
            </w:r>
            <w:r w:rsidDel="00000000" w:rsidR="00000000" w:rsidRPr="00000000">
              <w:rPr>
                <w:rtl w:val="0"/>
              </w:rPr>
            </w:r>
          </w:p>
        </w:tc>
        <w:tc>
          <w:tcPr/>
          <w:p w:rsidR="00000000" w:rsidDel="00000000" w:rsidP="00000000" w:rsidRDefault="00000000" w:rsidRPr="00000000" w14:paraId="0000004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2015 to 2025</w:t>
            </w:r>
            <w:r w:rsidDel="00000000" w:rsidR="00000000" w:rsidRPr="00000000">
              <w:rPr>
                <w:rtl w:val="0"/>
              </w:rPr>
            </w:r>
          </w:p>
        </w:tc>
        <w:tc>
          <w:tcPr/>
          <w:p w:rsidR="00000000" w:rsidDel="00000000" w:rsidP="00000000" w:rsidRDefault="00000000" w:rsidRPr="00000000" w14:paraId="0000004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Published before 2015</w:t>
            </w:r>
            <w:r w:rsidDel="00000000" w:rsidR="00000000" w:rsidRPr="00000000">
              <w:rPr>
                <w:rtl w:val="0"/>
              </w:rPr>
            </w:r>
          </w:p>
        </w:tc>
      </w:tr>
      <w:tr>
        <w:trPr>
          <w:cantSplit w:val="0"/>
          <w:tblHeader w:val="0"/>
        </w:trPr>
        <w:tc>
          <w:tcPr/>
          <w:p w:rsidR="00000000" w:rsidDel="00000000" w:rsidP="00000000" w:rsidRDefault="00000000" w:rsidRPr="00000000" w14:paraId="0000005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bCs w:val="0"/>
                <w:color w:val="000000"/>
                <w:sz w:val="24"/>
                <w:szCs w:val="24"/>
                <w:rtl w:val="0"/>
              </w:rPr>
              <w:t xml:space="preserve">Language</w:t>
            </w:r>
            <w:r w:rsidDel="00000000" w:rsidR="00000000" w:rsidRPr="00000000">
              <w:rPr>
                <w:rtl w:val="0"/>
              </w:rPr>
            </w:r>
          </w:p>
        </w:tc>
        <w:tc>
          <w:tcPr/>
          <w:p w:rsidR="00000000" w:rsidDel="00000000" w:rsidP="00000000" w:rsidRDefault="00000000" w:rsidRPr="00000000" w14:paraId="0000005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English</w:t>
            </w:r>
            <w:r w:rsidDel="00000000" w:rsidR="00000000" w:rsidRPr="00000000">
              <w:rPr>
                <w:rtl w:val="0"/>
              </w:rPr>
            </w:r>
          </w:p>
        </w:tc>
        <w:tc>
          <w:tcPr/>
          <w:p w:rsidR="00000000" w:rsidDel="00000000" w:rsidP="00000000" w:rsidRDefault="00000000" w:rsidRPr="00000000" w14:paraId="0000005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Non-English</w:t>
            </w:r>
            <w:r w:rsidDel="00000000" w:rsidR="00000000" w:rsidRPr="00000000">
              <w:rPr>
                <w:rtl w:val="0"/>
              </w:rPr>
            </w:r>
          </w:p>
        </w:tc>
      </w:tr>
    </w:tbl>
    <w:p w:rsidR="00000000" w:rsidDel="00000000" w:rsidP="00000000" w:rsidRDefault="00000000" w:rsidRPr="00000000" w14:paraId="00000053">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4">
      <w:pPr>
        <w:pStyle w:val="Heading2"/>
        <w:spacing w:line="360" w:lineRule="auto"/>
        <w:rPr/>
      </w:pPr>
      <w:r w:rsidDel="00000000" w:rsidR="00000000" w:rsidRPr="00000000">
        <w:rPr>
          <w:rtl w:val="0"/>
        </w:rPr>
        <w:t xml:space="preserve">Data analysis</w:t>
      </w:r>
    </w:p>
    <w:p w:rsidR="00000000" w:rsidDel="00000000" w:rsidP="00000000" w:rsidRDefault="00000000" w:rsidRPr="00000000" w14:paraId="00000055">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 chosen sample of studies was charted on the basis of a piloted data-extraction form. This document presents the study purpose, research design, sample, health literacy indicator, self-management results and major findings. The thematic analysis will then be used to analyse the charted data (Braun and Clarke, 2021). Patterns across the included studies were constructed to form themes and overlaid on the three objectives. Formal quality appraisal is not done in accordance with the scoping review convention (Levac, Colquhoun and O'Brien, 2010). It is an identified limitation, as in the synthesis, the study quality is not formally assessed.</w:t>
      </w:r>
    </w:p>
    <w:p w:rsidR="00000000" w:rsidDel="00000000" w:rsidP="00000000" w:rsidRDefault="00000000" w:rsidRPr="00000000" w14:paraId="00000056">
      <w:pPr>
        <w:pStyle w:val="Heading2"/>
        <w:spacing w:line="360" w:lineRule="auto"/>
        <w:rPr/>
      </w:pPr>
      <w:r w:rsidDel="00000000" w:rsidR="00000000" w:rsidRPr="00000000">
        <w:rPr>
          <w:rtl w:val="0"/>
        </w:rPr>
        <w:t xml:space="preserve">Ethical considerations</w:t>
      </w:r>
    </w:p>
    <w:p w:rsidR="00000000" w:rsidDel="00000000" w:rsidP="00000000" w:rsidRDefault="00000000" w:rsidRPr="00000000" w14:paraId="00000057">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is secondary research based on published research only. They do not involve any primary data and thus do not need a formal ethical approval. They continue to uphold good practice. The sources are referenced properly, the search is reported concisely, and the entire procedure is documented in such a manner that it can be repeated (Tricco et al., 2018). This safeguards integrity and transparency in academics.</w:t>
      </w:r>
    </w:p>
    <w:p w:rsidR="00000000" w:rsidDel="00000000" w:rsidP="00000000" w:rsidRDefault="00000000" w:rsidRPr="00000000" w14:paraId="00000058">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9">
      <w:pPr>
        <w:pStyle w:val="Heading1"/>
        <w:spacing w:line="360" w:lineRule="auto"/>
        <w:rPr/>
      </w:pPr>
      <w:r w:rsidDel="00000000" w:rsidR="00000000" w:rsidRPr="00000000">
        <w:rPr>
          <w:rtl w:val="0"/>
        </w:rPr>
        <w:t xml:space="preserve">Chapter 4: Findings and analysis</w:t>
      </w:r>
    </w:p>
    <w:p w:rsidR="00000000" w:rsidDel="00000000" w:rsidP="00000000" w:rsidRDefault="00000000" w:rsidRPr="00000000" w14:paraId="0000005A">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Eight main studies were identified and included in the analysis; their features are summarised in Appendix A, and the screening procedure is outlined in Appendix B. The methodological mix of the evidence base is as follows: one randomised controlled trial (Murray et al., 2017), three qualitative interview research studies (Pal et al., 2018; Hawkes et al., 2024; Omodara, Gibson and Bowpitt, 2022), a mixed-method study (Patel et al., 2015), a usage-data analysis (Poduval et al., 2018) and two real-world services assessment (Poduval et al., 2020; Chatterjee et al., 2018). All findings are framed by two important features. To begin with, none of the studies carried out in the UK quantified health literacy using a validated measure; it emerged as understanding, information access, digital literacy and knowledge. Second, five out of the eight studies are based on one programme of work (HeLP-Diabetes/ Healthy Living), which makes the evidence less independent. Four themes were generated using thematic analysis.</w:t>
      </w:r>
    </w:p>
    <w:p w:rsidR="00000000" w:rsidDel="00000000" w:rsidP="00000000" w:rsidRDefault="00000000" w:rsidRPr="00000000" w14:paraId="0000005B">
      <w:pPr>
        <w:pStyle w:val="Heading2"/>
        <w:spacing w:line="360" w:lineRule="auto"/>
        <w:rPr/>
      </w:pPr>
      <w:r w:rsidDel="00000000" w:rsidR="00000000" w:rsidRPr="00000000">
        <w:rPr>
          <w:rtl w:val="0"/>
        </w:rPr>
        <w:t xml:space="preserve">Theme 1: Trusted, understandable information underpins self-management</w:t>
      </w:r>
    </w:p>
    <w:p w:rsidR="00000000" w:rsidDel="00000000" w:rsidP="00000000" w:rsidRDefault="00000000" w:rsidRPr="00000000" w14:paraId="0000005C">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all the digital studies, patients appreciated information that was easily accessible and credible (Hawkes et al., 2024; Pal et al., 2018). In areas that had information available, the participants were found to have greater self-management, and in the latest study, they sought help regarding symptoms of an emotional nature that they had not identified before (Hawkes et al., 2024). This advantage is not impartial, though. The samples were skewed towards already-engaged, literate users: Pal et al. (2018) recruited a relatively well-educated, computer-literate group, and Hawkes et al. (2024) had almost no ethnic diversity. Clear information is therefore helpful, but only to those who are already literate to utilise it. Another issue of direction also emerges: since motivated, literate patients will have more chances to both seek information and to self-manage effectively, the studies cannot indicate that improved information would lead to improved self-management and not merely to attract people who are already self-managing.</w:t>
      </w:r>
    </w:p>
    <w:p w:rsidR="00000000" w:rsidDel="00000000" w:rsidP="00000000" w:rsidRDefault="00000000" w:rsidRPr="00000000" w14:paraId="0000005D">
      <w:pPr>
        <w:pStyle w:val="Heading2"/>
        <w:spacing w:line="360" w:lineRule="auto"/>
        <w:rPr/>
      </w:pPr>
      <w:r w:rsidDel="00000000" w:rsidR="00000000" w:rsidRPr="00000000">
        <w:rPr>
          <w:rtl w:val="0"/>
        </w:rPr>
        <w:t xml:space="preserve">Theme 2: Digital divide links Health Literacy to Social Advantage</w:t>
      </w:r>
    </w:p>
    <w:p w:rsidR="00000000" w:rsidDel="00000000" w:rsidP="00000000" w:rsidRDefault="00000000" w:rsidRPr="00000000" w14:paraId="0000005E">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Digital delivery, which has become a pivotal component of NHS self-management policy, is connected to education, age, ethnicity and deprivation (Objective III). According to Poduval et al. (2018), despite the broad demographic of HeLP-Diabetes users (more than half of them minority-ethnic, and about a third with limited schooling or very poor computer skills), engagement patterns were still indicative of unequal use. As no study stratified results by a known measure of health literacy, this interaction is inferred rather than directly measured. More importantly, there is a danger of creating inequality with digital-first models: the most disadvantaged and most affected groups are the least likely to receive the benefit (Murray et al., 2017; Poduval et al., 2018).</w:t>
      </w:r>
    </w:p>
    <w:p w:rsidR="00000000" w:rsidDel="00000000" w:rsidP="00000000" w:rsidRDefault="00000000" w:rsidRPr="00000000" w14:paraId="0000005F">
      <w:pPr>
        <w:pStyle w:val="Heading2"/>
        <w:spacing w:line="360" w:lineRule="auto"/>
        <w:rPr/>
      </w:pPr>
      <w:r w:rsidDel="00000000" w:rsidR="00000000" w:rsidRPr="00000000">
        <w:rPr>
          <w:rtl w:val="0"/>
        </w:rPr>
        <w:t xml:space="preserve">Theme 3: Health literacy is socially and culturally situated</w:t>
      </w:r>
    </w:p>
    <w:p w:rsidR="00000000" w:rsidDel="00000000" w:rsidP="00000000" w:rsidRDefault="00000000" w:rsidRPr="00000000" w14:paraId="00000060">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studies involving minority ethnic groups challenge the functional, individual concept of health literacy that is the leading concept in UK policy. Omodara, Gibson and Bowpitt (2022) demonstrated that knowledge and health literacy interacted with cultural beliefs, misconceptions, and the use of alternative remedies, and that community and family ties had the potential to facilitate positive behaviours. A similar correlation between illness beliefs, fatalism and social networks with emotional distress and health outcomes was also observed by Patel et al. (2015). These results shift health literacy to a relational and culturally embedded rather than merely a reading skill. Small, single-ethnicity samples limit their transferability, however.</w:t>
      </w:r>
    </w:p>
    <w:p w:rsidR="00000000" w:rsidDel="00000000" w:rsidP="00000000" w:rsidRDefault="00000000" w:rsidRPr="00000000" w14:paraId="00000061">
      <w:pPr>
        <w:pStyle w:val="Heading2"/>
        <w:spacing w:line="360" w:lineRule="auto"/>
        <w:rPr/>
      </w:pPr>
      <w:r w:rsidDel="00000000" w:rsidR="00000000" w:rsidRPr="00000000">
        <w:rPr>
          <w:rtl w:val="0"/>
        </w:rPr>
        <w:t xml:space="preserve">Theme 4: Structured Education Improves Understanding</w:t>
      </w:r>
    </w:p>
    <w:p w:rsidR="00000000" w:rsidDel="00000000" w:rsidP="00000000" w:rsidRDefault="00000000" w:rsidRPr="00000000" w14:paraId="00000062">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Research which has been performed through education indicates that enhancing knowledge enhances self-management capacity. The decrease in levels of HbA1c was 0.96 and 0.70 per cent at six months and twelve months, respectively, with respondents reporting improved self-management, and Murray et al. (2017) found improvements in glycaemic control in web-based teaching. However, the most common limitation is reach: about 5% of all eligible patients receive structured education in the country (Chatterjee et al., 2018), and the rate of completion via the web was poor (Poduval et al., 2020). Such programmes also assume a certain level of baseline literacy that they do not measure, so the patients most in need might benefit the least, a disproportionate mismatch that is mirrored by the gap in population-level outcomes found by Rowlands et al. (2015). Another notable gap is the efficacy–effectiveness gap: the controlled trial demonstrated benefit during the trial conditions (Murray et al., 2017), but the real-life appraisals indicate that a small number of eligible patients initiate or engage with these programmes and, therefore, the impact on the population level will be significantly lower than that suggested by the trial.</w:t>
      </w:r>
    </w:p>
    <w:p w:rsidR="00000000" w:rsidDel="00000000" w:rsidP="00000000" w:rsidRDefault="00000000" w:rsidRPr="00000000" w14:paraId="00000063">
      <w:pPr>
        <w:pStyle w:val="Heading2"/>
        <w:spacing w:line="360" w:lineRule="auto"/>
        <w:rPr/>
      </w:pPr>
      <w:r w:rsidDel="00000000" w:rsidR="00000000" w:rsidRPr="00000000">
        <w:rPr>
          <w:rtl w:val="0"/>
        </w:rPr>
        <w:t xml:space="preserve">Synthesis against the objectives</w:t>
      </w:r>
    </w:p>
    <w:p w:rsidR="00000000" w:rsidDel="00000000" w:rsidP="00000000" w:rsidRDefault="00000000" w:rsidRPr="00000000" w14:paraId="00000064">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answers in relation to Objective I provide a clear answer: the health literacy of the UK adults cannot be imagined without access to information, trust, culture and social support. Objective III is supported but not quantified: literacy is clearly correlated with deprivation, education and ethnicity, and no research has quantified this. Objective II will be partially answerable. Health literacy seems the most susceptible to knowledge-dependent behaviours, such as diet, self-monitoring and understanding medication, and emotional management was an under-acknowledged information-responsive area (Hawkes et al., 2024). Not a lot of research breaks down self-management into parts, and as such, no firm ranking can be made. Another weakness of the entire collection is that none of them controlled patients over time to determine whether increasing health literacy has a real impact on behaviour or not, which questions the causal relationship. The inability to single out the most affected behaviour is a clue in itself, and the main concern of any future research in the UK.</w:t>
      </w:r>
    </w:p>
    <w:p w:rsidR="00000000" w:rsidDel="00000000" w:rsidP="00000000" w:rsidRDefault="00000000" w:rsidRPr="00000000" w14:paraId="00000065">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6">
      <w:pPr>
        <w:pStyle w:val="Heading1"/>
        <w:spacing w:line="360" w:lineRule="auto"/>
        <w:rPr/>
      </w:pPr>
      <w:r w:rsidDel="00000000" w:rsidR="00000000" w:rsidRPr="00000000">
        <w:rPr>
          <w:rtl w:val="0"/>
        </w:rPr>
        <w:t xml:space="preserve">Discussion</w:t>
      </w:r>
    </w:p>
    <w:p w:rsidR="00000000" w:rsidDel="00000000" w:rsidP="00000000" w:rsidRDefault="00000000" w:rsidRPr="00000000" w14:paraId="00000067">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this review, health literacy was identified to influence T2D self-management in the UK via four interconnected mechanisms, including access to trustworthy information, a digital divide, a cultural entrenchment, and a low attainment of education. These results mostly resonate with the more general global literature, although they also reveal gaps related to the UK evidence base. The key message - that self-management is health-literacy driven - is in line with the systematic review of Butayeva et al. (2023), who identified in fifteen randomised trials that health-literacy interventions could enhance both glycaemic control and self-management behaviours. The current UK studies point in the same direction, although the evidence is considerably weaker, as no one implemented a health-literacy intervention or measure; they assumed the connection and did not measure it.</w:t>
      </w:r>
    </w:p>
    <w:p w:rsidR="00000000" w:rsidDel="00000000" w:rsidP="00000000" w:rsidRDefault="00000000" w:rsidRPr="00000000" w14:paraId="00000068">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knowledge-dependent behaviours are most sensitive to health literacy, which is also congruent with the findings of Nugent, Galea and Sammut (2023), whose cross-sectional study found a significant positive relationship between health literacy and self-management and a significant negative relationship between health literacy and HbA1c. It also coincides with the Abdullah et al. (2019) review, which found that health literacy enhanced diabetes knowledge, physical activity and self-efficacy. Notably, though, Abdullah et al. (2019) established the relationships with glycaemic control, blood-glucose monitoring, foot care and medication adherence as inconclusive. It is important that this tension exists: the studies conducted in the UK, reviewed, are unable to overcome it, as they seldom disentangle self-management into its constituents. The evidence of the UK thus neither substantiates nor refutes the international uncertainty regarding the most risky behaviours influenced by health literacy; it simply reflects this existing evidence gap.</w:t>
      </w:r>
    </w:p>
    <w:p w:rsidR="00000000" w:rsidDel="00000000" w:rsidP="00000000" w:rsidRDefault="00000000" w:rsidRPr="00000000" w14:paraId="00000069">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digital-divide theme builds on, instead of replicating, previous work. Previous reviews largely conceptualised health literacy as a functional reading skill (Rowlands et al., 2015), whereas the studies conducted in the UK indicate that in a health system, where digital self-management is now prioritised, digital literacy is a component of health literacy (Poduval et al., 2018; Murray et al., 2017). It is a noteworthy change: initiatives aimed at expanding access can actually exacerbate existing health inequalities among older, poorer and minority-ethnic patients, bearing the heaviest diabetes burden (Diabetes UK, 2024). This is supported by the cultural-embedding theme. Omodara, Gibson and Bowpitt (2022) and Patel et al. (2015) demonstrate that beliefs, family and community shape how patients understand and manage diabetes, meanwhile receiving little to no attention in the mainstream functional model of health literacy, as well as in much of the policy.</w:t>
      </w:r>
    </w:p>
    <w:p w:rsidR="00000000" w:rsidDel="00000000" w:rsidP="00000000" w:rsidRDefault="00000000" w:rsidRPr="00000000" w14:paraId="0000006A">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relational image also contributes to the observation of mixed outcomes related to international intervention studies. Those reviews considering health literacy as a unitary attribute (that is, an attribute of an individual) (Abdullah et al., 2019) exhibit inconsistent results, but Butayeva et al. (2023) reported the superiority of community-based and patient-specific interventions over generic ones. The qualitative research conducted in the UK indicates why: when information suits the language, culture, and life of a person, only then can it be thought of as translated into behaviour (Omodara, Gibson and Bowpitt, 2022; Pal et al., 2018). A health literacy purely functional reading - is the patient able to read a leaflet - thus runs the risk of measuring the wrong thing. It is a valuable addition to the UK evidence, although its qualitative and single-programme nature restricts the extent of its generalisability.</w:t>
      </w:r>
    </w:p>
    <w:p w:rsidR="00000000" w:rsidDel="00000000" w:rsidP="00000000" w:rsidRDefault="00000000" w:rsidRPr="00000000" w14:paraId="0000006B">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These conclusions are limited by two important weaknesses, which are extremely strong. First, the gap between efficacy and effectiveness: The evidence of the trial demonstrates effectiveness (Murray et al., 2017), but the real-life adoption is very low: we only have approximately 5 per cent of eligible patients who participate in structured learning (Chatterjee et al., 2018). Interventions which are theoretically effective are too few to change the consequences of the population. Second, the direction of effect is unproven. Since more motivated, literate patients are seeking information and are self-managing, the association might be in part due to those taking part rather than the intervention itself. None of the included studies tracked patients longitudinally, and thus, the causality has not been tested, and this is also a limitation that is observed in the broader literature (Butayeva et al., 2023). In the case of UK health and social care, the clinical implication is straightforward: health literacy needs to be measured on a regular basis, and needs to be supported based on culture and access to digital support, and not presumed.</w:t>
      </w:r>
    </w:p>
    <w:p w:rsidR="00000000" w:rsidDel="00000000" w:rsidP="00000000" w:rsidRDefault="00000000" w:rsidRPr="00000000" w14:paraId="0000006C">
      <w:pPr>
        <w:pStyle w:val="Heading1"/>
        <w:spacing w:line="360" w:lineRule="auto"/>
        <w:rPr/>
      </w:pPr>
      <w:r w:rsidDel="00000000" w:rsidR="00000000" w:rsidRPr="00000000">
        <w:rPr>
          <w:rtl w:val="0"/>
        </w:rPr>
        <w:t xml:space="preserve">Conclusion and Recommendations</w:t>
      </w:r>
    </w:p>
    <w:p w:rsidR="00000000" w:rsidDel="00000000" w:rsidP="00000000" w:rsidRDefault="00000000" w:rsidRPr="00000000" w14:paraId="0000006D">
      <w:pPr>
        <w:spacing w:line="360" w:lineRule="auto"/>
        <w:rPr>
          <w:rFonts w:ascii="Times New Roman" w:cs="Times New Roman" w:eastAsia="Times New Roman" w:hAnsi="Times New Roman"/>
        </w:rPr>
      </w:pPr>
      <w:bookmarkStart w:colFirst="0" w:colLast="0" w:name="_heading=h.e458s3d4gpoz" w:id="0"/>
      <w:bookmarkEnd w:id="0"/>
      <w:r w:rsidDel="00000000" w:rsidR="00000000" w:rsidRPr="00000000">
        <w:rPr>
          <w:rFonts w:ascii="Times New Roman" w:cs="Times New Roman" w:eastAsia="Times New Roman" w:hAnsi="Times New Roman"/>
          <w:rtl w:val="0"/>
        </w:rPr>
        <w:t xml:space="preserve">The aim of the scoping review was to explore how health literacy affects self-management behaviours in UK adults with type 2 diabetes. Based on eight main studies, it established that health literacy is a robust and consistent factor affecting self-management; however, one that operates through social, cultural and digital networks and not just in individual abilities. Patients who were able to locate, process and believe health information were in control of their condition more confidently, and those with limited literacy (more frequently older and poorer or living in minority-ethnic groups) remained at a disadvantage. Health literacy, in this sense, is a cause of self-management as well as an indicator of broader health disparities.</w:t>
      </w:r>
    </w:p>
    <w:p w:rsidR="00000000" w:rsidDel="00000000" w:rsidP="00000000" w:rsidRDefault="00000000" w:rsidRPr="00000000" w14:paraId="0000006E">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review fulfilled its goals in an unequal manner. It is evident that the UK adults respond to health literacy as an unavoidable part of information access, culture and support (Objective I) and that literacy is a socioeconomic and demographic disadvantage (Objective III). However, it remains unclear which is the most impacted individual self-management behaviour (Objective II), since the UK studies seldom disaggregated self-management and none of them directly tested health literacy. This is a gap in itself, a significant conclusion.</w:t>
      </w:r>
    </w:p>
    <w:p w:rsidR="00000000" w:rsidDel="00000000" w:rsidP="00000000" w:rsidRDefault="00000000" w:rsidRPr="00000000" w14:paraId="0000006F">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are three restrictions to consider. The evidence base is limited, the majority of it was obtained within one research programme (HeLP-Diabetes/Healthy Living), and no study involved a validated health-literacy instrument and a longitudinal design. It is a significant difference with international literature, where researchers frequently use such tools as the Diabetes Health Literacy Scale (Nugent, Galea and Sammut, 2023) and pooled randomised trials (Butayeva et al., 2023). The UK thus falls behind on the measurement of health literacy in T2D, as compared to its description. Since the research is a scoping review type, the breadth was also mapped, and no quality of studies was evaluated; therefore, there was no strength of individual findings. Results must thus be interpreted as pointers and not conclusive.</w:t>
      </w:r>
    </w:p>
    <w:p w:rsidR="00000000" w:rsidDel="00000000" w:rsidP="00000000" w:rsidRDefault="00000000" w:rsidRPr="00000000" w14:paraId="00000070">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prospective studies, UK studies must assess health literacy using validated measurements, stratify self-management behaviour, and follow patients over time to determine causal direction. In policy, the responsiveness to health literacy must be incorporated in the construction of digital and structured education programmes in such a way that they do not contribute to inequality. To practice, clinicians are encouraged to evaluate health literacy at diagnosis, which Nugent, Galea and Sammut (2023) also recommend, provide plain-language and culturally sensitive information, and community and family networks should be recognised as valuable sources of support. These are not fringe changes; however, they are fundamental to equal diabetes treatment since low health literacy already impacts such a significant proportion of UK adults (Rowlands et al., 2015). By doing so, this would help ensure that the transition to patient self-management would enhance the outcomes of all individuals with T2D and also those who are the most literate.</w:t>
      </w:r>
    </w:p>
    <w:p w:rsidR="00000000" w:rsidDel="00000000" w:rsidP="00000000" w:rsidRDefault="00000000" w:rsidRPr="00000000" w14:paraId="00000071">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2">
      <w:pPr>
        <w:spacing w:line="360" w:lineRule="auto"/>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73">
      <w:pPr>
        <w:pStyle w:val="Heading1"/>
        <w:spacing w:line="360" w:lineRule="auto"/>
        <w:rPr/>
      </w:pPr>
      <w:r w:rsidDel="00000000" w:rsidR="00000000" w:rsidRPr="00000000">
        <w:rPr>
          <w:rtl w:val="0"/>
        </w:rPr>
        <w:t xml:space="preserve">References </w:t>
      </w:r>
    </w:p>
    <w:p w:rsidR="00000000" w:rsidDel="00000000" w:rsidP="00000000" w:rsidRDefault="00000000" w:rsidRPr="00000000" w14:paraId="00000074">
      <w:pPr>
        <w:spacing w:line="36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Abdullah, A., Liew, S.M., Salim, H., Ng, C.J. and Chinna, K. (2019) 'Prevalence of limited health literacy among patients with type 2 diabetes mellitus: a systematic review', PLOS ONE, 14(5), e0216402. </w:t>
      </w:r>
    </w:p>
    <w:p w:rsidR="00000000" w:rsidDel="00000000" w:rsidP="00000000" w:rsidRDefault="00000000" w:rsidRPr="00000000" w14:paraId="00000075">
      <w:pPr>
        <w:spacing w:line="36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Arksey, H. and O'Malley, L. (2005) 'Scoping studies: towards a methodological framework', International Journal of Social Research Methodology, 8(1), pp. 19–32. </w:t>
      </w:r>
    </w:p>
    <w:p w:rsidR="00000000" w:rsidDel="00000000" w:rsidP="00000000" w:rsidRDefault="00000000" w:rsidRPr="00000000" w14:paraId="00000076">
      <w:pPr>
        <w:spacing w:line="36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Braun, V. and Clarke, V. (2021). Thematic Analysis: A Practical Guide. London: Sage. </w:t>
      </w:r>
    </w:p>
    <w:p w:rsidR="00000000" w:rsidDel="00000000" w:rsidP="00000000" w:rsidRDefault="00000000" w:rsidRPr="00000000" w14:paraId="00000077">
      <w:pPr>
        <w:spacing w:line="36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Butayeva, J., Ratan, Z.A., Downie, S. and Hosseinzadeh, H. (2023) 'The impact of health literacy interventions on glycemic control and self-management outcomes among type 2 diabetes mellitus: a systematic review', Journal of Diabetes, 15(9), pp. 724–735. </w:t>
      </w:r>
    </w:p>
    <w:p w:rsidR="00000000" w:rsidDel="00000000" w:rsidP="00000000" w:rsidRDefault="00000000" w:rsidRPr="00000000" w14:paraId="00000078">
      <w:pPr>
        <w:spacing w:line="36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Chatterjee, S., Davies, M.J., Stribling, B., Farooqi, A. and Khunti, K. (2018) 'Real-world evaluation of the DESMOND type 2 diabetes education and self-management programme', Practical Diabetes, 35(1), pp. 19–22a. </w:t>
      </w:r>
    </w:p>
    <w:p w:rsidR="00000000" w:rsidDel="00000000" w:rsidP="00000000" w:rsidRDefault="00000000" w:rsidRPr="00000000" w14:paraId="00000079">
      <w:pPr>
        <w:spacing w:line="36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Diabetes UK (2024). How many people in the UK have diabetes? London: Diabetes UK. Available at: http://diabetes.org.uk/about-us/about-the-charity/our-strategy/statistics#:~:text=Our%20data%20shows%20that%20over,data%20dashboard%20for%20local%20statistics.</w:t>
      </w:r>
    </w:p>
    <w:p w:rsidR="00000000" w:rsidDel="00000000" w:rsidP="00000000" w:rsidRDefault="00000000" w:rsidRPr="00000000" w14:paraId="0000007A">
      <w:pPr>
        <w:spacing w:line="36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Hawkes, R.E., Benton, J.S., Cotterill, S., Sanders, C. and French, D.P. (2024) 'Service users' experiences of a nationwide digital type 2 diabetes self-management intervention (Healthy Living): qualitative interview study', JMIR Diabetes, 9, e56276. </w:t>
      </w:r>
    </w:p>
    <w:p w:rsidR="00000000" w:rsidDel="00000000" w:rsidP="00000000" w:rsidRDefault="00000000" w:rsidRPr="00000000" w14:paraId="0000007B">
      <w:pPr>
        <w:spacing w:line="36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Levac, D., Colquhoun, H. and O'Brien, K.K. (2010) 'Scoping studies: advancing the methodology', Implementation Science, 5(1), p. 69. </w:t>
      </w:r>
    </w:p>
    <w:p w:rsidR="00000000" w:rsidDel="00000000" w:rsidP="00000000" w:rsidRDefault="00000000" w:rsidRPr="00000000" w14:paraId="0000007C">
      <w:pPr>
        <w:spacing w:line="36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Maina, P.M., Pienaar, M. and Reid, M. (2023) 'Self-management practices for preventing complications of type II diabetes mellitus in low and middle-income countries: a scoping review', International Journal of Nursing Studies Advances, 5, 100136. </w:t>
      </w:r>
    </w:p>
    <w:p w:rsidR="00000000" w:rsidDel="00000000" w:rsidP="00000000" w:rsidRDefault="00000000" w:rsidRPr="00000000" w14:paraId="0000007D">
      <w:pPr>
        <w:spacing w:line="36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Murray, E., Sweeting, M., Dack, C., Pal, K., Modrow, K., Hudda, M. et al. (2017) 'Web-based self-management support for people with type 2 diabetes (HeLP-Diabetes): randomised controlled trial in English primary care', BMJ Open, 7(9), e016009. </w:t>
      </w:r>
    </w:p>
    <w:p w:rsidR="00000000" w:rsidDel="00000000" w:rsidP="00000000" w:rsidRDefault="00000000" w:rsidRPr="00000000" w14:paraId="0000007E">
      <w:pPr>
        <w:spacing w:line="36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National Institute for Health and Care Excellence (NICE) (2022) Type 2 diabetes in adults: management (NG28). London: NICE. Available at: https://www.nice.org.uk/guidance/ng28 (Accessed: 16 July 2026). </w:t>
      </w:r>
    </w:p>
    <w:p w:rsidR="00000000" w:rsidDel="00000000" w:rsidP="00000000" w:rsidRDefault="00000000" w:rsidRPr="00000000" w14:paraId="0000007F">
      <w:pPr>
        <w:spacing w:line="36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NHS England (2024). NHS identifies over half a million more people at risk of type 2 diabetes in a year. London: NHS England. Available at: https://www.england.nhs.uk/2024/06/nhs-identifies-over-half-a-million-more-people-at-risk-of-type-2-diabetes-in-a-year/ (Accessed: 16 July 2026). </w:t>
      </w:r>
    </w:p>
    <w:p w:rsidR="00000000" w:rsidDel="00000000" w:rsidP="00000000" w:rsidRDefault="00000000" w:rsidRPr="00000000" w14:paraId="00000080">
      <w:pPr>
        <w:spacing w:line="36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Nugent, T.L., Galea, A.M. and Sammut, R. (2023) 'Health literacy, self-management and glycaemic control in persons living with type 2 diabetes mellitus: a cross-sectional study', Practical Diabetes, 40(4), pp. 28–34. </w:t>
      </w:r>
    </w:p>
    <w:p w:rsidR="00000000" w:rsidDel="00000000" w:rsidP="00000000" w:rsidRDefault="00000000" w:rsidRPr="00000000" w14:paraId="00000081">
      <w:pPr>
        <w:spacing w:line="36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Office for Health Improvement and Disparities (2025). Diabetes profile: statistical commentary, March 2025. London: GOV.UK. Available at: https://www.gov.uk/government/statistics/diabetes-profile-update-march-2025/diabetes-profile-statistical-commentary-march-2025 (Accessed: 16 July 2026). </w:t>
      </w:r>
    </w:p>
    <w:p w:rsidR="00000000" w:rsidDel="00000000" w:rsidP="00000000" w:rsidRDefault="00000000" w:rsidRPr="00000000" w14:paraId="00000082">
      <w:pPr>
        <w:spacing w:line="36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Omodara, D.A., Gibson, L. and Bowpitt, G. (2022) 'Exploring the impact of cultural beliefs in the self-management of type 2 diabetes among Black sub-Saharan Africans in the UK – a qualitative study informed by the PEN-3 cultural model', Ethnicity &amp; Health, 27(6), pp. 1358–1376. </w:t>
      </w:r>
    </w:p>
    <w:p w:rsidR="00000000" w:rsidDel="00000000" w:rsidP="00000000" w:rsidRDefault="00000000" w:rsidRPr="00000000" w14:paraId="00000083">
      <w:pPr>
        <w:spacing w:line="36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Pal, K., Dack, C., Ross, J., Michie, S., May, C., Stevenson, F., Farmer, A., Yardley, L., Barnard, M. and Murray, E. (2018) 'Digital health interventions for adults with type 2 diabetes: qualitative study of patient perspectives on diabetes self-management education and support', Journal of Medical Internet Research, 20(2), e40. </w:t>
      </w:r>
    </w:p>
    <w:p w:rsidR="00000000" w:rsidDel="00000000" w:rsidP="00000000" w:rsidRDefault="00000000" w:rsidRPr="00000000" w14:paraId="00000084">
      <w:pPr>
        <w:spacing w:line="36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Patel, N.R., Chew-Graham, C., Bundy, C., Kennedy, A., Blickem, C. and Reeves, D. (2015) 'Illness beliefs and the sociocultural context of diabetes self-management in British South Asians: a mixed methods study', BMC Family Practice, 16, 58. </w:t>
      </w:r>
    </w:p>
    <w:p w:rsidR="00000000" w:rsidDel="00000000" w:rsidP="00000000" w:rsidRDefault="00000000" w:rsidRPr="00000000" w14:paraId="00000085">
      <w:pPr>
        <w:spacing w:line="36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Poduval, S., Ahmed, S., Marston, L., Hamilton, F. and Murray, E. (2018) 'Crossing the digital divide in online self-management support: analysis of usage data from HeLP-Diabetes', JMIR Diabetes, 3(4), e10925. </w:t>
      </w:r>
    </w:p>
    <w:p w:rsidR="00000000" w:rsidDel="00000000" w:rsidP="00000000" w:rsidRDefault="00000000" w:rsidRPr="00000000" w14:paraId="00000086">
      <w:pPr>
        <w:spacing w:line="36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Poduval, S., Marston, L., Hamilton, F., Stevenson, F. and Murray, E. (2020) 'Feasibility, acceptability, and impact of a web-based structured education program for type 2 diabetes: real-world study', JMIR Diabetes, 5(1), e15744. </w:t>
      </w:r>
    </w:p>
    <w:p w:rsidR="00000000" w:rsidDel="00000000" w:rsidP="00000000" w:rsidRDefault="00000000" w:rsidRPr="00000000" w14:paraId="00000087">
      <w:pPr>
        <w:spacing w:line="36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Rowlands, G., Protheroe, J., Winkley, J., Richardson, M., Seed, P.T. and Rudd, R. (2015) 'A mismatch between population health literacy and the complexity of health information: an observational study', British Journal of General Practice, 65(635), pp. e379–e386. </w:t>
      </w:r>
    </w:p>
    <w:p w:rsidR="00000000" w:rsidDel="00000000" w:rsidP="00000000" w:rsidRDefault="00000000" w:rsidRPr="00000000" w14:paraId="00000088">
      <w:pPr>
        <w:spacing w:line="36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Rowlands, G., Protheroe, J., Winkley, J., Richardson, M., Seed, P.T. and Rudd, R. (2015) 'A mismatch between population health literacy and the complexity of health information: an observational study', British Journal of General Practice, 65(635), pp. e379–e386. </w:t>
      </w:r>
    </w:p>
    <w:p w:rsidR="00000000" w:rsidDel="00000000" w:rsidP="00000000" w:rsidRDefault="00000000" w:rsidRPr="00000000" w14:paraId="00000089">
      <w:pPr>
        <w:spacing w:line="36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Tricco, A.C., Lillie, E., Zarin, W., et al. (2018) 'PRISMA Extension for Scoping Reviews (PRISMA-ScR): checklist and explanation', Annals of Internal Medicine, 169(7), pp. 467–473. </w:t>
      </w:r>
    </w:p>
    <w:p w:rsidR="00000000" w:rsidDel="00000000" w:rsidP="00000000" w:rsidRDefault="00000000" w:rsidRPr="00000000" w14:paraId="0000008A">
      <w:pPr>
        <w:spacing w:line="360" w:lineRule="auto"/>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8B">
      <w:pPr>
        <w:pStyle w:val="Heading1"/>
        <w:spacing w:line="360" w:lineRule="auto"/>
        <w:rPr/>
      </w:pPr>
      <w:r w:rsidDel="00000000" w:rsidR="00000000" w:rsidRPr="00000000">
        <w:rPr>
          <w:rtl w:val="0"/>
        </w:rPr>
        <w:t xml:space="preserve">Appendices</w:t>
      </w:r>
    </w:p>
    <w:p w:rsidR="00000000" w:rsidDel="00000000" w:rsidP="00000000" w:rsidRDefault="00000000" w:rsidRPr="00000000" w14:paraId="0000008C">
      <w:pPr>
        <w:pStyle w:val="Heading2"/>
        <w:spacing w:line="360" w:lineRule="auto"/>
        <w:rPr/>
      </w:pPr>
      <w:r w:rsidDel="00000000" w:rsidR="00000000" w:rsidRPr="00000000">
        <w:rPr>
          <w:rtl w:val="0"/>
        </w:rPr>
        <w:t xml:space="preserve">Appendix A: Extracted Summary Table</w:t>
      </w:r>
    </w:p>
    <w:tbl>
      <w:tblPr>
        <w:tblStyle w:val="Table3"/>
        <w:tblW w:w="9350.0" w:type="dxa"/>
        <w:jc w:val="left"/>
        <w:tblBorders>
          <w:top w:color="8eaadb" w:space="0" w:sz="4" w:val="single"/>
          <w:left w:color="8eaadb" w:space="0" w:sz="4" w:val="single"/>
          <w:bottom w:color="8eaadb" w:space="0" w:sz="4" w:val="single"/>
          <w:right w:color="8eaadb" w:space="0" w:sz="4" w:val="single"/>
          <w:insideH w:color="8eaadb" w:space="0" w:sz="4" w:val="single"/>
          <w:insideV w:color="8eaadb" w:space="0" w:sz="4" w:val="single"/>
        </w:tblBorders>
        <w:tblLayout w:type="fixed"/>
        <w:tblLook w:val="04A0"/>
      </w:tblPr>
      <w:tblGrid>
        <w:gridCol w:w="1589"/>
        <w:gridCol w:w="1565"/>
        <w:gridCol w:w="2627"/>
        <w:gridCol w:w="1536"/>
        <w:gridCol w:w="2033"/>
        <w:tblGridChange w:id="0">
          <w:tblGrid>
            <w:gridCol w:w="1589"/>
            <w:gridCol w:w="1565"/>
            <w:gridCol w:w="2627"/>
            <w:gridCol w:w="1536"/>
            <w:gridCol w:w="2033"/>
          </w:tblGrid>
        </w:tblGridChange>
      </w:tblGrid>
      <w:tr>
        <w:trPr>
          <w:cantSplit w:val="0"/>
          <w:tblHeader w:val="0"/>
        </w:trPr>
        <w:tc>
          <w:tcPr/>
          <w:p w:rsidR="00000000" w:rsidDel="00000000" w:rsidP="00000000" w:rsidRDefault="00000000" w:rsidRPr="00000000" w14:paraId="0000008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ffffff"/>
                <w:sz w:val="24"/>
                <w:szCs w:val="24"/>
                <w:rtl w:val="0"/>
              </w:rPr>
              <w:t xml:space="preserve">Study &amp; design</w:t>
            </w:r>
            <w:r w:rsidDel="00000000" w:rsidR="00000000" w:rsidRPr="00000000">
              <w:rPr>
                <w:rtl w:val="0"/>
              </w:rPr>
            </w:r>
          </w:p>
        </w:tc>
        <w:tc>
          <w:tcPr/>
          <w:p w:rsidR="00000000" w:rsidDel="00000000" w:rsidP="00000000" w:rsidRDefault="00000000" w:rsidRPr="00000000" w14:paraId="0000008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ffffff"/>
                <w:sz w:val="24"/>
                <w:szCs w:val="24"/>
                <w:rtl w:val="0"/>
              </w:rPr>
              <w:t xml:space="preserve">Setting &amp; sample</w:t>
            </w:r>
            <w:r w:rsidDel="00000000" w:rsidR="00000000" w:rsidRPr="00000000">
              <w:rPr>
                <w:rtl w:val="0"/>
              </w:rPr>
            </w:r>
          </w:p>
        </w:tc>
        <w:tc>
          <w:tcPr/>
          <w:p w:rsidR="00000000" w:rsidDel="00000000" w:rsidP="00000000" w:rsidRDefault="00000000" w:rsidRPr="00000000" w14:paraId="0000008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ffffff"/>
                <w:sz w:val="24"/>
                <w:szCs w:val="24"/>
                <w:rtl w:val="0"/>
              </w:rPr>
              <w:t xml:space="preserve">Health-literacy focus</w:t>
            </w:r>
            <w:r w:rsidDel="00000000" w:rsidR="00000000" w:rsidRPr="00000000">
              <w:rPr>
                <w:rtl w:val="0"/>
              </w:rPr>
            </w:r>
          </w:p>
        </w:tc>
        <w:tc>
          <w:tcPr/>
          <w:p w:rsidR="00000000" w:rsidDel="00000000" w:rsidP="00000000" w:rsidRDefault="00000000" w:rsidRPr="00000000" w14:paraId="0000009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ffffff"/>
                <w:sz w:val="24"/>
                <w:szCs w:val="24"/>
                <w:rtl w:val="0"/>
              </w:rPr>
              <w:t xml:space="preserve">Self-management components</w:t>
            </w:r>
            <w:r w:rsidDel="00000000" w:rsidR="00000000" w:rsidRPr="00000000">
              <w:rPr>
                <w:rtl w:val="0"/>
              </w:rPr>
            </w:r>
          </w:p>
        </w:tc>
        <w:tc>
          <w:tcPr/>
          <w:p w:rsidR="00000000" w:rsidDel="00000000" w:rsidP="00000000" w:rsidRDefault="00000000" w:rsidRPr="00000000" w14:paraId="0000009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ffffff"/>
                <w:sz w:val="24"/>
                <w:szCs w:val="24"/>
                <w:rtl w:val="0"/>
              </w:rPr>
              <w:t xml:space="preserve">Key findings (relevant to review question)</w:t>
            </w:r>
            <w:r w:rsidDel="00000000" w:rsidR="00000000" w:rsidRPr="00000000">
              <w:rPr>
                <w:rtl w:val="0"/>
              </w:rPr>
            </w:r>
          </w:p>
        </w:tc>
      </w:tr>
      <w:tr>
        <w:trPr>
          <w:cantSplit w:val="0"/>
          <w:tblHeader w:val="0"/>
        </w:trPr>
        <w:tc>
          <w:tcPr/>
          <w:p w:rsidR="00000000" w:rsidDel="00000000" w:rsidP="00000000" w:rsidRDefault="00000000" w:rsidRPr="00000000" w14:paraId="0000009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bCs w:val="0"/>
                <w:color w:val="000000"/>
                <w:sz w:val="24"/>
                <w:szCs w:val="24"/>
                <w:rtl w:val="0"/>
              </w:rPr>
              <w:t xml:space="preserve">Patel et al. (2015) – Mixed methods (questionnaire + interviews)</w:t>
            </w:r>
            <w:r w:rsidDel="00000000" w:rsidR="00000000" w:rsidRPr="00000000">
              <w:rPr>
                <w:rtl w:val="0"/>
              </w:rPr>
            </w:r>
          </w:p>
        </w:tc>
        <w:tc>
          <w:tcPr/>
          <w:p w:rsidR="00000000" w:rsidDel="00000000" w:rsidP="00000000" w:rsidRDefault="00000000" w:rsidRPr="00000000" w14:paraId="0000009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Manchester; British South Asians with T2D (67 quantitative, 37 qualitative)</w:t>
            </w:r>
          </w:p>
        </w:tc>
        <w:tc>
          <w:tcPr/>
          <w:p w:rsidR="00000000" w:rsidDel="00000000" w:rsidP="00000000" w:rsidRDefault="00000000" w:rsidRPr="00000000" w14:paraId="0000009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Illness beliefs, knowledge and fatalism (health literacy ingrained in cultures)</w:t>
            </w:r>
          </w:p>
        </w:tc>
        <w:tc>
          <w:tcPr/>
          <w:p w:rsidR="00000000" w:rsidDel="00000000" w:rsidP="00000000" w:rsidRDefault="00000000" w:rsidRPr="00000000" w14:paraId="0000009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Nutrition, drugs, seeking assistance, and social support.</w:t>
            </w:r>
          </w:p>
        </w:tc>
        <w:tc>
          <w:tcPr/>
          <w:p w:rsidR="00000000" w:rsidDel="00000000" w:rsidP="00000000" w:rsidRDefault="00000000" w:rsidRPr="00000000" w14:paraId="0000009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Concern, distress and health outcomes were associated with social-network characteristics and beliefs; sociocultural context defines the understanding and self-management.</w:t>
            </w:r>
          </w:p>
        </w:tc>
      </w:tr>
      <w:tr>
        <w:trPr>
          <w:cantSplit w:val="0"/>
          <w:tblHeader w:val="0"/>
        </w:trPr>
        <w:tc>
          <w:tcPr/>
          <w:p w:rsidR="00000000" w:rsidDel="00000000" w:rsidP="00000000" w:rsidRDefault="00000000" w:rsidRPr="00000000" w14:paraId="0000009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bCs w:val="0"/>
                <w:color w:val="000000"/>
                <w:sz w:val="24"/>
                <w:szCs w:val="24"/>
                <w:rtl w:val="0"/>
              </w:rPr>
              <w:t xml:space="preserve">Murray et al. (2017) – Randomised controlled trial</w:t>
            </w:r>
            <w:r w:rsidDel="00000000" w:rsidR="00000000" w:rsidRPr="00000000">
              <w:rPr>
                <w:rtl w:val="0"/>
              </w:rPr>
            </w:r>
          </w:p>
        </w:tc>
        <w:tc>
          <w:tcPr/>
          <w:p w:rsidR="00000000" w:rsidDel="00000000" w:rsidP="00000000" w:rsidRDefault="00000000" w:rsidRPr="00000000" w14:paraId="0000009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English primary care; adults with T2D.</w:t>
            </w:r>
          </w:p>
        </w:tc>
        <w:tc>
          <w:tcPr/>
          <w:p w:rsidR="00000000" w:rsidDel="00000000" w:rsidP="00000000" w:rsidRDefault="00000000" w:rsidRPr="00000000" w14:paraId="0000009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Access to web-based information; digital literacy (implicit)</w:t>
            </w:r>
          </w:p>
        </w:tc>
        <w:tc>
          <w:tcPr/>
          <w:p w:rsidR="00000000" w:rsidDel="00000000" w:rsidP="00000000" w:rsidRDefault="00000000" w:rsidRPr="00000000" w14:paraId="0000009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Overall self-management, glycaemic control</w:t>
            </w:r>
          </w:p>
        </w:tc>
        <w:tc>
          <w:tcPr/>
          <w:p w:rsidR="00000000" w:rsidDel="00000000" w:rsidP="00000000" w:rsidRDefault="00000000" w:rsidRPr="00000000" w14:paraId="0000009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Help-Diabetes at 12 months enhanced HbA1c compared to usual care, and had no impact on distress related to diabetes.</w:t>
            </w:r>
          </w:p>
        </w:tc>
      </w:tr>
      <w:tr>
        <w:trPr>
          <w:cantSplit w:val="0"/>
          <w:tblHeader w:val="0"/>
        </w:trPr>
        <w:tc>
          <w:tcPr/>
          <w:p w:rsidR="00000000" w:rsidDel="00000000" w:rsidP="00000000" w:rsidRDefault="00000000" w:rsidRPr="00000000" w14:paraId="0000009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bCs w:val="0"/>
                <w:color w:val="000000"/>
                <w:sz w:val="24"/>
                <w:szCs w:val="24"/>
                <w:rtl w:val="0"/>
              </w:rPr>
              <w:t xml:space="preserve">Pal et al. (2018) – Qualitative interviews</w:t>
            </w:r>
            <w:r w:rsidDel="00000000" w:rsidR="00000000" w:rsidRPr="00000000">
              <w:rPr>
                <w:rtl w:val="0"/>
              </w:rPr>
            </w:r>
          </w:p>
        </w:tc>
        <w:tc>
          <w:tcPr/>
          <w:p w:rsidR="00000000" w:rsidDel="00000000" w:rsidP="00000000" w:rsidRDefault="00000000" w:rsidRPr="00000000" w14:paraId="0000009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UK; adults with T2D</w:t>
            </w:r>
          </w:p>
        </w:tc>
        <w:tc>
          <w:tcPr/>
          <w:p w:rsidR="00000000" w:rsidDel="00000000" w:rsidP="00000000" w:rsidRDefault="00000000" w:rsidRPr="00000000" w14:paraId="0000009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Design needs such as health and computer literacy.</w:t>
            </w:r>
          </w:p>
        </w:tc>
        <w:tc>
          <w:tcPr/>
          <w:p w:rsidR="00000000" w:rsidDel="00000000" w:rsidP="00000000" w:rsidRDefault="00000000" w:rsidRPr="00000000" w14:paraId="0000009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Use of information in self-management aspects.</w:t>
            </w:r>
          </w:p>
        </w:tc>
        <w:tc>
          <w:tcPr/>
          <w:p w:rsidR="00000000" w:rsidDel="00000000" w:rsidP="00000000" w:rsidRDefault="00000000" w:rsidRPr="00000000" w14:paraId="000000A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interaction was influenced by health and computer literacy; the sample was fairly well-educated and computer-literate, which constrained the transferability.</w:t>
            </w:r>
          </w:p>
        </w:tc>
      </w:tr>
      <w:tr>
        <w:trPr>
          <w:cantSplit w:val="0"/>
          <w:tblHeader w:val="0"/>
        </w:trPr>
        <w:tc>
          <w:tcPr/>
          <w:p w:rsidR="00000000" w:rsidDel="00000000" w:rsidP="00000000" w:rsidRDefault="00000000" w:rsidRPr="00000000" w14:paraId="000000A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bCs w:val="0"/>
                <w:color w:val="000000"/>
                <w:sz w:val="24"/>
                <w:szCs w:val="24"/>
                <w:rtl w:val="0"/>
              </w:rPr>
              <w:t xml:space="preserve">Poduval et al. (2018) – Usage-data analysis</w:t>
            </w:r>
            <w:r w:rsidDel="00000000" w:rsidR="00000000" w:rsidRPr="00000000">
              <w:rPr>
                <w:rtl w:val="0"/>
              </w:rPr>
            </w:r>
          </w:p>
        </w:tc>
        <w:tc>
          <w:tcPr/>
          <w:p w:rsidR="00000000" w:rsidDel="00000000" w:rsidP="00000000" w:rsidRDefault="00000000" w:rsidRPr="00000000" w14:paraId="000000A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UK general practices; HeLP-Diabetes users.</w:t>
            </w:r>
          </w:p>
        </w:tc>
        <w:tc>
          <w:tcPr/>
          <w:p w:rsidR="00000000" w:rsidDel="00000000" w:rsidP="00000000" w:rsidRDefault="00000000" w:rsidRPr="00000000" w14:paraId="000000A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Digital literacy; education level.</w:t>
            </w:r>
          </w:p>
        </w:tc>
        <w:tc>
          <w:tcPr/>
          <w:p w:rsidR="00000000" w:rsidDel="00000000" w:rsidP="00000000" w:rsidRDefault="00000000" w:rsidRPr="00000000" w14:paraId="000000A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Interaction with self-management material.</w:t>
            </w:r>
          </w:p>
        </w:tc>
        <w:tc>
          <w:tcPr/>
          <w:p w:rsidR="00000000" w:rsidDel="00000000" w:rsidP="00000000" w:rsidRDefault="00000000" w:rsidRPr="00000000" w14:paraId="000000A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tool was used by a broad population (more than half minority-ethnic; approximately 1/3 with minimum schooling; approximately 1/3 with basic computer skills), although patterns of engagement were an indicator of a digital divide.</w:t>
            </w:r>
          </w:p>
        </w:tc>
      </w:tr>
      <w:tr>
        <w:trPr>
          <w:cantSplit w:val="0"/>
          <w:tblHeader w:val="0"/>
        </w:trPr>
        <w:tc>
          <w:tcPr/>
          <w:p w:rsidR="00000000" w:rsidDel="00000000" w:rsidP="00000000" w:rsidRDefault="00000000" w:rsidRPr="00000000" w14:paraId="000000A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bCs w:val="0"/>
                <w:color w:val="000000"/>
                <w:sz w:val="24"/>
                <w:szCs w:val="24"/>
                <w:rtl w:val="0"/>
              </w:rPr>
              <w:t xml:space="preserve">Poduval et al. (2020) – Real-world feasibility study</w:t>
            </w:r>
            <w:r w:rsidDel="00000000" w:rsidR="00000000" w:rsidRPr="00000000">
              <w:rPr>
                <w:rtl w:val="0"/>
              </w:rPr>
            </w:r>
          </w:p>
        </w:tc>
        <w:tc>
          <w:tcPr/>
          <w:p w:rsidR="00000000" w:rsidDel="00000000" w:rsidP="00000000" w:rsidRDefault="00000000" w:rsidRPr="00000000" w14:paraId="000000A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UK; adults with T2D</w:t>
            </w:r>
          </w:p>
        </w:tc>
        <w:tc>
          <w:tcPr/>
          <w:p w:rsidR="00000000" w:rsidDel="00000000" w:rsidP="00000000" w:rsidRDefault="00000000" w:rsidRPr="00000000" w14:paraId="000000A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Learning through organised web-based learning.</w:t>
            </w:r>
          </w:p>
        </w:tc>
        <w:tc>
          <w:tcPr/>
          <w:p w:rsidR="00000000" w:rsidDel="00000000" w:rsidP="00000000" w:rsidRDefault="00000000" w:rsidRPr="00000000" w14:paraId="000000A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Knowledge underpinning self-management</w:t>
            </w:r>
          </w:p>
        </w:tc>
        <w:tc>
          <w:tcPr/>
          <w:p w:rsidR="00000000" w:rsidDel="00000000" w:rsidP="00000000" w:rsidRDefault="00000000" w:rsidRPr="00000000" w14:paraId="000000A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Structured education through the web was possible and acceptable, but low completion was a limitation to overcome.</w:t>
            </w:r>
          </w:p>
        </w:tc>
      </w:tr>
      <w:tr>
        <w:trPr>
          <w:cantSplit w:val="0"/>
          <w:tblHeader w:val="0"/>
        </w:trPr>
        <w:tc>
          <w:tcPr/>
          <w:p w:rsidR="00000000" w:rsidDel="00000000" w:rsidP="00000000" w:rsidRDefault="00000000" w:rsidRPr="00000000" w14:paraId="000000A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bCs w:val="0"/>
                <w:color w:val="000000"/>
                <w:sz w:val="24"/>
                <w:szCs w:val="24"/>
                <w:rtl w:val="0"/>
              </w:rPr>
              <w:t xml:space="preserve">Hawkes et al. (2024) – Qualitative interviews (n=19)</w:t>
            </w:r>
            <w:r w:rsidDel="00000000" w:rsidR="00000000" w:rsidRPr="00000000">
              <w:rPr>
                <w:rtl w:val="0"/>
              </w:rPr>
            </w:r>
          </w:p>
        </w:tc>
        <w:tc>
          <w:tcPr/>
          <w:p w:rsidR="00000000" w:rsidDel="00000000" w:rsidP="00000000" w:rsidRDefault="00000000" w:rsidRPr="00000000" w14:paraId="000000A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England: national rollout of Healthy Living.</w:t>
            </w:r>
          </w:p>
        </w:tc>
        <w:tc>
          <w:tcPr/>
          <w:p w:rsidR="00000000" w:rsidDel="00000000" w:rsidP="00000000" w:rsidRDefault="00000000" w:rsidRPr="00000000" w14:paraId="000000A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Understanding of content; trusted, accessible information</w:t>
            </w:r>
          </w:p>
        </w:tc>
        <w:tc>
          <w:tcPr/>
          <w:p w:rsidR="00000000" w:rsidDel="00000000" w:rsidP="00000000" w:rsidRDefault="00000000" w:rsidRPr="00000000" w14:paraId="000000A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Eating, observation, and managing emotions.</w:t>
            </w:r>
          </w:p>
        </w:tc>
        <w:tc>
          <w:tcPr/>
          <w:p w:rsidR="00000000" w:rsidDel="00000000" w:rsidP="00000000" w:rsidRDefault="00000000" w:rsidRPr="00000000" w14:paraId="000000A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Reliable, readily accessible information was appreciated; emotional-management information brought out help-seeking; low ethnic diversity; most useful to the newly diagnosed.</w:t>
            </w:r>
          </w:p>
        </w:tc>
      </w:tr>
      <w:tr>
        <w:trPr>
          <w:cantSplit w:val="0"/>
          <w:tblHeader w:val="0"/>
        </w:trPr>
        <w:tc>
          <w:tcPr/>
          <w:p w:rsidR="00000000" w:rsidDel="00000000" w:rsidP="00000000" w:rsidRDefault="00000000" w:rsidRPr="00000000" w14:paraId="000000B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bCs w:val="0"/>
                <w:color w:val="000000"/>
                <w:sz w:val="24"/>
                <w:szCs w:val="24"/>
                <w:rtl w:val="0"/>
              </w:rPr>
              <w:t xml:space="preserve">Chatterjee et al. (2018) – Real-world observational + qualitative survey</w:t>
            </w:r>
            <w:r w:rsidDel="00000000" w:rsidR="00000000" w:rsidRPr="00000000">
              <w:rPr>
                <w:rtl w:val="0"/>
              </w:rPr>
            </w:r>
          </w:p>
        </w:tc>
        <w:tc>
          <w:tcPr/>
          <w:p w:rsidR="00000000" w:rsidDel="00000000" w:rsidP="00000000" w:rsidRDefault="00000000" w:rsidRPr="00000000" w14:paraId="000000B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Leicester; adults with T2D (DESMOND)</w:t>
            </w:r>
          </w:p>
        </w:tc>
        <w:tc>
          <w:tcPr/>
          <w:p w:rsidR="00000000" w:rsidDel="00000000" w:rsidP="00000000" w:rsidRDefault="00000000" w:rsidRPr="00000000" w14:paraId="000000B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Education/understanding for self-management</w:t>
            </w:r>
          </w:p>
        </w:tc>
        <w:tc>
          <w:tcPr/>
          <w:p w:rsidR="00000000" w:rsidDel="00000000" w:rsidP="00000000" w:rsidRDefault="00000000" w:rsidRPr="00000000" w14:paraId="000000B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General self-management skill; glucose level management.</w:t>
            </w:r>
          </w:p>
        </w:tc>
        <w:tc>
          <w:tcPr/>
          <w:p w:rsidR="00000000" w:rsidDel="00000000" w:rsidP="00000000" w:rsidRDefault="00000000" w:rsidRPr="00000000" w14:paraId="000000B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HbA1c dropped 0.96 (6 months) and 0.70% (12 months); self-management was reported as being easier; only approximately 5.3% receive formal education in the country.</w:t>
            </w:r>
          </w:p>
        </w:tc>
      </w:tr>
      <w:tr>
        <w:trPr>
          <w:cantSplit w:val="0"/>
          <w:tblHeader w:val="0"/>
        </w:trPr>
        <w:tc>
          <w:tcPr/>
          <w:p w:rsidR="00000000" w:rsidDel="00000000" w:rsidP="00000000" w:rsidRDefault="00000000" w:rsidRPr="00000000" w14:paraId="000000B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bCs w:val="0"/>
                <w:color w:val="000000"/>
                <w:sz w:val="24"/>
                <w:szCs w:val="24"/>
                <w:rtl w:val="0"/>
              </w:rPr>
              <w:t xml:space="preserve">Omodara, Gibson &amp; Bowpitt (2022) – Qualitative interviews (n=36); PEN-3 model</w:t>
            </w:r>
            <w:r w:rsidDel="00000000" w:rsidR="00000000" w:rsidRPr="00000000">
              <w:rPr>
                <w:rtl w:val="0"/>
              </w:rPr>
            </w:r>
          </w:p>
        </w:tc>
        <w:tc>
          <w:tcPr/>
          <w:p w:rsidR="00000000" w:rsidDel="00000000" w:rsidP="00000000" w:rsidRDefault="00000000" w:rsidRPr="00000000" w14:paraId="000000B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UK; Black sub-Saharan Africans having T2D.</w:t>
            </w:r>
          </w:p>
        </w:tc>
        <w:tc>
          <w:tcPr/>
          <w:p w:rsidR="00000000" w:rsidDel="00000000" w:rsidP="00000000" w:rsidRDefault="00000000" w:rsidRPr="00000000" w14:paraId="000000B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Poor knowledge/health literacy; cultural beliefs.</w:t>
            </w:r>
          </w:p>
        </w:tc>
        <w:tc>
          <w:tcPr/>
          <w:p w:rsidR="00000000" w:rsidDel="00000000" w:rsidP="00000000" w:rsidRDefault="00000000" w:rsidRPr="00000000" w14:paraId="000000B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Food, drugs, consultation, and other solutions.</w:t>
            </w:r>
          </w:p>
        </w:tc>
        <w:tc>
          <w:tcPr/>
          <w:p w:rsidR="00000000" w:rsidDel="00000000" w:rsidP="00000000" w:rsidRDefault="00000000" w:rsidRPr="00000000" w14:paraId="000000B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Self-management and medication engagement were influenced by cultural beliefs and low health literacy; positive behaviours might be facilitated by community and family networks.</w:t>
            </w:r>
          </w:p>
        </w:tc>
      </w:tr>
    </w:tbl>
    <w:p w:rsidR="00000000" w:rsidDel="00000000" w:rsidP="00000000" w:rsidRDefault="00000000" w:rsidRPr="00000000" w14:paraId="000000BA">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B">
      <w:pPr>
        <w:pStyle w:val="Heading2"/>
        <w:spacing w:line="360" w:lineRule="auto"/>
        <w:rPr/>
      </w:pPr>
      <w:r w:rsidDel="00000000" w:rsidR="00000000" w:rsidRPr="00000000">
        <w:rPr>
          <w:rtl w:val="0"/>
        </w:rPr>
        <w:t xml:space="preserve">Appendix B: Study selection process</w:t>
      </w:r>
    </w:p>
    <w:tbl>
      <w:tblPr>
        <w:tblStyle w:val="Table4"/>
        <w:tblW w:w="9350.0" w:type="dxa"/>
        <w:jc w:val="left"/>
        <w:tblBorders>
          <w:top w:color="8eaadb" w:space="0" w:sz="4" w:val="single"/>
          <w:left w:color="8eaadb" w:space="0" w:sz="4" w:val="single"/>
          <w:bottom w:color="8eaadb" w:space="0" w:sz="4" w:val="single"/>
          <w:right w:color="8eaadb" w:space="0" w:sz="4" w:val="single"/>
          <w:insideH w:color="8eaadb" w:space="0" w:sz="4" w:val="single"/>
          <w:insideV w:color="8eaadb" w:space="0" w:sz="4" w:val="single"/>
        </w:tblBorders>
        <w:tblLayout w:type="fixed"/>
        <w:tblLook w:val="04A0"/>
      </w:tblPr>
      <w:tblGrid>
        <w:gridCol w:w="2814"/>
        <w:gridCol w:w="6536"/>
        <w:tblGridChange w:id="0">
          <w:tblGrid>
            <w:gridCol w:w="2814"/>
            <w:gridCol w:w="6536"/>
          </w:tblGrid>
        </w:tblGridChange>
      </w:tblGrid>
      <w:tr>
        <w:trPr>
          <w:cantSplit w:val="0"/>
          <w:tblHeader w:val="0"/>
        </w:trPr>
        <w:tc>
          <w:tcPr/>
          <w:p w:rsidR="00000000" w:rsidDel="00000000" w:rsidP="00000000" w:rsidRDefault="00000000" w:rsidRPr="00000000" w14:paraId="000000B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ffffff"/>
                <w:sz w:val="24"/>
                <w:szCs w:val="24"/>
                <w:rtl w:val="0"/>
              </w:rPr>
              <w:t xml:space="preserve">Stage</w:t>
            </w:r>
            <w:r w:rsidDel="00000000" w:rsidR="00000000" w:rsidRPr="00000000">
              <w:rPr>
                <w:rtl w:val="0"/>
              </w:rPr>
            </w:r>
          </w:p>
        </w:tc>
        <w:tc>
          <w:tcPr/>
          <w:p w:rsidR="00000000" w:rsidDel="00000000" w:rsidP="00000000" w:rsidRDefault="00000000" w:rsidRPr="00000000" w14:paraId="000000B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ffffff"/>
                <w:sz w:val="24"/>
                <w:szCs w:val="24"/>
                <w:rtl w:val="0"/>
              </w:rPr>
              <w:t xml:space="preserve">Outcome</w:t>
            </w:r>
            <w:r w:rsidDel="00000000" w:rsidR="00000000" w:rsidRPr="00000000">
              <w:rPr>
                <w:rtl w:val="0"/>
              </w:rPr>
            </w:r>
          </w:p>
        </w:tc>
      </w:tr>
      <w:tr>
        <w:trPr>
          <w:cantSplit w:val="0"/>
          <w:tblHeader w:val="0"/>
        </w:trPr>
        <w:tc>
          <w:tcPr/>
          <w:p w:rsidR="00000000" w:rsidDel="00000000" w:rsidP="00000000" w:rsidRDefault="00000000" w:rsidRPr="00000000" w14:paraId="000000B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bCs w:val="0"/>
                <w:color w:val="000000"/>
                <w:sz w:val="24"/>
                <w:szCs w:val="24"/>
                <w:rtl w:val="0"/>
              </w:rPr>
              <w:t xml:space="preserve">Identification</w:t>
            </w:r>
            <w:r w:rsidDel="00000000" w:rsidR="00000000" w:rsidRPr="00000000">
              <w:rPr>
                <w:rtl w:val="0"/>
              </w:rPr>
            </w:r>
          </w:p>
        </w:tc>
        <w:tc>
          <w:tcPr/>
          <w:p w:rsidR="00000000" w:rsidDel="00000000" w:rsidP="00000000" w:rsidRDefault="00000000" w:rsidRPr="00000000" w14:paraId="000000B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Citations located in MEDLINE, CINAHL and PsycINFO [n = …]; de-duplications made [n = …].</w:t>
            </w:r>
          </w:p>
        </w:tc>
      </w:tr>
      <w:tr>
        <w:trPr>
          <w:cantSplit w:val="0"/>
          <w:tblHeader w:val="0"/>
        </w:trPr>
        <w:tc>
          <w:tcPr/>
          <w:p w:rsidR="00000000" w:rsidDel="00000000" w:rsidP="00000000" w:rsidRDefault="00000000" w:rsidRPr="00000000" w14:paraId="000000C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bCs w:val="0"/>
                <w:color w:val="000000"/>
                <w:sz w:val="24"/>
                <w:szCs w:val="24"/>
                <w:rtl w:val="0"/>
              </w:rPr>
              <w:t xml:space="preserve">Screening</w:t>
            </w:r>
            <w:r w:rsidDel="00000000" w:rsidR="00000000" w:rsidRPr="00000000">
              <w:rPr>
                <w:rtl w:val="0"/>
              </w:rPr>
            </w:r>
          </w:p>
        </w:tc>
        <w:tc>
          <w:tcPr/>
          <w:p w:rsidR="00000000" w:rsidDel="00000000" w:rsidP="00000000" w:rsidRDefault="00000000" w:rsidRPr="00000000" w14:paraId="000000C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Title and abstract screening of records [n = …]; record exclusion [n = …].</w:t>
            </w:r>
          </w:p>
        </w:tc>
      </w:tr>
      <w:tr>
        <w:trPr>
          <w:cantSplit w:val="0"/>
          <w:tblHeader w:val="0"/>
        </w:trPr>
        <w:tc>
          <w:tcPr/>
          <w:p w:rsidR="00000000" w:rsidDel="00000000" w:rsidP="00000000" w:rsidRDefault="00000000" w:rsidRPr="00000000" w14:paraId="000000C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bCs w:val="0"/>
                <w:color w:val="000000"/>
                <w:sz w:val="24"/>
                <w:szCs w:val="24"/>
                <w:rtl w:val="0"/>
              </w:rPr>
              <w:t xml:space="preserve">Eligibility</w:t>
            </w:r>
            <w:r w:rsidDel="00000000" w:rsidR="00000000" w:rsidRPr="00000000">
              <w:rPr>
                <w:rtl w:val="0"/>
              </w:rPr>
            </w:r>
          </w:p>
        </w:tc>
        <w:tc>
          <w:tcPr/>
          <w:p w:rsidR="00000000" w:rsidDel="00000000" w:rsidP="00000000" w:rsidRDefault="00000000" w:rsidRPr="00000000" w14:paraId="000000C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Selected full-text articles [n = …] met the eligibility criteria [n = …] were excluded due to the following reasons: not UK; not type 2 diabetes; not a primary peer-reviewed study; no health-literacy/self-management focus; not published after 2015 [n = …].</w:t>
            </w:r>
          </w:p>
        </w:tc>
      </w:tr>
      <w:tr>
        <w:trPr>
          <w:cantSplit w:val="0"/>
          <w:tblHeader w:val="0"/>
        </w:trPr>
        <w:tc>
          <w:tcPr/>
          <w:p w:rsidR="00000000" w:rsidDel="00000000" w:rsidP="00000000" w:rsidRDefault="00000000" w:rsidRPr="00000000" w14:paraId="000000C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bCs w:val="0"/>
                <w:color w:val="000000"/>
                <w:sz w:val="24"/>
                <w:szCs w:val="24"/>
                <w:rtl w:val="0"/>
              </w:rPr>
              <w:t xml:space="preserve">Included</w:t>
            </w:r>
            <w:r w:rsidDel="00000000" w:rsidR="00000000" w:rsidRPr="00000000">
              <w:rPr>
                <w:rtl w:val="0"/>
              </w:rPr>
            </w:r>
          </w:p>
        </w:tc>
        <w:tc>
          <w:tcPr/>
          <w:p w:rsidR="00000000" w:rsidDel="00000000" w:rsidP="00000000" w:rsidRDefault="00000000" w:rsidRPr="00000000" w14:paraId="000000C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Articles that were used in the scoping review as primary: n = 8.</w:t>
            </w:r>
          </w:p>
        </w:tc>
      </w:tr>
    </w:tbl>
    <w:p w:rsidR="00000000" w:rsidDel="00000000" w:rsidP="00000000" w:rsidRDefault="00000000" w:rsidRPr="00000000" w14:paraId="000000C6">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C7">
      <w:pPr>
        <w:spacing w:line="360" w:lineRule="auto"/>
        <w:rPr>
          <w:rFonts w:ascii="Times New Roman" w:cs="Times New Roman" w:eastAsia="Times New Roman" w:hAnsi="Times New Roman"/>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276" w:lineRule="auto"/>
    </w:pPr>
    <w:rPr>
      <w:rFonts w:ascii="Times New Roman" w:cs="Times New Roman" w:eastAsia="Times New Roman" w:hAnsi="Times New Roman"/>
      <w:b w:val="1"/>
      <w:bCs w:val="1"/>
      <w:color w:val="000000"/>
    </w:rPr>
  </w:style>
  <w:style w:type="paragraph" w:styleId="Heading2">
    <w:name w:val="heading 2"/>
    <w:basedOn w:val="Normal"/>
    <w:next w:val="Normal"/>
    <w:pPr>
      <w:keepNext w:val="1"/>
      <w:keepLines w:val="1"/>
      <w:spacing w:after="80" w:before="160" w:lineRule="auto"/>
    </w:pPr>
    <w:rPr>
      <w:rFonts w:ascii="Times New Roman" w:cs="Times New Roman" w:eastAsia="Times New Roman" w:hAnsi="Times New Roman"/>
      <w:b w:val="1"/>
      <w:bCs w:val="1"/>
      <w:i w:val="1"/>
      <w:iCs w:val="1"/>
      <w:color w:val="000000"/>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iCs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Heading7">
    <w:name w:val="heading 7"/>
    <w:basedOn w:val="Normal"/>
    <w:next w:val="Normal"/>
    <w:link w:val="Heading7Char"/>
    <w:uiPriority w:val="9"/>
    <w:semiHidden w:val="1"/>
    <w:unhideWhenUsed w:val="1"/>
    <w:qFormat w:val="1"/>
    <w:rsid w:val="0057579E"/>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57579E"/>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57579E"/>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14329D"/>
    <w:rPr>
      <w:rFonts w:ascii="Times New Roman" w:hAnsi="Times New Roman" w:cstheme="majorBidi" w:eastAsiaTheme="majorEastAsia"/>
      <w:b w:val="1"/>
      <w:color w:val="000000" w:themeColor="text1"/>
      <w:szCs w:val="32"/>
    </w:rPr>
  </w:style>
  <w:style w:type="character" w:styleId="Heading2Char" w:customStyle="1">
    <w:name w:val="Heading 2 Char"/>
    <w:basedOn w:val="DefaultParagraphFont"/>
    <w:link w:val="Heading2"/>
    <w:uiPriority w:val="9"/>
    <w:rsid w:val="00686D20"/>
    <w:rPr>
      <w:rFonts w:ascii="Times New Roman" w:hAnsi="Times New Roman" w:cstheme="majorBidi" w:eastAsiaTheme="majorEastAsia"/>
      <w:b w:val="1"/>
      <w:i w:val="1"/>
      <w:color w:val="000000" w:themeColor="text1"/>
      <w:szCs w:val="32"/>
    </w:rPr>
  </w:style>
  <w:style w:type="character" w:styleId="Heading3Char" w:customStyle="1">
    <w:name w:val="Heading 3 Char"/>
    <w:basedOn w:val="DefaultParagraphFont"/>
    <w:link w:val="Heading3"/>
    <w:uiPriority w:val="9"/>
    <w:rsid w:val="0057579E"/>
    <w:rPr>
      <w:rFonts w:cstheme="majorBidi" w:eastAsiaTheme="majorEastAsia"/>
      <w:color w:val="2f5496" w:themeColor="accent1" w:themeShade="0000BF"/>
      <w:sz w:val="28"/>
      <w:szCs w:val="28"/>
    </w:rPr>
  </w:style>
  <w:style w:type="character" w:styleId="Heading4Char" w:customStyle="1">
    <w:name w:val="Heading 4 Char"/>
    <w:basedOn w:val="DefaultParagraphFont"/>
    <w:link w:val="Heading4"/>
    <w:uiPriority w:val="9"/>
    <w:semiHidden w:val="1"/>
    <w:rsid w:val="0057579E"/>
    <w:rPr>
      <w:rFonts w:cstheme="majorBidi" w:eastAsiaTheme="majorEastAsia"/>
      <w:i w:val="1"/>
      <w:iCs w:val="1"/>
      <w:color w:val="2f5496" w:themeColor="accent1" w:themeShade="0000BF"/>
    </w:rPr>
  </w:style>
  <w:style w:type="character" w:styleId="Heading5Char" w:customStyle="1">
    <w:name w:val="Heading 5 Char"/>
    <w:basedOn w:val="DefaultParagraphFont"/>
    <w:link w:val="Heading5"/>
    <w:uiPriority w:val="9"/>
    <w:semiHidden w:val="1"/>
    <w:rsid w:val="0057579E"/>
    <w:rPr>
      <w:rFonts w:cstheme="majorBidi" w:eastAsiaTheme="majorEastAsia"/>
      <w:color w:val="2f5496" w:themeColor="accent1" w:themeShade="0000BF"/>
    </w:rPr>
  </w:style>
  <w:style w:type="character" w:styleId="Heading6Char" w:customStyle="1">
    <w:name w:val="Heading 6 Char"/>
    <w:basedOn w:val="DefaultParagraphFont"/>
    <w:link w:val="Heading6"/>
    <w:uiPriority w:val="9"/>
    <w:semiHidden w:val="1"/>
    <w:rsid w:val="0057579E"/>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57579E"/>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57579E"/>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57579E"/>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57579E"/>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57579E"/>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57579E"/>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57579E"/>
    <w:rPr>
      <w:i w:val="1"/>
      <w:iCs w:val="1"/>
      <w:color w:val="404040" w:themeColor="text1" w:themeTint="0000BF"/>
    </w:rPr>
  </w:style>
  <w:style w:type="paragraph" w:styleId="ListParagraph">
    <w:name w:val="List Paragraph"/>
    <w:basedOn w:val="Normal"/>
    <w:uiPriority w:val="34"/>
    <w:qFormat w:val="1"/>
    <w:rsid w:val="0057579E"/>
    <w:pPr>
      <w:ind w:left="720"/>
      <w:contextualSpacing w:val="1"/>
    </w:pPr>
  </w:style>
  <w:style w:type="character" w:styleId="IntenseEmphasis">
    <w:name w:val="Intense Emphasis"/>
    <w:basedOn w:val="DefaultParagraphFont"/>
    <w:uiPriority w:val="21"/>
    <w:qFormat w:val="1"/>
    <w:rsid w:val="0057579E"/>
    <w:rPr>
      <w:i w:val="1"/>
      <w:iCs w:val="1"/>
      <w:color w:val="2f5496" w:themeColor="accent1" w:themeShade="0000BF"/>
    </w:rPr>
  </w:style>
  <w:style w:type="paragraph" w:styleId="IntenseQuote">
    <w:name w:val="Intense Quote"/>
    <w:basedOn w:val="Normal"/>
    <w:next w:val="Normal"/>
    <w:link w:val="IntenseQuoteChar"/>
    <w:uiPriority w:val="30"/>
    <w:qFormat w:val="1"/>
    <w:rsid w:val="0057579E"/>
    <w:pPr>
      <w:pBdr>
        <w:top w:color="2f5496" w:space="10" w:sz="4" w:themeColor="accent1" w:themeShade="0000BF" w:val="single"/>
        <w:bottom w:color="2f5496" w:space="10" w:sz="4" w:themeColor="accent1" w:themeShade="0000BF" w:val="single"/>
      </w:pBdr>
      <w:spacing w:after="360" w:before="360"/>
      <w:ind w:left="864" w:right="864"/>
      <w:jc w:val="center"/>
    </w:pPr>
    <w:rPr>
      <w:i w:val="1"/>
      <w:iCs w:val="1"/>
      <w:color w:val="2f5496" w:themeColor="accent1" w:themeShade="0000BF"/>
    </w:rPr>
  </w:style>
  <w:style w:type="character" w:styleId="IntenseQuoteChar" w:customStyle="1">
    <w:name w:val="Intense Quote Char"/>
    <w:basedOn w:val="DefaultParagraphFont"/>
    <w:link w:val="IntenseQuote"/>
    <w:uiPriority w:val="30"/>
    <w:rsid w:val="0057579E"/>
    <w:rPr>
      <w:i w:val="1"/>
      <w:iCs w:val="1"/>
      <w:color w:val="2f5496" w:themeColor="accent1" w:themeShade="0000BF"/>
    </w:rPr>
  </w:style>
  <w:style w:type="character" w:styleId="IntenseReference">
    <w:name w:val="Intense Reference"/>
    <w:basedOn w:val="DefaultParagraphFont"/>
    <w:uiPriority w:val="32"/>
    <w:qFormat w:val="1"/>
    <w:rsid w:val="0057579E"/>
    <w:rPr>
      <w:b w:val="1"/>
      <w:bCs w:val="1"/>
      <w:smallCaps w:val="1"/>
      <w:color w:val="2f5496" w:themeColor="accent1" w:themeShade="0000BF"/>
      <w:spacing w:val="5"/>
    </w:rPr>
  </w:style>
  <w:style w:type="table" w:styleId="GridTable4-Accent1">
    <w:name w:val="Grid Table 4 Accent 1"/>
    <w:basedOn w:val="TableNormal"/>
    <w:uiPriority w:val="49"/>
    <w:rsid w:val="00BD6F48"/>
    <w:pPr>
      <w:spacing w:after="0" w:line="240" w:lineRule="auto"/>
    </w:pPr>
    <w:rPr>
      <w:rFonts w:ascii="Arial" w:cs="Arial" w:eastAsia="Arial" w:hAnsi="Arial"/>
      <w:kern w:val="0"/>
      <w:sz w:val="22"/>
      <w:szCs w:val="22"/>
    </w:rPr>
    <w:tblPr>
      <w:tblStyleRowBandSize w:val="1"/>
      <w:tblStyleColBandSize w:val="1"/>
      <w:tblBorders>
        <w:top w:color="8eaadb" w:space="0" w:sz="4" w:themeColor="accent1" w:themeTint="000099" w:val="single"/>
        <w:left w:color="8eaadb" w:space="0" w:sz="4" w:themeColor="accent1" w:themeTint="000099" w:val="single"/>
        <w:bottom w:color="8eaadb" w:space="0" w:sz="4" w:themeColor="accent1" w:themeTint="000099" w:val="single"/>
        <w:right w:color="8eaadb" w:space="0" w:sz="4" w:themeColor="accent1" w:themeTint="000099" w:val="single"/>
        <w:insideH w:color="8eaadb" w:space="0" w:sz="4" w:themeColor="accent1" w:themeTint="000099" w:val="single"/>
        <w:insideV w:color="8eaadb" w:space="0" w:sz="4" w:themeColor="accent1" w:themeTint="000099" w:val="single"/>
      </w:tblBorders>
    </w:tblPr>
    <w:tblStylePr w:type="firstRow">
      <w:rPr>
        <w:b w:val="1"/>
        <w:bCs w:val="1"/>
        <w:color w:val="ffffff" w:themeColor="background1"/>
      </w:rPr>
      <w:tblPr/>
      <w:tcPr>
        <w:tcBorders>
          <w:top w:color="4472c4" w:space="0" w:sz="4" w:themeColor="accent1" w:val="single"/>
          <w:left w:color="4472c4" w:space="0" w:sz="4" w:themeColor="accent1" w:val="single"/>
          <w:bottom w:color="4472c4" w:space="0" w:sz="4" w:themeColor="accent1" w:val="single"/>
          <w:right w:color="4472c4" w:space="0" w:sz="4" w:themeColor="accent1" w:val="single"/>
          <w:insideH w:space="0" w:sz="0" w:val="nil"/>
          <w:insideV w:space="0" w:sz="0" w:val="nil"/>
        </w:tcBorders>
        <w:shd w:color="auto" w:fill="4472c4" w:themeFill="accent1" w:val="clear"/>
      </w:tcPr>
    </w:tblStylePr>
    <w:tblStylePr w:type="lastRow">
      <w:rPr>
        <w:b w:val="1"/>
        <w:bCs w:val="1"/>
      </w:rPr>
      <w:tblPr/>
      <w:tcPr>
        <w:tcBorders>
          <w:top w:color="4472c4" w:space="0" w:sz="4" w:themeColor="accent1" w:val="double"/>
        </w:tcBorders>
      </w:tcPr>
    </w:tblStylePr>
    <w:tblStylePr w:type="firstCol">
      <w:rPr>
        <w:b w:val="1"/>
        <w:bCs w:val="1"/>
      </w:rPr>
    </w:tblStylePr>
    <w:tblStylePr w:type="lastCol">
      <w:rPr>
        <w:b w:val="1"/>
        <w:bCs w:val="1"/>
      </w:rPr>
    </w:tblStylePr>
    <w:tblStylePr w:type="band1Vert">
      <w:tblPr/>
      <w:tcPr>
        <w:shd w:color="auto" w:fill="d9e2f3" w:themeFill="accent1" w:themeFillTint="000033" w:val="clear"/>
      </w:tcPr>
    </w:tblStylePr>
    <w:tblStylePr w:type="band1Horz">
      <w:tblPr/>
      <w:tcPr>
        <w:shd w:color="auto" w:fill="d9e2f3" w:themeFill="accent1" w:themeFillTint="000033" w:val="clear"/>
      </w:tcPr>
    </w:tblStylePr>
  </w:style>
  <w:style w:type="paragraph" w:styleId="Caption">
    <w:name w:val="caption"/>
    <w:basedOn w:val="Normal"/>
    <w:next w:val="Normal"/>
    <w:uiPriority w:val="35"/>
    <w:unhideWhenUsed w:val="1"/>
    <w:qFormat w:val="1"/>
    <w:rsid w:val="00380B3B"/>
    <w:pPr>
      <w:spacing w:after="200" w:line="240" w:lineRule="auto"/>
    </w:pPr>
    <w:rPr>
      <w:i w:val="1"/>
      <w:iCs w:val="1"/>
      <w:color w:val="44546a" w:themeColor="text2"/>
      <w:sz w:val="18"/>
      <w:szCs w:val="18"/>
    </w:rPr>
  </w:style>
  <w:style w:type="paragraph" w:styleId="Subtitle">
    <w:name w:val="Subtitle"/>
    <w:basedOn w:val="Normal"/>
    <w:next w:val="Normal"/>
    <w:pPr/>
    <w:rPr>
      <w:color w:val="595959"/>
      <w:sz w:val="28"/>
      <w:szCs w:val="28"/>
    </w:rPr>
  </w:style>
  <w:style w:type="table" w:styleId="Table1">
    <w:basedOn w:val="TableNormal"/>
    <w:pPr>
      <w:spacing w:after="0" w:line="240" w:lineRule="auto"/>
    </w:pPr>
    <w:rPr>
      <w:rFonts w:ascii="Arial" w:cs="Arial" w:eastAsia="Arial" w:hAnsi="Arial"/>
      <w:sz w:val="22"/>
      <w:szCs w:val="22"/>
    </w:rPr>
    <w:tblPr>
      <w:tblStyleRowBandSize w:val="1"/>
      <w:tblStyleColBandSize w:val="1"/>
      <w:tblCellMar>
        <w:top w:w="0.0" w:type="dxa"/>
        <w:left w:w="108.0" w:type="dxa"/>
        <w:bottom w:w="0.0" w:type="dxa"/>
        <w:right w:w="108.0" w:type="dxa"/>
      </w:tblCellMar>
    </w:tblPr>
    <w:tblStylePr w:type="band1Horz">
      <w:tcPr>
        <w:shd w:fill="d9e2f3" w:val="clear"/>
      </w:tcPr>
    </w:tblStylePr>
    <w:tblStylePr w:type="band1Vert">
      <w:tcPr>
        <w:shd w:fill="d9e2f3" w:val="clear"/>
      </w:tcPr>
    </w:tblStylePr>
    <w:tblStylePr w:type="firstCol">
      <w:rPr>
        <w:b w:val="1"/>
        <w:bCs w:val="1"/>
      </w:rPr>
    </w:tblStylePr>
    <w:tblStylePr w:type="firstRow">
      <w:rPr>
        <w:b w:val="1"/>
        <w:bCs w:val="1"/>
        <w:color w:val="ffffff"/>
      </w:rPr>
      <w:tcPr>
        <w:tcBorders>
          <w:top w:color="4472c4" w:space="0" w:sz="4" w:val="single"/>
          <w:left w:color="4472c4" w:space="0" w:sz="4" w:val="single"/>
          <w:bottom w:color="4472c4" w:space="0" w:sz="4" w:val="single"/>
          <w:right w:color="4472c4" w:space="0" w:sz="4" w:val="single"/>
          <w:insideH w:color="000000" w:space="0" w:sz="0" w:val="nil"/>
          <w:insideV w:color="000000" w:space="0" w:sz="0" w:val="nil"/>
        </w:tcBorders>
        <w:shd w:fill="4472c4" w:val="clear"/>
      </w:tcPr>
    </w:tblStylePr>
    <w:tblStylePr w:type="lastCol">
      <w:rPr>
        <w:b w:val="1"/>
        <w:bCs w:val="1"/>
      </w:rPr>
    </w:tblStylePr>
    <w:tblStylePr w:type="lastRow">
      <w:rPr>
        <w:b w:val="1"/>
        <w:bCs w:val="1"/>
      </w:rPr>
      <w:tcPr>
        <w:tcBorders>
          <w:top w:color="4472c4" w:space="0" w:sz="4" w:val="single"/>
        </w:tcBorders>
      </w:tcPr>
    </w:tblStylePr>
  </w:style>
  <w:style w:type="table" w:styleId="Table2">
    <w:basedOn w:val="TableNormal"/>
    <w:pPr>
      <w:spacing w:after="0" w:line="240" w:lineRule="auto"/>
    </w:pPr>
    <w:rPr>
      <w:rFonts w:ascii="Arial" w:cs="Arial" w:eastAsia="Arial" w:hAnsi="Arial"/>
      <w:sz w:val="22"/>
      <w:szCs w:val="22"/>
    </w:rPr>
    <w:tblPr>
      <w:tblStyleRowBandSize w:val="1"/>
      <w:tblStyleColBandSize w:val="1"/>
      <w:tblCellMar>
        <w:top w:w="0.0" w:type="dxa"/>
        <w:left w:w="108.0" w:type="dxa"/>
        <w:bottom w:w="0.0" w:type="dxa"/>
        <w:right w:w="108.0" w:type="dxa"/>
      </w:tblCellMar>
    </w:tblPr>
    <w:tblStylePr w:type="band1Horz">
      <w:tcPr>
        <w:shd w:fill="d9e2f3" w:val="clear"/>
      </w:tcPr>
    </w:tblStylePr>
    <w:tblStylePr w:type="band1Vert">
      <w:tcPr>
        <w:shd w:fill="d9e2f3" w:val="clear"/>
      </w:tcPr>
    </w:tblStylePr>
    <w:tblStylePr w:type="firstCol">
      <w:rPr>
        <w:b w:val="1"/>
        <w:bCs w:val="1"/>
      </w:rPr>
    </w:tblStylePr>
    <w:tblStylePr w:type="firstRow">
      <w:rPr>
        <w:b w:val="1"/>
        <w:bCs w:val="1"/>
        <w:color w:val="ffffff"/>
      </w:rPr>
      <w:tcPr>
        <w:tcBorders>
          <w:top w:color="4472c4" w:space="0" w:sz="4" w:val="single"/>
          <w:left w:color="4472c4" w:space="0" w:sz="4" w:val="single"/>
          <w:bottom w:color="4472c4" w:space="0" w:sz="4" w:val="single"/>
          <w:right w:color="4472c4" w:space="0" w:sz="4" w:val="single"/>
          <w:insideH w:color="000000" w:space="0" w:sz="0" w:val="nil"/>
          <w:insideV w:color="000000" w:space="0" w:sz="0" w:val="nil"/>
        </w:tcBorders>
        <w:shd w:fill="4472c4" w:val="clear"/>
      </w:tcPr>
    </w:tblStylePr>
    <w:tblStylePr w:type="lastCol">
      <w:rPr>
        <w:b w:val="1"/>
        <w:bCs w:val="1"/>
      </w:rPr>
    </w:tblStylePr>
    <w:tblStylePr w:type="lastRow">
      <w:rPr>
        <w:b w:val="1"/>
        <w:bCs w:val="1"/>
      </w:rPr>
      <w:tcPr>
        <w:tcBorders>
          <w:top w:color="4472c4" w:space="0" w:sz="4" w:val="single"/>
        </w:tcBorders>
      </w:tcPr>
    </w:tblStylePr>
  </w:style>
  <w:style w:type="table" w:styleId="Table3">
    <w:basedOn w:val="TableNormal"/>
    <w:pPr>
      <w:spacing w:after="0" w:line="240" w:lineRule="auto"/>
    </w:pPr>
    <w:rPr>
      <w:rFonts w:ascii="Arial" w:cs="Arial" w:eastAsia="Arial" w:hAnsi="Arial"/>
      <w:sz w:val="22"/>
      <w:szCs w:val="22"/>
    </w:rPr>
    <w:tblPr>
      <w:tblStyleRowBandSize w:val="1"/>
      <w:tblStyleColBandSize w:val="1"/>
      <w:tblCellMar>
        <w:top w:w="0.0" w:type="dxa"/>
        <w:left w:w="108.0" w:type="dxa"/>
        <w:bottom w:w="0.0" w:type="dxa"/>
        <w:right w:w="108.0" w:type="dxa"/>
      </w:tblCellMar>
    </w:tblPr>
    <w:tblStylePr w:type="band1Horz">
      <w:tcPr>
        <w:shd w:fill="d9e2f3" w:val="clear"/>
      </w:tcPr>
    </w:tblStylePr>
    <w:tblStylePr w:type="band1Vert">
      <w:tcPr>
        <w:shd w:fill="d9e2f3" w:val="clear"/>
      </w:tcPr>
    </w:tblStylePr>
    <w:tblStylePr w:type="firstCol">
      <w:rPr>
        <w:b w:val="1"/>
        <w:bCs w:val="1"/>
      </w:rPr>
    </w:tblStylePr>
    <w:tblStylePr w:type="firstRow">
      <w:rPr>
        <w:b w:val="1"/>
        <w:bCs w:val="1"/>
        <w:color w:val="ffffff"/>
      </w:rPr>
      <w:tcPr>
        <w:tcBorders>
          <w:top w:color="4472c4" w:space="0" w:sz="4" w:val="single"/>
          <w:left w:color="4472c4" w:space="0" w:sz="4" w:val="single"/>
          <w:bottom w:color="4472c4" w:space="0" w:sz="4" w:val="single"/>
          <w:right w:color="4472c4" w:space="0" w:sz="4" w:val="single"/>
          <w:insideH w:color="000000" w:space="0" w:sz="0" w:val="nil"/>
          <w:insideV w:color="000000" w:space="0" w:sz="0" w:val="nil"/>
        </w:tcBorders>
        <w:shd w:fill="4472c4" w:val="clear"/>
      </w:tcPr>
    </w:tblStylePr>
    <w:tblStylePr w:type="lastCol">
      <w:rPr>
        <w:b w:val="1"/>
        <w:bCs w:val="1"/>
      </w:rPr>
    </w:tblStylePr>
    <w:tblStylePr w:type="lastRow">
      <w:rPr>
        <w:b w:val="1"/>
        <w:bCs w:val="1"/>
      </w:rPr>
      <w:tcPr>
        <w:tcBorders>
          <w:top w:color="4472c4" w:space="0" w:sz="4" w:val="single"/>
        </w:tcBorders>
      </w:tcPr>
    </w:tblStylePr>
  </w:style>
  <w:style w:type="table" w:styleId="Table4">
    <w:basedOn w:val="TableNormal"/>
    <w:pPr>
      <w:spacing w:after="0" w:line="240" w:lineRule="auto"/>
    </w:pPr>
    <w:rPr>
      <w:rFonts w:ascii="Arial" w:cs="Arial" w:eastAsia="Arial" w:hAnsi="Arial"/>
      <w:sz w:val="22"/>
      <w:szCs w:val="22"/>
    </w:rPr>
    <w:tblPr>
      <w:tblStyleRowBandSize w:val="1"/>
      <w:tblStyleColBandSize w:val="1"/>
      <w:tblCellMar>
        <w:top w:w="0.0" w:type="dxa"/>
        <w:left w:w="108.0" w:type="dxa"/>
        <w:bottom w:w="0.0" w:type="dxa"/>
        <w:right w:w="108.0" w:type="dxa"/>
      </w:tblCellMar>
    </w:tblPr>
    <w:tblStylePr w:type="band1Horz">
      <w:tcPr>
        <w:shd w:fill="d9e2f3" w:val="clear"/>
      </w:tcPr>
    </w:tblStylePr>
    <w:tblStylePr w:type="band1Vert">
      <w:tcPr>
        <w:shd w:fill="d9e2f3" w:val="clear"/>
      </w:tcPr>
    </w:tblStylePr>
    <w:tblStylePr w:type="firstCol">
      <w:rPr>
        <w:b w:val="1"/>
        <w:bCs w:val="1"/>
      </w:rPr>
    </w:tblStylePr>
    <w:tblStylePr w:type="firstRow">
      <w:rPr>
        <w:b w:val="1"/>
        <w:bCs w:val="1"/>
        <w:color w:val="ffffff"/>
      </w:rPr>
      <w:tcPr>
        <w:tcBorders>
          <w:top w:color="4472c4" w:space="0" w:sz="4" w:val="single"/>
          <w:left w:color="4472c4" w:space="0" w:sz="4" w:val="single"/>
          <w:bottom w:color="4472c4" w:space="0" w:sz="4" w:val="single"/>
          <w:right w:color="4472c4" w:space="0" w:sz="4" w:val="single"/>
          <w:insideH w:color="000000" w:space="0" w:sz="0" w:val="nil"/>
          <w:insideV w:color="000000" w:space="0" w:sz="0" w:val="nil"/>
        </w:tcBorders>
        <w:shd w:fill="4472c4" w:val="clear"/>
      </w:tcPr>
    </w:tblStylePr>
    <w:tblStylePr w:type="lastCol">
      <w:rPr>
        <w:b w:val="1"/>
        <w:bCs w:val="1"/>
      </w:rPr>
    </w:tblStylePr>
    <w:tblStylePr w:type="lastRow">
      <w:rPr>
        <w:b w:val="1"/>
        <w:bCs w:val="1"/>
      </w:rPr>
      <w:tcPr>
        <w:tcBorders>
          <w:top w:color="4472c4" w:space="0" w:sz="4" w:val="single"/>
        </w:tcBorders>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HZuNqS/zkoU1Y5CsmFPSX2MZt2g==">CgMxLjAyDmguZTQ1OHMzZDRncG96OAByITEtY0RBWU9CdzBXM1dKQzJKMEpORDJtS0MySFNzeXZxQQ==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2026-07-16T06:36:00Z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08fcfe12-1815-4ba8-b4d8-10e3aa1834b7</vt:lpwstr>
  </property>
</Properties>
</file>