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6B8DAE" w14:textId="0D758715" w:rsidR="00D36C7C" w:rsidRPr="0009162C" w:rsidRDefault="00D36C7C" w:rsidP="00D36C7C">
      <w:pPr>
        <w:spacing w:line="480" w:lineRule="auto"/>
        <w:rPr>
          <w:rFonts w:ascii="Times New Roman" w:hAnsi="Times New Roman" w:cs="Times New Roman"/>
        </w:rPr>
      </w:pPr>
      <w:bookmarkStart w:id="0" w:name="_Hlk118989575"/>
      <w:r w:rsidRPr="0009162C">
        <w:rPr>
          <w:rFonts w:ascii="Times New Roman" w:hAnsi="Times New Roman" w:cs="Times New Roman"/>
        </w:rPr>
        <w:t xml:space="preserve">An easement is one of the 5 legal interests an individual can have over land, it is the right over someone else’s </w:t>
      </w:r>
      <w:r>
        <w:rPr>
          <w:rFonts w:ascii="Times New Roman" w:hAnsi="Times New Roman" w:cs="Times New Roman"/>
        </w:rPr>
        <w:t>servient</w:t>
      </w:r>
      <w:r w:rsidRPr="0009162C">
        <w:rPr>
          <w:rFonts w:ascii="Times New Roman" w:hAnsi="Times New Roman" w:cs="Times New Roman"/>
        </w:rPr>
        <w:t xml:space="preserve"> piece of land and passes with the land from owner to owner (Law of Property Act 192 (LPA) s1 (2)(a)); London &amp; Blenheim Estates v Ladbroke, 1994, a; LPA 1925 s62 b). This right could be a right of way, a right to support, a right to park, and more (</w:t>
      </w:r>
      <w:proofErr w:type="spellStart"/>
      <w:r w:rsidRPr="0009162C">
        <w:rPr>
          <w:rFonts w:ascii="Times New Roman" w:hAnsi="Times New Roman" w:cs="Times New Roman"/>
        </w:rPr>
        <w:t>Jalnarne</w:t>
      </w:r>
      <w:proofErr w:type="spellEnd"/>
      <w:r w:rsidRPr="0009162C">
        <w:rPr>
          <w:rFonts w:ascii="Times New Roman" w:hAnsi="Times New Roman" w:cs="Times New Roman"/>
        </w:rPr>
        <w:t xml:space="preserve"> Ltd v </w:t>
      </w:r>
      <w:proofErr w:type="spellStart"/>
      <w:r w:rsidRPr="0009162C">
        <w:rPr>
          <w:rFonts w:ascii="Times New Roman" w:hAnsi="Times New Roman" w:cs="Times New Roman"/>
        </w:rPr>
        <w:t>Ridewood</w:t>
      </w:r>
      <w:proofErr w:type="spellEnd"/>
      <w:r w:rsidRPr="0009162C">
        <w:rPr>
          <w:rFonts w:ascii="Times New Roman" w:hAnsi="Times New Roman" w:cs="Times New Roman"/>
        </w:rPr>
        <w:t xml:space="preserve">, 1989; Phipps v Pears, 1965 </w:t>
      </w:r>
      <w:proofErr w:type="gramStart"/>
      <w:r w:rsidRPr="0009162C">
        <w:rPr>
          <w:rFonts w:ascii="Times New Roman" w:hAnsi="Times New Roman" w:cs="Times New Roman"/>
        </w:rPr>
        <w:t>a ;</w:t>
      </w:r>
      <w:proofErr w:type="gramEnd"/>
      <w:r w:rsidRPr="0009162C">
        <w:rPr>
          <w:rFonts w:ascii="Times New Roman" w:hAnsi="Times New Roman" w:cs="Times New Roman"/>
        </w:rPr>
        <w:t xml:space="preserve"> Batchelors v Marlow, 2003). There is no conclusive list of the different types of easements as the modernisation of the world would result in a continuous revision of any such list (Dyce v Lady James Hay, 1852). An easement created by prescription is when that right is given through a presumption of right through </w:t>
      </w:r>
      <w:r>
        <w:rPr>
          <w:rFonts w:ascii="Times New Roman" w:hAnsi="Times New Roman" w:cs="Times New Roman"/>
        </w:rPr>
        <w:t xml:space="preserve">the </w:t>
      </w:r>
      <w:r w:rsidRPr="0009162C">
        <w:rPr>
          <w:rFonts w:ascii="Times New Roman" w:hAnsi="Times New Roman" w:cs="Times New Roman"/>
        </w:rPr>
        <w:t>long-term use of access (HM Land Registry, 2021 (a)). This essay will critically analyse when an easement has been created by prescription.</w:t>
      </w:r>
    </w:p>
    <w:p w14:paraId="2F2745D2" w14:textId="77777777" w:rsidR="00D36C7C" w:rsidRDefault="00D36C7C" w:rsidP="00D36C7C">
      <w:pPr>
        <w:spacing w:line="480" w:lineRule="auto"/>
        <w:rPr>
          <w:rFonts w:ascii="Times New Roman" w:hAnsi="Times New Roman" w:cs="Times New Roman"/>
        </w:rPr>
      </w:pPr>
      <w:r w:rsidRPr="0009162C">
        <w:rPr>
          <w:rFonts w:ascii="Times New Roman" w:hAnsi="Times New Roman" w:cs="Times New Roman"/>
        </w:rPr>
        <w:t>There are three methods of acquiring an easement. Firstly</w:t>
      </w:r>
      <w:r>
        <w:rPr>
          <w:rFonts w:ascii="Times New Roman" w:hAnsi="Times New Roman" w:cs="Times New Roman"/>
        </w:rPr>
        <w:t>,</w:t>
      </w:r>
      <w:r w:rsidRPr="0009162C">
        <w:rPr>
          <w:rFonts w:ascii="Times New Roman" w:hAnsi="Times New Roman" w:cs="Times New Roman"/>
        </w:rPr>
        <w:t xml:space="preserve"> through express creation which refers to the servient owner executing a deed granting an easement to the dominant owner (LPA, 1925, s1(2)). If there is express consent an easement by prescription cannot be formed as a stipulation of prescription is without permission (Harris and </w:t>
      </w:r>
      <w:proofErr w:type="spellStart"/>
      <w:r w:rsidRPr="0009162C">
        <w:rPr>
          <w:rFonts w:ascii="Times New Roman" w:hAnsi="Times New Roman" w:cs="Times New Roman"/>
        </w:rPr>
        <w:t>Rodell</w:t>
      </w:r>
      <w:proofErr w:type="spellEnd"/>
      <w:r w:rsidRPr="0009162C">
        <w:rPr>
          <w:rFonts w:ascii="Times New Roman" w:hAnsi="Times New Roman" w:cs="Times New Roman"/>
        </w:rPr>
        <w:t xml:space="preserve">, 2022, p 21). If the easement has not been made expressly it must then be established if it has been made by implication which looks at the situation surrounding the easement to establish if it can deduce that the easement is valid (LPA, 1925 s62 a). If this acquisition method does not </w:t>
      </w:r>
      <w:proofErr w:type="gramStart"/>
      <w:r w:rsidRPr="0009162C">
        <w:rPr>
          <w:rFonts w:ascii="Times New Roman" w:hAnsi="Times New Roman" w:cs="Times New Roman"/>
        </w:rPr>
        <w:t>fit</w:t>
      </w:r>
      <w:proofErr w:type="gramEnd"/>
      <w:r w:rsidRPr="0009162C">
        <w:rPr>
          <w:rFonts w:ascii="Times New Roman" w:hAnsi="Times New Roman" w:cs="Times New Roman"/>
        </w:rPr>
        <w:t xml:space="preserve"> it can then be established if it was formed by prescription.</w:t>
      </w:r>
    </w:p>
    <w:p w14:paraId="10AE5BA3" w14:textId="6139DA5F" w:rsidR="00D36C7C" w:rsidRDefault="00D36C7C" w:rsidP="00D36C7C">
      <w:pPr>
        <w:spacing w:line="480" w:lineRule="auto"/>
        <w:rPr>
          <w:rFonts w:ascii="Times New Roman" w:hAnsi="Times New Roman" w:cs="Times New Roman"/>
        </w:rPr>
      </w:pPr>
      <w:r>
        <w:rPr>
          <w:rFonts w:ascii="Times New Roman" w:hAnsi="Times New Roman" w:cs="Times New Roman"/>
        </w:rPr>
        <w:t>For an</w:t>
      </w:r>
      <w:r>
        <w:rPr>
          <w:rFonts w:ascii="Times New Roman" w:hAnsi="Times New Roman" w:cs="Times New Roman"/>
        </w:rPr>
        <w:t>y</w:t>
      </w:r>
      <w:r>
        <w:rPr>
          <w:rFonts w:ascii="Times New Roman" w:hAnsi="Times New Roman" w:cs="Times New Roman"/>
        </w:rPr>
        <w:t xml:space="preserve"> easement to be acquired by the above methods it must satisfy a set of criteria </w:t>
      </w:r>
      <w:r w:rsidRPr="0009162C">
        <w:rPr>
          <w:rFonts w:ascii="Times New Roman" w:hAnsi="Times New Roman" w:cs="Times New Roman"/>
        </w:rPr>
        <w:t xml:space="preserve">given in Re Ellenborough Park (1995). It must be established if there is a dominant and servient land, case law expanded </w:t>
      </w:r>
      <w:proofErr w:type="gramStart"/>
      <w:r w:rsidRPr="0009162C">
        <w:rPr>
          <w:rFonts w:ascii="Times New Roman" w:hAnsi="Times New Roman" w:cs="Times New Roman"/>
        </w:rPr>
        <w:t>this criteria</w:t>
      </w:r>
      <w:proofErr w:type="gramEnd"/>
      <w:r w:rsidRPr="0009162C">
        <w:rPr>
          <w:rFonts w:ascii="Times New Roman" w:hAnsi="Times New Roman" w:cs="Times New Roman"/>
        </w:rPr>
        <w:t xml:space="preserve"> to stipulate that the dominant area of land must be specified, unspecified areas of land would not be able to form part of a valid easement therefore no prescriptive easement can be formed (London &amp; Blenheim Estates v Ladbroke, 1994 b). Further to this, both areas of land must have different owners, this is due to the definition highlighting that it is a right over someone else’s land (Metropolitan Railway Co v Fowler, 1893). Although, an exception here comes in the fact a tenant could have an easement over another area of their landlord’s land, therefore forming an easement over two pieces of land owned by the same person. The easement must also accommodate the dominant land to be valid, it can not only be for personal benefit (Hill v Tupper 1863). Finally, the easement must be capable of being subject to a grant, meaning the easement must be capable of a </w:t>
      </w:r>
      <w:r w:rsidRPr="0009162C">
        <w:rPr>
          <w:rFonts w:ascii="Times New Roman" w:hAnsi="Times New Roman" w:cs="Times New Roman"/>
        </w:rPr>
        <w:lastRenderedPageBreak/>
        <w:t>clear definition, that is used in a way that abides by the ouster principle of not depriving the servient owner</w:t>
      </w:r>
      <w:r>
        <w:rPr>
          <w:rFonts w:ascii="Times New Roman" w:hAnsi="Times New Roman" w:cs="Times New Roman"/>
        </w:rPr>
        <w:t xml:space="preserve"> of their land</w:t>
      </w:r>
      <w:r w:rsidRPr="0009162C">
        <w:rPr>
          <w:rFonts w:ascii="Times New Roman" w:hAnsi="Times New Roman" w:cs="Times New Roman"/>
        </w:rPr>
        <w:t xml:space="preserve"> and remains within the nature of rights capable of an easement (Hunter and others v Canary Wharf ltd 1997; Copeland v </w:t>
      </w:r>
      <w:proofErr w:type="spellStart"/>
      <w:r w:rsidRPr="0009162C">
        <w:rPr>
          <w:rFonts w:ascii="Times New Roman" w:hAnsi="Times New Roman" w:cs="Times New Roman"/>
        </w:rPr>
        <w:t>Greenhalf</w:t>
      </w:r>
      <w:proofErr w:type="spellEnd"/>
      <w:r w:rsidRPr="0009162C">
        <w:rPr>
          <w:rFonts w:ascii="Times New Roman" w:hAnsi="Times New Roman" w:cs="Times New Roman"/>
        </w:rPr>
        <w:t xml:space="preserve"> 1952; Phipps v Pears 1964 b). If </w:t>
      </w:r>
      <w:r>
        <w:rPr>
          <w:rFonts w:ascii="Times New Roman" w:hAnsi="Times New Roman" w:cs="Times New Roman"/>
        </w:rPr>
        <w:t>the</w:t>
      </w:r>
      <w:r w:rsidRPr="0009162C">
        <w:rPr>
          <w:rFonts w:ascii="Times New Roman" w:hAnsi="Times New Roman" w:cs="Times New Roman"/>
        </w:rPr>
        <w:t xml:space="preserve"> criteria are met it must then be distinguished </w:t>
      </w:r>
      <w:r>
        <w:rPr>
          <w:rFonts w:ascii="Times New Roman" w:hAnsi="Times New Roman" w:cs="Times New Roman"/>
        </w:rPr>
        <w:t>if the easement fits into the required criteria for prescription.</w:t>
      </w:r>
    </w:p>
    <w:p w14:paraId="0BFE4799" w14:textId="62AD85FC" w:rsidR="00D36C7C" w:rsidRDefault="00D36C7C" w:rsidP="00D36C7C">
      <w:pPr>
        <w:spacing w:line="480" w:lineRule="auto"/>
        <w:rPr>
          <w:rFonts w:ascii="Times New Roman" w:hAnsi="Times New Roman" w:cs="Times New Roman"/>
        </w:rPr>
      </w:pPr>
      <w:r w:rsidRPr="0009162C">
        <w:rPr>
          <w:rFonts w:ascii="Times New Roman" w:hAnsi="Times New Roman" w:cs="Times New Roman"/>
        </w:rPr>
        <w:t>An easement by prescription can be formed through three methods; common law, ‘lost modern grant’, or through the Prescription Act 1832 (HM Land Registry, 2021 (b)).  These methods set the criteria to satisfy the prescriptive period.</w:t>
      </w:r>
      <w:r>
        <w:rPr>
          <w:rFonts w:ascii="Times New Roman" w:hAnsi="Times New Roman" w:cs="Times New Roman"/>
        </w:rPr>
        <w:t xml:space="preserve"> </w:t>
      </w:r>
      <w:r w:rsidRPr="0009162C">
        <w:rPr>
          <w:rFonts w:ascii="Times New Roman" w:hAnsi="Times New Roman" w:cs="Times New Roman"/>
        </w:rPr>
        <w:t xml:space="preserve">The formation of an easement by prescription through common law relies on the fact that the easement must have been in use since 1189 referred to as ‘since time immemorial’ (Statute of Westminster, 1257). </w:t>
      </w:r>
      <w:r>
        <w:rPr>
          <w:rFonts w:ascii="Times New Roman" w:hAnsi="Times New Roman" w:cs="Times New Roman"/>
        </w:rPr>
        <w:t>Whereas the</w:t>
      </w:r>
      <w:r w:rsidRPr="0009162C">
        <w:rPr>
          <w:rFonts w:ascii="Times New Roman" w:hAnsi="Times New Roman" w:cs="Times New Roman"/>
        </w:rPr>
        <w:t xml:space="preserve"> doctrine of a lost modern grant </w:t>
      </w:r>
      <w:r>
        <w:rPr>
          <w:rFonts w:ascii="Times New Roman" w:hAnsi="Times New Roman" w:cs="Times New Roman"/>
        </w:rPr>
        <w:t>forms an easement</w:t>
      </w:r>
      <w:r w:rsidRPr="0009162C">
        <w:rPr>
          <w:rFonts w:ascii="Times New Roman" w:hAnsi="Times New Roman" w:cs="Times New Roman"/>
        </w:rPr>
        <w:t xml:space="preserve"> if someone has enjoyed a</w:t>
      </w:r>
      <w:r>
        <w:rPr>
          <w:rFonts w:ascii="Times New Roman" w:hAnsi="Times New Roman" w:cs="Times New Roman"/>
        </w:rPr>
        <w:t xml:space="preserve"> right </w:t>
      </w:r>
      <w:r w:rsidRPr="0009162C">
        <w:rPr>
          <w:rFonts w:ascii="Times New Roman" w:hAnsi="Times New Roman" w:cs="Times New Roman"/>
        </w:rPr>
        <w:t>continuously for 20 years minimum</w:t>
      </w:r>
      <w:r>
        <w:rPr>
          <w:rFonts w:ascii="Times New Roman" w:hAnsi="Times New Roman" w:cs="Times New Roman"/>
        </w:rPr>
        <w:t>. This doctrine</w:t>
      </w:r>
      <w:r>
        <w:rPr>
          <w:rFonts w:ascii="Times New Roman" w:hAnsi="Times New Roman" w:cs="Times New Roman"/>
        </w:rPr>
        <w:t xml:space="preserve"> </w:t>
      </w:r>
      <w:r w:rsidRPr="0009162C">
        <w:rPr>
          <w:rFonts w:ascii="Times New Roman" w:hAnsi="Times New Roman" w:cs="Times New Roman"/>
        </w:rPr>
        <w:t>will</w:t>
      </w:r>
      <w:r>
        <w:rPr>
          <w:rFonts w:ascii="Times New Roman" w:hAnsi="Times New Roman" w:cs="Times New Roman"/>
        </w:rPr>
        <w:t xml:space="preserve"> assume there</w:t>
      </w:r>
      <w:r w:rsidRPr="0009162C">
        <w:rPr>
          <w:rFonts w:ascii="Times New Roman" w:hAnsi="Times New Roman" w:cs="Times New Roman"/>
        </w:rPr>
        <w:t xml:space="preserve"> ha</w:t>
      </w:r>
      <w:r>
        <w:rPr>
          <w:rFonts w:ascii="Times New Roman" w:hAnsi="Times New Roman" w:cs="Times New Roman"/>
        </w:rPr>
        <w:t>s</w:t>
      </w:r>
      <w:r w:rsidRPr="0009162C">
        <w:rPr>
          <w:rFonts w:ascii="Times New Roman" w:hAnsi="Times New Roman" w:cs="Times New Roman"/>
        </w:rPr>
        <w:t xml:space="preserve"> been a grant and it has simply been lost due to the length of time passed (</w:t>
      </w:r>
      <w:proofErr w:type="spellStart"/>
      <w:r w:rsidRPr="0009162C">
        <w:rPr>
          <w:rFonts w:ascii="Times New Roman" w:hAnsi="Times New Roman" w:cs="Times New Roman"/>
        </w:rPr>
        <w:t>Quarman</w:t>
      </w:r>
      <w:proofErr w:type="spellEnd"/>
      <w:r w:rsidRPr="0009162C">
        <w:rPr>
          <w:rFonts w:ascii="Times New Roman" w:hAnsi="Times New Roman" w:cs="Times New Roman"/>
        </w:rPr>
        <w:t xml:space="preserve"> v Burnett, 1840).</w:t>
      </w:r>
      <w:r>
        <w:rPr>
          <w:rFonts w:ascii="Times New Roman" w:hAnsi="Times New Roman" w:cs="Times New Roman"/>
        </w:rPr>
        <w:t xml:space="preserve"> </w:t>
      </w:r>
      <w:r w:rsidRPr="0009162C">
        <w:rPr>
          <w:rFonts w:ascii="Times New Roman" w:hAnsi="Times New Roman" w:cs="Times New Roman"/>
        </w:rPr>
        <w:t xml:space="preserve">The Prescription Act 1832 aimed </w:t>
      </w:r>
      <w:r w:rsidR="001674DB">
        <w:rPr>
          <w:rFonts w:ascii="Times New Roman" w:hAnsi="Times New Roman" w:cs="Times New Roman"/>
        </w:rPr>
        <w:t xml:space="preserve">to </w:t>
      </w:r>
      <w:r w:rsidR="00243D11">
        <w:rPr>
          <w:rFonts w:ascii="Times New Roman" w:hAnsi="Times New Roman" w:cs="Times New Roman"/>
        </w:rPr>
        <w:t xml:space="preserve">remove the ‘inconvenience and injustice’ in the creation of easements </w:t>
      </w:r>
      <w:r w:rsidR="001674DB">
        <w:rPr>
          <w:rFonts w:ascii="Times New Roman" w:hAnsi="Times New Roman" w:cs="Times New Roman"/>
        </w:rPr>
        <w:t xml:space="preserve">in the doctrines of lost modern grants and common law </w:t>
      </w:r>
      <w:r w:rsidR="00243D11">
        <w:rPr>
          <w:rFonts w:ascii="Times New Roman" w:hAnsi="Times New Roman" w:cs="Times New Roman"/>
        </w:rPr>
        <w:t xml:space="preserve">(The Prescriptions Act, 1832). It </w:t>
      </w:r>
      <w:r w:rsidR="001674DB">
        <w:rPr>
          <w:rFonts w:ascii="Times New Roman" w:hAnsi="Times New Roman" w:cs="Times New Roman"/>
        </w:rPr>
        <w:t>defined</w:t>
      </w:r>
      <w:r w:rsidR="00243D11">
        <w:rPr>
          <w:rFonts w:ascii="Times New Roman" w:hAnsi="Times New Roman" w:cs="Times New Roman"/>
        </w:rPr>
        <w:t xml:space="preserve"> the formation of easements by light and stipulated that a prescriptive easement can be formed with 20 years of continuous use, with 40 years being indefensible unless it can be proven that express agreement for use was given during the time period (The Prescription Act s3; The Prescription Act s2 b)</w:t>
      </w:r>
      <w:r w:rsidR="001674DB">
        <w:rPr>
          <w:rFonts w:ascii="Times New Roman" w:hAnsi="Times New Roman" w:cs="Times New Roman"/>
        </w:rPr>
        <w:t>.</w:t>
      </w:r>
    </w:p>
    <w:p w14:paraId="350D61B8" w14:textId="1C182CEA" w:rsidR="00D36C7C" w:rsidRDefault="00D36C7C" w:rsidP="00D36C7C">
      <w:pPr>
        <w:spacing w:line="480" w:lineRule="auto"/>
        <w:rPr>
          <w:rFonts w:ascii="Times New Roman" w:hAnsi="Times New Roman" w:cs="Times New Roman"/>
        </w:rPr>
      </w:pPr>
      <w:r>
        <w:rPr>
          <w:rFonts w:ascii="Times New Roman" w:hAnsi="Times New Roman" w:cs="Times New Roman"/>
        </w:rPr>
        <w:t xml:space="preserve">The common law approach to forming a prescriptive easement </w:t>
      </w:r>
      <w:r w:rsidRPr="0009162C">
        <w:rPr>
          <w:rFonts w:ascii="Times New Roman" w:hAnsi="Times New Roman" w:cs="Times New Roman"/>
        </w:rPr>
        <w:t xml:space="preserve">is criticised as anything that </w:t>
      </w:r>
      <w:proofErr w:type="gramStart"/>
      <w:r w:rsidRPr="0009162C">
        <w:rPr>
          <w:rFonts w:ascii="Times New Roman" w:hAnsi="Times New Roman" w:cs="Times New Roman"/>
        </w:rPr>
        <w:t>evidences</w:t>
      </w:r>
      <w:proofErr w:type="gramEnd"/>
      <w:r w:rsidRPr="0009162C">
        <w:rPr>
          <w:rFonts w:ascii="Times New Roman" w:hAnsi="Times New Roman" w:cs="Times New Roman"/>
        </w:rPr>
        <w:t xml:space="preserve"> that the grant was not present in 1189 results in the easements being void, as this is 883 years ago there will likely be evidence that at some point during that period an easement was not able to exist (Duke of Norfolk v Arbuthnot, 1880).</w:t>
      </w:r>
      <w:r>
        <w:rPr>
          <w:rFonts w:ascii="Times New Roman" w:hAnsi="Times New Roman" w:cs="Times New Roman"/>
        </w:rPr>
        <w:t xml:space="preserve"> A</w:t>
      </w:r>
      <w:r w:rsidRPr="0009162C">
        <w:rPr>
          <w:rFonts w:ascii="Times New Roman" w:hAnsi="Times New Roman" w:cs="Times New Roman"/>
        </w:rPr>
        <w:t xml:space="preserve"> weakness </w:t>
      </w:r>
      <w:r>
        <w:rPr>
          <w:rFonts w:ascii="Times New Roman" w:hAnsi="Times New Roman" w:cs="Times New Roman"/>
        </w:rPr>
        <w:t>that is overcome by the doctrine of lost modern grants stipulation of 20 years continuous use (</w:t>
      </w:r>
      <w:r w:rsidR="0053632A">
        <w:rPr>
          <w:rFonts w:ascii="Times New Roman" w:hAnsi="Times New Roman" w:cs="Times New Roman"/>
        </w:rPr>
        <w:t>Francis, 2008</w:t>
      </w:r>
      <w:r>
        <w:rPr>
          <w:rFonts w:ascii="Times New Roman" w:hAnsi="Times New Roman" w:cs="Times New Roman"/>
        </w:rPr>
        <w:t>).</w:t>
      </w:r>
      <w:r w:rsidRPr="0009162C">
        <w:rPr>
          <w:rFonts w:ascii="Times New Roman" w:hAnsi="Times New Roman" w:cs="Times New Roman"/>
        </w:rPr>
        <w:t xml:space="preserve"> This method of </w:t>
      </w:r>
      <w:r>
        <w:rPr>
          <w:rFonts w:ascii="Times New Roman" w:hAnsi="Times New Roman" w:cs="Times New Roman"/>
        </w:rPr>
        <w:t>prescriptive easement</w:t>
      </w:r>
      <w:r w:rsidRPr="0009162C">
        <w:rPr>
          <w:rFonts w:ascii="Times New Roman" w:hAnsi="Times New Roman" w:cs="Times New Roman"/>
        </w:rPr>
        <w:t xml:space="preserve"> </w:t>
      </w:r>
      <w:r w:rsidR="00F3365A">
        <w:rPr>
          <w:rFonts w:ascii="Times New Roman" w:hAnsi="Times New Roman" w:cs="Times New Roman"/>
        </w:rPr>
        <w:t xml:space="preserve">formation </w:t>
      </w:r>
      <w:r w:rsidRPr="0009162C">
        <w:rPr>
          <w:rFonts w:ascii="Times New Roman" w:hAnsi="Times New Roman" w:cs="Times New Roman"/>
        </w:rPr>
        <w:t>once established cannot be rebutted, even with evidence that no grant was ever made then lost (</w:t>
      </w:r>
      <w:proofErr w:type="spellStart"/>
      <w:r w:rsidRPr="0009162C">
        <w:rPr>
          <w:rFonts w:ascii="Times New Roman" w:hAnsi="Times New Roman" w:cs="Times New Roman"/>
        </w:rPr>
        <w:t>Tehidy</w:t>
      </w:r>
      <w:proofErr w:type="spellEnd"/>
      <w:r w:rsidRPr="0009162C">
        <w:rPr>
          <w:rFonts w:ascii="Times New Roman" w:hAnsi="Times New Roman" w:cs="Times New Roman"/>
        </w:rPr>
        <w:t xml:space="preserve"> Mineral Ltd v Norman, 1971). This is evidently a strength of prescriptive easements as it has been relied upon even after the introduction of the Prescription Act (1832) (Healy v Hawkins, 1968). However, criticism comes from Yale (1962) who argues this is a fictitious approach that does not belong in the UK legal system.</w:t>
      </w:r>
      <w:r w:rsidRPr="009C5872">
        <w:rPr>
          <w:rFonts w:ascii="Times New Roman" w:hAnsi="Times New Roman" w:cs="Times New Roman"/>
        </w:rPr>
        <w:t xml:space="preserve"> </w:t>
      </w:r>
      <w:r w:rsidR="00F3365A" w:rsidRPr="0009162C">
        <w:rPr>
          <w:rFonts w:ascii="Times New Roman" w:hAnsi="Times New Roman" w:cs="Times New Roman"/>
        </w:rPr>
        <w:t xml:space="preserve">The Prescription Act 1832 aimed to legitimise the formation of </w:t>
      </w:r>
      <w:r w:rsidR="00F3365A" w:rsidRPr="0009162C">
        <w:rPr>
          <w:rFonts w:ascii="Times New Roman" w:hAnsi="Times New Roman" w:cs="Times New Roman"/>
        </w:rPr>
        <w:lastRenderedPageBreak/>
        <w:t>easements by prescription and remove the stigma of the other fictitious approaches</w:t>
      </w:r>
      <w:r w:rsidR="00F3365A">
        <w:rPr>
          <w:rFonts w:ascii="Times New Roman" w:hAnsi="Times New Roman" w:cs="Times New Roman"/>
        </w:rPr>
        <w:t xml:space="preserve"> with a statutory approach</w:t>
      </w:r>
      <w:r w:rsidR="00F3365A" w:rsidRPr="0009162C">
        <w:rPr>
          <w:rFonts w:ascii="Times New Roman" w:hAnsi="Times New Roman" w:cs="Times New Roman"/>
        </w:rPr>
        <w:t xml:space="preserve"> (Smith, 2007 (a)).</w:t>
      </w:r>
      <w:r w:rsidR="00F3365A">
        <w:rPr>
          <w:rFonts w:ascii="Times New Roman" w:hAnsi="Times New Roman" w:cs="Times New Roman"/>
        </w:rPr>
        <w:t xml:space="preserve"> </w:t>
      </w:r>
      <w:r w:rsidRPr="0009162C">
        <w:rPr>
          <w:rFonts w:ascii="Times New Roman" w:hAnsi="Times New Roman" w:cs="Times New Roman"/>
        </w:rPr>
        <w:t>Clarke (2008) praises this approach as doing just that while keeping in line with the principles of prescriptive easements. However, this method is highly criticised within the legal world as being badly drafted and having created</w:t>
      </w:r>
      <w:r>
        <w:rPr>
          <w:rFonts w:ascii="Times New Roman" w:hAnsi="Times New Roman" w:cs="Times New Roman"/>
        </w:rPr>
        <w:t xml:space="preserve"> further</w:t>
      </w:r>
      <w:r w:rsidRPr="0009162C">
        <w:rPr>
          <w:rFonts w:ascii="Times New Roman" w:hAnsi="Times New Roman" w:cs="Times New Roman"/>
        </w:rPr>
        <w:t xml:space="preserve"> complications (The Law Reform Commission, 2002). </w:t>
      </w:r>
      <w:r w:rsidR="00F3365A">
        <w:rPr>
          <w:rFonts w:ascii="Times New Roman" w:hAnsi="Times New Roman" w:cs="Times New Roman"/>
        </w:rPr>
        <w:t xml:space="preserve">Something which is supported by Lord </w:t>
      </w:r>
      <w:r w:rsidR="00243D11">
        <w:rPr>
          <w:rFonts w:ascii="Times New Roman" w:hAnsi="Times New Roman" w:cs="Times New Roman"/>
        </w:rPr>
        <w:t xml:space="preserve">Neuberger </w:t>
      </w:r>
      <w:r w:rsidR="00F3365A">
        <w:rPr>
          <w:rFonts w:ascii="Times New Roman" w:hAnsi="Times New Roman" w:cs="Times New Roman"/>
        </w:rPr>
        <w:t xml:space="preserve">(2012) who also argues that the introduction of The Prescription Act (1832) has complicated the formation of prescriptive easements rather than simplifying it. </w:t>
      </w:r>
      <w:r w:rsidRPr="0009162C">
        <w:rPr>
          <w:rFonts w:ascii="Times New Roman" w:hAnsi="Times New Roman" w:cs="Times New Roman"/>
        </w:rPr>
        <w:t>Strength however can be found in the codification of an ‘indefeasible’ prescriptive easement after the use of 40 years (The Prescription Act, 1832 s2</w:t>
      </w:r>
      <w:r w:rsidR="00243D11">
        <w:rPr>
          <w:rFonts w:ascii="Times New Roman" w:hAnsi="Times New Roman" w:cs="Times New Roman"/>
        </w:rPr>
        <w:t xml:space="preserve"> a</w:t>
      </w:r>
      <w:r w:rsidRPr="0009162C">
        <w:rPr>
          <w:rFonts w:ascii="Times New Roman" w:hAnsi="Times New Roman" w:cs="Times New Roman"/>
        </w:rPr>
        <w:t>). Although a</w:t>
      </w:r>
      <w:r w:rsidR="001674DB">
        <w:rPr>
          <w:rFonts w:ascii="Times New Roman" w:hAnsi="Times New Roman" w:cs="Times New Roman"/>
        </w:rPr>
        <w:t xml:space="preserve"> further</w:t>
      </w:r>
      <w:r w:rsidRPr="0009162C">
        <w:rPr>
          <w:rFonts w:ascii="Times New Roman" w:hAnsi="Times New Roman" w:cs="Times New Roman"/>
        </w:rPr>
        <w:t xml:space="preserve"> weakness of the act is highlighted in the stipulation that the use of the easement must be up to the date the claim is made (</w:t>
      </w:r>
      <w:proofErr w:type="spellStart"/>
      <w:r w:rsidRPr="0009162C">
        <w:rPr>
          <w:rFonts w:ascii="Times New Roman" w:hAnsi="Times New Roman" w:cs="Times New Roman"/>
        </w:rPr>
        <w:t>Harpum</w:t>
      </w:r>
      <w:proofErr w:type="spellEnd"/>
      <w:r w:rsidRPr="0009162C">
        <w:rPr>
          <w:rFonts w:ascii="Times New Roman" w:hAnsi="Times New Roman" w:cs="Times New Roman"/>
        </w:rPr>
        <w:t>, 2009). Something which conflicts with the principles in the doctrine of lost modern grant. This evidences the criticism that three different methods of obtaining a prescriptive easement that all operate in different ways add to the complexity of the law surrounding prescriptive easements and needs reform (Law Commission, 2011 (D)).</w:t>
      </w:r>
      <w:r>
        <w:rPr>
          <w:rFonts w:ascii="Times New Roman" w:hAnsi="Times New Roman" w:cs="Times New Roman"/>
        </w:rPr>
        <w:t xml:space="preserve"> </w:t>
      </w:r>
      <w:r w:rsidRPr="0009162C">
        <w:rPr>
          <w:rFonts w:ascii="Times New Roman" w:hAnsi="Times New Roman" w:cs="Times New Roman"/>
        </w:rPr>
        <w:t>Reform in this area has been called for as a necessity to remove an unnecessary difficulty in land law (</w:t>
      </w:r>
      <w:proofErr w:type="spellStart"/>
      <w:r w:rsidRPr="0009162C">
        <w:rPr>
          <w:rFonts w:ascii="Times New Roman" w:hAnsi="Times New Roman" w:cs="Times New Roman"/>
        </w:rPr>
        <w:t>Housden</w:t>
      </w:r>
      <w:proofErr w:type="spellEnd"/>
      <w:r w:rsidRPr="0009162C">
        <w:rPr>
          <w:rFonts w:ascii="Times New Roman" w:hAnsi="Times New Roman" w:cs="Times New Roman"/>
        </w:rPr>
        <w:t xml:space="preserve"> v Conservators of Wimbledon &amp; Putney Commons, 2008). However, there is criticism for </w:t>
      </w:r>
      <w:r>
        <w:rPr>
          <w:rFonts w:ascii="Times New Roman" w:hAnsi="Times New Roman" w:cs="Times New Roman"/>
        </w:rPr>
        <w:t>the</w:t>
      </w:r>
      <w:r w:rsidRPr="0009162C">
        <w:rPr>
          <w:rFonts w:ascii="Times New Roman" w:hAnsi="Times New Roman" w:cs="Times New Roman"/>
        </w:rPr>
        <w:t xml:space="preserve"> lack of support</w:t>
      </w:r>
      <w:r>
        <w:rPr>
          <w:rFonts w:ascii="Times New Roman" w:hAnsi="Times New Roman" w:cs="Times New Roman"/>
        </w:rPr>
        <w:t xml:space="preserve"> for the doctrine of lost modern grant</w:t>
      </w:r>
      <w:r w:rsidRPr="0009162C">
        <w:rPr>
          <w:rFonts w:ascii="Times New Roman" w:hAnsi="Times New Roman" w:cs="Times New Roman"/>
        </w:rPr>
        <w:t xml:space="preserve">, some professionals argue that </w:t>
      </w:r>
      <w:r>
        <w:rPr>
          <w:rFonts w:ascii="Times New Roman" w:hAnsi="Times New Roman" w:cs="Times New Roman"/>
        </w:rPr>
        <w:t>it</w:t>
      </w:r>
      <w:r w:rsidRPr="0009162C">
        <w:rPr>
          <w:rFonts w:ascii="Times New Roman" w:hAnsi="Times New Roman" w:cs="Times New Roman"/>
        </w:rPr>
        <w:t xml:space="preserve"> has served well over the years and should see </w:t>
      </w:r>
      <w:r>
        <w:rPr>
          <w:rFonts w:ascii="Times New Roman" w:hAnsi="Times New Roman" w:cs="Times New Roman"/>
        </w:rPr>
        <w:t>the</w:t>
      </w:r>
      <w:r w:rsidRPr="0009162C">
        <w:rPr>
          <w:rFonts w:ascii="Times New Roman" w:hAnsi="Times New Roman" w:cs="Times New Roman"/>
        </w:rPr>
        <w:t xml:space="preserve"> common law and lost modern grant approach combined to leave no ambiguity for the length of use (Law Commission, 2011 (c)).  Furthermore, this approach relies on subjective criteria, while a prescriptive easement would be invalid if it conflicted with the ‘ouster principle’ there are no specific usage marks set (</w:t>
      </w:r>
      <w:r w:rsidRPr="0009162C">
        <w:rPr>
          <w:rFonts w:ascii="Times New Roman" w:hAnsi="Times New Roman" w:cs="Times New Roman"/>
          <w:bCs/>
          <w:iCs/>
        </w:rPr>
        <w:t>London and Blenheim Estates Ltd v Ladbroke Retail Parks (1994). This leaves room for ambiguity</w:t>
      </w:r>
      <w:r w:rsidRPr="0009162C">
        <w:rPr>
          <w:rFonts w:ascii="Times New Roman" w:hAnsi="Times New Roman" w:cs="Times New Roman"/>
        </w:rPr>
        <w:t xml:space="preserve"> within the law (Orme v Lyons, 2012; Angus &amp; Co v Dalton, 1877). </w:t>
      </w:r>
    </w:p>
    <w:p w14:paraId="5D6A9EF7" w14:textId="77777777" w:rsidR="00D36C7C" w:rsidRPr="0009162C" w:rsidRDefault="00D36C7C" w:rsidP="00D36C7C">
      <w:pPr>
        <w:spacing w:line="480" w:lineRule="auto"/>
        <w:rPr>
          <w:rFonts w:ascii="Times New Roman" w:hAnsi="Times New Roman" w:cs="Times New Roman"/>
        </w:rPr>
      </w:pPr>
      <w:r w:rsidRPr="0009162C">
        <w:rPr>
          <w:rFonts w:ascii="Times New Roman" w:hAnsi="Times New Roman" w:cs="Times New Roman"/>
        </w:rPr>
        <w:t xml:space="preserve">In addition to the requirement for a prescriptive easement to be of a certain period, the use of the easement must have been as of right, meaning without </w:t>
      </w:r>
      <w:proofErr w:type="spellStart"/>
      <w:r w:rsidRPr="0009162C">
        <w:rPr>
          <w:rFonts w:ascii="Times New Roman" w:hAnsi="Times New Roman" w:cs="Times New Roman"/>
        </w:rPr>
        <w:t>nec</w:t>
      </w:r>
      <w:proofErr w:type="spellEnd"/>
      <w:r w:rsidRPr="0009162C">
        <w:rPr>
          <w:rFonts w:ascii="Times New Roman" w:hAnsi="Times New Roman" w:cs="Times New Roman"/>
        </w:rPr>
        <w:t xml:space="preserve"> vi, </w:t>
      </w:r>
      <w:proofErr w:type="spellStart"/>
      <w:r w:rsidRPr="0009162C">
        <w:rPr>
          <w:rFonts w:ascii="Times New Roman" w:hAnsi="Times New Roman" w:cs="Times New Roman"/>
        </w:rPr>
        <w:t>nec</w:t>
      </w:r>
      <w:proofErr w:type="spellEnd"/>
      <w:r w:rsidRPr="0009162C">
        <w:rPr>
          <w:rFonts w:ascii="Times New Roman" w:hAnsi="Times New Roman" w:cs="Times New Roman"/>
        </w:rPr>
        <w:t xml:space="preserve"> clam or </w:t>
      </w:r>
      <w:proofErr w:type="spellStart"/>
      <w:r w:rsidRPr="0009162C">
        <w:rPr>
          <w:rFonts w:ascii="Times New Roman" w:hAnsi="Times New Roman" w:cs="Times New Roman"/>
        </w:rPr>
        <w:t>nec</w:t>
      </w:r>
      <w:proofErr w:type="spellEnd"/>
      <w:r w:rsidRPr="0009162C">
        <w:rPr>
          <w:rFonts w:ascii="Times New Roman" w:hAnsi="Times New Roman" w:cs="Times New Roman"/>
        </w:rPr>
        <w:t xml:space="preserve"> </w:t>
      </w:r>
      <w:proofErr w:type="spellStart"/>
      <w:r w:rsidRPr="0009162C">
        <w:rPr>
          <w:rFonts w:ascii="Times New Roman" w:hAnsi="Times New Roman" w:cs="Times New Roman"/>
        </w:rPr>
        <w:t>precario</w:t>
      </w:r>
      <w:proofErr w:type="spellEnd"/>
      <w:r w:rsidRPr="0009162C">
        <w:rPr>
          <w:rFonts w:ascii="Times New Roman" w:hAnsi="Times New Roman" w:cs="Times New Roman"/>
        </w:rPr>
        <w:t xml:space="preserve"> (Gardner v Hodgson, 1903). To establish that an easement has been formed without </w:t>
      </w:r>
      <w:proofErr w:type="spellStart"/>
      <w:r w:rsidRPr="0009162C">
        <w:rPr>
          <w:rFonts w:ascii="Times New Roman" w:hAnsi="Times New Roman" w:cs="Times New Roman"/>
        </w:rPr>
        <w:t>nec</w:t>
      </w:r>
      <w:proofErr w:type="spellEnd"/>
      <w:r w:rsidRPr="0009162C">
        <w:rPr>
          <w:rFonts w:ascii="Times New Roman" w:hAnsi="Times New Roman" w:cs="Times New Roman"/>
        </w:rPr>
        <w:t xml:space="preserve"> </w:t>
      </w:r>
      <w:proofErr w:type="gramStart"/>
      <w:r w:rsidRPr="0009162C">
        <w:rPr>
          <w:rFonts w:ascii="Times New Roman" w:hAnsi="Times New Roman" w:cs="Times New Roman"/>
        </w:rPr>
        <w:t xml:space="preserve">vi, </w:t>
      </w:r>
      <w:r>
        <w:rPr>
          <w:rFonts w:ascii="Times New Roman" w:hAnsi="Times New Roman" w:cs="Times New Roman"/>
        </w:rPr>
        <w:t xml:space="preserve"> </w:t>
      </w:r>
      <w:r w:rsidRPr="0009162C">
        <w:rPr>
          <w:rFonts w:ascii="Times New Roman" w:hAnsi="Times New Roman" w:cs="Times New Roman"/>
        </w:rPr>
        <w:t>it</w:t>
      </w:r>
      <w:proofErr w:type="gramEnd"/>
      <w:r w:rsidRPr="0009162C">
        <w:rPr>
          <w:rFonts w:ascii="Times New Roman" w:hAnsi="Times New Roman" w:cs="Times New Roman"/>
        </w:rPr>
        <w:t xml:space="preserve"> would initially spark an individual to presume violence, but it is more complex. Wilful disregard for an intentionally placed barrier can be considered force (Newnham v William, 1987).  However, this can be criticised </w:t>
      </w:r>
      <w:r w:rsidRPr="0009162C">
        <w:rPr>
          <w:rFonts w:ascii="Times New Roman" w:hAnsi="Times New Roman" w:cs="Times New Roman"/>
        </w:rPr>
        <w:lastRenderedPageBreak/>
        <w:t xml:space="preserve">by Blackburn’s definition of land (Holland v Hodgson, 1872). Consideration is needed to establish how the barrier was secured and if it was temporary or not. If it is seen to be a permanent fixture it then, as per Blackburn’s definition, forms part of the land, to which an easement can be made over. Although consideration is needed, as highlighted in </w:t>
      </w:r>
      <w:r w:rsidRPr="0009162C">
        <w:rPr>
          <w:rStyle w:val="Strong"/>
          <w:rFonts w:ascii="Times New Roman" w:hAnsi="Times New Roman" w:cs="Times New Roman"/>
          <w:b w:val="0"/>
          <w:bCs w:val="0"/>
          <w:color w:val="212121"/>
          <w:shd w:val="clear" w:color="auto" w:fill="FFFFFF"/>
        </w:rPr>
        <w:t xml:space="preserve">Kingsgate Development Projects Ltd v Jordan (2017) </w:t>
      </w:r>
      <w:r w:rsidRPr="0009162C">
        <w:rPr>
          <w:rFonts w:ascii="Times New Roman" w:hAnsi="Times New Roman" w:cs="Times New Roman"/>
        </w:rPr>
        <w:t>if the dominant user is no longer able to use the servient land as they were originally doing, through the servient owner implementing interference then prescriptive easements cannot be formed; this is a way of expressing refusal of use</w:t>
      </w:r>
      <w:r w:rsidRPr="0009162C">
        <w:rPr>
          <w:rFonts w:ascii="Times New Roman" w:hAnsi="Times New Roman" w:cs="Times New Roman"/>
          <w:b/>
          <w:bCs/>
        </w:rPr>
        <w:t xml:space="preserve">. </w:t>
      </w:r>
      <w:r w:rsidRPr="0009162C">
        <w:rPr>
          <w:rFonts w:ascii="Times New Roman" w:hAnsi="Times New Roman" w:cs="Times New Roman"/>
        </w:rPr>
        <w:t>Therefore, highlighting the complexities of establishing an easement by prescription. Further support comes from Ireland (2013) who stipulates that dominant owners must take notice of reasonableness when attempting to prevent the use and establish force being used. A weakness, however, that could be overcome with a simple sign to dissuade access. Failure of the dominant owner to observe this could result in the view of a ‘contentious user’ and is therefore not of right and is fatal to prescription (Smith v Brudenell-Bruce, 2002).  This principle provides criticism to the strength of prescriptive easement formation, regardless of if a dominant user satisfies all other criteria a sign restricting access would lead them to not have a valid claim regardless of if the servient owner ever enforced</w:t>
      </w:r>
      <w:r>
        <w:rPr>
          <w:rFonts w:ascii="Times New Roman" w:hAnsi="Times New Roman" w:cs="Times New Roman"/>
        </w:rPr>
        <w:t xml:space="preserve"> or intended to enforce</w:t>
      </w:r>
      <w:r w:rsidRPr="0009162C">
        <w:rPr>
          <w:rFonts w:ascii="Times New Roman" w:hAnsi="Times New Roman" w:cs="Times New Roman"/>
        </w:rPr>
        <w:t xml:space="preserve"> the notice (</w:t>
      </w:r>
      <w:bookmarkStart w:id="1" w:name="_Hlk117427881"/>
      <w:r w:rsidRPr="0009162C">
        <w:rPr>
          <w:rFonts w:ascii="Times New Roman" w:hAnsi="Times New Roman" w:cs="Times New Roman"/>
        </w:rPr>
        <w:t>Bennett v Winterburn, 2016</w:t>
      </w:r>
      <w:bookmarkEnd w:id="1"/>
      <w:r w:rsidRPr="0009162C">
        <w:rPr>
          <w:rFonts w:ascii="Times New Roman" w:hAnsi="Times New Roman" w:cs="Times New Roman"/>
        </w:rPr>
        <w:t>).</w:t>
      </w:r>
    </w:p>
    <w:p w14:paraId="5E6162BD" w14:textId="77777777" w:rsidR="00D36C7C" w:rsidRPr="0009162C" w:rsidRDefault="00D36C7C" w:rsidP="00D36C7C">
      <w:pPr>
        <w:spacing w:line="480" w:lineRule="auto"/>
        <w:rPr>
          <w:rFonts w:ascii="Times New Roman" w:hAnsi="Times New Roman" w:cs="Times New Roman"/>
        </w:rPr>
      </w:pPr>
      <w:r w:rsidRPr="0009162C">
        <w:rPr>
          <w:rFonts w:ascii="Times New Roman" w:hAnsi="Times New Roman" w:cs="Times New Roman"/>
        </w:rPr>
        <w:t xml:space="preserve">A vital component to evidence a prescriptive easement over the servient land is to evidence the servient user knew of the use (Union Lighterage Company v London Graving Dock Company, 1902 a). Failure to do this results in a prescriptive easement being invalid regardless of if there was an intent to conceal the use (Liverpool Corporation v Coghill, 1918). This stipulation strengthens the legitimacy of the prescriptive easement as without the servient user would have no means to protest if they were unaware of the use (McInroy v Duke of </w:t>
      </w:r>
      <w:proofErr w:type="spellStart"/>
      <w:r w:rsidRPr="0009162C">
        <w:rPr>
          <w:rFonts w:ascii="Times New Roman" w:hAnsi="Times New Roman" w:cs="Times New Roman"/>
        </w:rPr>
        <w:t>Atholl</w:t>
      </w:r>
      <w:proofErr w:type="spellEnd"/>
      <w:r w:rsidRPr="0009162C">
        <w:rPr>
          <w:rFonts w:ascii="Times New Roman" w:hAnsi="Times New Roman" w:cs="Times New Roman"/>
        </w:rPr>
        <w:t>, 1891).</w:t>
      </w:r>
    </w:p>
    <w:p w14:paraId="5915D3E9" w14:textId="77777777" w:rsidR="00D36C7C" w:rsidRPr="0009162C" w:rsidRDefault="00D36C7C" w:rsidP="00D36C7C">
      <w:pPr>
        <w:spacing w:line="480" w:lineRule="auto"/>
        <w:rPr>
          <w:rFonts w:ascii="Times New Roman" w:hAnsi="Times New Roman" w:cs="Times New Roman"/>
        </w:rPr>
      </w:pPr>
      <w:r w:rsidRPr="0009162C">
        <w:rPr>
          <w:rFonts w:ascii="Times New Roman" w:hAnsi="Times New Roman" w:cs="Times New Roman"/>
        </w:rPr>
        <w:t xml:space="preserve">Prescriptive easements can only be valid if it can be evidenced that as per the principle of </w:t>
      </w:r>
      <w:proofErr w:type="spellStart"/>
      <w:r w:rsidRPr="0009162C">
        <w:rPr>
          <w:rFonts w:ascii="Times New Roman" w:hAnsi="Times New Roman" w:cs="Times New Roman"/>
        </w:rPr>
        <w:t>nec</w:t>
      </w:r>
      <w:proofErr w:type="spellEnd"/>
      <w:r w:rsidRPr="0009162C">
        <w:rPr>
          <w:rFonts w:ascii="Times New Roman" w:hAnsi="Times New Roman" w:cs="Times New Roman"/>
        </w:rPr>
        <w:t xml:space="preserve"> clam the servient owner knew of the use but did not give permission (Union Lighterage Co v London Graving Dock Co, 1902b). It is vital to having a legitimate claim that the servient user reluctantly accepted the use of their land without giving their actual permission (Mills v Silver, 1991). Although this stipulation is criticised, as informal pleasantries being relied upon in law to hinder an easement being present regardless of the length of time the easement has been used for; does not appear fair to </w:t>
      </w:r>
      <w:r w:rsidRPr="0009162C">
        <w:rPr>
          <w:rFonts w:ascii="Times New Roman" w:hAnsi="Times New Roman" w:cs="Times New Roman"/>
        </w:rPr>
        <w:lastRenderedPageBreak/>
        <w:t>dominant users (Bailey, 2009). Something that Smith (2017 (b)) supports as being a detriment to the rule governing prescriptive easements. Further Support comes from the Law Commissions report (2011, (B)) that criticises the apparent penalising of the servient user for their neighbourly disposition. A point supported by case law showing that the servient user is responsible for providing evidence that no permission was given to prevent a claim of prescriptive easement from being valid (</w:t>
      </w:r>
      <w:r w:rsidRPr="0009162C">
        <w:rPr>
          <w:rStyle w:val="Strong"/>
          <w:rFonts w:ascii="Times New Roman" w:hAnsi="Times New Roman" w:cs="Times New Roman"/>
          <w:b w:val="0"/>
          <w:bCs w:val="0"/>
          <w:bdr w:val="none" w:sz="0" w:space="0" w:color="auto" w:frame="1"/>
          <w:shd w:val="clear" w:color="auto" w:fill="FFFFFF"/>
        </w:rPr>
        <w:t>Welford v Graham, 2017</w:t>
      </w:r>
      <w:r w:rsidRPr="0009162C">
        <w:rPr>
          <w:rFonts w:ascii="Times New Roman" w:hAnsi="Times New Roman" w:cs="Times New Roman"/>
          <w:shd w:val="clear" w:color="auto" w:fill="FFFFFF"/>
        </w:rPr>
        <w:t>)</w:t>
      </w:r>
      <w:r w:rsidRPr="0009162C">
        <w:rPr>
          <w:rFonts w:ascii="Times New Roman" w:hAnsi="Times New Roman" w:cs="Times New Roman"/>
        </w:rPr>
        <w:t>. Something that may not have been documented clearly to satisfy the courts and therefore puts additional burdens on servient owners in the formation of easements by prescription.</w:t>
      </w:r>
    </w:p>
    <w:p w14:paraId="356F7706" w14:textId="0006ED57" w:rsidR="00D36C7C" w:rsidRPr="0009162C" w:rsidRDefault="00D36C7C" w:rsidP="00D36C7C">
      <w:pPr>
        <w:spacing w:line="480" w:lineRule="auto"/>
        <w:rPr>
          <w:rFonts w:ascii="Times New Roman" w:hAnsi="Times New Roman" w:cs="Times New Roman"/>
        </w:rPr>
      </w:pPr>
      <w:r w:rsidRPr="0009162C">
        <w:rPr>
          <w:rFonts w:ascii="Times New Roman" w:hAnsi="Times New Roman" w:cs="Times New Roman"/>
        </w:rPr>
        <w:t>The final criteria for an easement to satisfy in order to have a valid prescriptive claim is that the servient and dominant individual are the appropriate persons (Rochdale Canal Co v Radcliffe, 1852). Issues established here come into play if there is a leasehold on the land (</w:t>
      </w:r>
      <w:proofErr w:type="spellStart"/>
      <w:r w:rsidRPr="0009162C">
        <w:rPr>
          <w:rFonts w:ascii="Times New Roman" w:hAnsi="Times New Roman" w:cs="Times New Roman"/>
        </w:rPr>
        <w:t>McFarllane</w:t>
      </w:r>
      <w:proofErr w:type="spellEnd"/>
      <w:r w:rsidRPr="0009162C">
        <w:rPr>
          <w:rFonts w:ascii="Times New Roman" w:hAnsi="Times New Roman" w:cs="Times New Roman"/>
        </w:rPr>
        <w:t xml:space="preserve">, Hopkins, and </w:t>
      </w:r>
      <w:proofErr w:type="spellStart"/>
      <w:r w:rsidRPr="0009162C">
        <w:rPr>
          <w:rFonts w:ascii="Times New Roman" w:hAnsi="Times New Roman" w:cs="Times New Roman"/>
        </w:rPr>
        <w:t>Nield</w:t>
      </w:r>
      <w:proofErr w:type="spellEnd"/>
      <w:r w:rsidRPr="0009162C">
        <w:rPr>
          <w:rFonts w:ascii="Times New Roman" w:hAnsi="Times New Roman" w:cs="Times New Roman"/>
        </w:rPr>
        <w:t xml:space="preserve">, 2015). This does not form an issue for a dominant user as the UK legal system recognises that tenants could form easements on behalf of their landlords (Pugh v Savage, 1970). However, a criticism here lies in the leasehold of the servient land. While easements can be formed on leaseholders’ land it is only valid for the duration of their lease (Wilkinson, 1967). The mere acquiescence by a tenant cannot result in fulfilling the criteria of </w:t>
      </w:r>
      <w:proofErr w:type="spellStart"/>
      <w:r w:rsidRPr="0009162C">
        <w:rPr>
          <w:rFonts w:ascii="Times New Roman" w:hAnsi="Times New Roman" w:cs="Times New Roman"/>
        </w:rPr>
        <w:t>nec</w:t>
      </w:r>
      <w:proofErr w:type="spellEnd"/>
      <w:r w:rsidRPr="0009162C">
        <w:rPr>
          <w:rFonts w:ascii="Times New Roman" w:hAnsi="Times New Roman" w:cs="Times New Roman"/>
        </w:rPr>
        <w:t xml:space="preserve"> </w:t>
      </w:r>
      <w:proofErr w:type="spellStart"/>
      <w:r w:rsidRPr="0009162C">
        <w:rPr>
          <w:rFonts w:ascii="Times New Roman" w:hAnsi="Times New Roman" w:cs="Times New Roman"/>
        </w:rPr>
        <w:t>precario</w:t>
      </w:r>
      <w:proofErr w:type="spellEnd"/>
      <w:r w:rsidRPr="0009162C">
        <w:rPr>
          <w:rFonts w:ascii="Times New Roman" w:hAnsi="Times New Roman" w:cs="Times New Roman"/>
        </w:rPr>
        <w:t xml:space="preserve"> as they have no authority to give or not give permission, therefore making any claim to prescription invalid (Wheaton v Maple &amp; Co 1893). This goes against the sentiment that rules around prescriptive easements should be in place to remove disturbance to long-term enjoyment (R v Oxfordshire CC, ex </w:t>
      </w:r>
      <w:proofErr w:type="spellStart"/>
      <w:r w:rsidRPr="0009162C">
        <w:rPr>
          <w:rFonts w:ascii="Times New Roman" w:hAnsi="Times New Roman" w:cs="Times New Roman"/>
        </w:rPr>
        <w:t>parte</w:t>
      </w:r>
      <w:proofErr w:type="spellEnd"/>
      <w:r w:rsidRPr="0009162C">
        <w:rPr>
          <w:rFonts w:ascii="Times New Roman" w:hAnsi="Times New Roman" w:cs="Times New Roman"/>
        </w:rPr>
        <w:t xml:space="preserve"> Sunningwell PC, 2000). This is evidently a large criticism of the ability for prescriptive easements to be formed with over 35% of the UK properties being occupied by leaseholders (UK Parliament, 2017). However, case law such as Williams v Sandy Lane (2007) adds strength to the method to overcome this by adding the stipulation that easements enjoyed prior to the leasehold could be considered valid. Something which is evidently present and can be argued to overcome the issues on prescriptive easements formation with over 250,000 easements being formed each year, </w:t>
      </w:r>
      <w:r w:rsidR="001674DB" w:rsidRPr="0009162C">
        <w:rPr>
          <w:rFonts w:ascii="Times New Roman" w:hAnsi="Times New Roman" w:cs="Times New Roman"/>
        </w:rPr>
        <w:t>totalling</w:t>
      </w:r>
      <w:r w:rsidRPr="0009162C">
        <w:rPr>
          <w:rFonts w:ascii="Times New Roman" w:hAnsi="Times New Roman" w:cs="Times New Roman"/>
        </w:rPr>
        <w:t xml:space="preserve"> over 65% of registered freehold titles being subject to easements (Law Commission, 2011, (e); Law Commission, 2011 (f)). Thus, strengthening the position of formation of prescriptive easements. </w:t>
      </w:r>
    </w:p>
    <w:p w14:paraId="1035F1CE" w14:textId="7C5D4BB1" w:rsidR="00D36C7C" w:rsidRPr="0009162C" w:rsidRDefault="00D36C7C" w:rsidP="00D36C7C">
      <w:pPr>
        <w:spacing w:line="480" w:lineRule="auto"/>
        <w:rPr>
          <w:rFonts w:ascii="Times New Roman" w:hAnsi="Times New Roman" w:cs="Times New Roman"/>
        </w:rPr>
      </w:pPr>
      <w:r w:rsidRPr="0009162C">
        <w:rPr>
          <w:rFonts w:ascii="Times New Roman" w:hAnsi="Times New Roman" w:cs="Times New Roman"/>
        </w:rPr>
        <w:lastRenderedPageBreak/>
        <w:t xml:space="preserve">The criteria for creating a prescriptive easement is complex, this is evident by the three separate ways of acquiring one and is backed up by case law such as </w:t>
      </w:r>
      <w:r w:rsidRPr="0009162C">
        <w:rPr>
          <w:rStyle w:val="ssit"/>
          <w:rFonts w:ascii="Times New Roman" w:hAnsi="Times New Roman" w:cs="Times New Roman"/>
          <w:color w:val="212121"/>
          <w:bdr w:val="none" w:sz="0" w:space="0" w:color="auto" w:frame="1"/>
          <w:shd w:val="clear" w:color="auto" w:fill="FFFFFF"/>
        </w:rPr>
        <w:t>London Tara Hotel v Kensington</w:t>
      </w:r>
      <w:r w:rsidRPr="0009162C">
        <w:rPr>
          <w:rFonts w:ascii="Times New Roman" w:hAnsi="Times New Roman" w:cs="Times New Roman"/>
          <w:color w:val="212121"/>
          <w:shd w:val="clear" w:color="auto" w:fill="FFFFFF"/>
        </w:rPr>
        <w:t> </w:t>
      </w:r>
      <w:r w:rsidRPr="0009162C">
        <w:rPr>
          <w:rStyle w:val="ssit"/>
          <w:rFonts w:ascii="Times New Roman" w:hAnsi="Times New Roman" w:cs="Times New Roman"/>
          <w:color w:val="212121"/>
          <w:bdr w:val="none" w:sz="0" w:space="0" w:color="auto" w:frame="1"/>
          <w:shd w:val="clear" w:color="auto" w:fill="FFFFFF"/>
        </w:rPr>
        <w:t xml:space="preserve">Close Hotel (2011). This case evidences the complexities in the process of obtaining a prescriptive easement surrounding changing owners, </w:t>
      </w:r>
      <w:r w:rsidR="002B658D" w:rsidRPr="0009162C">
        <w:rPr>
          <w:rStyle w:val="ssit"/>
          <w:rFonts w:ascii="Times New Roman" w:hAnsi="Times New Roman" w:cs="Times New Roman"/>
          <w:color w:val="212121"/>
          <w:bdr w:val="none" w:sz="0" w:space="0" w:color="auto" w:frame="1"/>
          <w:shd w:val="clear" w:color="auto" w:fill="FFFFFF"/>
        </w:rPr>
        <w:t>permission,</w:t>
      </w:r>
      <w:r w:rsidRPr="0009162C">
        <w:rPr>
          <w:rStyle w:val="ssit"/>
          <w:rFonts w:ascii="Times New Roman" w:hAnsi="Times New Roman" w:cs="Times New Roman"/>
          <w:color w:val="212121"/>
          <w:bdr w:val="none" w:sz="0" w:space="0" w:color="auto" w:frame="1"/>
          <w:shd w:val="clear" w:color="auto" w:fill="FFFFFF"/>
        </w:rPr>
        <w:t xml:space="preserve"> and usage. It evidenced the protection for dominant </w:t>
      </w:r>
      <w:proofErr w:type="spellStart"/>
      <w:proofErr w:type="gramStart"/>
      <w:r w:rsidRPr="0009162C">
        <w:rPr>
          <w:rStyle w:val="ssit"/>
          <w:rFonts w:ascii="Times New Roman" w:hAnsi="Times New Roman" w:cs="Times New Roman"/>
          <w:color w:val="212121"/>
          <w:bdr w:val="none" w:sz="0" w:space="0" w:color="auto" w:frame="1"/>
          <w:shd w:val="clear" w:color="auto" w:fill="FFFFFF"/>
        </w:rPr>
        <w:t>owners</w:t>
      </w:r>
      <w:proofErr w:type="spellEnd"/>
      <w:proofErr w:type="gramEnd"/>
      <w:r w:rsidRPr="0009162C">
        <w:rPr>
          <w:rStyle w:val="ssit"/>
          <w:rFonts w:ascii="Times New Roman" w:hAnsi="Times New Roman" w:cs="Times New Roman"/>
          <w:color w:val="212121"/>
          <w:bdr w:val="none" w:sz="0" w:space="0" w:color="auto" w:frame="1"/>
          <w:shd w:val="clear" w:color="auto" w:fill="FFFFFF"/>
        </w:rPr>
        <w:t xml:space="preserve"> rights and highlights the vigilance needed by servient owners to ensure prescriptive easements are not formed therefore providing strength the formation of a prescriptive easement. Although Romer LJ (1902) would argue that this is simply reasonable vigilance that any servient owner should maintain to protect their land from unwanted charges which supports an argument that prescriptive easement formation does not create unreasonable burdens on preventing formation and is a reasonable way of easements being formed. However there exists multiple calls for reform which evidence that the law on prescriptive easements are in need of updating and bringing </w:t>
      </w:r>
      <w:proofErr w:type="spellStart"/>
      <w:r w:rsidRPr="0009162C">
        <w:rPr>
          <w:rStyle w:val="ssit"/>
          <w:rFonts w:ascii="Times New Roman" w:hAnsi="Times New Roman" w:cs="Times New Roman"/>
          <w:color w:val="212121"/>
          <w:bdr w:val="none" w:sz="0" w:space="0" w:color="auto" w:frame="1"/>
          <w:shd w:val="clear" w:color="auto" w:fill="FFFFFF"/>
        </w:rPr>
        <w:t>inline</w:t>
      </w:r>
      <w:proofErr w:type="spellEnd"/>
      <w:r w:rsidRPr="0009162C">
        <w:rPr>
          <w:rStyle w:val="ssit"/>
          <w:rFonts w:ascii="Times New Roman" w:hAnsi="Times New Roman" w:cs="Times New Roman"/>
          <w:color w:val="212121"/>
          <w:bdr w:val="none" w:sz="0" w:space="0" w:color="auto" w:frame="1"/>
          <w:shd w:val="clear" w:color="auto" w:fill="FFFFFF"/>
        </w:rPr>
        <w:t xml:space="preserve"> with modern advancements  (</w:t>
      </w:r>
      <w:proofErr w:type="spellStart"/>
      <w:r w:rsidRPr="0009162C">
        <w:rPr>
          <w:rFonts w:ascii="Times New Roman" w:hAnsi="Times New Roman" w:cs="Times New Roman"/>
          <w:color w:val="212121"/>
          <w:shd w:val="clear" w:color="auto" w:fill="FFFFFF"/>
        </w:rPr>
        <w:t>Housden</w:t>
      </w:r>
      <w:proofErr w:type="spellEnd"/>
      <w:r w:rsidRPr="0009162C">
        <w:rPr>
          <w:rFonts w:ascii="Times New Roman" w:hAnsi="Times New Roman" w:cs="Times New Roman"/>
          <w:color w:val="212121"/>
          <w:shd w:val="clear" w:color="auto" w:fill="FFFFFF"/>
        </w:rPr>
        <w:t xml:space="preserve"> and another v Conservators of Wimbledon and Putney commons, 2008).</w:t>
      </w:r>
      <w:r w:rsidRPr="0009162C">
        <w:rPr>
          <w:rStyle w:val="ssit"/>
          <w:rFonts w:ascii="Times New Roman" w:hAnsi="Times New Roman" w:cs="Times New Roman"/>
          <w:i/>
          <w:iCs/>
          <w:color w:val="212121"/>
          <w:bdr w:val="none" w:sz="0" w:space="0" w:color="auto" w:frame="1"/>
          <w:shd w:val="clear" w:color="auto" w:fill="FFFFFF"/>
        </w:rPr>
        <w:t xml:space="preserve"> </w:t>
      </w:r>
      <w:r w:rsidRPr="0009162C">
        <w:rPr>
          <w:rFonts w:ascii="Times New Roman" w:hAnsi="Times New Roman" w:cs="Times New Roman"/>
        </w:rPr>
        <w:t>The law commission has issued multiple reports and consultation papers with differing views further</w:t>
      </w:r>
      <w:r w:rsidR="002B658D">
        <w:rPr>
          <w:rFonts w:ascii="Times New Roman" w:hAnsi="Times New Roman" w:cs="Times New Roman"/>
        </w:rPr>
        <w:t xml:space="preserve">ing evidence </w:t>
      </w:r>
      <w:r w:rsidRPr="0009162C">
        <w:rPr>
          <w:rFonts w:ascii="Times New Roman" w:hAnsi="Times New Roman" w:cs="Times New Roman"/>
        </w:rPr>
        <w:t>of complexity</w:t>
      </w:r>
      <w:r w:rsidR="002B658D">
        <w:rPr>
          <w:rFonts w:ascii="Times New Roman" w:hAnsi="Times New Roman" w:cs="Times New Roman"/>
        </w:rPr>
        <w:t xml:space="preserve"> in this area</w:t>
      </w:r>
      <w:r w:rsidRPr="0009162C">
        <w:rPr>
          <w:rFonts w:ascii="Times New Roman" w:hAnsi="Times New Roman" w:cs="Times New Roman"/>
        </w:rPr>
        <w:t xml:space="preserve">. From consultation reports stipulating in 1998 that the three methods of formation add for inconsistencies in the rules governing the law and a unified approach being needed. Something which is widely supported in the legal profession (Buckley, 1971 (b)).  To their 2001 report which stipulates that no change to the law of prescription is needed. Then onto their 2011 report that calls for reform and simplification of the law. While their 2011 report of prescriptive easements does recognise that </w:t>
      </w:r>
      <w:r w:rsidR="002B658D">
        <w:rPr>
          <w:rFonts w:ascii="Times New Roman" w:hAnsi="Times New Roman" w:cs="Times New Roman"/>
        </w:rPr>
        <w:t xml:space="preserve">the methods </w:t>
      </w:r>
      <w:r w:rsidRPr="0009162C">
        <w:rPr>
          <w:rFonts w:ascii="Times New Roman" w:hAnsi="Times New Roman" w:cs="Times New Roman"/>
        </w:rPr>
        <w:t xml:space="preserve">play a useful role in legitimising the long term use of easements, they suggest that one singular piece of legislation would simplify the process and minimise any legal action needed. Something which is clearly a benefit to the UK legal system and applicants to the court who face extortionate fees (Beale, 2016). However, no such unification has been made, the law on prescription just expands into different legislation to govern the formation and validity of an easement (Land Registration Act, 2002, schedule 3 (3)). Bridge (2009) criticises this as he highlights the Law commissions view of unification would help limit the room for any unfairness. However, </w:t>
      </w:r>
      <w:proofErr w:type="spellStart"/>
      <w:r w:rsidRPr="0009162C">
        <w:rPr>
          <w:rFonts w:ascii="Times New Roman" w:hAnsi="Times New Roman" w:cs="Times New Roman"/>
        </w:rPr>
        <w:t>Warenius</w:t>
      </w:r>
      <w:proofErr w:type="spellEnd"/>
      <w:r w:rsidRPr="0009162C">
        <w:rPr>
          <w:rFonts w:ascii="Times New Roman" w:hAnsi="Times New Roman" w:cs="Times New Roman"/>
        </w:rPr>
        <w:t xml:space="preserve"> (2012) argues that while the suggestions made would improve the clarity around the formation of easements made by prescription more reform than what is suggested on the area is needed. </w:t>
      </w:r>
    </w:p>
    <w:p w14:paraId="008A3066" w14:textId="5381802F" w:rsidR="00D36C7C" w:rsidRPr="0009162C" w:rsidRDefault="00D36C7C" w:rsidP="00D36C7C">
      <w:pPr>
        <w:spacing w:line="480" w:lineRule="auto"/>
        <w:rPr>
          <w:rFonts w:ascii="Times New Roman" w:hAnsi="Times New Roman" w:cs="Times New Roman"/>
        </w:rPr>
      </w:pPr>
      <w:r w:rsidRPr="0009162C">
        <w:rPr>
          <w:rFonts w:ascii="Times New Roman" w:hAnsi="Times New Roman" w:cs="Times New Roman"/>
        </w:rPr>
        <w:lastRenderedPageBreak/>
        <w:t xml:space="preserve">It is evident from the case law analysed through this essay that the law governing the creation of prescriptive easements is complex; with varying characteristics to satisfy, and multiple ways of acquiring a prescriptive easement which overlap rather than replace. Continued calls for reform have been present through time yet no singular approach has been created to overrule the previous methods. This has resulted in further methods simply creating ‘plasters’ for the weaknesses of the earlier method rather </w:t>
      </w:r>
      <w:r w:rsidR="002B658D">
        <w:rPr>
          <w:rFonts w:ascii="Times New Roman" w:hAnsi="Times New Roman" w:cs="Times New Roman"/>
        </w:rPr>
        <w:t>than</w:t>
      </w:r>
      <w:r w:rsidRPr="0009162C">
        <w:rPr>
          <w:rFonts w:ascii="Times New Roman" w:hAnsi="Times New Roman" w:cs="Times New Roman"/>
        </w:rPr>
        <w:t xml:space="preserve"> replacing</w:t>
      </w:r>
      <w:r w:rsidR="002B658D">
        <w:rPr>
          <w:rFonts w:ascii="Times New Roman" w:hAnsi="Times New Roman" w:cs="Times New Roman"/>
        </w:rPr>
        <w:t xml:space="preserve"> or unifying</w:t>
      </w:r>
      <w:r w:rsidRPr="0009162C">
        <w:rPr>
          <w:rFonts w:ascii="Times New Roman" w:hAnsi="Times New Roman" w:cs="Times New Roman"/>
        </w:rPr>
        <w:t xml:space="preserve"> them. This has ensured that easements made via prescription remain to be a talking point in land law and a contentious topic for land owners in the UK.</w:t>
      </w:r>
    </w:p>
    <w:p w14:paraId="034721C5" w14:textId="77777777" w:rsidR="004E57BE" w:rsidRPr="0009162C" w:rsidRDefault="004E57BE" w:rsidP="0009162C">
      <w:pPr>
        <w:pBdr>
          <w:bottom w:val="single" w:sz="6" w:space="1" w:color="auto"/>
        </w:pBdr>
        <w:spacing w:line="480" w:lineRule="auto"/>
        <w:rPr>
          <w:rFonts w:ascii="Times New Roman" w:hAnsi="Times New Roman" w:cs="Times New Roman"/>
        </w:rPr>
      </w:pPr>
    </w:p>
    <w:p w14:paraId="5AE72B1A" w14:textId="77777777" w:rsidR="004E57BE" w:rsidRPr="0009162C" w:rsidRDefault="004E57BE" w:rsidP="0009162C">
      <w:pPr>
        <w:spacing w:line="480" w:lineRule="auto"/>
        <w:rPr>
          <w:rFonts w:ascii="Times New Roman" w:hAnsi="Times New Roman" w:cs="Times New Roman"/>
        </w:rPr>
      </w:pPr>
    </w:p>
    <w:p w14:paraId="716D688D" w14:textId="77777777" w:rsidR="004E57BE" w:rsidRPr="0009162C" w:rsidRDefault="004E57BE" w:rsidP="0009162C">
      <w:pPr>
        <w:spacing w:line="480" w:lineRule="auto"/>
        <w:rPr>
          <w:rFonts w:ascii="Times New Roman" w:hAnsi="Times New Roman" w:cs="Times New Roman"/>
          <w:b/>
          <w:bCs/>
        </w:rPr>
      </w:pPr>
      <w:r w:rsidRPr="0009162C">
        <w:rPr>
          <w:rFonts w:ascii="Times New Roman" w:hAnsi="Times New Roman" w:cs="Times New Roman"/>
          <w:b/>
          <w:bCs/>
        </w:rPr>
        <w:t>Ref List:</w:t>
      </w:r>
    </w:p>
    <w:p w14:paraId="6657A241" w14:textId="77777777" w:rsidR="002B658D" w:rsidRPr="0009162C" w:rsidRDefault="002B658D" w:rsidP="0009162C">
      <w:pPr>
        <w:spacing w:line="480" w:lineRule="auto"/>
        <w:rPr>
          <w:rFonts w:ascii="Times New Roman" w:hAnsi="Times New Roman" w:cs="Times New Roman"/>
        </w:rPr>
      </w:pPr>
    </w:p>
    <w:p w14:paraId="4AF880F6" w14:textId="77777777" w:rsidR="002B658D" w:rsidRPr="002B658D" w:rsidRDefault="002B658D" w:rsidP="002B658D">
      <w:pPr>
        <w:spacing w:line="480" w:lineRule="auto"/>
        <w:ind w:left="709"/>
        <w:rPr>
          <w:rFonts w:ascii="Times New Roman" w:hAnsi="Times New Roman" w:cs="Times New Roman"/>
        </w:rPr>
      </w:pPr>
      <w:r w:rsidRPr="002B658D">
        <w:rPr>
          <w:rFonts w:ascii="Times New Roman" w:hAnsi="Times New Roman" w:cs="Times New Roman"/>
        </w:rPr>
        <w:t>Angus &amp; Co v Dalton (1877) EWHC 3308</w:t>
      </w:r>
    </w:p>
    <w:p w14:paraId="3A78460B" w14:textId="77777777" w:rsidR="002B658D" w:rsidRPr="002B658D" w:rsidRDefault="002B658D" w:rsidP="002B658D">
      <w:pPr>
        <w:spacing w:line="480" w:lineRule="auto"/>
        <w:ind w:left="709"/>
        <w:rPr>
          <w:rFonts w:ascii="Times New Roman" w:hAnsi="Times New Roman" w:cs="Times New Roman"/>
        </w:rPr>
      </w:pPr>
      <w:r w:rsidRPr="002B658D">
        <w:rPr>
          <w:rFonts w:ascii="Times New Roman" w:hAnsi="Times New Roman" w:cs="Times New Roman"/>
        </w:rPr>
        <w:t>Batchelor v Marlow (2003) 1 WLR 764</w:t>
      </w:r>
    </w:p>
    <w:p w14:paraId="3323E452" w14:textId="77777777" w:rsidR="002B658D" w:rsidRPr="002B658D" w:rsidRDefault="002B658D" w:rsidP="002B658D">
      <w:pPr>
        <w:spacing w:line="480" w:lineRule="auto"/>
        <w:ind w:left="709"/>
        <w:rPr>
          <w:rFonts w:ascii="Times New Roman" w:hAnsi="Times New Roman" w:cs="Times New Roman"/>
        </w:rPr>
      </w:pPr>
      <w:r w:rsidRPr="002B658D">
        <w:rPr>
          <w:rFonts w:ascii="Times New Roman" w:hAnsi="Times New Roman" w:cs="Times New Roman"/>
        </w:rPr>
        <w:t xml:space="preserve">Bennett v Winterburn (2016) EWCA </w:t>
      </w:r>
      <w:proofErr w:type="spellStart"/>
      <w:r w:rsidRPr="002B658D">
        <w:rPr>
          <w:rFonts w:ascii="Times New Roman" w:hAnsi="Times New Roman" w:cs="Times New Roman"/>
        </w:rPr>
        <w:t>Civ</w:t>
      </w:r>
      <w:proofErr w:type="spellEnd"/>
      <w:r w:rsidRPr="002B658D">
        <w:rPr>
          <w:rFonts w:ascii="Times New Roman" w:hAnsi="Times New Roman" w:cs="Times New Roman"/>
        </w:rPr>
        <w:t xml:space="preserve"> 482</w:t>
      </w:r>
    </w:p>
    <w:p w14:paraId="02FAECD8" w14:textId="77777777" w:rsidR="002B658D" w:rsidRPr="002B658D" w:rsidRDefault="002B658D" w:rsidP="002B658D">
      <w:pPr>
        <w:spacing w:line="480" w:lineRule="auto"/>
        <w:ind w:left="709"/>
        <w:rPr>
          <w:rFonts w:ascii="Times New Roman" w:hAnsi="Times New Roman" w:cs="Times New Roman"/>
        </w:rPr>
      </w:pPr>
      <w:r w:rsidRPr="002B658D">
        <w:rPr>
          <w:rFonts w:ascii="Times New Roman" w:hAnsi="Times New Roman" w:cs="Times New Roman"/>
        </w:rPr>
        <w:t xml:space="preserve">Copeland v </w:t>
      </w:r>
      <w:proofErr w:type="spellStart"/>
      <w:r w:rsidRPr="002B658D">
        <w:rPr>
          <w:rFonts w:ascii="Times New Roman" w:hAnsi="Times New Roman" w:cs="Times New Roman"/>
        </w:rPr>
        <w:t>Greenhalf</w:t>
      </w:r>
      <w:proofErr w:type="spellEnd"/>
      <w:r w:rsidRPr="002B658D">
        <w:rPr>
          <w:rFonts w:ascii="Times New Roman" w:hAnsi="Times New Roman" w:cs="Times New Roman"/>
        </w:rPr>
        <w:t xml:space="preserve"> (1952) Ch 488</w:t>
      </w:r>
    </w:p>
    <w:p w14:paraId="6F5CBFC8" w14:textId="77777777" w:rsidR="002B658D" w:rsidRPr="002B658D" w:rsidRDefault="002B658D" w:rsidP="002B658D">
      <w:pPr>
        <w:spacing w:line="480" w:lineRule="auto"/>
        <w:ind w:left="709"/>
        <w:rPr>
          <w:rFonts w:ascii="Times New Roman" w:hAnsi="Times New Roman" w:cs="Times New Roman"/>
        </w:rPr>
      </w:pPr>
      <w:r w:rsidRPr="002B658D">
        <w:rPr>
          <w:rFonts w:ascii="Times New Roman" w:hAnsi="Times New Roman" w:cs="Times New Roman"/>
        </w:rPr>
        <w:t>Duke of Norfolk v Arbuthnot (1880) 5 CPD 390</w:t>
      </w:r>
    </w:p>
    <w:p w14:paraId="54364708" w14:textId="77777777" w:rsidR="002B658D" w:rsidRPr="002B658D" w:rsidRDefault="002B658D" w:rsidP="002B658D">
      <w:pPr>
        <w:spacing w:line="480" w:lineRule="auto"/>
        <w:ind w:left="709"/>
        <w:rPr>
          <w:rFonts w:ascii="Times New Roman" w:hAnsi="Times New Roman" w:cs="Times New Roman"/>
        </w:rPr>
      </w:pPr>
      <w:r w:rsidRPr="002B658D">
        <w:rPr>
          <w:rFonts w:ascii="Times New Roman" w:hAnsi="Times New Roman" w:cs="Times New Roman"/>
        </w:rPr>
        <w:t>Dyce v Lady James Hay (1852) 1 Macq 305</w:t>
      </w:r>
    </w:p>
    <w:p w14:paraId="414FD38D" w14:textId="77777777" w:rsidR="002B658D" w:rsidRPr="002B658D" w:rsidRDefault="002B658D" w:rsidP="002B658D">
      <w:pPr>
        <w:spacing w:line="480" w:lineRule="auto"/>
        <w:ind w:left="709"/>
        <w:rPr>
          <w:rFonts w:ascii="Times New Roman" w:hAnsi="Times New Roman" w:cs="Times New Roman"/>
        </w:rPr>
      </w:pPr>
      <w:r w:rsidRPr="002B658D">
        <w:rPr>
          <w:rFonts w:ascii="Times New Roman" w:hAnsi="Times New Roman" w:cs="Times New Roman"/>
        </w:rPr>
        <w:t xml:space="preserve">Gardner v Hodgson </w:t>
      </w:r>
      <w:proofErr w:type="spellStart"/>
      <w:r w:rsidRPr="002B658D">
        <w:rPr>
          <w:rFonts w:ascii="Times New Roman" w:hAnsi="Times New Roman" w:cs="Times New Roman"/>
        </w:rPr>
        <w:t>Kingstons</w:t>
      </w:r>
      <w:proofErr w:type="spellEnd"/>
      <w:r w:rsidRPr="002B658D">
        <w:rPr>
          <w:rFonts w:ascii="Times New Roman" w:hAnsi="Times New Roman" w:cs="Times New Roman"/>
        </w:rPr>
        <w:t xml:space="preserve"> Brewery (1903) AC 229 HL</w:t>
      </w:r>
    </w:p>
    <w:p w14:paraId="2E73934D" w14:textId="77777777" w:rsidR="002B658D" w:rsidRPr="002B658D" w:rsidRDefault="002B658D" w:rsidP="002B658D">
      <w:pPr>
        <w:spacing w:line="480" w:lineRule="auto"/>
        <w:ind w:left="709"/>
        <w:rPr>
          <w:rFonts w:ascii="Times New Roman" w:hAnsi="Times New Roman" w:cs="Times New Roman"/>
        </w:rPr>
      </w:pPr>
      <w:r w:rsidRPr="002B658D">
        <w:rPr>
          <w:rFonts w:ascii="Times New Roman" w:hAnsi="Times New Roman" w:cs="Times New Roman"/>
        </w:rPr>
        <w:t>Healy v Hawkins (1968) 1 WLR 1967</w:t>
      </w:r>
    </w:p>
    <w:p w14:paraId="22E6CAF7" w14:textId="77777777" w:rsidR="002B658D" w:rsidRPr="002B658D" w:rsidRDefault="002B658D" w:rsidP="002B658D">
      <w:pPr>
        <w:spacing w:line="480" w:lineRule="auto"/>
        <w:ind w:left="709"/>
        <w:rPr>
          <w:rFonts w:ascii="Times New Roman" w:hAnsi="Times New Roman" w:cs="Times New Roman"/>
        </w:rPr>
      </w:pPr>
      <w:r w:rsidRPr="002B658D">
        <w:rPr>
          <w:rFonts w:ascii="Times New Roman" w:hAnsi="Times New Roman" w:cs="Times New Roman"/>
        </w:rPr>
        <w:t>Hill v Tupper (1863) 2 H&amp;C 121</w:t>
      </w:r>
    </w:p>
    <w:p w14:paraId="0B051EFB" w14:textId="77777777" w:rsidR="002B658D" w:rsidRPr="002B658D" w:rsidRDefault="002B658D" w:rsidP="002B658D">
      <w:pPr>
        <w:spacing w:line="480" w:lineRule="auto"/>
        <w:ind w:left="709"/>
        <w:rPr>
          <w:rFonts w:ascii="Times New Roman" w:hAnsi="Times New Roman" w:cs="Times New Roman"/>
        </w:rPr>
      </w:pPr>
      <w:r w:rsidRPr="002B658D">
        <w:rPr>
          <w:rFonts w:ascii="Times New Roman" w:hAnsi="Times New Roman" w:cs="Times New Roman"/>
        </w:rPr>
        <w:t>Holland v Hodgson (1872) LR7CP 328</w:t>
      </w:r>
    </w:p>
    <w:p w14:paraId="5E822DF7" w14:textId="77777777" w:rsidR="002B658D" w:rsidRPr="002B658D" w:rsidRDefault="002B658D" w:rsidP="002B658D">
      <w:pPr>
        <w:spacing w:line="480" w:lineRule="auto"/>
        <w:ind w:left="709"/>
        <w:rPr>
          <w:rFonts w:ascii="Times New Roman" w:hAnsi="Times New Roman" w:cs="Times New Roman"/>
        </w:rPr>
      </w:pPr>
      <w:proofErr w:type="spellStart"/>
      <w:r w:rsidRPr="002B658D">
        <w:rPr>
          <w:rFonts w:ascii="Times New Roman" w:hAnsi="Times New Roman" w:cs="Times New Roman"/>
          <w:color w:val="212121"/>
          <w:shd w:val="clear" w:color="auto" w:fill="FFFFFF"/>
        </w:rPr>
        <w:lastRenderedPageBreak/>
        <w:t>Housden</w:t>
      </w:r>
      <w:proofErr w:type="spellEnd"/>
      <w:r w:rsidRPr="002B658D">
        <w:rPr>
          <w:rFonts w:ascii="Times New Roman" w:hAnsi="Times New Roman" w:cs="Times New Roman"/>
          <w:color w:val="212121"/>
          <w:shd w:val="clear" w:color="auto" w:fill="FFFFFF"/>
        </w:rPr>
        <w:t xml:space="preserve"> and another v Conservators of Wimbledon and Putney commons (2008) 3 All ER 1038</w:t>
      </w:r>
    </w:p>
    <w:p w14:paraId="432A5211" w14:textId="77777777" w:rsidR="002B658D" w:rsidRPr="002B658D" w:rsidRDefault="002B658D" w:rsidP="002B658D">
      <w:pPr>
        <w:spacing w:line="480" w:lineRule="auto"/>
        <w:ind w:left="709"/>
        <w:rPr>
          <w:rFonts w:ascii="Times New Roman" w:hAnsi="Times New Roman" w:cs="Times New Roman"/>
        </w:rPr>
      </w:pPr>
      <w:proofErr w:type="spellStart"/>
      <w:r w:rsidRPr="002B658D">
        <w:rPr>
          <w:rFonts w:ascii="Times New Roman" w:hAnsi="Times New Roman" w:cs="Times New Roman"/>
        </w:rPr>
        <w:t>Housden</w:t>
      </w:r>
      <w:proofErr w:type="spellEnd"/>
      <w:r w:rsidRPr="002B658D">
        <w:rPr>
          <w:rFonts w:ascii="Times New Roman" w:hAnsi="Times New Roman" w:cs="Times New Roman"/>
        </w:rPr>
        <w:t xml:space="preserve"> v Conservators of Wimbledon &amp; Putney Commons (2008) EWCA </w:t>
      </w:r>
      <w:proofErr w:type="spellStart"/>
      <w:r w:rsidRPr="002B658D">
        <w:rPr>
          <w:rFonts w:ascii="Times New Roman" w:hAnsi="Times New Roman" w:cs="Times New Roman"/>
        </w:rPr>
        <w:t>Civ</w:t>
      </w:r>
      <w:proofErr w:type="spellEnd"/>
      <w:r w:rsidRPr="002B658D">
        <w:rPr>
          <w:rFonts w:ascii="Times New Roman" w:hAnsi="Times New Roman" w:cs="Times New Roman"/>
        </w:rPr>
        <w:t xml:space="preserve"> 200</w:t>
      </w:r>
    </w:p>
    <w:p w14:paraId="499B4140" w14:textId="77777777" w:rsidR="002B658D" w:rsidRPr="002B658D" w:rsidRDefault="002B658D" w:rsidP="002B658D">
      <w:pPr>
        <w:spacing w:line="480" w:lineRule="auto"/>
        <w:ind w:left="709"/>
        <w:rPr>
          <w:rFonts w:ascii="Times New Roman" w:hAnsi="Times New Roman" w:cs="Times New Roman"/>
        </w:rPr>
      </w:pPr>
      <w:r w:rsidRPr="002B658D">
        <w:rPr>
          <w:rFonts w:ascii="Times New Roman" w:hAnsi="Times New Roman" w:cs="Times New Roman"/>
        </w:rPr>
        <w:t>Hunter and others v Canary Wharf ltd (1997) AC 655 HL</w:t>
      </w:r>
    </w:p>
    <w:p w14:paraId="6422FD61" w14:textId="77777777" w:rsidR="002B658D" w:rsidRPr="002B658D" w:rsidRDefault="002B658D" w:rsidP="002B658D">
      <w:pPr>
        <w:spacing w:line="480" w:lineRule="auto"/>
        <w:ind w:left="709"/>
        <w:rPr>
          <w:rFonts w:ascii="Times New Roman" w:hAnsi="Times New Roman" w:cs="Times New Roman"/>
        </w:rPr>
      </w:pPr>
      <w:proofErr w:type="spellStart"/>
      <w:r w:rsidRPr="002B658D">
        <w:rPr>
          <w:rFonts w:ascii="Times New Roman" w:hAnsi="Times New Roman" w:cs="Times New Roman"/>
        </w:rPr>
        <w:t>Jalnarne</w:t>
      </w:r>
      <w:proofErr w:type="spellEnd"/>
      <w:r w:rsidRPr="002B658D">
        <w:rPr>
          <w:rFonts w:ascii="Times New Roman" w:hAnsi="Times New Roman" w:cs="Times New Roman"/>
        </w:rPr>
        <w:t xml:space="preserve"> Ltd v </w:t>
      </w:r>
      <w:proofErr w:type="spellStart"/>
      <w:r w:rsidRPr="002B658D">
        <w:rPr>
          <w:rFonts w:ascii="Times New Roman" w:hAnsi="Times New Roman" w:cs="Times New Roman"/>
        </w:rPr>
        <w:t>Ridewood</w:t>
      </w:r>
      <w:proofErr w:type="spellEnd"/>
      <w:r w:rsidRPr="002B658D">
        <w:rPr>
          <w:rFonts w:ascii="Times New Roman" w:hAnsi="Times New Roman" w:cs="Times New Roman"/>
        </w:rPr>
        <w:t xml:space="preserve"> (1989) P&amp; CR 143</w:t>
      </w:r>
    </w:p>
    <w:p w14:paraId="2D5F56DE" w14:textId="77777777" w:rsidR="002B658D" w:rsidRPr="002B658D" w:rsidRDefault="002B658D" w:rsidP="002B658D">
      <w:pPr>
        <w:spacing w:line="480" w:lineRule="auto"/>
        <w:ind w:left="709"/>
        <w:rPr>
          <w:rFonts w:ascii="Times New Roman" w:hAnsi="Times New Roman" w:cs="Times New Roman"/>
        </w:rPr>
      </w:pPr>
      <w:r w:rsidRPr="002B658D">
        <w:rPr>
          <w:rFonts w:ascii="Times New Roman" w:hAnsi="Times New Roman" w:cs="Times New Roman"/>
        </w:rPr>
        <w:t>Land of Property Act 1925 s62 a</w:t>
      </w:r>
    </w:p>
    <w:p w14:paraId="3D945A51" w14:textId="77777777" w:rsidR="002B658D" w:rsidRPr="002B658D" w:rsidRDefault="002B658D" w:rsidP="002B658D">
      <w:pPr>
        <w:spacing w:line="480" w:lineRule="auto"/>
        <w:ind w:left="709"/>
        <w:rPr>
          <w:rFonts w:ascii="Times New Roman" w:hAnsi="Times New Roman" w:cs="Times New Roman"/>
        </w:rPr>
      </w:pPr>
      <w:r w:rsidRPr="002B658D">
        <w:rPr>
          <w:rFonts w:ascii="Times New Roman" w:hAnsi="Times New Roman" w:cs="Times New Roman"/>
        </w:rPr>
        <w:t>Law of Property Act (1925) s1(2)</w:t>
      </w:r>
    </w:p>
    <w:p w14:paraId="7F599CD4" w14:textId="77777777" w:rsidR="002B658D" w:rsidRPr="002B658D" w:rsidRDefault="002B658D" w:rsidP="002B658D">
      <w:pPr>
        <w:spacing w:line="480" w:lineRule="auto"/>
        <w:ind w:left="709"/>
        <w:rPr>
          <w:rFonts w:ascii="Times New Roman" w:hAnsi="Times New Roman" w:cs="Times New Roman"/>
        </w:rPr>
      </w:pPr>
      <w:r w:rsidRPr="002B658D">
        <w:rPr>
          <w:rFonts w:ascii="Times New Roman" w:hAnsi="Times New Roman" w:cs="Times New Roman"/>
        </w:rPr>
        <w:t>Law of Property Act 1925 s1 (2)(a))</w:t>
      </w:r>
    </w:p>
    <w:p w14:paraId="2BE27531" w14:textId="77777777" w:rsidR="002B658D" w:rsidRPr="002B658D" w:rsidRDefault="002B658D" w:rsidP="002B658D">
      <w:pPr>
        <w:spacing w:line="480" w:lineRule="auto"/>
        <w:ind w:left="709"/>
        <w:rPr>
          <w:rFonts w:ascii="Times New Roman" w:hAnsi="Times New Roman" w:cs="Times New Roman"/>
        </w:rPr>
      </w:pPr>
      <w:r w:rsidRPr="002B658D">
        <w:rPr>
          <w:rFonts w:ascii="Times New Roman" w:hAnsi="Times New Roman" w:cs="Times New Roman"/>
        </w:rPr>
        <w:t>Law of Property Act 1925 s62 b</w:t>
      </w:r>
    </w:p>
    <w:p w14:paraId="29B69C2A" w14:textId="77777777" w:rsidR="002B658D" w:rsidRPr="002B658D" w:rsidRDefault="002B658D" w:rsidP="002B658D">
      <w:pPr>
        <w:spacing w:line="480" w:lineRule="auto"/>
        <w:ind w:left="709"/>
        <w:rPr>
          <w:rFonts w:ascii="Times New Roman" w:hAnsi="Times New Roman" w:cs="Times New Roman"/>
        </w:rPr>
      </w:pPr>
      <w:r w:rsidRPr="002B658D">
        <w:rPr>
          <w:rFonts w:ascii="Times New Roman" w:hAnsi="Times New Roman" w:cs="Times New Roman"/>
        </w:rPr>
        <w:t xml:space="preserve">Liverpool </w:t>
      </w:r>
      <w:proofErr w:type="spellStart"/>
      <w:r w:rsidRPr="002B658D">
        <w:rPr>
          <w:rFonts w:ascii="Times New Roman" w:hAnsi="Times New Roman" w:cs="Times New Roman"/>
        </w:rPr>
        <w:t>Corperation</w:t>
      </w:r>
      <w:proofErr w:type="spellEnd"/>
      <w:r w:rsidRPr="002B658D">
        <w:rPr>
          <w:rFonts w:ascii="Times New Roman" w:hAnsi="Times New Roman" w:cs="Times New Roman"/>
        </w:rPr>
        <w:t xml:space="preserve"> v Coghill (1918) 1 CH 307</w:t>
      </w:r>
    </w:p>
    <w:p w14:paraId="5D91B60C" w14:textId="77777777" w:rsidR="002B658D" w:rsidRPr="002B658D" w:rsidRDefault="002B658D" w:rsidP="002B658D">
      <w:pPr>
        <w:spacing w:line="480" w:lineRule="auto"/>
        <w:ind w:left="709"/>
        <w:rPr>
          <w:rFonts w:ascii="Times New Roman" w:hAnsi="Times New Roman" w:cs="Times New Roman"/>
        </w:rPr>
      </w:pPr>
      <w:r w:rsidRPr="002B658D">
        <w:rPr>
          <w:rFonts w:ascii="Times New Roman" w:hAnsi="Times New Roman" w:cs="Times New Roman"/>
        </w:rPr>
        <w:t>London &amp; Blenheim Estates v Ladbroke (1994) 1 WLR 31 a</w:t>
      </w:r>
    </w:p>
    <w:p w14:paraId="3A01CC71" w14:textId="77777777" w:rsidR="002B658D" w:rsidRPr="002B658D" w:rsidRDefault="002B658D" w:rsidP="002B658D">
      <w:pPr>
        <w:spacing w:line="480" w:lineRule="auto"/>
        <w:ind w:left="709"/>
        <w:rPr>
          <w:rFonts w:ascii="Times New Roman" w:hAnsi="Times New Roman" w:cs="Times New Roman"/>
        </w:rPr>
      </w:pPr>
      <w:r w:rsidRPr="002B658D">
        <w:rPr>
          <w:rFonts w:ascii="Times New Roman" w:hAnsi="Times New Roman" w:cs="Times New Roman"/>
        </w:rPr>
        <w:t>London &amp; Blenheim Estates v Ladbroke (1994) 1 WLR 31 b</w:t>
      </w:r>
    </w:p>
    <w:p w14:paraId="720CDBF8" w14:textId="77777777" w:rsidR="002B658D" w:rsidRPr="002B658D" w:rsidRDefault="002B658D" w:rsidP="002B658D">
      <w:pPr>
        <w:spacing w:line="480" w:lineRule="auto"/>
        <w:ind w:left="709"/>
        <w:rPr>
          <w:rFonts w:ascii="Times New Roman" w:hAnsi="Times New Roman" w:cs="Times New Roman"/>
        </w:rPr>
      </w:pPr>
      <w:r w:rsidRPr="002B658D">
        <w:rPr>
          <w:rStyle w:val="ssit"/>
          <w:rFonts w:ascii="Times New Roman" w:hAnsi="Times New Roman" w:cs="Times New Roman"/>
          <w:color w:val="212121"/>
          <w:bdr w:val="none" w:sz="0" w:space="0" w:color="auto" w:frame="1"/>
          <w:shd w:val="clear" w:color="auto" w:fill="FFFFFF"/>
        </w:rPr>
        <w:t>London Tara Hotel v Kensington</w:t>
      </w:r>
      <w:r w:rsidRPr="002B658D">
        <w:rPr>
          <w:rFonts w:ascii="Times New Roman" w:hAnsi="Times New Roman" w:cs="Times New Roman"/>
          <w:color w:val="212121"/>
          <w:shd w:val="clear" w:color="auto" w:fill="FFFFFF"/>
        </w:rPr>
        <w:t> </w:t>
      </w:r>
      <w:r w:rsidRPr="002B658D">
        <w:rPr>
          <w:rStyle w:val="ssit"/>
          <w:rFonts w:ascii="Times New Roman" w:hAnsi="Times New Roman" w:cs="Times New Roman"/>
          <w:color w:val="212121"/>
          <w:bdr w:val="none" w:sz="0" w:space="0" w:color="auto" w:frame="1"/>
          <w:shd w:val="clear" w:color="auto" w:fill="FFFFFF"/>
        </w:rPr>
        <w:t xml:space="preserve">Close Hotel (2011) EWCA </w:t>
      </w:r>
      <w:proofErr w:type="spellStart"/>
      <w:r w:rsidRPr="002B658D">
        <w:rPr>
          <w:rStyle w:val="ssit"/>
          <w:rFonts w:ascii="Times New Roman" w:hAnsi="Times New Roman" w:cs="Times New Roman"/>
          <w:color w:val="212121"/>
          <w:bdr w:val="none" w:sz="0" w:space="0" w:color="auto" w:frame="1"/>
          <w:shd w:val="clear" w:color="auto" w:fill="FFFFFF"/>
        </w:rPr>
        <w:t>Civ</w:t>
      </w:r>
      <w:proofErr w:type="spellEnd"/>
      <w:r w:rsidRPr="002B658D">
        <w:rPr>
          <w:rStyle w:val="ssit"/>
          <w:rFonts w:ascii="Times New Roman" w:hAnsi="Times New Roman" w:cs="Times New Roman"/>
          <w:color w:val="212121"/>
          <w:bdr w:val="none" w:sz="0" w:space="0" w:color="auto" w:frame="1"/>
          <w:shd w:val="clear" w:color="auto" w:fill="FFFFFF"/>
        </w:rPr>
        <w:t xml:space="preserve"> 1356</w:t>
      </w:r>
    </w:p>
    <w:p w14:paraId="725FBFE3" w14:textId="77777777" w:rsidR="002B658D" w:rsidRPr="002B658D" w:rsidRDefault="002B658D" w:rsidP="002B658D">
      <w:pPr>
        <w:spacing w:line="480" w:lineRule="auto"/>
        <w:ind w:left="709"/>
        <w:rPr>
          <w:rFonts w:ascii="Times New Roman" w:hAnsi="Times New Roman" w:cs="Times New Roman"/>
        </w:rPr>
      </w:pPr>
      <w:r w:rsidRPr="002B658D">
        <w:rPr>
          <w:rFonts w:ascii="Times New Roman" w:hAnsi="Times New Roman" w:cs="Times New Roman"/>
        </w:rPr>
        <w:t xml:space="preserve">McInroy v Duke of </w:t>
      </w:r>
      <w:proofErr w:type="spellStart"/>
      <w:r w:rsidRPr="002B658D">
        <w:rPr>
          <w:rFonts w:ascii="Times New Roman" w:hAnsi="Times New Roman" w:cs="Times New Roman"/>
        </w:rPr>
        <w:t>Atholl</w:t>
      </w:r>
      <w:proofErr w:type="spellEnd"/>
      <w:r w:rsidRPr="002B658D">
        <w:rPr>
          <w:rFonts w:ascii="Times New Roman" w:hAnsi="Times New Roman" w:cs="Times New Roman"/>
        </w:rPr>
        <w:t xml:space="preserve"> (1891) 18 R (HL) 46</w:t>
      </w:r>
    </w:p>
    <w:p w14:paraId="5E515EF9" w14:textId="77777777" w:rsidR="002B658D" w:rsidRPr="002B658D" w:rsidRDefault="002B658D" w:rsidP="002B658D">
      <w:pPr>
        <w:spacing w:line="480" w:lineRule="auto"/>
        <w:ind w:left="709"/>
        <w:rPr>
          <w:rFonts w:ascii="Times New Roman" w:hAnsi="Times New Roman" w:cs="Times New Roman"/>
        </w:rPr>
      </w:pPr>
      <w:r w:rsidRPr="002B658D">
        <w:rPr>
          <w:rFonts w:ascii="Times New Roman" w:hAnsi="Times New Roman" w:cs="Times New Roman"/>
        </w:rPr>
        <w:t>Metropolitan Railway Co v Fowler (1893) 1 QB 165</w:t>
      </w:r>
    </w:p>
    <w:p w14:paraId="72B56BDE" w14:textId="77777777" w:rsidR="002B658D" w:rsidRPr="002B658D" w:rsidRDefault="002B658D" w:rsidP="002B658D">
      <w:pPr>
        <w:spacing w:line="480" w:lineRule="auto"/>
        <w:ind w:left="709"/>
        <w:rPr>
          <w:rFonts w:ascii="Times New Roman" w:hAnsi="Times New Roman" w:cs="Times New Roman"/>
        </w:rPr>
      </w:pPr>
      <w:r w:rsidRPr="002B658D">
        <w:rPr>
          <w:rFonts w:ascii="Times New Roman" w:hAnsi="Times New Roman" w:cs="Times New Roman"/>
        </w:rPr>
        <w:t>Mills v Silver (1991) Ch 271</w:t>
      </w:r>
    </w:p>
    <w:p w14:paraId="34F815B1" w14:textId="77777777" w:rsidR="002B658D" w:rsidRPr="002B658D" w:rsidRDefault="002B658D" w:rsidP="002B658D">
      <w:pPr>
        <w:spacing w:line="480" w:lineRule="auto"/>
        <w:ind w:left="709"/>
        <w:rPr>
          <w:rFonts w:ascii="Times New Roman" w:hAnsi="Times New Roman" w:cs="Times New Roman"/>
        </w:rPr>
      </w:pPr>
      <w:r w:rsidRPr="002B658D">
        <w:rPr>
          <w:rFonts w:ascii="Times New Roman" w:hAnsi="Times New Roman" w:cs="Times New Roman"/>
        </w:rPr>
        <w:t xml:space="preserve">Newnham v William (1987) 56 P&amp;CR 8  </w:t>
      </w:r>
    </w:p>
    <w:p w14:paraId="2C64EC76" w14:textId="77777777" w:rsidR="002B658D" w:rsidRPr="002B658D" w:rsidRDefault="002B658D" w:rsidP="002B658D">
      <w:pPr>
        <w:spacing w:line="480" w:lineRule="auto"/>
        <w:ind w:left="709"/>
        <w:rPr>
          <w:rFonts w:ascii="Times New Roman" w:hAnsi="Times New Roman" w:cs="Times New Roman"/>
        </w:rPr>
      </w:pPr>
      <w:r w:rsidRPr="002B658D">
        <w:rPr>
          <w:rFonts w:ascii="Times New Roman" w:hAnsi="Times New Roman" w:cs="Times New Roman"/>
        </w:rPr>
        <w:t>Orme v Lyons (2012) EWHC 3308</w:t>
      </w:r>
    </w:p>
    <w:p w14:paraId="36D03772" w14:textId="77777777" w:rsidR="002B658D" w:rsidRPr="002B658D" w:rsidRDefault="002B658D" w:rsidP="002B658D">
      <w:pPr>
        <w:spacing w:line="480" w:lineRule="auto"/>
        <w:ind w:left="709"/>
        <w:rPr>
          <w:rFonts w:ascii="Times New Roman" w:hAnsi="Times New Roman" w:cs="Times New Roman"/>
        </w:rPr>
      </w:pPr>
      <w:r w:rsidRPr="002B658D">
        <w:rPr>
          <w:rFonts w:ascii="Times New Roman" w:hAnsi="Times New Roman" w:cs="Times New Roman"/>
        </w:rPr>
        <w:t>Phipps v Pears (1964) 1 QB 76 a</w:t>
      </w:r>
    </w:p>
    <w:p w14:paraId="6CEBDC50" w14:textId="77777777" w:rsidR="002B658D" w:rsidRPr="002B658D" w:rsidRDefault="002B658D" w:rsidP="002B658D">
      <w:pPr>
        <w:spacing w:line="480" w:lineRule="auto"/>
        <w:ind w:left="709"/>
        <w:rPr>
          <w:rFonts w:ascii="Times New Roman" w:hAnsi="Times New Roman" w:cs="Times New Roman"/>
        </w:rPr>
      </w:pPr>
      <w:r w:rsidRPr="002B658D">
        <w:rPr>
          <w:rFonts w:ascii="Times New Roman" w:hAnsi="Times New Roman" w:cs="Times New Roman"/>
        </w:rPr>
        <w:t>Phipps v Pears (1965) 1 QB 76 b</w:t>
      </w:r>
    </w:p>
    <w:p w14:paraId="2F6FE957" w14:textId="77777777" w:rsidR="002B658D" w:rsidRPr="002B658D" w:rsidRDefault="002B658D" w:rsidP="002B658D">
      <w:pPr>
        <w:spacing w:line="480" w:lineRule="auto"/>
        <w:ind w:left="709"/>
        <w:rPr>
          <w:rFonts w:ascii="Times New Roman" w:hAnsi="Times New Roman" w:cs="Times New Roman"/>
        </w:rPr>
      </w:pPr>
      <w:r w:rsidRPr="002B658D">
        <w:rPr>
          <w:rFonts w:ascii="Times New Roman" w:hAnsi="Times New Roman" w:cs="Times New Roman"/>
        </w:rPr>
        <w:t>Pugh v Savage (1970) 2 QB 373</w:t>
      </w:r>
    </w:p>
    <w:p w14:paraId="7357873E" w14:textId="77777777" w:rsidR="002B658D" w:rsidRPr="002B658D" w:rsidRDefault="002B658D" w:rsidP="002B658D">
      <w:pPr>
        <w:spacing w:line="480" w:lineRule="auto"/>
        <w:ind w:left="709"/>
        <w:rPr>
          <w:rFonts w:ascii="Times New Roman" w:hAnsi="Times New Roman" w:cs="Times New Roman"/>
        </w:rPr>
      </w:pPr>
      <w:proofErr w:type="spellStart"/>
      <w:r w:rsidRPr="002B658D">
        <w:rPr>
          <w:rFonts w:ascii="Times New Roman" w:hAnsi="Times New Roman" w:cs="Times New Roman"/>
        </w:rPr>
        <w:lastRenderedPageBreak/>
        <w:t>Quarman</w:t>
      </w:r>
      <w:proofErr w:type="spellEnd"/>
      <w:r w:rsidRPr="002B658D">
        <w:rPr>
          <w:rFonts w:ascii="Times New Roman" w:hAnsi="Times New Roman" w:cs="Times New Roman"/>
        </w:rPr>
        <w:t xml:space="preserve"> v Burnett (1840) 151 ER 509</w:t>
      </w:r>
    </w:p>
    <w:p w14:paraId="7FEC5127" w14:textId="77777777" w:rsidR="002B658D" w:rsidRPr="002B658D" w:rsidRDefault="002B658D" w:rsidP="002B658D">
      <w:pPr>
        <w:spacing w:line="480" w:lineRule="auto"/>
        <w:ind w:left="709"/>
        <w:rPr>
          <w:rFonts w:ascii="Times New Roman" w:hAnsi="Times New Roman" w:cs="Times New Roman"/>
        </w:rPr>
      </w:pPr>
      <w:r w:rsidRPr="002B658D">
        <w:rPr>
          <w:rFonts w:ascii="Times New Roman" w:hAnsi="Times New Roman" w:cs="Times New Roman"/>
        </w:rPr>
        <w:t xml:space="preserve">R v Oxfordshire CC, ex </w:t>
      </w:r>
      <w:proofErr w:type="spellStart"/>
      <w:r w:rsidRPr="002B658D">
        <w:rPr>
          <w:rFonts w:ascii="Times New Roman" w:hAnsi="Times New Roman" w:cs="Times New Roman"/>
        </w:rPr>
        <w:t>parte</w:t>
      </w:r>
      <w:proofErr w:type="spellEnd"/>
      <w:r w:rsidRPr="002B658D">
        <w:rPr>
          <w:rFonts w:ascii="Times New Roman" w:hAnsi="Times New Roman" w:cs="Times New Roman"/>
        </w:rPr>
        <w:t xml:space="preserve"> Sunningwell PC (2000) 1 AC 335</w:t>
      </w:r>
    </w:p>
    <w:p w14:paraId="27F23A48" w14:textId="77777777" w:rsidR="002B658D" w:rsidRPr="002B658D" w:rsidRDefault="002B658D" w:rsidP="002B658D">
      <w:pPr>
        <w:spacing w:line="480" w:lineRule="auto"/>
        <w:ind w:left="709"/>
        <w:rPr>
          <w:rFonts w:ascii="Times New Roman" w:hAnsi="Times New Roman" w:cs="Times New Roman"/>
        </w:rPr>
      </w:pPr>
      <w:r w:rsidRPr="002B658D">
        <w:rPr>
          <w:rFonts w:ascii="Times New Roman" w:hAnsi="Times New Roman" w:cs="Times New Roman"/>
        </w:rPr>
        <w:t xml:space="preserve">Re Ellenborough Park (1955) EWCA </w:t>
      </w:r>
      <w:proofErr w:type="spellStart"/>
      <w:r w:rsidRPr="002B658D">
        <w:rPr>
          <w:rFonts w:ascii="Times New Roman" w:hAnsi="Times New Roman" w:cs="Times New Roman"/>
        </w:rPr>
        <w:t>Civ</w:t>
      </w:r>
      <w:proofErr w:type="spellEnd"/>
      <w:r w:rsidRPr="002B658D">
        <w:rPr>
          <w:rFonts w:ascii="Times New Roman" w:hAnsi="Times New Roman" w:cs="Times New Roman"/>
        </w:rPr>
        <w:t xml:space="preserve"> 4 </w:t>
      </w:r>
    </w:p>
    <w:p w14:paraId="12B2B267" w14:textId="77777777" w:rsidR="002B658D" w:rsidRPr="002B658D" w:rsidRDefault="002B658D" w:rsidP="002B658D">
      <w:pPr>
        <w:spacing w:line="480" w:lineRule="auto"/>
        <w:ind w:left="709"/>
        <w:rPr>
          <w:rFonts w:ascii="Times New Roman" w:hAnsi="Times New Roman" w:cs="Times New Roman"/>
        </w:rPr>
      </w:pPr>
      <w:r w:rsidRPr="002B658D">
        <w:rPr>
          <w:rFonts w:ascii="Times New Roman" w:hAnsi="Times New Roman" w:cs="Times New Roman"/>
        </w:rPr>
        <w:t xml:space="preserve">Smith v Brudenell-Bruce (2002) 2 P&amp;CR 4  </w:t>
      </w:r>
    </w:p>
    <w:p w14:paraId="6C72CF84" w14:textId="77777777" w:rsidR="002B658D" w:rsidRPr="002B658D" w:rsidRDefault="002B658D" w:rsidP="002B658D">
      <w:pPr>
        <w:spacing w:line="480" w:lineRule="auto"/>
        <w:ind w:left="709"/>
        <w:rPr>
          <w:rFonts w:ascii="Times New Roman" w:hAnsi="Times New Roman" w:cs="Times New Roman"/>
        </w:rPr>
      </w:pPr>
      <w:r w:rsidRPr="002B658D">
        <w:rPr>
          <w:rFonts w:ascii="Times New Roman" w:hAnsi="Times New Roman" w:cs="Times New Roman"/>
        </w:rPr>
        <w:t xml:space="preserve">Statute of Westminster, The First (1275) </w:t>
      </w:r>
    </w:p>
    <w:p w14:paraId="0B8FDA57" w14:textId="77777777" w:rsidR="002B658D" w:rsidRPr="002B658D" w:rsidRDefault="002B658D" w:rsidP="002B658D">
      <w:pPr>
        <w:spacing w:line="480" w:lineRule="auto"/>
        <w:ind w:left="709"/>
        <w:rPr>
          <w:rFonts w:ascii="Times New Roman" w:hAnsi="Times New Roman" w:cs="Times New Roman"/>
        </w:rPr>
      </w:pPr>
      <w:proofErr w:type="spellStart"/>
      <w:r w:rsidRPr="002B658D">
        <w:rPr>
          <w:rFonts w:ascii="Times New Roman" w:hAnsi="Times New Roman" w:cs="Times New Roman"/>
        </w:rPr>
        <w:t>Tehidy</w:t>
      </w:r>
      <w:proofErr w:type="spellEnd"/>
      <w:r w:rsidRPr="002B658D">
        <w:rPr>
          <w:rFonts w:ascii="Times New Roman" w:hAnsi="Times New Roman" w:cs="Times New Roman"/>
        </w:rPr>
        <w:t xml:space="preserve"> Mineral Ltd v Norman (1971) 2 QB 528 (a)</w:t>
      </w:r>
    </w:p>
    <w:p w14:paraId="28B7F7ED" w14:textId="77777777" w:rsidR="002B658D" w:rsidRPr="002B658D" w:rsidRDefault="002B658D" w:rsidP="002B658D">
      <w:pPr>
        <w:spacing w:line="480" w:lineRule="auto"/>
        <w:ind w:left="709"/>
        <w:rPr>
          <w:rFonts w:ascii="Times New Roman" w:hAnsi="Times New Roman" w:cs="Times New Roman"/>
        </w:rPr>
      </w:pPr>
      <w:proofErr w:type="spellStart"/>
      <w:r w:rsidRPr="002B658D">
        <w:rPr>
          <w:rFonts w:ascii="Times New Roman" w:hAnsi="Times New Roman" w:cs="Times New Roman"/>
        </w:rPr>
        <w:t>Tehidy</w:t>
      </w:r>
      <w:proofErr w:type="spellEnd"/>
      <w:r w:rsidRPr="002B658D">
        <w:rPr>
          <w:rFonts w:ascii="Times New Roman" w:hAnsi="Times New Roman" w:cs="Times New Roman"/>
        </w:rPr>
        <w:t xml:space="preserve"> Mineral Ltd v Norman (1971) 2 QB 528 (b)</w:t>
      </w:r>
    </w:p>
    <w:p w14:paraId="34AEFB0B" w14:textId="77777777" w:rsidR="002B658D" w:rsidRPr="002B658D" w:rsidRDefault="002B658D" w:rsidP="002B658D">
      <w:pPr>
        <w:spacing w:line="480" w:lineRule="auto"/>
        <w:ind w:left="709"/>
        <w:rPr>
          <w:rFonts w:ascii="Times New Roman" w:hAnsi="Times New Roman" w:cs="Times New Roman"/>
        </w:rPr>
      </w:pPr>
      <w:r w:rsidRPr="002B658D">
        <w:rPr>
          <w:rFonts w:ascii="Times New Roman" w:hAnsi="Times New Roman" w:cs="Times New Roman"/>
        </w:rPr>
        <w:t>The Land Registration Act 2002, Schedule 3 (3)</w:t>
      </w:r>
    </w:p>
    <w:p w14:paraId="37E19476" w14:textId="77777777" w:rsidR="002B658D" w:rsidRPr="002B658D" w:rsidRDefault="002B658D" w:rsidP="002B658D">
      <w:pPr>
        <w:spacing w:line="480" w:lineRule="auto"/>
        <w:ind w:left="709"/>
        <w:rPr>
          <w:rFonts w:ascii="Times New Roman" w:hAnsi="Times New Roman" w:cs="Times New Roman"/>
        </w:rPr>
      </w:pPr>
      <w:r w:rsidRPr="002B658D">
        <w:rPr>
          <w:rFonts w:ascii="Times New Roman" w:hAnsi="Times New Roman" w:cs="Times New Roman"/>
        </w:rPr>
        <w:t>The Prescription Act, 1832</w:t>
      </w:r>
      <w:r w:rsidRPr="002B658D">
        <w:rPr>
          <w:rFonts w:ascii="Times New Roman" w:hAnsi="Times New Roman" w:cs="Times New Roman"/>
        </w:rPr>
        <w:t xml:space="preserve"> (Introductory Text)</w:t>
      </w:r>
    </w:p>
    <w:p w14:paraId="640946EF" w14:textId="77777777" w:rsidR="002B658D" w:rsidRPr="002B658D" w:rsidRDefault="002B658D" w:rsidP="002B658D">
      <w:pPr>
        <w:spacing w:line="480" w:lineRule="auto"/>
        <w:ind w:left="709"/>
        <w:rPr>
          <w:rFonts w:ascii="Times New Roman" w:hAnsi="Times New Roman" w:cs="Times New Roman"/>
        </w:rPr>
      </w:pPr>
      <w:r w:rsidRPr="002B658D">
        <w:rPr>
          <w:rFonts w:ascii="Times New Roman" w:hAnsi="Times New Roman" w:cs="Times New Roman"/>
        </w:rPr>
        <w:t>The Prescription Act, 1832, s2 a</w:t>
      </w:r>
    </w:p>
    <w:p w14:paraId="52F33762" w14:textId="77777777" w:rsidR="002B658D" w:rsidRPr="002B658D" w:rsidRDefault="002B658D" w:rsidP="002B658D">
      <w:pPr>
        <w:spacing w:line="480" w:lineRule="auto"/>
        <w:ind w:left="709"/>
        <w:rPr>
          <w:rFonts w:ascii="Times New Roman" w:hAnsi="Times New Roman" w:cs="Times New Roman"/>
        </w:rPr>
      </w:pPr>
      <w:r w:rsidRPr="002B658D">
        <w:rPr>
          <w:rFonts w:ascii="Times New Roman" w:hAnsi="Times New Roman" w:cs="Times New Roman"/>
        </w:rPr>
        <w:t xml:space="preserve">The Prescription Act, 1832, s2 </w:t>
      </w:r>
      <w:r w:rsidRPr="002B658D">
        <w:rPr>
          <w:rFonts w:ascii="Times New Roman" w:hAnsi="Times New Roman" w:cs="Times New Roman"/>
        </w:rPr>
        <w:t>b</w:t>
      </w:r>
    </w:p>
    <w:p w14:paraId="57A08E68" w14:textId="77777777" w:rsidR="002B658D" w:rsidRPr="002B658D" w:rsidRDefault="002B658D" w:rsidP="002B658D">
      <w:pPr>
        <w:spacing w:line="480" w:lineRule="auto"/>
        <w:ind w:left="709"/>
        <w:rPr>
          <w:rFonts w:ascii="Times New Roman" w:hAnsi="Times New Roman" w:cs="Times New Roman"/>
        </w:rPr>
      </w:pPr>
      <w:r w:rsidRPr="002B658D">
        <w:rPr>
          <w:rFonts w:ascii="Times New Roman" w:hAnsi="Times New Roman" w:cs="Times New Roman"/>
        </w:rPr>
        <w:t xml:space="preserve">The Prescription Act, 1832, </w:t>
      </w:r>
      <w:r w:rsidRPr="002B658D">
        <w:rPr>
          <w:rFonts w:ascii="Times New Roman" w:hAnsi="Times New Roman" w:cs="Times New Roman"/>
        </w:rPr>
        <w:t>s3</w:t>
      </w:r>
    </w:p>
    <w:p w14:paraId="45840386" w14:textId="77777777" w:rsidR="002B658D" w:rsidRPr="002B658D" w:rsidRDefault="002B658D" w:rsidP="002B658D">
      <w:pPr>
        <w:spacing w:line="480" w:lineRule="auto"/>
        <w:ind w:left="709"/>
        <w:rPr>
          <w:rFonts w:ascii="Times New Roman" w:hAnsi="Times New Roman" w:cs="Times New Roman"/>
        </w:rPr>
      </w:pPr>
      <w:r w:rsidRPr="002B658D">
        <w:rPr>
          <w:rFonts w:ascii="Times New Roman" w:hAnsi="Times New Roman" w:cs="Times New Roman"/>
        </w:rPr>
        <w:t>Union Lighterage Company v London Graving Dock Company (1902) 2 CH 557 a</w:t>
      </w:r>
    </w:p>
    <w:p w14:paraId="7487FA0D" w14:textId="77777777" w:rsidR="002B658D" w:rsidRPr="002B658D" w:rsidRDefault="002B658D" w:rsidP="002B658D">
      <w:pPr>
        <w:spacing w:line="480" w:lineRule="auto"/>
        <w:ind w:left="709"/>
        <w:rPr>
          <w:rFonts w:ascii="Times New Roman" w:hAnsi="Times New Roman" w:cs="Times New Roman"/>
        </w:rPr>
      </w:pPr>
      <w:r w:rsidRPr="002B658D">
        <w:rPr>
          <w:rFonts w:ascii="Times New Roman" w:hAnsi="Times New Roman" w:cs="Times New Roman"/>
        </w:rPr>
        <w:t>Union Lighterage Company v London Graving Dock Company (1902) 2 CH 557 b</w:t>
      </w:r>
    </w:p>
    <w:p w14:paraId="1F90C4C7" w14:textId="77777777" w:rsidR="002B658D" w:rsidRPr="002B658D" w:rsidRDefault="002B658D" w:rsidP="002B658D">
      <w:pPr>
        <w:spacing w:line="480" w:lineRule="auto"/>
        <w:ind w:left="709"/>
        <w:rPr>
          <w:rFonts w:ascii="Times New Roman" w:hAnsi="Times New Roman" w:cs="Times New Roman"/>
        </w:rPr>
      </w:pPr>
      <w:r w:rsidRPr="002B658D">
        <w:rPr>
          <w:rFonts w:ascii="Times New Roman" w:hAnsi="Times New Roman" w:cs="Times New Roman"/>
        </w:rPr>
        <w:t>Wheaton v Maple &amp; Co (1893) 3 Ch 48</w:t>
      </w:r>
    </w:p>
    <w:p w14:paraId="0FD9CA1B" w14:textId="77777777" w:rsidR="002B658D" w:rsidRPr="002B658D" w:rsidRDefault="002B658D" w:rsidP="002B658D">
      <w:pPr>
        <w:spacing w:line="480" w:lineRule="auto"/>
        <w:ind w:left="709"/>
        <w:rPr>
          <w:rFonts w:ascii="Times New Roman" w:hAnsi="Times New Roman" w:cs="Times New Roman"/>
        </w:rPr>
      </w:pPr>
      <w:r w:rsidRPr="002B658D">
        <w:rPr>
          <w:rFonts w:ascii="Times New Roman" w:hAnsi="Times New Roman" w:cs="Times New Roman"/>
        </w:rPr>
        <w:t xml:space="preserve">Williams v Sandy Lane Chester Ltd (2006) EWCA </w:t>
      </w:r>
      <w:proofErr w:type="spellStart"/>
      <w:r w:rsidRPr="002B658D">
        <w:rPr>
          <w:rFonts w:ascii="Times New Roman" w:hAnsi="Times New Roman" w:cs="Times New Roman"/>
        </w:rPr>
        <w:t>Civ</w:t>
      </w:r>
      <w:proofErr w:type="spellEnd"/>
      <w:r w:rsidRPr="002B658D">
        <w:rPr>
          <w:rFonts w:ascii="Times New Roman" w:hAnsi="Times New Roman" w:cs="Times New Roman"/>
        </w:rPr>
        <w:t xml:space="preserve"> 1738</w:t>
      </w:r>
    </w:p>
    <w:bookmarkEnd w:id="0"/>
    <w:p w14:paraId="2E73F66E" w14:textId="77777777" w:rsidR="002B658D" w:rsidRPr="0009162C" w:rsidRDefault="002B658D" w:rsidP="002B658D">
      <w:pPr>
        <w:spacing w:line="480" w:lineRule="auto"/>
        <w:rPr>
          <w:rFonts w:ascii="Times New Roman" w:hAnsi="Times New Roman" w:cs="Times New Roman"/>
        </w:rPr>
      </w:pPr>
    </w:p>
    <w:p w14:paraId="31C1A1BE" w14:textId="77777777" w:rsidR="002B658D" w:rsidRPr="002B658D" w:rsidRDefault="002B658D" w:rsidP="002B658D">
      <w:pPr>
        <w:spacing w:line="480" w:lineRule="auto"/>
        <w:ind w:left="360"/>
        <w:rPr>
          <w:rFonts w:ascii="Times New Roman" w:hAnsi="Times New Roman" w:cs="Times New Roman"/>
        </w:rPr>
      </w:pPr>
      <w:r w:rsidRPr="002B658D">
        <w:rPr>
          <w:rFonts w:ascii="Times New Roman" w:hAnsi="Times New Roman" w:cs="Times New Roman"/>
        </w:rPr>
        <w:t xml:space="preserve">Bailey, s (1966) ‘Easements and Equities’ </w:t>
      </w:r>
      <w:r w:rsidRPr="002B658D">
        <w:rPr>
          <w:rFonts w:ascii="Times New Roman" w:hAnsi="Times New Roman" w:cs="Times New Roman"/>
          <w:i/>
          <w:iCs/>
        </w:rPr>
        <w:t xml:space="preserve">The Cambridge Law Journal </w:t>
      </w:r>
      <w:r w:rsidRPr="002B658D">
        <w:rPr>
          <w:rFonts w:ascii="Times New Roman" w:hAnsi="Times New Roman" w:cs="Times New Roman"/>
        </w:rPr>
        <w:t>Vol24 Issue 2 pp. 170 – 174. Available at:</w:t>
      </w:r>
      <w:r w:rsidRPr="002B658D">
        <w:rPr>
          <w:rFonts w:ascii="Times New Roman" w:hAnsi="Times New Roman" w:cs="Times New Roman"/>
          <w:color w:val="333333"/>
          <w:shd w:val="clear" w:color="auto" w:fill="F3F3F3"/>
        </w:rPr>
        <w:t xml:space="preserve">  </w:t>
      </w:r>
      <w:hyperlink r:id="rId7" w:tgtFrame="_blank" w:history="1">
        <w:r w:rsidRPr="002B658D">
          <w:rPr>
            <w:rStyle w:val="text"/>
            <w:rFonts w:ascii="Times New Roman" w:hAnsi="Times New Roman" w:cs="Times New Roman"/>
            <w:color w:val="006FCA"/>
            <w:bdr w:val="none" w:sz="0" w:space="0" w:color="auto" w:frame="1"/>
            <w:shd w:val="clear" w:color="auto" w:fill="F3F3F3"/>
          </w:rPr>
          <w:t>https://doi.org/10.1017/S0008197300010801</w:t>
        </w:r>
      </w:hyperlink>
      <w:r w:rsidRPr="002B658D">
        <w:rPr>
          <w:rFonts w:ascii="Times New Roman" w:hAnsi="Times New Roman" w:cs="Times New Roman"/>
        </w:rPr>
        <w:t xml:space="preserve"> (Accessed on: 05.10.22)</w:t>
      </w:r>
    </w:p>
    <w:p w14:paraId="6C66D04F" w14:textId="77777777" w:rsidR="002B658D" w:rsidRPr="002B658D" w:rsidRDefault="002B658D" w:rsidP="002B658D">
      <w:pPr>
        <w:spacing w:line="480" w:lineRule="auto"/>
        <w:ind w:left="360"/>
        <w:rPr>
          <w:rFonts w:ascii="Times New Roman" w:hAnsi="Times New Roman" w:cs="Times New Roman"/>
        </w:rPr>
      </w:pPr>
      <w:r w:rsidRPr="002B658D">
        <w:rPr>
          <w:rFonts w:ascii="Times New Roman" w:hAnsi="Times New Roman" w:cs="Times New Roman"/>
        </w:rPr>
        <w:t xml:space="preserve">Beale, N (2016) ‘Staggering price of civil court fees comes with a human cost’ </w:t>
      </w:r>
      <w:r w:rsidRPr="002B658D">
        <w:rPr>
          <w:rFonts w:ascii="Times New Roman" w:hAnsi="Times New Roman" w:cs="Times New Roman"/>
          <w:i/>
          <w:iCs/>
        </w:rPr>
        <w:t xml:space="preserve">The Guardian </w:t>
      </w:r>
      <w:r w:rsidRPr="002B658D">
        <w:rPr>
          <w:rFonts w:ascii="Times New Roman" w:hAnsi="Times New Roman" w:cs="Times New Roman"/>
        </w:rPr>
        <w:t>6</w:t>
      </w:r>
      <w:r w:rsidRPr="002B658D">
        <w:rPr>
          <w:rFonts w:ascii="Times New Roman" w:hAnsi="Times New Roman" w:cs="Times New Roman"/>
          <w:vertAlign w:val="superscript"/>
        </w:rPr>
        <w:t>th</w:t>
      </w:r>
      <w:r w:rsidRPr="002B658D">
        <w:rPr>
          <w:rFonts w:ascii="Times New Roman" w:hAnsi="Times New Roman" w:cs="Times New Roman"/>
        </w:rPr>
        <w:t xml:space="preserve"> February Available at: </w:t>
      </w:r>
      <w:hyperlink r:id="rId8" w:history="1">
        <w:r w:rsidRPr="002B658D">
          <w:rPr>
            <w:rStyle w:val="Hyperlink"/>
            <w:rFonts w:ascii="Times New Roman" w:hAnsi="Times New Roman" w:cs="Times New Roman"/>
          </w:rPr>
          <w:t>Staggering price of civil court fees comes with a human cost | Money | The Guardian</w:t>
        </w:r>
      </w:hyperlink>
      <w:r w:rsidRPr="002B658D">
        <w:rPr>
          <w:rFonts w:ascii="Times New Roman" w:hAnsi="Times New Roman" w:cs="Times New Roman"/>
        </w:rPr>
        <w:t xml:space="preserve"> (Accessed on: 23.10.2022)</w:t>
      </w:r>
    </w:p>
    <w:p w14:paraId="3F52622E" w14:textId="77777777" w:rsidR="002B658D" w:rsidRPr="002B658D" w:rsidRDefault="002B658D" w:rsidP="002B658D">
      <w:pPr>
        <w:spacing w:line="480" w:lineRule="auto"/>
        <w:ind w:left="360"/>
        <w:rPr>
          <w:rFonts w:ascii="Times New Roman" w:hAnsi="Times New Roman" w:cs="Times New Roman"/>
        </w:rPr>
      </w:pPr>
      <w:r w:rsidRPr="002B658D">
        <w:rPr>
          <w:rFonts w:ascii="Times New Roman" w:hAnsi="Times New Roman" w:cs="Times New Roman"/>
        </w:rPr>
        <w:lastRenderedPageBreak/>
        <w:t xml:space="preserve">Bridge, S (2009) ‘Prescriptive Easements: Capacity to Grant’ </w:t>
      </w:r>
      <w:r w:rsidRPr="002B658D">
        <w:rPr>
          <w:rFonts w:ascii="Times New Roman" w:hAnsi="Times New Roman" w:cs="Times New Roman"/>
          <w:i/>
          <w:iCs/>
        </w:rPr>
        <w:t xml:space="preserve">The Cambridge Law Journal </w:t>
      </w:r>
      <w:r w:rsidRPr="002B658D">
        <w:rPr>
          <w:rFonts w:ascii="Times New Roman" w:hAnsi="Times New Roman" w:cs="Times New Roman"/>
        </w:rPr>
        <w:t xml:space="preserve">Vol 68 Issue 1 pp. 40-42. Available at: </w:t>
      </w:r>
      <w:hyperlink r:id="rId9" w:history="1">
        <w:r w:rsidRPr="002B658D">
          <w:rPr>
            <w:rStyle w:val="Hyperlink"/>
            <w:rFonts w:ascii="Times New Roman" w:hAnsi="Times New Roman" w:cs="Times New Roman"/>
          </w:rPr>
          <w:t>PRESCRIPTIVE EASEMENTS: CAPACITY TO GRANT (cambridge.org)</w:t>
        </w:r>
      </w:hyperlink>
      <w:r w:rsidRPr="002B658D">
        <w:rPr>
          <w:rFonts w:ascii="Times New Roman" w:hAnsi="Times New Roman" w:cs="Times New Roman"/>
        </w:rPr>
        <w:t xml:space="preserve"> (Accessed on: 05.10.22)</w:t>
      </w:r>
    </w:p>
    <w:p w14:paraId="568D65BC" w14:textId="77777777" w:rsidR="002B658D" w:rsidRPr="002B658D" w:rsidRDefault="002B658D" w:rsidP="002B658D">
      <w:pPr>
        <w:spacing w:line="480" w:lineRule="auto"/>
        <w:ind w:left="360"/>
        <w:rPr>
          <w:rFonts w:ascii="Times New Roman" w:hAnsi="Times New Roman" w:cs="Times New Roman"/>
        </w:rPr>
      </w:pPr>
      <w:r w:rsidRPr="002B658D">
        <w:rPr>
          <w:rFonts w:ascii="Times New Roman" w:hAnsi="Times New Roman" w:cs="Times New Roman"/>
        </w:rPr>
        <w:t xml:space="preserve">Francis, A (2008) ‘The Law of Light’ </w:t>
      </w:r>
      <w:r w:rsidRPr="002B658D">
        <w:rPr>
          <w:rFonts w:ascii="Times New Roman" w:hAnsi="Times New Roman" w:cs="Times New Roman"/>
          <w:i/>
          <w:iCs/>
        </w:rPr>
        <w:t xml:space="preserve">The New Law Journal </w:t>
      </w:r>
      <w:r w:rsidRPr="002B658D">
        <w:rPr>
          <w:rFonts w:ascii="Times New Roman" w:hAnsi="Times New Roman" w:cs="Times New Roman"/>
        </w:rPr>
        <w:t xml:space="preserve">Vol 158 Issue 7317 Available at: </w:t>
      </w:r>
      <w:hyperlink r:id="rId10" w:history="1">
        <w:r>
          <w:rPr>
            <w:rStyle w:val="Hyperlink"/>
          </w:rPr>
          <w:t>The law of light (uwtsd.ac.uk)</w:t>
        </w:r>
      </w:hyperlink>
      <w:r>
        <w:t xml:space="preserve"> (Accessed on: 10.11.2022)</w:t>
      </w:r>
    </w:p>
    <w:p w14:paraId="0984D423" w14:textId="77777777" w:rsidR="002B658D" w:rsidRPr="002B658D" w:rsidRDefault="002B658D" w:rsidP="002B658D">
      <w:pPr>
        <w:spacing w:line="480" w:lineRule="auto"/>
        <w:ind w:left="360"/>
        <w:rPr>
          <w:rFonts w:ascii="Times New Roman" w:hAnsi="Times New Roman" w:cs="Times New Roman"/>
        </w:rPr>
      </w:pPr>
      <w:proofErr w:type="spellStart"/>
      <w:r w:rsidRPr="002B658D">
        <w:rPr>
          <w:rFonts w:ascii="Times New Roman" w:hAnsi="Times New Roman" w:cs="Times New Roman"/>
        </w:rPr>
        <w:t>Harpum</w:t>
      </w:r>
      <w:proofErr w:type="spellEnd"/>
      <w:r w:rsidRPr="002B658D">
        <w:rPr>
          <w:rFonts w:ascii="Times New Roman" w:hAnsi="Times New Roman" w:cs="Times New Roman"/>
        </w:rPr>
        <w:t xml:space="preserve">, C (2009) ‘The Acquisition of Easements’ </w:t>
      </w:r>
      <w:r w:rsidRPr="002B658D">
        <w:rPr>
          <w:rFonts w:ascii="Times New Roman" w:hAnsi="Times New Roman" w:cs="Times New Roman"/>
          <w:i/>
          <w:iCs/>
        </w:rPr>
        <w:t xml:space="preserve">The Cambridge Law Journal </w:t>
      </w:r>
      <w:r w:rsidRPr="002B658D">
        <w:rPr>
          <w:rFonts w:ascii="Times New Roman" w:hAnsi="Times New Roman" w:cs="Times New Roman"/>
        </w:rPr>
        <w:t xml:space="preserve">Vol 51 issue 2 pp 220-223 Available at: </w:t>
      </w:r>
      <w:hyperlink r:id="rId11" w:history="1">
        <w:r w:rsidRPr="002B658D">
          <w:rPr>
            <w:rStyle w:val="Hyperlink"/>
            <w:rFonts w:ascii="Times New Roman" w:hAnsi="Times New Roman" w:cs="Times New Roman"/>
          </w:rPr>
          <w:t>The Acquisition of Easements (uwtsd.ac.uk)</w:t>
        </w:r>
      </w:hyperlink>
      <w:r w:rsidRPr="002B658D">
        <w:rPr>
          <w:rFonts w:ascii="Times New Roman" w:hAnsi="Times New Roman" w:cs="Times New Roman"/>
        </w:rPr>
        <w:t xml:space="preserve"> (Accessed on: 23.10.2022)</w:t>
      </w:r>
    </w:p>
    <w:p w14:paraId="47CAF956" w14:textId="77777777" w:rsidR="002B658D" w:rsidRPr="002B658D" w:rsidRDefault="002B658D" w:rsidP="002B658D">
      <w:pPr>
        <w:spacing w:line="480" w:lineRule="auto"/>
        <w:ind w:left="360"/>
        <w:rPr>
          <w:rFonts w:ascii="Times New Roman" w:hAnsi="Times New Roman" w:cs="Times New Roman"/>
        </w:rPr>
      </w:pPr>
      <w:r w:rsidRPr="002B658D">
        <w:rPr>
          <w:rFonts w:ascii="Times New Roman" w:hAnsi="Times New Roman" w:cs="Times New Roman"/>
        </w:rPr>
        <w:t xml:space="preserve">Harris, C and </w:t>
      </w:r>
      <w:proofErr w:type="spellStart"/>
      <w:r w:rsidRPr="002B658D">
        <w:rPr>
          <w:rFonts w:ascii="Times New Roman" w:hAnsi="Times New Roman" w:cs="Times New Roman"/>
        </w:rPr>
        <w:t>Rodell</w:t>
      </w:r>
      <w:proofErr w:type="spellEnd"/>
      <w:r w:rsidRPr="002B658D">
        <w:rPr>
          <w:rFonts w:ascii="Times New Roman" w:hAnsi="Times New Roman" w:cs="Times New Roman"/>
        </w:rPr>
        <w:t xml:space="preserve">, A (2022) </w:t>
      </w:r>
      <w:r w:rsidRPr="002B658D">
        <w:rPr>
          <w:rFonts w:ascii="Times New Roman" w:hAnsi="Times New Roman" w:cs="Times New Roman"/>
          <w:i/>
          <w:iCs/>
        </w:rPr>
        <w:t xml:space="preserve">Property Law and Practice 2021/2022 </w:t>
      </w:r>
      <w:r w:rsidRPr="002B658D">
        <w:rPr>
          <w:rFonts w:ascii="Times New Roman" w:hAnsi="Times New Roman" w:cs="Times New Roman"/>
        </w:rPr>
        <w:t>Guildford: College of Law Publishing</w:t>
      </w:r>
    </w:p>
    <w:p w14:paraId="50CC420A" w14:textId="77777777" w:rsidR="002B658D" w:rsidRPr="002B658D" w:rsidRDefault="002B658D" w:rsidP="002B658D">
      <w:pPr>
        <w:spacing w:line="480" w:lineRule="auto"/>
        <w:ind w:left="360"/>
        <w:rPr>
          <w:rFonts w:ascii="Times New Roman" w:hAnsi="Times New Roman" w:cs="Times New Roman"/>
        </w:rPr>
      </w:pPr>
      <w:r w:rsidRPr="002B658D">
        <w:rPr>
          <w:rFonts w:ascii="Times New Roman" w:hAnsi="Times New Roman" w:cs="Times New Roman"/>
        </w:rPr>
        <w:t xml:space="preserve">HM Land Registry (2021) Practice Guide 52: easements claimed by prescription Available at: </w:t>
      </w:r>
      <w:hyperlink r:id="rId12" w:history="1">
        <w:r w:rsidRPr="002B658D">
          <w:rPr>
            <w:rStyle w:val="Hyperlink"/>
            <w:rFonts w:ascii="Times New Roman" w:hAnsi="Times New Roman" w:cs="Times New Roman"/>
          </w:rPr>
          <w:t>Practice guide 52: easements claimed by prescription - GOV.UK (www.gov.uk)</w:t>
        </w:r>
      </w:hyperlink>
      <w:r w:rsidRPr="002B658D">
        <w:rPr>
          <w:rFonts w:ascii="Times New Roman" w:hAnsi="Times New Roman" w:cs="Times New Roman"/>
        </w:rPr>
        <w:t xml:space="preserve"> (Accessed on: 30.09.22) (a)</w:t>
      </w:r>
    </w:p>
    <w:p w14:paraId="470E65C1" w14:textId="77777777" w:rsidR="002B658D" w:rsidRPr="002B658D" w:rsidRDefault="002B658D" w:rsidP="002B658D">
      <w:pPr>
        <w:spacing w:line="480" w:lineRule="auto"/>
        <w:ind w:left="360"/>
        <w:rPr>
          <w:rFonts w:ascii="Times New Roman" w:hAnsi="Times New Roman" w:cs="Times New Roman"/>
        </w:rPr>
      </w:pPr>
      <w:r w:rsidRPr="002B658D">
        <w:rPr>
          <w:rFonts w:ascii="Times New Roman" w:hAnsi="Times New Roman" w:cs="Times New Roman"/>
        </w:rPr>
        <w:t xml:space="preserve">HM Land Registry (2021) Practice Guide 52: easements claimed by prescription Available at: </w:t>
      </w:r>
      <w:hyperlink w:history="1">
        <w:r w:rsidRPr="002B658D">
          <w:rPr>
            <w:rStyle w:val="Hyperlink"/>
            <w:rFonts w:ascii="Times New Roman" w:hAnsi="Times New Roman" w:cs="Times New Roman"/>
          </w:rPr>
          <w:t>Practice guide 52: easements claimed by prescription - GOV.UK (www.gov.uk)</w:t>
        </w:r>
      </w:hyperlink>
      <w:r w:rsidRPr="002B658D">
        <w:rPr>
          <w:rFonts w:ascii="Times New Roman" w:hAnsi="Times New Roman" w:cs="Times New Roman"/>
        </w:rPr>
        <w:t xml:space="preserve"> (Accessed on: 30.09.22) (b)</w:t>
      </w:r>
    </w:p>
    <w:p w14:paraId="0E627B14" w14:textId="77777777" w:rsidR="002B658D" w:rsidRPr="002B658D" w:rsidRDefault="002B658D" w:rsidP="002B658D">
      <w:pPr>
        <w:spacing w:line="480" w:lineRule="auto"/>
        <w:ind w:left="360"/>
        <w:rPr>
          <w:rFonts w:ascii="Times New Roman" w:hAnsi="Times New Roman" w:cs="Times New Roman"/>
        </w:rPr>
      </w:pPr>
      <w:r w:rsidRPr="002B658D">
        <w:rPr>
          <w:rFonts w:ascii="Times New Roman" w:hAnsi="Times New Roman" w:cs="Times New Roman"/>
        </w:rPr>
        <w:t xml:space="preserve">Ireland, N (2013) ‘Easements by prescription: Just what the doctrine ordered’ </w:t>
      </w:r>
      <w:r w:rsidRPr="002B658D">
        <w:rPr>
          <w:rFonts w:ascii="Times New Roman" w:hAnsi="Times New Roman" w:cs="Times New Roman"/>
          <w:i/>
          <w:iCs/>
        </w:rPr>
        <w:t xml:space="preserve">Property Law Journal </w:t>
      </w:r>
      <w:r w:rsidRPr="002B658D">
        <w:rPr>
          <w:rFonts w:ascii="Times New Roman" w:hAnsi="Times New Roman" w:cs="Times New Roman"/>
        </w:rPr>
        <w:t xml:space="preserve">pp 2-6 Available at: </w:t>
      </w:r>
      <w:hyperlink r:id="rId13" w:history="1">
        <w:r>
          <w:rPr>
            <w:rStyle w:val="Hyperlink"/>
          </w:rPr>
          <w:t>NI_PLJ_060513.pdf (forsters.co.uk)</w:t>
        </w:r>
      </w:hyperlink>
      <w:r>
        <w:t xml:space="preserve"> (Accessed on; 09.11.2022)</w:t>
      </w:r>
    </w:p>
    <w:p w14:paraId="73185932" w14:textId="77777777" w:rsidR="002B658D" w:rsidRPr="002B658D" w:rsidRDefault="002B658D" w:rsidP="002B658D">
      <w:pPr>
        <w:spacing w:line="480" w:lineRule="auto"/>
        <w:ind w:left="360"/>
        <w:rPr>
          <w:rFonts w:ascii="Times New Roman" w:hAnsi="Times New Roman" w:cs="Times New Roman"/>
        </w:rPr>
      </w:pPr>
      <w:r w:rsidRPr="002B658D">
        <w:rPr>
          <w:rFonts w:ascii="Times New Roman" w:hAnsi="Times New Roman" w:cs="Times New Roman"/>
        </w:rPr>
        <w:t xml:space="preserve">Law Commission (1998) </w:t>
      </w:r>
      <w:r w:rsidRPr="002B658D">
        <w:rPr>
          <w:rFonts w:ascii="Times New Roman" w:hAnsi="Times New Roman" w:cs="Times New Roman"/>
          <w:i/>
          <w:iCs/>
        </w:rPr>
        <w:t>Land Registration for the 21</w:t>
      </w:r>
      <w:r w:rsidRPr="002B658D">
        <w:rPr>
          <w:rFonts w:ascii="Times New Roman" w:hAnsi="Times New Roman" w:cs="Times New Roman"/>
          <w:i/>
          <w:iCs/>
          <w:vertAlign w:val="superscript"/>
        </w:rPr>
        <w:t>st</w:t>
      </w:r>
      <w:r w:rsidRPr="002B658D">
        <w:rPr>
          <w:rFonts w:ascii="Times New Roman" w:hAnsi="Times New Roman" w:cs="Times New Roman"/>
          <w:i/>
          <w:iCs/>
        </w:rPr>
        <w:t xml:space="preserve"> Century: A Consultative Document </w:t>
      </w:r>
      <w:r w:rsidRPr="002B658D">
        <w:rPr>
          <w:rFonts w:ascii="Times New Roman" w:hAnsi="Times New Roman" w:cs="Times New Roman"/>
        </w:rPr>
        <w:t xml:space="preserve">Available at: </w:t>
      </w:r>
      <w:hyperlink r:id="rId14" w:history="1">
        <w:proofErr w:type="gramStart"/>
        <w:r w:rsidRPr="002B658D">
          <w:rPr>
            <w:rStyle w:val="Hyperlink"/>
            <w:rFonts w:ascii="Times New Roman" w:hAnsi="Times New Roman" w:cs="Times New Roman"/>
          </w:rPr>
          <w:t>P:WORKLANDREG2PT1.PDF</w:t>
        </w:r>
        <w:proofErr w:type="gramEnd"/>
        <w:r w:rsidRPr="002B658D">
          <w:rPr>
            <w:rStyle w:val="Hyperlink"/>
            <w:rFonts w:ascii="Times New Roman" w:hAnsi="Times New Roman" w:cs="Times New Roman"/>
          </w:rPr>
          <w:t xml:space="preserve"> (lawcom.gov.uk)</w:t>
        </w:r>
      </w:hyperlink>
      <w:r w:rsidRPr="002B658D">
        <w:rPr>
          <w:rFonts w:ascii="Times New Roman" w:hAnsi="Times New Roman" w:cs="Times New Roman"/>
        </w:rPr>
        <w:t xml:space="preserve"> (Accessed on: 23.10.2022)</w:t>
      </w:r>
    </w:p>
    <w:p w14:paraId="0822D671" w14:textId="77777777" w:rsidR="002B658D" w:rsidRPr="002B658D" w:rsidRDefault="002B658D" w:rsidP="002B658D">
      <w:pPr>
        <w:spacing w:line="480" w:lineRule="auto"/>
        <w:ind w:left="360"/>
        <w:rPr>
          <w:rFonts w:ascii="Times New Roman" w:hAnsi="Times New Roman" w:cs="Times New Roman"/>
        </w:rPr>
      </w:pPr>
      <w:r w:rsidRPr="002B658D">
        <w:rPr>
          <w:rFonts w:ascii="Times New Roman" w:hAnsi="Times New Roman" w:cs="Times New Roman"/>
        </w:rPr>
        <w:t xml:space="preserve">Law Commission (2001) </w:t>
      </w:r>
      <w:r w:rsidRPr="002B658D">
        <w:rPr>
          <w:rFonts w:ascii="Times New Roman" w:hAnsi="Times New Roman" w:cs="Times New Roman"/>
          <w:i/>
          <w:iCs/>
        </w:rPr>
        <w:t xml:space="preserve">Land Registration for the Twenty-First Century A </w:t>
      </w:r>
      <w:proofErr w:type="gramStart"/>
      <w:r w:rsidRPr="002B658D">
        <w:rPr>
          <w:rFonts w:ascii="Times New Roman" w:hAnsi="Times New Roman" w:cs="Times New Roman"/>
          <w:i/>
          <w:iCs/>
        </w:rPr>
        <w:t>conveyancing</w:t>
      </w:r>
      <w:proofErr w:type="gramEnd"/>
      <w:r w:rsidRPr="002B658D">
        <w:rPr>
          <w:rFonts w:ascii="Times New Roman" w:hAnsi="Times New Roman" w:cs="Times New Roman"/>
          <w:i/>
          <w:iCs/>
        </w:rPr>
        <w:t xml:space="preserve"> Revolution </w:t>
      </w:r>
      <w:r w:rsidRPr="002B658D">
        <w:rPr>
          <w:rFonts w:ascii="Times New Roman" w:hAnsi="Times New Roman" w:cs="Times New Roman"/>
        </w:rPr>
        <w:t xml:space="preserve">(No 271) Available at: </w:t>
      </w:r>
      <w:hyperlink r:id="rId15" w:history="1">
        <w:r w:rsidRPr="002B658D">
          <w:rPr>
            <w:rStyle w:val="Hyperlink"/>
            <w:rFonts w:ascii="Times New Roman" w:hAnsi="Times New Roman" w:cs="Times New Roman"/>
          </w:rPr>
          <w:t>H:\WORK\LANDREG\LC271\PDF_FI~1\1.PDF.pdf (lawcom.gov.uk)</w:t>
        </w:r>
      </w:hyperlink>
      <w:r w:rsidRPr="002B658D">
        <w:rPr>
          <w:rFonts w:ascii="Times New Roman" w:hAnsi="Times New Roman" w:cs="Times New Roman"/>
        </w:rPr>
        <w:t xml:space="preserve"> (Accessed on: 23.10.2022)</w:t>
      </w:r>
    </w:p>
    <w:p w14:paraId="3B896985" w14:textId="77777777" w:rsidR="002B658D" w:rsidRPr="002B658D" w:rsidRDefault="002B658D" w:rsidP="002B658D">
      <w:pPr>
        <w:spacing w:line="480" w:lineRule="auto"/>
        <w:ind w:left="360"/>
        <w:rPr>
          <w:rFonts w:ascii="Times New Roman" w:hAnsi="Times New Roman" w:cs="Times New Roman"/>
        </w:rPr>
      </w:pPr>
      <w:r w:rsidRPr="002B658D">
        <w:rPr>
          <w:rFonts w:ascii="Times New Roman" w:hAnsi="Times New Roman" w:cs="Times New Roman"/>
        </w:rPr>
        <w:t xml:space="preserve">Law Commission (2011) </w:t>
      </w:r>
      <w:r w:rsidRPr="002B658D">
        <w:rPr>
          <w:rFonts w:ascii="Times New Roman" w:hAnsi="Times New Roman" w:cs="Times New Roman"/>
          <w:i/>
          <w:iCs/>
        </w:rPr>
        <w:t>Easements, Covenants and Profits A Prendre A consultation Paper</w:t>
      </w:r>
      <w:r w:rsidRPr="002B658D">
        <w:rPr>
          <w:rFonts w:ascii="Times New Roman" w:hAnsi="Times New Roman" w:cs="Times New Roman"/>
        </w:rPr>
        <w:t xml:space="preserve"> (no 186) Available at: </w:t>
      </w:r>
      <w:hyperlink r:id="rId16" w:history="1">
        <w:r w:rsidRPr="002B658D">
          <w:rPr>
            <w:rStyle w:val="Hyperlink"/>
            <w:rFonts w:ascii="Times New Roman" w:hAnsi="Times New Roman" w:cs="Times New Roman"/>
          </w:rPr>
          <w:t>Microsoft Word - cp186_title.doc (lawcom.gov.uk)</w:t>
        </w:r>
      </w:hyperlink>
      <w:r w:rsidRPr="002B658D">
        <w:rPr>
          <w:rFonts w:ascii="Times New Roman" w:hAnsi="Times New Roman" w:cs="Times New Roman"/>
        </w:rPr>
        <w:t xml:space="preserve"> (Accessed on: 26.10.2022 (d)</w:t>
      </w:r>
    </w:p>
    <w:p w14:paraId="21A1DD33" w14:textId="77777777" w:rsidR="002B658D" w:rsidRPr="002B658D" w:rsidRDefault="002B658D" w:rsidP="002B658D">
      <w:pPr>
        <w:spacing w:line="480" w:lineRule="auto"/>
        <w:ind w:left="360"/>
        <w:rPr>
          <w:rFonts w:ascii="Times New Roman" w:hAnsi="Times New Roman" w:cs="Times New Roman"/>
        </w:rPr>
      </w:pPr>
      <w:r w:rsidRPr="002B658D">
        <w:rPr>
          <w:rFonts w:ascii="Times New Roman" w:hAnsi="Times New Roman" w:cs="Times New Roman"/>
        </w:rPr>
        <w:lastRenderedPageBreak/>
        <w:t>Law Commission (2011)</w:t>
      </w:r>
      <w:r w:rsidRPr="002B658D">
        <w:rPr>
          <w:rFonts w:ascii="Times New Roman" w:hAnsi="Times New Roman" w:cs="Times New Roman"/>
          <w:i/>
          <w:iCs/>
        </w:rPr>
        <w:t xml:space="preserve"> Easements, Covenants and Profits A Prendre consultation Analysis </w:t>
      </w:r>
      <w:r w:rsidRPr="002B658D">
        <w:rPr>
          <w:rFonts w:ascii="Times New Roman" w:hAnsi="Times New Roman" w:cs="Times New Roman"/>
        </w:rPr>
        <w:t xml:space="preserve">(No 186) Available at: </w:t>
      </w:r>
      <w:hyperlink r:id="rId17" w:history="1">
        <w:r w:rsidRPr="002B658D">
          <w:rPr>
            <w:rStyle w:val="Hyperlink"/>
            <w:rFonts w:ascii="Times New Roman" w:hAnsi="Times New Roman" w:cs="Times New Roman"/>
          </w:rPr>
          <w:t>Microsoft Word - lc327_analysis_of_responses.doc</w:t>
        </w:r>
      </w:hyperlink>
      <w:r w:rsidRPr="002B658D">
        <w:rPr>
          <w:rFonts w:ascii="Times New Roman" w:hAnsi="Times New Roman" w:cs="Times New Roman"/>
        </w:rPr>
        <w:t xml:space="preserve"> (Accessed on: 25.10.2022) (c )</w:t>
      </w:r>
    </w:p>
    <w:p w14:paraId="59AFA4C0" w14:textId="77777777" w:rsidR="002B658D" w:rsidRPr="002B658D" w:rsidRDefault="002B658D" w:rsidP="002B658D">
      <w:pPr>
        <w:spacing w:line="480" w:lineRule="auto"/>
        <w:ind w:left="360"/>
        <w:rPr>
          <w:rFonts w:ascii="Times New Roman" w:hAnsi="Times New Roman" w:cs="Times New Roman"/>
        </w:rPr>
      </w:pPr>
      <w:r w:rsidRPr="002B658D">
        <w:rPr>
          <w:rFonts w:ascii="Times New Roman" w:hAnsi="Times New Roman" w:cs="Times New Roman"/>
        </w:rPr>
        <w:t xml:space="preserve">Law Commission (2011) </w:t>
      </w:r>
      <w:r w:rsidRPr="002B658D">
        <w:rPr>
          <w:rFonts w:ascii="Times New Roman" w:hAnsi="Times New Roman" w:cs="Times New Roman"/>
          <w:i/>
          <w:iCs/>
        </w:rPr>
        <w:t xml:space="preserve">Impact Assessment of the Law of Property Bill (2011) </w:t>
      </w:r>
      <w:r w:rsidRPr="002B658D">
        <w:rPr>
          <w:rFonts w:ascii="Times New Roman" w:hAnsi="Times New Roman" w:cs="Times New Roman"/>
        </w:rPr>
        <w:t xml:space="preserve">Available at: </w:t>
      </w:r>
      <w:hyperlink r:id="rId18" w:history="1">
        <w:r w:rsidRPr="002B658D">
          <w:rPr>
            <w:rStyle w:val="Hyperlink"/>
            <w:rFonts w:ascii="Times New Roman" w:hAnsi="Times New Roman" w:cs="Times New Roman"/>
          </w:rPr>
          <w:t>Microsoft Word - lc327_impact_assessment.doc</w:t>
        </w:r>
      </w:hyperlink>
      <w:r w:rsidRPr="002B658D">
        <w:rPr>
          <w:rStyle w:val="Hyperlink"/>
          <w:rFonts w:ascii="Times New Roman" w:hAnsi="Times New Roman" w:cs="Times New Roman"/>
        </w:rPr>
        <w:t xml:space="preserve"> (Accessed on: 26.10.2022) (f)</w:t>
      </w:r>
    </w:p>
    <w:p w14:paraId="42502E92" w14:textId="77777777" w:rsidR="002B658D" w:rsidRPr="002B658D" w:rsidRDefault="002B658D" w:rsidP="002B658D">
      <w:pPr>
        <w:spacing w:line="480" w:lineRule="auto"/>
        <w:ind w:left="360"/>
        <w:rPr>
          <w:rFonts w:ascii="Times New Roman" w:hAnsi="Times New Roman" w:cs="Times New Roman"/>
        </w:rPr>
      </w:pPr>
      <w:r w:rsidRPr="002B658D">
        <w:rPr>
          <w:rFonts w:ascii="Times New Roman" w:hAnsi="Times New Roman" w:cs="Times New Roman"/>
        </w:rPr>
        <w:t xml:space="preserve">Law Commission (2011) </w:t>
      </w:r>
      <w:r w:rsidRPr="002B658D">
        <w:rPr>
          <w:rFonts w:ascii="Times New Roman" w:hAnsi="Times New Roman" w:cs="Times New Roman"/>
          <w:i/>
          <w:iCs/>
        </w:rPr>
        <w:t>Making Land Work: Easements, Covenants and Profits A Prendre Executive Summary (</w:t>
      </w:r>
      <w:r w:rsidRPr="002B658D">
        <w:rPr>
          <w:rFonts w:ascii="Times New Roman" w:hAnsi="Times New Roman" w:cs="Times New Roman"/>
        </w:rPr>
        <w:t xml:space="preserve">No 327) Available at: </w:t>
      </w:r>
      <w:hyperlink r:id="rId19" w:anchor=":~:text=The%20Law%20Commission%20%28LAW%20COM%20No%20327%29%20MAKING,Commons%20to%20be%20printed%20on%207%20June%202011" w:history="1">
        <w:r w:rsidRPr="002B658D">
          <w:rPr>
            <w:rStyle w:val="Hyperlink"/>
            <w:rFonts w:ascii="Times New Roman" w:hAnsi="Times New Roman" w:cs="Times New Roman"/>
          </w:rPr>
          <w:t>MAKING LAND WORK: EASEMENTS, COVENANTS AND PROFITS À PRENDRE HC 1067 (publishing.service.gov.uk)</w:t>
        </w:r>
      </w:hyperlink>
      <w:r w:rsidRPr="002B658D">
        <w:rPr>
          <w:rFonts w:ascii="Times New Roman" w:hAnsi="Times New Roman" w:cs="Times New Roman"/>
        </w:rPr>
        <w:t xml:space="preserve"> (Accessed on: 15.10.2022) (a)</w:t>
      </w:r>
    </w:p>
    <w:p w14:paraId="19176232" w14:textId="77777777" w:rsidR="002B658D" w:rsidRPr="002B658D" w:rsidRDefault="002B658D" w:rsidP="002B658D">
      <w:pPr>
        <w:spacing w:line="480" w:lineRule="auto"/>
        <w:ind w:left="360"/>
        <w:rPr>
          <w:rFonts w:ascii="Times New Roman" w:hAnsi="Times New Roman" w:cs="Times New Roman"/>
        </w:rPr>
      </w:pPr>
      <w:r w:rsidRPr="002B658D">
        <w:rPr>
          <w:rFonts w:ascii="Times New Roman" w:hAnsi="Times New Roman" w:cs="Times New Roman"/>
        </w:rPr>
        <w:t xml:space="preserve">Law Commission (2011) </w:t>
      </w:r>
      <w:r w:rsidRPr="002B658D">
        <w:rPr>
          <w:rFonts w:ascii="Times New Roman" w:hAnsi="Times New Roman" w:cs="Times New Roman"/>
          <w:i/>
          <w:iCs/>
        </w:rPr>
        <w:t>Making Land Work: Easements, Covenants and Profits A Prendre Executive Summary (</w:t>
      </w:r>
      <w:r w:rsidRPr="002B658D">
        <w:rPr>
          <w:rFonts w:ascii="Times New Roman" w:hAnsi="Times New Roman" w:cs="Times New Roman"/>
        </w:rPr>
        <w:t xml:space="preserve">No 327) Available at: </w:t>
      </w:r>
      <w:hyperlink r:id="rId20" w:anchor=":~:text=The%20Law%20Commission%20%28LAW%20COM%20No%20327%29%20MAKING,Commons%20to%20be%20printed%20on%207%20June%202011" w:history="1">
        <w:r w:rsidRPr="002B658D">
          <w:rPr>
            <w:rStyle w:val="Hyperlink"/>
            <w:rFonts w:ascii="Times New Roman" w:hAnsi="Times New Roman" w:cs="Times New Roman"/>
          </w:rPr>
          <w:t>MAKING LAND WORK: EASEMENTS, COVENANTS AND PROFITS À PRENDRE HC 1067 (publishing.service.gov.uk)</w:t>
        </w:r>
      </w:hyperlink>
      <w:r w:rsidRPr="002B658D">
        <w:rPr>
          <w:rFonts w:ascii="Times New Roman" w:hAnsi="Times New Roman" w:cs="Times New Roman"/>
        </w:rPr>
        <w:t xml:space="preserve"> (Accessed on: 23.10.2022) (b)</w:t>
      </w:r>
    </w:p>
    <w:p w14:paraId="311ED2C2" w14:textId="77777777" w:rsidR="002B658D" w:rsidRPr="002B658D" w:rsidRDefault="002B658D" w:rsidP="002B658D">
      <w:pPr>
        <w:spacing w:line="480" w:lineRule="auto"/>
        <w:ind w:left="360"/>
        <w:rPr>
          <w:rFonts w:ascii="Times New Roman" w:hAnsi="Times New Roman" w:cs="Times New Roman"/>
        </w:rPr>
      </w:pPr>
      <w:r w:rsidRPr="002B658D">
        <w:rPr>
          <w:rFonts w:ascii="Times New Roman" w:hAnsi="Times New Roman" w:cs="Times New Roman"/>
        </w:rPr>
        <w:t xml:space="preserve">Lord Neuberger (2012) ‘General, Equal and Certain: Law Reform Today and Tomorrow’ </w:t>
      </w:r>
      <w:r w:rsidRPr="002B658D">
        <w:rPr>
          <w:rFonts w:ascii="Times New Roman" w:hAnsi="Times New Roman" w:cs="Times New Roman"/>
          <w:i/>
          <w:iCs/>
        </w:rPr>
        <w:t xml:space="preserve">Statute Law Review </w:t>
      </w:r>
      <w:r w:rsidRPr="002B658D">
        <w:rPr>
          <w:rFonts w:ascii="Times New Roman" w:hAnsi="Times New Roman" w:cs="Times New Roman"/>
        </w:rPr>
        <w:t xml:space="preserve">issue 3 Available at: </w:t>
      </w:r>
      <w:hyperlink r:id="rId21" w:history="1">
        <w:r>
          <w:rPr>
            <w:rStyle w:val="Hyperlink"/>
          </w:rPr>
          <w:t>General, Equal and Certain: Law Reform Today and Tomorrow (uwtsd.ac.uk)</w:t>
        </w:r>
      </w:hyperlink>
      <w:r>
        <w:t xml:space="preserve"> (Accessed on: 10.11.2022)</w:t>
      </w:r>
    </w:p>
    <w:p w14:paraId="068837F8" w14:textId="77777777" w:rsidR="002B658D" w:rsidRPr="002B658D" w:rsidRDefault="002B658D" w:rsidP="002B658D">
      <w:pPr>
        <w:spacing w:line="480" w:lineRule="auto"/>
        <w:ind w:left="360"/>
        <w:rPr>
          <w:rFonts w:ascii="Times New Roman" w:hAnsi="Times New Roman" w:cs="Times New Roman"/>
        </w:rPr>
      </w:pPr>
      <w:r w:rsidRPr="002B658D">
        <w:rPr>
          <w:rFonts w:ascii="Times New Roman" w:hAnsi="Times New Roman" w:cs="Times New Roman"/>
        </w:rPr>
        <w:t xml:space="preserve">McFarlane, B, Hopkins, N and </w:t>
      </w:r>
      <w:proofErr w:type="spellStart"/>
      <w:r w:rsidRPr="002B658D">
        <w:rPr>
          <w:rFonts w:ascii="Times New Roman" w:hAnsi="Times New Roman" w:cs="Times New Roman"/>
        </w:rPr>
        <w:t>Nield</w:t>
      </w:r>
      <w:proofErr w:type="spellEnd"/>
      <w:r w:rsidRPr="002B658D">
        <w:rPr>
          <w:rFonts w:ascii="Times New Roman" w:hAnsi="Times New Roman" w:cs="Times New Roman"/>
        </w:rPr>
        <w:t xml:space="preserve">, S (2015) </w:t>
      </w:r>
      <w:r w:rsidRPr="002B658D">
        <w:rPr>
          <w:rFonts w:ascii="Times New Roman" w:hAnsi="Times New Roman" w:cs="Times New Roman"/>
          <w:i/>
          <w:iCs/>
        </w:rPr>
        <w:t>Land Law, Text, Cases and Materials</w:t>
      </w:r>
      <w:r w:rsidRPr="002B658D">
        <w:rPr>
          <w:rFonts w:ascii="Times New Roman" w:hAnsi="Times New Roman" w:cs="Times New Roman"/>
        </w:rPr>
        <w:t xml:space="preserve"> Oxford: Oxford University Press 3rd Edition</w:t>
      </w:r>
    </w:p>
    <w:p w14:paraId="32D7D041" w14:textId="77777777" w:rsidR="002B658D" w:rsidRPr="002B658D" w:rsidRDefault="002B658D" w:rsidP="002B658D">
      <w:pPr>
        <w:spacing w:line="480" w:lineRule="auto"/>
        <w:ind w:left="360"/>
        <w:rPr>
          <w:rFonts w:ascii="Times New Roman" w:hAnsi="Times New Roman" w:cs="Times New Roman"/>
        </w:rPr>
      </w:pPr>
      <w:r w:rsidRPr="002B658D">
        <w:rPr>
          <w:rFonts w:ascii="Times New Roman" w:hAnsi="Times New Roman" w:cs="Times New Roman"/>
        </w:rPr>
        <w:t xml:space="preserve">Smith. J (2007) </w:t>
      </w:r>
      <w:r w:rsidRPr="002B658D">
        <w:rPr>
          <w:rFonts w:ascii="Times New Roman" w:hAnsi="Times New Roman" w:cs="Times New Roman"/>
          <w:i/>
          <w:iCs/>
        </w:rPr>
        <w:t xml:space="preserve">Property Law </w:t>
      </w:r>
      <w:r w:rsidRPr="002B658D">
        <w:rPr>
          <w:rFonts w:ascii="Times New Roman" w:hAnsi="Times New Roman" w:cs="Times New Roman"/>
        </w:rPr>
        <w:t>Edinburgh: Pearson 9</w:t>
      </w:r>
      <w:r w:rsidRPr="002B658D">
        <w:rPr>
          <w:rFonts w:ascii="Times New Roman" w:hAnsi="Times New Roman" w:cs="Times New Roman"/>
          <w:vertAlign w:val="superscript"/>
        </w:rPr>
        <w:t>th</w:t>
      </w:r>
      <w:r w:rsidRPr="002B658D">
        <w:rPr>
          <w:rFonts w:ascii="Times New Roman" w:hAnsi="Times New Roman" w:cs="Times New Roman"/>
        </w:rPr>
        <w:t xml:space="preserve"> Edition (a)</w:t>
      </w:r>
    </w:p>
    <w:p w14:paraId="1C5D1912" w14:textId="77777777" w:rsidR="002B658D" w:rsidRPr="002B658D" w:rsidRDefault="002B658D" w:rsidP="002B658D">
      <w:pPr>
        <w:spacing w:line="480" w:lineRule="auto"/>
        <w:ind w:left="360"/>
        <w:rPr>
          <w:rFonts w:ascii="Times New Roman" w:hAnsi="Times New Roman" w:cs="Times New Roman"/>
        </w:rPr>
      </w:pPr>
      <w:r w:rsidRPr="002B658D">
        <w:rPr>
          <w:rFonts w:ascii="Times New Roman" w:hAnsi="Times New Roman" w:cs="Times New Roman"/>
        </w:rPr>
        <w:t xml:space="preserve">Smith. J (2007) </w:t>
      </w:r>
      <w:r w:rsidRPr="002B658D">
        <w:rPr>
          <w:rFonts w:ascii="Times New Roman" w:hAnsi="Times New Roman" w:cs="Times New Roman"/>
          <w:i/>
          <w:iCs/>
        </w:rPr>
        <w:t xml:space="preserve">Property Law </w:t>
      </w:r>
      <w:r w:rsidRPr="002B658D">
        <w:rPr>
          <w:rFonts w:ascii="Times New Roman" w:hAnsi="Times New Roman" w:cs="Times New Roman"/>
        </w:rPr>
        <w:t>Edinburgh: Pearson 9</w:t>
      </w:r>
      <w:r w:rsidRPr="002B658D">
        <w:rPr>
          <w:rFonts w:ascii="Times New Roman" w:hAnsi="Times New Roman" w:cs="Times New Roman"/>
          <w:vertAlign w:val="superscript"/>
        </w:rPr>
        <w:t>th</w:t>
      </w:r>
      <w:r w:rsidRPr="002B658D">
        <w:rPr>
          <w:rFonts w:ascii="Times New Roman" w:hAnsi="Times New Roman" w:cs="Times New Roman"/>
        </w:rPr>
        <w:t xml:space="preserve"> Edition (b)</w:t>
      </w:r>
    </w:p>
    <w:p w14:paraId="3A9777A5" w14:textId="77777777" w:rsidR="002B658D" w:rsidRPr="002B658D" w:rsidRDefault="002B658D" w:rsidP="002B658D">
      <w:pPr>
        <w:spacing w:line="480" w:lineRule="auto"/>
        <w:ind w:left="360"/>
        <w:rPr>
          <w:rFonts w:ascii="Times New Roman" w:hAnsi="Times New Roman" w:cs="Times New Roman"/>
        </w:rPr>
      </w:pPr>
      <w:r w:rsidRPr="002B658D">
        <w:rPr>
          <w:rFonts w:ascii="Times New Roman" w:hAnsi="Times New Roman" w:cs="Times New Roman"/>
        </w:rPr>
        <w:t xml:space="preserve">The Law Reform Commission (2002) </w:t>
      </w:r>
      <w:r w:rsidRPr="002B658D">
        <w:rPr>
          <w:rFonts w:ascii="Times New Roman" w:hAnsi="Times New Roman" w:cs="Times New Roman"/>
          <w:i/>
          <w:iCs/>
        </w:rPr>
        <w:t xml:space="preserve">Report on The Acquisition of Easements and Profits A </w:t>
      </w:r>
      <w:proofErr w:type="spellStart"/>
      <w:r w:rsidRPr="002B658D">
        <w:rPr>
          <w:rFonts w:ascii="Times New Roman" w:hAnsi="Times New Roman" w:cs="Times New Roman"/>
          <w:i/>
          <w:iCs/>
        </w:rPr>
        <w:t>Pendre</w:t>
      </w:r>
      <w:proofErr w:type="spellEnd"/>
      <w:r w:rsidRPr="002B658D">
        <w:rPr>
          <w:rFonts w:ascii="Times New Roman" w:hAnsi="Times New Roman" w:cs="Times New Roman"/>
          <w:i/>
          <w:iCs/>
        </w:rPr>
        <w:t xml:space="preserve"> by Prescription </w:t>
      </w:r>
      <w:r w:rsidRPr="002B658D">
        <w:rPr>
          <w:rFonts w:ascii="Times New Roman" w:hAnsi="Times New Roman" w:cs="Times New Roman"/>
        </w:rPr>
        <w:t xml:space="preserve">(LRC 66) Available at: </w:t>
      </w:r>
      <w:hyperlink r:id="rId22" w:history="1">
        <w:r w:rsidRPr="002B658D">
          <w:rPr>
            <w:rStyle w:val="Hyperlink"/>
            <w:rFonts w:ascii="Times New Roman" w:hAnsi="Times New Roman" w:cs="Times New Roman"/>
          </w:rPr>
          <w:t>Microsoft Word - Easements and Profits - Final Version - Sent to Printer 31– (lawreform.ie)</w:t>
        </w:r>
      </w:hyperlink>
      <w:r w:rsidRPr="002B658D">
        <w:rPr>
          <w:rFonts w:ascii="Times New Roman" w:hAnsi="Times New Roman" w:cs="Times New Roman"/>
        </w:rPr>
        <w:t xml:space="preserve"> (Accessed on: 23.10.2022)</w:t>
      </w:r>
    </w:p>
    <w:p w14:paraId="5FD5BFF1" w14:textId="77777777" w:rsidR="002B658D" w:rsidRPr="002B658D" w:rsidRDefault="002B658D" w:rsidP="002B658D">
      <w:pPr>
        <w:spacing w:line="480" w:lineRule="auto"/>
        <w:ind w:left="360"/>
        <w:rPr>
          <w:rStyle w:val="Hyperlink"/>
          <w:rFonts w:ascii="Times New Roman" w:hAnsi="Times New Roman" w:cs="Times New Roman"/>
          <w:color w:val="auto"/>
          <w:u w:val="none"/>
        </w:rPr>
      </w:pPr>
      <w:proofErr w:type="spellStart"/>
      <w:r w:rsidRPr="002B658D">
        <w:rPr>
          <w:rStyle w:val="Hyperlink"/>
          <w:rFonts w:ascii="Times New Roman" w:hAnsi="Times New Roman" w:cs="Times New Roman"/>
          <w:color w:val="auto"/>
          <w:u w:val="none"/>
        </w:rPr>
        <w:t>Warenius</w:t>
      </w:r>
      <w:proofErr w:type="spellEnd"/>
      <w:r w:rsidRPr="002B658D">
        <w:rPr>
          <w:rStyle w:val="Hyperlink"/>
          <w:rFonts w:ascii="Times New Roman" w:hAnsi="Times New Roman" w:cs="Times New Roman"/>
          <w:color w:val="auto"/>
          <w:u w:val="none"/>
        </w:rPr>
        <w:t xml:space="preserve">, C (2012) ‘Property: </w:t>
      </w:r>
      <w:proofErr w:type="gramStart"/>
      <w:r w:rsidRPr="002B658D">
        <w:rPr>
          <w:rStyle w:val="Hyperlink"/>
          <w:rFonts w:ascii="Times New Roman" w:hAnsi="Times New Roman" w:cs="Times New Roman"/>
          <w:color w:val="auto"/>
          <w:u w:val="none"/>
        </w:rPr>
        <w:t>Easy</w:t>
      </w:r>
      <w:proofErr w:type="gramEnd"/>
      <w:r w:rsidRPr="002B658D">
        <w:rPr>
          <w:rStyle w:val="Hyperlink"/>
          <w:rFonts w:ascii="Times New Roman" w:hAnsi="Times New Roman" w:cs="Times New Roman"/>
          <w:color w:val="auto"/>
          <w:u w:val="none"/>
        </w:rPr>
        <w:t xml:space="preserve"> does it?’ </w:t>
      </w:r>
      <w:r w:rsidRPr="002B658D">
        <w:rPr>
          <w:rStyle w:val="Hyperlink"/>
          <w:rFonts w:ascii="Times New Roman" w:hAnsi="Times New Roman" w:cs="Times New Roman"/>
          <w:i/>
          <w:iCs/>
          <w:color w:val="auto"/>
          <w:u w:val="none"/>
        </w:rPr>
        <w:t xml:space="preserve">New Law Journal </w:t>
      </w:r>
      <w:r w:rsidRPr="002B658D">
        <w:rPr>
          <w:rStyle w:val="Hyperlink"/>
          <w:rFonts w:ascii="Times New Roman" w:hAnsi="Times New Roman" w:cs="Times New Roman"/>
          <w:color w:val="auto"/>
          <w:u w:val="none"/>
        </w:rPr>
        <w:t xml:space="preserve">Vol.162 </w:t>
      </w:r>
      <w:proofErr w:type="spellStart"/>
      <w:r w:rsidRPr="002B658D">
        <w:rPr>
          <w:rStyle w:val="Hyperlink"/>
          <w:rFonts w:ascii="Times New Roman" w:hAnsi="Times New Roman" w:cs="Times New Roman"/>
          <w:color w:val="auto"/>
          <w:u w:val="none"/>
        </w:rPr>
        <w:t>isuue</w:t>
      </w:r>
      <w:proofErr w:type="spellEnd"/>
      <w:r w:rsidRPr="002B658D">
        <w:rPr>
          <w:rStyle w:val="Hyperlink"/>
          <w:rFonts w:ascii="Times New Roman" w:hAnsi="Times New Roman" w:cs="Times New Roman"/>
          <w:color w:val="auto"/>
          <w:u w:val="none"/>
        </w:rPr>
        <w:t xml:space="preserve"> 7510 pp.527-528 Available at: </w:t>
      </w:r>
      <w:hyperlink r:id="rId23" w:history="1">
        <w:r w:rsidRPr="002B658D">
          <w:rPr>
            <w:rStyle w:val="Hyperlink"/>
            <w:rFonts w:ascii="Times New Roman" w:hAnsi="Times New Roman" w:cs="Times New Roman"/>
          </w:rPr>
          <w:t>Property Easy does it.pdf</w:t>
        </w:r>
      </w:hyperlink>
      <w:r w:rsidRPr="002B658D">
        <w:rPr>
          <w:rFonts w:ascii="Times New Roman" w:hAnsi="Times New Roman" w:cs="Times New Roman"/>
        </w:rPr>
        <w:t xml:space="preserve"> (Accessed on: 18.10.2022)</w:t>
      </w:r>
    </w:p>
    <w:p w14:paraId="263179F0" w14:textId="77777777" w:rsidR="002B658D" w:rsidRPr="002B658D" w:rsidRDefault="002B658D" w:rsidP="002B658D">
      <w:pPr>
        <w:spacing w:line="480" w:lineRule="auto"/>
        <w:ind w:left="360"/>
        <w:rPr>
          <w:rFonts w:ascii="Times New Roman" w:hAnsi="Times New Roman" w:cs="Times New Roman"/>
        </w:rPr>
      </w:pPr>
      <w:r w:rsidRPr="002B658D">
        <w:rPr>
          <w:rFonts w:ascii="Times New Roman" w:hAnsi="Times New Roman" w:cs="Times New Roman"/>
        </w:rPr>
        <w:lastRenderedPageBreak/>
        <w:t xml:space="preserve">Wilkinson, H. (1967) ‘Law Reform Committee: Fourteenth Report on Acquisition of Easements and Profits by Prescription’ </w:t>
      </w:r>
      <w:r w:rsidRPr="002B658D">
        <w:rPr>
          <w:rFonts w:ascii="Times New Roman" w:hAnsi="Times New Roman" w:cs="Times New Roman"/>
          <w:i/>
          <w:iCs/>
        </w:rPr>
        <w:t xml:space="preserve">Modern Law Review </w:t>
      </w:r>
      <w:r w:rsidRPr="002B658D">
        <w:rPr>
          <w:rFonts w:ascii="Times New Roman" w:hAnsi="Times New Roman" w:cs="Times New Roman"/>
        </w:rPr>
        <w:t xml:space="preserve">Vol.30 No.2 pp. 189-193. Available at: </w:t>
      </w:r>
      <w:hyperlink r:id="rId24" w:history="1">
        <w:r w:rsidRPr="002B658D">
          <w:rPr>
            <w:rStyle w:val="Hyperlink"/>
            <w:rFonts w:ascii="Times New Roman" w:hAnsi="Times New Roman" w:cs="Times New Roman"/>
          </w:rPr>
          <w:t>Law Reform Committee: Fourteenth Report on Acquisition of Easements and Profits by Prescription (uwtsd.ac.uk)</w:t>
        </w:r>
      </w:hyperlink>
      <w:r w:rsidRPr="002B658D">
        <w:rPr>
          <w:rFonts w:ascii="Times New Roman" w:hAnsi="Times New Roman" w:cs="Times New Roman"/>
        </w:rPr>
        <w:t xml:space="preserve"> (Accessed on: 05.10.22)</w:t>
      </w:r>
    </w:p>
    <w:p w14:paraId="531FA98E" w14:textId="77777777" w:rsidR="002B658D" w:rsidRPr="002B658D" w:rsidRDefault="002B658D" w:rsidP="002B658D">
      <w:pPr>
        <w:spacing w:line="480" w:lineRule="auto"/>
        <w:ind w:left="360"/>
        <w:rPr>
          <w:rFonts w:ascii="Times New Roman" w:hAnsi="Times New Roman" w:cs="Times New Roman"/>
        </w:rPr>
      </w:pPr>
      <w:r w:rsidRPr="002B658D">
        <w:rPr>
          <w:rFonts w:ascii="Times New Roman" w:hAnsi="Times New Roman" w:cs="Times New Roman"/>
        </w:rPr>
        <w:t xml:space="preserve">Yale, D (1962) ‘Reviewed Works: An Introduction to the History of the Land Law by A.W.B Simpson’ </w:t>
      </w:r>
      <w:r w:rsidRPr="002B658D">
        <w:rPr>
          <w:rFonts w:ascii="Times New Roman" w:hAnsi="Times New Roman" w:cs="Times New Roman"/>
          <w:i/>
          <w:iCs/>
        </w:rPr>
        <w:t xml:space="preserve">The Yale Law Journal </w:t>
      </w:r>
      <w:r w:rsidRPr="002B658D">
        <w:rPr>
          <w:rFonts w:ascii="Times New Roman" w:hAnsi="Times New Roman" w:cs="Times New Roman"/>
        </w:rPr>
        <w:t xml:space="preserve">Vol 71. No 7 pp 1374-1379 Available at: </w:t>
      </w:r>
      <w:hyperlink r:id="rId25" w:history="1">
        <w:r w:rsidRPr="002B658D">
          <w:rPr>
            <w:rStyle w:val="Hyperlink"/>
            <w:rFonts w:ascii="Times New Roman" w:hAnsi="Times New Roman" w:cs="Times New Roman"/>
          </w:rPr>
          <w:t>Document (uwtsd.ac.uk)</w:t>
        </w:r>
      </w:hyperlink>
      <w:r w:rsidRPr="002B658D">
        <w:rPr>
          <w:rFonts w:ascii="Times New Roman" w:hAnsi="Times New Roman" w:cs="Times New Roman"/>
        </w:rPr>
        <w:t xml:space="preserve"> (Accessed on: 22.10.22)</w:t>
      </w:r>
    </w:p>
    <w:sectPr w:rsidR="002B658D" w:rsidRPr="002B658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240D2F" w14:textId="77777777" w:rsidR="00F1555B" w:rsidRDefault="00F1555B" w:rsidP="00F1555B">
      <w:pPr>
        <w:spacing w:after="0" w:line="240" w:lineRule="auto"/>
      </w:pPr>
      <w:r>
        <w:separator/>
      </w:r>
    </w:p>
  </w:endnote>
  <w:endnote w:type="continuationSeparator" w:id="0">
    <w:p w14:paraId="1227C9A7" w14:textId="77777777" w:rsidR="00F1555B" w:rsidRDefault="00F1555B" w:rsidP="00F155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1B4DF8" w14:textId="77777777" w:rsidR="00F1555B" w:rsidRDefault="00F1555B" w:rsidP="00F1555B">
      <w:pPr>
        <w:spacing w:after="0" w:line="240" w:lineRule="auto"/>
      </w:pPr>
      <w:r>
        <w:separator/>
      </w:r>
    </w:p>
  </w:footnote>
  <w:footnote w:type="continuationSeparator" w:id="0">
    <w:p w14:paraId="107F9811" w14:textId="77777777" w:rsidR="00F1555B" w:rsidRDefault="00F1555B" w:rsidP="00F155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583293"/>
    <w:multiLevelType w:val="hybridMultilevel"/>
    <w:tmpl w:val="1F3461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DB1906"/>
    <w:multiLevelType w:val="hybridMultilevel"/>
    <w:tmpl w:val="2E3C1984"/>
    <w:lvl w:ilvl="0" w:tplc="E806F37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CF03FBD"/>
    <w:multiLevelType w:val="hybridMultilevel"/>
    <w:tmpl w:val="FD9879FC"/>
    <w:lvl w:ilvl="0" w:tplc="0809000F">
      <w:start w:val="1"/>
      <w:numFmt w:val="decimal"/>
      <w:lvlText w:val="%1."/>
      <w:lvlJc w:val="left"/>
      <w:pPr>
        <w:ind w:left="1069" w:hanging="360"/>
      </w:p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num w:numId="1" w16cid:durableId="405341377">
    <w:abstractNumId w:val="0"/>
  </w:num>
  <w:num w:numId="2" w16cid:durableId="681393177">
    <w:abstractNumId w:val="2"/>
  </w:num>
  <w:num w:numId="3" w16cid:durableId="13861005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70793"/>
    <w:rsid w:val="00001327"/>
    <w:rsid w:val="00024022"/>
    <w:rsid w:val="00037341"/>
    <w:rsid w:val="00044F47"/>
    <w:rsid w:val="00052539"/>
    <w:rsid w:val="00055F73"/>
    <w:rsid w:val="00061EAB"/>
    <w:rsid w:val="00071933"/>
    <w:rsid w:val="00072253"/>
    <w:rsid w:val="00075344"/>
    <w:rsid w:val="00076270"/>
    <w:rsid w:val="0009162C"/>
    <w:rsid w:val="000B2167"/>
    <w:rsid w:val="000B76FC"/>
    <w:rsid w:val="000C281F"/>
    <w:rsid w:val="000C2ED1"/>
    <w:rsid w:val="000E54FC"/>
    <w:rsid w:val="000F2B51"/>
    <w:rsid w:val="000F6DE4"/>
    <w:rsid w:val="001003D1"/>
    <w:rsid w:val="0011049E"/>
    <w:rsid w:val="001518FB"/>
    <w:rsid w:val="00153B38"/>
    <w:rsid w:val="0016187E"/>
    <w:rsid w:val="00166A49"/>
    <w:rsid w:val="001674DB"/>
    <w:rsid w:val="00194A36"/>
    <w:rsid w:val="001C1AAC"/>
    <w:rsid w:val="001D0594"/>
    <w:rsid w:val="001F51D8"/>
    <w:rsid w:val="00204B1F"/>
    <w:rsid w:val="00204C04"/>
    <w:rsid w:val="00223174"/>
    <w:rsid w:val="00243D11"/>
    <w:rsid w:val="00291DF6"/>
    <w:rsid w:val="00295053"/>
    <w:rsid w:val="002B2747"/>
    <w:rsid w:val="002B658D"/>
    <w:rsid w:val="002C2E7C"/>
    <w:rsid w:val="002D2049"/>
    <w:rsid w:val="002E4B9B"/>
    <w:rsid w:val="002E6E36"/>
    <w:rsid w:val="002F5A04"/>
    <w:rsid w:val="002F7035"/>
    <w:rsid w:val="00302B72"/>
    <w:rsid w:val="003233E3"/>
    <w:rsid w:val="003410DF"/>
    <w:rsid w:val="0035381A"/>
    <w:rsid w:val="00384523"/>
    <w:rsid w:val="0038584D"/>
    <w:rsid w:val="003B2288"/>
    <w:rsid w:val="003C7327"/>
    <w:rsid w:val="003D6F27"/>
    <w:rsid w:val="003D7295"/>
    <w:rsid w:val="003F1F49"/>
    <w:rsid w:val="003F6B15"/>
    <w:rsid w:val="00437466"/>
    <w:rsid w:val="00442D26"/>
    <w:rsid w:val="00445492"/>
    <w:rsid w:val="004515A9"/>
    <w:rsid w:val="00474B61"/>
    <w:rsid w:val="00484EE2"/>
    <w:rsid w:val="004B3532"/>
    <w:rsid w:val="004D741B"/>
    <w:rsid w:val="004E2A3D"/>
    <w:rsid w:val="004E57BE"/>
    <w:rsid w:val="00501E7D"/>
    <w:rsid w:val="00502E9A"/>
    <w:rsid w:val="00516530"/>
    <w:rsid w:val="00525D99"/>
    <w:rsid w:val="0053632A"/>
    <w:rsid w:val="00541E07"/>
    <w:rsid w:val="00563E3E"/>
    <w:rsid w:val="005851F1"/>
    <w:rsid w:val="00585951"/>
    <w:rsid w:val="005A2999"/>
    <w:rsid w:val="005B2435"/>
    <w:rsid w:val="005C02C6"/>
    <w:rsid w:val="005C051D"/>
    <w:rsid w:val="005C4BB3"/>
    <w:rsid w:val="005D02AD"/>
    <w:rsid w:val="005D1241"/>
    <w:rsid w:val="005E121A"/>
    <w:rsid w:val="005F0AA6"/>
    <w:rsid w:val="005F5B31"/>
    <w:rsid w:val="00600ACB"/>
    <w:rsid w:val="00602A16"/>
    <w:rsid w:val="00610E16"/>
    <w:rsid w:val="00613BEA"/>
    <w:rsid w:val="00620979"/>
    <w:rsid w:val="00621D82"/>
    <w:rsid w:val="00642BFB"/>
    <w:rsid w:val="006547BF"/>
    <w:rsid w:val="00655AEF"/>
    <w:rsid w:val="00663F7A"/>
    <w:rsid w:val="00666AEF"/>
    <w:rsid w:val="00667F4C"/>
    <w:rsid w:val="006770F9"/>
    <w:rsid w:val="00681787"/>
    <w:rsid w:val="006B66BC"/>
    <w:rsid w:val="006C62EB"/>
    <w:rsid w:val="006D29F4"/>
    <w:rsid w:val="00715C6C"/>
    <w:rsid w:val="00736172"/>
    <w:rsid w:val="00750CB1"/>
    <w:rsid w:val="00770899"/>
    <w:rsid w:val="00793129"/>
    <w:rsid w:val="007A2155"/>
    <w:rsid w:val="007B29DA"/>
    <w:rsid w:val="007F7536"/>
    <w:rsid w:val="008011C4"/>
    <w:rsid w:val="00805CB3"/>
    <w:rsid w:val="00811CFD"/>
    <w:rsid w:val="008331AC"/>
    <w:rsid w:val="00847432"/>
    <w:rsid w:val="008705D2"/>
    <w:rsid w:val="00890D38"/>
    <w:rsid w:val="00894EA9"/>
    <w:rsid w:val="008A0FE7"/>
    <w:rsid w:val="008A5FD3"/>
    <w:rsid w:val="008C386A"/>
    <w:rsid w:val="009005BA"/>
    <w:rsid w:val="009109E4"/>
    <w:rsid w:val="00912DD0"/>
    <w:rsid w:val="00927D84"/>
    <w:rsid w:val="009633DB"/>
    <w:rsid w:val="0096445E"/>
    <w:rsid w:val="0096467A"/>
    <w:rsid w:val="0098310E"/>
    <w:rsid w:val="00994FA4"/>
    <w:rsid w:val="00997320"/>
    <w:rsid w:val="009A334D"/>
    <w:rsid w:val="009A4046"/>
    <w:rsid w:val="009D3DC3"/>
    <w:rsid w:val="009E218C"/>
    <w:rsid w:val="009E2550"/>
    <w:rsid w:val="009F36D8"/>
    <w:rsid w:val="00A1235F"/>
    <w:rsid w:val="00A4216E"/>
    <w:rsid w:val="00A514D0"/>
    <w:rsid w:val="00A60B8D"/>
    <w:rsid w:val="00A624DA"/>
    <w:rsid w:val="00A83816"/>
    <w:rsid w:val="00AB47BB"/>
    <w:rsid w:val="00AD3066"/>
    <w:rsid w:val="00AD502B"/>
    <w:rsid w:val="00AF7CC9"/>
    <w:rsid w:val="00B321CC"/>
    <w:rsid w:val="00B40E91"/>
    <w:rsid w:val="00B54E77"/>
    <w:rsid w:val="00B62DB6"/>
    <w:rsid w:val="00B87A8D"/>
    <w:rsid w:val="00BC2523"/>
    <w:rsid w:val="00BD767D"/>
    <w:rsid w:val="00BE1E30"/>
    <w:rsid w:val="00BE7EC9"/>
    <w:rsid w:val="00BF2087"/>
    <w:rsid w:val="00C001DD"/>
    <w:rsid w:val="00C00A7D"/>
    <w:rsid w:val="00C01934"/>
    <w:rsid w:val="00C1469D"/>
    <w:rsid w:val="00C14A09"/>
    <w:rsid w:val="00C233C0"/>
    <w:rsid w:val="00C77F07"/>
    <w:rsid w:val="00CA1423"/>
    <w:rsid w:val="00CA6F5F"/>
    <w:rsid w:val="00CC6324"/>
    <w:rsid w:val="00CE0B5E"/>
    <w:rsid w:val="00CE1896"/>
    <w:rsid w:val="00CF142B"/>
    <w:rsid w:val="00D30D13"/>
    <w:rsid w:val="00D36C7C"/>
    <w:rsid w:val="00D74886"/>
    <w:rsid w:val="00D97D47"/>
    <w:rsid w:val="00DA7587"/>
    <w:rsid w:val="00DC38CA"/>
    <w:rsid w:val="00DD233A"/>
    <w:rsid w:val="00E10859"/>
    <w:rsid w:val="00E3085D"/>
    <w:rsid w:val="00E424BC"/>
    <w:rsid w:val="00E73539"/>
    <w:rsid w:val="00E8105C"/>
    <w:rsid w:val="00EB19F1"/>
    <w:rsid w:val="00EB691C"/>
    <w:rsid w:val="00EE4723"/>
    <w:rsid w:val="00EF58E8"/>
    <w:rsid w:val="00F1555B"/>
    <w:rsid w:val="00F3365A"/>
    <w:rsid w:val="00F70793"/>
    <w:rsid w:val="00F8402F"/>
    <w:rsid w:val="00F84491"/>
    <w:rsid w:val="00FC0408"/>
    <w:rsid w:val="00FC13B3"/>
    <w:rsid w:val="00FC39B6"/>
    <w:rsid w:val="00FD3021"/>
    <w:rsid w:val="00FD71D3"/>
    <w:rsid w:val="00FF74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1C1E23"/>
  <w15:docId w15:val="{C9E33201-E050-4E8A-8D15-4CD37121C4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57B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70793"/>
    <w:rPr>
      <w:color w:val="0000FF"/>
      <w:u w:val="single"/>
    </w:rPr>
  </w:style>
  <w:style w:type="paragraph" w:styleId="ListParagraph">
    <w:name w:val="List Paragraph"/>
    <w:basedOn w:val="Normal"/>
    <w:uiPriority w:val="34"/>
    <w:qFormat/>
    <w:rsid w:val="00613BEA"/>
    <w:pPr>
      <w:ind w:left="720"/>
      <w:contextualSpacing/>
    </w:pPr>
  </w:style>
  <w:style w:type="character" w:styleId="FollowedHyperlink">
    <w:name w:val="FollowedHyperlink"/>
    <w:basedOn w:val="DefaultParagraphFont"/>
    <w:uiPriority w:val="99"/>
    <w:semiHidden/>
    <w:unhideWhenUsed/>
    <w:rsid w:val="000B2167"/>
    <w:rPr>
      <w:color w:val="954F72" w:themeColor="followedHyperlink"/>
      <w:u w:val="single"/>
    </w:rPr>
  </w:style>
  <w:style w:type="character" w:customStyle="1" w:styleId="text">
    <w:name w:val="text"/>
    <w:basedOn w:val="DefaultParagraphFont"/>
    <w:rsid w:val="000B2167"/>
  </w:style>
  <w:style w:type="character" w:customStyle="1" w:styleId="ssit">
    <w:name w:val="ss_it"/>
    <w:basedOn w:val="DefaultParagraphFont"/>
    <w:rsid w:val="001003D1"/>
  </w:style>
  <w:style w:type="character" w:styleId="Strong">
    <w:name w:val="Strong"/>
    <w:basedOn w:val="DefaultParagraphFont"/>
    <w:uiPriority w:val="22"/>
    <w:qFormat/>
    <w:rsid w:val="005C4BB3"/>
    <w:rPr>
      <w:b/>
      <w:bCs/>
    </w:rPr>
  </w:style>
  <w:style w:type="character" w:styleId="UnresolvedMention">
    <w:name w:val="Unresolved Mention"/>
    <w:basedOn w:val="DefaultParagraphFont"/>
    <w:uiPriority w:val="99"/>
    <w:semiHidden/>
    <w:unhideWhenUsed/>
    <w:rsid w:val="00437466"/>
    <w:rPr>
      <w:color w:val="605E5C"/>
      <w:shd w:val="clear" w:color="auto" w:fill="E1DFDD"/>
    </w:rPr>
  </w:style>
  <w:style w:type="paragraph" w:styleId="Header">
    <w:name w:val="header"/>
    <w:basedOn w:val="Normal"/>
    <w:link w:val="HeaderChar"/>
    <w:uiPriority w:val="99"/>
    <w:unhideWhenUsed/>
    <w:rsid w:val="00F155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555B"/>
  </w:style>
  <w:style w:type="paragraph" w:styleId="Footer">
    <w:name w:val="footer"/>
    <w:basedOn w:val="Normal"/>
    <w:link w:val="FooterChar"/>
    <w:uiPriority w:val="99"/>
    <w:unhideWhenUsed/>
    <w:rsid w:val="00F155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55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theguardian.com/money/2016/feb/06/court-fees-increase-price-justice-human-cost" TargetMode="External"/><Relationship Id="rId13" Type="http://schemas.openxmlformats.org/officeDocument/2006/relationships/hyperlink" Target="https://www.forsters.co.uk/sites/default/files/NI_PLJ_060513.pdf" TargetMode="External"/><Relationship Id="rId18" Type="http://schemas.openxmlformats.org/officeDocument/2006/relationships/hyperlink" Target="https://s3-eu-west-2.amazonaws.com/lawcom-prod-storage-11jsxou24uy7q/uploads/2015/03/lc327_easements_impact_assessment.pdf"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plus-lexis-com.ezproxy.uwtsd.ac.uk/uk/document/teaserdocument/?pdmfid=1001073&amp;crid=b63cbee0-cf9f-4bcd-8b98-ea59ebe97100&amp;pddocfullpath=%2Fshared%2Fdocument%2Fanalytical-materials-uk%2Furn%3AcontentItem%3A56XS-5MX1-F078-H26M-00000-00&amp;pddocid=urn%3AcontentItem%3A56XS-5MX1-F078-H26M-00000-00&amp;pdcontentcomponentid=302219&amp;pdteaserkey=h1&amp;pdislpamode=false&amp;ecomp=kt5k&amp;earg=sr0&amp;prid=913cd264-ce14-4d81-8efc-7ce65760309f" TargetMode="External"/><Relationship Id="rId7" Type="http://schemas.openxmlformats.org/officeDocument/2006/relationships/hyperlink" Target="https://doi.org/10.1017/S0008197300010801" TargetMode="External"/><Relationship Id="rId12" Type="http://schemas.openxmlformats.org/officeDocument/2006/relationships/hyperlink" Target="https://www.gov.uk/government/publications/easements-claimed-by-prescription/practice-guide-52-easements-claimed-by-prescription" TargetMode="External"/><Relationship Id="rId17" Type="http://schemas.openxmlformats.org/officeDocument/2006/relationships/hyperlink" Target="https://s3-eu-west-2.amazonaws.com/lawcom-prod-storage-11jsxou24uy7q/uploads/2015/03/lc327_easements_analysis_of_responses.pdf" TargetMode="External"/><Relationship Id="rId25" Type="http://schemas.openxmlformats.org/officeDocument/2006/relationships/hyperlink" Target="https://www-jstor-org.ezproxy.uwtsd.ac.uk/stable/pdf/794691.pdf?refreqid=excelsior%3A5242343eb8883589533675c3592c4b93&amp;ab_segments=&amp;origin=" TargetMode="External"/><Relationship Id="rId2" Type="http://schemas.openxmlformats.org/officeDocument/2006/relationships/styles" Target="styles.xml"/><Relationship Id="rId16" Type="http://schemas.openxmlformats.org/officeDocument/2006/relationships/hyperlink" Target="https://www.lawcom.gov.uk/app/uploads/2015/03/cp186_Easements_Covenants_and_Profits_a_Prendre_Consultation.pdf" TargetMode="External"/><Relationship Id="rId20" Type="http://schemas.openxmlformats.org/officeDocument/2006/relationships/hyperlink" Target="https://assets.publishing.service.gov.uk/government/uploads/system/uploads/attachment_data/file/229064/1067.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ambridge-org.ezproxy.uwtsd.ac.uk/core/services/aop-cambridge-core/content/view/838E2117326076E1402D930CF12D7B30/S0008197300095489a.pdf/the-acquisition-of-easements.pdf" TargetMode="External"/><Relationship Id="rId24" Type="http://schemas.openxmlformats.org/officeDocument/2006/relationships/hyperlink" Target="https://www-jstor-org.ezproxy.uwtsd.ac.uk/stable/pdf/1092282.pdf?refreqid=excelsior%3A1d533ee11c88db57e11507b0139b5c70&amp;ab_segments=&amp;origin=&amp;acceptTC=1" TargetMode="External"/><Relationship Id="rId5" Type="http://schemas.openxmlformats.org/officeDocument/2006/relationships/footnotes" Target="footnotes.xml"/><Relationship Id="rId15" Type="http://schemas.openxmlformats.org/officeDocument/2006/relationships/hyperlink" Target="https://www.lawcom.gov.uk/app/uploads/2015/04/Lc271.pdf" TargetMode="External"/><Relationship Id="rId23" Type="http://schemas.openxmlformats.org/officeDocument/2006/relationships/hyperlink" Target="file:///C:\Users\Marie\Downloads\Property%20Easy%20does%20it.pdf" TargetMode="External"/><Relationship Id="rId10" Type="http://schemas.openxmlformats.org/officeDocument/2006/relationships/hyperlink" Target="https://plus-lexis-com.ezproxy.uwtsd.ac.uk/uk/document/teaserdocument/?pdmfid=1001073&amp;crid=7169262f-2747-4008-b113-1d24e25cb6fa&amp;pddocfullpath=%2Fshared%2Fdocument%2Fanalytical-materials-uk%2Furn%3AcontentItem%3A4SBJ-2C80-TWWR-G00H-00000-00&amp;pddocid=urn%3AcontentItem%3A4SBJ-2C80-TWWR-G00H-00000-00&amp;pdcontentcomponentid=280276&amp;pdteaserkey=h1&amp;pdislpamode=false&amp;ecomp=kt5k&amp;earg=sr4&amp;prid=87e5ad33-9229-4e43-8c18-790e28d62d97" TargetMode="External"/><Relationship Id="rId19" Type="http://schemas.openxmlformats.org/officeDocument/2006/relationships/hyperlink" Target="https://assets.publishing.service.gov.uk/government/uploads/system/uploads/attachment_data/file/229064/1067.pdf" TargetMode="External"/><Relationship Id="rId4" Type="http://schemas.openxmlformats.org/officeDocument/2006/relationships/webSettings" Target="webSettings.xml"/><Relationship Id="rId9" Type="http://schemas.openxmlformats.org/officeDocument/2006/relationships/hyperlink" Target="https://www.cambridge.org/core/services/aop-cambridge-core/content/view/04E5AB1E6D46C97272324E7B63342D1A/S0008197309000312a.pdf/prescriptive-easements-capacity-to-grant.pdf" TargetMode="External"/><Relationship Id="rId14" Type="http://schemas.openxmlformats.org/officeDocument/2006/relationships/hyperlink" Target="https://www.lawcom.gov.uk/app/uploads/2015/04/lc254.pdf" TargetMode="External"/><Relationship Id="rId22" Type="http://schemas.openxmlformats.org/officeDocument/2006/relationships/hyperlink" Target="https://www.lawreform.ie/_fileupload/Reports/rEasements.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8541</TotalTime>
  <Pages>12</Pages>
  <Words>4577</Words>
  <Characters>21513</Characters>
  <Application>Microsoft Office Word</Application>
  <DocSecurity>0</DocSecurity>
  <Lines>614</Lines>
  <Paragraphs>221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Morgan</dc:creator>
  <cp:keywords/>
  <dc:description/>
  <cp:lastModifiedBy>Marie Morgan</cp:lastModifiedBy>
  <cp:revision>61</cp:revision>
  <dcterms:created xsi:type="dcterms:W3CDTF">2022-09-30T12:29:00Z</dcterms:created>
  <dcterms:modified xsi:type="dcterms:W3CDTF">2022-11-10T17:05:00Z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b75b59dfc6d8960db41fe64670101f3a6dd7120651c8c3b4100b7201dbc523d7</vt:lpwstr>
  </property>
</Properties>
</file>