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footer7.xml" ContentType="application/vnd.openxmlformats-officedocument.wordprocessingml.footer+xml"/>
  <Override PartName="/word/header8.xml" ContentType="application/vnd.openxmlformats-officedocument.wordprocessingml.head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Normal (Web)"/>
        <w:spacing w:before="0" w:after="0"/>
      </w:pPr>
    </w:p>
    <w:p>
      <w:pPr>
        <w:pStyle w:val="Normal (Web)"/>
        <w:spacing w:before="0" w:after="0"/>
        <w:jc w:val="center"/>
      </w:pPr>
    </w:p>
    <w:p>
      <w:pPr>
        <w:pStyle w:val="Normal (Web)"/>
        <w:spacing w:before="0" w:after="0"/>
        <w:jc w:val="center"/>
      </w:pPr>
    </w:p>
    <w:p>
      <w:pPr>
        <w:pStyle w:val="Normal (Web)"/>
        <w:spacing w:before="0" w:after="0"/>
        <w:jc w:val="center"/>
      </w:pPr>
      <w:r>
        <w:rPr>
          <w:rFonts w:ascii="Arial" w:hAnsi="Arial"/>
          <w:b w:val="1"/>
          <w:bCs w:val="1"/>
          <w:sz w:val="28"/>
          <w:szCs w:val="28"/>
          <w:rtl w:val="0"/>
          <w:lang w:val="en-US"/>
        </w:rPr>
        <w:t xml:space="preserve">Postgraduate/Distance Learning </w:t>
      </w:r>
    </w:p>
    <w:p>
      <w:pPr>
        <w:pStyle w:val="Normal (Web)"/>
        <w:spacing w:before="0" w:after="0"/>
        <w:jc w:val="center"/>
        <w:rPr>
          <w:rFonts w:ascii="Arial" w:cs="Arial" w:hAnsi="Arial" w:eastAsia="Arial"/>
          <w:b w:val="1"/>
          <w:bCs w:val="1"/>
          <w:sz w:val="28"/>
          <w:szCs w:val="28"/>
        </w:rPr>
      </w:pPr>
      <w:r>
        <w:rPr>
          <w:rFonts w:ascii="Arial" w:hAnsi="Arial"/>
          <w:b w:val="1"/>
          <w:bCs w:val="1"/>
          <w:sz w:val="28"/>
          <w:szCs w:val="28"/>
          <w:rtl w:val="0"/>
          <w:lang w:val="en-US"/>
        </w:rPr>
        <w:t>Assignment coversheet &amp; feedback form</w:t>
      </w:r>
    </w:p>
    <w:p>
      <w:pPr>
        <w:pStyle w:val="Normal (Web)"/>
        <w:spacing w:before="0" w:after="0"/>
        <w:jc w:val="center"/>
        <w:rPr>
          <w:rFonts w:ascii="Arial" w:cs="Arial" w:hAnsi="Arial" w:eastAsia="Arial"/>
        </w:rPr>
      </w:pPr>
    </w:p>
    <w:p>
      <w:pPr>
        <w:pStyle w:val="Heading 3"/>
        <w:keepNext w:val="0"/>
        <w:jc w:val="left"/>
        <w:rPr>
          <w:sz w:val="14"/>
          <w:szCs w:val="14"/>
        </w:rPr>
      </w:pPr>
      <w:r>
        <w:rPr>
          <w:sz w:val="14"/>
          <w:szCs w:val="14"/>
          <w:rtl w:val="0"/>
          <w:lang w:val="en-US"/>
        </w:rPr>
        <w:t>THIS SHEET MUST BE</w:t>
      </w:r>
      <w:r>
        <w:drawing xmlns:a="http://schemas.openxmlformats.org/drawingml/2006/main">
          <wp:anchor distT="0" distB="0" distL="0" distR="0" simplePos="0" relativeHeight="251659264" behindDoc="0" locked="0" layoutInCell="1" allowOverlap="1">
            <wp:simplePos x="0" y="0"/>
            <wp:positionH relativeFrom="page">
              <wp:posOffset>460875</wp:posOffset>
            </wp:positionH>
            <wp:positionV relativeFrom="page">
              <wp:posOffset>402182</wp:posOffset>
            </wp:positionV>
            <wp:extent cx="1907540" cy="635635"/>
            <wp:effectExtent l="0" t="0" r="0" b="0"/>
            <wp:wrapNone/>
            <wp:docPr id="1073741825" name="officeArt object" descr="Image"/>
            <wp:cNvGraphicFramePr/>
            <a:graphic xmlns:a="http://schemas.openxmlformats.org/drawingml/2006/main">
              <a:graphicData uri="http://schemas.openxmlformats.org/drawingml/2006/picture">
                <pic:pic xmlns:pic="http://schemas.openxmlformats.org/drawingml/2006/picture">
                  <pic:nvPicPr>
                    <pic:cNvPr id="1073741825" name="Image" descr="Image"/>
                    <pic:cNvPicPr>
                      <a:picLocks noChangeAspect="1"/>
                    </pic:cNvPicPr>
                  </pic:nvPicPr>
                  <pic:blipFill>
                    <a:blip r:embed="rId4">
                      <a:extLst/>
                    </a:blip>
                    <a:stretch>
                      <a:fillRect/>
                    </a:stretch>
                  </pic:blipFill>
                  <pic:spPr>
                    <a:xfrm>
                      <a:off x="0" y="0"/>
                      <a:ext cx="1907540" cy="635635"/>
                    </a:xfrm>
                    <a:prstGeom prst="rect">
                      <a:avLst/>
                    </a:prstGeom>
                    <a:ln w="12700" cap="flat">
                      <a:noFill/>
                      <a:miter lim="400000"/>
                    </a:ln>
                    <a:effectLst/>
                  </pic:spPr>
                </pic:pic>
              </a:graphicData>
            </a:graphic>
          </wp:anchor>
        </w:drawing>
      </w:r>
      <w:r>
        <w:rPr>
          <w:sz w:val="14"/>
          <w:szCs w:val="14"/>
          <w:rtl w:val="0"/>
          <w:lang w:val="en-US"/>
        </w:rPr>
        <w:t xml:space="preserve"> THE FIRST PAGE OF THE ASSIGNMENT YOU ARE SUBMITTING  (DO NOT SEND AS A SEPARATE FILE)</w:t>
      </w:r>
    </w:p>
    <w:p>
      <w:pPr>
        <w:pStyle w:val="Heading 3"/>
        <w:keepNext w:val="0"/>
        <w:jc w:val="left"/>
        <w:rPr>
          <w:rFonts w:ascii="Trebuchet MS" w:cs="Trebuchet MS" w:hAnsi="Trebuchet MS" w:eastAsia="Trebuchet MS"/>
          <w:sz w:val="14"/>
          <w:szCs w:val="14"/>
        </w:rPr>
      </w:pPr>
    </w:p>
    <w:tbl>
      <w:tblPr>
        <w:tblW w:w="8856"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788"/>
        <w:gridCol w:w="423"/>
        <w:gridCol w:w="1557"/>
        <w:gridCol w:w="285"/>
        <w:gridCol w:w="1803"/>
      </w:tblGrid>
      <w:tr>
        <w:tblPrEx>
          <w:shd w:val="clear" w:color="auto" w:fill="ced7e7"/>
        </w:tblPrEx>
        <w:trPr>
          <w:trHeight w:val="2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pPr>
            <w:r>
              <w:rPr>
                <w:rFonts w:ascii="Arial" w:hAnsi="Arial"/>
                <w:b w:val="1"/>
                <w:bCs w:val="1"/>
                <w:sz w:val="22"/>
                <w:szCs w:val="22"/>
                <w:shd w:val="nil" w:color="auto" w:fill="auto"/>
                <w:rtl w:val="0"/>
                <w:lang w:val="en-US"/>
              </w:rPr>
              <w:t>For completion by the student</w:t>
            </w:r>
            <w:r>
              <w:rPr>
                <w:rFonts w:ascii="Arial" w:hAnsi="Arial"/>
                <w:sz w:val="22"/>
                <w:szCs w:val="22"/>
                <w:shd w:val="nil" w:color="auto" w:fill="auto"/>
                <w:rtl w:val="0"/>
              </w:rPr>
              <w:t>:</w:t>
            </w:r>
          </w:p>
        </w:tc>
      </w:tr>
      <w:tr>
        <w:tblPrEx>
          <w:shd w:val="clear" w:color="auto" w:fill="ced7e7"/>
        </w:tblPrEx>
        <w:trPr>
          <w:trHeight w:val="72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rFonts w:ascii="Arial" w:cs="Arial" w:hAnsi="Arial" w:eastAsia="Arial"/>
                <w:sz w:val="22"/>
                <w:szCs w:val="22"/>
                <w:shd w:val="nil" w:color="auto" w:fill="auto"/>
              </w:rPr>
            </w:pPr>
            <w:r>
              <w:rPr>
                <w:rFonts w:ascii="Arial" w:hAnsi="Arial"/>
                <w:sz w:val="22"/>
                <w:szCs w:val="22"/>
                <w:shd w:val="nil" w:color="auto" w:fill="auto"/>
                <w:rtl w:val="0"/>
                <w:lang w:val="de-DE"/>
              </w:rPr>
              <w:t>Student Name:</w:t>
            </w:r>
            <w:r>
              <w:rPr>
                <w:rFonts w:ascii="Arial" w:hAnsi="Arial"/>
                <w:sz w:val="22"/>
                <w:szCs w:val="22"/>
                <w:shd w:val="nil" w:color="auto" w:fill="auto"/>
                <w:rtl w:val="0"/>
                <w:lang w:val="en-US"/>
              </w:rPr>
              <w:t xml:space="preserve">  Tina Jensen Friis Auster</w:t>
            </w:r>
          </w:p>
          <w:p>
            <w:pPr>
              <w:pStyle w:val="Normal (Web)"/>
              <w:spacing w:before="0" w:after="0"/>
              <w:ind w:right="34"/>
              <w:rPr>
                <w:rFonts w:ascii="Arial" w:cs="Arial" w:hAnsi="Arial" w:eastAsia="Arial"/>
                <w:sz w:val="22"/>
                <w:szCs w:val="22"/>
                <w:shd w:val="nil" w:color="auto" w:fill="auto"/>
              </w:rPr>
            </w:pPr>
          </w:p>
          <w:p>
            <w:pPr>
              <w:pStyle w:val="Normal (Web)"/>
              <w:bidi w:val="0"/>
              <w:spacing w:before="0" w:after="0"/>
              <w:ind w:left="0" w:right="34" w:firstLine="0"/>
              <w:jc w:val="left"/>
              <w:rPr>
                <w:rtl w:val="0"/>
              </w:rPr>
            </w:pPr>
            <w:r>
              <w:rPr>
                <w:rFonts w:ascii="Arial" w:hAnsi="Arial"/>
                <w:sz w:val="22"/>
                <w:szCs w:val="22"/>
                <w:shd w:val="nil" w:color="auto" w:fill="auto"/>
                <w:rtl w:val="0"/>
                <w:lang w:val="de-DE"/>
              </w:rPr>
              <w:t xml:space="preserve">Student </w:t>
            </w:r>
            <w:r>
              <w:rPr>
                <w:rFonts w:ascii="Arial" w:hAnsi="Arial"/>
                <w:b w:val="1"/>
                <w:bCs w:val="1"/>
                <w:sz w:val="22"/>
                <w:szCs w:val="22"/>
                <w:u w:val="single"/>
                <w:shd w:val="nil" w:color="auto" w:fill="auto"/>
                <w:rtl w:val="0"/>
                <w:lang w:val="en-US"/>
              </w:rPr>
              <w:t>University</w:t>
            </w:r>
            <w:r>
              <w:rPr>
                <w:rFonts w:ascii="Arial" w:hAnsi="Arial"/>
                <w:sz w:val="22"/>
                <w:szCs w:val="22"/>
                <w:u w:val="single"/>
                <w:shd w:val="nil" w:color="auto" w:fill="auto"/>
                <w:rtl w:val="0"/>
              </w:rPr>
              <w:t xml:space="preserve"> </w:t>
            </w:r>
            <w:r>
              <w:rPr>
                <w:rFonts w:ascii="Arial" w:hAnsi="Arial"/>
                <w:sz w:val="22"/>
                <w:szCs w:val="22"/>
                <w:shd w:val="nil" w:color="auto" w:fill="auto"/>
                <w:rtl w:val="0"/>
              </w:rPr>
              <w:t xml:space="preserve">Email: </w:t>
            </w:r>
            <w:r>
              <w:rPr>
                <w:rFonts w:ascii="Arial" w:hAnsi="Arial"/>
                <w:sz w:val="22"/>
                <w:szCs w:val="22"/>
                <w:shd w:val="nil" w:color="auto" w:fill="auto"/>
                <w:rtl w:val="0"/>
                <w:lang w:val="en-US"/>
              </w:rPr>
              <w:t xml:space="preserve">  </w:t>
            </w:r>
            <w:r>
              <w:rPr>
                <w:rFonts w:ascii="Arial" w:hAnsi="Arial"/>
                <w:sz w:val="22"/>
                <w:szCs w:val="22"/>
                <w:shd w:val="nil" w:color="auto" w:fill="auto"/>
                <w:rtl w:val="0"/>
                <w:lang w:val="nl-NL"/>
              </w:rPr>
              <w:t>2024510@student.uwtsd.ac.uk</w:t>
            </w:r>
          </w:p>
        </w:tc>
      </w:tr>
      <w:tr>
        <w:tblPrEx>
          <w:shd w:val="clear" w:color="auto" w:fill="ced7e7"/>
        </w:tblPrEx>
        <w:trPr>
          <w:trHeight w:val="963"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rFonts w:ascii="Arial" w:cs="Arial" w:hAnsi="Arial" w:eastAsia="Arial"/>
                <w:outline w:val="0"/>
                <w:color w:val="37393b"/>
                <w:sz w:val="22"/>
                <w:szCs w:val="22"/>
                <w:shd w:val="clear" w:color="auto" w:fill="ffffff"/>
                <w14:textFill>
                  <w14:solidFill>
                    <w14:srgbClr w14:val="373A3C"/>
                  </w14:solidFill>
                </w14:textFill>
              </w:rPr>
            </w:pPr>
            <w:r>
              <w:rPr>
                <w:rFonts w:ascii="Arial" w:hAnsi="Arial"/>
                <w:sz w:val="22"/>
                <w:szCs w:val="22"/>
                <w:shd w:val="nil" w:color="auto" w:fill="auto"/>
                <w:rtl w:val="0"/>
                <w:lang w:val="en-US"/>
              </w:rPr>
              <w:t>Module code:</w:t>
            </w:r>
            <w:r>
              <w:rPr>
                <w:rFonts w:ascii="Arial" w:hAnsi="Arial"/>
                <w:sz w:val="22"/>
                <w:szCs w:val="22"/>
                <w:shd w:val="nil" w:color="auto" w:fill="auto"/>
                <w:rtl w:val="0"/>
                <w:lang w:val="en-US"/>
              </w:rPr>
              <w:t xml:space="preserve">  </w:t>
            </w:r>
            <w:r>
              <w:rPr>
                <w:rFonts w:ascii="Arial" w:hAnsi="Arial"/>
                <w:sz w:val="22"/>
                <w:szCs w:val="22"/>
                <w:rtl w:val="0"/>
              </w:rPr>
              <w:t>HPCA7015</w:t>
            </w:r>
          </w:p>
          <w:p>
            <w:pPr>
              <w:pStyle w:val="Normal (Web)"/>
              <w:spacing w:before="0" w:after="0"/>
              <w:ind w:right="34"/>
              <w:rPr>
                <w:rFonts w:ascii="Arial" w:cs="Arial" w:hAnsi="Arial" w:eastAsia="Arial"/>
                <w:sz w:val="22"/>
                <w:szCs w:val="22"/>
              </w:rPr>
            </w:pPr>
          </w:p>
          <w:p>
            <w:pPr>
              <w:pStyle w:val="Normal (Web)"/>
              <w:bidi w:val="0"/>
              <w:spacing w:before="0" w:after="0"/>
              <w:ind w:left="0" w:right="34" w:firstLine="0"/>
              <w:jc w:val="left"/>
              <w:rPr>
                <w:rtl w:val="0"/>
              </w:rPr>
            </w:pPr>
            <w:r>
              <w:rPr>
                <w:rFonts w:ascii="Arial" w:hAnsi="Arial"/>
                <w:sz w:val="22"/>
                <w:szCs w:val="22"/>
                <w:shd w:val="nil" w:color="auto" w:fill="auto"/>
                <w:rtl w:val="0"/>
                <w:lang w:val="en-US"/>
              </w:rPr>
              <w:t>Module title:</w:t>
            </w:r>
            <w:r>
              <w:rPr>
                <w:rFonts w:ascii="Arial" w:hAnsi="Arial"/>
                <w:sz w:val="22"/>
                <w:szCs w:val="22"/>
                <w:shd w:val="nil" w:color="auto" w:fill="auto"/>
                <w:rtl w:val="0"/>
                <w:lang w:val="en-US"/>
              </w:rPr>
              <w:t xml:space="preserve"> Foundations in Cultural Astronomy and Astrology</w:t>
            </w:r>
          </w:p>
        </w:tc>
        <w:tc>
          <w:tcPr>
            <w:tcW w:type="dxa" w:w="226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rFonts w:ascii="Arial" w:cs="Arial" w:hAnsi="Arial" w:eastAsia="Arial"/>
                <w:sz w:val="22"/>
                <w:szCs w:val="22"/>
                <w:shd w:val="nil" w:color="auto" w:fill="auto"/>
              </w:rPr>
            </w:pPr>
            <w:r>
              <w:rPr>
                <w:rFonts w:ascii="Arial" w:hAnsi="Arial"/>
                <w:sz w:val="22"/>
                <w:szCs w:val="22"/>
                <w:shd w:val="nil" w:color="auto" w:fill="auto"/>
                <w:rtl w:val="0"/>
                <w:lang w:val="en-US"/>
              </w:rPr>
              <w:t>Student ID number:</w:t>
            </w:r>
          </w:p>
          <w:p>
            <w:pPr>
              <w:pStyle w:val="Normal (Web)"/>
              <w:spacing w:before="0" w:after="0"/>
              <w:ind w:right="34"/>
              <w:rPr>
                <w:rFonts w:ascii="Arial" w:cs="Arial" w:hAnsi="Arial" w:eastAsia="Arial"/>
                <w:sz w:val="22"/>
                <w:szCs w:val="22"/>
                <w:shd w:val="nil" w:color="auto" w:fill="auto"/>
              </w:rPr>
            </w:pPr>
          </w:p>
          <w:p>
            <w:pPr>
              <w:pStyle w:val="Normal (Web)"/>
              <w:spacing w:before="0" w:after="0"/>
              <w:ind w:right="34"/>
            </w:pPr>
            <w:r>
              <w:rPr>
                <w:rFonts w:ascii="Arial" w:hAnsi="Arial"/>
                <w:sz w:val="22"/>
                <w:szCs w:val="22"/>
                <w:shd w:val="nil" w:color="auto" w:fill="auto"/>
                <w:rtl w:val="0"/>
                <w:lang w:val="en-US"/>
              </w:rPr>
              <w:t>2024510</w:t>
            </w:r>
          </w:p>
        </w:tc>
        <w:tc>
          <w:tcPr>
            <w:tcW w:type="dxa" w:w="18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shd w:val="nil" w:color="auto" w:fill="auto"/>
              </w:rPr>
            </w:pPr>
            <w:r>
              <w:rPr>
                <w:rFonts w:ascii="Arial" w:hAnsi="Arial"/>
                <w:sz w:val="22"/>
                <w:szCs w:val="22"/>
                <w:shd w:val="nil" w:color="auto" w:fill="auto"/>
                <w:rtl w:val="0"/>
                <w:lang w:val="en-US"/>
              </w:rPr>
              <w:t>Educational support needs:</w:t>
            </w:r>
          </w:p>
          <w:p>
            <w:pPr>
              <w:pStyle w:val="Normal (Web)"/>
              <w:bidi w:val="0"/>
              <w:spacing w:before="0" w:after="0"/>
              <w:ind w:left="0" w:right="34" w:firstLine="0"/>
              <w:jc w:val="left"/>
              <w:rPr>
                <w:rtl w:val="0"/>
              </w:rPr>
            </w:pPr>
            <w:r>
              <w:rPr>
                <w:rFonts w:ascii="Arial" w:hAnsi="Arial"/>
                <w:sz w:val="22"/>
                <w:szCs w:val="22"/>
                <w:shd w:val="nil" w:color="auto" w:fill="auto"/>
                <w:rtl w:val="0"/>
              </w:rPr>
              <w:t>No</w:t>
            </w:r>
          </w:p>
        </w:tc>
      </w:tr>
      <w:tr>
        <w:tblPrEx>
          <w:shd w:val="clear" w:color="auto" w:fill="ced7e7"/>
        </w:tblPrEx>
        <w:trPr>
          <w:trHeight w:val="72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shd w:val="nil" w:color="auto" w:fill="auto"/>
              </w:rPr>
            </w:pPr>
            <w:r>
              <w:rPr>
                <w:rFonts w:ascii="Arial" w:hAnsi="Arial"/>
                <w:sz w:val="22"/>
                <w:szCs w:val="22"/>
                <w:shd w:val="nil" w:color="auto" w:fill="auto"/>
                <w:rtl w:val="0"/>
                <w:lang w:val="en-US"/>
              </w:rPr>
              <w:t>Assignment title:</w:t>
            </w:r>
            <w:r>
              <w:rPr>
                <w:rFonts w:ascii="Arial" w:hAnsi="Arial"/>
                <w:sz w:val="22"/>
                <w:szCs w:val="22"/>
                <w:shd w:val="nil" w:color="auto" w:fill="auto"/>
                <w:rtl w:val="0"/>
                <w:lang w:val="en-US"/>
              </w:rPr>
              <w:t xml:space="preserve">  </w:t>
            </w:r>
            <w:r>
              <w:rPr>
                <w:rFonts w:ascii="Arial" w:hAnsi="Arial"/>
                <w:sz w:val="22"/>
                <w:szCs w:val="22"/>
                <w:shd w:val="nil" w:color="auto" w:fill="auto"/>
                <w:rtl w:val="0"/>
                <w:lang w:val="en-US"/>
              </w:rPr>
              <w:t xml:space="preserve">A Critical Comparison of two </w:t>
            </w:r>
            <w:r>
              <w:rPr>
                <w:rFonts w:ascii="Arial" w:hAnsi="Arial"/>
                <w:sz w:val="22"/>
                <w:szCs w:val="22"/>
                <w:shd w:val="nil" w:color="auto" w:fill="auto"/>
                <w:rtl w:val="0"/>
                <w:lang w:val="en-US"/>
              </w:rPr>
              <w:t>JSTOR papers</w:t>
            </w:r>
          </w:p>
          <w:p>
            <w:pPr>
              <w:pStyle w:val="Normal (Web)"/>
              <w:spacing w:before="0" w:after="0"/>
              <w:ind w:right="34"/>
              <w:rPr>
                <w:rFonts w:ascii="Arial" w:cs="Arial" w:hAnsi="Arial" w:eastAsia="Arial"/>
                <w:sz w:val="22"/>
                <w:szCs w:val="22"/>
                <w:shd w:val="nil" w:color="auto" w:fill="auto"/>
              </w:rPr>
            </w:pPr>
          </w:p>
          <w:p>
            <w:pPr>
              <w:pStyle w:val="Normal (Web)"/>
              <w:bidi w:val="0"/>
              <w:spacing w:before="0" w:after="0"/>
              <w:ind w:left="0" w:right="34" w:firstLine="0"/>
              <w:jc w:val="left"/>
              <w:rPr>
                <w:rtl w:val="0"/>
              </w:rPr>
            </w:pPr>
            <w:r>
              <w:rPr>
                <w:rFonts w:ascii="Arial" w:hAnsi="Arial"/>
                <w:sz w:val="22"/>
                <w:szCs w:val="22"/>
                <w:shd w:val="nil" w:color="auto" w:fill="auto"/>
                <w:rtl w:val="0"/>
                <w:lang w:val="en-US"/>
              </w:rPr>
              <w:t>Assignment due date:</w:t>
            </w:r>
            <w:r>
              <w:rPr>
                <w:rFonts w:ascii="Arial" w:hAnsi="Arial"/>
                <w:sz w:val="22"/>
                <w:szCs w:val="22"/>
                <w:shd w:val="nil" w:color="auto" w:fill="auto"/>
                <w:rtl w:val="0"/>
                <w:lang w:val="en-US"/>
              </w:rPr>
              <w:t xml:space="preserve">  4th November 2021</w:t>
            </w:r>
          </w:p>
        </w:tc>
      </w:tr>
      <w:tr>
        <w:tblPrEx>
          <w:shd w:val="clear" w:color="auto" w:fill="ced7e7"/>
        </w:tblPrEx>
        <w:trPr>
          <w:trHeight w:val="2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0"/>
              <w:ind w:left="0" w:right="0" w:firstLine="0"/>
              <w:jc w:val="left"/>
              <w:rPr>
                <w:rtl w:val="0"/>
              </w:rPr>
            </w:pPr>
            <w:r>
              <w:rPr>
                <w:rFonts w:ascii="Arial" w:hAnsi="Arial"/>
                <w:sz w:val="22"/>
                <w:szCs w:val="22"/>
                <w:u w:color="000000"/>
                <w:shd w:val="nil" w:color="auto" w:fill="auto"/>
                <w:rtl w:val="0"/>
                <w:lang w:val="en-US"/>
              </w:rPr>
              <w:t xml:space="preserve">This assignment is for the       </w:t>
            </w:r>
            <w:r>
              <w:rPr>
                <w:rFonts w:ascii="Arial" w:hAnsi="Arial"/>
                <w:sz w:val="22"/>
                <w:szCs w:val="22"/>
                <w:u w:color="000000"/>
                <w:shd w:val="nil" w:color="auto" w:fill="auto"/>
                <w:rtl w:val="0"/>
                <w:lang w:val="en-US"/>
              </w:rPr>
              <w:t>3rd</w:t>
            </w:r>
            <w:r>
              <w:rPr>
                <w:rFonts w:ascii="Arial" w:hAnsi="Arial"/>
                <w:sz w:val="22"/>
                <w:szCs w:val="22"/>
                <w:u w:color="000000"/>
                <w:shd w:val="nil" w:color="auto" w:fill="auto"/>
                <w:vertAlign w:val="superscript"/>
                <w:rtl w:val="0"/>
              </w:rPr>
              <w:t xml:space="preserve"> </w:t>
            </w:r>
            <w:r>
              <w:rPr>
                <w:rFonts w:ascii="Arial" w:hAnsi="Arial"/>
                <w:sz w:val="22"/>
                <w:szCs w:val="22"/>
                <w:u w:color="000000"/>
                <w:shd w:val="nil" w:color="auto" w:fill="auto"/>
                <w:rtl w:val="0"/>
              </w:rPr>
              <w:t xml:space="preserve">  </w:t>
            </w:r>
            <w:r>
              <w:rPr>
                <w:rFonts w:ascii="Arial" w:hAnsi="Arial"/>
                <w:b w:val="1"/>
                <w:bCs w:val="1"/>
                <w:sz w:val="22"/>
                <w:szCs w:val="22"/>
                <w:u w:color="000000"/>
                <w:shd w:val="nil" w:color="auto" w:fill="auto"/>
                <w:rtl w:val="0"/>
              </w:rPr>
              <w:t xml:space="preserve">   </w:t>
            </w:r>
            <w:r>
              <w:rPr>
                <w:rFonts w:ascii="Arial" w:hAnsi="Arial"/>
                <w:sz w:val="22"/>
                <w:szCs w:val="22"/>
                <w:u w:color="000000"/>
                <w:shd w:val="nil" w:color="auto" w:fill="auto"/>
                <w:rtl w:val="0"/>
                <w:lang w:val="en-US"/>
              </w:rPr>
              <w:t>module of the degree</w:t>
            </w:r>
          </w:p>
        </w:tc>
      </w:tr>
      <w:tr>
        <w:tblPrEx>
          <w:shd w:val="clear" w:color="auto" w:fill="ced7e7"/>
        </w:tblPrEx>
        <w:trPr>
          <w:trHeight w:val="168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114"/>
            </w:tcMar>
            <w:vAlign w:val="top"/>
          </w:tcPr>
          <w:p>
            <w:pPr>
              <w:pStyle w:val="Normal (Web)"/>
              <w:spacing w:before="0" w:after="0"/>
              <w:ind w:right="34"/>
              <w:rPr>
                <w:shd w:val="nil" w:color="auto" w:fill="auto"/>
              </w:rPr>
            </w:pPr>
            <w:r>
              <w:rPr>
                <w:rFonts w:ascii="Arial" w:hAnsi="Arial"/>
                <w:sz w:val="22"/>
                <w:szCs w:val="22"/>
                <w:shd w:val="nil" w:color="auto" w:fill="auto"/>
                <w:rtl w:val="0"/>
                <w:lang w:val="en-US"/>
              </w:rPr>
              <w:t>I confirm that this is my original work and that I have adhered to the University policy on plagiarism.</w:t>
            </w:r>
          </w:p>
          <w:p>
            <w:pPr>
              <w:pStyle w:val="Normal (Web)"/>
              <w:bidi w:val="0"/>
              <w:spacing w:before="0" w:after="0"/>
              <w:ind w:left="0" w:right="34" w:firstLine="0"/>
              <w:jc w:val="left"/>
              <w:rPr>
                <w:rFonts w:ascii="Georgia" w:cs="Georgia" w:hAnsi="Georgia" w:eastAsia="Georgia"/>
                <w:sz w:val="22"/>
                <w:szCs w:val="22"/>
                <w:shd w:val="nil" w:color="auto" w:fill="auto"/>
                <w:rtl w:val="0"/>
              </w:rPr>
            </w:pPr>
          </w:p>
          <w:p>
            <w:pPr>
              <w:pStyle w:val="Normal (Web)"/>
              <w:bidi w:val="0"/>
              <w:spacing w:before="0" w:after="0"/>
              <w:ind w:left="0" w:right="34" w:firstLine="0"/>
              <w:jc w:val="left"/>
              <w:rPr>
                <w:rFonts w:ascii="Arial" w:cs="Arial" w:hAnsi="Arial" w:eastAsia="Arial"/>
                <w:sz w:val="22"/>
                <w:szCs w:val="22"/>
                <w:shd w:val="nil" w:color="auto" w:fill="auto"/>
                <w:rtl w:val="0"/>
              </w:rPr>
            </w:pPr>
            <w:r>
              <w:rPr>
                <w:rFonts w:ascii="Arial" w:hAnsi="Arial"/>
                <w:sz w:val="22"/>
                <w:szCs w:val="22"/>
                <w:shd w:val="nil" w:color="auto" w:fill="auto"/>
                <w:rtl w:val="0"/>
                <w:lang w:val="en-US"/>
              </w:rPr>
              <w:t xml:space="preserve">Signed </w:t>
            </w:r>
            <w:r>
              <w:rPr>
                <w:rFonts w:ascii="Arial" w:hAnsi="Arial" w:hint="default"/>
                <w:sz w:val="22"/>
                <w:szCs w:val="22"/>
                <w:shd w:val="nil" w:color="auto" w:fill="auto"/>
                <w:rtl w:val="0"/>
              </w:rPr>
              <w:t>……</w:t>
            </w:r>
            <w:r>
              <w:rPr>
                <w:rFonts w:ascii="Arial" w:hAnsi="Arial"/>
                <w:sz w:val="22"/>
                <w:szCs w:val="22"/>
                <w:shd w:val="nil" w:color="auto" w:fill="auto"/>
                <w:rtl w:val="0"/>
                <w:lang w:val="en-US"/>
              </w:rPr>
              <w:t>Tina Jensen Friis Auster</w:t>
            </w:r>
            <w:r>
              <w:rPr>
                <w:rFonts w:ascii="Arial" w:hAnsi="Arial" w:hint="default"/>
                <w:sz w:val="22"/>
                <w:szCs w:val="22"/>
                <w:shd w:val="nil" w:color="auto" w:fill="auto"/>
                <w:rtl w:val="0"/>
              </w:rPr>
              <w:t>………………………………………………………</w:t>
            </w:r>
          </w:p>
          <w:p>
            <w:pPr>
              <w:pStyle w:val="Normal (Web)"/>
              <w:bidi w:val="0"/>
              <w:spacing w:before="0" w:after="0"/>
              <w:ind w:left="0" w:right="34" w:firstLine="0"/>
              <w:jc w:val="left"/>
              <w:rPr>
                <w:rFonts w:ascii="Arial" w:cs="Arial" w:hAnsi="Arial" w:eastAsia="Arial"/>
                <w:sz w:val="22"/>
                <w:szCs w:val="22"/>
                <w:shd w:val="nil" w:color="auto" w:fill="auto"/>
                <w:rtl w:val="0"/>
              </w:rPr>
            </w:pPr>
          </w:p>
          <w:p>
            <w:pPr>
              <w:pStyle w:val="Normal (Web)"/>
              <w:bidi w:val="0"/>
              <w:spacing w:before="0" w:after="0" w:line="168" w:lineRule="auto"/>
              <w:ind w:left="0" w:right="34" w:firstLine="0"/>
              <w:jc w:val="left"/>
              <w:rPr>
                <w:rFonts w:ascii="Calibri" w:cs="Calibri" w:hAnsi="Calibri" w:eastAsia="Calibri"/>
                <w:b w:val="1"/>
                <w:bCs w:val="1"/>
                <w:sz w:val="44"/>
                <w:szCs w:val="44"/>
                <w:shd w:val="nil" w:color="auto" w:fill="auto"/>
                <w:rtl w:val="0"/>
              </w:rPr>
            </w:pPr>
            <w:r>
              <w:rPr>
                <w:rFonts w:ascii="Calibri" w:hAnsi="Calibri"/>
                <w:b w:val="1"/>
                <w:bCs w:val="1"/>
                <w:sz w:val="24"/>
                <w:szCs w:val="24"/>
                <w:shd w:val="nil" w:color="auto" w:fill="auto"/>
                <w:rtl w:val="0"/>
                <w:lang w:val="en-US"/>
              </w:rPr>
              <w:t xml:space="preserve">Email submission:if you are submitting this form via email, please tick this box </w:t>
            </w:r>
          </w:p>
          <w:p>
            <w:pPr>
              <w:pStyle w:val="Normal (Web)"/>
              <w:bidi w:val="0"/>
              <w:spacing w:before="0" w:after="0" w:line="168" w:lineRule="auto"/>
              <w:ind w:left="0" w:right="34" w:firstLine="0"/>
              <w:jc w:val="left"/>
              <w:rPr>
                <w:rtl w:val="0"/>
              </w:rPr>
            </w:pPr>
            <w:r>
              <w:rPr>
                <w:rFonts w:ascii="Calibri" w:hAnsi="Calibri"/>
                <w:b w:val="1"/>
                <w:bCs w:val="1"/>
                <w:sz w:val="24"/>
                <w:szCs w:val="24"/>
                <w:shd w:val="nil" w:color="auto" w:fill="auto"/>
                <w:rtl w:val="0"/>
                <w:lang w:val="en-US"/>
              </w:rPr>
              <w:t>(as a substitute for your signature) to confirm that you agree to the above declaration.</w:t>
            </w:r>
          </w:p>
        </w:tc>
      </w:tr>
      <w:tr>
        <w:tblPrEx>
          <w:shd w:val="clear" w:color="auto" w:fill="ced7e7"/>
        </w:tblPrEx>
        <w:trPr>
          <w:trHeight w:val="4430"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0"/>
              <w:jc w:val="left"/>
              <w:rPr>
                <w:rFonts w:ascii="Arial" w:cs="Arial" w:hAnsi="Arial" w:eastAsia="Arial"/>
                <w:u w:color="000000"/>
                <w:shd w:val="nil" w:color="auto" w:fill="auto"/>
              </w:rPr>
            </w:pPr>
            <w:r>
              <w:rPr>
                <w:rFonts w:ascii="Arial" w:hAnsi="Arial"/>
                <w:b w:val="1"/>
                <w:bCs w:val="1"/>
                <w:u w:color="000000"/>
                <w:shd w:val="nil" w:color="auto" w:fill="auto"/>
                <w:rtl w:val="0"/>
                <w:lang w:val="en-US"/>
              </w:rPr>
              <w:t>Assignment Mark</w:t>
            </w:r>
          </w:p>
          <w:p>
            <w:pPr>
              <w:pStyle w:val="Body"/>
              <w:bidi w:val="0"/>
              <w:spacing w:before="0"/>
              <w:ind w:left="0" w:right="0" w:firstLine="0"/>
              <w:jc w:val="left"/>
              <w:rPr>
                <w:rFonts w:ascii="Arial" w:cs="Arial" w:hAnsi="Arial" w:eastAsia="Arial"/>
                <w:sz w:val="20"/>
                <w:szCs w:val="20"/>
                <w:u w:color="000000"/>
                <w:shd w:val="nil" w:color="auto" w:fill="auto"/>
                <w:rtl w:val="0"/>
              </w:rPr>
            </w:pPr>
          </w:p>
          <w:p>
            <w:pPr>
              <w:pStyle w:val="Body"/>
              <w:bidi w:val="0"/>
              <w:spacing w:before="0"/>
              <w:ind w:left="0" w:right="0" w:firstLine="0"/>
              <w:jc w:val="left"/>
              <w:rPr>
                <w:rFonts w:ascii="Arial" w:cs="Arial" w:hAnsi="Arial" w:eastAsia="Arial"/>
                <w:sz w:val="20"/>
                <w:szCs w:val="20"/>
                <w:u w:color="000000"/>
                <w:shd w:val="nil" w:color="auto" w:fill="auto"/>
                <w:rtl w:val="0"/>
              </w:rPr>
            </w:pPr>
            <w:r>
              <w:rPr>
                <w:rFonts w:ascii="Arial" w:hAnsi="Arial"/>
                <w:sz w:val="20"/>
                <w:szCs w:val="20"/>
                <w:u w:color="000000"/>
                <w:shd w:val="nil" w:color="auto" w:fill="auto"/>
                <w:rtl w:val="0"/>
              </w:rPr>
              <w:t>1</w:t>
            </w:r>
            <w:r>
              <w:rPr>
                <w:rFonts w:ascii="Arial" w:hAnsi="Arial"/>
                <w:sz w:val="20"/>
                <w:szCs w:val="20"/>
                <w:u w:color="000000"/>
                <w:shd w:val="nil" w:color="auto" w:fill="auto"/>
                <w:vertAlign w:val="superscript"/>
                <w:rtl w:val="0"/>
              </w:rPr>
              <w:t>st</w:t>
            </w:r>
            <w:r>
              <w:rPr>
                <w:rFonts w:ascii="Arial" w:hAnsi="Arial"/>
                <w:sz w:val="20"/>
                <w:szCs w:val="20"/>
                <w:u w:color="000000"/>
                <w:shd w:val="nil" w:color="auto" w:fill="auto"/>
                <w:rtl w:val="0"/>
              </w:rPr>
              <w:t xml:space="preserve"> Marker</w:t>
            </w:r>
            <w:r>
              <w:rPr>
                <w:rFonts w:ascii="Arial" w:hAnsi="Arial" w:hint="default"/>
                <w:sz w:val="20"/>
                <w:szCs w:val="20"/>
                <w:u w:color="000000"/>
                <w:shd w:val="nil" w:color="auto" w:fill="auto"/>
                <w:rtl w:val="1"/>
              </w:rPr>
              <w:t>’</w:t>
            </w:r>
            <w:r>
              <w:rPr>
                <w:rFonts w:ascii="Arial" w:hAnsi="Arial"/>
                <w:sz w:val="20"/>
                <w:szCs w:val="20"/>
                <w:u w:color="000000"/>
                <w:shd w:val="nil" w:color="auto" w:fill="auto"/>
                <w:rtl w:val="0"/>
                <w:lang w:val="en-US"/>
              </w:rPr>
              <w:t>s Provisional mark</w:t>
              <w:tab/>
            </w:r>
          </w:p>
          <w:p>
            <w:pPr>
              <w:pStyle w:val="Body"/>
              <w:bidi w:val="0"/>
              <w:spacing w:before="0"/>
              <w:ind w:left="0" w:right="0" w:firstLine="0"/>
              <w:jc w:val="left"/>
              <w:rPr>
                <w:rFonts w:ascii="Arial" w:cs="Arial" w:hAnsi="Arial" w:eastAsia="Arial"/>
                <w:sz w:val="20"/>
                <w:szCs w:val="20"/>
                <w:u w:color="000000"/>
                <w:shd w:val="nil" w:color="auto" w:fill="auto"/>
                <w:rtl w:val="0"/>
              </w:rPr>
            </w:pPr>
          </w:p>
          <w:p>
            <w:pPr>
              <w:pStyle w:val="Body"/>
              <w:bidi w:val="0"/>
              <w:spacing w:before="0"/>
              <w:ind w:left="0" w:right="0" w:firstLine="0"/>
              <w:jc w:val="left"/>
              <w:rPr>
                <w:rFonts w:ascii="Arial" w:cs="Arial" w:hAnsi="Arial" w:eastAsia="Arial"/>
                <w:sz w:val="20"/>
                <w:szCs w:val="20"/>
                <w:u w:color="000000"/>
                <w:shd w:val="nil" w:color="auto" w:fill="auto"/>
                <w:rtl w:val="0"/>
              </w:rPr>
            </w:pPr>
            <w:r>
              <w:rPr>
                <w:rFonts w:ascii="Arial" w:hAnsi="Arial"/>
                <w:sz w:val="20"/>
                <w:szCs w:val="20"/>
                <w:u w:color="000000"/>
                <w:shd w:val="nil" w:color="auto" w:fill="auto"/>
                <w:rtl w:val="0"/>
              </w:rPr>
              <w:t>2</w:t>
            </w:r>
            <w:r>
              <w:rPr>
                <w:rFonts w:ascii="Arial" w:hAnsi="Arial"/>
                <w:sz w:val="20"/>
                <w:szCs w:val="20"/>
                <w:u w:color="000000"/>
                <w:shd w:val="nil" w:color="auto" w:fill="auto"/>
                <w:vertAlign w:val="superscript"/>
                <w:rtl w:val="0"/>
              </w:rPr>
              <w:t>nd</w:t>
            </w:r>
            <w:r>
              <w:rPr>
                <w:rFonts w:ascii="Arial" w:hAnsi="Arial"/>
                <w:sz w:val="20"/>
                <w:szCs w:val="20"/>
                <w:u w:color="000000"/>
                <w:shd w:val="nil" w:color="auto" w:fill="auto"/>
                <w:rtl w:val="0"/>
              </w:rPr>
              <w:t xml:space="preserve"> Marker</w:t>
            </w:r>
            <w:r>
              <w:rPr>
                <w:rFonts w:ascii="Arial" w:hAnsi="Arial" w:hint="default"/>
                <w:sz w:val="20"/>
                <w:szCs w:val="20"/>
                <w:u w:color="000000"/>
                <w:shd w:val="nil" w:color="auto" w:fill="auto"/>
                <w:rtl w:val="1"/>
              </w:rPr>
              <w:t>’</w:t>
            </w:r>
            <w:r>
              <w:rPr>
                <w:rFonts w:ascii="Arial" w:hAnsi="Arial"/>
                <w:sz w:val="20"/>
                <w:szCs w:val="20"/>
                <w:u w:color="000000"/>
                <w:shd w:val="nil" w:color="auto" w:fill="auto"/>
                <w:rtl w:val="0"/>
                <w:lang w:val="it-IT"/>
              </w:rPr>
              <w:t>s/Moderator</w:t>
            </w:r>
            <w:r>
              <w:rPr>
                <w:rFonts w:ascii="Arial" w:hAnsi="Arial" w:hint="default"/>
                <w:sz w:val="20"/>
                <w:szCs w:val="20"/>
                <w:u w:color="000000"/>
                <w:shd w:val="nil" w:color="auto" w:fill="auto"/>
                <w:rtl w:val="1"/>
              </w:rPr>
              <w:t>’</w:t>
            </w:r>
            <w:r>
              <w:rPr>
                <w:rFonts w:ascii="Arial" w:hAnsi="Arial"/>
                <w:sz w:val="20"/>
                <w:szCs w:val="20"/>
                <w:u w:color="000000"/>
                <w:shd w:val="nil" w:color="auto" w:fill="auto"/>
                <w:rtl w:val="0"/>
                <w:lang w:val="en-US"/>
              </w:rPr>
              <w:t>s provisional mark</w:t>
              <w:tab/>
            </w:r>
          </w:p>
          <w:p>
            <w:pPr>
              <w:pStyle w:val="Body"/>
              <w:bidi w:val="0"/>
              <w:spacing w:before="0"/>
              <w:ind w:left="0" w:right="0" w:firstLine="0"/>
              <w:jc w:val="left"/>
              <w:rPr>
                <w:rFonts w:ascii="Arial" w:cs="Arial" w:hAnsi="Arial" w:eastAsia="Arial"/>
                <w:sz w:val="20"/>
                <w:szCs w:val="20"/>
                <w:u w:color="000000"/>
                <w:shd w:val="nil" w:color="auto" w:fill="auto"/>
                <w:rtl w:val="0"/>
              </w:rPr>
            </w:pPr>
          </w:p>
          <w:p>
            <w:pPr>
              <w:pStyle w:val="Body"/>
              <w:bidi w:val="0"/>
              <w:spacing w:before="0"/>
              <w:ind w:left="0" w:right="0" w:firstLine="0"/>
              <w:jc w:val="left"/>
              <w:rPr>
                <w:rFonts w:ascii="Arial" w:cs="Arial" w:hAnsi="Arial" w:eastAsia="Arial"/>
                <w:sz w:val="20"/>
                <w:szCs w:val="20"/>
                <w:u w:color="000000"/>
                <w:shd w:val="nil" w:color="auto" w:fill="auto"/>
                <w:rtl w:val="0"/>
              </w:rPr>
            </w:pPr>
            <w:r>
              <w:rPr>
                <w:rFonts w:ascii="Arial" w:hAnsi="Arial"/>
                <w:sz w:val="20"/>
                <w:szCs w:val="20"/>
                <w:u w:color="000000"/>
                <w:shd w:val="nil" w:color="auto" w:fill="auto"/>
                <w:rtl w:val="0"/>
                <w:lang w:val="pt-PT"/>
              </w:rPr>
              <w:t>External Examiner</w:t>
            </w:r>
            <w:r>
              <w:rPr>
                <w:rFonts w:ascii="Arial" w:hAnsi="Arial" w:hint="default"/>
                <w:sz w:val="20"/>
                <w:szCs w:val="20"/>
                <w:u w:color="000000"/>
                <w:shd w:val="nil" w:color="auto" w:fill="auto"/>
                <w:rtl w:val="1"/>
              </w:rPr>
              <w:t>’</w:t>
            </w:r>
            <w:r>
              <w:rPr>
                <w:rFonts w:ascii="Arial" w:hAnsi="Arial"/>
                <w:sz w:val="20"/>
                <w:szCs w:val="20"/>
                <w:u w:color="000000"/>
                <w:shd w:val="nil" w:color="auto" w:fill="auto"/>
                <w:rtl w:val="0"/>
                <w:lang w:val="en-US"/>
              </w:rPr>
              <w:t>s mark (if relevant)</w:t>
              <w:tab/>
            </w:r>
          </w:p>
          <w:p>
            <w:pPr>
              <w:pStyle w:val="Body"/>
              <w:bidi w:val="0"/>
              <w:spacing w:before="0"/>
              <w:ind w:left="0" w:right="0" w:firstLine="0"/>
              <w:jc w:val="left"/>
              <w:rPr>
                <w:rFonts w:ascii="Arial" w:cs="Arial" w:hAnsi="Arial" w:eastAsia="Arial"/>
                <w:sz w:val="20"/>
                <w:szCs w:val="20"/>
                <w:u w:color="000000"/>
                <w:shd w:val="nil" w:color="auto" w:fill="auto"/>
                <w:rtl w:val="0"/>
              </w:rPr>
            </w:pPr>
          </w:p>
          <w:p>
            <w:pPr>
              <w:pStyle w:val="Body"/>
              <w:bidi w:val="0"/>
              <w:spacing w:before="0"/>
              <w:ind w:left="0" w:right="0" w:firstLine="0"/>
              <w:jc w:val="left"/>
              <w:rPr>
                <w:rFonts w:ascii="Times New Roman" w:cs="Times New Roman" w:hAnsi="Times New Roman" w:eastAsia="Times New Roman"/>
                <w:u w:color="000000"/>
                <w:shd w:val="nil" w:color="auto" w:fill="auto"/>
                <w:rtl w:val="0"/>
              </w:rPr>
            </w:pPr>
            <w:r>
              <w:rPr>
                <w:rFonts w:ascii="Arial" w:hAnsi="Arial"/>
                <w:b w:val="1"/>
                <w:bCs w:val="1"/>
                <w:sz w:val="20"/>
                <w:szCs w:val="20"/>
                <w:u w:color="000000"/>
                <w:shd w:val="nil" w:color="auto" w:fill="auto"/>
                <w:rtl w:val="0"/>
                <w:lang w:val="pt-PT"/>
              </w:rPr>
              <w:t>Final Mark</w:t>
            </w:r>
          </w:p>
          <w:p>
            <w:pPr>
              <w:pStyle w:val="Body"/>
              <w:bidi w:val="0"/>
              <w:spacing w:before="0"/>
              <w:ind w:left="0" w:right="0" w:firstLine="0"/>
              <w:jc w:val="left"/>
              <w:rPr>
                <w:rFonts w:ascii="Arial" w:cs="Arial" w:hAnsi="Arial" w:eastAsia="Arial"/>
                <w:sz w:val="20"/>
                <w:szCs w:val="20"/>
                <w:u w:color="000000"/>
                <w:shd w:val="nil" w:color="auto" w:fill="auto"/>
                <w:rtl w:val="0"/>
              </w:rPr>
            </w:pPr>
            <w:r>
              <w:rPr>
                <w:rFonts w:ascii="Times New Roman" w:cs="Times New Roman" w:hAnsi="Times New Roman" w:eastAsia="Times New Roman"/>
                <w:sz w:val="20"/>
                <w:szCs w:val="20"/>
                <w:u w:color="000000"/>
                <w:shd w:val="nil" w:color="auto" w:fill="auto"/>
                <w:rtl w:val="0"/>
              </w:rPr>
              <w:tab/>
            </w:r>
          </w:p>
          <w:p>
            <w:pPr>
              <w:pStyle w:val="Normal (Web)"/>
              <w:bidi w:val="0"/>
              <w:spacing w:before="0" w:after="0"/>
              <w:ind w:left="142" w:right="0" w:firstLine="0"/>
              <w:jc w:val="left"/>
              <w:rPr>
                <w:rFonts w:ascii="Arial" w:cs="Arial" w:hAnsi="Arial" w:eastAsia="Arial"/>
                <w:sz w:val="22"/>
                <w:szCs w:val="22"/>
                <w:shd w:val="nil" w:color="auto" w:fill="auto"/>
                <w:rtl w:val="0"/>
              </w:rPr>
            </w:pPr>
            <w:r>
              <w:rPr>
                <w:rFonts w:ascii="Arial" w:hAnsi="Arial"/>
                <w:b w:val="1"/>
                <w:bCs w:val="1"/>
                <w:sz w:val="22"/>
                <w:szCs w:val="22"/>
                <w:shd w:val="nil" w:color="auto" w:fill="auto"/>
                <w:rtl w:val="0"/>
                <w:lang w:val="en-US"/>
              </w:rPr>
              <w:t>NB.</w:t>
            </w:r>
            <w:r>
              <w:rPr>
                <w:rFonts w:ascii="Arial" w:hAnsi="Arial"/>
                <w:sz w:val="22"/>
                <w:szCs w:val="22"/>
                <w:shd w:val="nil" w:color="auto" w:fill="auto"/>
                <w:rtl w:val="0"/>
                <w:lang w:val="en-US"/>
              </w:rPr>
              <w:t xml:space="preserve">  All marks are provisional until confirmed by the Final Examination Board.</w:t>
            </w:r>
          </w:p>
          <w:p>
            <w:pPr>
              <w:pStyle w:val="Normal (Web)"/>
              <w:spacing w:before="0" w:after="0"/>
              <w:rPr>
                <w:rFonts w:ascii="Arial" w:cs="Arial" w:hAnsi="Arial" w:eastAsia="Arial"/>
                <w:b w:val="1"/>
                <w:bCs w:val="1"/>
                <w:sz w:val="22"/>
                <w:szCs w:val="22"/>
                <w:shd w:val="nil" w:color="auto" w:fill="auto"/>
              </w:rPr>
            </w:pPr>
          </w:p>
          <w:p>
            <w:pPr>
              <w:pStyle w:val="Normal (Web)"/>
              <w:bidi w:val="0"/>
              <w:spacing w:before="0" w:after="0"/>
              <w:ind w:left="0" w:right="0" w:firstLine="0"/>
              <w:jc w:val="left"/>
              <w:rPr>
                <w:rFonts w:ascii="Arial" w:cs="Arial" w:hAnsi="Arial" w:eastAsia="Arial"/>
                <w:b w:val="1"/>
                <w:bCs w:val="1"/>
                <w:sz w:val="22"/>
                <w:szCs w:val="22"/>
                <w:shd w:val="nil" w:color="auto" w:fill="auto"/>
                <w:rtl w:val="0"/>
              </w:rPr>
            </w:pPr>
            <w:r>
              <w:rPr>
                <w:rFonts w:ascii="Arial" w:hAnsi="Arial"/>
                <w:b w:val="1"/>
                <w:bCs w:val="1"/>
                <w:sz w:val="22"/>
                <w:szCs w:val="22"/>
                <w:shd w:val="nil" w:color="auto" w:fill="auto"/>
                <w:rtl w:val="0"/>
                <w:lang w:val="en-US"/>
              </w:rPr>
              <w:t xml:space="preserve">            ALL COMMENTS ARE  ON THE PDF OF YOUR PAPER IN TURNITIN </w:t>
            </w:r>
          </w:p>
          <w:p>
            <w:pPr>
              <w:pStyle w:val="Normal (Web)"/>
              <w:spacing w:before="0" w:after="0"/>
              <w:rPr>
                <w:rFonts w:ascii="Arial" w:cs="Arial" w:hAnsi="Arial" w:eastAsia="Arial"/>
                <w:b w:val="1"/>
                <w:bCs w:val="1"/>
                <w:sz w:val="22"/>
                <w:szCs w:val="22"/>
                <w:shd w:val="nil" w:color="auto" w:fill="auto"/>
              </w:rPr>
            </w:pPr>
          </w:p>
          <w:p>
            <w:pPr>
              <w:pStyle w:val="Normal (Web)"/>
              <w:bidi w:val="0"/>
              <w:spacing w:before="0" w:after="0"/>
              <w:ind w:left="0" w:right="0" w:firstLine="0"/>
              <w:jc w:val="left"/>
              <w:rPr>
                <w:shd w:val="nil" w:color="auto" w:fill="auto"/>
                <w:rtl w:val="0"/>
              </w:rPr>
            </w:pPr>
            <w:r>
              <w:rPr>
                <w:rFonts w:ascii="Arial" w:hAnsi="Arial"/>
                <w:b w:val="1"/>
                <w:bCs w:val="1"/>
                <w:sz w:val="22"/>
                <w:szCs w:val="22"/>
                <w:shd w:val="nil" w:color="auto" w:fill="auto"/>
                <w:rtl w:val="0"/>
                <w:lang w:val="en-US"/>
              </w:rPr>
              <w:t>For completion by Marker 1 :</w:t>
            </w:r>
          </w:p>
          <w:p>
            <w:pPr>
              <w:pStyle w:val="Normal (Web)"/>
              <w:bidi w:val="0"/>
              <w:spacing w:before="0" w:after="0"/>
              <w:ind w:left="0" w:right="0" w:firstLine="0"/>
              <w:jc w:val="left"/>
              <w:rPr>
                <w:rFonts w:ascii="Georgia" w:cs="Georgia" w:hAnsi="Georgia" w:eastAsia="Georgia"/>
                <w:sz w:val="22"/>
                <w:szCs w:val="22"/>
                <w:shd w:val="nil" w:color="auto" w:fill="auto"/>
                <w:rtl w:val="0"/>
              </w:rPr>
            </w:pPr>
          </w:p>
          <w:p>
            <w:pPr>
              <w:pStyle w:val="Normal (Web)"/>
              <w:bidi w:val="0"/>
              <w:spacing w:before="0" w:after="0"/>
              <w:ind w:left="0" w:right="0" w:firstLine="0"/>
              <w:jc w:val="left"/>
              <w:rPr>
                <w:rFonts w:ascii="Arial" w:cs="Arial" w:hAnsi="Arial" w:eastAsia="Arial"/>
                <w:sz w:val="22"/>
                <w:szCs w:val="22"/>
                <w:shd w:val="nil" w:color="auto" w:fill="auto"/>
                <w:rtl w:val="0"/>
              </w:rPr>
            </w:pPr>
            <w:r>
              <w:rPr>
                <w:rFonts w:ascii="Arial" w:hAnsi="Arial"/>
                <w:sz w:val="22"/>
                <w:szCs w:val="22"/>
                <w:shd w:val="nil" w:color="auto" w:fill="auto"/>
                <w:rtl w:val="0"/>
                <w:lang w:val="en-US"/>
              </w:rPr>
              <w:t>Comments:</w:t>
            </w:r>
          </w:p>
          <w:p>
            <w:pPr>
              <w:pStyle w:val="Normal (Web)"/>
              <w:spacing w:before="0" w:after="0"/>
            </w:pPr>
            <w:r>
              <w:rPr>
                <w:shd w:val="nil" w:color="auto" w:fill="auto"/>
              </w:rPr>
            </w:r>
          </w:p>
        </w:tc>
      </w:tr>
      <w:tr>
        <w:tblPrEx>
          <w:shd w:val="clear" w:color="auto" w:fill="ced7e7"/>
        </w:tblPrEx>
        <w:trPr>
          <w:trHeight w:val="243" w:hRule="atLeast"/>
        </w:trPr>
        <w:tc>
          <w:tcPr>
            <w:tcW w:type="dxa" w:w="676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80"/>
            </w:tcMar>
            <w:vAlign w:val="top"/>
          </w:tcPr>
          <w:p>
            <w:pPr>
              <w:pStyle w:val="Normal (Web)"/>
              <w:spacing w:before="0" w:after="0"/>
            </w:pPr>
            <w:r>
              <w:rPr>
                <w:rFonts w:ascii="Arial" w:hAnsi="Arial"/>
                <w:sz w:val="22"/>
                <w:szCs w:val="22"/>
                <w:shd w:val="nil" w:color="auto" w:fill="auto"/>
                <w:rtl w:val="0"/>
              </w:rPr>
              <w:t>Marker</w:t>
            </w:r>
            <w:r>
              <w:rPr>
                <w:rFonts w:ascii="Arial" w:hAnsi="Arial" w:hint="default"/>
                <w:sz w:val="22"/>
                <w:szCs w:val="22"/>
                <w:shd w:val="nil" w:color="auto" w:fill="auto"/>
                <w:rtl w:val="1"/>
              </w:rPr>
              <w:t>’</w:t>
            </w:r>
            <w:r>
              <w:rPr>
                <w:rFonts w:ascii="Arial" w:hAnsi="Arial"/>
                <w:sz w:val="22"/>
                <w:szCs w:val="22"/>
                <w:shd w:val="nil" w:color="auto" w:fill="auto"/>
                <w:rtl w:val="0"/>
                <w:lang w:val="en-US"/>
              </w:rPr>
              <w:t>s signature:</w:t>
            </w:r>
          </w:p>
        </w:tc>
        <w:tc>
          <w:tcPr>
            <w:tcW w:type="dxa" w:w="208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80"/>
            </w:tcMar>
            <w:vAlign w:val="top"/>
          </w:tcPr>
          <w:p>
            <w:pPr>
              <w:pStyle w:val="Normal (Web)"/>
              <w:spacing w:before="0" w:after="0"/>
              <w:ind w:left="142" w:firstLine="0"/>
            </w:pPr>
            <w:r>
              <w:rPr>
                <w:rFonts w:ascii="Arial" w:hAnsi="Arial"/>
                <w:sz w:val="22"/>
                <w:szCs w:val="22"/>
                <w:shd w:val="nil" w:color="auto" w:fill="auto"/>
                <w:rtl w:val="0"/>
                <w:lang w:val="de-DE"/>
              </w:rPr>
              <w:t>Date:</w:t>
            </w:r>
          </w:p>
        </w:tc>
      </w:tr>
      <w:tr>
        <w:tblPrEx>
          <w:shd w:val="clear" w:color="auto" w:fill="ced7e7"/>
        </w:tblPrEx>
        <w:trPr>
          <w:trHeight w:val="120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bidi w:val="0"/>
              <w:spacing w:before="0" w:after="0"/>
              <w:ind w:left="0" w:right="0" w:firstLine="0"/>
              <w:jc w:val="left"/>
              <w:rPr>
                <w:shd w:val="nil" w:color="auto" w:fill="auto"/>
                <w:rtl w:val="0"/>
              </w:rPr>
            </w:pPr>
            <w:r>
              <w:rPr>
                <w:rFonts w:ascii="Arial" w:hAnsi="Arial"/>
                <w:b w:val="1"/>
                <w:bCs w:val="1"/>
                <w:sz w:val="22"/>
                <w:szCs w:val="22"/>
                <w:shd w:val="nil" w:color="auto" w:fill="auto"/>
                <w:rtl w:val="0"/>
                <w:lang w:val="en-US"/>
              </w:rPr>
              <w:t>For completion by Marker 2/Moderator:</w:t>
            </w:r>
          </w:p>
          <w:p>
            <w:pPr>
              <w:pStyle w:val="Normal (Web)"/>
              <w:spacing w:before="0" w:after="0"/>
              <w:rPr>
                <w:rFonts w:ascii="Arial" w:cs="Arial" w:hAnsi="Arial" w:eastAsia="Arial"/>
                <w:b w:val="1"/>
                <w:bCs w:val="1"/>
                <w:sz w:val="22"/>
                <w:szCs w:val="22"/>
                <w:shd w:val="nil" w:color="auto" w:fill="auto"/>
              </w:rPr>
            </w:pPr>
          </w:p>
          <w:p>
            <w:pPr>
              <w:pStyle w:val="Normal (Web)"/>
              <w:bidi w:val="0"/>
              <w:spacing w:before="0" w:after="0"/>
              <w:ind w:left="0" w:right="0" w:firstLine="0"/>
              <w:jc w:val="left"/>
              <w:rPr>
                <w:shd w:val="nil" w:color="auto" w:fill="auto"/>
                <w:rtl w:val="0"/>
              </w:rPr>
            </w:pPr>
            <w:r>
              <w:rPr>
                <w:rFonts w:ascii="Arial" w:hAnsi="Arial"/>
                <w:sz w:val="22"/>
                <w:szCs w:val="22"/>
                <w:shd w:val="nil" w:color="auto" w:fill="auto"/>
                <w:rtl w:val="0"/>
                <w:lang w:val="en-US"/>
              </w:rPr>
              <w:t>Comments:</w:t>
            </w:r>
          </w:p>
          <w:p>
            <w:pPr>
              <w:pStyle w:val="Normal (Web)"/>
              <w:spacing w:before="0" w:after="0"/>
            </w:pPr>
            <w:r>
              <w:rPr>
                <w:rFonts w:ascii="Arial" w:cs="Arial" w:hAnsi="Arial" w:eastAsia="Arial"/>
                <w:sz w:val="22"/>
                <w:szCs w:val="22"/>
                <w:shd w:val="nil" w:color="auto" w:fill="auto"/>
              </w:rPr>
            </w:r>
          </w:p>
        </w:tc>
      </w:tr>
      <w:tr>
        <w:tblPrEx>
          <w:shd w:val="clear" w:color="auto" w:fill="ced7e7"/>
        </w:tblPrEx>
        <w:trPr>
          <w:trHeight w:val="243"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spacing w:before="0" w:after="0"/>
            </w:pPr>
            <w:r>
              <w:rPr>
                <w:rFonts w:ascii="Arial" w:hAnsi="Arial"/>
                <w:sz w:val="22"/>
                <w:szCs w:val="22"/>
                <w:shd w:val="nil" w:color="auto" w:fill="auto"/>
                <w:rtl w:val="0"/>
              </w:rPr>
              <w:t>Marker</w:t>
            </w:r>
            <w:r>
              <w:rPr>
                <w:rFonts w:ascii="Arial" w:hAnsi="Arial" w:hint="default"/>
                <w:sz w:val="22"/>
                <w:szCs w:val="22"/>
                <w:shd w:val="nil" w:color="auto" w:fill="auto"/>
                <w:rtl w:val="1"/>
              </w:rPr>
              <w:t>’</w:t>
            </w:r>
            <w:r>
              <w:rPr>
                <w:rFonts w:ascii="Arial" w:hAnsi="Arial"/>
                <w:sz w:val="22"/>
                <w:szCs w:val="22"/>
                <w:shd w:val="nil" w:color="auto" w:fill="auto"/>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spacing w:before="0" w:after="0"/>
            </w:pPr>
            <w:r>
              <w:rPr>
                <w:rFonts w:ascii="Arial" w:hAnsi="Arial"/>
                <w:sz w:val="22"/>
                <w:szCs w:val="22"/>
                <w:shd w:val="nil" w:color="auto" w:fill="auto"/>
                <w:rtl w:val="0"/>
                <w:lang w:val="de-DE"/>
              </w:rPr>
              <w:t>Date:</w:t>
            </w:r>
          </w:p>
        </w:tc>
      </w:tr>
      <w:tr>
        <w:tblPrEx>
          <w:shd w:val="clear" w:color="auto" w:fill="ced7e7"/>
        </w:tblPrEx>
        <w:trPr>
          <w:trHeight w:val="560"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0"/>
              <w:ind w:left="0" w:right="0" w:firstLine="0"/>
              <w:jc w:val="left"/>
              <w:rPr>
                <w:rtl w:val="0"/>
              </w:rPr>
            </w:pPr>
            <w:r>
              <w:rPr>
                <w:rFonts w:ascii="Arial" w:hAnsi="Arial"/>
                <w:b w:val="1"/>
                <w:bCs w:val="1"/>
                <w:sz w:val="22"/>
                <w:szCs w:val="22"/>
                <w:u w:color="000000"/>
                <w:shd w:val="nil" w:color="auto" w:fill="auto"/>
                <w:rtl w:val="0"/>
                <w:lang w:val="pt-PT"/>
              </w:rPr>
              <w:t>External Examiner</w:t>
            </w:r>
            <w:r>
              <w:rPr>
                <w:rFonts w:ascii="Arial" w:hAnsi="Arial" w:hint="default"/>
                <w:b w:val="1"/>
                <w:bCs w:val="1"/>
                <w:sz w:val="22"/>
                <w:szCs w:val="22"/>
                <w:u w:color="000000"/>
                <w:shd w:val="nil" w:color="auto" w:fill="auto"/>
                <w:rtl w:val="1"/>
              </w:rPr>
              <w:t>’</w:t>
            </w:r>
            <w:r>
              <w:rPr>
                <w:rFonts w:ascii="Arial" w:hAnsi="Arial"/>
                <w:b w:val="1"/>
                <w:bCs w:val="1"/>
                <w:sz w:val="22"/>
                <w:szCs w:val="22"/>
                <w:u w:color="000000"/>
                <w:shd w:val="nil" w:color="auto" w:fill="auto"/>
                <w:rtl w:val="0"/>
                <w:lang w:val="en-US"/>
              </w:rPr>
              <w:t>s comments (if relevant)</w:t>
            </w:r>
            <w:r>
              <w:rPr>
                <w:rFonts w:ascii="Times New Roman" w:cs="Times New Roman" w:hAnsi="Times New Roman" w:eastAsia="Times New Roman"/>
                <w:u w:color="000000"/>
                <w:shd w:val="nil" w:color="auto" w:fill="auto"/>
                <w:rtl w:val="0"/>
              </w:rPr>
            </w:r>
          </w:p>
        </w:tc>
      </w:tr>
      <w:tr>
        <w:tblPrEx>
          <w:shd w:val="clear" w:color="auto" w:fill="ced7e7"/>
        </w:tblPrEx>
        <w:trPr>
          <w:trHeight w:val="243"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0"/>
              <w:ind w:left="0" w:right="0" w:firstLine="0"/>
              <w:jc w:val="left"/>
              <w:rPr>
                <w:rtl w:val="0"/>
              </w:rPr>
            </w:pPr>
            <w:r>
              <w:rPr>
                <w:rFonts w:ascii="Arial" w:hAnsi="Arial"/>
                <w:sz w:val="22"/>
                <w:szCs w:val="22"/>
                <w:u w:color="000000"/>
                <w:shd w:val="nil" w:color="auto" w:fill="auto"/>
                <w:rtl w:val="0"/>
                <w:lang w:val="pt-PT"/>
              </w:rPr>
              <w:t>External Examiner</w:t>
            </w:r>
            <w:r>
              <w:rPr>
                <w:rFonts w:ascii="Arial" w:hAnsi="Arial" w:hint="default"/>
                <w:sz w:val="22"/>
                <w:szCs w:val="22"/>
                <w:u w:color="000000"/>
                <w:shd w:val="nil" w:color="auto" w:fill="auto"/>
                <w:rtl w:val="1"/>
              </w:rPr>
              <w:t>’</w:t>
            </w:r>
            <w:r>
              <w:rPr>
                <w:rFonts w:ascii="Arial" w:hAnsi="Arial"/>
                <w:sz w:val="22"/>
                <w:szCs w:val="22"/>
                <w:u w:color="000000"/>
                <w:shd w:val="nil" w:color="auto" w:fill="auto"/>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0"/>
              <w:ind w:left="0" w:right="0" w:firstLine="0"/>
              <w:jc w:val="left"/>
              <w:rPr>
                <w:rtl w:val="0"/>
              </w:rPr>
            </w:pPr>
            <w:r>
              <w:rPr>
                <w:rFonts w:ascii="Arial" w:hAnsi="Arial"/>
                <w:sz w:val="22"/>
                <w:szCs w:val="22"/>
                <w:u w:color="000000"/>
                <w:shd w:val="nil" w:color="auto" w:fill="auto"/>
                <w:rtl w:val="0"/>
                <w:lang w:val="de-DE"/>
              </w:rPr>
              <w:t>Date:</w:t>
            </w:r>
          </w:p>
        </w:tc>
      </w:tr>
    </w:tbl>
    <w:p>
      <w:pPr>
        <w:pStyle w:val="Heading 3"/>
        <w:keepNext w:val="0"/>
        <w:widowControl w:val="0"/>
        <w:ind w:left="0" w:firstLine="0"/>
        <w:jc w:val="center"/>
        <w:rPr>
          <w:rFonts w:ascii="Trebuchet MS" w:cs="Trebuchet MS" w:hAnsi="Trebuchet MS" w:eastAsia="Trebuchet MS"/>
        </w:rPr>
      </w:pPr>
    </w:p>
    <w:p>
      <w:pPr>
        <w:pStyle w:val="Heading 3"/>
        <w:keepNext w:val="0"/>
        <w:widowControl w:val="0"/>
        <w:ind w:left="0" w:firstLine="0"/>
        <w:jc w:val="center"/>
        <w:rPr>
          <w:rFonts w:ascii="Trebuchet MS" w:cs="Trebuchet MS" w:hAnsi="Trebuchet MS" w:eastAsia="Trebuchet MS"/>
        </w:rPr>
      </w:pPr>
    </w:p>
    <w:p>
      <w:pPr>
        <w:pStyle w:val="Heading 3"/>
        <w:keepNext w:val="0"/>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sectPr>
          <w:headerReference w:type="default" r:id="rId5"/>
          <w:footerReference w:type="default" r:id="rId6"/>
          <w:pgSz w:w="12240" w:h="15840" w:orient="portrait"/>
          <w:pgMar w:top="1134" w:right="1134" w:bottom="1134" w:left="1134" w:header="567" w:footer="720"/>
          <w:pgNumType w:start="1"/>
          <w:bidi w:val="0"/>
        </w:sectPr>
      </w:pPr>
    </w:p>
    <w:p>
      <w:pPr>
        <w:pStyle w:val="Body"/>
        <w:spacing w:before="0"/>
        <w:rPr>
          <w:rFonts w:ascii="Palatino" w:cs="Palatino" w:hAnsi="Palatino" w:eastAsia="Palatino"/>
          <w:sz w:val="22"/>
          <w:szCs w:val="22"/>
        </w:rPr>
      </w:pPr>
    </w:p>
    <w:p>
      <w:pPr>
        <w:pStyle w:val="Body"/>
        <w:spacing w:before="0"/>
        <w:rPr>
          <w:rFonts w:ascii="Palatino" w:cs="Palatino" w:hAnsi="Palatino" w:eastAsia="Palatino"/>
          <w:sz w:val="22"/>
          <w:szCs w:val="22"/>
        </w:rPr>
      </w:pPr>
    </w:p>
    <w:p>
      <w:pPr>
        <w:pStyle w:val="Body"/>
        <w:spacing w:before="0"/>
        <w:rPr>
          <w:rFonts w:ascii="Palatino" w:cs="Palatino" w:hAnsi="Palatino" w:eastAsia="Palatino"/>
          <w:sz w:val="32"/>
          <w:szCs w:val="32"/>
        </w:rPr>
      </w:pPr>
      <w:r>
        <w:rPr>
          <w:rFonts w:ascii="Palatino" w:hAnsi="Palatino"/>
          <w:sz w:val="32"/>
          <w:szCs w:val="32"/>
          <w:rtl w:val="0"/>
          <w:lang w:val="en-US"/>
        </w:rPr>
        <w:t>A Critical Comparison of two JSTOR papers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hAnsi="Palatino"/>
          <w:sz w:val="22"/>
          <w:szCs w:val="22"/>
          <w:rtl w:val="0"/>
          <w:lang w:val="en-US"/>
        </w:rPr>
        <w:t>(2100 words)</w:t>
      </w:r>
    </w:p>
    <w:p>
      <w:pPr>
        <w:pStyle w:val="Body"/>
        <w:spacing w:before="0"/>
        <w:rPr>
          <w:rFonts w:ascii="Palatino" w:cs="Palatino" w:hAnsi="Palatino" w:eastAsia="Palatino"/>
          <w:sz w:val="22"/>
          <w:szCs w:val="22"/>
        </w:rPr>
      </w:pPr>
    </w:p>
    <w:p>
      <w:pPr>
        <w:pStyle w:val="Body"/>
        <w:spacing w:before="0"/>
        <w:rPr>
          <w:rFonts w:ascii="Palatino" w:cs="Palatino" w:hAnsi="Palatino" w:eastAsia="Palatino"/>
          <w:sz w:val="22"/>
          <w:szCs w:val="22"/>
        </w:rPr>
      </w:pPr>
    </w:p>
    <w:p>
      <w:pPr>
        <w:pStyle w:val="Body"/>
        <w:spacing w:before="0"/>
        <w:rPr>
          <w:rFonts w:ascii="Palatino" w:cs="Palatino" w:hAnsi="Palatino" w:eastAsia="Palatino"/>
          <w:sz w:val="22"/>
          <w:szCs w:val="22"/>
        </w:rPr>
      </w:pPr>
    </w:p>
    <w:p>
      <w:pPr>
        <w:pStyle w:val="Body"/>
        <w:spacing w:before="0"/>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6"/>
          <w:szCs w:val="26"/>
        </w:rPr>
      </w:pPr>
      <w:r>
        <w:rPr>
          <w:rFonts w:ascii="Palatino" w:hAnsi="Palatino"/>
          <w:sz w:val="26"/>
          <w:szCs w:val="26"/>
          <w:rtl w:val="0"/>
          <w:lang w:val="en-US"/>
        </w:rPr>
        <w:t>Tina Jensen Friis Auster</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i w:val="1"/>
          <w:iCs w:val="1"/>
          <w:sz w:val="22"/>
          <w:szCs w:val="22"/>
        </w:rPr>
      </w:pPr>
      <w:r>
        <w:rPr>
          <w:rFonts w:ascii="Palatino" w:hAnsi="Palatino"/>
          <w:i w:val="1"/>
          <w:iCs w:val="1"/>
          <w:sz w:val="22"/>
          <w:szCs w:val="22"/>
          <w:rtl w:val="0"/>
          <w:lang w:val="en-US"/>
        </w:rPr>
        <w:t>Sophia Centre for the Study of Cosmology in Culture</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i w:val="1"/>
          <w:iCs w:val="1"/>
          <w:sz w:val="22"/>
          <w:szCs w:val="22"/>
        </w:rPr>
      </w:pPr>
      <w:r>
        <w:rPr>
          <w:rFonts w:ascii="Palatino" w:hAnsi="Palatino"/>
          <w:i w:val="1"/>
          <w:iCs w:val="1"/>
          <w:sz w:val="22"/>
          <w:szCs w:val="22"/>
          <w:rtl w:val="0"/>
          <w:lang w:val="en-US"/>
        </w:rPr>
        <w:t>University of Wales Trinity Saint David, Institute of Education and Humanities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32"/>
          <w:szCs w:val="3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1"/>
          <w:bCs w:val="1"/>
          <w:sz w:val="22"/>
          <w:szCs w:val="22"/>
        </w:rPr>
      </w:pPr>
      <w:r>
        <w:rPr>
          <w:rFonts w:ascii="Palatino" w:hAnsi="Palatino"/>
          <w:b w:val="1"/>
          <w:bCs w:val="1"/>
          <w:sz w:val="22"/>
          <w:szCs w:val="22"/>
          <w:rtl w:val="0"/>
          <w:lang w:val="en-US"/>
        </w:rPr>
        <w:t>Introduction</w:t>
      </w:r>
    </w:p>
    <w:p>
      <w:pPr>
        <w:pStyle w:val="Body"/>
        <w:spacing w:before="0"/>
        <w:rPr>
          <w:rFonts w:ascii="Palatino" w:cs="Palatino" w:hAnsi="Palatino" w:eastAsia="Palatino"/>
          <w:sz w:val="22"/>
          <w:szCs w:val="22"/>
        </w:rPr>
      </w:pPr>
      <w:r>
        <w:rPr>
          <w:rFonts w:ascii="Palatino" w:hAnsi="Palatino"/>
          <w:sz w:val="22"/>
          <w:szCs w:val="22"/>
          <w:rtl w:val="0"/>
          <w:lang w:val="en-US"/>
        </w:rPr>
        <w:t xml:space="preserve">This essay critically compares and contrasts </w:t>
      </w:r>
      <w:r>
        <w:rPr>
          <w:rFonts w:ascii="Palatino" w:hAnsi="Palatino"/>
          <w:sz w:val="22"/>
          <w:szCs w:val="22"/>
          <w:rtl w:val="0"/>
          <w:lang w:val="en-US"/>
        </w:rPr>
        <w:t>Wayne</w:t>
      </w:r>
      <w:r>
        <w:rPr>
          <w:rFonts w:ascii="Palatino" w:hAnsi="Palatino"/>
          <w:sz w:val="22"/>
          <w:szCs w:val="22"/>
          <w:rtl w:val="0"/>
          <w:lang w:val="en-US"/>
        </w:rPr>
        <w:t xml:space="preserve"> Elzey</w:t>
      </w:r>
      <w:r>
        <w:rPr>
          <w:rFonts w:ascii="Palatino" w:hAnsi="Palatino" w:hint="default"/>
          <w:sz w:val="22"/>
          <w:szCs w:val="22"/>
          <w:rtl w:val="0"/>
          <w:lang w:val="en-US"/>
        </w:rPr>
        <w:t>’</w:t>
      </w:r>
      <w:r>
        <w:rPr>
          <w:rFonts w:ascii="Palatino" w:hAnsi="Palatino"/>
          <w:sz w:val="22"/>
          <w:szCs w:val="22"/>
          <w:rtl w:val="0"/>
          <w:lang w:val="en-US"/>
        </w:rPr>
        <w:t xml:space="preserve">s paper </w:t>
      </w:r>
      <w:r>
        <w:rPr>
          <w:rFonts w:ascii="Palatino" w:hAnsi="Palatino" w:hint="default"/>
          <w:sz w:val="22"/>
          <w:szCs w:val="22"/>
          <w:rtl w:val="1"/>
        </w:rPr>
        <w:t>‘</w:t>
      </w:r>
      <w:r>
        <w:rPr>
          <w:rFonts w:ascii="Palatino" w:hAnsi="Palatino"/>
          <w:sz w:val="22"/>
          <w:szCs w:val="22"/>
          <w:rtl w:val="0"/>
          <w:lang w:val="en-US"/>
        </w:rPr>
        <w:t>The Nahua Myth of the Suns: History and Cosmology in Pre-Hispanic Mexican Religions</w:t>
      </w:r>
      <w:r>
        <w:rPr>
          <w:rFonts w:ascii="Palatino" w:hAnsi="Palatino" w:hint="default"/>
          <w:sz w:val="22"/>
          <w:szCs w:val="22"/>
          <w:rtl w:val="1"/>
        </w:rPr>
        <w:t>’</w:t>
      </w:r>
      <w:r>
        <w:rPr>
          <w:rFonts w:ascii="Palatino" w:hAnsi="Palatino"/>
          <w:sz w:val="22"/>
          <w:szCs w:val="22"/>
          <w:rtl w:val="0"/>
          <w:lang w:val="en-US"/>
        </w:rPr>
        <w:t xml:space="preserve"> published in Numen, the official journal of the International Association for the History of Religion (IAHR)</w:t>
      </w:r>
      <w:r>
        <w:rPr>
          <w:rFonts w:ascii="Palatino" w:hAnsi="Palatino"/>
          <w:sz w:val="22"/>
          <w:szCs w:val="22"/>
          <w:rtl w:val="0"/>
        </w:rPr>
        <w:t xml:space="preserve"> </w:t>
      </w:r>
      <w:r>
        <w:rPr>
          <w:rFonts w:ascii="Palatino" w:hAnsi="Palatino"/>
          <w:sz w:val="22"/>
          <w:szCs w:val="22"/>
          <w:rtl w:val="0"/>
          <w:lang w:val="en-US"/>
        </w:rPr>
        <w:t xml:space="preserve">in 1976 with Mark </w:t>
      </w:r>
      <w:r>
        <w:rPr>
          <w:rFonts w:ascii="Palatino" w:hAnsi="Palatino"/>
          <w:sz w:val="22"/>
          <w:szCs w:val="22"/>
          <w:rtl w:val="0"/>
          <w:lang w:val="de-DE"/>
        </w:rPr>
        <w:t>Graubard</w:t>
      </w:r>
      <w:r>
        <w:rPr>
          <w:rFonts w:ascii="Palatino" w:hAnsi="Palatino" w:hint="default"/>
          <w:sz w:val="22"/>
          <w:szCs w:val="22"/>
          <w:rtl w:val="0"/>
          <w:lang w:val="en-US"/>
        </w:rPr>
        <w:t>’</w:t>
      </w:r>
      <w:r>
        <w:rPr>
          <w:rFonts w:ascii="Palatino" w:hAnsi="Palatino"/>
          <w:sz w:val="22"/>
          <w:szCs w:val="22"/>
          <w:rtl w:val="0"/>
          <w:lang w:val="en-US"/>
        </w:rPr>
        <w:t>s paper</w:t>
      </w:r>
      <w:r>
        <w:rPr>
          <w:rFonts w:ascii="Palatino" w:hAnsi="Palatino" w:hint="default"/>
          <w:sz w:val="22"/>
          <w:szCs w:val="22"/>
          <w:rtl w:val="1"/>
        </w:rPr>
        <w:t xml:space="preserve"> ‘</w:t>
      </w:r>
      <w:r>
        <w:rPr>
          <w:rFonts w:ascii="Palatino" w:hAnsi="Palatino"/>
          <w:sz w:val="22"/>
          <w:szCs w:val="22"/>
          <w:rtl w:val="0"/>
          <w:lang w:val="en-US"/>
        </w:rPr>
        <w:t>Astrology's Demise and Its Bearing on the Decline and Death of Beliefs</w:t>
      </w:r>
      <w:r>
        <w:rPr>
          <w:rFonts w:ascii="Palatino" w:hAnsi="Palatino" w:hint="default"/>
          <w:sz w:val="22"/>
          <w:szCs w:val="22"/>
          <w:rtl w:val="1"/>
        </w:rPr>
        <w:t>’</w:t>
      </w:r>
      <w:r>
        <w:rPr>
          <w:rFonts w:ascii="Palatino" w:hAnsi="Palatino"/>
          <w:sz w:val="22"/>
          <w:szCs w:val="22"/>
          <w:rtl w:val="0"/>
          <w:lang w:val="en-US"/>
        </w:rPr>
        <w:t xml:space="preserve"> published in </w:t>
      </w:r>
      <w:r>
        <w:rPr>
          <w:rFonts w:ascii="Palatino" w:hAnsi="Palatino"/>
          <w:sz w:val="22"/>
          <w:szCs w:val="22"/>
          <w:rtl w:val="0"/>
        </w:rPr>
        <w:t>Osiris,</w:t>
      </w:r>
      <w:r>
        <w:rPr>
          <w:rFonts w:ascii="Palatino" w:hAnsi="Palatino"/>
          <w:sz w:val="22"/>
          <w:szCs w:val="22"/>
          <w:rtl w:val="0"/>
          <w:lang w:val="en-US"/>
        </w:rPr>
        <w:t xml:space="preserve"> The University of Chicago Press Journals for History of Science Society in </w:t>
      </w:r>
      <w:r>
        <w:rPr>
          <w:rFonts w:ascii="Palatino" w:hAnsi="Palatino"/>
          <w:sz w:val="22"/>
          <w:szCs w:val="22"/>
          <w:rtl w:val="0"/>
        </w:rPr>
        <w:t>1958</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1"/>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cs="Palatino" w:hAnsi="Palatino" w:eastAsia="Palatino"/>
          <w:sz w:val="22"/>
          <w:szCs w:val="22"/>
        </w:rPr>
        <w:tab/>
      </w:r>
      <w:r>
        <w:rPr>
          <w:rFonts w:ascii="Palatino" w:hAnsi="Palatino"/>
          <w:sz w:val="22"/>
          <w:szCs w:val="22"/>
          <w:rtl w:val="0"/>
          <w:lang w:val="en-US"/>
        </w:rPr>
        <w:t>Similarities and differences within the two sources will be discussed. With basis in the</w:t>
      </w:r>
      <w:r>
        <w:rPr>
          <w:rFonts w:ascii="Palatino" w:hAnsi="Palatino"/>
          <w:sz w:val="22"/>
          <w:szCs w:val="22"/>
          <w:rtl w:val="0"/>
          <w:lang w:val="en-US"/>
        </w:rPr>
        <w:t xml:space="preserve"> authors intentions</w:t>
      </w:r>
      <w:r>
        <w:rPr>
          <w:rFonts w:ascii="Palatino" w:hAnsi="Palatino"/>
          <w:sz w:val="22"/>
          <w:szCs w:val="22"/>
          <w:rtl w:val="0"/>
          <w:lang w:val="en-US"/>
        </w:rPr>
        <w:t xml:space="preserve"> this essay gives particular focus to the aspect of culture and cosmologies, approach, writing style &amp; structure, ethical considerations as well as a </w:t>
      </w:r>
      <w:r>
        <w:rPr>
          <w:rFonts w:ascii="Palatino" w:hAnsi="Palatino"/>
          <w:sz w:val="22"/>
          <w:szCs w:val="22"/>
          <w:rtl w:val="0"/>
          <w:lang w:val="en-US"/>
        </w:rPr>
        <w:t>literature review</w:t>
      </w:r>
      <w:r>
        <w:rPr>
          <w:rFonts w:ascii="Palatino" w:hAnsi="Palatino"/>
          <w:sz w:val="22"/>
          <w:szCs w:val="22"/>
          <w:rtl w:val="0"/>
          <w:lang w:val="en-US"/>
        </w:rPr>
        <w:t xml:space="preserve">. As described in sources on research methods the chosen aspects </w:t>
      </w:r>
      <w:r>
        <w:rPr>
          <w:rFonts w:ascii="Palatino" w:hAnsi="Palatino"/>
          <w:sz w:val="22"/>
          <w:szCs w:val="22"/>
          <w:rtl w:val="0"/>
          <w:lang w:val="en-US"/>
        </w:rPr>
        <w:t xml:space="preserve">approach/analysis plan </w:t>
      </w:r>
      <w:r>
        <w:rPr>
          <w:rFonts w:ascii="Palatino" w:cs="Palatino" w:hAnsi="Palatino" w:eastAsia="Palatino"/>
          <w:sz w:val="22"/>
          <w:szCs w:val="22"/>
          <w:vertAlign w:val="superscript"/>
        </w:rPr>
        <w:footnoteReference w:id="2"/>
      </w:r>
      <w:r>
        <w:rPr>
          <w:rFonts w:ascii="Palatino" w:hAnsi="Palatino"/>
          <w:sz w:val="22"/>
          <w:szCs w:val="22"/>
          <w:rtl w:val="0"/>
          <w:lang w:val="en-US"/>
        </w:rPr>
        <w:t xml:space="preserve">, </w:t>
      </w:r>
      <w:r>
        <w:rPr>
          <w:rFonts w:ascii="Palatino" w:hAnsi="Palatino"/>
          <w:sz w:val="22"/>
          <w:szCs w:val="22"/>
          <w:rtl w:val="0"/>
          <w:lang w:val="en-US"/>
        </w:rPr>
        <w:t xml:space="preserve">writing style &amp; structure </w:t>
      </w:r>
      <w:r>
        <w:rPr>
          <w:rFonts w:ascii="Palatino" w:cs="Palatino" w:hAnsi="Palatino" w:eastAsia="Palatino"/>
          <w:sz w:val="22"/>
          <w:szCs w:val="22"/>
          <w:vertAlign w:val="superscript"/>
        </w:rPr>
        <w:footnoteReference w:id="3"/>
      </w:r>
      <w:r>
        <w:rPr>
          <w:rFonts w:ascii="Palatino" w:hAnsi="Palatino"/>
          <w:sz w:val="22"/>
          <w:szCs w:val="22"/>
          <w:rtl w:val="0"/>
          <w:lang w:val="en-US"/>
        </w:rPr>
        <w:t xml:space="preserve">, and ethical considerations </w:t>
      </w:r>
      <w:r>
        <w:rPr>
          <w:rFonts w:ascii="Palatino" w:cs="Palatino" w:hAnsi="Palatino" w:eastAsia="Palatino"/>
          <w:sz w:val="22"/>
          <w:szCs w:val="22"/>
          <w:vertAlign w:val="superscript"/>
        </w:rPr>
        <w:footnoteReference w:id="4"/>
      </w:r>
      <w:r>
        <w:rPr>
          <w:rFonts w:ascii="Palatino" w:hAnsi="Palatino"/>
          <w:sz w:val="22"/>
          <w:szCs w:val="22"/>
          <w:rtl w:val="0"/>
          <w:lang w:val="en-US"/>
        </w:rPr>
        <w:t xml:space="preserve"> are considered important aspects within research.</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1"/>
          <w:bCs w:val="1"/>
          <w:sz w:val="22"/>
          <w:szCs w:val="22"/>
        </w:rPr>
      </w:pPr>
      <w:r>
        <w:rPr>
          <w:rFonts w:ascii="Palatino" w:hAnsi="Palatino"/>
          <w:b w:val="1"/>
          <w:bCs w:val="1"/>
          <w:sz w:val="22"/>
          <w:szCs w:val="22"/>
          <w:rtl w:val="0"/>
          <w:lang w:val="en-US"/>
        </w:rPr>
        <w:t>Context</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hAnsi="Palatino"/>
          <w:sz w:val="22"/>
          <w:szCs w:val="22"/>
          <w:rtl w:val="0"/>
          <w:lang w:val="en-US"/>
        </w:rPr>
        <w:t>Both papers were written for established scientific journals with a 20 year gap in between the papers from 1958 to 1976. Elzey</w:t>
      </w:r>
      <w:r>
        <w:rPr>
          <w:rFonts w:ascii="Palatino" w:hAnsi="Palatino" w:hint="default"/>
          <w:sz w:val="22"/>
          <w:szCs w:val="22"/>
          <w:rtl w:val="0"/>
          <w:lang w:val="en-US"/>
        </w:rPr>
        <w:t>’</w:t>
      </w:r>
      <w:r>
        <w:rPr>
          <w:rFonts w:ascii="Palatino" w:hAnsi="Palatino"/>
          <w:sz w:val="22"/>
          <w:szCs w:val="22"/>
          <w:rtl w:val="0"/>
          <w:lang w:val="en-US"/>
        </w:rPr>
        <w:t xml:space="preserve">s intention was to analyse the understanding of the cultural Mexican myth of the 5 suns through discussion of an in-depth variation of sources cited in the original </w:t>
      </w:r>
      <w:r>
        <w:rPr>
          <w:rFonts w:ascii="Palatino" w:hAnsi="Palatino"/>
          <w:sz w:val="22"/>
          <w:szCs w:val="22"/>
          <w:rtl w:val="0"/>
          <w:lang w:val="en-US"/>
        </w:rPr>
        <w:t xml:space="preserve">language. </w:t>
      </w:r>
      <w:r>
        <w:rPr>
          <w:rFonts w:ascii="Palatino" w:cs="Palatino" w:hAnsi="Palatino" w:eastAsia="Palatino"/>
          <w:sz w:val="22"/>
          <w:szCs w:val="22"/>
          <w:vertAlign w:val="superscript"/>
        </w:rPr>
        <w:footnoteReference w:id="5"/>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sectPr>
          <w:headerReference w:type="default" r:id="rId7"/>
          <w:footerReference w:type="default" r:id="rId8"/>
          <w:pgSz w:w="12240" w:h="15840" w:orient="portrait"/>
          <w:pgMar w:top="1134" w:right="1134" w:bottom="1134" w:left="1134" w:header="567" w:footer="720"/>
          <w:pgNumType w:start="1"/>
          <w:bidi w:val="0"/>
        </w:sect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hAnsi="Palatino"/>
          <w:sz w:val="22"/>
          <w:szCs w:val="22"/>
          <w:rtl w:val="0"/>
          <w:lang w:val="en-US"/>
        </w:rPr>
        <w:t xml:space="preserve">Elzey lived from 1941-2012 and was </w:t>
      </w:r>
      <w:r>
        <w:rPr>
          <w:rFonts w:ascii="Palatino" w:hAnsi="Palatino"/>
          <w:sz w:val="22"/>
          <w:szCs w:val="22"/>
          <w:rtl w:val="0"/>
          <w:lang w:val="en-US"/>
        </w:rPr>
        <w:t>a professor emeritus of comparative religion, who had studied with Mircea Eliade. When Elzey</w:t>
      </w:r>
      <w:r>
        <w:rPr>
          <w:rFonts w:ascii="Palatino" w:hAnsi="Palatino" w:hint="default"/>
          <w:sz w:val="22"/>
          <w:szCs w:val="22"/>
          <w:rtl w:val="0"/>
          <w:lang w:val="en-US"/>
        </w:rPr>
        <w:t>’</w:t>
      </w:r>
      <w:r>
        <w:rPr>
          <w:rFonts w:ascii="Palatino" w:hAnsi="Palatino"/>
          <w:sz w:val="22"/>
          <w:szCs w:val="22"/>
          <w:rtl w:val="0"/>
          <w:lang w:val="en-US"/>
        </w:rPr>
        <w:t xml:space="preserve">s paper was published, he was 35, and had been teaching for 6 years at Miami University. Elzey </w:t>
      </w:r>
      <w:r>
        <w:rPr>
          <w:rFonts w:ascii="Palatino" w:hAnsi="Palatino"/>
          <w:sz w:val="22"/>
          <w:szCs w:val="22"/>
          <w:rtl w:val="0"/>
          <w:lang w:val="en-US"/>
        </w:rPr>
        <w:t xml:space="preserve">published </w:t>
      </w:r>
      <w:r>
        <w:rPr>
          <w:rFonts w:ascii="Palatino" w:hAnsi="Palatino"/>
          <w:sz w:val="22"/>
          <w:szCs w:val="22"/>
          <w:rtl w:val="0"/>
          <w:lang w:val="en-US"/>
        </w:rPr>
        <w:t>other articles and book chapters</w:t>
      </w:r>
      <w:r>
        <w:rPr>
          <w:rFonts w:ascii="Palatino" w:hAnsi="Palatino"/>
          <w:sz w:val="22"/>
          <w:szCs w:val="22"/>
          <w:rtl w:val="0"/>
        </w:rPr>
        <w:t xml:space="preserve"> on </w:t>
      </w:r>
      <w:r>
        <w:rPr>
          <w:rFonts w:ascii="Palatino" w:hAnsi="Palatino"/>
          <w:sz w:val="22"/>
          <w:szCs w:val="22"/>
          <w:rtl w:val="0"/>
          <w:lang w:val="en-US"/>
        </w:rPr>
        <w:t xml:space="preserve">the </w:t>
      </w:r>
      <w:r>
        <w:rPr>
          <w:rFonts w:ascii="Palatino" w:hAnsi="Palatino"/>
          <w:sz w:val="22"/>
          <w:szCs w:val="22"/>
          <w:rtl w:val="0"/>
          <w:lang w:val="en-US"/>
        </w:rPr>
        <w:t xml:space="preserve">Aztec and </w:t>
      </w:r>
      <w:r>
        <w:rPr>
          <w:rFonts w:ascii="Palatino" w:hAnsi="Palatino"/>
          <w:sz w:val="22"/>
          <w:szCs w:val="22"/>
          <w:rtl w:val="0"/>
          <w:lang w:val="en-US"/>
        </w:rPr>
        <w:t xml:space="preserve">the </w:t>
      </w:r>
      <w:r>
        <w:rPr>
          <w:rFonts w:ascii="Palatino" w:hAnsi="Palatino"/>
          <w:sz w:val="22"/>
          <w:szCs w:val="22"/>
          <w:rtl w:val="0"/>
        </w:rPr>
        <w:t>Mayan cultures</w:t>
      </w:r>
      <w:r>
        <w:rPr>
          <w:rFonts w:ascii="Palatino" w:hAnsi="Palatino"/>
          <w:sz w:val="22"/>
          <w:szCs w:val="22"/>
          <w:rtl w:val="0"/>
          <w:lang w:val="en-US"/>
        </w:rPr>
        <w:t xml:space="preserve">, and he remained teaching at Miami University for </w:t>
      </w:r>
      <w:r>
        <w:rPr>
          <w:rFonts w:ascii="Palatino" w:hAnsi="Palatino"/>
          <w:sz w:val="22"/>
          <w:szCs w:val="22"/>
          <w:rtl w:val="0"/>
          <w:lang w:val="en-US"/>
        </w:rPr>
        <w:t>33 years</w:t>
      </w:r>
      <w:r>
        <w:rPr>
          <w:rFonts w:ascii="Palatino" w:hAnsi="Palatino"/>
          <w:sz w:val="22"/>
          <w:szCs w:val="22"/>
          <w:rtl w:val="0"/>
          <w:lang w:val="en-US"/>
        </w:rPr>
        <w:t xml:space="preserve"> from 1970 to 2002</w:t>
      </w:r>
      <w:r>
        <w:rPr>
          <w:rFonts w:ascii="Palatino" w:hAnsi="Palatino"/>
          <w:sz w:val="22"/>
          <w:szCs w:val="22"/>
          <w:rtl w:val="0"/>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6"/>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cs="Palatino" w:hAnsi="Palatino" w:eastAsia="Palatino"/>
          <w:sz w:val="22"/>
          <w:szCs w:val="22"/>
          <w:rtl w:val="0"/>
        </w:rPr>
        <w:tab/>
        <w:t>Graubard</w:t>
      </w:r>
      <w:r>
        <w:rPr>
          <w:rFonts w:ascii="Palatino" w:hAnsi="Palatino" w:hint="default"/>
          <w:sz w:val="22"/>
          <w:szCs w:val="22"/>
          <w:rtl w:val="0"/>
          <w:lang w:val="en-US"/>
        </w:rPr>
        <w:t>’</w:t>
      </w:r>
      <w:r>
        <w:rPr>
          <w:rFonts w:ascii="Palatino" w:hAnsi="Palatino"/>
          <w:sz w:val="22"/>
          <w:szCs w:val="22"/>
          <w:rtl w:val="0"/>
          <w:lang w:val="en-US"/>
        </w:rPr>
        <w:t>s intention was a critical analysis of the culture of belief specifically relating to astrology and a paper by Lynn Thorndike on astrology</w:t>
      </w:r>
      <w:r>
        <w:rPr>
          <w:rFonts w:ascii="Palatino" w:hAnsi="Palatino" w:hint="default"/>
          <w:sz w:val="22"/>
          <w:szCs w:val="22"/>
          <w:rtl w:val="0"/>
          <w:lang w:val="en-US"/>
        </w:rPr>
        <w:t>’</w:t>
      </w:r>
      <w:r>
        <w:rPr>
          <w:rFonts w:ascii="Palatino" w:hAnsi="Palatino"/>
          <w:sz w:val="22"/>
          <w:szCs w:val="22"/>
          <w:rtl w:val="0"/>
          <w:lang w:val="en-US"/>
        </w:rPr>
        <w:t xml:space="preserve">s place within the history of science. </w:t>
      </w:r>
      <w:r>
        <w:rPr>
          <w:rFonts w:ascii="Palatino" w:cs="Palatino" w:hAnsi="Palatino" w:eastAsia="Palatino"/>
          <w:sz w:val="22"/>
          <w:szCs w:val="22"/>
          <w:vertAlign w:val="superscript"/>
        </w:rPr>
        <w:footnoteReference w:id="7"/>
      </w:r>
      <w:r>
        <w:rPr>
          <w:rFonts w:ascii="Palatino" w:hAnsi="Palatino"/>
          <w:sz w:val="22"/>
          <w:szCs w:val="22"/>
          <w:rtl w:val="0"/>
          <w:lang w:val="en-US"/>
        </w:rPr>
        <w:t xml:space="preserve"> Graubard lived from 1902-1992 and was a professor emeritus and chairman of the Natural Science Department at the University of Minnesota from where he retired in 1972 but still had an office. When the paper was published, Graubard was 54. Graubard wrote articles through the 1940s and 1950s on a variety of subjects, and he was known as an expert on and student of many subjects. </w:t>
      </w:r>
      <w:r>
        <w:rPr>
          <w:rFonts w:ascii="Palatino" w:cs="Palatino" w:hAnsi="Palatino" w:eastAsia="Palatino"/>
          <w:sz w:val="22"/>
          <w:szCs w:val="22"/>
          <w:vertAlign w:val="superscript"/>
        </w:rPr>
        <w:footnoteReference w:id="8"/>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sz w:val="22"/>
          <w:szCs w:val="22"/>
        </w:rPr>
      </w:pPr>
      <w:r>
        <w:rPr>
          <w:rFonts w:ascii="Palatino" w:hAnsi="Palatino"/>
          <w:b w:val="1"/>
          <w:bCs w:val="1"/>
          <w:sz w:val="22"/>
          <w:szCs w:val="22"/>
          <w:rtl w:val="0"/>
          <w:lang w:val="en-US"/>
        </w:rPr>
        <w:t>Summary</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hAnsi="Palatino"/>
          <w:sz w:val="22"/>
          <w:szCs w:val="22"/>
          <w:rtl w:val="0"/>
          <w:lang w:val="en-US"/>
        </w:rPr>
        <w:t xml:space="preserve">Both papers analysed in this essay discussed aspects of culture, where culture is one of the four main meanings of the word </w:t>
      </w:r>
      <w:r>
        <w:rPr>
          <w:rFonts w:ascii="Palatino" w:hAnsi="Palatino"/>
          <w:sz w:val="22"/>
          <w:szCs w:val="22"/>
          <w:rtl w:val="0"/>
          <w:lang w:val="en-US"/>
        </w:rPr>
        <w:t>described by Terry Eagleton</w:t>
      </w:r>
      <w:r>
        <w:rPr>
          <w:rFonts w:ascii="Palatino" w:hAnsi="Palatino"/>
          <w:sz w:val="22"/>
          <w:szCs w:val="22"/>
          <w:rtl w:val="0"/>
          <w:lang w:val="en-US"/>
        </w:rPr>
        <w:t xml:space="preserve">: </w:t>
      </w:r>
      <w:r>
        <w:rPr>
          <w:rFonts w:ascii="Palatino" w:hAnsi="Palatino" w:hint="default"/>
          <w:sz w:val="22"/>
          <w:szCs w:val="22"/>
          <w:rtl w:val="0"/>
          <w:lang w:val="en-US"/>
        </w:rPr>
        <w:t>‘</w:t>
      </w:r>
      <w:r>
        <w:rPr>
          <w:rFonts w:ascii="Palatino" w:hAnsi="Palatino"/>
          <w:sz w:val="22"/>
          <w:szCs w:val="22"/>
          <w:rtl w:val="0"/>
          <w:lang w:val="en-US"/>
        </w:rPr>
        <w:t>the values, customs, beliefs and symbolic practices by which men and woman live</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9"/>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cs="Palatino" w:hAnsi="Palatino" w:eastAsia="Palatino"/>
          <w:sz w:val="22"/>
          <w:szCs w:val="22"/>
          <w:rtl w:val="0"/>
        </w:rPr>
        <w:tab/>
        <w:t xml:space="preserve">The paper by Elzey analysed the significance of the cultural myth of the suns, restricted to the central Mexican versions. The approach of the paper was to discuss three hypotheses: 1) the myth as a structural paradigm, 2) the myth being culturally uniquely Mexican and structurally different from similar myths in the world, and 3) the myth utilising </w:t>
      </w:r>
      <w:r>
        <w:rPr>
          <w:rFonts w:ascii="Palatino" w:hAnsi="Palatino" w:hint="default"/>
          <w:sz w:val="22"/>
          <w:szCs w:val="22"/>
          <w:rtl w:val="0"/>
          <w:lang w:val="en-US"/>
        </w:rPr>
        <w:t>‘</w:t>
      </w:r>
      <w:r>
        <w:rPr>
          <w:rFonts w:ascii="Palatino" w:hAnsi="Palatino"/>
          <w:sz w:val="22"/>
          <w:szCs w:val="22"/>
          <w:rtl w:val="0"/>
          <w:lang w:val="en-US"/>
        </w:rPr>
        <w:t>religious</w:t>
      </w:r>
      <w:r>
        <w:rPr>
          <w:rFonts w:ascii="Palatino" w:hAnsi="Palatino" w:hint="default"/>
          <w:sz w:val="22"/>
          <w:szCs w:val="22"/>
          <w:rtl w:val="0"/>
          <w:lang w:val="en-US"/>
        </w:rPr>
        <w:t xml:space="preserve">’ </w:t>
      </w:r>
      <w:r>
        <w:rPr>
          <w:rFonts w:ascii="Palatino" w:hAnsi="Palatino"/>
          <w:sz w:val="22"/>
          <w:szCs w:val="22"/>
          <w:rtl w:val="0"/>
          <w:lang w:val="en-US"/>
        </w:rPr>
        <w:t xml:space="preserve">structures. </w:t>
      </w:r>
      <w:r>
        <w:rPr>
          <w:rFonts w:ascii="Palatino" w:cs="Palatino" w:hAnsi="Palatino" w:eastAsia="Palatino"/>
          <w:sz w:val="22"/>
          <w:szCs w:val="22"/>
          <w:vertAlign w:val="superscript"/>
        </w:rPr>
        <w:footnoteReference w:id="10"/>
      </w:r>
      <w:r>
        <w:rPr>
          <w:rFonts w:ascii="Palatino" w:hAnsi="Palatino"/>
          <w:sz w:val="22"/>
          <w:szCs w:val="22"/>
          <w:rtl w:val="0"/>
          <w:lang w:val="en-US"/>
        </w:rPr>
        <w:t xml:space="preserve"> This was done through extensive use of sources on the subject matter. </w:t>
      </w:r>
      <w:r>
        <w:rPr>
          <w:rFonts w:ascii="Palatino" w:cs="Palatino" w:hAnsi="Palatino" w:eastAsia="Palatino"/>
          <w:sz w:val="22"/>
          <w:szCs w:val="22"/>
          <w:vertAlign w:val="superscript"/>
        </w:rPr>
        <w:footnoteReference w:id="11"/>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cs="Palatino" w:hAnsi="Palatino" w:eastAsia="Palatino"/>
          <w:sz w:val="22"/>
          <w:szCs w:val="22"/>
          <w:rtl w:val="0"/>
        </w:rPr>
        <w:tab/>
        <w:t>Graubard</w:t>
      </w:r>
      <w:r>
        <w:rPr>
          <w:rFonts w:ascii="Palatino" w:hAnsi="Palatino" w:hint="default"/>
          <w:sz w:val="22"/>
          <w:szCs w:val="22"/>
          <w:rtl w:val="0"/>
          <w:lang w:val="en-US"/>
        </w:rPr>
        <w:t>’</w:t>
      </w:r>
      <w:r>
        <w:rPr>
          <w:rFonts w:ascii="Palatino" w:hAnsi="Palatino"/>
          <w:sz w:val="22"/>
          <w:szCs w:val="22"/>
          <w:rtl w:val="0"/>
          <w:lang w:val="en-US"/>
        </w:rPr>
        <w:t>s paper discussed the belief of astrology through a reflection to a paper by Thorndike which was published 3 years prior in 1955. Graubard approached this through three main questions emerging from a suggestion in Thorndike</w:t>
      </w:r>
      <w:r>
        <w:rPr>
          <w:rFonts w:ascii="Palatino" w:hAnsi="Palatino" w:hint="default"/>
          <w:sz w:val="22"/>
          <w:szCs w:val="22"/>
          <w:rtl w:val="0"/>
          <w:lang w:val="en-US"/>
        </w:rPr>
        <w:t>’</w:t>
      </w:r>
      <w:r>
        <w:rPr>
          <w:rFonts w:ascii="Palatino" w:hAnsi="Palatino"/>
          <w:sz w:val="22"/>
          <w:szCs w:val="22"/>
          <w:rtl w:val="0"/>
          <w:lang w:val="en-US"/>
        </w:rPr>
        <w:t>s paper which Graubard described as: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jc w:val="center"/>
        <w:rPr>
          <w:rFonts w:ascii="Palatino" w:cs="Palatino" w:hAnsi="Palatino" w:eastAsia="Palatino"/>
          <w:sz w:val="22"/>
          <w:szCs w:val="22"/>
        </w:rPr>
      </w:pPr>
      <w:r>
        <w:rPr>
          <w:rFonts w:ascii="Palatino" w:hAnsi="Palatino"/>
          <w:sz w:val="22"/>
          <w:szCs w:val="22"/>
          <w:rtl w:val="0"/>
          <w:lang w:val="en-US"/>
        </w:rPr>
        <w:t>[</w:t>
      </w:r>
      <w:r>
        <w:rPr>
          <w:rFonts w:ascii="Palatino" w:hAnsi="Palatino" w:hint="default"/>
          <w:sz w:val="22"/>
          <w:szCs w:val="22"/>
          <w:rtl w:val="0"/>
          <w:lang w:val="en-US"/>
        </w:rPr>
        <w:t>…</w:t>
      </w:r>
      <w:r>
        <w:rPr>
          <w:rFonts w:ascii="Palatino" w:hAnsi="Palatino"/>
          <w:sz w:val="22"/>
          <w:szCs w:val="22"/>
          <w:rtl w:val="0"/>
          <w:lang w:val="en-US"/>
        </w:rPr>
        <w:t xml:space="preserve">] the true function of astrology in the history of science was to serve as a </w:t>
      </w:r>
      <w:r>
        <w:rPr>
          <w:rFonts w:ascii="Palatino" w:hAnsi="Palatino" w:hint="default"/>
          <w:sz w:val="22"/>
          <w:szCs w:val="22"/>
          <w:rtl w:val="0"/>
          <w:lang w:val="en-US"/>
        </w:rPr>
        <w:t>‘</w:t>
      </w:r>
      <w:r>
        <w:rPr>
          <w:rFonts w:ascii="Palatino" w:hAnsi="Palatino"/>
          <w:sz w:val="22"/>
          <w:szCs w:val="22"/>
          <w:rtl w:val="0"/>
          <w:lang w:val="en-US"/>
        </w:rPr>
        <w:t>universal</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jc w:val="center"/>
        <w:rPr>
          <w:rFonts w:ascii="Palatino" w:cs="Palatino" w:hAnsi="Palatino" w:eastAsia="Palatino"/>
          <w:sz w:val="22"/>
          <w:szCs w:val="22"/>
        </w:rPr>
      </w:pPr>
      <w:r>
        <w:rPr>
          <w:rFonts w:ascii="Palatino" w:hAnsi="Palatino"/>
          <w:sz w:val="22"/>
          <w:szCs w:val="22"/>
          <w:rtl w:val="0"/>
          <w:lang w:val="en-US"/>
        </w:rPr>
        <w:t>law of nature</w:t>
      </w:r>
      <w:r>
        <w:rPr>
          <w:rFonts w:ascii="Palatino" w:hAnsi="Palatino" w:hint="default"/>
          <w:sz w:val="22"/>
          <w:szCs w:val="22"/>
          <w:rtl w:val="0"/>
          <w:lang w:val="en-US"/>
        </w:rPr>
        <w:t xml:space="preserve">’ </w:t>
      </w:r>
      <w:r>
        <w:rPr>
          <w:rFonts w:ascii="Palatino" w:hAnsi="Palatino"/>
          <w:sz w:val="22"/>
          <w:szCs w:val="22"/>
          <w:rtl w:val="0"/>
          <w:lang w:val="en-US"/>
        </w:rPr>
        <w:t>on a footing with Newton</w:t>
      </w:r>
      <w:r>
        <w:rPr>
          <w:rFonts w:ascii="Palatino" w:hAnsi="Palatino" w:hint="default"/>
          <w:sz w:val="22"/>
          <w:szCs w:val="22"/>
          <w:rtl w:val="0"/>
          <w:lang w:val="en-US"/>
        </w:rPr>
        <w:t>’</w:t>
      </w:r>
      <w:r>
        <w:rPr>
          <w:rFonts w:ascii="Palatino" w:hAnsi="Palatino"/>
          <w:sz w:val="22"/>
          <w:szCs w:val="22"/>
          <w:rtl w:val="0"/>
          <w:lang w:val="en-US"/>
        </w:rPr>
        <w:t xml:space="preserve">s universal law of gravitation. </w:t>
      </w:r>
      <w:r>
        <w:rPr>
          <w:rFonts w:ascii="Palatino" w:cs="Palatino" w:hAnsi="Palatino" w:eastAsia="Palatino"/>
          <w:sz w:val="22"/>
          <w:szCs w:val="22"/>
          <w:vertAlign w:val="superscript"/>
        </w:rPr>
        <w:footnoteReference w:id="12"/>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jc w:val="left"/>
        <w:sectPr>
          <w:headerReference w:type="default" r:id="rId9"/>
          <w:footerReference w:type="default" r:id="rId10"/>
          <w:pgSz w:w="12240" w:h="15840" w:orient="portrait"/>
          <w:pgMar w:top="1134" w:right="1134" w:bottom="1134" w:left="1134" w:header="567" w:footer="720"/>
          <w:bidi w:val="0"/>
        </w:sect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jc w:val="left"/>
        <w:rPr>
          <w:rFonts w:ascii="Palatino" w:cs="Palatino" w:hAnsi="Palatino" w:eastAsia="Palatino"/>
          <w:sz w:val="22"/>
          <w:szCs w:val="22"/>
        </w:rPr>
      </w:pPr>
      <w:r>
        <w:rPr>
          <w:rFonts w:ascii="Palatino" w:hAnsi="Palatino"/>
          <w:sz w:val="22"/>
          <w:szCs w:val="22"/>
          <w:rtl w:val="0"/>
          <w:lang w:val="en-US"/>
        </w:rPr>
        <w:t>Graubard considered Thorndike</w:t>
      </w:r>
      <w:r>
        <w:rPr>
          <w:rFonts w:ascii="Palatino" w:hAnsi="Palatino" w:hint="default"/>
          <w:sz w:val="22"/>
          <w:szCs w:val="22"/>
          <w:rtl w:val="0"/>
          <w:lang w:val="en-US"/>
        </w:rPr>
        <w:t>’</w:t>
      </w:r>
      <w:r>
        <w:rPr>
          <w:rFonts w:ascii="Palatino" w:hAnsi="Palatino"/>
          <w:sz w:val="22"/>
          <w:szCs w:val="22"/>
          <w:rtl w:val="0"/>
          <w:lang w:val="en-US"/>
        </w:rPr>
        <w:t>s suggestion to be logic but misleading and needing critical analysis. This lead Graubard to discuss three cosmologies in his paper: 1) astrology</w:t>
      </w:r>
      <w:r>
        <w:rPr>
          <w:rFonts w:ascii="Palatino" w:hAnsi="Palatino" w:hint="default"/>
          <w:sz w:val="22"/>
          <w:szCs w:val="22"/>
          <w:rtl w:val="0"/>
          <w:lang w:val="en-US"/>
        </w:rPr>
        <w:t>’</w:t>
      </w:r>
      <w:r>
        <w:rPr>
          <w:rFonts w:ascii="Palatino" w:hAnsi="Palatino"/>
          <w:sz w:val="22"/>
          <w:szCs w:val="22"/>
          <w:rtl w:val="0"/>
          <w:lang w:val="en-US"/>
        </w:rPr>
        <w:t xml:space="preserve">s direct opposition, 2) the human approach to belief, and 3) that the decline of astrology was similar to the declines of other </w:t>
      </w:r>
      <w:r>
        <w:rPr>
          <w:rFonts w:ascii="Palatino" w:hAnsi="Palatino"/>
          <w:sz w:val="22"/>
          <w:szCs w:val="22"/>
          <w:rtl w:val="0"/>
          <w:lang w:val="en-US"/>
        </w:rPr>
        <w:t xml:space="preserve">belief systems, and that this decline occurred over time. Graubard presented evidence to analyse the above three cosmologies mainly through quoting classic texts and historic writings. </w:t>
      </w:r>
      <w:r>
        <w:rPr>
          <w:rFonts w:ascii="Palatino" w:cs="Palatino" w:hAnsi="Palatino" w:eastAsia="Palatino"/>
          <w:sz w:val="22"/>
          <w:szCs w:val="22"/>
          <w:vertAlign w:val="superscript"/>
        </w:rPr>
        <w:footnoteReference w:id="13"/>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1"/>
          <w:bCs w:val="1"/>
          <w:sz w:val="22"/>
          <w:szCs w:val="22"/>
        </w:rPr>
      </w:pPr>
      <w:r>
        <w:rPr>
          <w:rFonts w:ascii="Palatino" w:hAnsi="Palatino"/>
          <w:b w:val="1"/>
          <w:bCs w:val="1"/>
          <w:sz w:val="22"/>
          <w:szCs w:val="22"/>
          <w:rtl w:val="0"/>
          <w:lang w:val="en-US"/>
        </w:rPr>
        <w:t>Analysis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hAnsi="Palatino"/>
          <w:sz w:val="22"/>
          <w:szCs w:val="22"/>
          <w:rtl w:val="0"/>
          <w:lang w:val="en-US"/>
        </w:rPr>
        <w:t>The following analyses will discuss the authors approach to aspects of culture in their papers in the sense of beliefs, habits and ways of the humans, as well as the planets and the gods. Elzey</w:t>
      </w:r>
      <w:r>
        <w:rPr>
          <w:rFonts w:ascii="Palatino" w:hAnsi="Palatino" w:hint="default"/>
          <w:sz w:val="22"/>
          <w:szCs w:val="22"/>
          <w:rtl w:val="0"/>
          <w:lang w:val="en-US"/>
        </w:rPr>
        <w:t>’</w:t>
      </w:r>
      <w:r>
        <w:rPr>
          <w:rFonts w:ascii="Palatino" w:hAnsi="Palatino"/>
          <w:sz w:val="22"/>
          <w:szCs w:val="22"/>
          <w:rtl w:val="0"/>
          <w:lang w:val="en-US"/>
        </w:rPr>
        <w:t xml:space="preserve">s analysis of the Nahua culture through the myth of the sun had a chosen limited approach due to financial reasons </w:t>
      </w:r>
      <w:r>
        <w:rPr>
          <w:rFonts w:ascii="Palatino" w:cs="Palatino" w:hAnsi="Palatino" w:eastAsia="Palatino"/>
          <w:sz w:val="22"/>
          <w:szCs w:val="22"/>
          <w:vertAlign w:val="superscript"/>
        </w:rPr>
        <w:footnoteReference w:id="14"/>
      </w:r>
      <w:r>
        <w:rPr>
          <w:rFonts w:ascii="Palatino" w:hAnsi="Palatino"/>
          <w:sz w:val="22"/>
          <w:szCs w:val="22"/>
          <w:rtl w:val="0"/>
          <w:lang w:val="en-US"/>
        </w:rPr>
        <w:t>. Although this limitation theoretically outlined the paper, a broader cultural approach would have been very interesting, as discussed below under the heading of approach. Graubard</w:t>
      </w:r>
      <w:r>
        <w:rPr>
          <w:rFonts w:ascii="Palatino" w:hAnsi="Palatino" w:hint="default"/>
          <w:sz w:val="22"/>
          <w:szCs w:val="22"/>
          <w:rtl w:val="0"/>
          <w:lang w:val="en-US"/>
        </w:rPr>
        <w:t>’</w:t>
      </w:r>
      <w:r>
        <w:rPr>
          <w:rFonts w:ascii="Palatino" w:hAnsi="Palatino"/>
          <w:sz w:val="22"/>
          <w:szCs w:val="22"/>
          <w:rtl w:val="0"/>
          <w:lang w:val="en-US"/>
        </w:rPr>
        <w:t xml:space="preserve">s three structural cosmologies discussed belief of astrology which arose as his personal response to the Thorndike paper </w:t>
      </w:r>
      <w:r>
        <w:rPr>
          <w:rFonts w:ascii="Palatino" w:cs="Palatino" w:hAnsi="Palatino" w:eastAsia="Palatino"/>
          <w:sz w:val="22"/>
          <w:szCs w:val="22"/>
          <w:vertAlign w:val="superscript"/>
        </w:rPr>
        <w:footnoteReference w:id="15"/>
      </w:r>
      <w:r>
        <w:rPr>
          <w:rFonts w:ascii="Palatino" w:hAnsi="Palatino"/>
          <w:sz w:val="22"/>
          <w:szCs w:val="22"/>
          <w:rtl w:val="0"/>
          <w:lang w:val="en-US"/>
        </w:rPr>
        <w:t>. This could be argued to be an emotional approach, as discussed below under the heading of both approach and the heading of ethical considerations. Both paper</w:t>
      </w:r>
      <w:r>
        <w:rPr>
          <w:rFonts w:ascii="Palatino" w:hAnsi="Palatino" w:hint="default"/>
          <w:sz w:val="22"/>
          <w:szCs w:val="22"/>
          <w:rtl w:val="0"/>
          <w:lang w:val="en-US"/>
        </w:rPr>
        <w:t>’</w:t>
      </w:r>
      <w:r>
        <w:rPr>
          <w:rFonts w:ascii="Palatino" w:hAnsi="Palatino"/>
          <w:sz w:val="22"/>
          <w:szCs w:val="22"/>
          <w:rtl w:val="0"/>
          <w:lang w:val="en-US"/>
        </w:rPr>
        <w:t>s writing style lacked writing structure, which will be discussed, and the analysis will conclude with a literature review.</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i w:val="1"/>
          <w:iCs w:val="1"/>
          <w:sz w:val="22"/>
          <w:szCs w:val="22"/>
        </w:rPr>
      </w:pPr>
      <w:r>
        <w:rPr>
          <w:rFonts w:ascii="Palatino" w:hAnsi="Palatino"/>
          <w:b w:val="0"/>
          <w:bCs w:val="0"/>
          <w:i w:val="1"/>
          <w:iCs w:val="1"/>
          <w:sz w:val="22"/>
          <w:szCs w:val="22"/>
          <w:rtl w:val="0"/>
          <w:lang w:val="en-US"/>
        </w:rPr>
        <w:t>Approach</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hAnsi="Palatino"/>
          <w:sz w:val="22"/>
          <w:szCs w:val="22"/>
          <w:rtl w:val="0"/>
          <w:lang w:val="en-US"/>
        </w:rPr>
        <w:t xml:space="preserve">The cultural approach by Elzey is clearly defined:  </w:t>
      </w:r>
      <w:r>
        <w:rPr>
          <w:rFonts w:ascii="Palatino" w:hAnsi="Palatino" w:hint="default"/>
          <w:sz w:val="22"/>
          <w:szCs w:val="22"/>
          <w:rtl w:val="0"/>
          <w:lang w:val="en-US"/>
        </w:rPr>
        <w:t>‘</w:t>
      </w:r>
      <w:r>
        <w:rPr>
          <w:rFonts w:ascii="Palatino" w:hAnsi="Palatino"/>
          <w:sz w:val="22"/>
          <w:szCs w:val="22"/>
          <w:rtl w:val="0"/>
          <w:lang w:val="en-US"/>
        </w:rPr>
        <w:t>[</w:t>
      </w:r>
      <w:r>
        <w:rPr>
          <w:rFonts w:ascii="Palatino" w:hAnsi="Palatino" w:hint="default"/>
          <w:sz w:val="22"/>
          <w:szCs w:val="22"/>
          <w:rtl w:val="0"/>
          <w:lang w:val="en-US"/>
        </w:rPr>
        <w:t>…</w:t>
      </w:r>
      <w:r>
        <w:rPr>
          <w:rFonts w:ascii="Palatino" w:hAnsi="Palatino"/>
          <w:sz w:val="22"/>
          <w:szCs w:val="22"/>
          <w:rtl w:val="0"/>
          <w:lang w:val="en-US"/>
        </w:rPr>
        <w:t>] knowledge about the beliefs, practices, customs and institutions of the religions of central Mexico</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16"/>
      </w:r>
      <w:r>
        <w:rPr>
          <w:rFonts w:ascii="Palatino" w:hAnsi="Palatino"/>
          <w:sz w:val="22"/>
          <w:szCs w:val="22"/>
          <w:rtl w:val="0"/>
          <w:lang w:val="en-US"/>
        </w:rPr>
        <w:t xml:space="preserve"> Elzey also described the myth as an extended culture to the organisation and structure of time, to life and death and to rituals and events that defined the Nahua world </w:t>
      </w:r>
      <w:r>
        <w:rPr>
          <w:rFonts w:ascii="Palatino" w:cs="Palatino" w:hAnsi="Palatino" w:eastAsia="Palatino"/>
          <w:sz w:val="22"/>
          <w:szCs w:val="22"/>
          <w:vertAlign w:val="superscript"/>
        </w:rPr>
        <w:footnoteReference w:id="17"/>
      </w:r>
      <w:r>
        <w:rPr>
          <w:rFonts w:ascii="Palatino" w:hAnsi="Palatino"/>
          <w:sz w:val="22"/>
          <w:szCs w:val="22"/>
          <w:rtl w:val="0"/>
          <w:lang w:val="en-US"/>
        </w:rPr>
        <w:t xml:space="preserve">, which indicated that the myth entails the Nahua way of life. </w:t>
      </w:r>
      <w:r>
        <w:rPr>
          <w:rFonts w:ascii="Palatino" w:hAnsi="Palatino" w:hint="default"/>
          <w:sz w:val="22"/>
          <w:szCs w:val="22"/>
          <w:rtl w:val="0"/>
          <w:lang w:val="en-US"/>
        </w:rPr>
        <w:t>‘</w:t>
      </w:r>
      <w:r>
        <w:rPr>
          <w:rFonts w:ascii="Palatino" w:hAnsi="Palatino"/>
          <w:sz w:val="22"/>
          <w:szCs w:val="22"/>
          <w:rtl w:val="0"/>
          <w:lang w:val="en-US"/>
        </w:rPr>
        <w:t>A whole way of life</w:t>
      </w:r>
      <w:r>
        <w:rPr>
          <w:rFonts w:ascii="Palatino" w:hAnsi="Palatino" w:hint="default"/>
          <w:sz w:val="22"/>
          <w:szCs w:val="22"/>
          <w:rtl w:val="0"/>
          <w:lang w:val="en-US"/>
        </w:rPr>
        <w:t xml:space="preserve">’ </w:t>
      </w:r>
      <w:r>
        <w:rPr>
          <w:rFonts w:ascii="Palatino" w:hAnsi="Palatino"/>
          <w:sz w:val="22"/>
          <w:szCs w:val="22"/>
          <w:rtl w:val="0"/>
          <w:lang w:val="en-US"/>
        </w:rPr>
        <w:t xml:space="preserve">is described as culture by Eagleton. </w:t>
      </w:r>
      <w:r>
        <w:rPr>
          <w:rFonts w:ascii="Palatino" w:cs="Palatino" w:hAnsi="Palatino" w:eastAsia="Palatino"/>
          <w:sz w:val="22"/>
          <w:szCs w:val="22"/>
          <w:vertAlign w:val="superscript"/>
        </w:rPr>
        <w:footnoteReference w:id="18"/>
      </w:r>
      <w:r>
        <w:rPr>
          <w:rFonts w:ascii="Palatino" w:hAnsi="Palatino"/>
          <w:sz w:val="22"/>
          <w:szCs w:val="22"/>
          <w:rtl w:val="0"/>
          <w:lang w:val="en-US"/>
        </w:rPr>
        <w:t xml:space="preserve"> </w:t>
      </w:r>
      <w:r>
        <w:rPr>
          <w:rFonts w:ascii="Palatino" w:hAnsi="Palatino"/>
          <w:sz w:val="22"/>
          <w:szCs w:val="22"/>
          <w:rtl w:val="0"/>
          <w:lang w:val="en-US"/>
        </w:rPr>
        <w:t>As a contrast, Graubard</w:t>
      </w:r>
      <w:r>
        <w:rPr>
          <w:rFonts w:ascii="Palatino" w:hAnsi="Palatino" w:hint="default"/>
          <w:sz w:val="22"/>
          <w:szCs w:val="22"/>
          <w:rtl w:val="0"/>
          <w:lang w:val="en-US"/>
        </w:rPr>
        <w:t>’</w:t>
      </w:r>
      <w:r>
        <w:rPr>
          <w:rFonts w:ascii="Palatino" w:hAnsi="Palatino"/>
          <w:sz w:val="22"/>
          <w:szCs w:val="22"/>
          <w:rtl w:val="0"/>
          <w:lang w:val="en-US"/>
        </w:rPr>
        <w:t xml:space="preserve">s approach was an analysis of the culture of astrology, mainly in relation to belief patterns, natural discoveries and the human evolution </w:t>
      </w:r>
      <w:r>
        <w:rPr>
          <w:rFonts w:ascii="Palatino" w:cs="Palatino" w:hAnsi="Palatino" w:eastAsia="Palatino"/>
          <w:sz w:val="22"/>
          <w:szCs w:val="22"/>
          <w:vertAlign w:val="superscript"/>
        </w:rPr>
        <w:footnoteReference w:id="19"/>
      </w:r>
      <w:r>
        <w:rPr>
          <w:rFonts w:ascii="Palatino" w:hAnsi="Palatino"/>
          <w:sz w:val="22"/>
          <w:szCs w:val="22"/>
          <w:rtl w:val="0"/>
          <w:lang w:val="en-US"/>
        </w:rPr>
        <w:t xml:space="preserve">, as Eagleton described: </w:t>
      </w:r>
      <w:r>
        <w:rPr>
          <w:rFonts w:ascii="Palatino" w:hAnsi="Palatino" w:hint="default"/>
          <w:sz w:val="22"/>
          <w:szCs w:val="22"/>
          <w:rtl w:val="0"/>
          <w:lang w:val="en-US"/>
        </w:rPr>
        <w:t>‘</w:t>
      </w:r>
      <w:r>
        <w:rPr>
          <w:rFonts w:ascii="Palatino" w:hAnsi="Palatino"/>
          <w:sz w:val="22"/>
          <w:szCs w:val="22"/>
          <w:rtl w:val="0"/>
          <w:lang w:val="en-US"/>
        </w:rPr>
        <w:t>Culture too, is humanly fashioned, even though the concept itself derived from nature.</w:t>
      </w:r>
      <w:r>
        <w:rPr>
          <w:rFonts w:ascii="Palatino" w:hAnsi="Palatino" w:hint="default"/>
          <w:sz w:val="22"/>
          <w:szCs w:val="22"/>
          <w:rtl w:val="0"/>
          <w:lang w:val="en-US"/>
        </w:rPr>
        <w:t xml:space="preserve">’ </w:t>
      </w:r>
      <w:r>
        <w:rPr>
          <w:rFonts w:ascii="Palatino" w:cs="Palatino" w:hAnsi="Palatino" w:eastAsia="Palatino"/>
          <w:sz w:val="22"/>
          <w:szCs w:val="22"/>
          <w:vertAlign w:val="superscript"/>
        </w:rPr>
        <w:footnoteReference w:id="20"/>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1"/>
          <w:bCs w:val="1"/>
          <w:sz w:val="22"/>
          <w:szCs w:val="22"/>
        </w:rPr>
      </w:pPr>
      <w:r>
        <w:rPr>
          <w:rFonts w:ascii="Palatino" w:cs="Palatino" w:hAnsi="Palatino" w:eastAsia="Palatino"/>
          <w:b w:val="0"/>
          <w:bCs w:val="0"/>
          <w:sz w:val="22"/>
          <w:szCs w:val="22"/>
          <w:rtl w:val="0"/>
        </w:rPr>
        <w:tab/>
        <w:t>Both the Elzey paper and the Graubard paper had theoretical approaches with analysis of specific hypotheses/cosmologies and both used comprehensive sources on their respective subject matters. Where Graubard</w:t>
      </w:r>
      <w:r>
        <w:rPr>
          <w:rFonts w:ascii="Palatino" w:hAnsi="Palatino" w:hint="default"/>
          <w:b w:val="0"/>
          <w:bCs w:val="0"/>
          <w:sz w:val="22"/>
          <w:szCs w:val="22"/>
          <w:rtl w:val="0"/>
          <w:lang w:val="en-US"/>
        </w:rPr>
        <w:t>’</w:t>
      </w:r>
      <w:r>
        <w:rPr>
          <w:rFonts w:ascii="Palatino" w:hAnsi="Palatino"/>
          <w:b w:val="0"/>
          <w:bCs w:val="0"/>
          <w:sz w:val="22"/>
          <w:szCs w:val="22"/>
          <w:rtl w:val="0"/>
          <w:lang w:val="en-US"/>
        </w:rPr>
        <w:t>s approach was an analysis of the culture of astrology by displaying evidence mainly through quoting classic texts and historical writings, Elzey, as a contrast extensively discussed,</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sectPr>
          <w:headerReference w:type="default" r:id="rId11"/>
          <w:footerReference w:type="default" r:id="rId12"/>
          <w:pgSz w:w="12240" w:h="15840" w:orient="portrait"/>
          <w:pgMar w:top="1134" w:right="1134" w:bottom="1134" w:left="1134" w:header="567" w:footer="720"/>
          <w:bidi w:val="0"/>
        </w:sect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sz w:val="22"/>
          <w:szCs w:val="22"/>
        </w:rPr>
      </w:pPr>
      <w:r>
        <w:rPr>
          <w:rFonts w:ascii="Palatino" w:hAnsi="Palatino"/>
          <w:b w:val="0"/>
          <w:bCs w:val="0"/>
          <w:sz w:val="22"/>
          <w:szCs w:val="22"/>
          <w:rtl w:val="0"/>
          <w:lang w:val="en-US"/>
        </w:rPr>
        <w:t xml:space="preserve">compared and contrasted a broad variation of the myth of the suns, despite being restricted to central Mexican versions. Graubard mainly displayed evidence through quotes, whereas Elzey, as discussed in the literature review, displayed a broader aspect of the myth. This included the Aztec Calendar Stone as an original version of the myth and its arrangement is described. </w:t>
      </w:r>
      <w:r>
        <w:rPr>
          <w:rFonts w:ascii="Palatino" w:cs="Palatino" w:hAnsi="Palatino" w:eastAsia="Palatino"/>
          <w:b w:val="0"/>
          <w:bCs w:val="0"/>
          <w:sz w:val="22"/>
          <w:szCs w:val="22"/>
          <w:vertAlign w:val="superscript"/>
        </w:rPr>
        <w:footnoteReference w:id="21"/>
      </w:r>
      <w:r>
        <w:rPr>
          <w:rFonts w:ascii="Palatino" w:hAnsi="Palatino"/>
          <w:b w:val="0"/>
          <w:bCs w:val="0"/>
          <w:sz w:val="22"/>
          <w:szCs w:val="22"/>
          <w:rtl w:val="0"/>
          <w:lang w:val="en-US"/>
        </w:rPr>
        <w:t xml:space="preserve"> An illustration of this stone could have given a deeper insight and understanding of the myth, as presented in a paper by Susan Milbrath. </w:t>
      </w:r>
      <w:r>
        <w:rPr>
          <w:rFonts w:ascii="Palatino" w:cs="Palatino" w:hAnsi="Palatino" w:eastAsia="Palatino"/>
          <w:b w:val="0"/>
          <w:bCs w:val="0"/>
          <w:sz w:val="22"/>
          <w:szCs w:val="22"/>
          <w:vertAlign w:val="superscript"/>
        </w:rPr>
        <w:footnoteReference w:id="22"/>
      </w:r>
      <w:r>
        <w:rPr>
          <w:rFonts w:ascii="Palatino" w:hAnsi="Palatino"/>
          <w:b w:val="0"/>
          <w:bCs w:val="0"/>
          <w:sz w:val="22"/>
          <w:szCs w:val="22"/>
          <w:rtl w:val="0"/>
          <w:lang w:val="en-US"/>
        </w:rPr>
        <w:t xml:space="preserve"> Elzey</w:t>
      </w:r>
      <w:r>
        <w:rPr>
          <w:rFonts w:ascii="Palatino" w:hAnsi="Palatino" w:hint="default"/>
          <w:b w:val="0"/>
          <w:bCs w:val="0"/>
          <w:sz w:val="22"/>
          <w:szCs w:val="22"/>
          <w:rtl w:val="0"/>
          <w:lang w:val="en-US"/>
        </w:rPr>
        <w:t>’</w:t>
      </w:r>
      <w:r>
        <w:rPr>
          <w:rFonts w:ascii="Palatino" w:hAnsi="Palatino"/>
          <w:b w:val="0"/>
          <w:bCs w:val="0"/>
          <w:sz w:val="22"/>
          <w:szCs w:val="22"/>
          <w:rtl w:val="0"/>
          <w:lang w:val="en-US"/>
        </w:rPr>
        <w:t xml:space="preserve">s second, culturally significant, hypotheses on the myth as uniquely Mexican </w:t>
      </w:r>
      <w:r>
        <w:rPr>
          <w:rFonts w:ascii="Palatino" w:cs="Palatino" w:hAnsi="Palatino" w:eastAsia="Palatino"/>
          <w:b w:val="0"/>
          <w:bCs w:val="0"/>
          <w:sz w:val="22"/>
          <w:szCs w:val="22"/>
          <w:vertAlign w:val="superscript"/>
        </w:rPr>
        <w:footnoteReference w:id="23"/>
      </w:r>
      <w:r>
        <w:rPr>
          <w:rFonts w:ascii="Palatino" w:hAnsi="Palatino"/>
          <w:b w:val="0"/>
          <w:bCs w:val="0"/>
          <w:sz w:val="22"/>
          <w:szCs w:val="22"/>
          <w:rtl w:val="0"/>
          <w:lang w:val="en-US"/>
        </w:rPr>
        <w:t xml:space="preserve">, could also have included a cultural comparative or contrastive discussion of the event based old Norse/Scandinavian calendar, described by Sandra Billington, due to its similar reference to the gods. </w:t>
      </w:r>
      <w:r>
        <w:rPr>
          <w:rFonts w:ascii="Palatino" w:cs="Palatino" w:hAnsi="Palatino" w:eastAsia="Palatino"/>
          <w:b w:val="0"/>
          <w:bCs w:val="0"/>
          <w:sz w:val="22"/>
          <w:szCs w:val="22"/>
          <w:vertAlign w:val="superscript"/>
        </w:rPr>
        <w:footnoteReference w:id="24"/>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i w:val="1"/>
          <w:iCs w:val="1"/>
          <w:sz w:val="22"/>
          <w:szCs w:val="22"/>
        </w:rPr>
      </w:pPr>
      <w:r>
        <w:rPr>
          <w:rFonts w:ascii="Palatino" w:hAnsi="Palatino"/>
          <w:i w:val="1"/>
          <w:iCs w:val="1"/>
          <w:sz w:val="22"/>
          <w:szCs w:val="22"/>
          <w:rtl w:val="0"/>
          <w:lang w:val="en-US"/>
        </w:rPr>
        <w:t>Writing Style &amp; Structure</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hAnsi="Palatino"/>
          <w:sz w:val="22"/>
          <w:szCs w:val="22"/>
          <w:rtl w:val="0"/>
          <w:lang w:val="en-US"/>
        </w:rPr>
        <w:t xml:space="preserve">In comparison, both papers exhibited strengths in the aspects of being in-depth, displaying substantial knowledge and the extensive use of sources. </w:t>
      </w:r>
      <w:r>
        <w:rPr>
          <w:rFonts w:ascii="Palatino" w:hAnsi="Palatino"/>
          <w:sz w:val="22"/>
          <w:szCs w:val="22"/>
          <w:rtl w:val="0"/>
          <w:lang w:val="en-US"/>
        </w:rPr>
        <w:t xml:space="preserve">However, neither papers had a clear structure </w:t>
      </w:r>
      <w:r>
        <w:rPr>
          <w:rFonts w:ascii="Palatino" w:hAnsi="Palatino"/>
          <w:sz w:val="22"/>
          <w:szCs w:val="22"/>
          <w:rtl w:val="0"/>
          <w:lang w:val="en-US"/>
        </w:rPr>
        <w:t xml:space="preserve">and no descriptive </w:t>
      </w:r>
      <w:r>
        <w:rPr>
          <w:rFonts w:ascii="Palatino" w:hAnsi="Palatino"/>
          <w:sz w:val="22"/>
          <w:szCs w:val="22"/>
          <w:rtl w:val="0"/>
          <w:lang w:val="en-US"/>
        </w:rPr>
        <w:t>headings</w:t>
      </w:r>
      <w:r>
        <w:rPr>
          <w:rFonts w:ascii="Palatino" w:hAnsi="Palatino"/>
          <w:sz w:val="22"/>
          <w:szCs w:val="22"/>
          <w:rtl w:val="0"/>
          <w:lang w:val="en-US"/>
        </w:rPr>
        <w:t>. I</w:t>
      </w:r>
      <w:r>
        <w:rPr>
          <w:rFonts w:ascii="Palatino" w:hAnsi="Palatino"/>
          <w:sz w:val="22"/>
          <w:szCs w:val="22"/>
          <w:rtl w:val="0"/>
          <w:lang w:val="en-US"/>
        </w:rPr>
        <w:t>t was</w:t>
      </w:r>
      <w:r>
        <w:rPr>
          <w:rFonts w:ascii="Palatino" w:hAnsi="Palatino"/>
          <w:sz w:val="22"/>
          <w:szCs w:val="22"/>
          <w:rtl w:val="0"/>
          <w:lang w:val="en-US"/>
        </w:rPr>
        <w:t>, as an example,</w:t>
      </w:r>
      <w:r>
        <w:rPr>
          <w:rFonts w:ascii="Palatino" w:hAnsi="Palatino"/>
          <w:sz w:val="22"/>
          <w:szCs w:val="22"/>
          <w:rtl w:val="0"/>
          <w:lang w:val="en-US"/>
        </w:rPr>
        <w:t xml:space="preserve"> challenging to pinpoint a </w:t>
      </w:r>
      <w:r>
        <w:rPr>
          <w:rFonts w:ascii="Palatino" w:hAnsi="Palatino"/>
          <w:sz w:val="22"/>
          <w:szCs w:val="22"/>
          <w:rtl w:val="0"/>
          <w:lang w:val="en-US"/>
        </w:rPr>
        <w:t xml:space="preserve">clear </w:t>
      </w:r>
      <w:r>
        <w:rPr>
          <w:rFonts w:ascii="Palatino" w:hAnsi="Palatino"/>
          <w:sz w:val="22"/>
          <w:szCs w:val="22"/>
          <w:rtl w:val="0"/>
          <w:lang w:val="en-US"/>
        </w:rPr>
        <w:t>conclusion, as neither papers indicated a clear structural conclusion heading</w:t>
      </w:r>
      <w:r>
        <w:rPr>
          <w:rFonts w:ascii="Palatino" w:hAnsi="Palatino"/>
          <w:sz w:val="22"/>
          <w:szCs w:val="22"/>
          <w:rtl w:val="0"/>
          <w:lang w:val="en-US"/>
        </w:rPr>
        <w:t>, and conclusions were presented through the evidence of the source analysis and/or quotes in the papers</w:t>
      </w:r>
      <w:r>
        <w:rPr>
          <w:rFonts w:ascii="Palatino" w:hAnsi="Palatino"/>
          <w:sz w:val="22"/>
          <w:szCs w:val="22"/>
          <w:rtl w:val="0"/>
        </w:rPr>
        <w:t>.</w:t>
      </w:r>
      <w:r>
        <w:rPr>
          <w:rFonts w:ascii="Palatino" w:hAnsi="Palatino"/>
          <w:sz w:val="22"/>
          <w:szCs w:val="22"/>
          <w:rtl w:val="0"/>
          <w:lang w:val="en-US"/>
        </w:rPr>
        <w:t xml:space="preserve"> </w:t>
      </w:r>
      <w:r>
        <w:rPr>
          <w:rFonts w:ascii="Palatino" w:hAnsi="Palatino"/>
          <w:sz w:val="22"/>
          <w:szCs w:val="22"/>
          <w:rtl w:val="0"/>
          <w:lang w:val="en-US"/>
        </w:rPr>
        <w:t xml:space="preserve">The Graubard paper had a separate, substantial bibliography section </w:t>
      </w:r>
      <w:r>
        <w:rPr>
          <w:rFonts w:ascii="Palatino" w:hAnsi="Palatino"/>
          <w:sz w:val="22"/>
          <w:szCs w:val="22"/>
          <w:rtl w:val="0"/>
          <w:lang w:val="en-US"/>
        </w:rPr>
        <w:t xml:space="preserve">and made no use of footnotes </w:t>
      </w:r>
      <w:r>
        <w:rPr>
          <w:rFonts w:ascii="Palatino" w:hAnsi="Palatino"/>
          <w:sz w:val="22"/>
          <w:szCs w:val="22"/>
          <w:rtl w:val="0"/>
          <w:lang w:val="en-US"/>
        </w:rPr>
        <w:t>where</w:t>
      </w:r>
      <w:r>
        <w:rPr>
          <w:rFonts w:ascii="Palatino" w:hAnsi="Palatino"/>
          <w:sz w:val="22"/>
          <w:szCs w:val="22"/>
          <w:rtl w:val="0"/>
          <w:lang w:val="en-US"/>
        </w:rPr>
        <w:t>,</w:t>
      </w:r>
      <w:r>
        <w:rPr>
          <w:rFonts w:ascii="Palatino" w:hAnsi="Palatino"/>
          <w:sz w:val="22"/>
          <w:szCs w:val="22"/>
          <w:rtl w:val="0"/>
          <w:lang w:val="en-US"/>
        </w:rPr>
        <w:t xml:space="preserve"> in comparison, the Elzey paper</w:t>
      </w:r>
      <w:r>
        <w:rPr>
          <w:rFonts w:ascii="Palatino" w:hAnsi="Palatino" w:hint="default"/>
          <w:sz w:val="22"/>
          <w:szCs w:val="22"/>
          <w:rtl w:val="1"/>
        </w:rPr>
        <w:t>’</w:t>
      </w:r>
      <w:r>
        <w:rPr>
          <w:rFonts w:ascii="Palatino" w:hAnsi="Palatino"/>
          <w:sz w:val="22"/>
          <w:szCs w:val="22"/>
          <w:rtl w:val="0"/>
          <w:lang w:val="en-US"/>
        </w:rPr>
        <w:t xml:space="preserve">s extensive use of </w:t>
      </w:r>
      <w:r>
        <w:rPr>
          <w:rFonts w:ascii="Palatino" w:hAnsi="Palatino"/>
          <w:sz w:val="22"/>
          <w:szCs w:val="22"/>
          <w:rtl w:val="0"/>
          <w:lang w:val="en-US"/>
        </w:rPr>
        <w:t>sources</w:t>
      </w:r>
      <w:r>
        <w:rPr>
          <w:rFonts w:ascii="Palatino" w:hAnsi="Palatino"/>
          <w:sz w:val="22"/>
          <w:szCs w:val="22"/>
          <w:rtl w:val="0"/>
          <w:lang w:val="en-US"/>
        </w:rPr>
        <w:t xml:space="preserve"> were </w:t>
      </w:r>
      <w:r>
        <w:rPr>
          <w:rFonts w:ascii="Palatino" w:hAnsi="Palatino"/>
          <w:sz w:val="22"/>
          <w:szCs w:val="22"/>
          <w:rtl w:val="0"/>
          <w:lang w:val="en-US"/>
        </w:rPr>
        <w:t>referenced</w:t>
      </w:r>
      <w:r>
        <w:rPr>
          <w:rFonts w:ascii="Palatino" w:hAnsi="Palatino"/>
          <w:sz w:val="22"/>
          <w:szCs w:val="22"/>
          <w:rtl w:val="0"/>
          <w:lang w:val="en-US"/>
        </w:rPr>
        <w:t xml:space="preserve"> only in </w:t>
      </w:r>
      <w:r>
        <w:rPr>
          <w:rFonts w:ascii="Palatino" w:hAnsi="Palatino"/>
          <w:sz w:val="22"/>
          <w:szCs w:val="22"/>
          <w:rtl w:val="0"/>
          <w:lang w:val="en-US"/>
        </w:rPr>
        <w:t xml:space="preserve">the </w:t>
      </w:r>
      <w:r>
        <w:rPr>
          <w:rFonts w:ascii="Palatino" w:hAnsi="Palatino"/>
          <w:sz w:val="22"/>
          <w:szCs w:val="22"/>
          <w:rtl w:val="0"/>
          <w:lang w:val="en-US"/>
        </w:rPr>
        <w:t>footnotes</w:t>
      </w:r>
      <w:r>
        <w:rPr>
          <w:rFonts w:ascii="Palatino" w:hAnsi="Palatino"/>
          <w:sz w:val="22"/>
          <w:szCs w:val="22"/>
          <w:rtl w:val="0"/>
          <w:lang w:val="en-US"/>
        </w:rPr>
        <w:t>. When Elzey</w:t>
      </w:r>
      <w:r>
        <w:rPr>
          <w:rFonts w:ascii="Palatino" w:hAnsi="Palatino"/>
          <w:sz w:val="22"/>
          <w:szCs w:val="22"/>
          <w:rtl w:val="0"/>
          <w:lang w:val="en-US"/>
        </w:rPr>
        <w:t xml:space="preserve"> repeated sources throughout the paper, the full reference </w:t>
      </w:r>
      <w:r>
        <w:rPr>
          <w:rFonts w:ascii="Palatino" w:hAnsi="Palatino"/>
          <w:sz w:val="22"/>
          <w:szCs w:val="22"/>
          <w:rtl w:val="0"/>
          <w:lang w:val="en-US"/>
        </w:rPr>
        <w:t xml:space="preserve">had been </w:t>
      </w:r>
      <w:r>
        <w:rPr>
          <w:rFonts w:ascii="Palatino" w:hAnsi="Palatino"/>
          <w:sz w:val="22"/>
          <w:szCs w:val="22"/>
          <w:rtl w:val="0"/>
          <w:lang w:val="en-US"/>
        </w:rPr>
        <w:t>given when a source was first mentioned</w:t>
      </w:r>
      <w:r>
        <w:rPr>
          <w:rFonts w:ascii="Palatino" w:hAnsi="Palatino"/>
          <w:sz w:val="22"/>
          <w:szCs w:val="22"/>
          <w:rtl w:val="0"/>
          <w:lang w:val="en-US"/>
        </w:rPr>
        <w:t>, making it difficult to locate a repeat source</w:t>
      </w:r>
      <w:r>
        <w:rPr>
          <w:rFonts w:ascii="Palatino" w:hAnsi="Palatino"/>
          <w:sz w:val="22"/>
          <w:szCs w:val="22"/>
          <w:rtl w:val="0"/>
        </w:rPr>
        <w:t xml:space="preserve">. </w:t>
      </w:r>
      <w:r>
        <w:rPr>
          <w:rFonts w:ascii="Palatino" w:hAnsi="Palatino"/>
          <w:sz w:val="22"/>
          <w:szCs w:val="22"/>
          <w:rtl w:val="0"/>
          <w:lang w:val="en-US"/>
        </w:rPr>
        <w:t xml:space="preserve">A </w:t>
      </w:r>
      <w:r>
        <w:rPr>
          <w:rFonts w:ascii="Palatino" w:hAnsi="Palatino"/>
          <w:sz w:val="22"/>
          <w:szCs w:val="22"/>
          <w:rtl w:val="0"/>
          <w:lang w:val="en-US"/>
        </w:rPr>
        <w:t>bibliography would have solved</w:t>
      </w:r>
      <w:r>
        <w:rPr>
          <w:rFonts w:ascii="Palatino" w:hAnsi="Palatino"/>
          <w:sz w:val="22"/>
          <w:szCs w:val="22"/>
          <w:rtl w:val="0"/>
          <w:lang w:val="en-US"/>
        </w:rPr>
        <w:t xml:space="preserve"> this issue</w:t>
      </w:r>
      <w:r>
        <w:rPr>
          <w:rFonts w:ascii="Palatino" w:hAnsi="Palatino"/>
          <w:sz w:val="22"/>
          <w:szCs w:val="22"/>
          <w:rtl w:val="0"/>
        </w:rPr>
        <w:t>.</w:t>
      </w:r>
      <w:r>
        <w:rPr>
          <w:rFonts w:ascii="Palatino" w:hAnsi="Palatino"/>
          <w:sz w:val="22"/>
          <w:szCs w:val="22"/>
          <w:rtl w:val="0"/>
          <w:lang w:val="en-US"/>
        </w:rPr>
        <w:t xml:space="preserve"> John M. Watanabe</w:t>
      </w:r>
      <w:r>
        <w:rPr>
          <w:rFonts w:ascii="Palatino" w:hAnsi="Palatino" w:hint="default"/>
          <w:sz w:val="22"/>
          <w:szCs w:val="22"/>
          <w:rtl w:val="0"/>
          <w:lang w:val="en-US"/>
        </w:rPr>
        <w:t>’</w:t>
      </w:r>
      <w:r>
        <w:rPr>
          <w:rFonts w:ascii="Palatino" w:hAnsi="Palatino"/>
          <w:sz w:val="22"/>
          <w:szCs w:val="22"/>
          <w:rtl w:val="0"/>
          <w:lang w:val="en-US"/>
        </w:rPr>
        <w:t xml:space="preserve">s paper on Mayan Cosmology demonstrates a clear structure throughout the paper with headings, conclusion, notes and references. </w:t>
      </w:r>
      <w:r>
        <w:rPr>
          <w:rFonts w:ascii="Palatino" w:cs="Palatino" w:hAnsi="Palatino" w:eastAsia="Palatino"/>
          <w:sz w:val="22"/>
          <w:szCs w:val="22"/>
          <w:vertAlign w:val="superscript"/>
        </w:rPr>
        <w:footnoteReference w:id="25"/>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cs="Palatino" w:hAnsi="Palatino" w:eastAsia="Palatino"/>
          <w:sz w:val="22"/>
          <w:szCs w:val="22"/>
          <w:rtl w:val="0"/>
        </w:rPr>
        <w:tab/>
        <w:t>The Elzey paper was easy readable with a good flow and a varied use of discussion, analysis and quotes from original texts. The paper covered background and described how sources contrasted and compared. Elzey</w:t>
      </w:r>
      <w:r>
        <w:rPr>
          <w:rFonts w:ascii="Palatino" w:hAnsi="Palatino" w:hint="default"/>
          <w:sz w:val="22"/>
          <w:szCs w:val="22"/>
          <w:rtl w:val="0"/>
          <w:lang w:val="en-US"/>
        </w:rPr>
        <w:t>’</w:t>
      </w:r>
      <w:r>
        <w:rPr>
          <w:rFonts w:ascii="Palatino" w:hAnsi="Palatino"/>
          <w:sz w:val="22"/>
          <w:szCs w:val="22"/>
          <w:rtl w:val="0"/>
          <w:lang w:val="en-US"/>
        </w:rPr>
        <w:t xml:space="preserve">s use of footnotes to reference sources, but also for </w:t>
      </w:r>
      <w:r>
        <w:rPr>
          <w:rFonts w:ascii="Palatino" w:hAnsi="Palatino"/>
          <w:sz w:val="22"/>
          <w:szCs w:val="22"/>
          <w:rtl w:val="0"/>
          <w:lang w:val="en-US"/>
        </w:rPr>
        <w:t>elaborative, descriptive texts within the same footnote numbering</w:t>
      </w:r>
      <w:r>
        <w:rPr>
          <w:rFonts w:ascii="Palatino" w:hAnsi="Palatino"/>
          <w:sz w:val="22"/>
          <w:szCs w:val="22"/>
          <w:rtl w:val="0"/>
          <w:lang w:val="en-US"/>
        </w:rPr>
        <w:t>, occasionally caused a disruption in the flow of reading. In contrast, Graubard</w:t>
      </w:r>
      <w:r>
        <w:rPr>
          <w:rFonts w:ascii="Palatino" w:hAnsi="Palatino" w:hint="default"/>
          <w:sz w:val="22"/>
          <w:szCs w:val="22"/>
          <w:rtl w:val="0"/>
          <w:lang w:val="en-US"/>
        </w:rPr>
        <w:t>’</w:t>
      </w:r>
      <w:r>
        <w:rPr>
          <w:rFonts w:ascii="Palatino" w:hAnsi="Palatino"/>
          <w:sz w:val="22"/>
          <w:szCs w:val="22"/>
          <w:rtl w:val="0"/>
          <w:lang w:val="en-US"/>
        </w:rPr>
        <w:t>s sources were easily found in the bibliography; however in further contrast, Graubard</w:t>
      </w:r>
      <w:r>
        <w:rPr>
          <w:rFonts w:ascii="Palatino" w:hAnsi="Palatino" w:hint="default"/>
          <w:sz w:val="22"/>
          <w:szCs w:val="22"/>
          <w:rtl w:val="0"/>
          <w:lang w:val="en-US"/>
        </w:rPr>
        <w:t>’</w:t>
      </w:r>
      <w:r>
        <w:rPr>
          <w:rFonts w:ascii="Palatino" w:hAnsi="Palatino"/>
          <w:sz w:val="22"/>
          <w:szCs w:val="22"/>
          <w:rtl w:val="0"/>
          <w:lang w:val="en-US"/>
        </w:rPr>
        <w:t>s writing style of displaying evidence through quoting classic texts and historical writings meant that a very high percentage of the written text in the paper were quotes. This made it difficult to read, and it was occasionally challenging to distinguish quotes from discussion and analysis, as the quotes were often lengthly.</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sectPr>
          <w:headerReference w:type="default" r:id="rId13"/>
          <w:footerReference w:type="default" r:id="rId14"/>
          <w:pgSz w:w="12240" w:h="15840" w:orient="portrait"/>
          <w:pgMar w:top="1134" w:right="1134" w:bottom="1134" w:left="1134" w:header="567" w:footer="720"/>
          <w:bidi w:val="0"/>
        </w:sect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cs="Palatino" w:hAnsi="Palatino" w:eastAsia="Palatino"/>
          <w:sz w:val="22"/>
          <w:szCs w:val="22"/>
          <w:rtl w:val="0"/>
        </w:rPr>
        <w:tab/>
        <w:t>Graubard</w:t>
      </w:r>
      <w:r>
        <w:rPr>
          <w:rFonts w:ascii="Palatino" w:hAnsi="Palatino" w:hint="default"/>
          <w:sz w:val="22"/>
          <w:szCs w:val="22"/>
          <w:rtl w:val="0"/>
          <w:lang w:val="en-US"/>
        </w:rPr>
        <w:t>’</w:t>
      </w:r>
      <w:r>
        <w:rPr>
          <w:rFonts w:ascii="Palatino" w:hAnsi="Palatino"/>
          <w:sz w:val="22"/>
          <w:szCs w:val="22"/>
          <w:rtl w:val="0"/>
          <w:lang w:val="en-US"/>
        </w:rPr>
        <w:t xml:space="preserve">s intention of the paper was to present his evidence through quoting </w:t>
      </w:r>
      <w:r>
        <w:rPr>
          <w:rFonts w:ascii="Palatino" w:cs="Palatino" w:hAnsi="Palatino" w:eastAsia="Palatino"/>
          <w:sz w:val="22"/>
          <w:szCs w:val="22"/>
          <w:vertAlign w:val="superscript"/>
        </w:rPr>
        <w:footnoteReference w:id="26"/>
      </w:r>
      <w:r>
        <w:rPr>
          <w:rFonts w:ascii="Palatino" w:hAnsi="Palatino"/>
          <w:sz w:val="22"/>
          <w:szCs w:val="22"/>
          <w:rtl w:val="0"/>
          <w:lang w:val="en-US"/>
        </w:rPr>
        <w:t xml:space="preserve">, and a different paper by Graubard suggest that extensive quoting was not Graubard usual writing style. </w:t>
      </w:r>
      <w:r>
        <w:rPr>
          <w:rFonts w:ascii="Palatino" w:cs="Palatino" w:hAnsi="Palatino" w:eastAsia="Palatino"/>
          <w:sz w:val="22"/>
          <w:szCs w:val="22"/>
          <w:vertAlign w:val="superscript"/>
        </w:rPr>
        <w:footnoteReference w:id="27"/>
      </w:r>
      <w:r>
        <w:rPr>
          <w:rFonts w:ascii="Palatino" w:hAnsi="Palatino"/>
          <w:sz w:val="22"/>
          <w:szCs w:val="22"/>
          <w:rtl w:val="0"/>
          <w:lang w:val="en-US"/>
        </w:rPr>
        <w:t xml:space="preserve"> </w:t>
      </w:r>
      <w:r>
        <w:rPr>
          <w:rFonts w:ascii="Palatino" w:hAnsi="Palatino"/>
          <w:sz w:val="22"/>
          <w:szCs w:val="22"/>
          <w:rtl w:val="0"/>
          <w:lang w:val="en-US"/>
        </w:rPr>
        <w:t>To fully comprehend Graubard</w:t>
      </w:r>
      <w:r>
        <w:rPr>
          <w:rFonts w:ascii="Palatino" w:hAnsi="Palatino" w:hint="default"/>
          <w:sz w:val="22"/>
          <w:szCs w:val="22"/>
          <w:rtl w:val="0"/>
          <w:lang w:val="en-US"/>
        </w:rPr>
        <w:t>’</w:t>
      </w:r>
      <w:r>
        <w:rPr>
          <w:rFonts w:ascii="Palatino" w:hAnsi="Palatino"/>
          <w:sz w:val="22"/>
          <w:szCs w:val="22"/>
          <w:rtl w:val="0"/>
          <w:lang w:val="en-US"/>
        </w:rPr>
        <w:t xml:space="preserve">s intended critical analysis of the Thorndike suggestion </w:t>
      </w:r>
      <w:r>
        <w:rPr>
          <w:rFonts w:ascii="Palatino" w:cs="Palatino" w:hAnsi="Palatino" w:eastAsia="Palatino"/>
          <w:sz w:val="22"/>
          <w:szCs w:val="22"/>
          <w:vertAlign w:val="superscript"/>
        </w:rPr>
        <w:footnoteReference w:id="28"/>
      </w:r>
      <w:r>
        <w:rPr>
          <w:rFonts w:ascii="Palatino" w:hAnsi="Palatino"/>
          <w:sz w:val="22"/>
          <w:szCs w:val="22"/>
          <w:rtl w:val="0"/>
          <w:lang w:val="en-US"/>
        </w:rPr>
        <w:t>, it was helpful to read Thorndike</w:t>
      </w:r>
      <w:r>
        <w:rPr>
          <w:rFonts w:ascii="Palatino" w:hAnsi="Palatino" w:hint="default"/>
          <w:sz w:val="22"/>
          <w:szCs w:val="22"/>
          <w:rtl w:val="0"/>
          <w:lang w:val="en-US"/>
        </w:rPr>
        <w:t>’</w:t>
      </w:r>
      <w:r>
        <w:rPr>
          <w:rFonts w:ascii="Palatino" w:hAnsi="Palatino"/>
          <w:sz w:val="22"/>
          <w:szCs w:val="22"/>
          <w:rtl w:val="0"/>
          <w:lang w:val="en-US"/>
        </w:rPr>
        <w:t xml:space="preserve">s paper as a contextual addition. </w:t>
      </w:r>
      <w:r>
        <w:rPr>
          <w:rFonts w:ascii="Palatino" w:cs="Palatino" w:hAnsi="Palatino" w:eastAsia="Palatino"/>
          <w:sz w:val="22"/>
          <w:szCs w:val="22"/>
          <w:vertAlign w:val="superscript"/>
        </w:rPr>
        <w:footnoteReference w:id="29"/>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i w:val="1"/>
          <w:iCs w:val="1"/>
          <w:sz w:val="22"/>
          <w:szCs w:val="22"/>
        </w:rPr>
      </w:pPr>
      <w:r>
        <w:rPr>
          <w:rFonts w:ascii="Palatino" w:hAnsi="Palatino"/>
          <w:b w:val="0"/>
          <w:bCs w:val="0"/>
          <w:i w:val="1"/>
          <w:iCs w:val="1"/>
          <w:sz w:val="22"/>
          <w:szCs w:val="22"/>
          <w:rtl w:val="0"/>
          <w:lang w:val="en-US"/>
        </w:rPr>
        <w:t>Ethical Considerations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hAnsi="Palatino"/>
          <w:sz w:val="22"/>
          <w:szCs w:val="22"/>
          <w:rtl w:val="0"/>
          <w:lang w:val="en-US"/>
        </w:rPr>
        <w:t>In Thorndike</w:t>
      </w:r>
      <w:r>
        <w:rPr>
          <w:rFonts w:ascii="Palatino" w:hAnsi="Palatino" w:hint="default"/>
          <w:sz w:val="22"/>
          <w:szCs w:val="22"/>
          <w:rtl w:val="0"/>
          <w:lang w:val="en-US"/>
        </w:rPr>
        <w:t>’</w:t>
      </w:r>
      <w:r>
        <w:rPr>
          <w:rFonts w:ascii="Palatino" w:hAnsi="Palatino"/>
          <w:sz w:val="22"/>
          <w:szCs w:val="22"/>
          <w:rtl w:val="0"/>
          <w:lang w:val="en-US"/>
        </w:rPr>
        <w:t>s paper, reference was made to a recently written text by Mark Graubard:</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jc w:val="center"/>
        <w:rPr>
          <w:rFonts w:ascii="Palatino" w:cs="Palatino" w:hAnsi="Palatino" w:eastAsia="Palatino"/>
          <w:b w:val="0"/>
          <w:bCs w:val="0"/>
          <w:sz w:val="22"/>
          <w:szCs w:val="22"/>
        </w:rPr>
      </w:pPr>
      <w:r>
        <w:rPr>
          <w:rFonts w:ascii="Palatino" w:hAnsi="Palatino"/>
          <w:b w:val="0"/>
          <w:bCs w:val="0"/>
          <w:sz w:val="22"/>
          <w:szCs w:val="22"/>
          <w:rtl w:val="0"/>
          <w:lang w:val="en-US"/>
        </w:rPr>
        <w:t>Yet he {Graubard} does not seem to realise that it {astrology} depended</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jc w:val="center"/>
        <w:rPr>
          <w:rFonts w:ascii="Palatino" w:cs="Palatino" w:hAnsi="Palatino" w:eastAsia="Palatino"/>
          <w:b w:val="0"/>
          <w:bCs w:val="0"/>
          <w:sz w:val="22"/>
          <w:szCs w:val="22"/>
        </w:rPr>
      </w:pPr>
      <w:r>
        <w:rPr>
          <w:rFonts w:ascii="Palatino" w:hAnsi="Palatino"/>
          <w:b w:val="0"/>
          <w:bCs w:val="0"/>
          <w:sz w:val="22"/>
          <w:szCs w:val="22"/>
          <w:rtl w:val="0"/>
          <w:lang w:val="en-US"/>
        </w:rPr>
        <w:t xml:space="preserve">upon a once generally accepted hypothesis of universal law. </w:t>
      </w:r>
      <w:r>
        <w:rPr>
          <w:rFonts w:ascii="Palatino" w:cs="Palatino" w:hAnsi="Palatino" w:eastAsia="Palatino"/>
          <w:b w:val="0"/>
          <w:bCs w:val="0"/>
          <w:sz w:val="22"/>
          <w:szCs w:val="22"/>
          <w:vertAlign w:val="superscript"/>
        </w:rPr>
        <w:footnoteReference w:id="30"/>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hAnsi="Palatino"/>
          <w:sz w:val="22"/>
          <w:szCs w:val="22"/>
          <w:rtl w:val="0"/>
          <w:lang w:val="en-US"/>
        </w:rPr>
        <w:t>This could denote the intention of Graubard</w:t>
      </w:r>
      <w:r>
        <w:rPr>
          <w:rFonts w:ascii="Palatino" w:hAnsi="Palatino" w:hint="default"/>
          <w:sz w:val="22"/>
          <w:szCs w:val="22"/>
          <w:rtl w:val="0"/>
          <w:lang w:val="en-US"/>
        </w:rPr>
        <w:t>’</w:t>
      </w:r>
      <w:r>
        <w:rPr>
          <w:rFonts w:ascii="Palatino" w:hAnsi="Palatino"/>
          <w:sz w:val="22"/>
          <w:szCs w:val="22"/>
          <w:rtl w:val="0"/>
          <w:lang w:val="en-US"/>
        </w:rPr>
        <w:t>s paper as an evidential reply. However, this made Graubard</w:t>
      </w:r>
      <w:r>
        <w:rPr>
          <w:rFonts w:ascii="Palatino" w:hAnsi="Palatino" w:hint="default"/>
          <w:sz w:val="22"/>
          <w:szCs w:val="22"/>
          <w:rtl w:val="0"/>
          <w:lang w:val="en-US"/>
        </w:rPr>
        <w:t>’</w:t>
      </w:r>
      <w:r>
        <w:rPr>
          <w:rFonts w:ascii="Palatino" w:hAnsi="Palatino"/>
          <w:sz w:val="22"/>
          <w:szCs w:val="22"/>
          <w:rtl w:val="0"/>
          <w:lang w:val="en-US"/>
        </w:rPr>
        <w:t xml:space="preserve">s paper seem biased, emotional and inapt. </w:t>
      </w:r>
      <w:r>
        <w:rPr>
          <w:rFonts w:ascii="Palatino" w:cs="Palatino" w:hAnsi="Palatino" w:eastAsia="Palatino"/>
          <w:sz w:val="22"/>
          <w:szCs w:val="22"/>
          <w:vertAlign w:val="superscript"/>
        </w:rPr>
        <w:footnoteReference w:id="31"/>
      </w:r>
      <w:r>
        <w:rPr>
          <w:rFonts w:ascii="Palatino" w:hAnsi="Palatino"/>
          <w:sz w:val="22"/>
          <w:szCs w:val="22"/>
          <w:rtl w:val="0"/>
          <w:lang w:val="en-US"/>
        </w:rPr>
        <w:t xml:space="preserve"> There seemed to be a pattern of misinterpretation, which could lead to a further misinterpretation of the otherwise in-depth knowledge which was presented in Graubard</w:t>
      </w:r>
      <w:r>
        <w:rPr>
          <w:rFonts w:ascii="Palatino" w:hAnsi="Palatino" w:hint="default"/>
          <w:sz w:val="22"/>
          <w:szCs w:val="22"/>
          <w:rtl w:val="0"/>
          <w:lang w:val="en-US"/>
        </w:rPr>
        <w:t>’</w:t>
      </w:r>
      <w:r>
        <w:rPr>
          <w:rFonts w:ascii="Palatino" w:hAnsi="Palatino"/>
          <w:sz w:val="22"/>
          <w:szCs w:val="22"/>
          <w:rtl w:val="0"/>
          <w:lang w:val="en-US"/>
        </w:rPr>
        <w:t>s paper. Graubard</w:t>
      </w:r>
      <w:r>
        <w:rPr>
          <w:rFonts w:ascii="Palatino" w:hAnsi="Palatino" w:hint="default"/>
          <w:sz w:val="22"/>
          <w:szCs w:val="22"/>
          <w:rtl w:val="0"/>
          <w:lang w:val="en-US"/>
        </w:rPr>
        <w:t>’</w:t>
      </w:r>
      <w:r>
        <w:rPr>
          <w:rFonts w:ascii="Palatino" w:hAnsi="Palatino"/>
          <w:sz w:val="22"/>
          <w:szCs w:val="22"/>
          <w:rtl w:val="0"/>
          <w:lang w:val="en-US"/>
        </w:rPr>
        <w:t xml:space="preserve">s paper were mostly supported by extensive quotes and references, however with some unreferenced arguments, which must be assumed to be personal opinions. </w:t>
      </w:r>
      <w:r>
        <w:rPr>
          <w:rFonts w:ascii="Palatino" w:cs="Palatino" w:hAnsi="Palatino" w:eastAsia="Palatino"/>
          <w:sz w:val="22"/>
          <w:szCs w:val="22"/>
          <w:vertAlign w:val="superscript"/>
        </w:rPr>
        <w:footnoteReference w:id="32"/>
      </w:r>
      <w:r>
        <w:rPr>
          <w:rFonts w:ascii="Palatino" w:hAnsi="Palatino"/>
          <w:sz w:val="22"/>
          <w:szCs w:val="22"/>
          <w:rtl w:val="0"/>
          <w:lang w:val="en-US"/>
        </w:rPr>
        <w:t xml:space="preserve"> In contrast, Elzey</w:t>
      </w:r>
      <w:r>
        <w:rPr>
          <w:rFonts w:ascii="Palatino" w:hAnsi="Palatino" w:hint="default"/>
          <w:sz w:val="22"/>
          <w:szCs w:val="22"/>
          <w:rtl w:val="0"/>
          <w:lang w:val="en-US"/>
        </w:rPr>
        <w:t>’</w:t>
      </w:r>
      <w:r>
        <w:rPr>
          <w:rFonts w:ascii="Palatino" w:hAnsi="Palatino"/>
          <w:sz w:val="22"/>
          <w:szCs w:val="22"/>
          <w:rtl w:val="0"/>
          <w:lang w:val="en-US"/>
        </w:rPr>
        <w:t>s paper remained neutral.</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sz w:val="22"/>
          <w:szCs w:val="22"/>
        </w:rPr>
      </w:pPr>
      <w:r>
        <w:rPr>
          <w:rFonts w:ascii="Palatino" w:cs="Palatino" w:hAnsi="Palatino" w:eastAsia="Palatino"/>
          <w:b w:val="0"/>
          <w:bCs w:val="0"/>
          <w:sz w:val="22"/>
          <w:szCs w:val="22"/>
          <w:rtl w:val="0"/>
        </w:rPr>
        <w:tab/>
        <w:t>Hennick et. al. discussed the importance of ethics in research which explore people</w:t>
      </w:r>
      <w:r>
        <w:rPr>
          <w:rFonts w:ascii="Palatino" w:hAnsi="Palatino" w:hint="default"/>
          <w:b w:val="0"/>
          <w:bCs w:val="0"/>
          <w:sz w:val="22"/>
          <w:szCs w:val="22"/>
          <w:rtl w:val="0"/>
          <w:lang w:val="en-US"/>
        </w:rPr>
        <w:t>’</w:t>
      </w:r>
      <w:r>
        <w:rPr>
          <w:rFonts w:ascii="Palatino" w:hAnsi="Palatino"/>
          <w:b w:val="0"/>
          <w:bCs w:val="0"/>
          <w:sz w:val="22"/>
          <w:szCs w:val="22"/>
          <w:rtl w:val="0"/>
          <w:lang w:val="en-US"/>
        </w:rPr>
        <w:t xml:space="preserve">s beliefs and perceptions. </w:t>
      </w:r>
      <w:r>
        <w:rPr>
          <w:rFonts w:ascii="Palatino" w:cs="Palatino" w:hAnsi="Palatino" w:eastAsia="Palatino"/>
          <w:b w:val="0"/>
          <w:bCs w:val="0"/>
          <w:sz w:val="22"/>
          <w:szCs w:val="22"/>
          <w:vertAlign w:val="superscript"/>
        </w:rPr>
        <w:footnoteReference w:id="33"/>
      </w:r>
      <w:r>
        <w:rPr>
          <w:rFonts w:ascii="Palatino" w:hAnsi="Palatino"/>
          <w:b w:val="0"/>
          <w:bCs w:val="0"/>
          <w:sz w:val="22"/>
          <w:szCs w:val="22"/>
          <w:rtl w:val="0"/>
          <w:lang w:val="en-US"/>
        </w:rPr>
        <w:t xml:space="preserve"> Mavrogenis et.al. described an unprofessional comment in a review as any statement that is unethical or irrelevant, for example 1) comments being directed at the author rather than the study; 2) comments using personal opinions; and 3) unsympathetic comments. </w:t>
      </w:r>
      <w:r>
        <w:rPr>
          <w:rFonts w:ascii="Palatino" w:cs="Palatino" w:hAnsi="Palatino" w:eastAsia="Palatino"/>
          <w:b w:val="0"/>
          <w:bCs w:val="0"/>
          <w:sz w:val="22"/>
          <w:szCs w:val="22"/>
          <w:vertAlign w:val="superscript"/>
        </w:rPr>
        <w:footnoteReference w:id="34"/>
      </w:r>
      <w:r>
        <w:rPr>
          <w:rFonts w:ascii="Palatino" w:hAnsi="Palatino"/>
          <w:b w:val="0"/>
          <w:bCs w:val="0"/>
          <w:sz w:val="22"/>
          <w:szCs w:val="22"/>
          <w:rtl w:val="0"/>
          <w:lang w:val="en-US"/>
        </w:rPr>
        <w:t xml:space="preserve"> It should be considered that Graubard</w:t>
      </w:r>
      <w:r>
        <w:rPr>
          <w:rFonts w:ascii="Palatino" w:hAnsi="Palatino" w:hint="default"/>
          <w:b w:val="0"/>
          <w:bCs w:val="0"/>
          <w:sz w:val="22"/>
          <w:szCs w:val="22"/>
          <w:rtl w:val="0"/>
          <w:lang w:val="en-US"/>
        </w:rPr>
        <w:t>’</w:t>
      </w:r>
      <w:r>
        <w:rPr>
          <w:rFonts w:ascii="Palatino" w:hAnsi="Palatino"/>
          <w:b w:val="0"/>
          <w:bCs w:val="0"/>
          <w:sz w:val="22"/>
          <w:szCs w:val="22"/>
          <w:rtl w:val="0"/>
          <w:lang w:val="en-US"/>
        </w:rPr>
        <w:t>s paper was written 65 years ago, which may exhibit a cultural development of language in scientific papers.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sectPr>
          <w:headerReference w:type="default" r:id="rId15"/>
          <w:footerReference w:type="default" r:id="rId16"/>
          <w:pgSz w:w="12240" w:h="15840" w:orient="portrait"/>
          <w:pgMar w:top="1134" w:right="1134" w:bottom="1134" w:left="1134" w:header="567" w:footer="720"/>
          <w:bidi w:val="0"/>
        </w:sect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i w:val="1"/>
          <w:iCs w:val="1"/>
          <w:sz w:val="22"/>
          <w:szCs w:val="22"/>
        </w:rPr>
      </w:pPr>
      <w:r>
        <w:rPr>
          <w:rFonts w:ascii="Palatino" w:hAnsi="Palatino"/>
          <w:i w:val="1"/>
          <w:iCs w:val="1"/>
          <w:sz w:val="22"/>
          <w:szCs w:val="22"/>
          <w:rtl w:val="0"/>
          <w:lang w:val="en-US"/>
        </w:rPr>
        <w:t>Literature Review</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hAnsi="Palatino"/>
          <w:sz w:val="22"/>
          <w:szCs w:val="22"/>
          <w:rtl w:val="0"/>
          <w:lang w:val="en-US"/>
        </w:rPr>
        <w:t xml:space="preserve">Both the Elzey paper and the Graubard paper reflected a similar vast and well referenced use of sources. </w:t>
        <w:tab/>
        <w:t xml:space="preserve">Bell and Waters described that a selection of literature should consider findings of others and then analyse those </w:t>
      </w:r>
      <w:r>
        <w:rPr>
          <w:rFonts w:ascii="Palatino" w:cs="Palatino" w:hAnsi="Palatino" w:eastAsia="Palatino"/>
          <w:sz w:val="22"/>
          <w:szCs w:val="22"/>
          <w:vertAlign w:val="superscript"/>
        </w:rPr>
        <w:footnoteReference w:id="35"/>
      </w:r>
      <w:r>
        <w:rPr>
          <w:rFonts w:ascii="Palatino" w:hAnsi="Palatino"/>
          <w:sz w:val="22"/>
          <w:szCs w:val="22"/>
          <w:rtl w:val="0"/>
          <w:lang w:val="en-US"/>
        </w:rPr>
        <w:t>, and both Elzey and Graubard accomplished this in their papers, although strongest by Elzey due to the chosen writing style discussed previously in this essay. However, in comparing and contrasting, the Graubard paper covered a broader historical time span.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cs="Palatino" w:hAnsi="Palatino" w:eastAsia="Palatino"/>
          <w:sz w:val="22"/>
          <w:szCs w:val="22"/>
          <w:rtl w:val="0"/>
        </w:rPr>
        <w:tab/>
        <w:t xml:space="preserve">Graubard analysed and listed approximately 60 different sources, covering literature in several languages from the 1500s up until the paper was written in 1958. The sources were well described and could easily be found when searching on the internet of the 21st century. In comparison, Elzey used more than 40 sources in his analysis of the Nahua myth of the suns, they covered variations of the myth, and the sources are mainly cited in their original language </w:t>
      </w:r>
      <w:r>
        <w:rPr>
          <w:rFonts w:ascii="Palatino" w:cs="Palatino" w:hAnsi="Palatino" w:eastAsia="Palatino"/>
          <w:sz w:val="22"/>
          <w:szCs w:val="22"/>
          <w:vertAlign w:val="superscript"/>
        </w:rPr>
        <w:footnoteReference w:id="36"/>
      </w:r>
      <w:r>
        <w:rPr>
          <w:rFonts w:ascii="Palatino" w:hAnsi="Palatino"/>
          <w:sz w:val="22"/>
          <w:szCs w:val="22"/>
          <w:rtl w:val="0"/>
          <w:lang w:val="en-US"/>
        </w:rPr>
        <w:t>, covering literature from 1800s, but mainly the 1900s. The sources in Elzey</w:t>
      </w:r>
      <w:r>
        <w:rPr>
          <w:rFonts w:ascii="Palatino" w:hAnsi="Palatino" w:hint="default"/>
          <w:sz w:val="22"/>
          <w:szCs w:val="22"/>
          <w:rtl w:val="0"/>
          <w:lang w:val="en-US"/>
        </w:rPr>
        <w:t>’</w:t>
      </w:r>
      <w:r>
        <w:rPr>
          <w:rFonts w:ascii="Palatino" w:hAnsi="Palatino"/>
          <w:sz w:val="22"/>
          <w:szCs w:val="22"/>
          <w:rtl w:val="0"/>
          <w:lang w:val="en-US"/>
        </w:rPr>
        <w:t xml:space="preserve">s paper further covered aspects related to the myth, for example: the function of myth </w:t>
      </w:r>
      <w:r>
        <w:rPr>
          <w:rFonts w:ascii="Palatino" w:cs="Palatino" w:hAnsi="Palatino" w:eastAsia="Palatino"/>
          <w:sz w:val="22"/>
          <w:szCs w:val="22"/>
          <w:vertAlign w:val="superscript"/>
        </w:rPr>
        <w:footnoteReference w:id="37"/>
      </w:r>
      <w:r>
        <w:rPr>
          <w:rFonts w:ascii="Palatino" w:hAnsi="Palatino"/>
          <w:sz w:val="22"/>
          <w:szCs w:val="22"/>
          <w:rtl w:val="0"/>
          <w:lang w:val="en-US"/>
        </w:rPr>
        <w:t xml:space="preserve">, cosmological symbolism </w:t>
      </w:r>
      <w:r>
        <w:rPr>
          <w:rFonts w:ascii="Palatino" w:cs="Palatino" w:hAnsi="Palatino" w:eastAsia="Palatino"/>
          <w:sz w:val="22"/>
          <w:szCs w:val="22"/>
          <w:vertAlign w:val="superscript"/>
        </w:rPr>
        <w:footnoteReference w:id="38"/>
      </w:r>
      <w:r>
        <w:rPr>
          <w:rFonts w:ascii="Palatino" w:hAnsi="Palatino"/>
          <w:sz w:val="22"/>
          <w:szCs w:val="22"/>
          <w:rtl w:val="0"/>
          <w:lang w:val="en-US"/>
        </w:rPr>
        <w:t xml:space="preserve">, poetry </w:t>
      </w:r>
      <w:r>
        <w:rPr>
          <w:rFonts w:ascii="Palatino" w:cs="Palatino" w:hAnsi="Palatino" w:eastAsia="Palatino"/>
          <w:sz w:val="22"/>
          <w:szCs w:val="22"/>
          <w:vertAlign w:val="superscript"/>
        </w:rPr>
        <w:footnoteReference w:id="39"/>
      </w:r>
      <w:r>
        <w:rPr>
          <w:rFonts w:ascii="Palatino" w:hAnsi="Palatino"/>
          <w:sz w:val="22"/>
          <w:szCs w:val="22"/>
          <w:rtl w:val="0"/>
          <w:lang w:val="en-US"/>
        </w:rPr>
        <w:t>, however there was no historical background of the Nahua people and culture, which would have been interesting and supported the paper.</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sz w:val="22"/>
          <w:szCs w:val="22"/>
        </w:rPr>
      </w:pPr>
      <w:r>
        <w:rPr>
          <w:rFonts w:ascii="Palatino" w:hAnsi="Palatino"/>
          <w:b w:val="1"/>
          <w:bCs w:val="1"/>
          <w:sz w:val="22"/>
          <w:szCs w:val="22"/>
          <w:rtl w:val="0"/>
          <w:lang w:val="en-US"/>
        </w:rPr>
        <w:t>Conclusion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hAnsi="Palatino"/>
          <w:sz w:val="22"/>
          <w:szCs w:val="22"/>
          <w:rtl w:val="0"/>
          <w:lang w:val="en-US"/>
        </w:rPr>
        <w:t xml:space="preserve">This essay has </w:t>
      </w:r>
      <w:r>
        <w:rPr>
          <w:rFonts w:ascii="Palatino" w:hAnsi="Palatino"/>
          <w:sz w:val="22"/>
          <w:szCs w:val="22"/>
          <w:rtl w:val="0"/>
          <w:lang w:val="en-US"/>
        </w:rPr>
        <w:t>critically compared and contrasted two papers by Elzey and Graubard</w:t>
      </w:r>
      <w:r>
        <w:rPr>
          <w:rFonts w:ascii="Palatino" w:hAnsi="Palatino"/>
          <w:sz w:val="22"/>
          <w:szCs w:val="22"/>
          <w:rtl w:val="0"/>
          <w:lang w:val="en-US"/>
        </w:rPr>
        <w:t xml:space="preserve"> respectively</w:t>
      </w:r>
      <w:r>
        <w:rPr>
          <w:rFonts w:ascii="Palatino" w:hAnsi="Palatino"/>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40"/>
      </w:r>
      <w:r>
        <w:rPr>
          <w:rFonts w:ascii="Palatino" w:hAnsi="Palatino"/>
          <w:sz w:val="22"/>
          <w:szCs w:val="22"/>
          <w:rtl w:val="0"/>
          <w:lang w:val="en-US"/>
        </w:rPr>
        <w:t xml:space="preserve">  Both papers were presented in established scientific journals, Elzey's paper was written in 1958 when he was 35 and Graubard wrote the paper in 1976 when he was 54. Both Elzey and Graubard became professor emeritus. Both papers analysed aspects of culture in relation to beliefs and way of life. </w:t>
      </w:r>
      <w:r>
        <w:rPr>
          <w:rFonts w:ascii="Palatino" w:cs="Palatino" w:hAnsi="Palatino" w:eastAsia="Palatino"/>
          <w:sz w:val="22"/>
          <w:szCs w:val="22"/>
          <w:vertAlign w:val="superscript"/>
        </w:rPr>
        <w:footnoteReference w:id="41"/>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cs="Palatino" w:hAnsi="Palatino" w:eastAsia="Palatino"/>
          <w:sz w:val="22"/>
          <w:szCs w:val="22"/>
          <w:rtl w:val="0"/>
        </w:rPr>
        <w:tab/>
        <w:t>It was found that both papers presented in-depth and broad knowledge of the respective subjects. Both papers had defined hypotheses/cosmologies that the authors had chosen as a structural foundation, however a broader focus could have been interesting, particularly in the Elzey paper. Neither papers had a clear writing structure, and it was challenging to locate clear conclusions as the conclusions were presented throughout the discussions and analysis in the papers.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sectPr>
          <w:headerReference w:type="default" r:id="rId17"/>
          <w:footerReference w:type="default" r:id="rId18"/>
          <w:pgSz w:w="12240" w:h="15840" w:orient="portrait"/>
          <w:pgMar w:top="1134" w:right="1134" w:bottom="1134" w:left="1134" w:header="567" w:footer="720"/>
          <w:bidi w:val="0"/>
        </w:sectPr>
      </w:pPr>
      <w:r>
        <w:rPr>
          <w:rFonts w:ascii="Palatino" w:cs="Palatino" w:hAnsi="Palatino" w:eastAsia="Palatino"/>
          <w:sz w:val="22"/>
          <w:szCs w:val="22"/>
          <w:rtl w:val="0"/>
        </w:rPr>
        <w:tab/>
        <w:t>The analysis of the papers identified that the approach of Elzey, who analysed and discussed the subject with a wide range of sources, and a minimal use of quotes, offered a better flow of reading in comparison to the Graubard paper.  Both authors accomplished their intention of the papers of theoretical analysis through</w:t>
      </w:r>
      <w:r>
        <w:rPr>
          <w:rFonts w:ascii="Palatino" w:hAnsi="Palatino"/>
          <w:sz w:val="22"/>
          <w:szCs w:val="22"/>
          <w:rtl w:val="0"/>
          <w:lang w:val="en-US"/>
        </w:rPr>
        <w:t xml:space="preserve"> a broad range of literature, although Graubard covered a wider historical period.</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cs="Palatino" w:hAnsi="Palatino" w:eastAsia="Palatino"/>
          <w:sz w:val="22"/>
          <w:szCs w:val="22"/>
          <w:rtl w:val="0"/>
        </w:rPr>
        <w:tab/>
        <w:t xml:space="preserve">The final main finding concerned the bias and emotional approach made by Graubard, which could be contrasted with the neutral approach in the Elzey paper. The language in the Graubard paper was occasionally disrupting the comprehension of the paper, and it could be argued that misinterpretation, or a 65-year </w:t>
      </w:r>
      <w:r>
        <w:rPr>
          <w:rFonts w:ascii="Palatino" w:hAnsi="Palatino"/>
          <w:sz w:val="22"/>
          <w:szCs w:val="22"/>
          <w:rtl w:val="0"/>
          <w:lang w:val="pt-PT"/>
        </w:rPr>
        <w:t xml:space="preserve">cultural </w:t>
      </w:r>
      <w:r>
        <w:rPr>
          <w:rFonts w:ascii="Palatino" w:hAnsi="Palatino"/>
          <w:sz w:val="22"/>
          <w:szCs w:val="22"/>
          <w:rtl w:val="0"/>
          <w:lang w:val="en-US"/>
        </w:rPr>
        <w:t>change in the manner of writing, could be considered in relation to the use of language.</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cs="Palatino" w:hAnsi="Palatino" w:eastAsia="Palatino"/>
          <w:sz w:val="22"/>
          <w:szCs w:val="22"/>
        </w:rPr>
        <w:tab/>
      </w:r>
      <w:r>
        <w:rPr>
          <w:rFonts w:ascii="Palatino" w:hAnsi="Palatino"/>
          <w:sz w:val="22"/>
          <w:szCs w:val="22"/>
          <w:rtl w:val="0"/>
          <w:lang w:val="en-US"/>
        </w:rPr>
        <w:t>The insights gained from this study may be of assistance to</w:t>
      </w:r>
      <w:r>
        <w:rPr>
          <w:rFonts w:ascii="Palatino" w:hAnsi="Palatino"/>
          <w:sz w:val="22"/>
          <w:szCs w:val="22"/>
          <w:rtl w:val="0"/>
          <w:lang w:val="en-US"/>
        </w:rPr>
        <w:t xml:space="preserve"> researchers wanting to use a theological methodology when analysing culture and cosmologies, </w:t>
      </w:r>
      <w:r>
        <w:rPr>
          <w:rFonts w:ascii="Palatino" w:hAnsi="Palatino"/>
          <w:sz w:val="22"/>
          <w:szCs w:val="22"/>
          <w:rtl w:val="0"/>
          <w:lang w:val="en-US"/>
        </w:rPr>
        <w:t>particularly with regard to the approach, structure and writing style. The in-depth sharing of knowledge presented by both Elzey and Graubard through their papers with the extensive use of sources are valuable works.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1"/>
          <w:bCs w:val="1"/>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1"/>
          <w:bCs w:val="1"/>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sectPr>
          <w:headerReference w:type="default" r:id="rId19"/>
          <w:footerReference w:type="default" r:id="rId20"/>
          <w:pgSz w:w="12240" w:h="15840" w:orient="portrait"/>
          <w:pgMar w:top="1134" w:right="1134" w:bottom="1134" w:left="1134" w:header="567" w:footer="720"/>
          <w:bidi w:val="0"/>
        </w:sectPr>
      </w:pPr>
    </w:p>
    <w:p>
      <w:pPr>
        <w:pStyle w:val="Body"/>
        <w:spacing w:before="0"/>
        <w:rPr>
          <w:rFonts w:ascii="Palatino" w:cs="Palatino" w:hAnsi="Palatino" w:eastAsia="Palatino"/>
          <w:b w:val="1"/>
          <w:bCs w:val="1"/>
          <w:sz w:val="22"/>
          <w:szCs w:val="22"/>
        </w:rPr>
      </w:pPr>
      <w:r>
        <w:rPr>
          <w:rFonts w:ascii="Palatino" w:hAnsi="Palatino"/>
          <w:b w:val="1"/>
          <w:bCs w:val="1"/>
          <w:sz w:val="22"/>
          <w:szCs w:val="22"/>
          <w:rtl w:val="0"/>
          <w:lang w:val="en-US"/>
        </w:rPr>
        <w:t>Bibliography</w:t>
      </w:r>
    </w:p>
    <w:p>
      <w:pPr>
        <w:pStyle w:val="Body"/>
        <w:spacing w:before="0"/>
        <w:rPr>
          <w:rFonts w:ascii="Palatino" w:cs="Palatino" w:hAnsi="Palatino" w:eastAsia="Palatino"/>
          <w:sz w:val="22"/>
          <w:szCs w:val="22"/>
        </w:rPr>
      </w:pPr>
    </w:p>
    <w:p>
      <w:pPr>
        <w:pStyle w:val="Body"/>
        <w:spacing w:before="0"/>
        <w:rPr>
          <w:rFonts w:ascii="Palatino" w:cs="Palatino" w:hAnsi="Palatino" w:eastAsia="Palatino"/>
          <w:sz w:val="22"/>
          <w:szCs w:val="22"/>
        </w:rPr>
      </w:pPr>
    </w:p>
    <w:p>
      <w:pPr>
        <w:pStyle w:val="Body"/>
        <w:spacing w:before="0"/>
        <w:rPr>
          <w:rFonts w:ascii="Palatino" w:cs="Palatino" w:hAnsi="Palatino" w:eastAsia="Palatino"/>
          <w:sz w:val="22"/>
          <w:szCs w:val="22"/>
        </w:rPr>
      </w:pPr>
      <w:r>
        <w:rPr>
          <w:rFonts w:ascii="Palatino" w:hAnsi="Palatino"/>
          <w:sz w:val="22"/>
          <w:szCs w:val="22"/>
          <w:rtl w:val="0"/>
          <w:lang w:val="en-US"/>
        </w:rPr>
        <w:t xml:space="preserve">Bell, </w:t>
      </w:r>
      <w:r>
        <w:rPr>
          <w:rFonts w:ascii="Palatino" w:hAnsi="Palatino"/>
          <w:sz w:val="22"/>
          <w:szCs w:val="22"/>
          <w:rtl w:val="0"/>
          <w:lang w:val="en-US"/>
        </w:rPr>
        <w:t>Judith</w:t>
      </w:r>
      <w:r>
        <w:rPr>
          <w:rFonts w:ascii="Palatino" w:hAnsi="Palatino"/>
          <w:sz w:val="22"/>
          <w:szCs w:val="22"/>
          <w:rtl w:val="0"/>
          <w:lang w:val="en-US"/>
        </w:rPr>
        <w:t xml:space="preserve"> and Stephen Waters, </w:t>
      </w:r>
      <w:r>
        <w:rPr>
          <w:rFonts w:ascii="Palatino" w:hAnsi="Palatino"/>
          <w:i w:val="1"/>
          <w:iCs w:val="1"/>
          <w:sz w:val="22"/>
          <w:szCs w:val="22"/>
          <w:rtl w:val="0"/>
          <w:lang w:val="en-US"/>
        </w:rPr>
        <w:t>Doing Your Research Project</w:t>
      </w:r>
      <w:r>
        <w:rPr>
          <w:rFonts w:ascii="Palatino" w:hAnsi="Palatino"/>
          <w:sz w:val="22"/>
          <w:szCs w:val="22"/>
          <w:rtl w:val="0"/>
          <w:lang w:val="en-US"/>
        </w:rPr>
        <w:t>, 7</w:t>
      </w:r>
      <w:r>
        <w:rPr>
          <w:rFonts w:ascii="Palatino" w:hAnsi="Palatino"/>
          <w:sz w:val="22"/>
          <w:szCs w:val="22"/>
          <w:vertAlign w:val="superscript"/>
          <w:rtl w:val="0"/>
          <w:lang w:val="en-US"/>
        </w:rPr>
        <w:t>th</w:t>
      </w:r>
      <w:r>
        <w:rPr>
          <w:rFonts w:ascii="Palatino" w:hAnsi="Palatino"/>
          <w:sz w:val="22"/>
          <w:szCs w:val="22"/>
          <w:rtl w:val="0"/>
          <w:lang w:val="en-US"/>
        </w:rPr>
        <w:t xml:space="preserve"> edn. (London: Open University Press, McGraw-Hill Education, 2018).</w:t>
      </w:r>
    </w:p>
    <w:p>
      <w:pPr>
        <w:pStyle w:val="Body"/>
        <w:spacing w:before="0"/>
        <w:rPr>
          <w:rFonts w:ascii="Palatino" w:cs="Palatino" w:hAnsi="Palatino" w:eastAsia="Palatino"/>
          <w:sz w:val="22"/>
          <w:szCs w:val="22"/>
        </w:rPr>
      </w:pPr>
    </w:p>
    <w:p>
      <w:pPr>
        <w:pStyle w:val="Footnote"/>
        <w:rPr>
          <w:sz w:val="22"/>
          <w:szCs w:val="22"/>
        </w:rPr>
      </w:pPr>
      <w:r>
        <w:rPr>
          <w:sz w:val="22"/>
          <w:szCs w:val="22"/>
          <w:rtl w:val="0"/>
          <w:lang w:val="en-US"/>
        </w:rPr>
        <w:t xml:space="preserve">Billington, Sandra, </w:t>
      </w:r>
      <w:r>
        <w:rPr>
          <w:sz w:val="22"/>
          <w:szCs w:val="22"/>
          <w:rtl w:val="0"/>
          <w:lang w:val="en-US"/>
        </w:rPr>
        <w:t>‘</w:t>
      </w:r>
      <w:r>
        <w:rPr>
          <w:sz w:val="22"/>
          <w:szCs w:val="22"/>
          <w:rtl w:val="0"/>
          <w:lang w:val="en-US"/>
        </w:rPr>
        <w:t xml:space="preserve">The Midsummer Solstice As It Was Or Was Not, Observed In Pagan Germany, Scadinavia and Anglo-Saxon England, </w:t>
      </w:r>
      <w:r>
        <w:rPr>
          <w:i w:val="1"/>
          <w:iCs w:val="1"/>
          <w:sz w:val="22"/>
          <w:szCs w:val="22"/>
          <w:rtl w:val="0"/>
          <w:lang w:val="en-US"/>
        </w:rPr>
        <w:t>Folklore</w:t>
      </w:r>
      <w:r>
        <w:rPr>
          <w:sz w:val="22"/>
          <w:szCs w:val="22"/>
          <w:rtl w:val="0"/>
          <w:lang w:val="en-US"/>
        </w:rPr>
        <w:t>, 119, 1, 2008, 41-17, p. 44 &lt;</w:t>
      </w:r>
      <w:r>
        <w:rPr>
          <w:sz w:val="22"/>
          <w:szCs w:val="22"/>
          <w:rtl w:val="0"/>
        </w:rPr>
        <w:t>https://www.jstor.org/stable/30035459</w:t>
      </w:r>
      <w:r>
        <w:rPr>
          <w:sz w:val="22"/>
          <w:szCs w:val="22"/>
          <w:rtl w:val="0"/>
          <w:lang w:val="en-US"/>
        </w:rPr>
        <w:t>&gt; [assessed 16th October 2021].</w:t>
      </w:r>
    </w:p>
    <w:p>
      <w:pPr>
        <w:pStyle w:val="Footnote"/>
        <w:rPr>
          <w:sz w:val="22"/>
          <w:szCs w:val="22"/>
        </w:rPr>
      </w:pPr>
    </w:p>
    <w:p>
      <w:pPr>
        <w:pStyle w:val="Footnote"/>
        <w:rPr>
          <w:sz w:val="22"/>
          <w:szCs w:val="22"/>
        </w:rPr>
      </w:pPr>
      <w:r>
        <w:rPr>
          <w:sz w:val="22"/>
          <w:szCs w:val="22"/>
          <w:rtl w:val="0"/>
          <w:lang w:val="en-US"/>
        </w:rPr>
        <w:t xml:space="preserve">Chanen, David. Obituaries </w:t>
      </w:r>
      <w:r>
        <w:rPr>
          <w:sz w:val="22"/>
          <w:szCs w:val="22"/>
          <w:rtl w:val="0"/>
          <w:lang w:val="en-US"/>
        </w:rPr>
        <w:t>‘</w:t>
      </w:r>
      <w:r>
        <w:rPr>
          <w:sz w:val="22"/>
          <w:szCs w:val="22"/>
          <w:rtl w:val="0"/>
          <w:lang w:val="en-US"/>
        </w:rPr>
        <w:t xml:space="preserve">Mark Graubard professor emeritus at </w:t>
      </w:r>
      <w:r>
        <w:rPr>
          <w:sz w:val="22"/>
          <w:szCs w:val="22"/>
          <w:rtl w:val="0"/>
          <w:lang w:val="en-US"/>
        </w:rPr>
        <w:t>‘</w:t>
      </w:r>
      <w:r>
        <w:rPr>
          <w:sz w:val="22"/>
          <w:szCs w:val="22"/>
          <w:rtl w:val="0"/>
          <w:lang w:val="en-US"/>
        </w:rPr>
        <w:t>U</w:t>
      </w:r>
      <w:r>
        <w:rPr>
          <w:sz w:val="22"/>
          <w:szCs w:val="22"/>
          <w:rtl w:val="0"/>
          <w:lang w:val="en-US"/>
        </w:rPr>
        <w:t xml:space="preserve">’ </w:t>
      </w:r>
      <w:r>
        <w:rPr>
          <w:sz w:val="22"/>
          <w:szCs w:val="22"/>
          <w:rtl w:val="0"/>
          <w:lang w:val="en-US"/>
        </w:rPr>
        <w:t xml:space="preserve">dies at 88, </w:t>
      </w:r>
      <w:r>
        <w:rPr>
          <w:sz w:val="22"/>
          <w:szCs w:val="22"/>
          <w:rtl w:val="0"/>
          <w:lang w:val="en-US"/>
        </w:rPr>
        <w:t>Star Tribune Newspaper,</w:t>
      </w:r>
      <w:r>
        <w:rPr>
          <w:sz w:val="22"/>
          <w:szCs w:val="22"/>
          <w:rtl w:val="0"/>
          <w:lang w:val="en-US"/>
        </w:rPr>
        <w:t xml:space="preserve"> Tuesday 3rd November 1992, p.48 &lt;</w:t>
      </w:r>
      <w:r>
        <w:rPr>
          <w:sz w:val="22"/>
          <w:szCs w:val="22"/>
          <w:rtl w:val="0"/>
        </w:rPr>
        <w:t>https://www.newspapers.com/image/?clipping_id=9923222&amp;fcfToken=eyJhbGciOiJIUzI1NiIsInR5cCI6IkpXVCJ9.eyJmcmVlLXZpZXctaWQiOjE5MzA1NDU3NiwiaWF0IjoxNjM1MjQ3NDQ1LCJleHAiOjE2MzUzMzM4NDV9.jEmJMCInWY4a18PiYWu3o9PRyJouDh8fPpZnfj9H0jg</w:t>
      </w:r>
      <w:r>
        <w:rPr>
          <w:sz w:val="22"/>
          <w:szCs w:val="22"/>
          <w:rtl w:val="0"/>
          <w:lang w:val="en-US"/>
        </w:rPr>
        <w:t>&gt; [assessed 8th October 2021].</w:t>
      </w:r>
    </w:p>
    <w:p>
      <w:pPr>
        <w:pStyle w:val="Body"/>
        <w:spacing w:before="0"/>
        <w:rPr>
          <w:rFonts w:ascii="Palatino" w:cs="Palatino" w:hAnsi="Palatino" w:eastAsia="Palatino"/>
          <w:sz w:val="22"/>
          <w:szCs w:val="22"/>
        </w:rPr>
      </w:pPr>
    </w:p>
    <w:p>
      <w:pPr>
        <w:pStyle w:val="Footnote"/>
        <w:rPr>
          <w:sz w:val="22"/>
          <w:szCs w:val="22"/>
        </w:rPr>
      </w:pPr>
      <w:r>
        <w:rPr>
          <w:sz w:val="22"/>
          <w:szCs w:val="22"/>
          <w:rtl w:val="0"/>
          <w:lang w:val="en-US"/>
        </w:rPr>
        <w:t xml:space="preserve">Eagleton, Terry, </w:t>
      </w:r>
      <w:r>
        <w:rPr>
          <w:i w:val="1"/>
          <w:iCs w:val="1"/>
          <w:sz w:val="22"/>
          <w:szCs w:val="22"/>
          <w:rtl w:val="0"/>
          <w:lang w:val="en-US"/>
        </w:rPr>
        <w:t>Culture</w:t>
      </w:r>
      <w:r>
        <w:rPr>
          <w:sz w:val="22"/>
          <w:szCs w:val="22"/>
          <w:rtl w:val="0"/>
          <w:lang w:val="en-US"/>
        </w:rPr>
        <w:t>, paperback edition (New Haven and London: Yale University Press).</w:t>
      </w:r>
    </w:p>
    <w:p>
      <w:pPr>
        <w:pStyle w:val="Body"/>
        <w:spacing w:before="0"/>
        <w:rPr>
          <w:rFonts w:ascii="Palatino" w:cs="Palatino" w:hAnsi="Palatino" w:eastAsia="Palatino"/>
          <w:sz w:val="22"/>
          <w:szCs w:val="22"/>
        </w:rPr>
      </w:pPr>
    </w:p>
    <w:p>
      <w:pPr>
        <w:pStyle w:val="Body"/>
        <w:spacing w:before="0"/>
        <w:rPr>
          <w:rFonts w:ascii="Palatino" w:cs="Palatino" w:hAnsi="Palatino" w:eastAsia="Palatino"/>
          <w:sz w:val="22"/>
          <w:szCs w:val="22"/>
        </w:rPr>
      </w:pPr>
      <w:r>
        <w:rPr>
          <w:rFonts w:ascii="Palatino" w:hAnsi="Palatino"/>
          <w:sz w:val="22"/>
          <w:szCs w:val="22"/>
          <w:rtl w:val="0"/>
        </w:rPr>
        <w:t xml:space="preserve">Elzey, Wayne, </w:t>
      </w:r>
      <w:r>
        <w:rPr>
          <w:rFonts w:ascii="Palatino" w:hAnsi="Palatino" w:hint="default"/>
          <w:sz w:val="22"/>
          <w:szCs w:val="22"/>
          <w:rtl w:val="1"/>
        </w:rPr>
        <w:t>‘</w:t>
      </w:r>
      <w:r>
        <w:rPr>
          <w:rFonts w:ascii="Palatino" w:hAnsi="Palatino"/>
          <w:sz w:val="22"/>
          <w:szCs w:val="22"/>
          <w:rtl w:val="0"/>
          <w:lang w:val="en-US"/>
        </w:rPr>
        <w:t>The Nahua Myth of the Suns: History and Cosmology in Pre-Hispanic Mexican Religions</w:t>
      </w:r>
      <w:r>
        <w:rPr>
          <w:rFonts w:ascii="Palatino" w:hAnsi="Palatino" w:hint="default"/>
          <w:sz w:val="22"/>
          <w:szCs w:val="22"/>
          <w:rtl w:val="1"/>
        </w:rPr>
        <w:t>’</w:t>
      </w:r>
      <w:r>
        <w:rPr>
          <w:rFonts w:ascii="Palatino" w:hAnsi="Palatino"/>
          <w:sz w:val="22"/>
          <w:szCs w:val="22"/>
          <w:rtl w:val="0"/>
        </w:rPr>
        <w:t xml:space="preserve">, </w:t>
      </w:r>
      <w:r>
        <w:rPr>
          <w:rFonts w:ascii="Palatino" w:hAnsi="Palatino"/>
          <w:i w:val="1"/>
          <w:iCs w:val="1"/>
          <w:sz w:val="22"/>
          <w:szCs w:val="22"/>
          <w:rtl w:val="0"/>
          <w:lang w:val="de-DE"/>
        </w:rPr>
        <w:t>Numen</w:t>
      </w:r>
      <w:r>
        <w:rPr>
          <w:rFonts w:ascii="Palatino" w:hAnsi="Palatino"/>
          <w:sz w:val="22"/>
          <w:szCs w:val="22"/>
          <w:rtl w:val="0"/>
        </w:rPr>
        <w:t xml:space="preserve"> 23:2</w:t>
      </w:r>
      <w:r>
        <w:rPr>
          <w:rFonts w:ascii="Palatino" w:hAnsi="Palatino"/>
          <w:sz w:val="22"/>
          <w:szCs w:val="22"/>
          <w:rtl w:val="0"/>
          <w:lang w:val="en-US"/>
        </w:rPr>
        <w:t xml:space="preserve">, </w:t>
      </w:r>
      <w:r>
        <w:rPr>
          <w:rFonts w:ascii="Palatino" w:hAnsi="Palatino"/>
          <w:sz w:val="22"/>
          <w:szCs w:val="22"/>
          <w:rtl w:val="0"/>
        </w:rPr>
        <w:t>1976, 114-135</w:t>
      </w:r>
      <w:r>
        <w:rPr>
          <w:rFonts w:ascii="Palatino" w:hAnsi="Palatino"/>
          <w:sz w:val="22"/>
          <w:szCs w:val="22"/>
          <w:rtl w:val="0"/>
          <w:lang w:val="en-US"/>
        </w:rPr>
        <w:t xml:space="preserve">  &lt;</w:t>
      </w:r>
      <w:r>
        <w:rPr>
          <w:rFonts w:ascii="Palatino" w:cs="Palatino" w:hAnsi="Palatino" w:eastAsia="Palatino"/>
          <w:sz w:val="22"/>
          <w:szCs w:val="22"/>
        </w:rPr>
        <w:fldChar w:fldCharType="begin" w:fldLock="0"/>
      </w:r>
      <w:r>
        <w:rPr>
          <w:rFonts w:ascii="Palatino" w:cs="Palatino" w:hAnsi="Palatino" w:eastAsia="Palatino"/>
          <w:sz w:val="22"/>
          <w:szCs w:val="22"/>
        </w:rPr>
        <w:instrText xml:space="preserve"> HYPERLINK "https://doi.org/10.2307/3269663"</w:instrText>
      </w:r>
      <w:r>
        <w:rPr>
          <w:rFonts w:ascii="Palatino" w:cs="Palatino" w:hAnsi="Palatino" w:eastAsia="Palatino"/>
          <w:sz w:val="22"/>
          <w:szCs w:val="22"/>
        </w:rPr>
        <w:fldChar w:fldCharType="separate" w:fldLock="0"/>
      </w:r>
      <w:r>
        <w:rPr>
          <w:rFonts w:ascii="Palatino" w:hAnsi="Palatino"/>
          <w:sz w:val="22"/>
          <w:szCs w:val="22"/>
          <w:rtl w:val="0"/>
          <w:lang w:val="en-US"/>
        </w:rPr>
        <w:t>https://doi.org/10.2307/3269663</w:t>
      </w:r>
      <w:r>
        <w:rPr>
          <w:rFonts w:ascii="Palatino" w:cs="Palatino" w:hAnsi="Palatino" w:eastAsia="Palatino"/>
          <w:sz w:val="22"/>
          <w:szCs w:val="22"/>
        </w:rPr>
        <w:fldChar w:fldCharType="end" w:fldLock="0"/>
      </w:r>
      <w:r>
        <w:rPr>
          <w:rFonts w:ascii="Palatino" w:hAnsi="Palatino"/>
          <w:sz w:val="22"/>
          <w:szCs w:val="22"/>
          <w:rtl w:val="0"/>
          <w:lang w:val="en-US"/>
        </w:rPr>
        <w:t>&gt; [assessed 26th October 2021].</w:t>
      </w:r>
    </w:p>
    <w:p>
      <w:pPr>
        <w:pStyle w:val="Body"/>
        <w:spacing w:before="0"/>
        <w:rPr>
          <w:rFonts w:ascii="Palatino" w:cs="Palatino" w:hAnsi="Palatino" w:eastAsia="Palatino"/>
          <w:sz w:val="22"/>
          <w:szCs w:val="22"/>
        </w:rPr>
      </w:pPr>
    </w:p>
    <w:p>
      <w:pPr>
        <w:pStyle w:val="Body"/>
        <w:spacing w:before="0"/>
        <w:rPr>
          <w:rFonts w:ascii="Palatino" w:cs="Palatino" w:hAnsi="Palatino" w:eastAsia="Palatino"/>
          <w:sz w:val="22"/>
          <w:szCs w:val="22"/>
        </w:rPr>
      </w:pPr>
      <w:r>
        <w:rPr>
          <w:rFonts w:ascii="Palatino" w:hAnsi="Palatino"/>
          <w:sz w:val="22"/>
          <w:szCs w:val="22"/>
          <w:rtl w:val="0"/>
          <w:lang w:val="de-DE"/>
        </w:rPr>
        <w:t xml:space="preserve">Graubard, Mark, </w:t>
      </w:r>
      <w:r>
        <w:rPr>
          <w:rFonts w:ascii="Palatino" w:hAnsi="Palatino" w:hint="default"/>
          <w:sz w:val="22"/>
          <w:szCs w:val="22"/>
          <w:rtl w:val="1"/>
        </w:rPr>
        <w:t>‘</w:t>
      </w:r>
      <w:r>
        <w:rPr>
          <w:rFonts w:ascii="Palatino" w:hAnsi="Palatino"/>
          <w:sz w:val="22"/>
          <w:szCs w:val="22"/>
          <w:rtl w:val="0"/>
          <w:lang w:val="en-US"/>
        </w:rPr>
        <w:t>Astrology's Demise and Its Bearing on the Decline and Death of Beliefs</w:t>
      </w:r>
      <w:r>
        <w:rPr>
          <w:rFonts w:ascii="Palatino" w:hAnsi="Palatino" w:hint="default"/>
          <w:sz w:val="22"/>
          <w:szCs w:val="22"/>
          <w:rtl w:val="1"/>
        </w:rPr>
        <w:t>’</w:t>
      </w:r>
      <w:r>
        <w:rPr>
          <w:rFonts w:ascii="Palatino" w:hAnsi="Palatino"/>
          <w:sz w:val="22"/>
          <w:szCs w:val="22"/>
          <w:rtl w:val="0"/>
        </w:rPr>
        <w:t xml:space="preserve">, </w:t>
      </w:r>
      <w:r>
        <w:rPr>
          <w:rFonts w:ascii="Palatino" w:hAnsi="Palatino"/>
          <w:i w:val="1"/>
          <w:iCs w:val="1"/>
          <w:sz w:val="22"/>
          <w:szCs w:val="22"/>
          <w:rtl w:val="0"/>
        </w:rPr>
        <w:t>Osiris</w:t>
      </w:r>
      <w:r>
        <w:rPr>
          <w:rFonts w:ascii="Palatino" w:hAnsi="Palatino"/>
          <w:sz w:val="22"/>
          <w:szCs w:val="22"/>
          <w:rtl w:val="0"/>
        </w:rPr>
        <w:t xml:space="preserve"> 13, 1958,</w:t>
      </w:r>
      <w:r>
        <w:rPr>
          <w:rFonts w:ascii="Palatino" w:hAnsi="Palatino"/>
          <w:sz w:val="22"/>
          <w:szCs w:val="22"/>
          <w:rtl w:val="0"/>
          <w:lang w:val="en-US"/>
        </w:rPr>
        <w:t xml:space="preserve"> </w:t>
      </w:r>
      <w:r>
        <w:rPr>
          <w:rFonts w:ascii="Palatino" w:hAnsi="Palatino"/>
          <w:sz w:val="22"/>
          <w:szCs w:val="22"/>
          <w:rtl w:val="0"/>
        </w:rPr>
        <w:t>210</w:t>
      </w:r>
      <w:r>
        <w:rPr>
          <w:rFonts w:ascii="Palatino" w:hAnsi="Palatino" w:hint="default"/>
          <w:sz w:val="22"/>
          <w:szCs w:val="22"/>
          <w:rtl w:val="0"/>
        </w:rPr>
        <w:t>–</w:t>
      </w:r>
      <w:r>
        <w:rPr>
          <w:rFonts w:ascii="Palatino" w:hAnsi="Palatino"/>
          <w:sz w:val="22"/>
          <w:szCs w:val="22"/>
          <w:rtl w:val="0"/>
        </w:rPr>
        <w:t>261</w:t>
      </w:r>
      <w:r>
        <w:rPr>
          <w:rFonts w:ascii="Palatino" w:hAnsi="Palatino"/>
          <w:sz w:val="22"/>
          <w:szCs w:val="22"/>
          <w:rtl w:val="0"/>
          <w:lang w:val="en-US"/>
        </w:rPr>
        <w:t xml:space="preserve"> </w:t>
      </w:r>
      <w:r>
        <w:rPr>
          <w:rFonts w:ascii="Palatino" w:hAnsi="Palatino"/>
          <w:sz w:val="22"/>
          <w:szCs w:val="22"/>
          <w:rtl w:val="0"/>
          <w:lang w:val="en-US"/>
        </w:rPr>
        <w:t>&lt;https://www.jstor.org/stable/301650&gt; [assessed 26</w:t>
      </w:r>
      <w:r>
        <w:rPr>
          <w:rFonts w:ascii="Palatino" w:hAnsi="Palatino"/>
          <w:sz w:val="22"/>
          <w:szCs w:val="22"/>
          <w:rtl w:val="0"/>
          <w:lang w:val="en-US"/>
        </w:rPr>
        <w:t>th October 202</w:t>
      </w:r>
      <w:r>
        <w:rPr>
          <w:rFonts w:ascii="Palatino" w:hAnsi="Palatino"/>
          <w:sz w:val="22"/>
          <w:szCs w:val="22"/>
          <w:rtl w:val="0"/>
          <w:lang w:val="pt-PT"/>
        </w:rPr>
        <w:t>1].</w:t>
      </w:r>
    </w:p>
    <w:p>
      <w:pPr>
        <w:pStyle w:val="Body"/>
        <w:spacing w:before="0"/>
        <w:rPr>
          <w:rFonts w:ascii="Palatino" w:cs="Palatino" w:hAnsi="Palatino" w:eastAsia="Palatino"/>
          <w:sz w:val="22"/>
          <w:szCs w:val="22"/>
        </w:rPr>
      </w:pPr>
    </w:p>
    <w:p>
      <w:pPr>
        <w:pStyle w:val="Footnote"/>
        <w:rPr>
          <w:sz w:val="22"/>
          <w:szCs w:val="22"/>
        </w:rPr>
      </w:pPr>
      <w:r>
        <w:rPr>
          <w:sz w:val="22"/>
          <w:szCs w:val="22"/>
          <w:rtl w:val="0"/>
          <w:lang w:val="en-US"/>
        </w:rPr>
        <w:t xml:space="preserve">Graubard, Mark, </w:t>
      </w:r>
      <w:r>
        <w:rPr>
          <w:sz w:val="22"/>
          <w:szCs w:val="22"/>
          <w:rtl w:val="0"/>
          <w:lang w:val="en-US"/>
        </w:rPr>
        <w:t>‘</w:t>
      </w:r>
      <w:r>
        <w:rPr>
          <w:sz w:val="22"/>
          <w:szCs w:val="22"/>
          <w:rtl w:val="0"/>
          <w:lang w:val="en-US"/>
        </w:rPr>
        <w:t>Some Contemporary Observations on Ancient Superstitions</w:t>
      </w:r>
      <w:r>
        <w:rPr>
          <w:sz w:val="22"/>
          <w:szCs w:val="22"/>
          <w:rtl w:val="0"/>
          <w:lang w:val="en-US"/>
        </w:rPr>
        <w:t>’</w:t>
      </w:r>
      <w:r>
        <w:rPr>
          <w:sz w:val="22"/>
          <w:szCs w:val="22"/>
          <w:rtl w:val="0"/>
          <w:lang w:val="en-US"/>
        </w:rPr>
        <w:t xml:space="preserve">, </w:t>
      </w:r>
      <w:r>
        <w:rPr>
          <w:i w:val="1"/>
          <w:iCs w:val="1"/>
          <w:sz w:val="22"/>
          <w:szCs w:val="22"/>
          <w:rtl w:val="0"/>
          <w:lang w:val="en-US"/>
        </w:rPr>
        <w:t>The Journal of American Folklore</w:t>
      </w:r>
      <w:r>
        <w:rPr>
          <w:sz w:val="22"/>
          <w:szCs w:val="22"/>
          <w:rtl w:val="0"/>
          <w:lang w:val="en-US"/>
        </w:rPr>
        <w:t>, 59, 232, 1946, 124-133 &lt;</w:t>
      </w:r>
      <w:r>
        <w:rPr>
          <w:sz w:val="22"/>
          <w:szCs w:val="22"/>
          <w:rtl w:val="0"/>
          <w:lang w:val="en-US"/>
        </w:rPr>
        <w:t>https://doi.org/10.2307/536467</w:t>
      </w:r>
      <w:r>
        <w:rPr>
          <w:sz w:val="22"/>
          <w:szCs w:val="22"/>
          <w:rtl w:val="0"/>
          <w:lang w:val="en-US"/>
        </w:rPr>
        <w:t>&gt; [assessed 16th October 2021].</w:t>
      </w:r>
    </w:p>
    <w:p>
      <w:pPr>
        <w:pStyle w:val="Footnote"/>
        <w:rPr>
          <w:sz w:val="22"/>
          <w:szCs w:val="22"/>
        </w:rPr>
      </w:pPr>
    </w:p>
    <w:p>
      <w:pPr>
        <w:pStyle w:val="Body"/>
        <w:spacing w:before="0"/>
        <w:rPr>
          <w:rFonts w:ascii="Palatino" w:cs="Palatino" w:hAnsi="Palatino" w:eastAsia="Palatino"/>
          <w:sz w:val="22"/>
          <w:szCs w:val="22"/>
        </w:rPr>
      </w:pPr>
      <w:r>
        <w:rPr>
          <w:rFonts w:ascii="Palatino" w:hAnsi="Palatino"/>
          <w:sz w:val="22"/>
          <w:szCs w:val="22"/>
          <w:rtl w:val="0"/>
          <w:lang w:val="en-US"/>
        </w:rPr>
        <w:t xml:space="preserve">Hennick, </w:t>
      </w:r>
      <w:r>
        <w:rPr>
          <w:rFonts w:ascii="Palatino" w:hAnsi="Palatino"/>
          <w:sz w:val="22"/>
          <w:szCs w:val="22"/>
          <w:rtl w:val="0"/>
          <w:lang w:val="fr-FR"/>
        </w:rPr>
        <w:t>Monique</w:t>
      </w:r>
      <w:r>
        <w:rPr>
          <w:rFonts w:ascii="Palatino" w:hAnsi="Palatino"/>
          <w:sz w:val="22"/>
          <w:szCs w:val="22"/>
          <w:rtl w:val="0"/>
          <w:lang w:val="en-US"/>
        </w:rPr>
        <w:t xml:space="preserve">, Inge Hutter and Ajay Bailey, </w:t>
      </w:r>
      <w:r>
        <w:rPr>
          <w:rFonts w:ascii="Palatino" w:hAnsi="Palatino"/>
          <w:i w:val="1"/>
          <w:iCs w:val="1"/>
          <w:sz w:val="22"/>
          <w:szCs w:val="22"/>
          <w:rtl w:val="0"/>
          <w:lang w:val="en-US"/>
        </w:rPr>
        <w:t>Qualitative Research Methods</w:t>
      </w:r>
      <w:r>
        <w:rPr>
          <w:rFonts w:ascii="Palatino" w:hAnsi="Palatino"/>
          <w:sz w:val="22"/>
          <w:szCs w:val="22"/>
          <w:rtl w:val="0"/>
          <w:lang w:val="en-US"/>
        </w:rPr>
        <w:t>, 2</w:t>
      </w:r>
      <w:r>
        <w:rPr>
          <w:rFonts w:ascii="Palatino" w:hAnsi="Palatino"/>
          <w:sz w:val="22"/>
          <w:szCs w:val="22"/>
          <w:vertAlign w:val="superscript"/>
          <w:rtl w:val="0"/>
          <w:lang w:val="en-US"/>
        </w:rPr>
        <w:t>nd</w:t>
      </w:r>
      <w:r>
        <w:rPr>
          <w:rFonts w:ascii="Palatino" w:hAnsi="Palatino"/>
          <w:sz w:val="22"/>
          <w:szCs w:val="22"/>
          <w:rtl w:val="0"/>
          <w:lang w:val="en-US"/>
        </w:rPr>
        <w:t xml:space="preserve"> edn. (London: Sage, 2020).</w:t>
      </w:r>
    </w:p>
    <w:p>
      <w:pPr>
        <w:pStyle w:val="Footnote"/>
        <w:rPr>
          <w:sz w:val="22"/>
          <w:szCs w:val="22"/>
        </w:rPr>
      </w:pPr>
    </w:p>
    <w:p>
      <w:pPr>
        <w:pStyle w:val="Footnote"/>
        <w:rPr>
          <w:sz w:val="22"/>
          <w:szCs w:val="22"/>
        </w:rPr>
      </w:pPr>
      <w:r>
        <w:rPr>
          <w:sz w:val="22"/>
          <w:szCs w:val="22"/>
          <w:rtl w:val="0"/>
          <w:lang w:val="en-US"/>
        </w:rPr>
        <w:t xml:space="preserve">Legacy.com. Wayne Elzey </w:t>
      </w:r>
      <w:r>
        <w:rPr>
          <w:sz w:val="22"/>
          <w:szCs w:val="22"/>
          <w:rtl w:val="0"/>
          <w:lang w:val="en-US"/>
        </w:rPr>
        <w:t>News Death Notice</w:t>
      </w:r>
      <w:r>
        <w:rPr>
          <w:sz w:val="22"/>
          <w:szCs w:val="22"/>
          <w:rtl w:val="0"/>
          <w:lang w:val="en-US"/>
        </w:rPr>
        <w:t>, &lt;</w:t>
      </w:r>
      <w:r>
        <w:rPr>
          <w:sz w:val="22"/>
          <w:szCs w:val="22"/>
        </w:rPr>
        <w:fldChar w:fldCharType="begin" w:fldLock="0"/>
      </w:r>
      <w:r>
        <w:rPr>
          <w:sz w:val="22"/>
          <w:szCs w:val="22"/>
        </w:rPr>
        <w:instrText xml:space="preserve"> HYPERLINK "https://www.legacy.com/us/obituaries/hamilton/name/wayne-elzey-obituary?pid=156767141"</w:instrText>
      </w:r>
      <w:r>
        <w:rPr>
          <w:sz w:val="22"/>
          <w:szCs w:val="22"/>
        </w:rPr>
        <w:fldChar w:fldCharType="separate" w:fldLock="0"/>
      </w:r>
      <w:r>
        <w:rPr>
          <w:sz w:val="22"/>
          <w:szCs w:val="22"/>
          <w:rtl w:val="0"/>
          <w:lang w:val="en-US"/>
        </w:rPr>
        <w:t>https://www.legacy.com/us/obituaries/hamilton/name/wayne-elzey-obituary?pid=156767141</w:t>
      </w:r>
      <w:r>
        <w:rPr>
          <w:sz w:val="22"/>
          <w:szCs w:val="22"/>
        </w:rPr>
        <w:fldChar w:fldCharType="end" w:fldLock="0"/>
      </w:r>
      <w:r>
        <w:rPr>
          <w:sz w:val="22"/>
          <w:szCs w:val="22"/>
          <w:rtl w:val="0"/>
          <w:lang w:val="en-US"/>
        </w:rPr>
        <w:t>&gt; [</w:t>
      </w:r>
      <w:r>
        <w:rPr>
          <w:sz w:val="22"/>
          <w:szCs w:val="22"/>
          <w:rtl w:val="0"/>
          <w:lang w:val="en-US"/>
        </w:rPr>
        <w:t xml:space="preserve">assessed 8th </w:t>
      </w:r>
      <w:r>
        <w:rPr>
          <w:sz w:val="22"/>
          <w:szCs w:val="22"/>
          <w:rtl w:val="0"/>
          <w:lang w:val="en-US"/>
        </w:rPr>
        <w:t xml:space="preserve">October </w:t>
      </w:r>
      <w:r>
        <w:rPr>
          <w:sz w:val="22"/>
          <w:szCs w:val="22"/>
          <w:rtl w:val="0"/>
          <w:lang w:val="en-US"/>
        </w:rPr>
        <w:t>2021</w:t>
      </w:r>
      <w:r>
        <w:rPr>
          <w:sz w:val="22"/>
          <w:szCs w:val="22"/>
          <w:rtl w:val="0"/>
          <w:lang w:val="en-US"/>
        </w:rPr>
        <w:t>].</w:t>
      </w:r>
    </w:p>
    <w:p>
      <w:pPr>
        <w:pStyle w:val="Footnote"/>
        <w:rPr>
          <w:sz w:val="22"/>
          <w:szCs w:val="22"/>
        </w:rPr>
      </w:pPr>
    </w:p>
    <w:p>
      <w:pPr>
        <w:pStyle w:val="Footnote"/>
        <w:rPr>
          <w:sz w:val="22"/>
          <w:szCs w:val="22"/>
        </w:rPr>
      </w:pPr>
      <w:r>
        <w:rPr>
          <w:sz w:val="22"/>
          <w:szCs w:val="22"/>
          <w:rtl w:val="0"/>
          <w:lang w:val="en-US"/>
        </w:rPr>
        <w:t xml:space="preserve">Mavrogenis, Andreas F., Quaile, Andrew &amp; Scarlat, Marius M., </w:t>
      </w:r>
      <w:r>
        <w:rPr>
          <w:sz w:val="22"/>
          <w:szCs w:val="22"/>
          <w:rtl w:val="0"/>
          <w:lang w:val="en-US"/>
        </w:rPr>
        <w:t>‘</w:t>
      </w:r>
      <w:r>
        <w:rPr>
          <w:sz w:val="22"/>
          <w:szCs w:val="22"/>
          <w:rtl w:val="0"/>
          <w:lang w:val="en-US"/>
        </w:rPr>
        <w:t>The Good, The Bad And The Rude Peer-Review</w:t>
      </w:r>
      <w:r>
        <w:rPr>
          <w:sz w:val="22"/>
          <w:szCs w:val="22"/>
          <w:rtl w:val="0"/>
          <w:lang w:val="en-US"/>
        </w:rPr>
        <w:t>’</w:t>
      </w:r>
      <w:r>
        <w:rPr>
          <w:sz w:val="22"/>
          <w:szCs w:val="22"/>
          <w:rtl w:val="0"/>
          <w:lang w:val="en-US"/>
        </w:rPr>
        <w:t xml:space="preserve">, </w:t>
      </w:r>
      <w:r>
        <w:rPr>
          <w:i w:val="1"/>
          <w:iCs w:val="1"/>
          <w:sz w:val="22"/>
          <w:szCs w:val="22"/>
          <w:rtl w:val="0"/>
          <w:lang w:val="en-US"/>
        </w:rPr>
        <w:t>International Orthopaedics</w:t>
      </w:r>
      <w:r>
        <w:rPr>
          <w:sz w:val="22"/>
          <w:szCs w:val="22"/>
          <w:rtl w:val="0"/>
          <w:lang w:val="en-US"/>
        </w:rPr>
        <w:t xml:space="preserve"> 44, 2020, 413-415 &lt;</w:t>
      </w:r>
      <w:r>
        <w:rPr>
          <w:sz w:val="22"/>
          <w:szCs w:val="22"/>
          <w:rtl w:val="0"/>
          <w:lang w:val="en-US"/>
        </w:rPr>
        <w:t>https://doi.org/10.1007/s00264-020-04504-1</w:t>
      </w:r>
      <w:r>
        <w:rPr>
          <w:sz w:val="22"/>
          <w:szCs w:val="22"/>
          <w:rtl w:val="0"/>
          <w:lang w:val="en-US"/>
        </w:rPr>
        <w:t>&gt; [assessed 1st November 2021].</w:t>
      </w:r>
    </w:p>
    <w:p>
      <w:pPr>
        <w:pStyle w:val="Body"/>
        <w:spacing w:before="0"/>
        <w:rPr>
          <w:rFonts w:ascii="Palatino" w:cs="Palatino" w:hAnsi="Palatino" w:eastAsia="Palatino"/>
          <w:sz w:val="22"/>
          <w:szCs w:val="22"/>
        </w:rPr>
      </w:pPr>
    </w:p>
    <w:p>
      <w:pPr>
        <w:pStyle w:val="Footnote"/>
        <w:rPr>
          <w:sz w:val="22"/>
          <w:szCs w:val="22"/>
        </w:rPr>
      </w:pPr>
      <w:r>
        <w:rPr>
          <w:sz w:val="22"/>
          <w:szCs w:val="22"/>
          <w:rtl w:val="0"/>
          <w:lang w:val="en-US"/>
        </w:rPr>
        <w:t xml:space="preserve">Milbrath, Susan, </w:t>
      </w:r>
      <w:r>
        <w:rPr>
          <w:sz w:val="22"/>
          <w:szCs w:val="22"/>
          <w:rtl w:val="0"/>
          <w:lang w:val="en-US"/>
        </w:rPr>
        <w:t>‘</w:t>
      </w:r>
      <w:r>
        <w:rPr>
          <w:sz w:val="22"/>
          <w:szCs w:val="22"/>
          <w:rtl w:val="0"/>
          <w:lang w:val="en-US"/>
        </w:rPr>
        <w:t>Eclipse Imagery On The Aztec Calendar Stone</w:t>
      </w:r>
      <w:r>
        <w:rPr>
          <w:sz w:val="22"/>
          <w:szCs w:val="22"/>
          <w:rtl w:val="0"/>
          <w:lang w:val="en-US"/>
        </w:rPr>
        <w:t>’</w:t>
      </w:r>
      <w:r>
        <w:rPr>
          <w:sz w:val="22"/>
          <w:szCs w:val="22"/>
          <w:rtl w:val="0"/>
          <w:lang w:val="en-US"/>
        </w:rPr>
        <w:t xml:space="preserve">, </w:t>
      </w:r>
      <w:r>
        <w:rPr>
          <w:i w:val="1"/>
          <w:iCs w:val="1"/>
          <w:sz w:val="22"/>
          <w:szCs w:val="22"/>
          <w:rtl w:val="0"/>
          <w:lang w:val="en-US"/>
        </w:rPr>
        <w:t>Mexicon</w:t>
      </w:r>
      <w:r>
        <w:rPr>
          <w:sz w:val="22"/>
          <w:szCs w:val="22"/>
          <w:rtl w:val="0"/>
          <w:lang w:val="en-US"/>
        </w:rPr>
        <w:t>, 39, 1, 2017, p. 16-17 &lt;</w:t>
      </w:r>
      <w:r>
        <w:rPr>
          <w:sz w:val="22"/>
          <w:szCs w:val="22"/>
          <w:rtl w:val="0"/>
        </w:rPr>
        <w:t>https://www.jstor.org/stable/45163354</w:t>
      </w:r>
      <w:r>
        <w:rPr>
          <w:sz w:val="22"/>
          <w:szCs w:val="22"/>
          <w:rtl w:val="0"/>
          <w:lang w:val="en-US"/>
        </w:rPr>
        <w:t>&gt; [assessed 16th October 2021].</w:t>
      </w:r>
    </w:p>
    <w:p>
      <w:pPr>
        <w:pStyle w:val="Footnote"/>
        <w:rPr>
          <w:sz w:val="22"/>
          <w:szCs w:val="22"/>
        </w:rPr>
      </w:pPr>
    </w:p>
    <w:p>
      <w:pPr>
        <w:pStyle w:val="Footnote"/>
        <w:rPr>
          <w:sz w:val="22"/>
          <w:szCs w:val="22"/>
        </w:rPr>
      </w:pPr>
      <w:r>
        <w:rPr>
          <w:sz w:val="22"/>
          <w:szCs w:val="22"/>
          <w:rtl w:val="0"/>
          <w:lang w:val="en-US"/>
        </w:rPr>
        <w:t xml:space="preserve">Thorndike, Lynn, </w:t>
      </w:r>
      <w:r>
        <w:rPr>
          <w:sz w:val="22"/>
          <w:szCs w:val="22"/>
          <w:rtl w:val="0"/>
          <w:lang w:val="en-US"/>
        </w:rPr>
        <w:t>‘</w:t>
      </w:r>
      <w:r>
        <w:rPr>
          <w:sz w:val="22"/>
          <w:szCs w:val="22"/>
          <w:rtl w:val="0"/>
          <w:lang w:val="en-US"/>
        </w:rPr>
        <w:t>The True Place of Astrology in the History of Science</w:t>
      </w:r>
      <w:r>
        <w:rPr>
          <w:sz w:val="22"/>
          <w:szCs w:val="22"/>
          <w:rtl w:val="0"/>
          <w:lang w:val="en-US"/>
        </w:rPr>
        <w:t>’</w:t>
      </w:r>
      <w:r>
        <w:rPr>
          <w:sz w:val="22"/>
          <w:szCs w:val="22"/>
          <w:rtl w:val="0"/>
          <w:lang w:val="en-US"/>
        </w:rPr>
        <w:t xml:space="preserve">, </w:t>
      </w:r>
      <w:r>
        <w:rPr>
          <w:i w:val="1"/>
          <w:iCs w:val="1"/>
          <w:sz w:val="22"/>
          <w:szCs w:val="22"/>
          <w:rtl w:val="0"/>
          <w:lang w:val="en-US"/>
        </w:rPr>
        <w:t>Isis</w:t>
      </w:r>
      <w:r>
        <w:rPr>
          <w:sz w:val="22"/>
          <w:szCs w:val="22"/>
          <w:rtl w:val="0"/>
          <w:lang w:val="en-US"/>
        </w:rPr>
        <w:t xml:space="preserve"> 46 (3) 1955, 273-278 &lt;</w:t>
      </w:r>
      <w:r>
        <w:rPr>
          <w:sz w:val="22"/>
          <w:szCs w:val="22"/>
          <w:rtl w:val="0"/>
        </w:rPr>
        <w:t>https://www.jstor.org/stable/226346</w:t>
      </w:r>
      <w:r>
        <w:rPr>
          <w:sz w:val="22"/>
          <w:szCs w:val="22"/>
          <w:rtl w:val="0"/>
          <w:lang w:val="en-US"/>
        </w:rPr>
        <w:t>&gt; [assessed 8th October 2021].</w:t>
      </w:r>
    </w:p>
    <w:p>
      <w:pPr>
        <w:pStyle w:val="Footnote"/>
        <w:rPr>
          <w:sz w:val="22"/>
          <w:szCs w:val="22"/>
        </w:rPr>
      </w:pPr>
    </w:p>
    <w:p>
      <w:pPr>
        <w:pStyle w:val="Footnote"/>
        <w:rPr>
          <w:sz w:val="22"/>
          <w:szCs w:val="22"/>
        </w:rPr>
      </w:pPr>
      <w:r>
        <w:rPr>
          <w:sz w:val="22"/>
          <w:szCs w:val="22"/>
          <w:rtl w:val="0"/>
          <w:lang w:val="en-US"/>
        </w:rPr>
        <w:t xml:space="preserve">Watanabe, John, M., </w:t>
      </w:r>
      <w:r>
        <w:rPr>
          <w:sz w:val="22"/>
          <w:szCs w:val="22"/>
          <w:rtl w:val="0"/>
          <w:lang w:val="en-US"/>
        </w:rPr>
        <w:t>‘</w:t>
      </w:r>
      <w:r>
        <w:rPr>
          <w:sz w:val="22"/>
          <w:szCs w:val="22"/>
          <w:rtl w:val="0"/>
          <w:lang w:val="en-US"/>
        </w:rPr>
        <w:t>In The World Of The Sun: A Cognitive Model of Mayan Cosmology</w:t>
      </w:r>
      <w:r>
        <w:rPr>
          <w:sz w:val="22"/>
          <w:szCs w:val="22"/>
          <w:rtl w:val="0"/>
          <w:lang w:val="en-US"/>
        </w:rPr>
        <w:t>”</w:t>
      </w:r>
      <w:r>
        <w:rPr>
          <w:sz w:val="22"/>
          <w:szCs w:val="22"/>
          <w:rtl w:val="0"/>
          <w:lang w:val="en-US"/>
        </w:rPr>
        <w:t xml:space="preserve">, </w:t>
      </w:r>
      <w:r>
        <w:rPr>
          <w:i w:val="1"/>
          <w:iCs w:val="1"/>
          <w:sz w:val="22"/>
          <w:szCs w:val="22"/>
          <w:rtl w:val="0"/>
          <w:lang w:val="en-US"/>
        </w:rPr>
        <w:t>Man</w:t>
      </w:r>
      <w:r>
        <w:rPr>
          <w:sz w:val="22"/>
          <w:szCs w:val="22"/>
          <w:rtl w:val="0"/>
          <w:lang w:val="en-US"/>
        </w:rPr>
        <w:t>, 18, 4, 1983, 710-728 &lt;</w:t>
      </w:r>
      <w:r>
        <w:rPr>
          <w:sz w:val="22"/>
          <w:szCs w:val="22"/>
          <w:rtl w:val="0"/>
        </w:rPr>
        <w:t>https://doi-org.ezproxy.uwtsd.ac.uk/10.2307/2801904</w:t>
      </w:r>
      <w:r>
        <w:rPr>
          <w:sz w:val="22"/>
          <w:szCs w:val="22"/>
          <w:rtl w:val="0"/>
          <w:lang w:val="en-US"/>
        </w:rPr>
        <w:t>&gt; [assessed 16th October 2021].</w:t>
      </w:r>
    </w:p>
    <w:p>
      <w:pPr>
        <w:pStyle w:val="Footnote"/>
      </w:pPr>
      <w:r>
        <w:rPr>
          <w:sz w:val="22"/>
          <w:szCs w:val="22"/>
        </w:rPr>
      </w:r>
    </w:p>
    <w:sectPr>
      <w:headerReference w:type="default" r:id="rId21"/>
      <w:footerReference w:type="default" r:id="rId22"/>
      <w:pgSz w:w="12240" w:h="15840" w:orient="portrait"/>
      <w:pgMar w:top="1134" w:right="1134" w:bottom="1134" w:left="1134" w:header="567"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Georgia">
    <w:charset w:val="00"/>
    <w:family w:val="roman"/>
    <w:pitch w:val="default"/>
  </w:font>
  <w:font w:name="Tahoma">
    <w:charset w:val="00"/>
    <w:family w:val="roman"/>
    <w:pitch w:val="default"/>
  </w:font>
  <w:font w:name="Trebuchet MS">
    <w:charset w:val="00"/>
    <w:family w:val="roman"/>
    <w:pitch w:val="default"/>
  </w:font>
  <w:font w:name="Cambria">
    <w:charset w:val="00"/>
    <w:family w:val="roman"/>
    <w:pitch w:val="default"/>
  </w:font>
  <w:font w:name="Calibri">
    <w:charset w:val="00"/>
    <w:family w:val="roman"/>
    <w:pitch w:val="default"/>
  </w:font>
  <w:font w:name="Palatino">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3.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4.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5.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6.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7.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8.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9.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notes.xml><?xml version="1.0" encoding="utf-8"?>
<w:footnotes xmlns:w="http://schemas.openxmlformats.org/wordprocessingml/2006/main" xmlns:r="http://schemas.openxmlformats.org/officeDocument/2006/relationships" xmlns:w14="http://schemas.microsoft.com/office/word/2010/wordml" xmlns:wp="http://schemas.openxmlformats.org/drawingml/2006/wordprocessingDrawing" xmlns:m="http://schemas.openxmlformats.org/officeDocument/2006/math">
  <w:footnote w:type="separator" w:id="-1">
    <w:p>
      <w:r>
        <w:separator/>
      </w:r>
    </w:p>
  </w:footnote>
  <w:footnote w:type="continuationSeparator" w:id="0">
    <w:p>
      <w:r>
        <w:continuationSeparator/>
      </w:r>
    </w:p>
  </w:footnote>
  <w:footnote w:type="continuationNotice" w:id="-2">
    <w:p>
      <w:r>
        <w:t/>
      </w:r>
    </w:p>
  </w:footnote>
  <w:footnote w:id="1">
    <w:p>
      <w:pPr>
        <w:pStyle w:val="Footnote"/>
        <w:bidi w:val="0"/>
      </w:pPr>
      <w:r>
        <w:rPr>
          <w:vertAlign w:val="superscript"/>
        </w:rPr>
        <w:footnoteRef/>
      </w:r>
      <w:r>
        <w:rPr>
          <w:rFonts w:cs="Arial Unicode MS" w:eastAsia="Arial Unicode MS"/>
          <w:rtl w:val="0"/>
        </w:rPr>
        <w:t xml:space="preserve"> Elzey, Wayne, </w:t>
      </w:r>
      <w:r>
        <w:rPr>
          <w:rFonts w:cs="Arial Unicode MS" w:eastAsia="Arial Unicode MS" w:hint="default"/>
          <w:rtl w:val="1"/>
        </w:rPr>
        <w:t>‘</w:t>
      </w:r>
      <w:r>
        <w:rPr>
          <w:rFonts w:cs="Arial Unicode MS" w:eastAsia="Arial Unicode MS"/>
          <w:rtl w:val="0"/>
          <w:lang w:val="en-US"/>
        </w:rPr>
        <w:t>The Nahua Myth of the Suns: History and Cosmology in Pre-Hispanic Mexican Religions</w:t>
      </w:r>
      <w:r>
        <w:rPr>
          <w:rFonts w:cs="Arial Unicode MS" w:eastAsia="Arial Unicode MS" w:hint="default"/>
          <w:rtl w:val="1"/>
        </w:rPr>
        <w:t>’</w:t>
      </w:r>
      <w:r>
        <w:rPr>
          <w:rFonts w:cs="Arial Unicode MS" w:eastAsia="Arial Unicode MS"/>
          <w:rtl w:val="0"/>
        </w:rPr>
        <w:t xml:space="preserve">, </w:t>
      </w:r>
      <w:r>
        <w:rPr>
          <w:rFonts w:cs="Arial Unicode MS" w:eastAsia="Arial Unicode MS"/>
          <w:i w:val="1"/>
          <w:iCs w:val="1"/>
          <w:rtl w:val="0"/>
          <w:lang w:val="de-DE"/>
        </w:rPr>
        <w:t>Numen</w:t>
      </w:r>
      <w:r>
        <w:rPr>
          <w:rFonts w:cs="Arial Unicode MS" w:eastAsia="Arial Unicode MS"/>
          <w:rtl w:val="0"/>
        </w:rPr>
        <w:t xml:space="preserve"> 23:2</w:t>
      </w:r>
      <w:r>
        <w:rPr>
          <w:rFonts w:cs="Arial Unicode MS" w:eastAsia="Arial Unicode MS"/>
          <w:rtl w:val="0"/>
          <w:lang w:val="en-US"/>
        </w:rPr>
        <w:t xml:space="preserve">, </w:t>
      </w:r>
      <w:r>
        <w:rPr>
          <w:rFonts w:cs="Arial Unicode MS" w:eastAsia="Arial Unicode MS"/>
          <w:rtl w:val="0"/>
        </w:rPr>
        <w:t>1976, 114-135</w:t>
      </w:r>
      <w:r>
        <w:rPr>
          <w:rFonts w:cs="Arial Unicode MS" w:eastAsia="Arial Unicode MS"/>
          <w:rtl w:val="0"/>
          <w:lang w:val="en-US"/>
        </w:rPr>
        <w:t xml:space="preserve">  &lt;</w:t>
      </w:r>
      <w:r>
        <w:rPr/>
        <w:fldChar w:fldCharType="begin" w:fldLock="0"/>
      </w:r>
      <w:r>
        <w:instrText xml:space="preserve"> HYPERLINK "https://doi.org/10.2307/3269663"</w:instrText>
      </w:r>
      <w:r>
        <w:rPr/>
        <w:fldChar w:fldCharType="separate" w:fldLock="0"/>
      </w:r>
      <w:r>
        <w:rPr>
          <w:rFonts w:cs="Arial Unicode MS" w:eastAsia="Arial Unicode MS"/>
          <w:rtl w:val="0"/>
          <w:lang w:val="en-US"/>
        </w:rPr>
        <w:t>https://doi.org/10.2307/3269663</w:t>
      </w:r>
      <w:r>
        <w:rPr/>
        <w:fldChar w:fldCharType="end" w:fldLock="0"/>
      </w:r>
      <w:r>
        <w:rPr>
          <w:rFonts w:cs="Arial Unicode MS" w:eastAsia="Arial Unicode MS"/>
          <w:rtl w:val="0"/>
          <w:lang w:val="en-US"/>
        </w:rPr>
        <w:t>&gt; [assessed 26/10/21].</w:t>
      </w:r>
      <w:r>
        <w:rPr>
          <w:rFonts w:cs="Arial Unicode MS" w:eastAsia="Arial Unicode MS"/>
          <w:rtl w:val="0"/>
          <w:lang w:val="de-DE"/>
        </w:rPr>
        <w:t xml:space="preserve"> Graubard, Mark, </w:t>
      </w:r>
      <w:r>
        <w:rPr>
          <w:rFonts w:cs="Arial Unicode MS" w:eastAsia="Arial Unicode MS" w:hint="default"/>
          <w:rtl w:val="1"/>
        </w:rPr>
        <w:t>‘</w:t>
      </w:r>
      <w:r>
        <w:rPr>
          <w:rFonts w:cs="Arial Unicode MS" w:eastAsia="Arial Unicode MS"/>
          <w:rtl w:val="0"/>
          <w:lang w:val="en-US"/>
        </w:rPr>
        <w:t>Astrology's Demise and Its Bearing on the Decline and Death of Beliefs</w:t>
      </w:r>
      <w:r>
        <w:rPr>
          <w:rFonts w:cs="Arial Unicode MS" w:eastAsia="Arial Unicode MS" w:hint="default"/>
          <w:rtl w:val="1"/>
        </w:rPr>
        <w:t>’</w:t>
      </w:r>
      <w:r>
        <w:rPr>
          <w:rFonts w:cs="Arial Unicode MS" w:eastAsia="Arial Unicode MS"/>
          <w:rtl w:val="0"/>
        </w:rPr>
        <w:t xml:space="preserve">, </w:t>
      </w:r>
      <w:r>
        <w:rPr>
          <w:rFonts w:cs="Arial Unicode MS" w:eastAsia="Arial Unicode MS"/>
          <w:i w:val="1"/>
          <w:iCs w:val="1"/>
          <w:rtl w:val="0"/>
        </w:rPr>
        <w:t>Osiris</w:t>
      </w:r>
      <w:r>
        <w:rPr>
          <w:rFonts w:cs="Arial Unicode MS" w:eastAsia="Arial Unicode MS"/>
          <w:rtl w:val="0"/>
        </w:rPr>
        <w:t xml:space="preserve"> 13, 1958,</w:t>
      </w:r>
      <w:r>
        <w:rPr>
          <w:rFonts w:cs="Arial Unicode MS" w:eastAsia="Arial Unicode MS"/>
          <w:rtl w:val="0"/>
          <w:lang w:val="en-US"/>
        </w:rPr>
        <w:t xml:space="preserve"> </w:t>
      </w:r>
      <w:r>
        <w:rPr>
          <w:rFonts w:cs="Arial Unicode MS" w:eastAsia="Arial Unicode MS"/>
          <w:rtl w:val="0"/>
        </w:rPr>
        <w:t>210</w:t>
      </w:r>
      <w:r>
        <w:rPr>
          <w:rFonts w:cs="Arial Unicode MS" w:eastAsia="Arial Unicode MS" w:hint="default"/>
          <w:rtl w:val="0"/>
        </w:rPr>
        <w:t>–</w:t>
      </w:r>
      <w:r>
        <w:rPr>
          <w:rFonts w:cs="Arial Unicode MS" w:eastAsia="Arial Unicode MS"/>
          <w:rtl w:val="0"/>
        </w:rPr>
        <w:t>261</w:t>
      </w:r>
      <w:r>
        <w:rPr>
          <w:rFonts w:cs="Arial Unicode MS" w:eastAsia="Arial Unicode MS"/>
          <w:rtl w:val="0"/>
          <w:lang w:val="en-US"/>
        </w:rPr>
        <w:t xml:space="preserve"> </w:t>
      </w:r>
      <w:r>
        <w:rPr>
          <w:rFonts w:cs="Arial Unicode MS" w:eastAsia="Arial Unicode MS"/>
          <w:rtl w:val="0"/>
          <w:lang w:val="en-US"/>
        </w:rPr>
        <w:t>&lt;https://www.jstor.org/stable/301650&gt; [assessed 26</w:t>
      </w:r>
      <w:r>
        <w:rPr>
          <w:rFonts w:cs="Arial Unicode MS" w:eastAsia="Arial Unicode MS"/>
          <w:rtl w:val="0"/>
          <w:lang w:val="en-US"/>
        </w:rPr>
        <w:t>th October 202</w:t>
      </w:r>
      <w:r>
        <w:rPr>
          <w:rFonts w:cs="Arial Unicode MS" w:eastAsia="Arial Unicode MS"/>
          <w:rtl w:val="0"/>
          <w:lang w:val="pt-PT"/>
        </w:rPr>
        <w:t>1].</w:t>
      </w:r>
    </w:p>
  </w:footnote>
  <w:footnote w:id="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Monique Hennick, Inge Hutter and Ajay Bailey, </w:t>
      </w:r>
      <w:r>
        <w:rPr>
          <w:rFonts w:cs="Arial Unicode MS" w:eastAsia="Arial Unicode MS"/>
          <w:i w:val="1"/>
          <w:iCs w:val="1"/>
          <w:rtl w:val="0"/>
          <w:lang w:val="en-US"/>
        </w:rPr>
        <w:t>Qualitative Research Methods</w:t>
      </w:r>
      <w:r>
        <w:rPr>
          <w:rFonts w:cs="Arial Unicode MS" w:eastAsia="Arial Unicode MS"/>
          <w:rtl w:val="0"/>
          <w:lang w:val="en-US"/>
        </w:rPr>
        <w:t>, 2</w:t>
      </w:r>
      <w:r>
        <w:rPr>
          <w:rFonts w:cs="Arial Unicode MS" w:eastAsia="Arial Unicode MS"/>
          <w:vertAlign w:val="superscript"/>
          <w:rtl w:val="0"/>
          <w:lang w:val="en-US"/>
        </w:rPr>
        <w:t>nd</w:t>
      </w:r>
      <w:r>
        <w:rPr>
          <w:rFonts w:cs="Arial Unicode MS" w:eastAsia="Arial Unicode MS"/>
          <w:rtl w:val="0"/>
          <w:lang w:val="en-US"/>
        </w:rPr>
        <w:t xml:space="preserve"> edn. (London: Sage, 2020), p. 236-237.</w:t>
      </w:r>
    </w:p>
  </w:footnote>
  <w:footnote w:id="3">
    <w:p>
      <w:pPr>
        <w:pStyle w:val="Footnote"/>
        <w:bidi w:val="0"/>
      </w:pPr>
      <w:r>
        <w:rPr>
          <w:vertAlign w:val="superscript"/>
        </w:rPr>
        <w:footnoteRef/>
      </w:r>
      <w:r>
        <w:rPr>
          <w:rFonts w:cs="Arial Unicode MS" w:eastAsia="Arial Unicode MS"/>
          <w:rtl w:val="0"/>
          <w:lang w:val="en-US"/>
        </w:rPr>
        <w:t xml:space="preserve"> Judith Bell and Stephen Waters, </w:t>
      </w:r>
      <w:r>
        <w:rPr>
          <w:rFonts w:cs="Arial Unicode MS" w:eastAsia="Arial Unicode MS"/>
          <w:i w:val="1"/>
          <w:iCs w:val="1"/>
          <w:rtl w:val="0"/>
          <w:lang w:val="en-US"/>
        </w:rPr>
        <w:t>Doing Your Research Project</w:t>
      </w:r>
      <w:r>
        <w:rPr>
          <w:rFonts w:cs="Arial Unicode MS" w:eastAsia="Arial Unicode MS"/>
          <w:rtl w:val="0"/>
          <w:lang w:val="en-US"/>
        </w:rPr>
        <w:t>, 7</w:t>
      </w:r>
      <w:r>
        <w:rPr>
          <w:rFonts w:cs="Arial Unicode MS" w:eastAsia="Arial Unicode MS"/>
          <w:vertAlign w:val="superscript"/>
          <w:rtl w:val="0"/>
          <w:lang w:val="en-US"/>
        </w:rPr>
        <w:t>th</w:t>
      </w:r>
      <w:r>
        <w:rPr>
          <w:rFonts w:cs="Arial Unicode MS" w:eastAsia="Arial Unicode MS"/>
          <w:rtl w:val="0"/>
          <w:lang w:val="en-US"/>
        </w:rPr>
        <w:t xml:space="preserve"> edn. (London: Open University Press, McGraw-Hill Education, 2018), p. 289-294.</w:t>
      </w:r>
    </w:p>
  </w:footnote>
  <w:footnote w:id="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Monique Hennick, Inge Hutter and Ajay Bailey, </w:t>
      </w:r>
      <w:r>
        <w:rPr>
          <w:rFonts w:cs="Arial Unicode MS" w:eastAsia="Arial Unicode MS"/>
          <w:i w:val="1"/>
          <w:iCs w:val="1"/>
          <w:rtl w:val="0"/>
          <w:lang w:val="en-US"/>
        </w:rPr>
        <w:t>Qualitative Research Methods</w:t>
      </w:r>
      <w:r>
        <w:rPr>
          <w:rFonts w:cs="Arial Unicode MS" w:eastAsia="Arial Unicode MS"/>
          <w:rtl w:val="0"/>
          <w:lang w:val="en-US"/>
        </w:rPr>
        <w:t>, 2</w:t>
      </w:r>
      <w:r>
        <w:rPr>
          <w:rFonts w:cs="Arial Unicode MS" w:eastAsia="Arial Unicode MS"/>
          <w:vertAlign w:val="superscript"/>
          <w:rtl w:val="0"/>
          <w:lang w:val="en-US"/>
        </w:rPr>
        <w:t>nd</w:t>
      </w:r>
      <w:r>
        <w:rPr>
          <w:rFonts w:cs="Arial Unicode MS" w:eastAsia="Arial Unicode MS"/>
          <w:rtl w:val="0"/>
          <w:lang w:val="en-US"/>
        </w:rPr>
        <w:t xml:space="preserve"> edn. (London: Sage, 2020), p.71.</w:t>
      </w:r>
    </w:p>
  </w:footnote>
  <w:footnote w:id="5">
    <w:p>
      <w:pPr>
        <w:pStyle w:val="Footnote"/>
        <w:bidi w:val="0"/>
      </w:pPr>
      <w:r>
        <w:rPr>
          <w:vertAlign w:val="superscript"/>
        </w:rPr>
        <w:footnoteRef/>
      </w:r>
      <w:r>
        <w:rPr>
          <w:rFonts w:cs="Arial Unicode MS" w:eastAsia="Arial Unicode MS"/>
          <w:rtl w:val="0"/>
          <w:lang w:val="en-US"/>
        </w:rPr>
        <w:t xml:space="preserve"> Wayne</w:t>
      </w:r>
      <w:r>
        <w:rPr>
          <w:rFonts w:cs="Arial Unicode MS" w:eastAsia="Arial Unicode MS"/>
          <w:rtl w:val="0"/>
          <w:lang w:val="en-US"/>
        </w:rPr>
        <w:t xml:space="preserve"> Elzey</w:t>
      </w:r>
      <w:r>
        <w:rPr>
          <w:rFonts w:cs="Arial Unicode MS" w:eastAsia="Arial Unicode MS"/>
          <w:rtl w:val="0"/>
        </w:rPr>
        <w:t xml:space="preserve">, </w:t>
      </w:r>
      <w:r>
        <w:rPr>
          <w:rFonts w:cs="Arial Unicode MS" w:eastAsia="Arial Unicode MS"/>
          <w:i w:val="1"/>
          <w:iCs w:val="1"/>
          <w:rtl w:val="0"/>
          <w:lang w:val="en-US"/>
        </w:rPr>
        <w:t>The Nahua Myth of the Suns</w:t>
      </w:r>
      <w:r>
        <w:rPr>
          <w:rFonts w:cs="Arial Unicode MS" w:eastAsia="Arial Unicode MS"/>
          <w:rtl w:val="0"/>
          <w:lang w:val="en-US"/>
        </w:rPr>
        <w:t>, p. 114.</w:t>
      </w:r>
    </w:p>
  </w:footnote>
  <w:footnote w:id="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Legacy.com. </w:t>
      </w:r>
      <w:r>
        <w:rPr>
          <w:rFonts w:cs="Arial Unicode MS" w:eastAsia="Arial Unicode MS"/>
          <w:i w:val="1"/>
          <w:iCs w:val="1"/>
          <w:rtl w:val="0"/>
          <w:lang w:val="en-US"/>
        </w:rPr>
        <w:t xml:space="preserve">Wayne Elzey </w:t>
      </w:r>
      <w:r>
        <w:rPr>
          <w:rFonts w:cs="Arial Unicode MS" w:eastAsia="Arial Unicode MS"/>
          <w:i w:val="1"/>
          <w:iCs w:val="1"/>
          <w:rtl w:val="0"/>
          <w:lang w:val="en-US"/>
        </w:rPr>
        <w:t>News Death Notice</w:t>
      </w:r>
      <w:r>
        <w:rPr>
          <w:rFonts w:cs="Arial Unicode MS" w:eastAsia="Arial Unicode MS"/>
          <w:rtl w:val="0"/>
          <w:lang w:val="en-US"/>
        </w:rPr>
        <w:t>, &lt;</w:t>
      </w:r>
      <w:r>
        <w:rPr/>
        <w:fldChar w:fldCharType="begin" w:fldLock="0"/>
      </w:r>
      <w:r>
        <w:instrText xml:space="preserve"> HYPERLINK "https://www.legacy.com/us/obituaries/hamilton/name/wayne-elzey-obituary?pid=156767141"</w:instrText>
      </w:r>
      <w:r>
        <w:rPr/>
        <w:fldChar w:fldCharType="separate" w:fldLock="0"/>
      </w:r>
      <w:r>
        <w:rPr>
          <w:rFonts w:cs="Arial Unicode MS" w:eastAsia="Arial Unicode MS"/>
          <w:rtl w:val="0"/>
          <w:lang w:val="en-US"/>
        </w:rPr>
        <w:t>https://www.legacy.com/us/obituaries/hamilton/name/wayne-elzey-obituary?pid=156767141</w:t>
      </w:r>
      <w:r>
        <w:rPr/>
        <w:fldChar w:fldCharType="end" w:fldLock="0"/>
      </w:r>
      <w:r>
        <w:rPr>
          <w:rFonts w:cs="Arial Unicode MS" w:eastAsia="Arial Unicode MS"/>
          <w:rtl w:val="0"/>
          <w:lang w:val="en-US"/>
        </w:rPr>
        <w:t xml:space="preserve">&gt; </w:t>
      </w:r>
      <w:r>
        <w:rPr>
          <w:rFonts w:cs="Arial Unicode MS" w:eastAsia="Arial Unicode MS"/>
          <w:rtl w:val="0"/>
          <w:lang w:val="en-US"/>
        </w:rPr>
        <w:t xml:space="preserve">{assessed 8th </w:t>
      </w:r>
      <w:r>
        <w:rPr>
          <w:rFonts w:cs="Arial Unicode MS" w:eastAsia="Arial Unicode MS"/>
          <w:rtl w:val="0"/>
          <w:lang w:val="en-US"/>
        </w:rPr>
        <w:t xml:space="preserve">October </w:t>
      </w:r>
      <w:r>
        <w:rPr>
          <w:rFonts w:cs="Arial Unicode MS" w:eastAsia="Arial Unicode MS"/>
          <w:rtl w:val="0"/>
          <w:lang w:val="en-US"/>
        </w:rPr>
        <w:t>2021</w:t>
      </w:r>
      <w:r>
        <w:rPr>
          <w:rFonts w:cs="Arial Unicode MS" w:eastAsia="Arial Unicode MS"/>
          <w:rtl w:val="0"/>
          <w:lang w:val="en-US"/>
        </w:rPr>
        <w:t>].</w:t>
      </w:r>
    </w:p>
  </w:footnote>
  <w:footnote w:id="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Mark </w:t>
      </w:r>
      <w:r>
        <w:rPr>
          <w:rFonts w:cs="Arial Unicode MS" w:eastAsia="Arial Unicode MS"/>
          <w:rtl w:val="0"/>
          <w:lang w:val="de-DE"/>
        </w:rPr>
        <w:t xml:space="preserve">Graubard, </w:t>
      </w:r>
      <w:r>
        <w:rPr>
          <w:rFonts w:cs="Arial Unicode MS" w:eastAsia="Arial Unicode MS"/>
          <w:i w:val="1"/>
          <w:iCs w:val="1"/>
          <w:rtl w:val="0"/>
          <w:lang w:val="en-US"/>
        </w:rPr>
        <w:t>Astrology's Demise</w:t>
      </w:r>
      <w:r>
        <w:rPr>
          <w:rFonts w:cs="Arial Unicode MS" w:eastAsia="Arial Unicode MS"/>
          <w:rtl w:val="0"/>
          <w:lang w:val="en-US"/>
        </w:rPr>
        <w:t xml:space="preserve">, p. 210. Thorndike, Lynn, </w:t>
      </w:r>
      <w:r>
        <w:rPr>
          <w:rFonts w:cs="Arial Unicode MS" w:eastAsia="Arial Unicode MS" w:hint="default"/>
          <w:rtl w:val="0"/>
          <w:lang w:val="en-US"/>
        </w:rPr>
        <w:t>‘</w:t>
      </w:r>
      <w:r>
        <w:rPr>
          <w:rFonts w:cs="Arial Unicode MS" w:eastAsia="Arial Unicode MS"/>
          <w:rtl w:val="0"/>
          <w:lang w:val="en-US"/>
        </w:rPr>
        <w:t>The True Place of Astrology in the History of Science</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rtl w:val="0"/>
          <w:lang w:val="en-US"/>
        </w:rPr>
        <w:t>Isis</w:t>
      </w:r>
      <w:r>
        <w:rPr>
          <w:rFonts w:cs="Arial Unicode MS" w:eastAsia="Arial Unicode MS"/>
          <w:rtl w:val="0"/>
          <w:lang w:val="en-US"/>
        </w:rPr>
        <w:t xml:space="preserve"> 46 (3) 1955, 273-278 &lt;</w:t>
      </w:r>
      <w:r>
        <w:rPr>
          <w:rFonts w:cs="Arial Unicode MS" w:eastAsia="Arial Unicode MS"/>
          <w:rtl w:val="0"/>
        </w:rPr>
        <w:t>https://www.jstor.org/stable/226346</w:t>
      </w:r>
      <w:r>
        <w:rPr>
          <w:rFonts w:cs="Arial Unicode MS" w:eastAsia="Arial Unicode MS"/>
          <w:rtl w:val="0"/>
          <w:lang w:val="en-US"/>
        </w:rPr>
        <w:t>&gt; [assessed 8th October 2021].</w:t>
      </w:r>
    </w:p>
  </w:footnote>
  <w:footnote w:id="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Chanen, David. Star Tribune Newspaper online, </w:t>
      </w:r>
      <w:r>
        <w:rPr>
          <w:rFonts w:cs="Arial Unicode MS" w:eastAsia="Arial Unicode MS"/>
          <w:i w:val="1"/>
          <w:iCs w:val="1"/>
          <w:rtl w:val="0"/>
          <w:lang w:val="en-US"/>
        </w:rPr>
        <w:t xml:space="preserve">Obituaries: Mark Graubard professor emeritus at </w:t>
      </w:r>
      <w:r>
        <w:rPr>
          <w:rFonts w:cs="Arial Unicode MS" w:eastAsia="Arial Unicode MS" w:hint="default"/>
          <w:i w:val="1"/>
          <w:iCs w:val="1"/>
          <w:rtl w:val="0"/>
          <w:lang w:val="en-US"/>
        </w:rPr>
        <w:t>‘</w:t>
      </w:r>
      <w:r>
        <w:rPr>
          <w:rFonts w:cs="Arial Unicode MS" w:eastAsia="Arial Unicode MS"/>
          <w:i w:val="1"/>
          <w:iCs w:val="1"/>
          <w:rtl w:val="0"/>
          <w:lang w:val="en-US"/>
        </w:rPr>
        <w:t>U</w:t>
      </w:r>
      <w:r>
        <w:rPr>
          <w:rFonts w:cs="Arial Unicode MS" w:eastAsia="Arial Unicode MS" w:hint="default"/>
          <w:i w:val="1"/>
          <w:iCs w:val="1"/>
          <w:rtl w:val="0"/>
          <w:lang w:val="en-US"/>
        </w:rPr>
        <w:t xml:space="preserve">’ </w:t>
      </w:r>
      <w:r>
        <w:rPr>
          <w:rFonts w:cs="Arial Unicode MS" w:eastAsia="Arial Unicode MS"/>
          <w:i w:val="1"/>
          <w:iCs w:val="1"/>
          <w:rtl w:val="0"/>
          <w:lang w:val="en-US"/>
        </w:rPr>
        <w:t>dies at 88</w:t>
      </w:r>
      <w:r>
        <w:rPr>
          <w:rFonts w:cs="Arial Unicode MS" w:eastAsia="Arial Unicode MS"/>
          <w:rtl w:val="0"/>
        </w:rPr>
        <w:t>,</w:t>
      </w:r>
      <w:r>
        <w:rPr>
          <w:rFonts w:cs="Arial Unicode MS" w:eastAsia="Arial Unicode MS"/>
          <w:rtl w:val="0"/>
          <w:lang w:val="en-US"/>
        </w:rPr>
        <w:t xml:space="preserve"> Tuesday 3rd November 1992, p.48 &lt;</w:t>
      </w:r>
      <w:r>
        <w:rPr>
          <w:rFonts w:cs="Arial Unicode MS" w:eastAsia="Arial Unicode MS"/>
          <w:rtl w:val="0"/>
        </w:rPr>
        <w:t>https://www.newspapers.com/image/?clipping_id=9923222&amp;fcfToken=eyJhbGciOiJIUzI1NiIsInR5cCI6IkpXVCJ9.eyJmcmVlLXZpZXctaWQiOjE5MzA1NDU3NiwiaWF0IjoxNjM1MjQ3NDQ1LCJleHAiOjE2MzUzMzM4NDV9.jEmJMCInWY4a18PiYWu3o9PRyJouDh8fPpZnfj9H0jg</w:t>
      </w:r>
      <w:r>
        <w:rPr>
          <w:rFonts w:cs="Arial Unicode MS" w:eastAsia="Arial Unicode MS"/>
          <w:rtl w:val="0"/>
          <w:lang w:val="en-US"/>
        </w:rPr>
        <w:t>&gt; [assessed 8th October 2021].</w:t>
      </w:r>
    </w:p>
  </w:footnote>
  <w:footnote w:id="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Eagleton, Terry, </w:t>
      </w:r>
      <w:r>
        <w:rPr>
          <w:rFonts w:cs="Arial Unicode MS" w:eastAsia="Arial Unicode MS"/>
          <w:i w:val="1"/>
          <w:iCs w:val="1"/>
          <w:rtl w:val="0"/>
          <w:lang w:val="en-US"/>
        </w:rPr>
        <w:t>Culture</w:t>
      </w:r>
      <w:r>
        <w:rPr>
          <w:rFonts w:cs="Arial Unicode MS" w:eastAsia="Arial Unicode MS"/>
          <w:rtl w:val="0"/>
          <w:lang w:val="en-US"/>
        </w:rPr>
        <w:t>, paperback edition (New Haven and London: Yale University Press), p. 1.</w:t>
      </w:r>
    </w:p>
  </w:footnote>
  <w:footnote w:id="10">
    <w:p>
      <w:pPr>
        <w:pStyle w:val="Footnote"/>
        <w:bidi w:val="0"/>
      </w:pPr>
      <w:r>
        <w:rPr>
          <w:vertAlign w:val="superscript"/>
        </w:rPr>
        <w:footnoteRef/>
      </w:r>
      <w:r>
        <w:rPr>
          <w:rFonts w:cs="Arial Unicode MS" w:eastAsia="Arial Unicode MS"/>
          <w:rtl w:val="0"/>
          <w:lang w:val="en-US"/>
        </w:rPr>
        <w:t xml:space="preserve"> Wayne</w:t>
      </w:r>
      <w:r>
        <w:rPr>
          <w:rFonts w:cs="Arial Unicode MS" w:eastAsia="Arial Unicode MS"/>
          <w:rtl w:val="0"/>
          <w:lang w:val="en-US"/>
        </w:rPr>
        <w:t xml:space="preserve"> Elzey</w:t>
      </w:r>
      <w:r>
        <w:rPr>
          <w:rFonts w:cs="Arial Unicode MS" w:eastAsia="Arial Unicode MS"/>
          <w:rtl w:val="0"/>
        </w:rPr>
        <w:t xml:space="preserve">, </w:t>
      </w:r>
      <w:r>
        <w:rPr>
          <w:rFonts w:cs="Arial Unicode MS" w:eastAsia="Arial Unicode MS"/>
          <w:i w:val="1"/>
          <w:iCs w:val="1"/>
          <w:rtl w:val="0"/>
          <w:lang w:val="en-US"/>
        </w:rPr>
        <w:t>The Nahua Myth of the Suns</w:t>
      </w:r>
      <w:r>
        <w:rPr>
          <w:rFonts w:cs="Arial Unicode MS" w:eastAsia="Arial Unicode MS"/>
          <w:rtl w:val="0"/>
          <w:lang w:val="en-US"/>
        </w:rPr>
        <w:t>, p. 116.</w:t>
      </w:r>
    </w:p>
  </w:footnote>
  <w:footnote w:id="11">
    <w:p>
      <w:pPr>
        <w:pStyle w:val="Footnote"/>
        <w:bidi w:val="0"/>
      </w:pPr>
      <w:r>
        <w:rPr>
          <w:vertAlign w:val="superscript"/>
        </w:rPr>
        <w:footnoteRef/>
      </w:r>
      <w:r>
        <w:rPr>
          <w:rFonts w:cs="Arial Unicode MS" w:eastAsia="Arial Unicode MS"/>
          <w:rtl w:val="0"/>
          <w:lang w:val="en-US"/>
        </w:rPr>
        <w:t xml:space="preserve"> Wayne</w:t>
      </w:r>
      <w:r>
        <w:rPr>
          <w:rFonts w:cs="Arial Unicode MS" w:eastAsia="Arial Unicode MS"/>
          <w:rtl w:val="0"/>
          <w:lang w:val="en-US"/>
        </w:rPr>
        <w:t xml:space="preserve"> Elzey</w:t>
      </w:r>
      <w:r>
        <w:rPr>
          <w:rFonts w:cs="Arial Unicode MS" w:eastAsia="Arial Unicode MS"/>
          <w:rtl w:val="0"/>
        </w:rPr>
        <w:t xml:space="preserve">, </w:t>
      </w:r>
      <w:r>
        <w:rPr>
          <w:rFonts w:cs="Arial Unicode MS" w:eastAsia="Arial Unicode MS"/>
          <w:i w:val="1"/>
          <w:iCs w:val="1"/>
          <w:rtl w:val="0"/>
          <w:lang w:val="en-US"/>
        </w:rPr>
        <w:t>The Nahua Myth of the Suns</w:t>
      </w:r>
      <w:r>
        <w:rPr>
          <w:rFonts w:cs="Arial Unicode MS" w:eastAsia="Arial Unicode MS"/>
          <w:rtl w:val="0"/>
          <w:lang w:val="en-US"/>
        </w:rPr>
        <w:t>, footnote 1, p. 114-115.</w:t>
      </w:r>
    </w:p>
  </w:footnote>
  <w:footnote w:id="1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Mark </w:t>
      </w:r>
      <w:r>
        <w:rPr>
          <w:rFonts w:cs="Arial Unicode MS" w:eastAsia="Arial Unicode MS"/>
          <w:rtl w:val="0"/>
          <w:lang w:val="de-DE"/>
        </w:rPr>
        <w:t xml:space="preserve">Graubard, </w:t>
      </w:r>
      <w:r>
        <w:rPr>
          <w:rFonts w:cs="Arial Unicode MS" w:eastAsia="Arial Unicode MS"/>
          <w:i w:val="1"/>
          <w:iCs w:val="1"/>
          <w:rtl w:val="0"/>
          <w:lang w:val="en-US"/>
        </w:rPr>
        <w:t>Astrology's Demise</w:t>
      </w:r>
      <w:r>
        <w:rPr>
          <w:rFonts w:cs="Arial Unicode MS" w:eastAsia="Arial Unicode MS"/>
          <w:rtl w:val="0"/>
          <w:lang w:val="en-US"/>
        </w:rPr>
        <w:t>, p. 210.</w:t>
      </w:r>
    </w:p>
  </w:footnote>
  <w:footnote w:id="1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Mark </w:t>
      </w:r>
      <w:r>
        <w:rPr>
          <w:rFonts w:cs="Arial Unicode MS" w:eastAsia="Arial Unicode MS"/>
          <w:rtl w:val="0"/>
          <w:lang w:val="de-DE"/>
        </w:rPr>
        <w:t xml:space="preserve">Graubard, </w:t>
      </w:r>
      <w:r>
        <w:rPr>
          <w:rFonts w:cs="Arial Unicode MS" w:eastAsia="Arial Unicode MS"/>
          <w:i w:val="1"/>
          <w:iCs w:val="1"/>
          <w:rtl w:val="0"/>
          <w:lang w:val="en-US"/>
        </w:rPr>
        <w:t>Astrology's Demise</w:t>
      </w:r>
      <w:r>
        <w:rPr>
          <w:rFonts w:cs="Arial Unicode MS" w:eastAsia="Arial Unicode MS"/>
          <w:rtl w:val="0"/>
          <w:lang w:val="en-US"/>
        </w:rPr>
        <w:t>, p. 210-212.</w:t>
      </w:r>
    </w:p>
  </w:footnote>
  <w:footnote w:id="14">
    <w:p>
      <w:pPr>
        <w:pStyle w:val="Footnote"/>
        <w:bidi w:val="0"/>
      </w:pPr>
      <w:r>
        <w:rPr>
          <w:vertAlign w:val="superscript"/>
        </w:rPr>
        <w:footnoteRef/>
      </w:r>
      <w:r>
        <w:rPr>
          <w:rFonts w:cs="Arial Unicode MS" w:eastAsia="Arial Unicode MS"/>
          <w:rtl w:val="0"/>
          <w:lang w:val="en-US"/>
        </w:rPr>
        <w:t xml:space="preserve"> Wayne</w:t>
      </w:r>
      <w:r>
        <w:rPr>
          <w:rFonts w:cs="Arial Unicode MS" w:eastAsia="Arial Unicode MS"/>
          <w:rtl w:val="0"/>
          <w:lang w:val="en-US"/>
        </w:rPr>
        <w:t xml:space="preserve"> Elzey</w:t>
      </w:r>
      <w:r>
        <w:rPr>
          <w:rFonts w:cs="Arial Unicode MS" w:eastAsia="Arial Unicode MS"/>
          <w:rtl w:val="0"/>
        </w:rPr>
        <w:t xml:space="preserve">, </w:t>
      </w:r>
      <w:r>
        <w:rPr>
          <w:rFonts w:cs="Arial Unicode MS" w:eastAsia="Arial Unicode MS"/>
          <w:i w:val="1"/>
          <w:iCs w:val="1"/>
          <w:rtl w:val="0"/>
          <w:lang w:val="en-US"/>
        </w:rPr>
        <w:t>The Nahua Myth of the Suns</w:t>
      </w:r>
      <w:r>
        <w:rPr>
          <w:rFonts w:cs="Arial Unicode MS" w:eastAsia="Arial Unicode MS"/>
          <w:rtl w:val="0"/>
          <w:lang w:val="en-US"/>
        </w:rPr>
        <w:t>, p. 116.</w:t>
      </w:r>
    </w:p>
  </w:footnote>
  <w:footnote w:id="1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Mark </w:t>
      </w:r>
      <w:r>
        <w:rPr>
          <w:rFonts w:cs="Arial Unicode MS" w:eastAsia="Arial Unicode MS"/>
          <w:rtl w:val="0"/>
          <w:lang w:val="de-DE"/>
        </w:rPr>
        <w:t xml:space="preserve">Graubard, </w:t>
      </w:r>
      <w:r>
        <w:rPr>
          <w:rFonts w:cs="Arial Unicode MS" w:eastAsia="Arial Unicode MS"/>
          <w:i w:val="1"/>
          <w:iCs w:val="1"/>
          <w:rtl w:val="0"/>
          <w:lang w:val="en-US"/>
        </w:rPr>
        <w:t>Astrology's Demise</w:t>
      </w:r>
      <w:r>
        <w:rPr>
          <w:rFonts w:cs="Arial Unicode MS" w:eastAsia="Arial Unicode MS"/>
          <w:rtl w:val="0"/>
          <w:lang w:val="en-US"/>
        </w:rPr>
        <w:t>, p. 210.</w:t>
      </w:r>
    </w:p>
  </w:footnote>
  <w:footnote w:id="16">
    <w:p>
      <w:pPr>
        <w:pStyle w:val="Footnote"/>
        <w:bidi w:val="0"/>
      </w:pPr>
      <w:r>
        <w:rPr>
          <w:vertAlign w:val="superscript"/>
        </w:rPr>
        <w:footnoteRef/>
      </w:r>
      <w:r>
        <w:rPr>
          <w:rFonts w:cs="Arial Unicode MS" w:eastAsia="Arial Unicode MS"/>
          <w:rtl w:val="0"/>
          <w:lang w:val="en-US"/>
        </w:rPr>
        <w:t xml:space="preserve"> Wayne</w:t>
      </w:r>
      <w:r>
        <w:rPr>
          <w:rFonts w:cs="Arial Unicode MS" w:eastAsia="Arial Unicode MS"/>
          <w:rtl w:val="0"/>
          <w:lang w:val="en-US"/>
        </w:rPr>
        <w:t xml:space="preserve"> Elzey</w:t>
      </w:r>
      <w:r>
        <w:rPr>
          <w:rFonts w:cs="Arial Unicode MS" w:eastAsia="Arial Unicode MS"/>
          <w:rtl w:val="0"/>
        </w:rPr>
        <w:t xml:space="preserve">, </w:t>
      </w:r>
      <w:r>
        <w:rPr>
          <w:rFonts w:cs="Arial Unicode MS" w:eastAsia="Arial Unicode MS"/>
          <w:i w:val="1"/>
          <w:iCs w:val="1"/>
          <w:rtl w:val="0"/>
          <w:lang w:val="en-US"/>
        </w:rPr>
        <w:t>The Nahua Myth of the Suns</w:t>
      </w:r>
      <w:r>
        <w:rPr>
          <w:rFonts w:cs="Arial Unicode MS" w:eastAsia="Arial Unicode MS"/>
          <w:rtl w:val="0"/>
          <w:lang w:val="en-US"/>
        </w:rPr>
        <w:t>, p. 114.</w:t>
      </w:r>
    </w:p>
  </w:footnote>
  <w:footnote w:id="1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Ibid, p. 116.</w:t>
      </w:r>
    </w:p>
  </w:footnote>
  <w:footnote w:id="1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Terry Eagleton, </w:t>
      </w:r>
      <w:r>
        <w:rPr>
          <w:rFonts w:cs="Arial Unicode MS" w:eastAsia="Arial Unicode MS"/>
          <w:i w:val="1"/>
          <w:iCs w:val="1"/>
          <w:rtl w:val="0"/>
          <w:lang w:val="en-US"/>
        </w:rPr>
        <w:t>Culture</w:t>
      </w:r>
      <w:r>
        <w:rPr>
          <w:rFonts w:cs="Arial Unicode MS" w:eastAsia="Arial Unicode MS"/>
          <w:rtl w:val="0"/>
          <w:lang w:val="en-US"/>
        </w:rPr>
        <w:t>, p. 1.</w:t>
      </w:r>
    </w:p>
  </w:footnote>
  <w:footnote w:id="1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Mark </w:t>
      </w:r>
      <w:r>
        <w:rPr>
          <w:rFonts w:cs="Arial Unicode MS" w:eastAsia="Arial Unicode MS"/>
          <w:rtl w:val="0"/>
          <w:lang w:val="de-DE"/>
        </w:rPr>
        <w:t xml:space="preserve">Graubard, </w:t>
      </w:r>
      <w:r>
        <w:rPr>
          <w:rFonts w:cs="Arial Unicode MS" w:eastAsia="Arial Unicode MS"/>
          <w:i w:val="1"/>
          <w:iCs w:val="1"/>
          <w:rtl w:val="0"/>
          <w:lang w:val="en-US"/>
        </w:rPr>
        <w:t>Astrology's Demise</w:t>
      </w:r>
      <w:r>
        <w:rPr>
          <w:rFonts w:cs="Arial Unicode MS" w:eastAsia="Arial Unicode MS"/>
          <w:rtl w:val="0"/>
          <w:lang w:val="en-US"/>
        </w:rPr>
        <w:t>, p. 210-211.</w:t>
      </w:r>
    </w:p>
  </w:footnote>
  <w:footnote w:id="2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Terry Eagleton, </w:t>
      </w:r>
      <w:r>
        <w:rPr>
          <w:rFonts w:cs="Arial Unicode MS" w:eastAsia="Arial Unicode MS"/>
          <w:i w:val="1"/>
          <w:iCs w:val="1"/>
          <w:rtl w:val="0"/>
          <w:lang w:val="en-US"/>
        </w:rPr>
        <w:t>Culture</w:t>
      </w:r>
      <w:r>
        <w:rPr>
          <w:rFonts w:cs="Arial Unicode MS" w:eastAsia="Arial Unicode MS"/>
          <w:rtl w:val="0"/>
          <w:lang w:val="en-US"/>
        </w:rPr>
        <w:t>, p. 26.</w:t>
      </w:r>
    </w:p>
  </w:footnote>
  <w:footnote w:id="21">
    <w:p>
      <w:pPr>
        <w:pStyle w:val="Footnote"/>
        <w:bidi w:val="0"/>
      </w:pPr>
      <w:r>
        <w:rPr>
          <w:vertAlign w:val="superscript"/>
        </w:rPr>
        <w:footnoteRef/>
      </w:r>
      <w:r>
        <w:rPr>
          <w:rFonts w:cs="Arial Unicode MS" w:eastAsia="Arial Unicode MS"/>
          <w:rtl w:val="0"/>
          <w:lang w:val="en-US"/>
        </w:rPr>
        <w:t xml:space="preserve"> Wayne</w:t>
      </w:r>
      <w:r>
        <w:rPr>
          <w:rFonts w:cs="Arial Unicode MS" w:eastAsia="Arial Unicode MS"/>
          <w:rtl w:val="0"/>
          <w:lang w:val="en-US"/>
        </w:rPr>
        <w:t xml:space="preserve"> Elzey</w:t>
      </w:r>
      <w:r>
        <w:rPr>
          <w:rFonts w:cs="Arial Unicode MS" w:eastAsia="Arial Unicode MS"/>
          <w:rtl w:val="0"/>
        </w:rPr>
        <w:t xml:space="preserve">, </w:t>
      </w:r>
      <w:r>
        <w:rPr>
          <w:rFonts w:cs="Arial Unicode MS" w:eastAsia="Arial Unicode MS"/>
          <w:i w:val="1"/>
          <w:iCs w:val="1"/>
          <w:rtl w:val="0"/>
          <w:lang w:val="en-US"/>
        </w:rPr>
        <w:t>The Nahua Myth of the Suns</w:t>
      </w:r>
      <w:r>
        <w:rPr>
          <w:rFonts w:cs="Arial Unicode MS" w:eastAsia="Arial Unicode MS"/>
          <w:rtl w:val="0"/>
          <w:lang w:val="en-US"/>
        </w:rPr>
        <w:t>, p. 117, p. 128.</w:t>
      </w:r>
    </w:p>
  </w:footnote>
  <w:footnote w:id="2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Milbrath, Susan, </w:t>
      </w:r>
      <w:r>
        <w:rPr>
          <w:rFonts w:cs="Arial Unicode MS" w:eastAsia="Arial Unicode MS" w:hint="default"/>
          <w:rtl w:val="0"/>
          <w:lang w:val="en-US"/>
        </w:rPr>
        <w:t>‘</w:t>
      </w:r>
      <w:r>
        <w:rPr>
          <w:rFonts w:cs="Arial Unicode MS" w:eastAsia="Arial Unicode MS"/>
          <w:rtl w:val="0"/>
          <w:lang w:val="en-US"/>
        </w:rPr>
        <w:t>Eclipse Imagery On The Aztec Calendar Stone</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rtl w:val="0"/>
          <w:lang w:val="en-US"/>
        </w:rPr>
        <w:t>Mexicon</w:t>
      </w:r>
      <w:r>
        <w:rPr>
          <w:rFonts w:cs="Arial Unicode MS" w:eastAsia="Arial Unicode MS"/>
          <w:rtl w:val="0"/>
          <w:lang w:val="en-US"/>
        </w:rPr>
        <w:t>, 39, 1, 2017, p. 16-17 &lt;</w:t>
      </w:r>
      <w:r>
        <w:rPr>
          <w:rFonts w:cs="Arial Unicode MS" w:eastAsia="Arial Unicode MS"/>
          <w:rtl w:val="0"/>
        </w:rPr>
        <w:t>https://www.jstor.org/stable/45163354</w:t>
      </w:r>
      <w:r>
        <w:rPr>
          <w:rFonts w:cs="Arial Unicode MS" w:eastAsia="Arial Unicode MS"/>
          <w:rtl w:val="0"/>
          <w:lang w:val="en-US"/>
        </w:rPr>
        <w:t>&gt; [assessed 16th October 2021].</w:t>
      </w:r>
    </w:p>
  </w:footnote>
  <w:footnote w:id="23">
    <w:p>
      <w:pPr>
        <w:pStyle w:val="Footnote"/>
        <w:bidi w:val="0"/>
      </w:pPr>
      <w:r>
        <w:rPr>
          <w:vertAlign w:val="superscript"/>
        </w:rPr>
        <w:footnoteRef/>
      </w:r>
      <w:r>
        <w:rPr>
          <w:rFonts w:cs="Arial Unicode MS" w:eastAsia="Arial Unicode MS"/>
          <w:rtl w:val="0"/>
          <w:lang w:val="en-US"/>
        </w:rPr>
        <w:t xml:space="preserve"> Wayne</w:t>
      </w:r>
      <w:r>
        <w:rPr>
          <w:rFonts w:cs="Arial Unicode MS" w:eastAsia="Arial Unicode MS"/>
          <w:rtl w:val="0"/>
          <w:lang w:val="en-US"/>
        </w:rPr>
        <w:t xml:space="preserve"> Elzey</w:t>
      </w:r>
      <w:r>
        <w:rPr>
          <w:rFonts w:cs="Arial Unicode MS" w:eastAsia="Arial Unicode MS"/>
          <w:rtl w:val="0"/>
        </w:rPr>
        <w:t xml:space="preserve">, </w:t>
      </w:r>
      <w:r>
        <w:rPr>
          <w:rFonts w:cs="Arial Unicode MS" w:eastAsia="Arial Unicode MS"/>
          <w:i w:val="1"/>
          <w:iCs w:val="1"/>
          <w:rtl w:val="0"/>
          <w:lang w:val="en-US"/>
        </w:rPr>
        <w:t>The Nahua Myth of the Suns</w:t>
      </w:r>
      <w:r>
        <w:rPr>
          <w:rFonts w:cs="Arial Unicode MS" w:eastAsia="Arial Unicode MS"/>
          <w:rtl w:val="0"/>
          <w:lang w:val="en-US"/>
        </w:rPr>
        <w:t>, p. 116, p. 132-133.</w:t>
      </w:r>
    </w:p>
  </w:footnote>
  <w:footnote w:id="2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Billington, Sandra, </w:t>
      </w:r>
      <w:r>
        <w:rPr>
          <w:rFonts w:cs="Arial Unicode MS" w:eastAsia="Arial Unicode MS" w:hint="default"/>
          <w:rtl w:val="0"/>
          <w:lang w:val="en-US"/>
        </w:rPr>
        <w:t>‘</w:t>
      </w:r>
      <w:r>
        <w:rPr>
          <w:rFonts w:cs="Arial Unicode MS" w:eastAsia="Arial Unicode MS"/>
          <w:rtl w:val="0"/>
          <w:lang w:val="en-US"/>
        </w:rPr>
        <w:t xml:space="preserve">The Midsummer Solstice As It Was Or Was Not, Observed In Pagan Germany, Scadinavia and Anglo-Saxon England, </w:t>
      </w:r>
      <w:r>
        <w:rPr>
          <w:rFonts w:cs="Arial Unicode MS" w:eastAsia="Arial Unicode MS"/>
          <w:i w:val="1"/>
          <w:iCs w:val="1"/>
          <w:rtl w:val="0"/>
          <w:lang w:val="en-US"/>
        </w:rPr>
        <w:t>Folklore</w:t>
      </w:r>
      <w:r>
        <w:rPr>
          <w:rFonts w:cs="Arial Unicode MS" w:eastAsia="Arial Unicode MS"/>
          <w:rtl w:val="0"/>
          <w:lang w:val="en-US"/>
        </w:rPr>
        <w:t>, 119, 1, 2008, 41-17, p. 44 &lt;</w:t>
      </w:r>
      <w:r>
        <w:rPr>
          <w:rFonts w:cs="Arial Unicode MS" w:eastAsia="Arial Unicode MS"/>
          <w:rtl w:val="0"/>
        </w:rPr>
        <w:t>https://www.jstor.org/stable/30035459</w:t>
      </w:r>
      <w:r>
        <w:rPr>
          <w:rFonts w:cs="Arial Unicode MS" w:eastAsia="Arial Unicode MS"/>
          <w:rtl w:val="0"/>
          <w:lang w:val="en-US"/>
        </w:rPr>
        <w:t>&gt; [assessed 16th October 2021].</w:t>
      </w:r>
    </w:p>
  </w:footnote>
  <w:footnote w:id="2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Watanabe, John, M., </w:t>
      </w:r>
      <w:r>
        <w:rPr>
          <w:rFonts w:cs="Arial Unicode MS" w:eastAsia="Arial Unicode MS" w:hint="default"/>
          <w:rtl w:val="0"/>
          <w:lang w:val="en-US"/>
        </w:rPr>
        <w:t>‘</w:t>
      </w:r>
      <w:r>
        <w:rPr>
          <w:rFonts w:cs="Arial Unicode MS" w:eastAsia="Arial Unicode MS"/>
          <w:rtl w:val="0"/>
          <w:lang w:val="en-US"/>
        </w:rPr>
        <w:t>In The World Of The Sun: A Cognitive Model of Mayan Cosmology</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rtl w:val="0"/>
          <w:lang w:val="en-US"/>
        </w:rPr>
        <w:t>Man</w:t>
      </w:r>
      <w:r>
        <w:rPr>
          <w:rFonts w:cs="Arial Unicode MS" w:eastAsia="Arial Unicode MS"/>
          <w:rtl w:val="0"/>
          <w:lang w:val="en-US"/>
        </w:rPr>
        <w:t>, 18, 4, 1983, 710-728 &lt;</w:t>
      </w:r>
      <w:r>
        <w:rPr>
          <w:rFonts w:cs="Arial Unicode MS" w:eastAsia="Arial Unicode MS"/>
          <w:rtl w:val="0"/>
        </w:rPr>
        <w:t>https://doi-org.ezproxy.uwtsd.ac.uk/10.2307/2801904</w:t>
      </w:r>
      <w:r>
        <w:rPr>
          <w:rFonts w:cs="Arial Unicode MS" w:eastAsia="Arial Unicode MS"/>
          <w:rtl w:val="0"/>
          <w:lang w:val="en-US"/>
        </w:rPr>
        <w:t>&gt; [assessed 16th October 2021].</w:t>
      </w:r>
    </w:p>
  </w:footnote>
  <w:footnote w:id="2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Mark </w:t>
      </w:r>
      <w:r>
        <w:rPr>
          <w:rFonts w:cs="Arial Unicode MS" w:eastAsia="Arial Unicode MS"/>
          <w:rtl w:val="0"/>
          <w:lang w:val="de-DE"/>
        </w:rPr>
        <w:t xml:space="preserve">Graubard, </w:t>
      </w:r>
      <w:r>
        <w:rPr>
          <w:rFonts w:cs="Arial Unicode MS" w:eastAsia="Arial Unicode MS"/>
          <w:i w:val="1"/>
          <w:iCs w:val="1"/>
          <w:rtl w:val="0"/>
          <w:lang w:val="en-US"/>
        </w:rPr>
        <w:t>Astrology's Demise</w:t>
      </w:r>
      <w:r>
        <w:rPr>
          <w:rFonts w:cs="Arial Unicode MS" w:eastAsia="Arial Unicode MS"/>
          <w:rtl w:val="0"/>
          <w:lang w:val="en-US"/>
        </w:rPr>
        <w:t>, p. 210-212.</w:t>
      </w:r>
    </w:p>
  </w:footnote>
  <w:footnote w:id="2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Graubard, Mark, </w:t>
      </w:r>
      <w:r>
        <w:rPr>
          <w:rFonts w:cs="Arial Unicode MS" w:eastAsia="Arial Unicode MS" w:hint="default"/>
          <w:rtl w:val="0"/>
          <w:lang w:val="en-US"/>
        </w:rPr>
        <w:t>‘</w:t>
      </w:r>
      <w:r>
        <w:rPr>
          <w:rFonts w:cs="Arial Unicode MS" w:eastAsia="Arial Unicode MS"/>
          <w:rtl w:val="0"/>
          <w:lang w:val="en-US"/>
        </w:rPr>
        <w:t>Some Contemporary Observations on Ancient Superstitions</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rtl w:val="0"/>
          <w:lang w:val="en-US"/>
        </w:rPr>
        <w:t>The Journal of American Folklore</w:t>
      </w:r>
      <w:r>
        <w:rPr>
          <w:rFonts w:cs="Arial Unicode MS" w:eastAsia="Arial Unicode MS"/>
          <w:rtl w:val="0"/>
          <w:lang w:val="en-US"/>
        </w:rPr>
        <w:t>, 59, 232, 1946, 124-133 &lt;</w:t>
      </w:r>
      <w:r>
        <w:rPr>
          <w:rFonts w:cs="Arial Unicode MS" w:eastAsia="Arial Unicode MS"/>
          <w:rtl w:val="0"/>
          <w:lang w:val="en-US"/>
        </w:rPr>
        <w:t>https://doi.org/10.2307/536467</w:t>
      </w:r>
      <w:r>
        <w:rPr>
          <w:rFonts w:cs="Arial Unicode MS" w:eastAsia="Arial Unicode MS"/>
          <w:rtl w:val="0"/>
          <w:lang w:val="en-US"/>
        </w:rPr>
        <w:t>&gt; [assessed 16th October 2021].</w:t>
      </w:r>
    </w:p>
  </w:footnote>
  <w:footnote w:id="2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Mark </w:t>
      </w:r>
      <w:r>
        <w:rPr>
          <w:rFonts w:cs="Arial Unicode MS" w:eastAsia="Arial Unicode MS"/>
          <w:rtl w:val="0"/>
          <w:lang w:val="de-DE"/>
        </w:rPr>
        <w:t xml:space="preserve">Graubard, </w:t>
      </w:r>
      <w:r>
        <w:rPr>
          <w:rFonts w:cs="Arial Unicode MS" w:eastAsia="Arial Unicode MS"/>
          <w:i w:val="1"/>
          <w:iCs w:val="1"/>
          <w:rtl w:val="0"/>
          <w:lang w:val="en-US"/>
        </w:rPr>
        <w:t>Astrology's Demise</w:t>
      </w:r>
      <w:r>
        <w:rPr>
          <w:rFonts w:cs="Arial Unicode MS" w:eastAsia="Arial Unicode MS"/>
          <w:rtl w:val="0"/>
          <w:lang w:val="en-US"/>
        </w:rPr>
        <w:t>, p. 210.</w:t>
      </w:r>
    </w:p>
  </w:footnote>
  <w:footnote w:id="29">
    <w:p>
      <w:pPr>
        <w:pStyle w:val="Footnote"/>
        <w:bidi w:val="0"/>
      </w:pPr>
      <w:r>
        <w:rPr>
          <w:vertAlign w:val="superscript"/>
        </w:rPr>
        <w:footnoteRef/>
      </w:r>
      <w:r>
        <w:rPr>
          <w:rFonts w:cs="Arial Unicode MS" w:eastAsia="Arial Unicode MS"/>
          <w:rtl w:val="0"/>
          <w:lang w:val="en-US"/>
        </w:rPr>
        <w:t xml:space="preserve"> Lynn</w:t>
      </w:r>
      <w:r>
        <w:rPr>
          <w:rFonts w:cs="Arial Unicode MS" w:eastAsia="Arial Unicode MS"/>
          <w:rtl w:val="0"/>
          <w:lang w:val="en-US"/>
        </w:rPr>
        <w:t xml:space="preserve"> Thorndike</w:t>
      </w:r>
      <w:r>
        <w:rPr>
          <w:rFonts w:cs="Arial Unicode MS" w:eastAsia="Arial Unicode MS"/>
          <w:rtl w:val="0"/>
        </w:rPr>
        <w:t xml:space="preserve">, </w:t>
      </w:r>
      <w:r>
        <w:rPr>
          <w:rFonts w:cs="Arial Unicode MS" w:eastAsia="Arial Unicode MS"/>
          <w:i w:val="1"/>
          <w:iCs w:val="1"/>
          <w:rtl w:val="0"/>
          <w:lang w:val="en-US"/>
        </w:rPr>
        <w:t>The True Place of Astrology</w:t>
      </w:r>
      <w:r>
        <w:rPr>
          <w:rFonts w:cs="Arial Unicode MS" w:eastAsia="Arial Unicode MS"/>
          <w:rtl w:val="0"/>
          <w:lang w:val="en-US"/>
        </w:rPr>
        <w:t>, p. 273-278</w:t>
      </w:r>
    </w:p>
  </w:footnote>
  <w:footnote w:id="30">
    <w:p>
      <w:pPr>
        <w:pStyle w:val="Footnote"/>
        <w:bidi w:val="0"/>
      </w:pPr>
      <w:r>
        <w:rPr>
          <w:vertAlign w:val="superscript"/>
        </w:rPr>
        <w:footnoteRef/>
      </w:r>
      <w:r>
        <w:rPr>
          <w:rFonts w:cs="Arial Unicode MS" w:eastAsia="Arial Unicode MS"/>
          <w:rtl w:val="0"/>
          <w:lang w:val="en-US"/>
        </w:rPr>
        <w:t xml:space="preserve"> Lynn</w:t>
      </w:r>
      <w:r>
        <w:rPr>
          <w:rFonts w:cs="Arial Unicode MS" w:eastAsia="Arial Unicode MS"/>
          <w:rtl w:val="0"/>
          <w:lang w:val="en-US"/>
        </w:rPr>
        <w:t xml:space="preserve"> Thorndike</w:t>
      </w:r>
      <w:r>
        <w:rPr>
          <w:rFonts w:cs="Arial Unicode MS" w:eastAsia="Arial Unicode MS"/>
          <w:rtl w:val="0"/>
        </w:rPr>
        <w:t xml:space="preserve">, </w:t>
      </w:r>
      <w:r>
        <w:rPr>
          <w:rFonts w:cs="Arial Unicode MS" w:eastAsia="Arial Unicode MS"/>
          <w:i w:val="1"/>
          <w:iCs w:val="1"/>
          <w:rtl w:val="0"/>
          <w:lang w:val="en-US"/>
        </w:rPr>
        <w:t>The True Place of Astrology</w:t>
      </w:r>
      <w:r>
        <w:rPr>
          <w:rFonts w:cs="Arial Unicode MS" w:eastAsia="Arial Unicode MS"/>
          <w:rtl w:val="0"/>
          <w:lang w:val="en-US"/>
        </w:rPr>
        <w:t>, p. 276.</w:t>
      </w:r>
    </w:p>
  </w:footnote>
  <w:footnote w:id="3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Mark </w:t>
      </w:r>
      <w:r>
        <w:rPr>
          <w:rFonts w:cs="Arial Unicode MS" w:eastAsia="Arial Unicode MS"/>
          <w:rtl w:val="0"/>
          <w:lang w:val="de-DE"/>
        </w:rPr>
        <w:t xml:space="preserve">Graubard, </w:t>
      </w:r>
      <w:r>
        <w:rPr>
          <w:rFonts w:cs="Arial Unicode MS" w:eastAsia="Arial Unicode MS"/>
          <w:i w:val="1"/>
          <w:iCs w:val="1"/>
          <w:rtl w:val="0"/>
          <w:lang w:val="en-US"/>
        </w:rPr>
        <w:t>Astrology's Demise</w:t>
      </w:r>
      <w:r>
        <w:rPr>
          <w:rFonts w:cs="Arial Unicode MS" w:eastAsia="Arial Unicode MS"/>
          <w:rtl w:val="0"/>
          <w:lang w:val="en-US"/>
        </w:rPr>
        <w:t>, p. 210, 216, 222, 223, 224, 230, 231, 241, 245, 247, 249, 251, 253.</w:t>
      </w:r>
    </w:p>
  </w:footnote>
  <w:footnote w:id="32">
    <w:p>
      <w:pPr>
        <w:pStyle w:val="Footnote"/>
        <w:bidi w:val="0"/>
      </w:pPr>
      <w:r>
        <w:rPr>
          <w:vertAlign w:val="superscript"/>
        </w:rPr>
        <w:footnoteRef/>
      </w:r>
      <w:r>
        <w:rPr>
          <w:rFonts w:cs="Arial Unicode MS" w:eastAsia="Arial Unicode MS"/>
          <w:rtl w:val="0"/>
          <w:lang w:val="en-US"/>
        </w:rPr>
        <w:t xml:space="preserve"> Mark </w:t>
      </w:r>
      <w:r>
        <w:rPr>
          <w:rFonts w:cs="Arial Unicode MS" w:eastAsia="Arial Unicode MS"/>
          <w:rtl w:val="0"/>
          <w:lang w:val="de-DE"/>
        </w:rPr>
        <w:t xml:space="preserve">Graubard, </w:t>
      </w:r>
      <w:r>
        <w:rPr>
          <w:rFonts w:cs="Arial Unicode MS" w:eastAsia="Arial Unicode MS"/>
          <w:i w:val="1"/>
          <w:iCs w:val="1"/>
          <w:rtl w:val="0"/>
          <w:lang w:val="en-US"/>
        </w:rPr>
        <w:t>Astrology's Demise</w:t>
      </w:r>
      <w:r>
        <w:rPr>
          <w:rFonts w:cs="Arial Unicode MS" w:eastAsia="Arial Unicode MS"/>
          <w:rtl w:val="0"/>
          <w:lang w:val="en-US"/>
        </w:rPr>
        <w:t>, p. 210, 216, 222, 224, 245, 247, 251, 253.</w:t>
      </w:r>
    </w:p>
  </w:footnote>
  <w:footnote w:id="3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Hennick et.al., </w:t>
      </w:r>
      <w:r>
        <w:rPr>
          <w:rFonts w:cs="Arial Unicode MS" w:eastAsia="Arial Unicode MS"/>
          <w:i w:val="1"/>
          <w:iCs w:val="1"/>
          <w:rtl w:val="0"/>
          <w:lang w:val="en-US"/>
        </w:rPr>
        <w:t>Qualitative Research Methods, p. 71.</w:t>
      </w:r>
    </w:p>
  </w:footnote>
  <w:footnote w:id="3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Mavrogenis, Andreas F., Quaile, Andrew &amp; Scarlat, Marius M., </w:t>
      </w:r>
      <w:r>
        <w:rPr>
          <w:rFonts w:cs="Arial Unicode MS" w:eastAsia="Arial Unicode MS" w:hint="default"/>
          <w:rtl w:val="0"/>
          <w:lang w:val="en-US"/>
        </w:rPr>
        <w:t>‘</w:t>
      </w:r>
      <w:r>
        <w:rPr>
          <w:rFonts w:cs="Arial Unicode MS" w:eastAsia="Arial Unicode MS"/>
          <w:rtl w:val="0"/>
          <w:lang w:val="en-US"/>
        </w:rPr>
        <w:t>The Good, The Bad And The Rude Peer-Review</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rtl w:val="0"/>
          <w:lang w:val="en-US"/>
        </w:rPr>
        <w:t>International Orthopaedics</w:t>
      </w:r>
      <w:r>
        <w:rPr>
          <w:rFonts w:cs="Arial Unicode MS" w:eastAsia="Arial Unicode MS"/>
          <w:rtl w:val="0"/>
          <w:lang w:val="en-US"/>
        </w:rPr>
        <w:t xml:space="preserve"> 44, 2020, 413-415, p. 414 </w:t>
      </w:r>
      <w:r>
        <w:rPr>
          <w:rFonts w:cs="Arial Unicode MS" w:eastAsia="Arial Unicode MS"/>
          <w:rtl w:val="0"/>
          <w:lang w:val="en-US"/>
        </w:rPr>
        <w:t>&lt;https://doi.org/10.1007/s00264-020-04504-1&gt; [assessed 1st November 2021]</w:t>
      </w:r>
      <w:r>
        <w:rPr>
          <w:rFonts w:cs="Arial Unicode MS" w:eastAsia="Arial Unicode MS"/>
          <w:rtl w:val="0"/>
          <w:lang w:val="en-US"/>
        </w:rPr>
        <w:t>.</w:t>
      </w:r>
    </w:p>
  </w:footnote>
  <w:footnote w:id="3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Bell and Waters, </w:t>
      </w:r>
      <w:r>
        <w:rPr>
          <w:rFonts w:cs="Arial Unicode MS" w:eastAsia="Arial Unicode MS"/>
          <w:i w:val="1"/>
          <w:iCs w:val="1"/>
          <w:rtl w:val="0"/>
          <w:lang w:val="en-US"/>
        </w:rPr>
        <w:t>Doing Your Research Project</w:t>
      </w:r>
      <w:r>
        <w:rPr>
          <w:rFonts w:cs="Arial Unicode MS" w:eastAsia="Arial Unicode MS"/>
          <w:rtl w:val="0"/>
          <w:lang w:val="en-US"/>
        </w:rPr>
        <w:t>, p. 124-136.</w:t>
      </w:r>
    </w:p>
  </w:footnote>
  <w:footnote w:id="3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Mark </w:t>
      </w:r>
      <w:r>
        <w:rPr>
          <w:rFonts w:cs="Arial Unicode MS" w:eastAsia="Arial Unicode MS"/>
          <w:rtl w:val="0"/>
          <w:lang w:val="de-DE"/>
        </w:rPr>
        <w:t xml:space="preserve">Graubard, </w:t>
      </w:r>
      <w:r>
        <w:rPr>
          <w:rFonts w:cs="Arial Unicode MS" w:eastAsia="Arial Unicode MS"/>
          <w:i w:val="1"/>
          <w:iCs w:val="1"/>
          <w:rtl w:val="0"/>
          <w:lang w:val="en-US"/>
        </w:rPr>
        <w:t>Astrology's Demise</w:t>
      </w:r>
      <w:r>
        <w:rPr>
          <w:rFonts w:cs="Arial Unicode MS" w:eastAsia="Arial Unicode MS"/>
          <w:rtl w:val="0"/>
          <w:lang w:val="en-US"/>
        </w:rPr>
        <w:t>, p. 211-212.</w:t>
      </w:r>
    </w:p>
  </w:footnote>
  <w:footnote w:id="37">
    <w:p>
      <w:pPr>
        <w:pStyle w:val="Footnote"/>
        <w:bidi w:val="0"/>
      </w:pPr>
      <w:r>
        <w:rPr>
          <w:vertAlign w:val="superscript"/>
        </w:rPr>
        <w:footnoteRef/>
      </w:r>
      <w:r>
        <w:rPr>
          <w:rFonts w:cs="Arial Unicode MS" w:eastAsia="Arial Unicode MS"/>
          <w:rtl w:val="0"/>
          <w:lang w:val="en-US"/>
        </w:rPr>
        <w:t xml:space="preserve"> Wayne</w:t>
      </w:r>
      <w:r>
        <w:rPr>
          <w:rFonts w:cs="Arial Unicode MS" w:eastAsia="Arial Unicode MS"/>
          <w:rtl w:val="0"/>
          <w:lang w:val="en-US"/>
        </w:rPr>
        <w:t xml:space="preserve"> Elzey</w:t>
      </w:r>
      <w:r>
        <w:rPr>
          <w:rFonts w:cs="Arial Unicode MS" w:eastAsia="Arial Unicode MS"/>
          <w:rtl w:val="0"/>
        </w:rPr>
        <w:t xml:space="preserve">, </w:t>
      </w:r>
      <w:r>
        <w:rPr>
          <w:rFonts w:cs="Arial Unicode MS" w:eastAsia="Arial Unicode MS"/>
          <w:i w:val="1"/>
          <w:iCs w:val="1"/>
          <w:rtl w:val="0"/>
          <w:lang w:val="en-US"/>
        </w:rPr>
        <w:t>The Nahua Myth of the Suns</w:t>
      </w:r>
      <w:r>
        <w:rPr>
          <w:rFonts w:cs="Arial Unicode MS" w:eastAsia="Arial Unicode MS"/>
          <w:rtl w:val="0"/>
          <w:lang w:val="en-US"/>
        </w:rPr>
        <w:t>, p. 116.</w:t>
      </w:r>
    </w:p>
  </w:footnote>
  <w:footnote w:id="3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Ibid, p. 134.</w:t>
      </w:r>
    </w:p>
  </w:footnote>
  <w:footnote w:id="3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Ibid, p.134.</w:t>
      </w:r>
    </w:p>
  </w:footnote>
  <w:footnote w:id="40">
    <w:p>
      <w:pPr>
        <w:pStyle w:val="Footnote"/>
        <w:bidi w:val="0"/>
      </w:pPr>
      <w:r>
        <w:rPr>
          <w:vertAlign w:val="superscript"/>
        </w:rPr>
        <w:footnoteRef/>
      </w:r>
      <w:r>
        <w:rPr>
          <w:rFonts w:cs="Arial Unicode MS" w:eastAsia="Arial Unicode MS"/>
          <w:rtl w:val="0"/>
          <w:lang w:val="en-US"/>
        </w:rPr>
        <w:t xml:space="preserve"> Wayne Elzey, </w:t>
      </w:r>
      <w:r>
        <w:rPr>
          <w:rFonts w:cs="Arial Unicode MS" w:eastAsia="Arial Unicode MS"/>
          <w:i w:val="1"/>
          <w:iCs w:val="1"/>
          <w:rtl w:val="0"/>
          <w:lang w:val="en-US"/>
        </w:rPr>
        <w:t>The Nahua Myth of the Suns</w:t>
      </w:r>
      <w:r>
        <w:rPr>
          <w:rFonts w:cs="Arial Unicode MS" w:eastAsia="Arial Unicode MS"/>
          <w:rtl w:val="0"/>
          <w:lang w:val="en-US"/>
        </w:rPr>
        <w:t>, p.114-135</w:t>
      </w:r>
      <w:r>
        <w:rPr>
          <w:rFonts w:cs="Arial Unicode MS" w:eastAsia="Arial Unicode MS"/>
          <w:i w:val="1"/>
          <w:iCs w:val="1"/>
          <w:rtl w:val="0"/>
          <w:lang w:val="en-US"/>
        </w:rPr>
        <w:t xml:space="preserve">. </w:t>
      </w:r>
      <w:r>
        <w:rPr>
          <w:rFonts w:cs="Arial Unicode MS" w:eastAsia="Arial Unicode MS"/>
          <w:rtl w:val="0"/>
          <w:lang w:val="en-US"/>
        </w:rPr>
        <w:t xml:space="preserve">Mark </w:t>
      </w:r>
      <w:r>
        <w:rPr>
          <w:rFonts w:cs="Arial Unicode MS" w:eastAsia="Arial Unicode MS"/>
          <w:rtl w:val="0"/>
          <w:lang w:val="de-DE"/>
        </w:rPr>
        <w:t xml:space="preserve">Graubard, </w:t>
      </w:r>
      <w:r>
        <w:rPr>
          <w:rFonts w:cs="Arial Unicode MS" w:eastAsia="Arial Unicode MS"/>
          <w:i w:val="1"/>
          <w:iCs w:val="1"/>
          <w:rtl w:val="0"/>
          <w:lang w:val="en-US"/>
        </w:rPr>
        <w:t>Astrology's Demise</w:t>
      </w:r>
      <w:r>
        <w:rPr>
          <w:rFonts w:cs="Arial Unicode MS" w:eastAsia="Arial Unicode MS"/>
          <w:rtl w:val="0"/>
          <w:lang w:val="en-US"/>
        </w:rPr>
        <w:t>, 210-261</w:t>
      </w:r>
      <w:r>
        <w:rPr>
          <w:rFonts w:cs="Arial Unicode MS" w:eastAsia="Arial Unicode MS"/>
          <w:rtl w:val="0"/>
        </w:rPr>
        <w:t>.</w:t>
      </w:r>
    </w:p>
  </w:footnote>
  <w:footnote w:id="4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Eagleton, Terry, </w:t>
      </w:r>
      <w:r>
        <w:rPr>
          <w:rFonts w:cs="Arial Unicode MS" w:eastAsia="Arial Unicode MS"/>
          <w:i w:val="1"/>
          <w:iCs w:val="1"/>
          <w:rtl w:val="0"/>
          <w:lang w:val="en-US"/>
        </w:rPr>
        <w:t>Culture</w:t>
      </w:r>
      <w:r>
        <w:rPr>
          <w:rFonts w:cs="Arial Unicode MS" w:eastAsia="Arial Unicode MS"/>
          <w:rtl w:val="0"/>
          <w:lang w:val="en-US"/>
        </w:rPr>
        <w:t xml:space="preserve">, paperback edition (New Haven and London: Yale University Press), p. 1. </w:t>
      </w:r>
      <w:r>
        <w:rPr>
          <w:rFonts w:cs="Arial Unicode MS" w:eastAsia="Arial Unicode MS"/>
          <w:rtl w:val="0"/>
          <w:lang w:val="en-US"/>
        </w:rPr>
        <w:t>Wayne</w:t>
      </w:r>
      <w:r>
        <w:rPr>
          <w:rFonts w:cs="Arial Unicode MS" w:eastAsia="Arial Unicode MS"/>
          <w:rtl w:val="0"/>
          <w:lang w:val="en-US"/>
        </w:rPr>
        <w:t xml:space="preserve"> Elzey</w:t>
      </w:r>
      <w:r>
        <w:rPr>
          <w:rFonts w:cs="Arial Unicode MS" w:eastAsia="Arial Unicode MS"/>
          <w:rtl w:val="0"/>
        </w:rPr>
        <w:t xml:space="preserve">, </w:t>
      </w:r>
      <w:r>
        <w:rPr>
          <w:rFonts w:cs="Arial Unicode MS" w:eastAsia="Arial Unicode MS"/>
          <w:i w:val="1"/>
          <w:iCs w:val="1"/>
          <w:rtl w:val="0"/>
          <w:lang w:val="en-US"/>
        </w:rPr>
        <w:t>The Nahua Myth of the Suns</w:t>
      </w:r>
      <w:r>
        <w:rPr>
          <w:rFonts w:cs="Arial Unicode MS" w:eastAsia="Arial Unicode MS"/>
          <w:rtl w:val="0"/>
          <w:lang w:val="en-US"/>
        </w:rPr>
        <w:t xml:space="preserve">, p. 114. Mark </w:t>
      </w:r>
      <w:r>
        <w:rPr>
          <w:rFonts w:cs="Arial Unicode MS" w:eastAsia="Arial Unicode MS"/>
          <w:rtl w:val="0"/>
          <w:lang w:val="de-DE"/>
        </w:rPr>
        <w:t xml:space="preserve">Graubard, </w:t>
      </w:r>
      <w:r>
        <w:rPr>
          <w:rFonts w:cs="Arial Unicode MS" w:eastAsia="Arial Unicode MS"/>
          <w:i w:val="1"/>
          <w:iCs w:val="1"/>
          <w:rtl w:val="0"/>
          <w:lang w:val="en-US"/>
        </w:rPr>
        <w:t>Astrology's Demise</w:t>
      </w:r>
      <w:r>
        <w:rPr>
          <w:rFonts w:cs="Arial Unicode MS" w:eastAsia="Arial Unicode MS"/>
          <w:rtl w:val="0"/>
          <w:lang w:val="en-US"/>
        </w:rPr>
        <w:t>, p. 210-211.</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A Critical Comparison of two Secondary Sources by Tina Jensen Friis Auster , October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3.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A Critical Comparison of two Secondary Sources by Tina Jensen Friis Auster , October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4.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A Critical Comparison of two Secondary Sources by Tina Jensen Friis Auster , October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5.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A Critical Comparison of two Secondary Sources by Tina Jensen Friis Auster , October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6.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A Critical Comparison of two Secondary Sources by Tina Jensen Friis Auster , October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7.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A Critical Comparison of two Secondary Sources by Tina Jensen Friis Auster , October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8.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A Critical Comparison of two Secondary Sources by Tina Jensen Friis Auster , October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9.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A Critical Comparison of two Secondary Sources by Tina Jensen Friis Auster , March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Georgia" w:cs="Arial Unicode MS" w:hAnsi="Georgia" w:eastAsia="Arial Unicode MS"/>
      <w:b w:val="0"/>
      <w:bCs w:val="0"/>
      <w:i w:val="0"/>
      <w:iCs w:val="0"/>
      <w:caps w:val="0"/>
      <w:smallCaps w:val="0"/>
      <w:strike w:val="0"/>
      <w:dstrike w:val="0"/>
      <w:outline w:val="0"/>
      <w:color w:val="000000"/>
      <w:spacing w:val="0"/>
      <w:kern w:val="0"/>
      <w:position w:val="0"/>
      <w:sz w:val="21"/>
      <w:szCs w:val="21"/>
      <w:u w:val="none" w:color="000000"/>
      <w:shd w:val="nil" w:color="auto" w:fill="auto"/>
      <w:vertAlign w:val="baseline"/>
      <w:lang w:val="en-US"/>
      <w14:textFill>
        <w14:solidFill>
          <w14:srgbClr w14:val="000000"/>
        </w14:solidFill>
      </w14:textFill>
    </w:rPr>
  </w:style>
  <w:style w:type="paragraph" w:styleId="Heading 3">
    <w:name w:val="Heading 3"/>
    <w:next w:val="Heading 3"/>
    <w:pPr>
      <w:keepNext w:val="1"/>
      <w:keepLines w:val="0"/>
      <w:pageBreakBefore w:val="0"/>
      <w:widowControl w:val="1"/>
      <w:shd w:val="clear" w:color="auto" w:fill="auto"/>
      <w:suppressAutoHyphens w:val="0"/>
      <w:bidi w:val="0"/>
      <w:spacing w:before="0" w:after="0" w:line="240" w:lineRule="auto"/>
      <w:ind w:left="720" w:right="0" w:firstLine="0"/>
      <w:jc w:val="both"/>
      <w:outlineLvl w:val="2"/>
    </w:pPr>
    <w:rPr>
      <w:rFonts w:ascii="Tahoma" w:cs="Arial Unicode MS" w:hAnsi="Tahoma" w:eastAsia="Arial Unicode MS"/>
      <w:b w:val="1"/>
      <w:bCs w:val="1"/>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Palatino" w:cs="Palatino" w:hAnsi="Palatino" w:eastAsia="Palatino"/>
      <w:b w:val="0"/>
      <w:bCs w:val="0"/>
      <w:i w:val="0"/>
      <w:iCs w:val="0"/>
      <w:caps w:val="0"/>
      <w:smallCaps w:val="0"/>
      <w:strike w:val="0"/>
      <w:dstrike w:val="0"/>
      <w:outline w:val="0"/>
      <w:color w:val="000000"/>
      <w:spacing w:val="0"/>
      <w:kern w:val="0"/>
      <w:position w:val="0"/>
      <w:sz w:val="18"/>
      <w:szCs w:val="18"/>
      <w:u w:val="none"/>
      <w:shd w:val="nil" w:color="auto" w:fill="auto"/>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header" Target="header2.xml"/><Relationship Id="rId8" Type="http://schemas.openxmlformats.org/officeDocument/2006/relationships/footer" Target="footer2.xml"/><Relationship Id="rId9" Type="http://schemas.openxmlformats.org/officeDocument/2006/relationships/header" Target="header3.xml"/><Relationship Id="rId10" Type="http://schemas.openxmlformats.org/officeDocument/2006/relationships/footer" Target="footer3.xml"/><Relationship Id="rId11" Type="http://schemas.openxmlformats.org/officeDocument/2006/relationships/header" Target="header4.xml"/><Relationship Id="rId12" Type="http://schemas.openxmlformats.org/officeDocument/2006/relationships/footer" Target="footer4.xml"/><Relationship Id="rId13" Type="http://schemas.openxmlformats.org/officeDocument/2006/relationships/header" Target="header5.xml"/><Relationship Id="rId14" Type="http://schemas.openxmlformats.org/officeDocument/2006/relationships/footer" Target="footer5.xml"/><Relationship Id="rId15" Type="http://schemas.openxmlformats.org/officeDocument/2006/relationships/header" Target="header6.xml"/><Relationship Id="rId16" Type="http://schemas.openxmlformats.org/officeDocument/2006/relationships/footer" Target="footer6.xml"/><Relationship Id="rId17" Type="http://schemas.openxmlformats.org/officeDocument/2006/relationships/header" Target="header7.xml"/><Relationship Id="rId18" Type="http://schemas.openxmlformats.org/officeDocument/2006/relationships/footer" Target="footer7.xml"/><Relationship Id="rId19" Type="http://schemas.openxmlformats.org/officeDocument/2006/relationships/header" Target="header8.xml"/><Relationship Id="rId20" Type="http://schemas.openxmlformats.org/officeDocument/2006/relationships/footer" Target="footer8.xml"/><Relationship Id="rId21" Type="http://schemas.openxmlformats.org/officeDocument/2006/relationships/header" Target="header9.xml"/><Relationship Id="rId22" Type="http://schemas.openxmlformats.org/officeDocument/2006/relationships/footer" Target="footer9.xml"/><Relationship Id="rId23" Type="http://schemas.openxmlformats.org/officeDocument/2006/relationships/footnotes" Target="footnotes.xml"/><Relationship Id="rId24"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a:themeElements>
    <a:clrScheme name="Offic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a:majorFont>
        <a:latin typeface="Helvetica Neue"/>
        <a:ea typeface="Helvetica Neue"/>
        <a:cs typeface="Helvetica Neue"/>
      </a:majorFont>
      <a:minorFont>
        <a:latin typeface="Helvetica Neue"/>
        <a:ea typeface="Helvetica Neue"/>
        <a:cs typeface="Helvetica Neu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