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C9F40" w14:textId="47BFCE80" w:rsidR="006D0A4D" w:rsidRPr="00C32CC8" w:rsidRDefault="006D0A4D" w:rsidP="006D0A4D">
      <w:pPr>
        <w:jc w:val="center"/>
        <w:rPr>
          <w:rFonts w:ascii="Arial" w:hAnsi="Arial" w:cs="Arial"/>
          <w:sz w:val="24"/>
          <w:szCs w:val="24"/>
        </w:rPr>
      </w:pPr>
      <w:r w:rsidRPr="00C32CC8">
        <w:rPr>
          <w:rFonts w:ascii="Arial" w:hAnsi="Arial" w:cs="Arial"/>
          <w:sz w:val="24"/>
          <w:szCs w:val="24"/>
        </w:rPr>
        <w:t>Reform of Homicide</w:t>
      </w:r>
    </w:p>
    <w:p w14:paraId="5AFFF13D" w14:textId="7E63326E" w:rsidR="006D0A4D" w:rsidRPr="00C32CC8" w:rsidRDefault="006D0A4D" w:rsidP="006D0A4D">
      <w:pPr>
        <w:rPr>
          <w:rFonts w:ascii="Arial" w:hAnsi="Arial" w:cs="Arial"/>
          <w:sz w:val="24"/>
          <w:szCs w:val="24"/>
        </w:rPr>
      </w:pPr>
      <w:r w:rsidRPr="00C32CC8">
        <w:rPr>
          <w:rFonts w:ascii="Arial" w:hAnsi="Arial" w:cs="Arial"/>
          <w:sz w:val="24"/>
          <w:szCs w:val="24"/>
        </w:rPr>
        <w:t xml:space="preserve">This essay will assess whether the law governing homicide in England and Wales </w:t>
      </w:r>
      <w:proofErr w:type="gramStart"/>
      <w:r w:rsidRPr="00C32CC8">
        <w:rPr>
          <w:rFonts w:ascii="Arial" w:hAnsi="Arial" w:cs="Arial"/>
          <w:sz w:val="24"/>
          <w:szCs w:val="24"/>
        </w:rPr>
        <w:t>is in need of</w:t>
      </w:r>
      <w:proofErr w:type="gramEnd"/>
      <w:r w:rsidRPr="00C32CC8">
        <w:rPr>
          <w:rFonts w:ascii="Arial" w:hAnsi="Arial" w:cs="Arial"/>
          <w:sz w:val="24"/>
          <w:szCs w:val="24"/>
        </w:rPr>
        <w:t xml:space="preserve"> reform, outlining the current law and some of </w:t>
      </w:r>
      <w:r w:rsidR="00655001" w:rsidRPr="00C32CC8">
        <w:rPr>
          <w:rFonts w:ascii="Arial" w:hAnsi="Arial" w:cs="Arial"/>
          <w:sz w:val="24"/>
          <w:szCs w:val="24"/>
        </w:rPr>
        <w:t>its</w:t>
      </w:r>
      <w:r w:rsidRPr="00C32CC8">
        <w:rPr>
          <w:rFonts w:ascii="Arial" w:hAnsi="Arial" w:cs="Arial"/>
          <w:sz w:val="24"/>
          <w:szCs w:val="24"/>
        </w:rPr>
        <w:t xml:space="preserve"> key issues, </w:t>
      </w:r>
      <w:r w:rsidR="00655001" w:rsidRPr="00C32CC8">
        <w:rPr>
          <w:rFonts w:ascii="Arial" w:hAnsi="Arial" w:cs="Arial"/>
          <w:sz w:val="24"/>
          <w:szCs w:val="24"/>
        </w:rPr>
        <w:t xml:space="preserve">as well as discussing proposals put forward by the Law Commission and other bodies. The government’s decisions on these proposals will be assessed, and arguments against reform will also be discussed. </w:t>
      </w:r>
    </w:p>
    <w:p w14:paraId="3611669E" w14:textId="0866C002" w:rsidR="00655001" w:rsidRPr="00C32CC8" w:rsidRDefault="00655001" w:rsidP="00500EAD">
      <w:pPr>
        <w:rPr>
          <w:rFonts w:ascii="Arial" w:hAnsi="Arial" w:cs="Arial"/>
          <w:sz w:val="24"/>
          <w:szCs w:val="24"/>
        </w:rPr>
      </w:pPr>
      <w:r w:rsidRPr="00C32CC8">
        <w:rPr>
          <w:rFonts w:ascii="Arial" w:hAnsi="Arial" w:cs="Arial"/>
          <w:sz w:val="24"/>
          <w:szCs w:val="24"/>
        </w:rPr>
        <w:t xml:space="preserve">The current law on homicide in England and Wales is based on two </w:t>
      </w:r>
      <w:proofErr w:type="gramStart"/>
      <w:r w:rsidRPr="00C32CC8">
        <w:rPr>
          <w:rFonts w:ascii="Arial" w:hAnsi="Arial" w:cs="Arial"/>
          <w:sz w:val="24"/>
          <w:szCs w:val="24"/>
        </w:rPr>
        <w:t>factors;</w:t>
      </w:r>
      <w:proofErr w:type="gramEnd"/>
      <w:r w:rsidRPr="00C32CC8">
        <w:rPr>
          <w:rFonts w:ascii="Arial" w:hAnsi="Arial" w:cs="Arial"/>
          <w:sz w:val="24"/>
          <w:szCs w:val="24"/>
        </w:rPr>
        <w:t xml:space="preserve"> </w:t>
      </w:r>
      <w:r w:rsidR="00330A8C">
        <w:rPr>
          <w:rFonts w:ascii="Arial" w:hAnsi="Arial" w:cs="Arial"/>
          <w:sz w:val="24"/>
          <w:szCs w:val="24"/>
        </w:rPr>
        <w:t>a</w:t>
      </w:r>
      <w:r w:rsidRPr="00C32CC8">
        <w:rPr>
          <w:rFonts w:ascii="Arial" w:hAnsi="Arial" w:cs="Arial"/>
          <w:sz w:val="24"/>
          <w:szCs w:val="24"/>
        </w:rPr>
        <w:t xml:space="preserve">ctus reus and </w:t>
      </w:r>
      <w:proofErr w:type="spellStart"/>
      <w:r w:rsidR="00330A8C">
        <w:rPr>
          <w:rFonts w:ascii="Arial" w:hAnsi="Arial" w:cs="Arial"/>
          <w:sz w:val="24"/>
          <w:szCs w:val="24"/>
        </w:rPr>
        <w:t>m</w:t>
      </w:r>
      <w:r w:rsidRPr="00C32CC8">
        <w:rPr>
          <w:rFonts w:ascii="Arial" w:hAnsi="Arial" w:cs="Arial"/>
          <w:sz w:val="24"/>
          <w:szCs w:val="24"/>
        </w:rPr>
        <w:t>ens</w:t>
      </w:r>
      <w:proofErr w:type="spellEnd"/>
      <w:r w:rsidRPr="00C32CC8">
        <w:rPr>
          <w:rFonts w:ascii="Arial" w:hAnsi="Arial" w:cs="Arial"/>
          <w:sz w:val="24"/>
          <w:szCs w:val="24"/>
        </w:rPr>
        <w:t xml:space="preserve"> rea. Actus reus is the act of an unlawful killing or another person, and </w:t>
      </w:r>
      <w:proofErr w:type="spellStart"/>
      <w:r w:rsidRPr="00C32CC8">
        <w:rPr>
          <w:rFonts w:ascii="Arial" w:hAnsi="Arial" w:cs="Arial"/>
          <w:sz w:val="24"/>
          <w:szCs w:val="24"/>
        </w:rPr>
        <w:t>mens</w:t>
      </w:r>
      <w:proofErr w:type="spellEnd"/>
      <w:r w:rsidRPr="00C32CC8">
        <w:rPr>
          <w:rFonts w:ascii="Arial" w:hAnsi="Arial" w:cs="Arial"/>
          <w:sz w:val="24"/>
          <w:szCs w:val="24"/>
        </w:rPr>
        <w:t xml:space="preserve"> rea is the intention to cause death or grievous bodily harm to the victim (Herring, 2022, p.222). These two factors equate to the offence of murder in the eyes of the law in England and Wales. </w:t>
      </w:r>
      <w:r w:rsidR="00253521" w:rsidRPr="00C32CC8">
        <w:rPr>
          <w:rFonts w:ascii="Arial" w:hAnsi="Arial" w:cs="Arial"/>
          <w:sz w:val="24"/>
          <w:szCs w:val="24"/>
        </w:rPr>
        <w:t xml:space="preserve">In terms of criminal law, homicide can be broken down into the following categories: murder, manslaughter, infanticide, and </w:t>
      </w:r>
      <w:proofErr w:type="gramStart"/>
      <w:r w:rsidR="00253521" w:rsidRPr="00C32CC8">
        <w:rPr>
          <w:rFonts w:ascii="Arial" w:hAnsi="Arial" w:cs="Arial"/>
          <w:sz w:val="24"/>
          <w:szCs w:val="24"/>
        </w:rPr>
        <w:t>a number of</w:t>
      </w:r>
      <w:proofErr w:type="gramEnd"/>
      <w:r w:rsidR="00253521" w:rsidRPr="00C32CC8">
        <w:rPr>
          <w:rFonts w:ascii="Arial" w:hAnsi="Arial" w:cs="Arial"/>
          <w:sz w:val="24"/>
          <w:szCs w:val="24"/>
        </w:rPr>
        <w:t xml:space="preserve"> specialised offences involving killing someone while operating a motor vehicle</w:t>
      </w:r>
      <w:r w:rsidR="00253521" w:rsidRPr="00C32CC8">
        <w:rPr>
          <w:rFonts w:ascii="Arial" w:hAnsi="Arial" w:cs="Arial"/>
          <w:sz w:val="24"/>
          <w:szCs w:val="24"/>
        </w:rPr>
        <w:t xml:space="preserve"> (</w:t>
      </w:r>
      <w:r w:rsidR="00C3335F" w:rsidRPr="00C32CC8">
        <w:rPr>
          <w:rFonts w:ascii="Arial" w:hAnsi="Arial" w:cs="Arial"/>
          <w:sz w:val="24"/>
          <w:szCs w:val="24"/>
        </w:rPr>
        <w:t xml:space="preserve">Herring, 2022, p.221). </w:t>
      </w:r>
      <w:r w:rsidRPr="00C32CC8">
        <w:rPr>
          <w:rFonts w:ascii="Arial" w:hAnsi="Arial" w:cs="Arial"/>
          <w:sz w:val="24"/>
          <w:szCs w:val="24"/>
        </w:rPr>
        <w:t>Defences for murder include loss of control, where the defendant shows that during the time of the offence, they had lost control due to a ‘qualifying trigger’</w:t>
      </w:r>
      <w:r w:rsidR="009B0E57" w:rsidRPr="00C32CC8">
        <w:rPr>
          <w:rFonts w:ascii="Arial" w:hAnsi="Arial" w:cs="Arial"/>
          <w:sz w:val="24"/>
          <w:szCs w:val="24"/>
        </w:rPr>
        <w:t xml:space="preserve"> and that a person of normal mind would have responded in the same way. If successful, the defendant will be charged with manslaughter instead of murder. Another defence where if successful would have the same outcome is diminished responsibility, where the defendant would need to prove that they had an abnormal mental functioning which impacted their understanding of the crime (Herring, 2022, p.220). </w:t>
      </w:r>
      <w:r w:rsidR="009B0E57" w:rsidRPr="00C32CC8">
        <w:rPr>
          <w:rFonts w:ascii="Arial" w:hAnsi="Arial" w:cs="Arial"/>
          <w:sz w:val="24"/>
          <w:szCs w:val="24"/>
        </w:rPr>
        <w:t>The Law Commission</w:t>
      </w:r>
      <w:r w:rsidR="00DE4D3D" w:rsidRPr="00C32CC8">
        <w:rPr>
          <w:rFonts w:ascii="Arial" w:hAnsi="Arial" w:cs="Arial"/>
          <w:sz w:val="24"/>
          <w:szCs w:val="24"/>
        </w:rPr>
        <w:t xml:space="preserve"> (2005)</w:t>
      </w:r>
      <w:r w:rsidR="009B0E57" w:rsidRPr="00C32CC8">
        <w:rPr>
          <w:rFonts w:ascii="Arial" w:hAnsi="Arial" w:cs="Arial"/>
          <w:sz w:val="24"/>
          <w:szCs w:val="24"/>
        </w:rPr>
        <w:t xml:space="preserve"> has advocated</w:t>
      </w:r>
      <w:r w:rsidR="00ED6761">
        <w:rPr>
          <w:rFonts w:ascii="Arial" w:hAnsi="Arial" w:cs="Arial"/>
          <w:sz w:val="24"/>
          <w:szCs w:val="24"/>
        </w:rPr>
        <w:t xml:space="preserve"> for</w:t>
      </w:r>
      <w:r w:rsidR="009B0E57" w:rsidRPr="00C32CC8">
        <w:rPr>
          <w:rFonts w:ascii="Arial" w:hAnsi="Arial" w:cs="Arial"/>
          <w:sz w:val="24"/>
          <w:szCs w:val="24"/>
        </w:rPr>
        <w:t xml:space="preserve"> reforming the statutes governing homicide and manslaughter. </w:t>
      </w:r>
      <w:r w:rsidR="009E1DAD" w:rsidRPr="00C32CC8">
        <w:rPr>
          <w:rFonts w:ascii="Arial" w:hAnsi="Arial" w:cs="Arial"/>
          <w:sz w:val="24"/>
          <w:szCs w:val="24"/>
        </w:rPr>
        <w:t xml:space="preserve">The Coroners and Justice Act 2009 largely adopted their advice </w:t>
      </w:r>
      <w:r w:rsidR="00342EAF" w:rsidRPr="00C32CC8">
        <w:rPr>
          <w:rFonts w:ascii="Arial" w:hAnsi="Arial" w:cs="Arial"/>
          <w:sz w:val="24"/>
          <w:szCs w:val="24"/>
        </w:rPr>
        <w:t>regarding</w:t>
      </w:r>
      <w:r w:rsidR="009E1DAD" w:rsidRPr="00C32CC8">
        <w:rPr>
          <w:rFonts w:ascii="Arial" w:hAnsi="Arial" w:cs="Arial"/>
          <w:sz w:val="24"/>
          <w:szCs w:val="24"/>
        </w:rPr>
        <w:t xml:space="preserve"> </w:t>
      </w:r>
      <w:r w:rsidR="00342EAF" w:rsidRPr="00C32CC8">
        <w:rPr>
          <w:rFonts w:ascii="Arial" w:hAnsi="Arial" w:cs="Arial"/>
          <w:sz w:val="24"/>
          <w:szCs w:val="24"/>
        </w:rPr>
        <w:t>partial</w:t>
      </w:r>
      <w:r w:rsidR="009E1DAD" w:rsidRPr="00C32CC8">
        <w:rPr>
          <w:rFonts w:ascii="Arial" w:hAnsi="Arial" w:cs="Arial"/>
          <w:sz w:val="24"/>
          <w:szCs w:val="24"/>
        </w:rPr>
        <w:t xml:space="preserve"> defences</w:t>
      </w:r>
      <w:r w:rsidR="009E1DAD" w:rsidRPr="00C32CC8">
        <w:rPr>
          <w:rFonts w:ascii="Arial" w:hAnsi="Arial" w:cs="Arial"/>
          <w:sz w:val="24"/>
          <w:szCs w:val="24"/>
        </w:rPr>
        <w:t xml:space="preserve"> however t</w:t>
      </w:r>
      <w:r w:rsidR="009E1DAD" w:rsidRPr="00C32CC8">
        <w:rPr>
          <w:rFonts w:ascii="Arial" w:hAnsi="Arial" w:cs="Arial"/>
          <w:sz w:val="24"/>
          <w:szCs w:val="24"/>
        </w:rPr>
        <w:t xml:space="preserve">he government has rejected the </w:t>
      </w:r>
      <w:r w:rsidR="00342EAF" w:rsidRPr="00C32CC8">
        <w:rPr>
          <w:rFonts w:ascii="Arial" w:hAnsi="Arial" w:cs="Arial"/>
          <w:sz w:val="24"/>
          <w:szCs w:val="24"/>
        </w:rPr>
        <w:t>remainder</w:t>
      </w:r>
      <w:r w:rsidR="009E1DAD" w:rsidRPr="00C32CC8">
        <w:rPr>
          <w:rFonts w:ascii="Arial" w:hAnsi="Arial" w:cs="Arial"/>
          <w:sz w:val="24"/>
          <w:szCs w:val="24"/>
        </w:rPr>
        <w:t xml:space="preserve"> of their recommendations</w:t>
      </w:r>
      <w:r w:rsidR="009E1DAD" w:rsidRPr="00C32CC8">
        <w:rPr>
          <w:rFonts w:ascii="Arial" w:hAnsi="Arial" w:cs="Arial"/>
          <w:sz w:val="24"/>
          <w:szCs w:val="24"/>
        </w:rPr>
        <w:t xml:space="preserve"> (</w:t>
      </w:r>
      <w:r w:rsidR="007F52E3" w:rsidRPr="00C32CC8">
        <w:rPr>
          <w:rFonts w:ascii="Arial" w:hAnsi="Arial" w:cs="Arial"/>
          <w:sz w:val="24"/>
          <w:szCs w:val="24"/>
        </w:rPr>
        <w:t>Law Commission</w:t>
      </w:r>
      <w:r w:rsidR="00BB2B5B">
        <w:rPr>
          <w:rFonts w:ascii="Arial" w:hAnsi="Arial" w:cs="Arial"/>
          <w:sz w:val="24"/>
          <w:szCs w:val="24"/>
        </w:rPr>
        <w:t>, 2005</w:t>
      </w:r>
      <w:r w:rsidR="001A6171" w:rsidRPr="00C32CC8">
        <w:rPr>
          <w:rFonts w:ascii="Arial" w:hAnsi="Arial" w:cs="Arial"/>
          <w:sz w:val="24"/>
          <w:szCs w:val="24"/>
        </w:rPr>
        <w:t xml:space="preserve">). </w:t>
      </w:r>
      <w:r w:rsidR="00500EAD" w:rsidRPr="00C32CC8">
        <w:rPr>
          <w:rFonts w:ascii="Arial" w:hAnsi="Arial" w:cs="Arial"/>
          <w:sz w:val="24"/>
          <w:szCs w:val="24"/>
        </w:rPr>
        <w:t xml:space="preserve">The report from the Law Commission states that </w:t>
      </w:r>
      <w:r w:rsidR="00500EAD" w:rsidRPr="00C32CC8">
        <w:rPr>
          <w:rFonts w:ascii="Arial" w:hAnsi="Arial" w:cs="Arial"/>
          <w:sz w:val="24"/>
          <w:szCs w:val="24"/>
        </w:rPr>
        <w:t>that the current legal system is a "rickety structure set upon shaky foundations." This suggests that the judicial system for handling homicide has not advanced sufficiently and still maintains archaic laws that have not altered much since the seventeenth century.</w:t>
      </w:r>
      <w:r w:rsidR="00DD072E" w:rsidRPr="00C32CC8">
        <w:rPr>
          <w:rFonts w:ascii="Arial" w:hAnsi="Arial" w:cs="Arial"/>
          <w:sz w:val="24"/>
          <w:szCs w:val="24"/>
        </w:rPr>
        <w:t xml:space="preserve"> </w:t>
      </w:r>
      <w:r w:rsidR="00500EAD" w:rsidRPr="00C32CC8">
        <w:rPr>
          <w:rFonts w:ascii="Arial" w:hAnsi="Arial" w:cs="Arial"/>
          <w:sz w:val="24"/>
          <w:szCs w:val="24"/>
        </w:rPr>
        <w:t xml:space="preserve">The admission that these regulations desperately need to be </w:t>
      </w:r>
      <w:r w:rsidR="00705542">
        <w:rPr>
          <w:rFonts w:ascii="Arial" w:hAnsi="Arial" w:cs="Arial"/>
          <w:sz w:val="24"/>
          <w:szCs w:val="24"/>
        </w:rPr>
        <w:t>reformed</w:t>
      </w:r>
      <w:r w:rsidR="00500EAD" w:rsidRPr="00C32CC8">
        <w:rPr>
          <w:rFonts w:ascii="Arial" w:hAnsi="Arial" w:cs="Arial"/>
          <w:sz w:val="24"/>
          <w:szCs w:val="24"/>
        </w:rPr>
        <w:t xml:space="preserve"> emphasises the view of the law as needing modification. Over the years, society and legal systems have changed tremendously, and it is crucial for the law to evolve along with shifting social, cultural, and technical environments. Failure to modernise the legal system may result in inconsistencies, deficiencies, and potential inequities in how the law is applied.</w:t>
      </w:r>
      <w:r w:rsidR="00503AAC">
        <w:rPr>
          <w:rFonts w:ascii="Arial" w:hAnsi="Arial" w:cs="Arial"/>
          <w:sz w:val="24"/>
          <w:szCs w:val="24"/>
        </w:rPr>
        <w:t xml:space="preserve"> </w:t>
      </w:r>
      <w:r w:rsidR="00503AAC">
        <w:rPr>
          <w:rFonts w:ascii="Arial" w:hAnsi="Arial" w:cs="Arial"/>
          <w:sz w:val="24"/>
          <w:szCs w:val="24"/>
        </w:rPr>
        <w:t>Reform of the laws on homicide in</w:t>
      </w:r>
      <w:r w:rsidR="00503AAC" w:rsidRPr="00E47B05">
        <w:rPr>
          <w:rFonts w:ascii="Arial" w:hAnsi="Arial" w:cs="Arial"/>
          <w:sz w:val="24"/>
          <w:szCs w:val="24"/>
        </w:rPr>
        <w:t xml:space="preserve"> England and Wales</w:t>
      </w:r>
      <w:r w:rsidR="00503AAC">
        <w:rPr>
          <w:rFonts w:ascii="Arial" w:hAnsi="Arial" w:cs="Arial"/>
          <w:sz w:val="24"/>
          <w:szCs w:val="24"/>
        </w:rPr>
        <w:t xml:space="preserve"> is political</w:t>
      </w:r>
      <w:r w:rsidR="00503AAC" w:rsidRPr="00E47B05">
        <w:rPr>
          <w:rFonts w:ascii="Arial" w:hAnsi="Arial" w:cs="Arial"/>
          <w:sz w:val="24"/>
          <w:szCs w:val="24"/>
        </w:rPr>
        <w:t xml:space="preserve">, particularly when it comes to the deeply emotive subject of murder. The most serious crime, according to </w:t>
      </w:r>
      <w:proofErr w:type="gramStart"/>
      <w:r w:rsidR="00503AAC" w:rsidRPr="00E47B05">
        <w:rPr>
          <w:rFonts w:ascii="Arial" w:hAnsi="Arial" w:cs="Arial"/>
          <w:sz w:val="24"/>
          <w:szCs w:val="24"/>
        </w:rPr>
        <w:t>the majority of</w:t>
      </w:r>
      <w:proofErr w:type="gramEnd"/>
      <w:r w:rsidR="00503AAC" w:rsidRPr="00E47B05">
        <w:rPr>
          <w:rFonts w:ascii="Arial" w:hAnsi="Arial" w:cs="Arial"/>
          <w:sz w:val="24"/>
          <w:szCs w:val="24"/>
        </w:rPr>
        <w:t xml:space="preserve"> people, is murder; however, opinions vary on the specifics of the crime. Some people might believe that a person must kill with malice aforethought or with a base motivation in order to be held accountable for murder. However, some individuals </w:t>
      </w:r>
      <w:r w:rsidR="00503AAC">
        <w:rPr>
          <w:rFonts w:ascii="Arial" w:hAnsi="Arial" w:cs="Arial"/>
          <w:sz w:val="24"/>
          <w:szCs w:val="24"/>
        </w:rPr>
        <w:t>may</w:t>
      </w:r>
      <w:r w:rsidR="00503AAC" w:rsidRPr="00E47B05">
        <w:rPr>
          <w:rFonts w:ascii="Arial" w:hAnsi="Arial" w:cs="Arial"/>
          <w:sz w:val="24"/>
          <w:szCs w:val="24"/>
        </w:rPr>
        <w:t xml:space="preserve"> believe that murder is not committed when </w:t>
      </w:r>
      <w:r w:rsidR="00503AAC">
        <w:rPr>
          <w:rFonts w:ascii="Arial" w:hAnsi="Arial" w:cs="Arial"/>
          <w:sz w:val="24"/>
          <w:szCs w:val="24"/>
        </w:rPr>
        <w:t xml:space="preserve">in response to long term abuse by a partner (Crofts, 2009, p.355).  </w:t>
      </w:r>
    </w:p>
    <w:p w14:paraId="5AAC479A" w14:textId="714CE17B" w:rsidR="00ED77E2" w:rsidRDefault="00F100D1" w:rsidP="00963E40">
      <w:pPr>
        <w:rPr>
          <w:rFonts w:ascii="Arial" w:hAnsi="Arial" w:cs="Arial"/>
          <w:sz w:val="24"/>
          <w:szCs w:val="24"/>
        </w:rPr>
      </w:pPr>
      <w:r w:rsidRPr="00C32CC8">
        <w:rPr>
          <w:rFonts w:ascii="Arial" w:hAnsi="Arial" w:cs="Arial"/>
          <w:sz w:val="24"/>
          <w:szCs w:val="24"/>
        </w:rPr>
        <w:t>Provocation was no longer a defence to murder in England</w:t>
      </w:r>
      <w:r w:rsidRPr="00C32CC8">
        <w:rPr>
          <w:rFonts w:ascii="Arial" w:hAnsi="Arial" w:cs="Arial"/>
          <w:sz w:val="24"/>
          <w:szCs w:val="24"/>
        </w:rPr>
        <w:t xml:space="preserve"> </w:t>
      </w:r>
      <w:r w:rsidR="0006020A" w:rsidRPr="00C32CC8">
        <w:rPr>
          <w:rFonts w:ascii="Arial" w:hAnsi="Arial" w:cs="Arial"/>
          <w:sz w:val="24"/>
          <w:szCs w:val="24"/>
        </w:rPr>
        <w:t xml:space="preserve">and Wales as of October 2010. The Coroners and Justice Act 2009 allowed for the implementation of a new partial defence known as loss of control. With regard to intimate homicides committed by males, the gendered application of the law of homicide, as well as the law's inadequacy in dealing with the situations in which "battered women" kill, were </w:t>
      </w:r>
      <w:r w:rsidR="0006020A" w:rsidRPr="00C32CC8">
        <w:rPr>
          <w:rFonts w:ascii="Arial" w:hAnsi="Arial" w:cs="Arial"/>
          <w:sz w:val="24"/>
          <w:szCs w:val="24"/>
        </w:rPr>
        <w:lastRenderedPageBreak/>
        <w:t>all issues that were intended to be resolved</w:t>
      </w:r>
      <w:r w:rsidR="008C55CC" w:rsidRPr="00C32CC8">
        <w:rPr>
          <w:rFonts w:ascii="Arial" w:hAnsi="Arial" w:cs="Arial"/>
          <w:sz w:val="24"/>
          <w:szCs w:val="24"/>
        </w:rPr>
        <w:t xml:space="preserve"> (</w:t>
      </w:r>
      <w:proofErr w:type="gramStart"/>
      <w:r w:rsidR="008C55CC" w:rsidRPr="00C32CC8">
        <w:rPr>
          <w:rFonts w:ascii="Arial" w:hAnsi="Arial" w:cs="Arial"/>
          <w:sz w:val="24"/>
          <w:szCs w:val="24"/>
        </w:rPr>
        <w:t>Fitz-Gibbon</w:t>
      </w:r>
      <w:proofErr w:type="gramEnd"/>
      <w:r w:rsidR="008C55CC" w:rsidRPr="00C32CC8">
        <w:rPr>
          <w:rFonts w:ascii="Arial" w:hAnsi="Arial" w:cs="Arial"/>
          <w:sz w:val="24"/>
          <w:szCs w:val="24"/>
        </w:rPr>
        <w:t>, 2013</w:t>
      </w:r>
      <w:r w:rsidR="00DF57B8" w:rsidRPr="00C32CC8">
        <w:rPr>
          <w:rFonts w:ascii="Arial" w:hAnsi="Arial" w:cs="Arial"/>
          <w:sz w:val="24"/>
          <w:szCs w:val="24"/>
        </w:rPr>
        <w:t>, p.280</w:t>
      </w:r>
      <w:r w:rsidRPr="00C32CC8">
        <w:rPr>
          <w:rFonts w:ascii="Arial" w:hAnsi="Arial" w:cs="Arial"/>
          <w:sz w:val="24"/>
          <w:szCs w:val="24"/>
        </w:rPr>
        <w:t xml:space="preserve">). </w:t>
      </w:r>
      <w:r w:rsidR="00123435">
        <w:rPr>
          <w:rFonts w:ascii="Arial" w:hAnsi="Arial" w:cs="Arial"/>
          <w:sz w:val="24"/>
          <w:szCs w:val="24"/>
        </w:rPr>
        <w:t xml:space="preserve">The leniency of the laws on homicide in England and Wales has also been widely criticised as seen in the case of R v Gill (2014) where the defendant was sentenced to four years imprisonment for manslaughter for killing Asperger sufferer Andrew Young with a single punch to the face with a bare fist (Court of Appeal, 2014). However, three judges in London decided that the sentence was an accurate reflection of the gravity of what the defendant did, and ruled to keep the sentence at four years imprisonment for Gill as he admitted manslaughter (Gordon, 2014). The ruling of this case was criticised by MPs and victims’ families as being “unduly lenient” (Marsden, 2014). </w:t>
      </w:r>
    </w:p>
    <w:p w14:paraId="036818F1" w14:textId="482E8BCE" w:rsidR="00655001" w:rsidRDefault="00963E40" w:rsidP="006D0A4D">
      <w:pPr>
        <w:rPr>
          <w:rFonts w:ascii="Arial" w:hAnsi="Arial" w:cs="Arial"/>
          <w:sz w:val="24"/>
          <w:szCs w:val="24"/>
        </w:rPr>
      </w:pPr>
      <w:r w:rsidRPr="00963E40">
        <w:rPr>
          <w:rFonts w:ascii="Arial" w:hAnsi="Arial" w:cs="Arial"/>
          <w:sz w:val="24"/>
          <w:szCs w:val="24"/>
        </w:rPr>
        <w:t>The breadth of manslaughter in England and Wales has been a subject of debate and criticism, with arguments made that it is too broad</w:t>
      </w:r>
      <w:r w:rsidR="005167EA">
        <w:rPr>
          <w:rFonts w:ascii="Arial" w:hAnsi="Arial" w:cs="Arial"/>
          <w:sz w:val="24"/>
          <w:szCs w:val="24"/>
        </w:rPr>
        <w:t xml:space="preserve"> (</w:t>
      </w:r>
      <w:r w:rsidR="00251C86">
        <w:rPr>
          <w:rFonts w:ascii="Arial" w:hAnsi="Arial" w:cs="Arial"/>
          <w:sz w:val="24"/>
          <w:szCs w:val="24"/>
        </w:rPr>
        <w:t>Tadros, 20</w:t>
      </w:r>
      <w:r w:rsidR="0050446C">
        <w:rPr>
          <w:rFonts w:ascii="Arial" w:hAnsi="Arial" w:cs="Arial"/>
          <w:sz w:val="24"/>
          <w:szCs w:val="24"/>
        </w:rPr>
        <w:t xml:space="preserve">16, </w:t>
      </w:r>
      <w:r w:rsidR="0097382B">
        <w:rPr>
          <w:rFonts w:ascii="Arial" w:hAnsi="Arial" w:cs="Arial"/>
          <w:sz w:val="24"/>
          <w:szCs w:val="24"/>
        </w:rPr>
        <w:t xml:space="preserve">p.35). </w:t>
      </w:r>
      <w:r w:rsidRPr="00963E40">
        <w:rPr>
          <w:rFonts w:ascii="Arial" w:hAnsi="Arial" w:cs="Arial"/>
          <w:sz w:val="24"/>
          <w:szCs w:val="24"/>
        </w:rPr>
        <w:t>Manslaughter is divided into two main categories: voluntary manslaughter and involuntary manslaughter. Voluntary manslaughter occurs when a person unlawfully kills another with diminished responsibility or in response to provocation. Involuntary manslaughter, on the other hand, typically involves cases where a person's negligent actions result in another person's death</w:t>
      </w:r>
      <w:r w:rsidR="00D3180D">
        <w:rPr>
          <w:rFonts w:ascii="Arial" w:hAnsi="Arial" w:cs="Arial"/>
          <w:sz w:val="24"/>
          <w:szCs w:val="24"/>
        </w:rPr>
        <w:t xml:space="preserve"> (</w:t>
      </w:r>
      <w:r w:rsidR="000E7DF8">
        <w:rPr>
          <w:rFonts w:ascii="Arial" w:hAnsi="Arial" w:cs="Arial"/>
          <w:sz w:val="24"/>
          <w:szCs w:val="24"/>
        </w:rPr>
        <w:t xml:space="preserve">Crown Prosecution Service, 2022). </w:t>
      </w:r>
      <w:r w:rsidR="00C0547D" w:rsidRPr="00C0547D">
        <w:rPr>
          <w:rFonts w:ascii="Arial" w:hAnsi="Arial" w:cs="Arial"/>
          <w:sz w:val="24"/>
          <w:szCs w:val="24"/>
        </w:rPr>
        <w:t xml:space="preserve">One argument regarding the breadth of manslaughter is that it encompasses a wide range of circumstances, making it difficult to apply consistent principles and sentencing guidelines. The scope of the offense can lead to challenges in distinguishing between cases that warrant a charge of murder versus those that fall under the category of manslaughter (Norrie, 2018, p.16). </w:t>
      </w:r>
      <w:r w:rsidRPr="00E34E53">
        <w:rPr>
          <w:rFonts w:ascii="Arial" w:hAnsi="Arial" w:cs="Arial"/>
          <w:sz w:val="24"/>
          <w:szCs w:val="24"/>
        </w:rPr>
        <w:t>Critics argue that the broadness of the offense can result in inconsistent sentencing outcomes and perceived injustices. For example, cases where the intent to kill is absent but a death occurs due to gross negligence may be treated the same as cases where there is an intention to cause harm. This may lead to public perception that the law does not adequately differentiate between different levels of culpability</w:t>
      </w:r>
      <w:r w:rsidR="00A73326" w:rsidRPr="00E34E53">
        <w:rPr>
          <w:rFonts w:ascii="Arial" w:hAnsi="Arial" w:cs="Arial"/>
          <w:sz w:val="24"/>
          <w:szCs w:val="24"/>
        </w:rPr>
        <w:t xml:space="preserve"> (</w:t>
      </w:r>
      <w:r w:rsidR="00E34E53" w:rsidRPr="00E34E53">
        <w:rPr>
          <w:rFonts w:ascii="Arial" w:hAnsi="Arial" w:cs="Arial"/>
          <w:sz w:val="24"/>
          <w:szCs w:val="24"/>
        </w:rPr>
        <w:t xml:space="preserve">Clarkson &amp; Keating, 2013). </w:t>
      </w:r>
      <w:r w:rsidRPr="00D33482">
        <w:rPr>
          <w:rFonts w:ascii="Arial" w:hAnsi="Arial" w:cs="Arial"/>
          <w:sz w:val="24"/>
          <w:szCs w:val="24"/>
        </w:rPr>
        <w:t>Furthermore, the broadness of manslaughter may also impact the ability to achieve justice for victims and defendants alike. The lack of clarity in the law can make it challenging for defendants to understand the potential consequences they may face, while victims' families may feel that the punishment does not match the severity of the offense</w:t>
      </w:r>
      <w:r w:rsidR="00D33482" w:rsidRPr="00D33482">
        <w:rPr>
          <w:rFonts w:ascii="Arial" w:hAnsi="Arial" w:cs="Arial"/>
          <w:sz w:val="24"/>
          <w:szCs w:val="24"/>
        </w:rPr>
        <w:t>, as seen previously in the case of R v Gill (2014)</w:t>
      </w:r>
      <w:r w:rsidRPr="00D33482">
        <w:rPr>
          <w:rFonts w:ascii="Arial" w:hAnsi="Arial" w:cs="Arial"/>
          <w:sz w:val="24"/>
          <w:szCs w:val="24"/>
        </w:rPr>
        <w:t>.</w:t>
      </w:r>
      <w:r w:rsidR="00D33482">
        <w:rPr>
          <w:rFonts w:ascii="Arial" w:hAnsi="Arial" w:cs="Arial"/>
          <w:sz w:val="24"/>
          <w:szCs w:val="24"/>
        </w:rPr>
        <w:t xml:space="preserve"> </w:t>
      </w:r>
      <w:r w:rsidRPr="00D33482">
        <w:rPr>
          <w:rFonts w:ascii="Arial" w:hAnsi="Arial" w:cs="Arial"/>
          <w:sz w:val="24"/>
          <w:szCs w:val="24"/>
        </w:rPr>
        <w:t xml:space="preserve">However, it is important to note that the breadth of manslaughter can also serve a purpose. It allows the law to encompass a wide range of circumstances and provide some flexibility in addressing the complexity of human </w:t>
      </w:r>
      <w:r w:rsidR="00A81200" w:rsidRPr="00D33482">
        <w:rPr>
          <w:rFonts w:ascii="Arial" w:hAnsi="Arial" w:cs="Arial"/>
          <w:sz w:val="24"/>
          <w:szCs w:val="24"/>
        </w:rPr>
        <w:t>behaviour</w:t>
      </w:r>
      <w:r w:rsidRPr="00D33482">
        <w:rPr>
          <w:rFonts w:ascii="Arial" w:hAnsi="Arial" w:cs="Arial"/>
          <w:sz w:val="24"/>
          <w:szCs w:val="24"/>
        </w:rPr>
        <w:t xml:space="preserve"> and intent</w:t>
      </w:r>
      <w:r w:rsidR="00D33482" w:rsidRPr="00D33482">
        <w:rPr>
          <w:rFonts w:ascii="Arial" w:hAnsi="Arial" w:cs="Arial"/>
          <w:sz w:val="24"/>
          <w:szCs w:val="24"/>
        </w:rPr>
        <w:t xml:space="preserve"> (Norrie, 2018, p.18). </w:t>
      </w:r>
      <w:r w:rsidRPr="00A57A07">
        <w:rPr>
          <w:rFonts w:ascii="Arial" w:hAnsi="Arial" w:cs="Arial"/>
          <w:sz w:val="24"/>
          <w:szCs w:val="24"/>
        </w:rPr>
        <w:t>Efforts have been made to provide more guidance and clarity in relation to manslaughter offenses. For example, the Sentencing Council in England and Wales has developed guidelines to assist judges in determining appropriate sentences for different types of manslaughter offenses. These guidelines aim to promote consistency and fairness in sentencing</w:t>
      </w:r>
      <w:r w:rsidR="00AC2633">
        <w:rPr>
          <w:rFonts w:ascii="Arial" w:hAnsi="Arial" w:cs="Arial"/>
          <w:sz w:val="24"/>
          <w:szCs w:val="24"/>
        </w:rPr>
        <w:t xml:space="preserve"> and include gross negligence manslaughter, manslaughter by reason of diminished responsibility, manslaughter by reason of loss of control and unlawful act manslaughter (Sentencing Council, 2018). </w:t>
      </w:r>
      <w:r w:rsidRPr="00436A68">
        <w:rPr>
          <w:rFonts w:ascii="Arial" w:hAnsi="Arial" w:cs="Arial"/>
          <w:sz w:val="24"/>
          <w:szCs w:val="24"/>
        </w:rPr>
        <w:t xml:space="preserve">In conclusion, the breadth of manslaughter in England and Wales has been a topic of discussion, with arguments presented both for and against its broadness. Critics argue that it can lead to inconsistent outcomes and perceived injustices, while others contend that it allows for flexibility in addressing different circumstances. Balancing the need </w:t>
      </w:r>
      <w:r w:rsidRPr="00436A68">
        <w:rPr>
          <w:rFonts w:ascii="Arial" w:hAnsi="Arial" w:cs="Arial"/>
          <w:sz w:val="24"/>
          <w:szCs w:val="24"/>
        </w:rPr>
        <w:lastRenderedPageBreak/>
        <w:t>for clarity, consistency, and fairness in the law remains an ongoing challenge, and further examination and potential reforms may be warranted to address these concerns</w:t>
      </w:r>
      <w:r w:rsidR="00436A68">
        <w:rPr>
          <w:rFonts w:ascii="Arial" w:hAnsi="Arial" w:cs="Arial"/>
          <w:sz w:val="24"/>
          <w:szCs w:val="24"/>
        </w:rPr>
        <w:t xml:space="preserve"> </w:t>
      </w:r>
      <w:r w:rsidR="009662D9">
        <w:rPr>
          <w:rFonts w:ascii="Arial" w:hAnsi="Arial" w:cs="Arial"/>
          <w:sz w:val="24"/>
          <w:szCs w:val="24"/>
        </w:rPr>
        <w:t>(Card &amp; Ormerod, 2017, p.</w:t>
      </w:r>
      <w:r w:rsidR="00B530AA">
        <w:rPr>
          <w:rFonts w:ascii="Arial" w:hAnsi="Arial" w:cs="Arial"/>
          <w:sz w:val="24"/>
          <w:szCs w:val="24"/>
        </w:rPr>
        <w:t>92</w:t>
      </w:r>
      <w:r w:rsidR="009662D9">
        <w:rPr>
          <w:rFonts w:ascii="Arial" w:hAnsi="Arial" w:cs="Arial"/>
          <w:sz w:val="24"/>
          <w:szCs w:val="24"/>
        </w:rPr>
        <w:t xml:space="preserve">). </w:t>
      </w:r>
    </w:p>
    <w:p w14:paraId="48AD0EA7" w14:textId="1ED416FF" w:rsidR="00B11D02" w:rsidRDefault="004F588B" w:rsidP="006D0A4D">
      <w:pPr>
        <w:rPr>
          <w:rFonts w:ascii="Arial" w:hAnsi="Arial" w:cs="Arial"/>
          <w:sz w:val="24"/>
          <w:szCs w:val="24"/>
        </w:rPr>
      </w:pPr>
      <w:r w:rsidRPr="004F588B">
        <w:rPr>
          <w:rFonts w:ascii="Arial" w:hAnsi="Arial" w:cs="Arial"/>
          <w:sz w:val="24"/>
          <w:szCs w:val="24"/>
        </w:rPr>
        <w:t>The absence of enough gradation in the current homicide laws, which treat several types of homicides as one crime, is one reason in favour of homicide reform in England and Wales. According to this idea, there ought to be more defined lines drawn between murder and manslaughter, with varied degrees of guilt and associated punishments</w:t>
      </w:r>
      <w:r>
        <w:rPr>
          <w:rFonts w:ascii="Arial" w:hAnsi="Arial" w:cs="Arial"/>
          <w:sz w:val="24"/>
          <w:szCs w:val="24"/>
        </w:rPr>
        <w:t xml:space="preserve"> (Farmer</w:t>
      </w:r>
      <w:r w:rsidR="00191D84">
        <w:rPr>
          <w:rFonts w:ascii="Arial" w:hAnsi="Arial" w:cs="Arial"/>
          <w:sz w:val="24"/>
          <w:szCs w:val="24"/>
        </w:rPr>
        <w:t xml:space="preserve"> &amp; Williams, </w:t>
      </w:r>
      <w:r w:rsidR="00040FB2">
        <w:rPr>
          <w:rFonts w:ascii="Arial" w:hAnsi="Arial" w:cs="Arial"/>
          <w:sz w:val="24"/>
          <w:szCs w:val="24"/>
        </w:rPr>
        <w:t>2017</w:t>
      </w:r>
      <w:r w:rsidR="00D908E9">
        <w:rPr>
          <w:rFonts w:ascii="Arial" w:hAnsi="Arial" w:cs="Arial"/>
          <w:sz w:val="24"/>
          <w:szCs w:val="24"/>
        </w:rPr>
        <w:t xml:space="preserve">). </w:t>
      </w:r>
      <w:r w:rsidR="007648DD" w:rsidRPr="007648DD">
        <w:rPr>
          <w:rFonts w:ascii="Arial" w:hAnsi="Arial" w:cs="Arial"/>
          <w:sz w:val="24"/>
          <w:szCs w:val="24"/>
        </w:rPr>
        <w:t xml:space="preserve">Some </w:t>
      </w:r>
      <w:r w:rsidR="007648DD">
        <w:rPr>
          <w:rFonts w:ascii="Arial" w:hAnsi="Arial" w:cs="Arial"/>
          <w:sz w:val="24"/>
          <w:szCs w:val="24"/>
        </w:rPr>
        <w:t xml:space="preserve">also </w:t>
      </w:r>
      <w:r w:rsidR="007648DD" w:rsidRPr="007648DD">
        <w:rPr>
          <w:rFonts w:ascii="Arial" w:hAnsi="Arial" w:cs="Arial"/>
          <w:sz w:val="24"/>
          <w:szCs w:val="24"/>
        </w:rPr>
        <w:t>claim that while evaluating whether to charge someone with murder, the current legislation places an undue emphasis on subjective factors like intent or forethought. Critics claim that in situations where the defendant's mental condition is complicated or their intent is not obvious, this could result in unjust conclusions. They argue that liability should be assessed using more impartial criteria</w:t>
      </w:r>
      <w:r w:rsidR="007648DD">
        <w:rPr>
          <w:rFonts w:ascii="Arial" w:hAnsi="Arial" w:cs="Arial"/>
          <w:sz w:val="24"/>
          <w:szCs w:val="24"/>
        </w:rPr>
        <w:t xml:space="preserve"> (Norrie, 2018, p.2</w:t>
      </w:r>
      <w:r w:rsidR="00651B31">
        <w:rPr>
          <w:rFonts w:ascii="Arial" w:hAnsi="Arial" w:cs="Arial"/>
          <w:sz w:val="24"/>
          <w:szCs w:val="24"/>
        </w:rPr>
        <w:t xml:space="preserve">7). </w:t>
      </w:r>
      <w:r w:rsidR="0089760B" w:rsidRPr="007F6DE8">
        <w:rPr>
          <w:rFonts w:ascii="Arial" w:hAnsi="Arial" w:cs="Arial"/>
          <w:sz w:val="24"/>
          <w:szCs w:val="24"/>
        </w:rPr>
        <w:t xml:space="preserve">The idea of lessened accountability is a further justification for reform. Advocates claim that the current legal framework does not </w:t>
      </w:r>
      <w:proofErr w:type="gramStart"/>
      <w:r w:rsidR="0089760B" w:rsidRPr="007F6DE8">
        <w:rPr>
          <w:rFonts w:ascii="Arial" w:hAnsi="Arial" w:cs="Arial"/>
          <w:sz w:val="24"/>
          <w:szCs w:val="24"/>
        </w:rPr>
        <w:t>give sufficient consideration to</w:t>
      </w:r>
      <w:proofErr w:type="gramEnd"/>
      <w:r w:rsidR="0089760B" w:rsidRPr="007F6DE8">
        <w:rPr>
          <w:rFonts w:ascii="Arial" w:hAnsi="Arial" w:cs="Arial"/>
          <w:sz w:val="24"/>
          <w:szCs w:val="24"/>
        </w:rPr>
        <w:t xml:space="preserve"> defendants who have mental health concerns, potentially leading to harsher punishments. They propose broader guidelines for lowered accountability to guarantee more equitable results</w:t>
      </w:r>
      <w:r w:rsidR="0089760B">
        <w:rPr>
          <w:rFonts w:ascii="Arial" w:hAnsi="Arial" w:cs="Arial"/>
          <w:sz w:val="24"/>
          <w:szCs w:val="24"/>
        </w:rPr>
        <w:t xml:space="preserve"> (Clarkson &amp; Keating, 2013).</w:t>
      </w:r>
      <w:r w:rsidR="005A79F6">
        <w:rPr>
          <w:rFonts w:ascii="Arial" w:hAnsi="Arial" w:cs="Arial"/>
          <w:sz w:val="24"/>
          <w:szCs w:val="24"/>
        </w:rPr>
        <w:t xml:space="preserve"> </w:t>
      </w:r>
      <w:r w:rsidR="00DE2418">
        <w:rPr>
          <w:rFonts w:ascii="Arial" w:hAnsi="Arial" w:cs="Arial"/>
          <w:sz w:val="24"/>
          <w:szCs w:val="24"/>
        </w:rPr>
        <w:t xml:space="preserve">On the other hand, </w:t>
      </w:r>
      <w:r w:rsidR="006D0473">
        <w:rPr>
          <w:rFonts w:ascii="Arial" w:hAnsi="Arial" w:cs="Arial"/>
          <w:sz w:val="24"/>
          <w:szCs w:val="24"/>
        </w:rPr>
        <w:t>s</w:t>
      </w:r>
      <w:r w:rsidR="006D0473" w:rsidRPr="006D0473">
        <w:rPr>
          <w:rFonts w:ascii="Arial" w:hAnsi="Arial" w:cs="Arial"/>
          <w:sz w:val="24"/>
          <w:szCs w:val="24"/>
        </w:rPr>
        <w:t>ome contend that the current legal system offers a precise foundation for defining homicide offences. They assert that any alteration may bring about ambiguity, making it more challenging for the general public and legal experts to comprehend and consistently implement the legislation</w:t>
      </w:r>
      <w:r w:rsidR="006D0473">
        <w:rPr>
          <w:rFonts w:ascii="Arial" w:hAnsi="Arial" w:cs="Arial"/>
          <w:sz w:val="24"/>
          <w:szCs w:val="24"/>
        </w:rPr>
        <w:t xml:space="preserve"> (Card &amp; Ormerod, 2017, p.</w:t>
      </w:r>
      <w:r w:rsidR="00B530AA">
        <w:rPr>
          <w:rFonts w:ascii="Arial" w:hAnsi="Arial" w:cs="Arial"/>
          <w:sz w:val="24"/>
          <w:szCs w:val="24"/>
        </w:rPr>
        <w:t xml:space="preserve">106). </w:t>
      </w:r>
      <w:r w:rsidR="00981B44" w:rsidRPr="00981B44">
        <w:rPr>
          <w:rFonts w:ascii="Arial" w:hAnsi="Arial" w:cs="Arial"/>
          <w:sz w:val="24"/>
          <w:szCs w:val="24"/>
        </w:rPr>
        <w:t>Reform opponents contend that the current legal system, which distinguishes between murder and manslaughter, acts as an effective deterrence by emphasising the seriousness of purposeful homicides. They express worry that reform could lessen public understanding of the gravity of such crimes and lessen the deterrent effect</w:t>
      </w:r>
      <w:r w:rsidR="00981B44">
        <w:rPr>
          <w:rFonts w:ascii="Arial" w:hAnsi="Arial" w:cs="Arial"/>
          <w:sz w:val="24"/>
          <w:szCs w:val="24"/>
        </w:rPr>
        <w:t xml:space="preserve"> (</w:t>
      </w:r>
      <w:r w:rsidR="00A66405">
        <w:rPr>
          <w:rFonts w:ascii="Arial" w:hAnsi="Arial" w:cs="Arial"/>
          <w:sz w:val="24"/>
          <w:szCs w:val="24"/>
        </w:rPr>
        <w:t xml:space="preserve">Ashworth &amp; </w:t>
      </w:r>
      <w:proofErr w:type="spellStart"/>
      <w:r w:rsidR="00A66405">
        <w:rPr>
          <w:rFonts w:ascii="Arial" w:hAnsi="Arial" w:cs="Arial"/>
          <w:sz w:val="24"/>
          <w:szCs w:val="24"/>
        </w:rPr>
        <w:t>Horder</w:t>
      </w:r>
      <w:proofErr w:type="spellEnd"/>
      <w:r w:rsidR="00A66405">
        <w:rPr>
          <w:rFonts w:ascii="Arial" w:hAnsi="Arial" w:cs="Arial"/>
          <w:sz w:val="24"/>
          <w:szCs w:val="24"/>
        </w:rPr>
        <w:t>, 201</w:t>
      </w:r>
      <w:r w:rsidR="00A07C8B">
        <w:rPr>
          <w:rFonts w:ascii="Arial" w:hAnsi="Arial" w:cs="Arial"/>
          <w:sz w:val="24"/>
          <w:szCs w:val="24"/>
        </w:rPr>
        <w:t>3</w:t>
      </w:r>
      <w:r w:rsidR="00A66405">
        <w:rPr>
          <w:rFonts w:ascii="Arial" w:hAnsi="Arial" w:cs="Arial"/>
          <w:sz w:val="24"/>
          <w:szCs w:val="24"/>
        </w:rPr>
        <w:t xml:space="preserve">, </w:t>
      </w:r>
      <w:r w:rsidR="001D379F">
        <w:rPr>
          <w:rFonts w:ascii="Arial" w:hAnsi="Arial" w:cs="Arial"/>
          <w:sz w:val="24"/>
          <w:szCs w:val="24"/>
        </w:rPr>
        <w:t xml:space="preserve">p.212). </w:t>
      </w:r>
    </w:p>
    <w:p w14:paraId="78069B8D" w14:textId="637F0E77" w:rsidR="0030293F" w:rsidRDefault="00D179F6" w:rsidP="006D0A4D">
      <w:pPr>
        <w:rPr>
          <w:rFonts w:ascii="Arial" w:hAnsi="Arial" w:cs="Arial"/>
          <w:sz w:val="24"/>
          <w:szCs w:val="24"/>
        </w:rPr>
      </w:pPr>
      <w:r>
        <w:rPr>
          <w:rFonts w:ascii="Arial" w:hAnsi="Arial" w:cs="Arial"/>
          <w:sz w:val="24"/>
          <w:szCs w:val="24"/>
        </w:rPr>
        <w:t xml:space="preserve">In conclusion, </w:t>
      </w:r>
      <w:r w:rsidR="00914303">
        <w:rPr>
          <w:rFonts w:ascii="Arial" w:hAnsi="Arial" w:cs="Arial"/>
          <w:sz w:val="24"/>
          <w:szCs w:val="24"/>
        </w:rPr>
        <w:t xml:space="preserve">it appears to be the opinion of many in England and Wales that the law on homicide needs to be reformed in </w:t>
      </w:r>
      <w:r w:rsidR="005A00C7">
        <w:rPr>
          <w:rFonts w:ascii="Arial" w:hAnsi="Arial" w:cs="Arial"/>
          <w:sz w:val="24"/>
          <w:szCs w:val="24"/>
        </w:rPr>
        <w:t>order to provide sufficient gradation</w:t>
      </w:r>
      <w:r w:rsidR="000B242D">
        <w:rPr>
          <w:rFonts w:ascii="Arial" w:hAnsi="Arial" w:cs="Arial"/>
          <w:sz w:val="24"/>
          <w:szCs w:val="24"/>
        </w:rPr>
        <w:t xml:space="preserve"> and </w:t>
      </w:r>
      <w:r w:rsidR="0030293F">
        <w:rPr>
          <w:rFonts w:ascii="Arial" w:hAnsi="Arial" w:cs="Arial"/>
          <w:sz w:val="24"/>
          <w:szCs w:val="24"/>
        </w:rPr>
        <w:t xml:space="preserve">provide just outcomes </w:t>
      </w:r>
      <w:r w:rsidR="000B242D">
        <w:rPr>
          <w:rFonts w:ascii="Arial" w:hAnsi="Arial" w:cs="Arial"/>
          <w:sz w:val="24"/>
          <w:szCs w:val="24"/>
        </w:rPr>
        <w:t>to ensure consistency in the application of the law and address pot</w:t>
      </w:r>
      <w:r w:rsidR="000245BE">
        <w:rPr>
          <w:rFonts w:ascii="Arial" w:hAnsi="Arial" w:cs="Arial"/>
          <w:sz w:val="24"/>
          <w:szCs w:val="24"/>
        </w:rPr>
        <w:t xml:space="preserve">ential discrepancies to promote fairness in the criminal justice system. </w:t>
      </w:r>
    </w:p>
    <w:p w14:paraId="7DFE16FC" w14:textId="77777777" w:rsidR="00B11D02" w:rsidRDefault="00B11D02" w:rsidP="006D0A4D">
      <w:pPr>
        <w:rPr>
          <w:rFonts w:ascii="Arial" w:hAnsi="Arial" w:cs="Arial"/>
          <w:sz w:val="24"/>
          <w:szCs w:val="24"/>
        </w:rPr>
      </w:pPr>
    </w:p>
    <w:p w14:paraId="24CBA4C3" w14:textId="77777777" w:rsidR="00D064A7" w:rsidRDefault="00D064A7" w:rsidP="006D0A4D">
      <w:pPr>
        <w:rPr>
          <w:rFonts w:ascii="Arial" w:hAnsi="Arial" w:cs="Arial"/>
          <w:sz w:val="24"/>
          <w:szCs w:val="24"/>
        </w:rPr>
      </w:pPr>
    </w:p>
    <w:p w14:paraId="7F57639F" w14:textId="77777777" w:rsidR="00513FB3" w:rsidRDefault="00513FB3" w:rsidP="006D0A4D"/>
    <w:p w14:paraId="49425260" w14:textId="77777777" w:rsidR="00513FB3" w:rsidRDefault="00513FB3" w:rsidP="006D0A4D"/>
    <w:p w14:paraId="2B856A24" w14:textId="77777777" w:rsidR="00513FB3" w:rsidRDefault="00513FB3" w:rsidP="006D0A4D"/>
    <w:p w14:paraId="6582BA80" w14:textId="77777777" w:rsidR="00513FB3" w:rsidRDefault="00513FB3" w:rsidP="006D0A4D"/>
    <w:p w14:paraId="36B44CD1" w14:textId="77777777" w:rsidR="00513FB3" w:rsidRDefault="00513FB3" w:rsidP="006D0A4D"/>
    <w:p w14:paraId="4C68DA31" w14:textId="77777777" w:rsidR="00513FB3" w:rsidRDefault="00513FB3" w:rsidP="006D0A4D"/>
    <w:p w14:paraId="016D5512" w14:textId="77777777" w:rsidR="00513FB3" w:rsidRDefault="00513FB3" w:rsidP="006D0A4D"/>
    <w:p w14:paraId="772C1B1C" w14:textId="77777777" w:rsidR="00513FB3" w:rsidRDefault="00513FB3" w:rsidP="006D0A4D"/>
    <w:p w14:paraId="4464F0E6" w14:textId="77777777" w:rsidR="00513FB3" w:rsidRDefault="00513FB3" w:rsidP="006D0A4D"/>
    <w:p w14:paraId="4C5DB35C" w14:textId="77777777" w:rsidR="00513FB3" w:rsidRDefault="00513FB3" w:rsidP="006D0A4D"/>
    <w:p w14:paraId="1816195C" w14:textId="77777777" w:rsidR="00513FB3" w:rsidRDefault="00513FB3" w:rsidP="006D0A4D"/>
    <w:p w14:paraId="43B72E35" w14:textId="77777777" w:rsidR="00513FB3" w:rsidRDefault="00513FB3" w:rsidP="006D0A4D"/>
    <w:p w14:paraId="436C31AA" w14:textId="77777777" w:rsidR="00513FB3" w:rsidRDefault="00513FB3" w:rsidP="006D0A4D"/>
    <w:p w14:paraId="072B2323" w14:textId="77777777" w:rsidR="00513FB3" w:rsidRDefault="00513FB3" w:rsidP="006D0A4D"/>
    <w:p w14:paraId="32710082" w14:textId="77777777" w:rsidR="00513FB3" w:rsidRDefault="00513FB3" w:rsidP="006D0A4D"/>
    <w:p w14:paraId="469EA775" w14:textId="77777777" w:rsidR="00513FB3" w:rsidRDefault="00513FB3" w:rsidP="006D0A4D"/>
    <w:p w14:paraId="22EDCD44" w14:textId="77777777" w:rsidR="00513FB3" w:rsidRDefault="00513FB3" w:rsidP="006D0A4D"/>
    <w:p w14:paraId="4AEC211F" w14:textId="77777777" w:rsidR="00513FB3" w:rsidRPr="00F128BD" w:rsidRDefault="00513FB3" w:rsidP="006D0A4D">
      <w:pPr>
        <w:rPr>
          <w:rFonts w:ascii="Arial" w:hAnsi="Arial" w:cs="Arial"/>
          <w:sz w:val="24"/>
          <w:szCs w:val="24"/>
        </w:rPr>
      </w:pPr>
    </w:p>
    <w:p w14:paraId="5EBD0A4B" w14:textId="77777777" w:rsidR="00706433" w:rsidRDefault="00706433" w:rsidP="00513FB3">
      <w:pPr>
        <w:jc w:val="center"/>
        <w:rPr>
          <w:rFonts w:ascii="Arial" w:hAnsi="Arial" w:cs="Arial"/>
          <w:sz w:val="24"/>
          <w:szCs w:val="24"/>
        </w:rPr>
      </w:pPr>
    </w:p>
    <w:p w14:paraId="71B573E2" w14:textId="77777777" w:rsidR="00706433" w:rsidRDefault="00706433" w:rsidP="00513FB3">
      <w:pPr>
        <w:jc w:val="center"/>
        <w:rPr>
          <w:rFonts w:ascii="Arial" w:hAnsi="Arial" w:cs="Arial"/>
          <w:sz w:val="24"/>
          <w:szCs w:val="24"/>
        </w:rPr>
      </w:pPr>
    </w:p>
    <w:p w14:paraId="771E995C" w14:textId="77777777" w:rsidR="00706433" w:rsidRDefault="00706433" w:rsidP="00513FB3">
      <w:pPr>
        <w:jc w:val="center"/>
        <w:rPr>
          <w:rFonts w:ascii="Arial" w:hAnsi="Arial" w:cs="Arial"/>
          <w:sz w:val="24"/>
          <w:szCs w:val="24"/>
        </w:rPr>
      </w:pPr>
    </w:p>
    <w:p w14:paraId="32801425" w14:textId="77777777" w:rsidR="00706433" w:rsidRDefault="00706433" w:rsidP="00513FB3">
      <w:pPr>
        <w:jc w:val="center"/>
        <w:rPr>
          <w:rFonts w:ascii="Arial" w:hAnsi="Arial" w:cs="Arial"/>
          <w:sz w:val="24"/>
          <w:szCs w:val="24"/>
        </w:rPr>
      </w:pPr>
    </w:p>
    <w:p w14:paraId="1608AA11" w14:textId="77777777" w:rsidR="00D34E25" w:rsidRDefault="00D34E25" w:rsidP="00513FB3">
      <w:pPr>
        <w:jc w:val="center"/>
        <w:rPr>
          <w:rFonts w:ascii="Arial" w:hAnsi="Arial" w:cs="Arial"/>
          <w:sz w:val="24"/>
          <w:szCs w:val="24"/>
        </w:rPr>
      </w:pPr>
    </w:p>
    <w:p w14:paraId="3B05D917" w14:textId="77777777" w:rsidR="00D34E25" w:rsidRDefault="00D34E25" w:rsidP="00513FB3">
      <w:pPr>
        <w:jc w:val="center"/>
        <w:rPr>
          <w:rFonts w:ascii="Arial" w:hAnsi="Arial" w:cs="Arial"/>
          <w:sz w:val="24"/>
          <w:szCs w:val="24"/>
        </w:rPr>
      </w:pPr>
    </w:p>
    <w:p w14:paraId="6BACA5FB" w14:textId="77777777" w:rsidR="00D34E25" w:rsidRDefault="00D34E25" w:rsidP="00513FB3">
      <w:pPr>
        <w:jc w:val="center"/>
        <w:rPr>
          <w:rFonts w:ascii="Arial" w:hAnsi="Arial" w:cs="Arial"/>
          <w:sz w:val="24"/>
          <w:szCs w:val="24"/>
        </w:rPr>
      </w:pPr>
    </w:p>
    <w:p w14:paraId="171D8C7A" w14:textId="77777777" w:rsidR="00D34E25" w:rsidRDefault="00D34E25" w:rsidP="00513FB3">
      <w:pPr>
        <w:jc w:val="center"/>
        <w:rPr>
          <w:rFonts w:ascii="Arial" w:hAnsi="Arial" w:cs="Arial"/>
          <w:sz w:val="24"/>
          <w:szCs w:val="24"/>
        </w:rPr>
      </w:pPr>
    </w:p>
    <w:p w14:paraId="79FE161D" w14:textId="77777777" w:rsidR="00D34E25" w:rsidRDefault="00D34E25" w:rsidP="00513FB3">
      <w:pPr>
        <w:jc w:val="center"/>
        <w:rPr>
          <w:rFonts w:ascii="Arial" w:hAnsi="Arial" w:cs="Arial"/>
          <w:sz w:val="24"/>
          <w:szCs w:val="24"/>
        </w:rPr>
      </w:pPr>
    </w:p>
    <w:p w14:paraId="7B30A262" w14:textId="77777777" w:rsidR="00183F98" w:rsidRDefault="00183F98" w:rsidP="00513FB3">
      <w:pPr>
        <w:jc w:val="center"/>
        <w:rPr>
          <w:rFonts w:ascii="Arial" w:hAnsi="Arial" w:cs="Arial"/>
          <w:sz w:val="24"/>
          <w:szCs w:val="24"/>
        </w:rPr>
      </w:pPr>
    </w:p>
    <w:p w14:paraId="10C68119" w14:textId="77777777" w:rsidR="00183F98" w:rsidRDefault="00183F98" w:rsidP="00513FB3">
      <w:pPr>
        <w:jc w:val="center"/>
        <w:rPr>
          <w:rFonts w:ascii="Arial" w:hAnsi="Arial" w:cs="Arial"/>
          <w:sz w:val="24"/>
          <w:szCs w:val="24"/>
        </w:rPr>
      </w:pPr>
    </w:p>
    <w:p w14:paraId="5AAF80A5" w14:textId="77777777" w:rsidR="00183F98" w:rsidRDefault="00183F98" w:rsidP="00513FB3">
      <w:pPr>
        <w:jc w:val="center"/>
        <w:rPr>
          <w:rFonts w:ascii="Arial" w:hAnsi="Arial" w:cs="Arial"/>
          <w:sz w:val="24"/>
          <w:szCs w:val="24"/>
        </w:rPr>
      </w:pPr>
    </w:p>
    <w:p w14:paraId="51420D94" w14:textId="77777777" w:rsidR="00183F98" w:rsidRDefault="00183F98" w:rsidP="00513FB3">
      <w:pPr>
        <w:jc w:val="center"/>
        <w:rPr>
          <w:rFonts w:ascii="Arial" w:hAnsi="Arial" w:cs="Arial"/>
          <w:sz w:val="24"/>
          <w:szCs w:val="24"/>
        </w:rPr>
      </w:pPr>
    </w:p>
    <w:p w14:paraId="6CA1F462" w14:textId="77777777" w:rsidR="00183F98" w:rsidRDefault="00183F98" w:rsidP="00513FB3">
      <w:pPr>
        <w:jc w:val="center"/>
        <w:rPr>
          <w:rFonts w:ascii="Arial" w:hAnsi="Arial" w:cs="Arial"/>
          <w:sz w:val="24"/>
          <w:szCs w:val="24"/>
        </w:rPr>
      </w:pPr>
    </w:p>
    <w:p w14:paraId="78589964" w14:textId="77777777" w:rsidR="00183F98" w:rsidRDefault="00183F98" w:rsidP="00513FB3">
      <w:pPr>
        <w:jc w:val="center"/>
        <w:rPr>
          <w:rFonts w:ascii="Arial" w:hAnsi="Arial" w:cs="Arial"/>
          <w:sz w:val="24"/>
          <w:szCs w:val="24"/>
        </w:rPr>
      </w:pPr>
    </w:p>
    <w:p w14:paraId="2758D5AD" w14:textId="77777777" w:rsidR="00183F98" w:rsidRDefault="00183F98" w:rsidP="00513FB3">
      <w:pPr>
        <w:jc w:val="center"/>
        <w:rPr>
          <w:rFonts w:ascii="Arial" w:hAnsi="Arial" w:cs="Arial"/>
          <w:sz w:val="24"/>
          <w:szCs w:val="24"/>
        </w:rPr>
      </w:pPr>
    </w:p>
    <w:p w14:paraId="1E39E144" w14:textId="77777777" w:rsidR="00183F98" w:rsidRDefault="00183F98" w:rsidP="00513FB3">
      <w:pPr>
        <w:jc w:val="center"/>
        <w:rPr>
          <w:rFonts w:ascii="Arial" w:hAnsi="Arial" w:cs="Arial"/>
          <w:sz w:val="24"/>
          <w:szCs w:val="24"/>
        </w:rPr>
      </w:pPr>
    </w:p>
    <w:p w14:paraId="32B63ABD" w14:textId="77777777" w:rsidR="00183F98" w:rsidRDefault="00183F98" w:rsidP="00513FB3">
      <w:pPr>
        <w:jc w:val="center"/>
        <w:rPr>
          <w:rFonts w:ascii="Arial" w:hAnsi="Arial" w:cs="Arial"/>
          <w:sz w:val="24"/>
          <w:szCs w:val="24"/>
        </w:rPr>
      </w:pPr>
    </w:p>
    <w:p w14:paraId="35268A50" w14:textId="77777777" w:rsidR="00183F98" w:rsidRDefault="00183F98" w:rsidP="00513FB3">
      <w:pPr>
        <w:jc w:val="center"/>
        <w:rPr>
          <w:rFonts w:ascii="Arial" w:hAnsi="Arial" w:cs="Arial"/>
          <w:sz w:val="24"/>
          <w:szCs w:val="24"/>
        </w:rPr>
      </w:pPr>
    </w:p>
    <w:p w14:paraId="44D06D9D" w14:textId="77777777" w:rsidR="00183F98" w:rsidRDefault="00183F98" w:rsidP="00513FB3">
      <w:pPr>
        <w:jc w:val="center"/>
        <w:rPr>
          <w:rFonts w:ascii="Arial" w:hAnsi="Arial" w:cs="Arial"/>
          <w:sz w:val="24"/>
          <w:szCs w:val="24"/>
        </w:rPr>
      </w:pPr>
    </w:p>
    <w:p w14:paraId="164B7480" w14:textId="77777777" w:rsidR="00183F98" w:rsidRDefault="00183F98" w:rsidP="00513FB3">
      <w:pPr>
        <w:jc w:val="center"/>
        <w:rPr>
          <w:rFonts w:ascii="Arial" w:hAnsi="Arial" w:cs="Arial"/>
          <w:sz w:val="24"/>
          <w:szCs w:val="24"/>
        </w:rPr>
      </w:pPr>
    </w:p>
    <w:p w14:paraId="4F2E4CF2" w14:textId="0B09E965" w:rsidR="00513FB3" w:rsidRDefault="00513FB3" w:rsidP="00513FB3">
      <w:pPr>
        <w:jc w:val="center"/>
        <w:rPr>
          <w:rFonts w:ascii="Arial" w:hAnsi="Arial" w:cs="Arial"/>
          <w:sz w:val="24"/>
          <w:szCs w:val="24"/>
        </w:rPr>
      </w:pPr>
      <w:r w:rsidRPr="00F128BD">
        <w:rPr>
          <w:rFonts w:ascii="Arial" w:hAnsi="Arial" w:cs="Arial"/>
          <w:sz w:val="24"/>
          <w:szCs w:val="24"/>
        </w:rPr>
        <w:lastRenderedPageBreak/>
        <w:t>Reference</w:t>
      </w:r>
      <w:r w:rsidR="00EC2E69">
        <w:rPr>
          <w:rFonts w:ascii="Arial" w:hAnsi="Arial" w:cs="Arial"/>
          <w:sz w:val="24"/>
          <w:szCs w:val="24"/>
        </w:rPr>
        <w:t xml:space="preserve">s </w:t>
      </w:r>
    </w:p>
    <w:p w14:paraId="0D3B1071" w14:textId="77777777" w:rsidR="00B0777B" w:rsidRDefault="00B0777B" w:rsidP="00B0777B">
      <w:pPr>
        <w:rPr>
          <w:rFonts w:ascii="Arial" w:hAnsi="Arial" w:cs="Arial"/>
          <w:sz w:val="24"/>
          <w:szCs w:val="24"/>
        </w:rPr>
      </w:pPr>
      <w:r>
        <w:rPr>
          <w:rFonts w:ascii="Arial" w:hAnsi="Arial" w:cs="Arial"/>
          <w:sz w:val="24"/>
          <w:szCs w:val="24"/>
        </w:rPr>
        <w:t xml:space="preserve">Ashworth, A. </w:t>
      </w:r>
      <w:proofErr w:type="spellStart"/>
      <w:r>
        <w:rPr>
          <w:rFonts w:ascii="Arial" w:hAnsi="Arial" w:cs="Arial"/>
          <w:sz w:val="24"/>
          <w:szCs w:val="24"/>
        </w:rPr>
        <w:t>Horder</w:t>
      </w:r>
      <w:proofErr w:type="spellEnd"/>
      <w:r>
        <w:rPr>
          <w:rFonts w:ascii="Arial" w:hAnsi="Arial" w:cs="Arial"/>
          <w:sz w:val="24"/>
          <w:szCs w:val="24"/>
        </w:rPr>
        <w:t xml:space="preserve">, J. (2013) </w:t>
      </w:r>
      <w:r w:rsidRPr="00D179F6">
        <w:rPr>
          <w:rFonts w:ascii="Arial" w:hAnsi="Arial" w:cs="Arial"/>
          <w:i/>
          <w:iCs/>
          <w:sz w:val="24"/>
          <w:szCs w:val="24"/>
        </w:rPr>
        <w:t>Principles of Criminal Law.</w:t>
      </w:r>
      <w:r>
        <w:rPr>
          <w:rFonts w:ascii="Arial" w:hAnsi="Arial" w:cs="Arial"/>
          <w:sz w:val="24"/>
          <w:szCs w:val="24"/>
        </w:rPr>
        <w:t xml:space="preserve"> 7</w:t>
      </w:r>
      <w:r w:rsidRPr="00D179F6">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Oxford: Oxford University Press. </w:t>
      </w:r>
    </w:p>
    <w:p w14:paraId="6F6D50AC" w14:textId="77777777" w:rsidR="00B0777B" w:rsidRDefault="00B0777B" w:rsidP="00B0777B">
      <w:pPr>
        <w:rPr>
          <w:rFonts w:ascii="Arial" w:hAnsi="Arial" w:cs="Arial"/>
          <w:sz w:val="24"/>
          <w:szCs w:val="24"/>
        </w:rPr>
      </w:pPr>
      <w:r>
        <w:rPr>
          <w:rFonts w:ascii="Arial" w:hAnsi="Arial" w:cs="Arial"/>
          <w:sz w:val="24"/>
          <w:szCs w:val="24"/>
        </w:rPr>
        <w:t xml:space="preserve">Card, R. Ormerod, D. (2017) </w:t>
      </w:r>
      <w:r w:rsidRPr="00D34E25">
        <w:rPr>
          <w:rFonts w:ascii="Arial" w:hAnsi="Arial" w:cs="Arial"/>
          <w:i/>
          <w:iCs/>
          <w:sz w:val="24"/>
          <w:szCs w:val="24"/>
        </w:rPr>
        <w:t>Smith, Hogan &amp; Ormerod’s Criminal Law</w:t>
      </w:r>
      <w:r>
        <w:rPr>
          <w:rFonts w:ascii="Arial" w:hAnsi="Arial" w:cs="Arial"/>
          <w:sz w:val="24"/>
          <w:szCs w:val="24"/>
        </w:rPr>
        <w:t>. 14</w:t>
      </w:r>
      <w:r w:rsidRPr="006C338F">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Oxford: Oxford University Press. </w:t>
      </w:r>
    </w:p>
    <w:p w14:paraId="69259877" w14:textId="63A09953" w:rsidR="00183F98" w:rsidRDefault="00183F98" w:rsidP="00B0777B">
      <w:pPr>
        <w:rPr>
          <w:rFonts w:ascii="Arial" w:hAnsi="Arial" w:cs="Arial"/>
          <w:sz w:val="24"/>
          <w:szCs w:val="24"/>
        </w:rPr>
      </w:pPr>
      <w:r>
        <w:rPr>
          <w:rFonts w:ascii="Arial" w:hAnsi="Arial" w:cs="Arial"/>
          <w:sz w:val="24"/>
          <w:szCs w:val="24"/>
        </w:rPr>
        <w:t xml:space="preserve">Clarkson, C. Keating, H. (2013) </w:t>
      </w:r>
      <w:r w:rsidRPr="00965D06">
        <w:rPr>
          <w:rFonts w:ascii="Arial" w:hAnsi="Arial" w:cs="Arial"/>
          <w:i/>
          <w:iCs/>
          <w:sz w:val="24"/>
          <w:szCs w:val="24"/>
        </w:rPr>
        <w:t>Criminal Law: Text and Materials</w:t>
      </w:r>
      <w:r>
        <w:rPr>
          <w:rFonts w:ascii="Arial" w:hAnsi="Arial" w:cs="Arial"/>
          <w:sz w:val="24"/>
          <w:szCs w:val="24"/>
        </w:rPr>
        <w:t>. 8</w:t>
      </w:r>
      <w:r w:rsidRPr="00965D06">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Oxford: Oxford University Press. </w:t>
      </w:r>
    </w:p>
    <w:p w14:paraId="2AA7CC68" w14:textId="77777777" w:rsidR="00B0777B" w:rsidRDefault="00B0777B" w:rsidP="00B0777B">
      <w:pPr>
        <w:rPr>
          <w:rFonts w:ascii="Arial" w:hAnsi="Arial" w:cs="Arial"/>
          <w:color w:val="000000"/>
          <w:spacing w:val="-5"/>
          <w:sz w:val="24"/>
          <w:szCs w:val="24"/>
        </w:rPr>
      </w:pPr>
      <w:r>
        <w:rPr>
          <w:rFonts w:ascii="Arial" w:hAnsi="Arial" w:cs="Arial"/>
          <w:color w:val="000000"/>
          <w:spacing w:val="-5"/>
          <w:sz w:val="24"/>
          <w:szCs w:val="24"/>
        </w:rPr>
        <w:t xml:space="preserve">Crown Prosecution Service. (2022) </w:t>
      </w:r>
      <w:r w:rsidRPr="00F71EB2">
        <w:rPr>
          <w:rFonts w:ascii="Arial" w:hAnsi="Arial" w:cs="Arial"/>
          <w:i/>
          <w:iCs/>
          <w:color w:val="000000"/>
          <w:spacing w:val="-5"/>
          <w:sz w:val="24"/>
          <w:szCs w:val="24"/>
        </w:rPr>
        <w:t>Homicide: Murder and Manslaughter.</w:t>
      </w:r>
      <w:r>
        <w:rPr>
          <w:rFonts w:ascii="Arial" w:hAnsi="Arial" w:cs="Arial"/>
          <w:color w:val="000000"/>
          <w:spacing w:val="-5"/>
          <w:sz w:val="24"/>
          <w:szCs w:val="24"/>
        </w:rPr>
        <w:t xml:space="preserve"> Available at: </w:t>
      </w:r>
      <w:hyperlink r:id="rId8" w:history="1">
        <w:r w:rsidRPr="00400187">
          <w:rPr>
            <w:rStyle w:val="Hyperlink"/>
            <w:rFonts w:ascii="Arial" w:hAnsi="Arial" w:cs="Arial"/>
            <w:spacing w:val="-5"/>
            <w:sz w:val="24"/>
            <w:szCs w:val="24"/>
          </w:rPr>
          <w:t>https://www.cps.gov.uk/legal-guidance/homicide-murder-and-manslaughter</w:t>
        </w:r>
      </w:hyperlink>
      <w:r>
        <w:rPr>
          <w:rFonts w:ascii="Arial" w:hAnsi="Arial" w:cs="Arial"/>
          <w:color w:val="000000"/>
          <w:spacing w:val="-5"/>
          <w:sz w:val="24"/>
          <w:szCs w:val="24"/>
        </w:rPr>
        <w:t xml:space="preserve"> (Accessed: 27 June 2023). </w:t>
      </w:r>
    </w:p>
    <w:p w14:paraId="0259772B" w14:textId="77777777" w:rsidR="00B0777B" w:rsidRDefault="00B0777B" w:rsidP="00B0777B">
      <w:pPr>
        <w:rPr>
          <w:rFonts w:ascii="Arial" w:hAnsi="Arial" w:cs="Arial"/>
          <w:sz w:val="24"/>
          <w:szCs w:val="24"/>
        </w:rPr>
      </w:pPr>
      <w:r>
        <w:rPr>
          <w:rFonts w:ascii="Arial" w:hAnsi="Arial" w:cs="Arial"/>
          <w:sz w:val="24"/>
          <w:szCs w:val="24"/>
        </w:rPr>
        <w:t xml:space="preserve">Crofts, T. (2009) Labelling Homicides: </w:t>
      </w:r>
      <w:r w:rsidRPr="00D70A9C">
        <w:rPr>
          <w:rFonts w:ascii="Arial" w:hAnsi="Arial" w:cs="Arial"/>
          <w:i/>
          <w:iCs/>
          <w:sz w:val="24"/>
          <w:szCs w:val="24"/>
        </w:rPr>
        <w:t>Annual Review of Law and Ethics</w:t>
      </w:r>
      <w:r>
        <w:rPr>
          <w:rFonts w:ascii="Arial" w:hAnsi="Arial" w:cs="Arial"/>
          <w:sz w:val="24"/>
          <w:szCs w:val="24"/>
        </w:rPr>
        <w:t xml:space="preserve">, 17, pp.355-383. Available at: </w:t>
      </w:r>
      <w:hyperlink r:id="rId9" w:history="1">
        <w:r w:rsidRPr="00400187">
          <w:rPr>
            <w:rStyle w:val="Hyperlink"/>
            <w:rFonts w:ascii="Arial" w:hAnsi="Arial" w:cs="Arial"/>
            <w:sz w:val="24"/>
            <w:szCs w:val="24"/>
          </w:rPr>
          <w:t>http://www.jstor.org/stable/43593985</w:t>
        </w:r>
      </w:hyperlink>
      <w:r>
        <w:rPr>
          <w:rFonts w:ascii="Arial" w:hAnsi="Arial" w:cs="Arial"/>
          <w:sz w:val="24"/>
          <w:szCs w:val="24"/>
        </w:rPr>
        <w:t xml:space="preserve"> (Accessed: 03 July 2023). </w:t>
      </w:r>
    </w:p>
    <w:p w14:paraId="7DF3B320" w14:textId="2CD184DA" w:rsidR="00183F98" w:rsidRDefault="00183F98" w:rsidP="00183F98">
      <w:pPr>
        <w:rPr>
          <w:rFonts w:ascii="Arial" w:hAnsi="Arial" w:cs="Arial"/>
          <w:sz w:val="24"/>
          <w:szCs w:val="24"/>
        </w:rPr>
      </w:pPr>
      <w:r>
        <w:rPr>
          <w:rFonts w:ascii="Arial" w:hAnsi="Arial" w:cs="Arial"/>
          <w:sz w:val="24"/>
          <w:szCs w:val="24"/>
        </w:rPr>
        <w:t xml:space="preserve">Farmer, L. Williams, K. (2017) </w:t>
      </w:r>
      <w:r w:rsidRPr="00C1780C">
        <w:rPr>
          <w:rFonts w:ascii="Arial" w:hAnsi="Arial" w:cs="Arial"/>
          <w:i/>
          <w:iCs/>
          <w:sz w:val="24"/>
          <w:szCs w:val="24"/>
        </w:rPr>
        <w:t>Manslaughter: Law, Theory and Policy</w:t>
      </w:r>
      <w:r>
        <w:rPr>
          <w:rFonts w:ascii="Arial" w:hAnsi="Arial" w:cs="Arial"/>
          <w:sz w:val="24"/>
          <w:szCs w:val="24"/>
        </w:rPr>
        <w:t xml:space="preserve">. Oxford: Oxford University Press. </w:t>
      </w:r>
    </w:p>
    <w:p w14:paraId="42DAC2DA" w14:textId="77777777" w:rsidR="00183F98" w:rsidRDefault="00183F98" w:rsidP="00183F98">
      <w:pPr>
        <w:rPr>
          <w:rFonts w:ascii="Arial" w:hAnsi="Arial" w:cs="Arial"/>
          <w:color w:val="000000"/>
          <w:spacing w:val="-5"/>
          <w:sz w:val="24"/>
          <w:szCs w:val="24"/>
        </w:rPr>
      </w:pPr>
      <w:proofErr w:type="gramStart"/>
      <w:r w:rsidRPr="00F128BD">
        <w:rPr>
          <w:rFonts w:ascii="Arial" w:hAnsi="Arial" w:cs="Arial"/>
          <w:sz w:val="24"/>
          <w:szCs w:val="24"/>
        </w:rPr>
        <w:t>Fitz-Gibbon</w:t>
      </w:r>
      <w:proofErr w:type="gramEnd"/>
      <w:r w:rsidRPr="00F128BD">
        <w:rPr>
          <w:rFonts w:ascii="Arial" w:hAnsi="Arial" w:cs="Arial"/>
          <w:sz w:val="24"/>
          <w:szCs w:val="24"/>
        </w:rPr>
        <w:t>, K. (2013) Replacing Provocation in England and Wales: Examining the Partial Defence of Loss of Control</w:t>
      </w:r>
      <w:r w:rsidRPr="00F128BD">
        <w:rPr>
          <w:rFonts w:ascii="Arial" w:hAnsi="Arial" w:cs="Arial"/>
          <w:i/>
          <w:iCs/>
          <w:sz w:val="24"/>
          <w:szCs w:val="24"/>
        </w:rPr>
        <w:t>, Journal of Law and Society</w:t>
      </w:r>
      <w:r w:rsidRPr="00F128BD">
        <w:rPr>
          <w:rFonts w:ascii="Arial" w:hAnsi="Arial" w:cs="Arial"/>
          <w:sz w:val="24"/>
          <w:szCs w:val="24"/>
        </w:rPr>
        <w:t xml:space="preserve">, 40(2), pp. 280-305. Available at: </w:t>
      </w:r>
      <w:hyperlink r:id="rId10" w:history="1">
        <w:r w:rsidRPr="00F128BD">
          <w:rPr>
            <w:rStyle w:val="Hyperlink"/>
            <w:rFonts w:ascii="Arial" w:hAnsi="Arial" w:cs="Arial"/>
            <w:spacing w:val="-5"/>
            <w:sz w:val="24"/>
            <w:szCs w:val="24"/>
          </w:rPr>
          <w:t>http://www.jstor.org/stable/43862353</w:t>
        </w:r>
      </w:hyperlink>
      <w:r w:rsidRPr="00F128BD">
        <w:rPr>
          <w:rFonts w:ascii="Arial" w:hAnsi="Arial" w:cs="Arial"/>
          <w:color w:val="000000"/>
          <w:spacing w:val="-5"/>
          <w:sz w:val="24"/>
          <w:szCs w:val="24"/>
        </w:rPr>
        <w:t xml:space="preserve"> (Accessed: 27 June 2023). </w:t>
      </w:r>
    </w:p>
    <w:p w14:paraId="64845F56" w14:textId="77777777" w:rsidR="00183F98" w:rsidRDefault="00183F98" w:rsidP="00183F98">
      <w:pPr>
        <w:rPr>
          <w:rFonts w:ascii="Arial" w:hAnsi="Arial" w:cs="Arial"/>
          <w:sz w:val="24"/>
          <w:szCs w:val="24"/>
        </w:rPr>
      </w:pPr>
      <w:r>
        <w:rPr>
          <w:rFonts w:ascii="Arial" w:hAnsi="Arial" w:cs="Arial"/>
          <w:sz w:val="24"/>
          <w:szCs w:val="24"/>
        </w:rPr>
        <w:t xml:space="preserve">Gordon, C. (2014) ‘One-punch killer Lewis Gill’s four-year sentence not unduly lenient, court rules’, </w:t>
      </w:r>
      <w:r w:rsidRPr="009B1580">
        <w:rPr>
          <w:rFonts w:ascii="Arial" w:hAnsi="Arial" w:cs="Arial"/>
          <w:i/>
          <w:iCs/>
          <w:sz w:val="24"/>
          <w:szCs w:val="24"/>
        </w:rPr>
        <w:t>The Independent</w:t>
      </w:r>
      <w:r>
        <w:rPr>
          <w:rFonts w:ascii="Arial" w:hAnsi="Arial" w:cs="Arial"/>
          <w:sz w:val="24"/>
          <w:szCs w:val="24"/>
        </w:rPr>
        <w:t xml:space="preserve">, 07 May. Available at: </w:t>
      </w:r>
      <w:hyperlink r:id="rId11" w:history="1">
        <w:r w:rsidRPr="00400187">
          <w:rPr>
            <w:rStyle w:val="Hyperlink"/>
            <w:rFonts w:ascii="Arial" w:hAnsi="Arial" w:cs="Arial"/>
            <w:sz w:val="24"/>
            <w:szCs w:val="24"/>
          </w:rPr>
          <w:t>https://www.independent.co.uk/news/uk/crime/onepunch-killer-lewis-gill-s-fouryear-sentence-not-unduly-lenient-court-rules-9331570.html</w:t>
        </w:r>
      </w:hyperlink>
      <w:r>
        <w:rPr>
          <w:rFonts w:ascii="Arial" w:hAnsi="Arial" w:cs="Arial"/>
          <w:sz w:val="24"/>
          <w:szCs w:val="24"/>
        </w:rPr>
        <w:t xml:space="preserve"> (Accessed: 03 July 2023). </w:t>
      </w:r>
    </w:p>
    <w:p w14:paraId="6D4DC154" w14:textId="1E77E51A" w:rsidR="00183F98" w:rsidRDefault="00183F98" w:rsidP="00B0777B">
      <w:pPr>
        <w:rPr>
          <w:rFonts w:ascii="Arial" w:hAnsi="Arial" w:cs="Arial"/>
          <w:sz w:val="24"/>
          <w:szCs w:val="24"/>
        </w:rPr>
      </w:pPr>
      <w:r w:rsidRPr="00F128BD">
        <w:rPr>
          <w:rFonts w:ascii="Arial" w:hAnsi="Arial" w:cs="Arial"/>
          <w:sz w:val="24"/>
          <w:szCs w:val="24"/>
        </w:rPr>
        <w:t xml:space="preserve">Herring, J. (2022) </w:t>
      </w:r>
      <w:r w:rsidRPr="00F128BD">
        <w:rPr>
          <w:rFonts w:ascii="Arial" w:hAnsi="Arial" w:cs="Arial"/>
          <w:i/>
          <w:iCs/>
          <w:sz w:val="24"/>
          <w:szCs w:val="24"/>
        </w:rPr>
        <w:t>Criminal Law: Text, Cases and Materials.</w:t>
      </w:r>
      <w:r w:rsidRPr="00F128BD">
        <w:rPr>
          <w:rFonts w:ascii="Arial" w:hAnsi="Arial" w:cs="Arial"/>
          <w:sz w:val="24"/>
          <w:szCs w:val="24"/>
        </w:rPr>
        <w:t xml:space="preserve"> Oxford: University Press.</w:t>
      </w:r>
    </w:p>
    <w:p w14:paraId="53346383" w14:textId="41649C07" w:rsidR="001A6171" w:rsidRPr="00F128BD" w:rsidRDefault="00D73319" w:rsidP="006D0A4D">
      <w:pPr>
        <w:rPr>
          <w:rFonts w:ascii="Arial" w:hAnsi="Arial" w:cs="Arial"/>
          <w:sz w:val="24"/>
          <w:szCs w:val="24"/>
        </w:rPr>
      </w:pPr>
      <w:r w:rsidRPr="00F128BD">
        <w:rPr>
          <w:rFonts w:ascii="Arial" w:hAnsi="Arial" w:cs="Arial"/>
          <w:sz w:val="24"/>
          <w:szCs w:val="24"/>
        </w:rPr>
        <w:t>Law Commission (2004)</w:t>
      </w:r>
      <w:r w:rsidR="00034EF8" w:rsidRPr="00F128BD">
        <w:rPr>
          <w:rFonts w:ascii="Arial" w:hAnsi="Arial" w:cs="Arial"/>
          <w:sz w:val="24"/>
          <w:szCs w:val="24"/>
        </w:rPr>
        <w:t xml:space="preserve"> </w:t>
      </w:r>
      <w:r w:rsidR="00034EF8" w:rsidRPr="00F128BD">
        <w:rPr>
          <w:rFonts w:ascii="Arial" w:hAnsi="Arial" w:cs="Arial"/>
          <w:i/>
          <w:iCs/>
          <w:sz w:val="24"/>
          <w:szCs w:val="24"/>
        </w:rPr>
        <w:t>Partial Defences to Murder</w:t>
      </w:r>
      <w:r w:rsidR="00A37D19" w:rsidRPr="00F128BD">
        <w:rPr>
          <w:rFonts w:ascii="Arial" w:hAnsi="Arial" w:cs="Arial"/>
          <w:i/>
          <w:iCs/>
          <w:sz w:val="24"/>
          <w:szCs w:val="24"/>
        </w:rPr>
        <w:t>.</w:t>
      </w:r>
      <w:r w:rsidR="00A37D19" w:rsidRPr="00F128BD">
        <w:rPr>
          <w:rFonts w:ascii="Arial" w:hAnsi="Arial" w:cs="Arial"/>
          <w:sz w:val="24"/>
          <w:szCs w:val="24"/>
        </w:rPr>
        <w:t xml:space="preserve"> Available at: </w:t>
      </w:r>
      <w:hyperlink r:id="rId12" w:history="1">
        <w:r w:rsidR="00A37D19" w:rsidRPr="00F128BD">
          <w:rPr>
            <w:rStyle w:val="Hyperlink"/>
            <w:rFonts w:ascii="Arial" w:hAnsi="Arial" w:cs="Arial"/>
            <w:sz w:val="24"/>
            <w:szCs w:val="24"/>
          </w:rPr>
          <w:t>https://s3-eu-west-2.amazonaws.com/lawcom-prod-storage-11jsxou24uy7q/uploads/2015/03/lc290_Partial_Defences_to_Murder.pdf</w:t>
        </w:r>
      </w:hyperlink>
      <w:r w:rsidR="00A37D19" w:rsidRPr="00F128BD">
        <w:rPr>
          <w:rFonts w:ascii="Arial" w:hAnsi="Arial" w:cs="Arial"/>
          <w:sz w:val="24"/>
          <w:szCs w:val="24"/>
        </w:rPr>
        <w:t xml:space="preserve"> (Accessed: 27 June 2023). </w:t>
      </w:r>
    </w:p>
    <w:p w14:paraId="42B78005" w14:textId="118B44FB" w:rsidR="00324857" w:rsidRPr="00F128BD" w:rsidRDefault="00324857" w:rsidP="006D0A4D">
      <w:pPr>
        <w:rPr>
          <w:rFonts w:ascii="Arial" w:hAnsi="Arial" w:cs="Arial"/>
          <w:sz w:val="24"/>
          <w:szCs w:val="24"/>
        </w:rPr>
      </w:pPr>
      <w:r w:rsidRPr="00F128BD">
        <w:rPr>
          <w:rFonts w:ascii="Arial" w:hAnsi="Arial" w:cs="Arial"/>
          <w:sz w:val="24"/>
          <w:szCs w:val="24"/>
        </w:rPr>
        <w:t xml:space="preserve">Legislation.gov.uk. </w:t>
      </w:r>
      <w:r w:rsidR="00A6791A" w:rsidRPr="00F128BD">
        <w:rPr>
          <w:rFonts w:ascii="Arial" w:hAnsi="Arial" w:cs="Arial"/>
          <w:sz w:val="24"/>
          <w:szCs w:val="24"/>
        </w:rPr>
        <w:t>(2009</w:t>
      </w:r>
      <w:r w:rsidR="00A6791A" w:rsidRPr="00F128BD">
        <w:rPr>
          <w:rFonts w:ascii="Arial" w:hAnsi="Arial" w:cs="Arial"/>
          <w:i/>
          <w:iCs/>
          <w:sz w:val="24"/>
          <w:szCs w:val="24"/>
        </w:rPr>
        <w:t>) Coroners and Justice Act 2009.</w:t>
      </w:r>
      <w:r w:rsidR="00A6791A" w:rsidRPr="00F128BD">
        <w:rPr>
          <w:rFonts w:ascii="Arial" w:hAnsi="Arial" w:cs="Arial"/>
          <w:sz w:val="24"/>
          <w:szCs w:val="24"/>
        </w:rPr>
        <w:t xml:space="preserve"> Available at: </w:t>
      </w:r>
      <w:hyperlink r:id="rId13" w:history="1">
        <w:r w:rsidR="00E76ABA" w:rsidRPr="00F128BD">
          <w:rPr>
            <w:rStyle w:val="Hyperlink"/>
            <w:rFonts w:ascii="Arial" w:hAnsi="Arial" w:cs="Arial"/>
            <w:sz w:val="24"/>
            <w:szCs w:val="24"/>
          </w:rPr>
          <w:t>https://www.legislation.gov.uk/ukpga/2009/25/contents</w:t>
        </w:r>
      </w:hyperlink>
      <w:r w:rsidR="00E76ABA" w:rsidRPr="00F128BD">
        <w:rPr>
          <w:rFonts w:ascii="Arial" w:hAnsi="Arial" w:cs="Arial"/>
          <w:sz w:val="24"/>
          <w:szCs w:val="24"/>
        </w:rPr>
        <w:t xml:space="preserve"> (Accessed: 27 June 2023). </w:t>
      </w:r>
    </w:p>
    <w:p w14:paraId="1134E443" w14:textId="77777777" w:rsidR="00183F98" w:rsidRDefault="00183F98" w:rsidP="00183F98">
      <w:pPr>
        <w:rPr>
          <w:rFonts w:ascii="Arial" w:hAnsi="Arial" w:cs="Arial"/>
          <w:sz w:val="24"/>
          <w:szCs w:val="24"/>
        </w:rPr>
      </w:pPr>
      <w:r>
        <w:rPr>
          <w:rFonts w:ascii="Arial" w:hAnsi="Arial" w:cs="Arial"/>
          <w:sz w:val="24"/>
          <w:szCs w:val="24"/>
        </w:rPr>
        <w:t xml:space="preserve">Marsden, S. (2014) ‘One punch </w:t>
      </w:r>
      <w:proofErr w:type="gramStart"/>
      <w:r>
        <w:rPr>
          <w:rFonts w:ascii="Arial" w:hAnsi="Arial" w:cs="Arial"/>
          <w:sz w:val="24"/>
          <w:szCs w:val="24"/>
        </w:rPr>
        <w:t>killers</w:t>
      </w:r>
      <w:proofErr w:type="gramEnd"/>
      <w:r>
        <w:rPr>
          <w:rFonts w:ascii="Arial" w:hAnsi="Arial" w:cs="Arial"/>
          <w:sz w:val="24"/>
          <w:szCs w:val="24"/>
        </w:rPr>
        <w:t xml:space="preserve"> ‘receive average sentences of less than four years’, </w:t>
      </w:r>
      <w:r w:rsidRPr="004B27C7">
        <w:rPr>
          <w:rFonts w:ascii="Arial" w:hAnsi="Arial" w:cs="Arial"/>
          <w:i/>
          <w:iCs/>
          <w:sz w:val="24"/>
          <w:szCs w:val="24"/>
        </w:rPr>
        <w:t>The Telegraph</w:t>
      </w:r>
      <w:r>
        <w:rPr>
          <w:rFonts w:ascii="Arial" w:hAnsi="Arial" w:cs="Arial"/>
          <w:sz w:val="24"/>
          <w:szCs w:val="24"/>
        </w:rPr>
        <w:t xml:space="preserve">, 26 February. Available at: </w:t>
      </w:r>
      <w:hyperlink r:id="rId14" w:history="1">
        <w:r w:rsidRPr="00400187">
          <w:rPr>
            <w:rStyle w:val="Hyperlink"/>
            <w:rFonts w:ascii="Arial" w:hAnsi="Arial" w:cs="Arial"/>
            <w:sz w:val="24"/>
            <w:szCs w:val="24"/>
          </w:rPr>
          <w:t>https://www.telegraph.co.uk/news/uknews/crime/10663783/One-punch-killers-receive-average-sentences-of-less-than-four-years.html</w:t>
        </w:r>
      </w:hyperlink>
      <w:r>
        <w:rPr>
          <w:rFonts w:ascii="Arial" w:hAnsi="Arial" w:cs="Arial"/>
          <w:sz w:val="24"/>
          <w:szCs w:val="24"/>
        </w:rPr>
        <w:t xml:space="preserve"> (Accessed: 03 July 2023). </w:t>
      </w:r>
    </w:p>
    <w:p w14:paraId="1C047C83" w14:textId="77777777" w:rsidR="00183F98" w:rsidRDefault="00183F98" w:rsidP="00183F98">
      <w:pPr>
        <w:rPr>
          <w:rFonts w:ascii="Arial" w:hAnsi="Arial" w:cs="Arial"/>
          <w:sz w:val="24"/>
          <w:szCs w:val="24"/>
        </w:rPr>
      </w:pPr>
      <w:r>
        <w:rPr>
          <w:rFonts w:ascii="Arial" w:hAnsi="Arial" w:cs="Arial"/>
          <w:sz w:val="24"/>
          <w:szCs w:val="24"/>
        </w:rPr>
        <w:t xml:space="preserve">Norrie, A. (2018) </w:t>
      </w:r>
      <w:r w:rsidRPr="00E24C0E">
        <w:rPr>
          <w:rFonts w:ascii="Arial" w:hAnsi="Arial" w:cs="Arial"/>
          <w:i/>
          <w:iCs/>
          <w:sz w:val="24"/>
          <w:szCs w:val="24"/>
        </w:rPr>
        <w:t>Manslaughter: A Critical Introduction</w:t>
      </w:r>
      <w:r>
        <w:rPr>
          <w:rFonts w:ascii="Arial" w:hAnsi="Arial" w:cs="Arial"/>
          <w:sz w:val="24"/>
          <w:szCs w:val="24"/>
        </w:rPr>
        <w:t>. 7</w:t>
      </w:r>
      <w:r w:rsidRPr="00CA1260">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Oxford: Oxford University Press. </w:t>
      </w:r>
    </w:p>
    <w:p w14:paraId="74C93E09" w14:textId="77777777" w:rsidR="00183F98" w:rsidRDefault="00183F98" w:rsidP="00183F98">
      <w:pPr>
        <w:rPr>
          <w:rFonts w:ascii="Arial" w:hAnsi="Arial" w:cs="Arial"/>
          <w:sz w:val="24"/>
          <w:szCs w:val="24"/>
        </w:rPr>
      </w:pPr>
      <w:r>
        <w:rPr>
          <w:rFonts w:ascii="Arial" w:hAnsi="Arial" w:cs="Arial"/>
          <w:sz w:val="24"/>
          <w:szCs w:val="24"/>
        </w:rPr>
        <w:t xml:space="preserve">Sentencing Council (2018) </w:t>
      </w:r>
      <w:r w:rsidRPr="00123435">
        <w:rPr>
          <w:rFonts w:ascii="Arial" w:hAnsi="Arial" w:cs="Arial"/>
          <w:i/>
          <w:iCs/>
          <w:sz w:val="24"/>
          <w:szCs w:val="24"/>
        </w:rPr>
        <w:t>Manslaughter</w:t>
      </w:r>
      <w:r>
        <w:rPr>
          <w:rFonts w:ascii="Arial" w:hAnsi="Arial" w:cs="Arial"/>
          <w:sz w:val="24"/>
          <w:szCs w:val="24"/>
        </w:rPr>
        <w:t xml:space="preserve">. Available at: </w:t>
      </w:r>
      <w:hyperlink r:id="rId15" w:history="1">
        <w:r w:rsidRPr="00400187">
          <w:rPr>
            <w:rStyle w:val="Hyperlink"/>
            <w:rFonts w:ascii="Arial" w:hAnsi="Arial" w:cs="Arial"/>
            <w:sz w:val="24"/>
            <w:szCs w:val="24"/>
          </w:rPr>
          <w:t>https://www.sentencingcouncil.org.uk/sentencing-and-the-council/about-sentencing-guidelines/about-published-guidelines/manslaughter/</w:t>
        </w:r>
      </w:hyperlink>
      <w:r>
        <w:rPr>
          <w:rFonts w:ascii="Arial" w:hAnsi="Arial" w:cs="Arial"/>
          <w:sz w:val="24"/>
          <w:szCs w:val="24"/>
        </w:rPr>
        <w:t xml:space="preserve"> (Accessed 03 July 2023). </w:t>
      </w:r>
    </w:p>
    <w:p w14:paraId="4B847A03" w14:textId="5013073D" w:rsidR="0097382B" w:rsidRDefault="0097382B" w:rsidP="006D0A4D">
      <w:pPr>
        <w:rPr>
          <w:rFonts w:ascii="Arial" w:hAnsi="Arial" w:cs="Arial"/>
          <w:color w:val="000000"/>
          <w:spacing w:val="-5"/>
          <w:sz w:val="24"/>
          <w:szCs w:val="24"/>
        </w:rPr>
      </w:pPr>
      <w:r>
        <w:rPr>
          <w:rFonts w:ascii="Arial" w:hAnsi="Arial" w:cs="Arial"/>
          <w:color w:val="000000"/>
          <w:spacing w:val="-5"/>
          <w:sz w:val="24"/>
          <w:szCs w:val="24"/>
        </w:rPr>
        <w:lastRenderedPageBreak/>
        <w:t>Tadros, V. (2016)</w:t>
      </w:r>
      <w:r w:rsidR="002542B9">
        <w:rPr>
          <w:rFonts w:ascii="Arial" w:hAnsi="Arial" w:cs="Arial"/>
          <w:color w:val="000000"/>
          <w:spacing w:val="-5"/>
          <w:sz w:val="24"/>
          <w:szCs w:val="24"/>
        </w:rPr>
        <w:t xml:space="preserve"> The limits of manslaughter, </w:t>
      </w:r>
      <w:r w:rsidR="002542B9" w:rsidRPr="00D1580B">
        <w:rPr>
          <w:rFonts w:ascii="Arial" w:hAnsi="Arial" w:cs="Arial"/>
          <w:i/>
          <w:iCs/>
          <w:color w:val="000000"/>
          <w:spacing w:val="-5"/>
          <w:sz w:val="24"/>
          <w:szCs w:val="24"/>
        </w:rPr>
        <w:t>Criminal Liability</w:t>
      </w:r>
      <w:r w:rsidR="0062482D">
        <w:rPr>
          <w:rFonts w:ascii="Arial" w:hAnsi="Arial" w:cs="Arial"/>
          <w:color w:val="000000"/>
          <w:spacing w:val="-5"/>
          <w:sz w:val="24"/>
          <w:szCs w:val="24"/>
        </w:rPr>
        <w:t xml:space="preserve">, pp.35-60. Routledge. Available at: </w:t>
      </w:r>
      <w:hyperlink r:id="rId16" w:history="1">
        <w:r w:rsidR="00D1580B" w:rsidRPr="00400187">
          <w:rPr>
            <w:rStyle w:val="Hyperlink"/>
            <w:rFonts w:ascii="Arial" w:hAnsi="Arial" w:cs="Arial"/>
            <w:spacing w:val="-5"/>
            <w:sz w:val="24"/>
            <w:szCs w:val="24"/>
          </w:rPr>
          <w:t>https://www.taylorfrancis.com/chapters/edit/10.4324/9781315574820-3/limits-manslaughter-victor-tadros</w:t>
        </w:r>
      </w:hyperlink>
      <w:r w:rsidR="00D1580B">
        <w:rPr>
          <w:rFonts w:ascii="Arial" w:hAnsi="Arial" w:cs="Arial"/>
          <w:color w:val="000000"/>
          <w:spacing w:val="-5"/>
          <w:sz w:val="24"/>
          <w:szCs w:val="24"/>
        </w:rPr>
        <w:t xml:space="preserve"> (Accessed: 27 June 2023). </w:t>
      </w:r>
      <w:r w:rsidR="0062482D">
        <w:rPr>
          <w:rFonts w:ascii="Arial" w:hAnsi="Arial" w:cs="Arial"/>
          <w:color w:val="000000"/>
          <w:spacing w:val="-5"/>
          <w:sz w:val="24"/>
          <w:szCs w:val="24"/>
        </w:rPr>
        <w:t xml:space="preserve"> </w:t>
      </w:r>
    </w:p>
    <w:p w14:paraId="5FCA6D54" w14:textId="77777777" w:rsidR="00183F98" w:rsidRDefault="00183F98" w:rsidP="006D0A4D">
      <w:pPr>
        <w:rPr>
          <w:rFonts w:ascii="Arial" w:hAnsi="Arial" w:cs="Arial"/>
          <w:color w:val="000000"/>
          <w:spacing w:val="-5"/>
          <w:sz w:val="24"/>
          <w:szCs w:val="24"/>
        </w:rPr>
      </w:pPr>
    </w:p>
    <w:p w14:paraId="3E4DF005" w14:textId="2D20759F" w:rsidR="00183F98" w:rsidRDefault="00183F98" w:rsidP="00183F98">
      <w:pPr>
        <w:jc w:val="center"/>
        <w:rPr>
          <w:rFonts w:ascii="Arial" w:hAnsi="Arial" w:cs="Arial"/>
          <w:color w:val="000000"/>
          <w:spacing w:val="-5"/>
          <w:sz w:val="24"/>
          <w:szCs w:val="24"/>
        </w:rPr>
      </w:pPr>
      <w:r>
        <w:rPr>
          <w:rFonts w:ascii="Arial" w:hAnsi="Arial" w:cs="Arial"/>
          <w:color w:val="000000"/>
          <w:spacing w:val="-5"/>
          <w:sz w:val="24"/>
          <w:szCs w:val="24"/>
        </w:rPr>
        <w:t>Case Law</w:t>
      </w:r>
    </w:p>
    <w:p w14:paraId="2EF04250" w14:textId="16D1F67B" w:rsidR="00FB4239" w:rsidRDefault="00C076FC" w:rsidP="006D0A4D">
      <w:pPr>
        <w:rPr>
          <w:rFonts w:ascii="Arial" w:hAnsi="Arial" w:cs="Arial"/>
          <w:sz w:val="24"/>
          <w:szCs w:val="24"/>
        </w:rPr>
      </w:pPr>
      <w:r>
        <w:rPr>
          <w:rFonts w:ascii="Arial" w:hAnsi="Arial" w:cs="Arial"/>
          <w:sz w:val="24"/>
          <w:szCs w:val="24"/>
        </w:rPr>
        <w:t xml:space="preserve">R v Gill (2014) EWCA Crim </w:t>
      </w:r>
      <w:r w:rsidR="00A85E1B">
        <w:rPr>
          <w:rFonts w:ascii="Arial" w:hAnsi="Arial" w:cs="Arial"/>
          <w:sz w:val="24"/>
          <w:szCs w:val="24"/>
        </w:rPr>
        <w:t>956, All ER (D), 155 (May)</w:t>
      </w:r>
      <w:r w:rsidR="002B7CF4">
        <w:rPr>
          <w:rFonts w:ascii="Arial" w:hAnsi="Arial" w:cs="Arial"/>
          <w:sz w:val="24"/>
          <w:szCs w:val="24"/>
        </w:rPr>
        <w:t xml:space="preserve">. </w:t>
      </w:r>
    </w:p>
    <w:p w14:paraId="27371F21" w14:textId="77777777" w:rsidR="00C1780C" w:rsidRPr="00F128BD" w:rsidRDefault="00C1780C" w:rsidP="006D0A4D">
      <w:pPr>
        <w:rPr>
          <w:rFonts w:ascii="Arial" w:hAnsi="Arial" w:cs="Arial"/>
          <w:sz w:val="24"/>
          <w:szCs w:val="24"/>
        </w:rPr>
      </w:pPr>
    </w:p>
    <w:sectPr w:rsidR="00C1780C" w:rsidRPr="00F128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5646B6"/>
    <w:multiLevelType w:val="multilevel"/>
    <w:tmpl w:val="05CE0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4520BCF"/>
    <w:multiLevelType w:val="multilevel"/>
    <w:tmpl w:val="6A2C7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4472867">
    <w:abstractNumId w:val="0"/>
  </w:num>
  <w:num w:numId="2" w16cid:durableId="2259179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A4D"/>
    <w:rsid w:val="0000265C"/>
    <w:rsid w:val="00020EFC"/>
    <w:rsid w:val="000245BE"/>
    <w:rsid w:val="00034EF8"/>
    <w:rsid w:val="00040FB2"/>
    <w:rsid w:val="0006020A"/>
    <w:rsid w:val="000A7ABB"/>
    <w:rsid w:val="000B242D"/>
    <w:rsid w:val="000E7DF8"/>
    <w:rsid w:val="0011732C"/>
    <w:rsid w:val="00123435"/>
    <w:rsid w:val="001612E6"/>
    <w:rsid w:val="00183F98"/>
    <w:rsid w:val="001851C9"/>
    <w:rsid w:val="00191D84"/>
    <w:rsid w:val="001A6171"/>
    <w:rsid w:val="001D379F"/>
    <w:rsid w:val="001D48F4"/>
    <w:rsid w:val="00234CA2"/>
    <w:rsid w:val="00251C86"/>
    <w:rsid w:val="00253521"/>
    <w:rsid w:val="002542B9"/>
    <w:rsid w:val="002776D8"/>
    <w:rsid w:val="00287E35"/>
    <w:rsid w:val="002B0991"/>
    <w:rsid w:val="002B6660"/>
    <w:rsid w:val="002B6A5B"/>
    <w:rsid w:val="002B7CF4"/>
    <w:rsid w:val="002C1036"/>
    <w:rsid w:val="003009F3"/>
    <w:rsid w:val="0030293F"/>
    <w:rsid w:val="003175D0"/>
    <w:rsid w:val="00324857"/>
    <w:rsid w:val="00330A8C"/>
    <w:rsid w:val="00342EAF"/>
    <w:rsid w:val="003902D9"/>
    <w:rsid w:val="003B4091"/>
    <w:rsid w:val="00414E3D"/>
    <w:rsid w:val="00436A68"/>
    <w:rsid w:val="00474C5C"/>
    <w:rsid w:val="004A253E"/>
    <w:rsid w:val="004B27C7"/>
    <w:rsid w:val="004B2FE7"/>
    <w:rsid w:val="004F588B"/>
    <w:rsid w:val="00500EAD"/>
    <w:rsid w:val="00503AAC"/>
    <w:rsid w:val="0050446C"/>
    <w:rsid w:val="00504BA0"/>
    <w:rsid w:val="00512AB8"/>
    <w:rsid w:val="00513FB3"/>
    <w:rsid w:val="005167EA"/>
    <w:rsid w:val="00560970"/>
    <w:rsid w:val="00561DE4"/>
    <w:rsid w:val="005A00C7"/>
    <w:rsid w:val="005A79F6"/>
    <w:rsid w:val="005D7FA8"/>
    <w:rsid w:val="005F78BE"/>
    <w:rsid w:val="006174D5"/>
    <w:rsid w:val="0062482D"/>
    <w:rsid w:val="00651B31"/>
    <w:rsid w:val="00655001"/>
    <w:rsid w:val="00663960"/>
    <w:rsid w:val="006A3EC4"/>
    <w:rsid w:val="006A40A3"/>
    <w:rsid w:val="006C257A"/>
    <w:rsid w:val="006C338F"/>
    <w:rsid w:val="006D0473"/>
    <w:rsid w:val="006D0A4D"/>
    <w:rsid w:val="00705542"/>
    <w:rsid w:val="00706433"/>
    <w:rsid w:val="007648DD"/>
    <w:rsid w:val="00797EEB"/>
    <w:rsid w:val="007F52E3"/>
    <w:rsid w:val="007F6070"/>
    <w:rsid w:val="007F6DE8"/>
    <w:rsid w:val="008615DC"/>
    <w:rsid w:val="0089760B"/>
    <w:rsid w:val="008A4A7C"/>
    <w:rsid w:val="008C55CC"/>
    <w:rsid w:val="00914303"/>
    <w:rsid w:val="00915D18"/>
    <w:rsid w:val="009444E0"/>
    <w:rsid w:val="00945B8C"/>
    <w:rsid w:val="00963E40"/>
    <w:rsid w:val="00965D06"/>
    <w:rsid w:val="009662D9"/>
    <w:rsid w:val="0097382B"/>
    <w:rsid w:val="00981B44"/>
    <w:rsid w:val="009B0E57"/>
    <w:rsid w:val="009B1580"/>
    <w:rsid w:val="009E1DAD"/>
    <w:rsid w:val="00A07C8B"/>
    <w:rsid w:val="00A37D19"/>
    <w:rsid w:val="00A55237"/>
    <w:rsid w:val="00A57A07"/>
    <w:rsid w:val="00A66405"/>
    <w:rsid w:val="00A6791A"/>
    <w:rsid w:val="00A73326"/>
    <w:rsid w:val="00A81200"/>
    <w:rsid w:val="00A85E1B"/>
    <w:rsid w:val="00AB1057"/>
    <w:rsid w:val="00AC2633"/>
    <w:rsid w:val="00AE185D"/>
    <w:rsid w:val="00AF2481"/>
    <w:rsid w:val="00B0777B"/>
    <w:rsid w:val="00B11D02"/>
    <w:rsid w:val="00B43834"/>
    <w:rsid w:val="00B47351"/>
    <w:rsid w:val="00B530AA"/>
    <w:rsid w:val="00BB2B5B"/>
    <w:rsid w:val="00C0547D"/>
    <w:rsid w:val="00C076FC"/>
    <w:rsid w:val="00C1780C"/>
    <w:rsid w:val="00C32CC8"/>
    <w:rsid w:val="00C3335F"/>
    <w:rsid w:val="00C42D20"/>
    <w:rsid w:val="00CA1260"/>
    <w:rsid w:val="00D020AD"/>
    <w:rsid w:val="00D05C9E"/>
    <w:rsid w:val="00D064A7"/>
    <w:rsid w:val="00D116D7"/>
    <w:rsid w:val="00D1580B"/>
    <w:rsid w:val="00D179F6"/>
    <w:rsid w:val="00D3180D"/>
    <w:rsid w:val="00D31F95"/>
    <w:rsid w:val="00D325FA"/>
    <w:rsid w:val="00D33482"/>
    <w:rsid w:val="00D34E25"/>
    <w:rsid w:val="00D70A9C"/>
    <w:rsid w:val="00D73319"/>
    <w:rsid w:val="00D86753"/>
    <w:rsid w:val="00D908E9"/>
    <w:rsid w:val="00D91156"/>
    <w:rsid w:val="00DD072E"/>
    <w:rsid w:val="00DE2418"/>
    <w:rsid w:val="00DE4D3D"/>
    <w:rsid w:val="00DF57B8"/>
    <w:rsid w:val="00E24C0E"/>
    <w:rsid w:val="00E34E53"/>
    <w:rsid w:val="00E47B05"/>
    <w:rsid w:val="00E51B66"/>
    <w:rsid w:val="00E76ABA"/>
    <w:rsid w:val="00EB3DAF"/>
    <w:rsid w:val="00EC2E69"/>
    <w:rsid w:val="00ED6761"/>
    <w:rsid w:val="00ED77E2"/>
    <w:rsid w:val="00F100D1"/>
    <w:rsid w:val="00F128BD"/>
    <w:rsid w:val="00F66258"/>
    <w:rsid w:val="00F70C98"/>
    <w:rsid w:val="00F71EB2"/>
    <w:rsid w:val="00F81107"/>
    <w:rsid w:val="00F8395A"/>
    <w:rsid w:val="00F855AF"/>
    <w:rsid w:val="00FA07A1"/>
    <w:rsid w:val="00FB4239"/>
    <w:rsid w:val="00FB50ED"/>
    <w:rsid w:val="00FD4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5D9C8"/>
  <w15:chartTrackingRefBased/>
  <w15:docId w15:val="{7A1B3C79-67A1-46F8-955E-AAC3982FA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7D19"/>
    <w:rPr>
      <w:color w:val="0563C1" w:themeColor="hyperlink"/>
      <w:u w:val="single"/>
    </w:rPr>
  </w:style>
  <w:style w:type="character" w:styleId="UnresolvedMention">
    <w:name w:val="Unresolved Mention"/>
    <w:basedOn w:val="DefaultParagraphFont"/>
    <w:uiPriority w:val="99"/>
    <w:semiHidden/>
    <w:unhideWhenUsed/>
    <w:rsid w:val="00A37D19"/>
    <w:rPr>
      <w:color w:val="605E5C"/>
      <w:shd w:val="clear" w:color="auto" w:fill="E1DFDD"/>
    </w:rPr>
  </w:style>
  <w:style w:type="paragraph" w:styleId="NormalWeb">
    <w:name w:val="Normal (Web)"/>
    <w:basedOn w:val="Normal"/>
    <w:uiPriority w:val="99"/>
    <w:semiHidden/>
    <w:unhideWhenUsed/>
    <w:rsid w:val="00963E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9127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homicide-murder-and-manslaughter" TargetMode="External"/><Relationship Id="rId13" Type="http://schemas.openxmlformats.org/officeDocument/2006/relationships/hyperlink" Target="https://www.legislation.gov.uk/ukpga/2009/25/content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3-eu-west-2.amazonaws.com/lawcom-prod-storage-11jsxou24uy7q/uploads/2015/03/lc290_Partial_Defences_to_Murder.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aylorfrancis.com/chapters/edit/10.4324/9781315574820-3/limits-manslaughter-victor-tadro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dependent.co.uk/news/uk/crime/onepunch-killer-lewis-gill-s-fouryear-sentence-not-unduly-lenient-court-rules-9331570.html" TargetMode="External"/><Relationship Id="rId5" Type="http://schemas.openxmlformats.org/officeDocument/2006/relationships/styles" Target="styles.xml"/><Relationship Id="rId15" Type="http://schemas.openxmlformats.org/officeDocument/2006/relationships/hyperlink" Target="https://www.sentencingcouncil.org.uk/sentencing-and-the-council/about-sentencing-guidelines/about-published-guidelines/manslaughter/" TargetMode="External"/><Relationship Id="rId10" Type="http://schemas.openxmlformats.org/officeDocument/2006/relationships/hyperlink" Target="http://www.jstor.org/stable/43862353" TargetMode="External"/><Relationship Id="rId4" Type="http://schemas.openxmlformats.org/officeDocument/2006/relationships/numbering" Target="numbering.xml"/><Relationship Id="rId9" Type="http://schemas.openxmlformats.org/officeDocument/2006/relationships/hyperlink" Target="http://www.jstor.org/stable/43593985" TargetMode="External"/><Relationship Id="rId14" Type="http://schemas.openxmlformats.org/officeDocument/2006/relationships/hyperlink" Target="https://www.telegraph.co.uk/news/uknews/crime/10663783/One-punch-killers-receive-average-sentences-of-less-than-four-yea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f5d853b1b0d3eb963727c3f021c9290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8e8f9a5649e88ae2a5f06fca135a92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D8D6B977-28AC-4CD1-9061-DB87710A3E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3E279A-9395-4F41-A979-E7F0A180B407}">
  <ds:schemaRefs>
    <ds:schemaRef ds:uri="http://schemas.microsoft.com/sharepoint/v3/contenttype/forms"/>
  </ds:schemaRefs>
</ds:datastoreItem>
</file>

<file path=customXml/itemProps3.xml><?xml version="1.0" encoding="utf-8"?>
<ds:datastoreItem xmlns:ds="http://schemas.openxmlformats.org/officeDocument/2006/customXml" ds:itemID="{6208BE9A-DB1D-449A-AF4B-29CE1E4B8EE1}">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7405</TotalTime>
  <Pages>6</Pages>
  <Words>1982</Words>
  <Characters>11302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 Emery</dc:creator>
  <cp:keywords/>
  <dc:description/>
  <cp:lastModifiedBy>Phoebe Alexandra Olivia Emery (2224078)</cp:lastModifiedBy>
  <cp:revision>153</cp:revision>
  <dcterms:created xsi:type="dcterms:W3CDTF">2023-06-26T18:21:00Z</dcterms:created>
  <dcterms:modified xsi:type="dcterms:W3CDTF">2023-07-03T19:05:00Z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