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7C54" w:rsidRPr="005B7C54" w:rsidRDefault="005B7C54" w:rsidP="00B2549E">
      <w:pPr>
        <w:ind w:firstLine="720"/>
        <w:rPr>
          <w:rFonts w:ascii="Arial" w:hAnsi="Arial" w:cs="Arial"/>
          <w:sz w:val="28"/>
          <w:szCs w:val="28"/>
        </w:rPr>
      </w:pPr>
      <w:r w:rsidRPr="005B7C54">
        <w:rPr>
          <w:rFonts w:ascii="Arial" w:hAnsi="Arial" w:cs="Arial"/>
          <w:sz w:val="28"/>
          <w:szCs w:val="28"/>
        </w:rPr>
        <w:t>Carmen Georgiana Marcut</w:t>
      </w:r>
    </w:p>
    <w:p w:rsidR="005B7C54" w:rsidRPr="005B7C54" w:rsidRDefault="005B7C54" w:rsidP="005B7C54">
      <w:pPr>
        <w:ind w:firstLine="720"/>
        <w:rPr>
          <w:rFonts w:ascii="Arial" w:hAnsi="Arial" w:cs="Arial"/>
          <w:sz w:val="28"/>
          <w:szCs w:val="28"/>
        </w:rPr>
      </w:pPr>
      <w:r w:rsidRPr="005B7C54">
        <w:rPr>
          <w:rFonts w:ascii="Arial" w:hAnsi="Arial" w:cs="Arial"/>
          <w:sz w:val="28"/>
          <w:szCs w:val="28"/>
        </w:rPr>
        <w:t>2028979</w:t>
      </w:r>
      <w:r w:rsidRPr="005B7C54">
        <w:rPr>
          <w:rFonts w:ascii="Arial" w:eastAsia="Times New Roman" w:hAnsi="Arial" w:cs="Arial"/>
          <w:sz w:val="28"/>
          <w:szCs w:val="28"/>
          <w:lang w:eastAsia="en-GB"/>
        </w:rPr>
        <w:fldChar w:fldCharType="begin"/>
      </w:r>
      <w:r w:rsidRPr="005B7C54">
        <w:rPr>
          <w:rFonts w:ascii="Arial" w:eastAsia="Times New Roman" w:hAnsi="Arial" w:cs="Arial"/>
          <w:sz w:val="28"/>
          <w:szCs w:val="28"/>
          <w:lang w:eastAsia="en-GB"/>
        </w:rPr>
        <w:instrText xml:space="preserve"> HYPERLINK "https://moodle.uwtsd.ac.uk/course/view.php?id=8195" </w:instrText>
      </w:r>
      <w:r w:rsidRPr="005B7C54">
        <w:rPr>
          <w:rFonts w:ascii="Arial" w:eastAsia="Times New Roman" w:hAnsi="Arial" w:cs="Arial"/>
          <w:sz w:val="28"/>
          <w:szCs w:val="28"/>
          <w:lang w:eastAsia="en-GB"/>
        </w:rPr>
        <w:fldChar w:fldCharType="separate"/>
      </w:r>
    </w:p>
    <w:p w:rsidR="005B7C54" w:rsidRPr="005B7C54" w:rsidRDefault="005B7C54" w:rsidP="005B7C54">
      <w:pPr>
        <w:spacing w:after="0"/>
        <w:ind w:firstLine="720"/>
        <w:jc w:val="both"/>
        <w:textAlignment w:val="center"/>
        <w:outlineLvl w:val="0"/>
        <w:rPr>
          <w:rFonts w:ascii="Arial" w:eastAsia="Times New Roman" w:hAnsi="Arial" w:cs="Arial"/>
          <w:kern w:val="36"/>
          <w:sz w:val="28"/>
          <w:szCs w:val="28"/>
          <w:lang w:eastAsia="en-GB"/>
        </w:rPr>
      </w:pPr>
      <w:r w:rsidRPr="005B7C54">
        <w:rPr>
          <w:rFonts w:ascii="Arial" w:eastAsia="Times New Roman" w:hAnsi="Arial" w:cs="Arial"/>
          <w:color w:val="00090E"/>
          <w:kern w:val="36"/>
          <w:sz w:val="28"/>
          <w:szCs w:val="28"/>
          <w:shd w:val="clear" w:color="auto" w:fill="FBF7F5"/>
          <w:lang w:eastAsia="en-GB"/>
        </w:rPr>
        <w:t>Accounting Fundamentals (LCBB4001_BIRM)</w:t>
      </w:r>
    </w:p>
    <w:p w:rsidR="005B7C54" w:rsidRPr="005B7C54" w:rsidRDefault="005B7C54" w:rsidP="005B7C54">
      <w:pPr>
        <w:ind w:firstLine="720"/>
        <w:rPr>
          <w:rFonts w:ascii="Arial" w:hAnsi="Arial" w:cs="Arial"/>
          <w:sz w:val="28"/>
          <w:szCs w:val="28"/>
        </w:rPr>
      </w:pPr>
      <w:r w:rsidRPr="005B7C54">
        <w:rPr>
          <w:rFonts w:ascii="Arial" w:eastAsia="Times New Roman" w:hAnsi="Arial" w:cs="Arial"/>
          <w:sz w:val="28"/>
          <w:szCs w:val="28"/>
          <w:lang w:eastAsia="en-GB"/>
        </w:rPr>
        <w:fldChar w:fldCharType="end"/>
      </w:r>
      <w:r w:rsidRPr="005B7C54">
        <w:rPr>
          <w:rFonts w:ascii="Arial" w:eastAsia="Times New Roman" w:hAnsi="Arial" w:cs="Arial"/>
          <w:sz w:val="28"/>
          <w:szCs w:val="28"/>
          <w:lang w:eastAsia="en-GB"/>
        </w:rPr>
        <w:t xml:space="preserve">Ernest </w:t>
      </w:r>
      <w:proofErr w:type="spellStart"/>
      <w:r w:rsidRPr="005B7C54">
        <w:rPr>
          <w:rFonts w:ascii="Arial" w:eastAsia="Times New Roman" w:hAnsi="Arial" w:cs="Arial"/>
          <w:sz w:val="28"/>
          <w:szCs w:val="28"/>
          <w:lang w:eastAsia="en-GB"/>
        </w:rPr>
        <w:t>Ovia</w:t>
      </w:r>
      <w:proofErr w:type="spellEnd"/>
    </w:p>
    <w:p w:rsidR="005B7C54" w:rsidRDefault="005B7C54">
      <w:pPr>
        <w:rPr>
          <w:rFonts w:ascii="Arial" w:hAnsi="Arial" w:cs="Arial"/>
        </w:rPr>
      </w:pPr>
      <w:r>
        <w:rPr>
          <w:rFonts w:ascii="Arial" w:hAnsi="Arial" w:cs="Arial"/>
        </w:rPr>
        <w:br w:type="page"/>
      </w:r>
    </w:p>
    <w:p w:rsidR="001E5E94" w:rsidRDefault="00DC1D80" w:rsidP="00B2549E">
      <w:pPr>
        <w:ind w:firstLine="720"/>
        <w:rPr>
          <w:rFonts w:ascii="Arial" w:hAnsi="Arial" w:cs="Arial"/>
        </w:rPr>
      </w:pPr>
      <w:r w:rsidRPr="00B2549E">
        <w:rPr>
          <w:rFonts w:ascii="Arial" w:hAnsi="Arial" w:cs="Arial"/>
        </w:rPr>
        <w:lastRenderedPageBreak/>
        <w:t xml:space="preserve">We have the balance taken from Michael’s </w:t>
      </w:r>
      <w:proofErr w:type="spellStart"/>
      <w:r w:rsidRPr="00B2549E">
        <w:rPr>
          <w:rFonts w:ascii="Arial" w:hAnsi="Arial" w:cs="Arial"/>
        </w:rPr>
        <w:t>ladger</w:t>
      </w:r>
      <w:proofErr w:type="spellEnd"/>
      <w:r w:rsidRPr="00B2549E">
        <w:rPr>
          <w:rFonts w:ascii="Arial" w:hAnsi="Arial" w:cs="Arial"/>
        </w:rPr>
        <w:t xml:space="preserve"> accounts on 31</w:t>
      </w:r>
      <w:r w:rsidRPr="00B2549E">
        <w:rPr>
          <w:rFonts w:ascii="Arial" w:hAnsi="Arial" w:cs="Arial"/>
          <w:vertAlign w:val="superscript"/>
        </w:rPr>
        <w:t>st</w:t>
      </w:r>
      <w:r w:rsidRPr="00B2549E">
        <w:rPr>
          <w:rFonts w:ascii="Arial" w:hAnsi="Arial" w:cs="Arial"/>
        </w:rPr>
        <w:t xml:space="preserve"> December 2019 and we know the value of inventory on this period was £30,000. </w:t>
      </w:r>
    </w:p>
    <w:p w:rsidR="005B7C54" w:rsidRDefault="005B7C54" w:rsidP="00B2549E">
      <w:pPr>
        <w:ind w:firstLine="720"/>
        <w:rPr>
          <w:rFonts w:ascii="Arial" w:hAnsi="Arial" w:cs="Arial"/>
          <w:b/>
        </w:rPr>
      </w:pPr>
    </w:p>
    <w:p w:rsidR="00B2549E" w:rsidRPr="00B2549E" w:rsidRDefault="00B2549E" w:rsidP="00B2549E">
      <w:pPr>
        <w:ind w:firstLine="720"/>
        <w:rPr>
          <w:rFonts w:ascii="Arial" w:hAnsi="Arial" w:cs="Arial"/>
          <w:b/>
        </w:rPr>
      </w:pPr>
      <w:r w:rsidRPr="00B2549E">
        <w:rPr>
          <w:rFonts w:ascii="Arial" w:hAnsi="Arial" w:cs="Arial"/>
          <w:b/>
        </w:rPr>
        <w:t>The Trial Balance updated:</w:t>
      </w:r>
    </w:p>
    <w:tbl>
      <w:tblPr>
        <w:tblW w:w="9540" w:type="dxa"/>
        <w:tblLook w:val="04A0" w:firstRow="1" w:lastRow="0" w:firstColumn="1" w:lastColumn="0" w:noHBand="0" w:noVBand="1"/>
      </w:tblPr>
      <w:tblGrid>
        <w:gridCol w:w="6100"/>
        <w:gridCol w:w="1640"/>
        <w:gridCol w:w="1800"/>
      </w:tblGrid>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Retained earnings as at 01/01/2019</w:t>
            </w:r>
          </w:p>
        </w:tc>
        <w:tc>
          <w:tcPr>
            <w:tcW w:w="1640" w:type="dxa"/>
            <w:tcBorders>
              <w:top w:val="nil"/>
              <w:left w:val="nil"/>
              <w:bottom w:val="nil"/>
              <w:right w:val="nil"/>
            </w:tcBorders>
            <w:shd w:val="clear" w:color="auto" w:fill="auto"/>
            <w:noWrap/>
            <w:vAlign w:val="bottom"/>
            <w:hideMark/>
          </w:tcPr>
          <w:p w:rsidR="00E62A31" w:rsidRPr="00B2549E" w:rsidRDefault="00E62A31" w:rsidP="00B2549E">
            <w:pPr>
              <w:spacing w:after="0"/>
              <w:rPr>
                <w:rFonts w:ascii="Arial" w:eastAsia="Times New Roman" w:hAnsi="Arial" w:cs="Arial"/>
                <w:color w:val="000000"/>
                <w:lang w:eastAsia="en-GB"/>
              </w:rPr>
            </w:pPr>
          </w:p>
        </w:tc>
        <w:tc>
          <w:tcPr>
            <w:tcW w:w="1800" w:type="dxa"/>
            <w:tcBorders>
              <w:top w:val="nil"/>
              <w:left w:val="nil"/>
              <w:bottom w:val="nil"/>
              <w:right w:val="nil"/>
            </w:tcBorders>
            <w:shd w:val="clear" w:color="auto" w:fill="auto"/>
            <w:noWrap/>
            <w:vAlign w:val="center"/>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10,100</w:t>
            </w: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Computers</w:t>
            </w:r>
          </w:p>
        </w:tc>
        <w:tc>
          <w:tcPr>
            <w:tcW w:w="1640" w:type="dxa"/>
            <w:tcBorders>
              <w:top w:val="nil"/>
              <w:left w:val="nil"/>
              <w:bottom w:val="nil"/>
              <w:right w:val="nil"/>
            </w:tcBorders>
            <w:shd w:val="clear" w:color="auto" w:fill="auto"/>
            <w:noWrap/>
            <w:vAlign w:val="center"/>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14,600</w:t>
            </w:r>
          </w:p>
        </w:tc>
        <w:tc>
          <w:tcPr>
            <w:tcW w:w="180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color w:val="000000"/>
                <w:lang w:eastAsia="en-GB"/>
              </w:rPr>
            </w:pP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Accumulated depreciation - Computers at 01/01/2019</w:t>
            </w:r>
          </w:p>
        </w:tc>
        <w:tc>
          <w:tcPr>
            <w:tcW w:w="1640" w:type="dxa"/>
            <w:tcBorders>
              <w:top w:val="nil"/>
              <w:left w:val="nil"/>
              <w:bottom w:val="nil"/>
              <w:right w:val="nil"/>
            </w:tcBorders>
            <w:shd w:val="clear" w:color="auto" w:fill="auto"/>
            <w:noWrap/>
            <w:vAlign w:val="bottom"/>
            <w:hideMark/>
          </w:tcPr>
          <w:p w:rsidR="00E62A31" w:rsidRPr="00B2549E" w:rsidRDefault="00E62A31" w:rsidP="00B2549E">
            <w:pPr>
              <w:spacing w:after="0"/>
              <w:rPr>
                <w:rFonts w:ascii="Arial" w:eastAsia="Times New Roman" w:hAnsi="Arial" w:cs="Arial"/>
                <w:color w:val="000000"/>
                <w:lang w:eastAsia="en-GB"/>
              </w:rPr>
            </w:pPr>
          </w:p>
        </w:tc>
        <w:tc>
          <w:tcPr>
            <w:tcW w:w="1800" w:type="dxa"/>
            <w:tcBorders>
              <w:top w:val="nil"/>
              <w:left w:val="nil"/>
              <w:bottom w:val="nil"/>
              <w:right w:val="nil"/>
            </w:tcBorders>
            <w:shd w:val="clear" w:color="auto" w:fill="auto"/>
            <w:noWrap/>
            <w:vAlign w:val="center"/>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6,152</w:t>
            </w: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Plant &amp; Machinery</w:t>
            </w:r>
          </w:p>
        </w:tc>
        <w:tc>
          <w:tcPr>
            <w:tcW w:w="1640" w:type="dxa"/>
            <w:tcBorders>
              <w:top w:val="nil"/>
              <w:left w:val="nil"/>
              <w:bottom w:val="nil"/>
              <w:right w:val="nil"/>
            </w:tcBorders>
            <w:shd w:val="clear" w:color="auto" w:fill="auto"/>
            <w:noWrap/>
            <w:vAlign w:val="center"/>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60,000</w:t>
            </w:r>
          </w:p>
        </w:tc>
        <w:tc>
          <w:tcPr>
            <w:tcW w:w="180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color w:val="000000"/>
                <w:lang w:eastAsia="en-GB"/>
              </w:rPr>
            </w:pP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Accumulated depreciation – Plant &amp; Machinery at 01/01/2019</w:t>
            </w:r>
          </w:p>
        </w:tc>
        <w:tc>
          <w:tcPr>
            <w:tcW w:w="1640" w:type="dxa"/>
            <w:tcBorders>
              <w:top w:val="nil"/>
              <w:left w:val="nil"/>
              <w:bottom w:val="nil"/>
              <w:right w:val="nil"/>
            </w:tcBorders>
            <w:shd w:val="clear" w:color="auto" w:fill="auto"/>
            <w:noWrap/>
            <w:vAlign w:val="bottom"/>
            <w:hideMark/>
          </w:tcPr>
          <w:p w:rsidR="00E62A31" w:rsidRPr="00B2549E" w:rsidRDefault="00E62A31" w:rsidP="00B2549E">
            <w:pPr>
              <w:spacing w:after="0"/>
              <w:rPr>
                <w:rFonts w:ascii="Arial" w:eastAsia="Times New Roman" w:hAnsi="Arial" w:cs="Arial"/>
                <w:color w:val="000000"/>
                <w:lang w:eastAsia="en-GB"/>
              </w:rPr>
            </w:pPr>
          </w:p>
        </w:tc>
        <w:tc>
          <w:tcPr>
            <w:tcW w:w="1800" w:type="dxa"/>
            <w:tcBorders>
              <w:top w:val="nil"/>
              <w:left w:val="nil"/>
              <w:bottom w:val="nil"/>
              <w:right w:val="nil"/>
            </w:tcBorders>
            <w:shd w:val="clear" w:color="auto" w:fill="auto"/>
            <w:noWrap/>
            <w:vAlign w:val="center"/>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15,000</w:t>
            </w: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Inventory at 01/01/2017</w:t>
            </w:r>
          </w:p>
        </w:tc>
        <w:tc>
          <w:tcPr>
            <w:tcW w:w="1640" w:type="dxa"/>
            <w:tcBorders>
              <w:top w:val="nil"/>
              <w:left w:val="nil"/>
              <w:bottom w:val="nil"/>
              <w:right w:val="nil"/>
            </w:tcBorders>
            <w:shd w:val="clear" w:color="auto" w:fill="auto"/>
            <w:noWrap/>
            <w:vAlign w:val="center"/>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30,000</w:t>
            </w:r>
          </w:p>
        </w:tc>
        <w:tc>
          <w:tcPr>
            <w:tcW w:w="180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color w:val="000000"/>
                <w:lang w:eastAsia="en-GB"/>
              </w:rPr>
            </w:pP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Trade receivables</w:t>
            </w:r>
          </w:p>
        </w:tc>
        <w:tc>
          <w:tcPr>
            <w:tcW w:w="1640" w:type="dxa"/>
            <w:tcBorders>
              <w:top w:val="nil"/>
              <w:left w:val="nil"/>
              <w:bottom w:val="nil"/>
              <w:right w:val="nil"/>
            </w:tcBorders>
            <w:shd w:val="clear" w:color="auto" w:fill="auto"/>
            <w:noWrap/>
            <w:vAlign w:val="bottom"/>
            <w:hideMark/>
          </w:tcPr>
          <w:p w:rsidR="00E62A31" w:rsidRPr="00B2549E" w:rsidRDefault="00E62A31" w:rsidP="00B2549E">
            <w:pPr>
              <w:spacing w:after="0"/>
              <w:rPr>
                <w:rFonts w:ascii="Arial" w:eastAsia="Times New Roman" w:hAnsi="Arial" w:cs="Arial"/>
                <w:color w:val="000000"/>
                <w:lang w:eastAsia="en-GB"/>
              </w:rPr>
            </w:pPr>
          </w:p>
        </w:tc>
        <w:tc>
          <w:tcPr>
            <w:tcW w:w="180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20,000</w:t>
            </w: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Allowance for doubtful debts 01/01/2019</w:t>
            </w:r>
          </w:p>
        </w:tc>
        <w:tc>
          <w:tcPr>
            <w:tcW w:w="1640" w:type="dxa"/>
            <w:tcBorders>
              <w:top w:val="nil"/>
              <w:left w:val="nil"/>
              <w:bottom w:val="nil"/>
              <w:right w:val="nil"/>
            </w:tcBorders>
            <w:shd w:val="clear" w:color="auto" w:fill="auto"/>
            <w:noWrap/>
            <w:vAlign w:val="bottom"/>
            <w:hideMark/>
          </w:tcPr>
          <w:p w:rsidR="00E62A31" w:rsidRPr="00B2549E" w:rsidRDefault="00E62A31" w:rsidP="00B2549E">
            <w:pPr>
              <w:spacing w:after="0"/>
              <w:rPr>
                <w:rFonts w:ascii="Arial" w:eastAsia="Times New Roman" w:hAnsi="Arial" w:cs="Arial"/>
                <w:color w:val="000000"/>
                <w:lang w:eastAsia="en-GB"/>
              </w:rPr>
            </w:pPr>
          </w:p>
        </w:tc>
        <w:tc>
          <w:tcPr>
            <w:tcW w:w="180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925</w:t>
            </w: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Cash in hand</w:t>
            </w:r>
          </w:p>
        </w:tc>
        <w:tc>
          <w:tcPr>
            <w:tcW w:w="1640" w:type="dxa"/>
            <w:tcBorders>
              <w:top w:val="nil"/>
              <w:left w:val="nil"/>
              <w:bottom w:val="nil"/>
              <w:right w:val="nil"/>
            </w:tcBorders>
            <w:shd w:val="clear" w:color="auto" w:fill="auto"/>
            <w:noWrap/>
            <w:vAlign w:val="center"/>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100</w:t>
            </w:r>
          </w:p>
        </w:tc>
        <w:tc>
          <w:tcPr>
            <w:tcW w:w="180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color w:val="000000"/>
                <w:lang w:eastAsia="en-GB"/>
              </w:rPr>
            </w:pP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Cash at bank</w:t>
            </w:r>
          </w:p>
        </w:tc>
        <w:tc>
          <w:tcPr>
            <w:tcW w:w="1640" w:type="dxa"/>
            <w:tcBorders>
              <w:top w:val="nil"/>
              <w:left w:val="nil"/>
              <w:bottom w:val="nil"/>
              <w:right w:val="nil"/>
            </w:tcBorders>
            <w:shd w:val="clear" w:color="auto" w:fill="auto"/>
            <w:noWrap/>
            <w:vAlign w:val="center"/>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1,750</w:t>
            </w:r>
          </w:p>
        </w:tc>
        <w:tc>
          <w:tcPr>
            <w:tcW w:w="180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color w:val="000000"/>
                <w:lang w:eastAsia="en-GB"/>
              </w:rPr>
            </w:pP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Trade payables</w:t>
            </w:r>
          </w:p>
        </w:tc>
        <w:tc>
          <w:tcPr>
            <w:tcW w:w="1640" w:type="dxa"/>
            <w:tcBorders>
              <w:top w:val="nil"/>
              <w:left w:val="nil"/>
              <w:bottom w:val="nil"/>
              <w:right w:val="nil"/>
            </w:tcBorders>
            <w:shd w:val="clear" w:color="auto" w:fill="auto"/>
            <w:noWrap/>
            <w:vAlign w:val="bottom"/>
            <w:hideMark/>
          </w:tcPr>
          <w:p w:rsidR="00E62A31" w:rsidRPr="00B2549E" w:rsidRDefault="00E62A31" w:rsidP="00B2549E">
            <w:pPr>
              <w:spacing w:after="0"/>
              <w:rPr>
                <w:rFonts w:ascii="Arial" w:eastAsia="Times New Roman" w:hAnsi="Arial" w:cs="Arial"/>
                <w:color w:val="000000"/>
                <w:lang w:eastAsia="en-GB"/>
              </w:rPr>
            </w:pPr>
          </w:p>
        </w:tc>
        <w:tc>
          <w:tcPr>
            <w:tcW w:w="1800" w:type="dxa"/>
            <w:tcBorders>
              <w:top w:val="nil"/>
              <w:left w:val="nil"/>
              <w:bottom w:val="nil"/>
              <w:right w:val="nil"/>
            </w:tcBorders>
            <w:shd w:val="clear" w:color="auto" w:fill="auto"/>
            <w:noWrap/>
            <w:vAlign w:val="center"/>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36,000</w:t>
            </w: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Capital</w:t>
            </w:r>
          </w:p>
        </w:tc>
        <w:tc>
          <w:tcPr>
            <w:tcW w:w="1640" w:type="dxa"/>
            <w:tcBorders>
              <w:top w:val="nil"/>
              <w:left w:val="nil"/>
              <w:bottom w:val="nil"/>
              <w:right w:val="nil"/>
            </w:tcBorders>
            <w:shd w:val="clear" w:color="auto" w:fill="auto"/>
            <w:noWrap/>
            <w:vAlign w:val="bottom"/>
            <w:hideMark/>
          </w:tcPr>
          <w:p w:rsidR="00E62A31" w:rsidRPr="00B2549E" w:rsidRDefault="00E62A31" w:rsidP="00B2549E">
            <w:pPr>
              <w:spacing w:after="0"/>
              <w:rPr>
                <w:rFonts w:ascii="Arial" w:eastAsia="Times New Roman" w:hAnsi="Arial" w:cs="Arial"/>
                <w:color w:val="000000"/>
                <w:lang w:eastAsia="en-GB"/>
              </w:rPr>
            </w:pPr>
          </w:p>
        </w:tc>
        <w:tc>
          <w:tcPr>
            <w:tcW w:w="1800" w:type="dxa"/>
            <w:tcBorders>
              <w:top w:val="nil"/>
              <w:left w:val="nil"/>
              <w:bottom w:val="nil"/>
              <w:right w:val="nil"/>
            </w:tcBorders>
            <w:shd w:val="clear" w:color="auto" w:fill="auto"/>
            <w:noWrap/>
            <w:vAlign w:val="center"/>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28,000</w:t>
            </w: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Drawings</w:t>
            </w:r>
          </w:p>
        </w:tc>
        <w:tc>
          <w:tcPr>
            <w:tcW w:w="1640" w:type="dxa"/>
            <w:tcBorders>
              <w:top w:val="nil"/>
              <w:left w:val="nil"/>
              <w:bottom w:val="nil"/>
              <w:right w:val="nil"/>
            </w:tcBorders>
            <w:shd w:val="clear" w:color="auto" w:fill="auto"/>
            <w:noWrap/>
            <w:vAlign w:val="center"/>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10,250</w:t>
            </w:r>
          </w:p>
        </w:tc>
        <w:tc>
          <w:tcPr>
            <w:tcW w:w="180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color w:val="000000"/>
                <w:lang w:eastAsia="en-GB"/>
              </w:rPr>
            </w:pP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Purchases</w:t>
            </w:r>
          </w:p>
        </w:tc>
        <w:tc>
          <w:tcPr>
            <w:tcW w:w="1640" w:type="dxa"/>
            <w:tcBorders>
              <w:top w:val="nil"/>
              <w:left w:val="nil"/>
              <w:bottom w:val="nil"/>
              <w:right w:val="nil"/>
            </w:tcBorders>
            <w:shd w:val="clear" w:color="auto" w:fill="auto"/>
            <w:noWrap/>
            <w:vAlign w:val="center"/>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160,000</w:t>
            </w:r>
          </w:p>
        </w:tc>
        <w:tc>
          <w:tcPr>
            <w:tcW w:w="180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color w:val="000000"/>
                <w:lang w:eastAsia="en-GB"/>
              </w:rPr>
            </w:pP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Revenue</w:t>
            </w:r>
          </w:p>
        </w:tc>
        <w:tc>
          <w:tcPr>
            <w:tcW w:w="1640" w:type="dxa"/>
            <w:tcBorders>
              <w:top w:val="nil"/>
              <w:left w:val="nil"/>
              <w:bottom w:val="nil"/>
              <w:right w:val="nil"/>
            </w:tcBorders>
            <w:shd w:val="clear" w:color="auto" w:fill="auto"/>
            <w:noWrap/>
            <w:vAlign w:val="bottom"/>
            <w:hideMark/>
          </w:tcPr>
          <w:p w:rsidR="00E62A31" w:rsidRPr="00B2549E" w:rsidRDefault="00E62A31" w:rsidP="00B2549E">
            <w:pPr>
              <w:spacing w:after="0"/>
              <w:rPr>
                <w:rFonts w:ascii="Arial" w:eastAsia="Times New Roman" w:hAnsi="Arial" w:cs="Arial"/>
                <w:color w:val="000000"/>
                <w:lang w:eastAsia="en-GB"/>
              </w:rPr>
            </w:pPr>
          </w:p>
        </w:tc>
        <w:tc>
          <w:tcPr>
            <w:tcW w:w="1800" w:type="dxa"/>
            <w:tcBorders>
              <w:top w:val="nil"/>
              <w:left w:val="nil"/>
              <w:bottom w:val="nil"/>
              <w:right w:val="nil"/>
            </w:tcBorders>
            <w:shd w:val="clear" w:color="auto" w:fill="auto"/>
            <w:noWrap/>
            <w:vAlign w:val="center"/>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240,000</w:t>
            </w: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Wages</w:t>
            </w:r>
          </w:p>
        </w:tc>
        <w:tc>
          <w:tcPr>
            <w:tcW w:w="1640" w:type="dxa"/>
            <w:tcBorders>
              <w:top w:val="nil"/>
              <w:left w:val="nil"/>
              <w:bottom w:val="nil"/>
              <w:right w:val="nil"/>
            </w:tcBorders>
            <w:shd w:val="clear" w:color="auto" w:fill="auto"/>
            <w:noWrap/>
            <w:vAlign w:val="center"/>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24,000</w:t>
            </w:r>
          </w:p>
        </w:tc>
        <w:tc>
          <w:tcPr>
            <w:tcW w:w="180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color w:val="000000"/>
                <w:lang w:eastAsia="en-GB"/>
              </w:rPr>
            </w:pP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Advertising</w:t>
            </w:r>
          </w:p>
        </w:tc>
        <w:tc>
          <w:tcPr>
            <w:tcW w:w="1640" w:type="dxa"/>
            <w:tcBorders>
              <w:top w:val="nil"/>
              <w:left w:val="nil"/>
              <w:bottom w:val="nil"/>
              <w:right w:val="nil"/>
            </w:tcBorders>
            <w:shd w:val="clear" w:color="auto" w:fill="auto"/>
            <w:noWrap/>
            <w:vAlign w:val="center"/>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8,000</w:t>
            </w:r>
          </w:p>
        </w:tc>
        <w:tc>
          <w:tcPr>
            <w:tcW w:w="180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color w:val="000000"/>
                <w:lang w:eastAsia="en-GB"/>
              </w:rPr>
            </w:pP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Rates</w:t>
            </w:r>
          </w:p>
        </w:tc>
        <w:tc>
          <w:tcPr>
            <w:tcW w:w="164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2,950</w:t>
            </w:r>
          </w:p>
        </w:tc>
        <w:tc>
          <w:tcPr>
            <w:tcW w:w="180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color w:val="000000"/>
                <w:lang w:eastAsia="en-GB"/>
              </w:rPr>
            </w:pP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Bank charges</w:t>
            </w:r>
          </w:p>
        </w:tc>
        <w:tc>
          <w:tcPr>
            <w:tcW w:w="1640" w:type="dxa"/>
            <w:tcBorders>
              <w:top w:val="nil"/>
              <w:left w:val="nil"/>
              <w:bottom w:val="nil"/>
              <w:right w:val="nil"/>
            </w:tcBorders>
            <w:shd w:val="clear" w:color="auto" w:fill="auto"/>
            <w:noWrap/>
            <w:vAlign w:val="bottom"/>
            <w:hideMark/>
          </w:tcPr>
          <w:p w:rsidR="00E62A31" w:rsidRPr="00B2549E" w:rsidRDefault="00E62A31" w:rsidP="00B2549E">
            <w:pPr>
              <w:spacing w:after="0"/>
              <w:rPr>
                <w:rFonts w:ascii="Arial" w:eastAsia="Times New Roman" w:hAnsi="Arial" w:cs="Arial"/>
                <w:color w:val="000000"/>
                <w:lang w:eastAsia="en-GB"/>
              </w:rPr>
            </w:pPr>
          </w:p>
        </w:tc>
        <w:tc>
          <w:tcPr>
            <w:tcW w:w="1800" w:type="dxa"/>
            <w:tcBorders>
              <w:top w:val="nil"/>
              <w:left w:val="nil"/>
              <w:bottom w:val="nil"/>
              <w:right w:val="nil"/>
            </w:tcBorders>
            <w:shd w:val="clear" w:color="auto" w:fill="auto"/>
            <w:noWrap/>
            <w:vAlign w:val="center"/>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400</w:t>
            </w: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Deception Expense - Computer</w:t>
            </w:r>
          </w:p>
        </w:tc>
        <w:tc>
          <w:tcPr>
            <w:tcW w:w="164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1,152</w:t>
            </w:r>
          </w:p>
        </w:tc>
        <w:tc>
          <w:tcPr>
            <w:tcW w:w="180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color w:val="000000"/>
                <w:lang w:eastAsia="en-GB"/>
              </w:rPr>
            </w:pP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Deception Expense - Plant &amp; Machinery</w:t>
            </w:r>
          </w:p>
        </w:tc>
        <w:tc>
          <w:tcPr>
            <w:tcW w:w="164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3,000</w:t>
            </w:r>
          </w:p>
        </w:tc>
        <w:tc>
          <w:tcPr>
            <w:tcW w:w="180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color w:val="000000"/>
                <w:lang w:eastAsia="en-GB"/>
              </w:rPr>
            </w:pPr>
          </w:p>
        </w:tc>
      </w:tr>
      <w:tr w:rsidR="00E62A31" w:rsidRPr="00B2549E" w:rsidTr="00E62A31">
        <w:trPr>
          <w:trHeight w:val="300"/>
        </w:trPr>
        <w:tc>
          <w:tcPr>
            <w:tcW w:w="6100" w:type="dxa"/>
            <w:tcBorders>
              <w:top w:val="nil"/>
              <w:left w:val="nil"/>
              <w:bottom w:val="nil"/>
              <w:right w:val="nil"/>
            </w:tcBorders>
            <w:shd w:val="clear" w:color="auto" w:fill="auto"/>
            <w:noWrap/>
            <w:vAlign w:val="center"/>
            <w:hideMark/>
          </w:tcPr>
          <w:p w:rsidR="00E62A31" w:rsidRPr="00B2549E" w:rsidRDefault="00E62A31"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Bad Debts</w:t>
            </w:r>
          </w:p>
        </w:tc>
        <w:tc>
          <w:tcPr>
            <w:tcW w:w="164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825</w:t>
            </w:r>
          </w:p>
        </w:tc>
        <w:tc>
          <w:tcPr>
            <w:tcW w:w="180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color w:val="000000"/>
                <w:lang w:eastAsia="en-GB"/>
              </w:rPr>
            </w:pPr>
          </w:p>
        </w:tc>
      </w:tr>
      <w:tr w:rsidR="00E62A31" w:rsidRPr="00B2549E" w:rsidTr="00E62A31">
        <w:trPr>
          <w:trHeight w:val="300"/>
        </w:trPr>
        <w:tc>
          <w:tcPr>
            <w:tcW w:w="6100" w:type="dxa"/>
            <w:tcBorders>
              <w:top w:val="nil"/>
              <w:left w:val="nil"/>
              <w:bottom w:val="nil"/>
              <w:right w:val="nil"/>
            </w:tcBorders>
            <w:shd w:val="clear" w:color="auto" w:fill="auto"/>
            <w:noWrap/>
            <w:vAlign w:val="bottom"/>
            <w:hideMark/>
          </w:tcPr>
          <w:p w:rsidR="00E62A31" w:rsidRPr="00B2549E" w:rsidRDefault="00E62A31" w:rsidP="00B2549E">
            <w:pPr>
              <w:spacing w:after="0"/>
              <w:rPr>
                <w:rFonts w:ascii="Arial" w:eastAsia="Times New Roman" w:hAnsi="Arial" w:cs="Arial"/>
                <w:lang w:eastAsia="en-GB"/>
              </w:rPr>
            </w:pPr>
          </w:p>
        </w:tc>
        <w:tc>
          <w:tcPr>
            <w:tcW w:w="1640" w:type="dxa"/>
            <w:tcBorders>
              <w:top w:val="nil"/>
              <w:left w:val="nil"/>
              <w:bottom w:val="nil"/>
              <w:right w:val="nil"/>
            </w:tcBorders>
            <w:shd w:val="clear" w:color="auto" w:fill="auto"/>
            <w:noWrap/>
            <w:vAlign w:val="bottom"/>
            <w:hideMark/>
          </w:tcPr>
          <w:p w:rsidR="00E62A31" w:rsidRPr="00B2549E" w:rsidRDefault="00E62A31" w:rsidP="00B2549E">
            <w:pPr>
              <w:spacing w:after="0"/>
              <w:rPr>
                <w:rFonts w:ascii="Arial" w:eastAsia="Times New Roman" w:hAnsi="Arial" w:cs="Arial"/>
                <w:lang w:eastAsia="en-GB"/>
              </w:rPr>
            </w:pPr>
          </w:p>
        </w:tc>
        <w:tc>
          <w:tcPr>
            <w:tcW w:w="1800" w:type="dxa"/>
            <w:tcBorders>
              <w:top w:val="nil"/>
              <w:left w:val="nil"/>
              <w:bottom w:val="nil"/>
              <w:right w:val="nil"/>
            </w:tcBorders>
            <w:shd w:val="clear" w:color="auto" w:fill="auto"/>
            <w:noWrap/>
            <w:vAlign w:val="bottom"/>
            <w:hideMark/>
          </w:tcPr>
          <w:p w:rsidR="00E62A31" w:rsidRPr="00B2549E" w:rsidRDefault="00E62A31" w:rsidP="00B2549E">
            <w:pPr>
              <w:spacing w:after="0"/>
              <w:rPr>
                <w:rFonts w:ascii="Arial" w:eastAsia="Times New Roman" w:hAnsi="Arial" w:cs="Arial"/>
                <w:lang w:eastAsia="en-GB"/>
              </w:rPr>
            </w:pPr>
          </w:p>
        </w:tc>
      </w:tr>
      <w:tr w:rsidR="00E62A31" w:rsidRPr="00B2549E" w:rsidTr="00E62A31">
        <w:trPr>
          <w:trHeight w:val="300"/>
        </w:trPr>
        <w:tc>
          <w:tcPr>
            <w:tcW w:w="6100" w:type="dxa"/>
            <w:tcBorders>
              <w:top w:val="nil"/>
              <w:left w:val="nil"/>
              <w:bottom w:val="nil"/>
              <w:right w:val="nil"/>
            </w:tcBorders>
            <w:shd w:val="clear" w:color="auto" w:fill="auto"/>
            <w:noWrap/>
            <w:vAlign w:val="bottom"/>
            <w:hideMark/>
          </w:tcPr>
          <w:p w:rsidR="00E62A31" w:rsidRPr="00B2549E" w:rsidRDefault="00E62A31" w:rsidP="00B2549E">
            <w:pPr>
              <w:spacing w:after="0"/>
              <w:rPr>
                <w:rFonts w:ascii="Arial" w:eastAsia="Times New Roman" w:hAnsi="Arial" w:cs="Arial"/>
                <w:b/>
                <w:bCs/>
                <w:color w:val="000000"/>
                <w:lang w:eastAsia="en-GB"/>
              </w:rPr>
            </w:pPr>
            <w:r w:rsidRPr="00B2549E">
              <w:rPr>
                <w:rFonts w:ascii="Arial" w:eastAsia="Times New Roman" w:hAnsi="Arial" w:cs="Arial"/>
                <w:b/>
                <w:bCs/>
                <w:color w:val="000000"/>
                <w:lang w:eastAsia="en-GB"/>
              </w:rPr>
              <w:t>Total</w:t>
            </w:r>
          </w:p>
        </w:tc>
        <w:tc>
          <w:tcPr>
            <w:tcW w:w="164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b/>
                <w:bCs/>
                <w:color w:val="000000"/>
                <w:u w:val="single"/>
                <w:lang w:eastAsia="en-GB"/>
              </w:rPr>
            </w:pPr>
            <w:r w:rsidRPr="00B2549E">
              <w:rPr>
                <w:rFonts w:ascii="Arial" w:eastAsia="Times New Roman" w:hAnsi="Arial" w:cs="Arial"/>
                <w:b/>
                <w:bCs/>
                <w:color w:val="000000"/>
                <w:u w:val="single"/>
                <w:lang w:eastAsia="en-GB"/>
              </w:rPr>
              <w:t>316627</w:t>
            </w:r>
          </w:p>
        </w:tc>
        <w:tc>
          <w:tcPr>
            <w:tcW w:w="1800" w:type="dxa"/>
            <w:tcBorders>
              <w:top w:val="nil"/>
              <w:left w:val="nil"/>
              <w:bottom w:val="nil"/>
              <w:right w:val="nil"/>
            </w:tcBorders>
            <w:shd w:val="clear" w:color="auto" w:fill="auto"/>
            <w:noWrap/>
            <w:vAlign w:val="bottom"/>
            <w:hideMark/>
          </w:tcPr>
          <w:p w:rsidR="00E62A31" w:rsidRPr="00B2549E" w:rsidRDefault="00E62A31" w:rsidP="00B2549E">
            <w:pPr>
              <w:spacing w:after="0"/>
              <w:jc w:val="right"/>
              <w:rPr>
                <w:rFonts w:ascii="Arial" w:eastAsia="Times New Roman" w:hAnsi="Arial" w:cs="Arial"/>
                <w:b/>
                <w:bCs/>
                <w:color w:val="000000"/>
                <w:u w:val="single"/>
                <w:lang w:eastAsia="en-GB"/>
              </w:rPr>
            </w:pPr>
            <w:r w:rsidRPr="00B2549E">
              <w:rPr>
                <w:rFonts w:ascii="Arial" w:eastAsia="Times New Roman" w:hAnsi="Arial" w:cs="Arial"/>
                <w:b/>
                <w:bCs/>
                <w:color w:val="000000"/>
                <w:u w:val="single"/>
                <w:lang w:eastAsia="en-GB"/>
              </w:rPr>
              <w:t>356,577</w:t>
            </w:r>
          </w:p>
        </w:tc>
      </w:tr>
    </w:tbl>
    <w:p w:rsidR="00E62A31" w:rsidRPr="00B2549E" w:rsidRDefault="00E62A31" w:rsidP="00B2549E">
      <w:pPr>
        <w:rPr>
          <w:rFonts w:ascii="Arial" w:hAnsi="Arial" w:cs="Arial"/>
        </w:rPr>
      </w:pPr>
    </w:p>
    <w:p w:rsidR="005E0F8F" w:rsidRPr="00B2549E" w:rsidRDefault="005E0F8F" w:rsidP="00B2549E">
      <w:pPr>
        <w:rPr>
          <w:rFonts w:ascii="Arial" w:hAnsi="Arial" w:cs="Arial"/>
        </w:rPr>
      </w:pPr>
    </w:p>
    <w:p w:rsidR="00E62A31" w:rsidRPr="00B2549E" w:rsidRDefault="00E62A31" w:rsidP="00B2549E">
      <w:pPr>
        <w:rPr>
          <w:rFonts w:ascii="Arial" w:hAnsi="Arial" w:cs="Arial"/>
        </w:rPr>
      </w:pPr>
      <w:r w:rsidRPr="00B2549E">
        <w:rPr>
          <w:rFonts w:ascii="Arial" w:hAnsi="Arial" w:cs="Arial"/>
        </w:rPr>
        <w:t>Michael’s Statement of Profit or Loss for the year ending 31</w:t>
      </w:r>
      <w:r w:rsidRPr="00B2549E">
        <w:rPr>
          <w:rFonts w:ascii="Arial" w:hAnsi="Arial" w:cs="Arial"/>
          <w:vertAlign w:val="superscript"/>
        </w:rPr>
        <w:t>st</w:t>
      </w:r>
      <w:r w:rsidRPr="00B2549E">
        <w:rPr>
          <w:rFonts w:ascii="Arial" w:hAnsi="Arial" w:cs="Arial"/>
        </w:rPr>
        <w:t xml:space="preserve"> </w:t>
      </w:r>
      <w:proofErr w:type="spellStart"/>
      <w:r w:rsidRPr="00B2549E">
        <w:rPr>
          <w:rFonts w:ascii="Arial" w:hAnsi="Arial" w:cs="Arial"/>
        </w:rPr>
        <w:t>Decembrie</w:t>
      </w:r>
      <w:proofErr w:type="spellEnd"/>
      <w:r w:rsidRPr="00B2549E">
        <w:rPr>
          <w:rFonts w:ascii="Arial" w:hAnsi="Arial" w:cs="Arial"/>
        </w:rPr>
        <w:t xml:space="preserve"> 201</w:t>
      </w:r>
      <w:r w:rsidR="00B7566A" w:rsidRPr="00B2549E">
        <w:rPr>
          <w:rFonts w:ascii="Arial" w:hAnsi="Arial" w:cs="Arial"/>
        </w:rPr>
        <w:t>9</w:t>
      </w:r>
    </w:p>
    <w:tbl>
      <w:tblPr>
        <w:tblW w:w="5900" w:type="dxa"/>
        <w:tblLook w:val="04A0" w:firstRow="1" w:lastRow="0" w:firstColumn="1" w:lastColumn="0" w:noHBand="0" w:noVBand="1"/>
      </w:tblPr>
      <w:tblGrid>
        <w:gridCol w:w="3980"/>
        <w:gridCol w:w="1012"/>
        <w:gridCol w:w="1012"/>
      </w:tblGrid>
      <w:tr w:rsidR="005E0F8F" w:rsidRPr="00B2549E" w:rsidTr="005E0F8F">
        <w:trPr>
          <w:trHeight w:val="300"/>
        </w:trPr>
        <w:tc>
          <w:tcPr>
            <w:tcW w:w="3980" w:type="dxa"/>
            <w:tcBorders>
              <w:top w:val="nil"/>
              <w:left w:val="nil"/>
              <w:bottom w:val="nil"/>
              <w:right w:val="nil"/>
            </w:tcBorders>
            <w:shd w:val="clear" w:color="auto" w:fill="auto"/>
            <w:noWrap/>
            <w:vAlign w:val="bottom"/>
            <w:hideMark/>
          </w:tcPr>
          <w:p w:rsidR="005E0F8F" w:rsidRPr="00B2549E" w:rsidRDefault="005E0F8F" w:rsidP="00B2549E">
            <w:pPr>
              <w:spacing w:after="0"/>
              <w:jc w:val="center"/>
              <w:rPr>
                <w:rFonts w:ascii="Arial" w:eastAsia="Times New Roman" w:hAnsi="Arial" w:cs="Arial"/>
                <w:b/>
                <w:bCs/>
                <w:color w:val="000000"/>
                <w:lang w:eastAsia="en-GB"/>
              </w:rPr>
            </w:pPr>
            <w:r w:rsidRPr="00B2549E">
              <w:rPr>
                <w:rFonts w:ascii="Arial" w:eastAsia="Times New Roman" w:hAnsi="Arial" w:cs="Arial"/>
                <w:b/>
                <w:bCs/>
                <w:color w:val="000000"/>
                <w:lang w:eastAsia="en-GB"/>
              </w:rPr>
              <w:t>Particulars</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Debit £</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Credit £</w:t>
            </w:r>
          </w:p>
        </w:tc>
      </w:tr>
      <w:tr w:rsidR="005E0F8F" w:rsidRPr="00B2549E" w:rsidTr="005E0F8F">
        <w:trPr>
          <w:trHeight w:val="300"/>
        </w:trPr>
        <w:tc>
          <w:tcPr>
            <w:tcW w:w="398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Revenue</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240,000</w:t>
            </w:r>
          </w:p>
        </w:tc>
      </w:tr>
      <w:tr w:rsidR="005E0F8F" w:rsidRPr="00B2549E" w:rsidTr="005E0F8F">
        <w:trPr>
          <w:trHeight w:val="300"/>
        </w:trPr>
        <w:tc>
          <w:tcPr>
            <w:tcW w:w="398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u w:val="single"/>
                <w:lang w:eastAsia="en-GB"/>
              </w:rPr>
            </w:pPr>
            <w:r w:rsidRPr="00B2549E">
              <w:rPr>
                <w:rFonts w:ascii="Arial" w:eastAsia="Times New Roman" w:hAnsi="Arial" w:cs="Arial"/>
                <w:color w:val="000000"/>
                <w:u w:val="single"/>
                <w:lang w:eastAsia="en-GB"/>
              </w:rPr>
              <w:t>Costs of goods sold</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u w:val="single"/>
                <w:lang w:eastAsia="en-GB"/>
              </w:rPr>
            </w:pP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lang w:eastAsia="en-GB"/>
              </w:rPr>
            </w:pPr>
          </w:p>
        </w:tc>
      </w:tr>
      <w:tr w:rsidR="005E0F8F" w:rsidRPr="00B2549E" w:rsidTr="005E0F8F">
        <w:trPr>
          <w:trHeight w:val="300"/>
        </w:trPr>
        <w:tc>
          <w:tcPr>
            <w:tcW w:w="398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Inventory</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30,000</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p>
        </w:tc>
      </w:tr>
      <w:tr w:rsidR="005E0F8F" w:rsidRPr="00B2549E" w:rsidTr="005E0F8F">
        <w:trPr>
          <w:trHeight w:val="300"/>
        </w:trPr>
        <w:tc>
          <w:tcPr>
            <w:tcW w:w="398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Add purchases</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160,000</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p>
        </w:tc>
      </w:tr>
      <w:tr w:rsidR="005E0F8F" w:rsidRPr="00B2549E" w:rsidTr="005E0F8F">
        <w:trPr>
          <w:trHeight w:val="300"/>
        </w:trPr>
        <w:tc>
          <w:tcPr>
            <w:tcW w:w="398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Less ending inventory</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30,000</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160,000</w:t>
            </w:r>
          </w:p>
        </w:tc>
      </w:tr>
      <w:tr w:rsidR="005E0F8F" w:rsidRPr="00B2549E" w:rsidTr="005E0F8F">
        <w:trPr>
          <w:trHeight w:val="300"/>
        </w:trPr>
        <w:tc>
          <w:tcPr>
            <w:tcW w:w="398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Gross profit</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80,000</w:t>
            </w:r>
          </w:p>
        </w:tc>
      </w:tr>
      <w:tr w:rsidR="005E0F8F" w:rsidRPr="00B2549E" w:rsidTr="005E0F8F">
        <w:trPr>
          <w:trHeight w:val="300"/>
        </w:trPr>
        <w:tc>
          <w:tcPr>
            <w:tcW w:w="398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u w:val="single"/>
                <w:lang w:eastAsia="en-GB"/>
              </w:rPr>
            </w:pPr>
            <w:r w:rsidRPr="00B2549E">
              <w:rPr>
                <w:rFonts w:ascii="Arial" w:eastAsia="Times New Roman" w:hAnsi="Arial" w:cs="Arial"/>
                <w:color w:val="000000"/>
                <w:u w:val="single"/>
                <w:lang w:eastAsia="en-GB"/>
              </w:rPr>
              <w:t>Expenses</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u w:val="single"/>
                <w:lang w:eastAsia="en-GB"/>
              </w:rPr>
            </w:pP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lang w:eastAsia="en-GB"/>
              </w:rPr>
            </w:pPr>
          </w:p>
        </w:tc>
      </w:tr>
      <w:tr w:rsidR="005E0F8F" w:rsidRPr="00B2549E" w:rsidTr="005E0F8F">
        <w:trPr>
          <w:trHeight w:val="300"/>
        </w:trPr>
        <w:tc>
          <w:tcPr>
            <w:tcW w:w="398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Wages</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24,000</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p>
        </w:tc>
      </w:tr>
      <w:tr w:rsidR="005E0F8F" w:rsidRPr="00B2549E" w:rsidTr="005E0F8F">
        <w:trPr>
          <w:trHeight w:val="300"/>
        </w:trPr>
        <w:tc>
          <w:tcPr>
            <w:tcW w:w="398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Advertising</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8,000</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p>
        </w:tc>
      </w:tr>
      <w:tr w:rsidR="005E0F8F" w:rsidRPr="00B2549E" w:rsidTr="005E0F8F">
        <w:trPr>
          <w:trHeight w:val="300"/>
        </w:trPr>
        <w:tc>
          <w:tcPr>
            <w:tcW w:w="398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Rates</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2,950</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p>
        </w:tc>
      </w:tr>
      <w:tr w:rsidR="005E0F8F" w:rsidRPr="00B2549E" w:rsidTr="005E0F8F">
        <w:trPr>
          <w:trHeight w:val="300"/>
        </w:trPr>
        <w:tc>
          <w:tcPr>
            <w:tcW w:w="398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Bank Changes</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400</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p>
        </w:tc>
      </w:tr>
      <w:tr w:rsidR="005E0F8F" w:rsidRPr="00B2549E" w:rsidTr="005E0F8F">
        <w:trPr>
          <w:trHeight w:val="300"/>
        </w:trPr>
        <w:tc>
          <w:tcPr>
            <w:tcW w:w="398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Deception expenses - computers</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1,152</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p>
        </w:tc>
      </w:tr>
      <w:tr w:rsidR="005E0F8F" w:rsidRPr="00B2549E" w:rsidTr="005E0F8F">
        <w:trPr>
          <w:trHeight w:val="300"/>
        </w:trPr>
        <w:tc>
          <w:tcPr>
            <w:tcW w:w="398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lastRenderedPageBreak/>
              <w:t xml:space="preserve">Deception expenses - plant &amp; </w:t>
            </w:r>
            <w:proofErr w:type="spellStart"/>
            <w:r w:rsidRPr="00B2549E">
              <w:rPr>
                <w:rFonts w:ascii="Arial" w:eastAsia="Times New Roman" w:hAnsi="Arial" w:cs="Arial"/>
                <w:color w:val="000000"/>
                <w:lang w:eastAsia="en-GB"/>
              </w:rPr>
              <w:t>machinary</w:t>
            </w:r>
            <w:proofErr w:type="spellEnd"/>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3,000</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p>
        </w:tc>
      </w:tr>
      <w:tr w:rsidR="005E0F8F" w:rsidRPr="00B2549E" w:rsidTr="005E0F8F">
        <w:trPr>
          <w:trHeight w:val="300"/>
        </w:trPr>
        <w:tc>
          <w:tcPr>
            <w:tcW w:w="398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Bad debts</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825</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p>
        </w:tc>
      </w:tr>
      <w:tr w:rsidR="005E0F8F" w:rsidRPr="00B2549E" w:rsidTr="005E0F8F">
        <w:trPr>
          <w:trHeight w:val="300"/>
        </w:trPr>
        <w:tc>
          <w:tcPr>
            <w:tcW w:w="398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lang w:eastAsia="en-GB"/>
              </w:rPr>
            </w:pPr>
            <w:r w:rsidRPr="00B2549E">
              <w:rPr>
                <w:rFonts w:ascii="Arial" w:eastAsia="Times New Roman" w:hAnsi="Arial" w:cs="Arial"/>
                <w:color w:val="000000"/>
                <w:lang w:eastAsia="en-GB"/>
              </w:rPr>
              <w:t>Total expenses</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color w:val="000000"/>
                <w:lang w:eastAsia="en-GB"/>
              </w:rPr>
            </w:pPr>
            <w:r w:rsidRPr="00B2549E">
              <w:rPr>
                <w:rFonts w:ascii="Arial" w:eastAsia="Times New Roman" w:hAnsi="Arial" w:cs="Arial"/>
                <w:color w:val="000000"/>
                <w:lang w:eastAsia="en-GB"/>
              </w:rPr>
              <w:t>40,327</w:t>
            </w:r>
          </w:p>
        </w:tc>
      </w:tr>
      <w:tr w:rsidR="005E0F8F" w:rsidRPr="00B2549E" w:rsidTr="005E0F8F">
        <w:trPr>
          <w:trHeight w:val="300"/>
        </w:trPr>
        <w:tc>
          <w:tcPr>
            <w:tcW w:w="398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b/>
                <w:bCs/>
                <w:color w:val="000000"/>
                <w:lang w:eastAsia="en-GB"/>
              </w:rPr>
            </w:pPr>
            <w:r w:rsidRPr="00B2549E">
              <w:rPr>
                <w:rFonts w:ascii="Arial" w:eastAsia="Times New Roman" w:hAnsi="Arial" w:cs="Arial"/>
                <w:b/>
                <w:bCs/>
                <w:color w:val="000000"/>
                <w:lang w:eastAsia="en-GB"/>
              </w:rPr>
              <w:t>Net income</w:t>
            </w: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rPr>
                <w:rFonts w:ascii="Arial" w:eastAsia="Times New Roman" w:hAnsi="Arial" w:cs="Arial"/>
                <w:b/>
                <w:bCs/>
                <w:color w:val="000000"/>
                <w:lang w:eastAsia="en-GB"/>
              </w:rPr>
            </w:pPr>
          </w:p>
        </w:tc>
        <w:tc>
          <w:tcPr>
            <w:tcW w:w="960" w:type="dxa"/>
            <w:tcBorders>
              <w:top w:val="nil"/>
              <w:left w:val="nil"/>
              <w:bottom w:val="nil"/>
              <w:right w:val="nil"/>
            </w:tcBorders>
            <w:shd w:val="clear" w:color="auto" w:fill="auto"/>
            <w:noWrap/>
            <w:vAlign w:val="bottom"/>
            <w:hideMark/>
          </w:tcPr>
          <w:p w:rsidR="005E0F8F" w:rsidRPr="00B2549E" w:rsidRDefault="005E0F8F" w:rsidP="00B2549E">
            <w:pPr>
              <w:spacing w:after="0"/>
              <w:jc w:val="right"/>
              <w:rPr>
                <w:rFonts w:ascii="Arial" w:eastAsia="Times New Roman" w:hAnsi="Arial" w:cs="Arial"/>
                <w:b/>
                <w:bCs/>
                <w:color w:val="000000"/>
                <w:lang w:eastAsia="en-GB"/>
              </w:rPr>
            </w:pPr>
            <w:r w:rsidRPr="00B2549E">
              <w:rPr>
                <w:rFonts w:ascii="Arial" w:eastAsia="Times New Roman" w:hAnsi="Arial" w:cs="Arial"/>
                <w:b/>
                <w:bCs/>
                <w:color w:val="000000"/>
                <w:lang w:eastAsia="en-GB"/>
              </w:rPr>
              <w:t>39,673</w:t>
            </w:r>
          </w:p>
        </w:tc>
      </w:tr>
    </w:tbl>
    <w:p w:rsidR="00B7566A" w:rsidRPr="00B2549E" w:rsidRDefault="00B7566A" w:rsidP="00B2549E">
      <w:pPr>
        <w:rPr>
          <w:rFonts w:ascii="Arial" w:hAnsi="Arial" w:cs="Arial"/>
        </w:rPr>
      </w:pPr>
    </w:p>
    <w:p w:rsidR="005E0F8F" w:rsidRDefault="00EB4515" w:rsidP="00603CF9">
      <w:pPr>
        <w:spacing w:after="0"/>
        <w:ind w:firstLine="720"/>
        <w:jc w:val="both"/>
        <w:rPr>
          <w:rFonts w:ascii="Arial" w:hAnsi="Arial" w:cs="Arial"/>
          <w:color w:val="111111"/>
          <w:shd w:val="clear" w:color="auto" w:fill="FFFFFF"/>
        </w:rPr>
      </w:pPr>
      <w:r>
        <w:rPr>
          <w:rFonts w:ascii="Arial" w:hAnsi="Arial" w:cs="Arial"/>
          <w:color w:val="111111"/>
          <w:shd w:val="clear" w:color="auto" w:fill="FFFFFF"/>
        </w:rPr>
        <w:t xml:space="preserve">The </w:t>
      </w:r>
      <w:r w:rsidR="001D7438" w:rsidRPr="001D7438">
        <w:rPr>
          <w:rFonts w:ascii="Arial" w:hAnsi="Arial" w:cs="Arial"/>
          <w:color w:val="111111"/>
          <w:shd w:val="clear" w:color="auto" w:fill="FFFFFF"/>
        </w:rPr>
        <w:t>Financial statements</w:t>
      </w:r>
      <w:r>
        <w:rPr>
          <w:rFonts w:ascii="Arial" w:hAnsi="Arial" w:cs="Arial"/>
          <w:color w:val="111111"/>
          <w:shd w:val="clear" w:color="auto" w:fill="FFFFFF"/>
        </w:rPr>
        <w:t>,</w:t>
      </w:r>
      <w:r w:rsidR="001D7438" w:rsidRPr="001D7438">
        <w:rPr>
          <w:rFonts w:ascii="Arial" w:hAnsi="Arial" w:cs="Arial"/>
          <w:color w:val="111111"/>
          <w:shd w:val="clear" w:color="auto" w:fill="FFFFFF"/>
        </w:rPr>
        <w:t xml:space="preserve"> </w:t>
      </w:r>
      <w:r>
        <w:rPr>
          <w:rFonts w:ascii="Arial" w:hAnsi="Arial" w:cs="Arial"/>
          <w:color w:val="111111"/>
          <w:shd w:val="clear" w:color="auto" w:fill="FFFFFF"/>
        </w:rPr>
        <w:t>known to be important to investors, as they can provide many information about a business'</w:t>
      </w:r>
      <w:r w:rsidR="001D7438" w:rsidRPr="001D7438">
        <w:rPr>
          <w:rFonts w:ascii="Arial" w:hAnsi="Arial" w:cs="Arial"/>
          <w:color w:val="111111"/>
          <w:shd w:val="clear" w:color="auto" w:fill="FFFFFF"/>
        </w:rPr>
        <w:t xml:space="preserve"> revenue, expenses, profitability, debt load, and the ability to meet its short-term and long-term financial obligations. </w:t>
      </w:r>
      <w:r w:rsidR="001D7438">
        <w:rPr>
          <w:rFonts w:ascii="Arial" w:hAnsi="Arial" w:cs="Arial"/>
          <w:color w:val="111111"/>
          <w:shd w:val="clear" w:color="auto" w:fill="FFFFFF"/>
        </w:rPr>
        <w:t xml:space="preserve">We have three major financial </w:t>
      </w:r>
      <w:proofErr w:type="spellStart"/>
      <w:r w:rsidR="001D7438">
        <w:rPr>
          <w:rFonts w:ascii="Arial" w:hAnsi="Arial" w:cs="Arial"/>
          <w:color w:val="111111"/>
          <w:shd w:val="clear" w:color="auto" w:fill="FFFFFF"/>
        </w:rPr>
        <w:t>statemantes</w:t>
      </w:r>
      <w:proofErr w:type="spellEnd"/>
      <w:r w:rsidR="001D7438">
        <w:rPr>
          <w:rFonts w:ascii="Arial" w:hAnsi="Arial" w:cs="Arial"/>
          <w:color w:val="111111"/>
          <w:shd w:val="clear" w:color="auto" w:fill="FFFFFF"/>
        </w:rPr>
        <w:t xml:space="preserve">: balance sheet, cash flow </w:t>
      </w:r>
      <w:proofErr w:type="spellStart"/>
      <w:r w:rsidR="001D7438">
        <w:rPr>
          <w:rFonts w:ascii="Arial" w:hAnsi="Arial" w:cs="Arial"/>
          <w:color w:val="111111"/>
          <w:shd w:val="clear" w:color="auto" w:fill="FFFFFF"/>
        </w:rPr>
        <w:t>statemante</w:t>
      </w:r>
      <w:proofErr w:type="spellEnd"/>
      <w:r w:rsidR="001D7438">
        <w:rPr>
          <w:rFonts w:ascii="Arial" w:hAnsi="Arial" w:cs="Arial"/>
          <w:color w:val="111111"/>
          <w:shd w:val="clear" w:color="auto" w:fill="FFFFFF"/>
        </w:rPr>
        <w:t xml:space="preserve">, income </w:t>
      </w:r>
      <w:proofErr w:type="spellStart"/>
      <w:r w:rsidR="001D7438">
        <w:rPr>
          <w:rFonts w:ascii="Arial" w:hAnsi="Arial" w:cs="Arial"/>
          <w:color w:val="111111"/>
          <w:shd w:val="clear" w:color="auto" w:fill="FFFFFF"/>
        </w:rPr>
        <w:t>statemante</w:t>
      </w:r>
      <w:proofErr w:type="spellEnd"/>
      <w:r w:rsidR="001D7438">
        <w:rPr>
          <w:rFonts w:ascii="Arial" w:hAnsi="Arial" w:cs="Arial"/>
          <w:color w:val="111111"/>
          <w:shd w:val="clear" w:color="auto" w:fill="FFFFFF"/>
        </w:rPr>
        <w:t>.</w:t>
      </w:r>
    </w:p>
    <w:p w:rsidR="001D7438" w:rsidRPr="00EB4515" w:rsidRDefault="001D7438" w:rsidP="00EB4515">
      <w:pPr>
        <w:pStyle w:val="NormalWeb"/>
        <w:spacing w:before="0" w:beforeAutospacing="0" w:after="0" w:afterAutospacing="0"/>
        <w:ind w:firstLine="720"/>
        <w:jc w:val="both"/>
        <w:rPr>
          <w:rFonts w:ascii="Arial" w:hAnsi="Arial" w:cs="Arial"/>
          <w:sz w:val="22"/>
          <w:szCs w:val="22"/>
        </w:rPr>
      </w:pPr>
      <w:r w:rsidRPr="001D7438">
        <w:rPr>
          <w:rFonts w:ascii="Arial" w:hAnsi="Arial" w:cs="Arial"/>
          <w:sz w:val="22"/>
          <w:szCs w:val="22"/>
        </w:rPr>
        <w:t>The </w:t>
      </w:r>
      <w:hyperlink r:id="rId7" w:history="1">
        <w:r w:rsidRPr="001D7438">
          <w:rPr>
            <w:rStyle w:val="Hyperlink"/>
            <w:rFonts w:ascii="Arial" w:hAnsi="Arial" w:cs="Arial"/>
            <w:bCs/>
            <w:color w:val="auto"/>
            <w:sz w:val="22"/>
            <w:szCs w:val="22"/>
            <w:u w:val="none"/>
          </w:rPr>
          <w:t>balance sheet</w:t>
        </w:r>
      </w:hyperlink>
      <w:r w:rsidRPr="001D7438">
        <w:rPr>
          <w:rFonts w:ascii="Arial" w:hAnsi="Arial" w:cs="Arial"/>
          <w:sz w:val="22"/>
          <w:szCs w:val="22"/>
        </w:rPr>
        <w:t xml:space="preserve"> is a snapshot of the </w:t>
      </w:r>
      <w:proofErr w:type="spellStart"/>
      <w:r w:rsidRPr="001D7438">
        <w:rPr>
          <w:rFonts w:ascii="Arial" w:hAnsi="Arial" w:cs="Arial"/>
          <w:sz w:val="22"/>
          <w:szCs w:val="22"/>
        </w:rPr>
        <w:t>companies</w:t>
      </w:r>
      <w:proofErr w:type="spellEnd"/>
      <w:r w:rsidRPr="001D7438">
        <w:rPr>
          <w:rFonts w:ascii="Arial" w:hAnsi="Arial" w:cs="Arial"/>
          <w:sz w:val="22"/>
          <w:szCs w:val="22"/>
        </w:rPr>
        <w:t xml:space="preserve"> </w:t>
      </w:r>
      <w:r w:rsidR="00EB4515">
        <w:rPr>
          <w:rFonts w:ascii="Arial" w:hAnsi="Arial" w:cs="Arial"/>
          <w:sz w:val="22"/>
          <w:szCs w:val="22"/>
        </w:rPr>
        <w:t xml:space="preserve"> </w:t>
      </w:r>
      <w:bookmarkStart w:id="0" w:name="_GoBack"/>
      <w:bookmarkEnd w:id="0"/>
      <w:r w:rsidRPr="001D7438">
        <w:rPr>
          <w:rFonts w:ascii="Arial" w:hAnsi="Arial" w:cs="Arial"/>
          <w:sz w:val="22"/>
          <w:szCs w:val="22"/>
        </w:rPr>
        <w:t xml:space="preserve">assets, liabilities, equity, and debt. It does not show what </w:t>
      </w:r>
      <w:r w:rsidRPr="00EA7D70">
        <w:rPr>
          <w:rFonts w:ascii="Arial" w:hAnsi="Arial" w:cs="Arial"/>
          <w:sz w:val="22"/>
          <w:szCs w:val="22"/>
        </w:rPr>
        <w:t>actually happened in the period that caused the company to get to the position where it is now. Therefore, profit figures on the </w:t>
      </w:r>
      <w:hyperlink r:id="rId8" w:history="1">
        <w:r w:rsidRPr="00EA7D70">
          <w:rPr>
            <w:rStyle w:val="Hyperlink"/>
            <w:rFonts w:ascii="Arial" w:hAnsi="Arial" w:cs="Arial"/>
            <w:bCs/>
            <w:color w:val="auto"/>
            <w:sz w:val="22"/>
            <w:szCs w:val="22"/>
            <w:u w:val="none"/>
          </w:rPr>
          <w:t>income statement are important</w:t>
        </w:r>
      </w:hyperlink>
      <w:r w:rsidRPr="00EA7D70">
        <w:rPr>
          <w:rFonts w:ascii="Arial" w:hAnsi="Arial" w:cs="Arial"/>
          <w:sz w:val="22"/>
          <w:szCs w:val="22"/>
        </w:rPr>
        <w:t> to the investors.</w:t>
      </w:r>
      <w:r w:rsidR="00EB4515">
        <w:rPr>
          <w:rFonts w:ascii="Arial" w:hAnsi="Arial" w:cs="Arial"/>
          <w:sz w:val="22"/>
          <w:szCs w:val="22"/>
        </w:rPr>
        <w:t xml:space="preserve"> </w:t>
      </w:r>
      <w:hyperlink r:id="rId9" w:history="1">
        <w:r w:rsidRPr="00EA7D70">
          <w:rPr>
            <w:rStyle w:val="Hyperlink"/>
            <w:rFonts w:ascii="Arial" w:hAnsi="Arial" w:cs="Arial"/>
            <w:bCs/>
            <w:color w:val="auto"/>
            <w:sz w:val="22"/>
            <w:szCs w:val="22"/>
            <w:u w:val="none"/>
          </w:rPr>
          <w:t>Income statement format</w:t>
        </w:r>
      </w:hyperlink>
      <w:r w:rsidRPr="00EA7D70">
        <w:rPr>
          <w:rFonts w:ascii="Arial" w:hAnsi="Arial" w:cs="Arial"/>
          <w:sz w:val="22"/>
          <w:szCs w:val="22"/>
        </w:rPr>
        <w:t> contains sales, expenses, losses, and profit. Using these statements can help investors evaluate the companies past performance and determine the future cash flows</w:t>
      </w:r>
      <w:r w:rsidR="00EB4515">
        <w:rPr>
          <w:rFonts w:ascii="Arial" w:hAnsi="Arial" w:cs="Arial"/>
          <w:sz w:val="22"/>
          <w:szCs w:val="22"/>
        </w:rPr>
        <w:t xml:space="preserve">. </w:t>
      </w:r>
      <w:r w:rsidRPr="00EA7D70">
        <w:rPr>
          <w:rFonts w:ascii="Arial" w:hAnsi="Arial" w:cs="Arial"/>
          <w:sz w:val="22"/>
          <w:szCs w:val="22"/>
        </w:rPr>
        <w:t>The necessary expense of </w:t>
      </w:r>
      <w:hyperlink r:id="rId10" w:history="1">
        <w:r w:rsidRPr="00EA7D70">
          <w:rPr>
            <w:rStyle w:val="Hyperlink"/>
            <w:rFonts w:ascii="Arial" w:hAnsi="Arial" w:cs="Arial"/>
            <w:bCs/>
            <w:color w:val="auto"/>
            <w:sz w:val="22"/>
            <w:szCs w:val="22"/>
            <w:u w:val="none"/>
          </w:rPr>
          <w:t>depreciation</w:t>
        </w:r>
      </w:hyperlink>
      <w:r w:rsidRPr="00EA7D70">
        <w:rPr>
          <w:rFonts w:ascii="Arial" w:hAnsi="Arial" w:cs="Arial"/>
          <w:sz w:val="22"/>
          <w:szCs w:val="22"/>
        </w:rPr>
        <w:t> and discontinues operations are also treated very differently</w:t>
      </w:r>
      <w:r w:rsidRPr="00EA7D70">
        <w:rPr>
          <w:rFonts w:ascii="Arial" w:hAnsi="Arial" w:cs="Arial"/>
          <w:color w:val="212121"/>
          <w:sz w:val="22"/>
          <w:szCs w:val="22"/>
        </w:rPr>
        <w:t>.</w:t>
      </w:r>
    </w:p>
    <w:p w:rsidR="00603CF9" w:rsidRPr="00EA7D70" w:rsidRDefault="00603CF9" w:rsidP="00603CF9">
      <w:pPr>
        <w:pStyle w:val="NormalWeb"/>
        <w:spacing w:before="0" w:beforeAutospacing="0" w:after="0" w:afterAutospacing="0"/>
        <w:ind w:firstLine="720"/>
        <w:jc w:val="both"/>
        <w:rPr>
          <w:rFonts w:ascii="Arial" w:hAnsi="Arial" w:cs="Arial"/>
          <w:color w:val="212121"/>
          <w:sz w:val="22"/>
          <w:szCs w:val="22"/>
        </w:rPr>
      </w:pPr>
      <w:r w:rsidRPr="00EA7D70">
        <w:rPr>
          <w:rFonts w:ascii="Arial" w:hAnsi="Arial" w:cs="Arial"/>
          <w:color w:val="212121"/>
          <w:sz w:val="22"/>
          <w:szCs w:val="22"/>
        </w:rPr>
        <w:t xml:space="preserve">The cash flow statement has all three main headings, </w:t>
      </w:r>
      <w:proofErr w:type="spellStart"/>
      <w:r w:rsidRPr="00EA7D70">
        <w:rPr>
          <w:rFonts w:ascii="Arial" w:hAnsi="Arial" w:cs="Arial"/>
          <w:color w:val="212121"/>
          <w:sz w:val="22"/>
          <w:szCs w:val="22"/>
        </w:rPr>
        <w:t>i.e</w:t>
      </w:r>
      <w:proofErr w:type="spellEnd"/>
      <w:r w:rsidRPr="00EA7D70">
        <w:rPr>
          <w:rFonts w:ascii="Arial" w:hAnsi="Arial" w:cs="Arial"/>
          <w:color w:val="212121"/>
          <w:sz w:val="22"/>
          <w:szCs w:val="22"/>
        </w:rPr>
        <w:t xml:space="preserve"> Operating, Investing, and Financing. This gives the business an overview of all the entire business</w:t>
      </w:r>
    </w:p>
    <w:p w:rsidR="00603CF9" w:rsidRPr="00EA7D70" w:rsidRDefault="00826AFA" w:rsidP="00603CF9">
      <w:pPr>
        <w:pStyle w:val="NormalWeb"/>
        <w:spacing w:before="0" w:beforeAutospacing="0" w:after="0" w:afterAutospacing="0"/>
        <w:ind w:firstLine="720"/>
        <w:rPr>
          <w:rFonts w:ascii="Arial" w:hAnsi="Arial" w:cs="Arial"/>
          <w:color w:val="222222"/>
          <w:spacing w:val="2"/>
          <w:sz w:val="22"/>
          <w:szCs w:val="22"/>
          <w:shd w:val="clear" w:color="auto" w:fill="FCFCFC"/>
        </w:rPr>
      </w:pPr>
      <w:r w:rsidRPr="00EA7D70">
        <w:rPr>
          <w:rFonts w:ascii="Arial" w:hAnsi="Arial" w:cs="Arial"/>
          <w:color w:val="222222"/>
          <w:spacing w:val="2"/>
          <w:sz w:val="22"/>
          <w:szCs w:val="22"/>
          <w:shd w:val="clear" w:color="auto" w:fill="FCFCFC"/>
        </w:rPr>
        <w:t> One big difference between internal and external users' statements is that financial statements for external use must fit these standard formats. If internal users such as your company's management or owners want information, you can use any format that works for them, or you.</w:t>
      </w:r>
    </w:p>
    <w:p w:rsidR="00826AFA" w:rsidRPr="00EA7D70" w:rsidRDefault="00826AFA" w:rsidP="00603CF9">
      <w:pPr>
        <w:pStyle w:val="NormalWeb"/>
        <w:spacing w:before="0" w:beforeAutospacing="0" w:after="0" w:afterAutospacing="0"/>
        <w:ind w:firstLine="720"/>
        <w:rPr>
          <w:rFonts w:ascii="Arial" w:hAnsi="Arial" w:cs="Arial"/>
          <w:color w:val="212121"/>
          <w:sz w:val="22"/>
          <w:szCs w:val="22"/>
        </w:rPr>
      </w:pPr>
    </w:p>
    <w:p w:rsidR="00603CF9" w:rsidRPr="00EA7D70" w:rsidRDefault="00603CF9">
      <w:pPr>
        <w:rPr>
          <w:rFonts w:ascii="Arial" w:eastAsia="Times New Roman" w:hAnsi="Arial" w:cs="Arial"/>
          <w:color w:val="212121"/>
          <w:lang w:eastAsia="en-GB"/>
        </w:rPr>
      </w:pPr>
      <w:r w:rsidRPr="00EA7D70">
        <w:rPr>
          <w:rFonts w:ascii="Arial" w:hAnsi="Arial" w:cs="Arial"/>
          <w:color w:val="212121"/>
        </w:rPr>
        <w:br w:type="page"/>
      </w:r>
    </w:p>
    <w:p w:rsidR="00603CF9" w:rsidRPr="00826AFA" w:rsidRDefault="00603CF9" w:rsidP="00826AFA">
      <w:pPr>
        <w:pStyle w:val="NormalWeb"/>
        <w:spacing w:before="0" w:beforeAutospacing="0" w:after="0" w:afterAutospacing="0" w:line="240" w:lineRule="atLeast"/>
        <w:ind w:firstLine="720"/>
        <w:rPr>
          <w:rFonts w:ascii="Arial" w:hAnsi="Arial" w:cs="Arial"/>
          <w:sz w:val="22"/>
          <w:szCs w:val="22"/>
        </w:rPr>
      </w:pPr>
      <w:r>
        <w:rPr>
          <w:rFonts w:ascii="Segoe UI" w:hAnsi="Segoe UI" w:cs="Segoe UI"/>
          <w:color w:val="212121"/>
          <w:sz w:val="30"/>
          <w:szCs w:val="30"/>
        </w:rPr>
        <w:lastRenderedPageBreak/>
        <w:t>Reference</w:t>
      </w:r>
    </w:p>
    <w:p w:rsidR="00826AFA" w:rsidRPr="00826AFA" w:rsidRDefault="00603CF9" w:rsidP="00826AFA">
      <w:pPr>
        <w:pStyle w:val="NormalWeb"/>
        <w:spacing w:before="0" w:beforeAutospacing="0" w:after="0" w:afterAutospacing="0" w:line="240" w:lineRule="atLeast"/>
        <w:ind w:firstLine="720"/>
        <w:rPr>
          <w:rFonts w:ascii="Arial" w:hAnsi="Arial" w:cs="Arial"/>
          <w:sz w:val="22"/>
          <w:szCs w:val="22"/>
        </w:rPr>
      </w:pPr>
      <w:r w:rsidRPr="00826AFA">
        <w:rPr>
          <w:rFonts w:ascii="Arial" w:hAnsi="Arial" w:cs="Arial"/>
          <w:sz w:val="22"/>
          <w:szCs w:val="22"/>
        </w:rPr>
        <w:t xml:space="preserve">Importance of Financial </w:t>
      </w:r>
      <w:proofErr w:type="spellStart"/>
      <w:r w:rsidRPr="00826AFA">
        <w:rPr>
          <w:rFonts w:ascii="Arial" w:hAnsi="Arial" w:cs="Arial"/>
          <w:sz w:val="22"/>
          <w:szCs w:val="22"/>
        </w:rPr>
        <w:t>Statemants</w:t>
      </w:r>
      <w:proofErr w:type="spellEnd"/>
      <w:r w:rsidRPr="00826AFA">
        <w:rPr>
          <w:rFonts w:ascii="Arial" w:hAnsi="Arial" w:cs="Arial"/>
          <w:sz w:val="22"/>
          <w:szCs w:val="22"/>
        </w:rPr>
        <w:t xml:space="preserve"> [online]: https://www.wallstreetmojo.com/importance-of-financial-statements/</w:t>
      </w:r>
    </w:p>
    <w:p w:rsidR="00826AFA" w:rsidRDefault="000D0ACC" w:rsidP="00826AFA">
      <w:pPr>
        <w:pStyle w:val="NormalWeb"/>
        <w:spacing w:before="0" w:beforeAutospacing="0" w:after="0" w:afterAutospacing="0" w:line="240" w:lineRule="atLeast"/>
        <w:ind w:firstLine="720"/>
        <w:rPr>
          <w:rFonts w:ascii="Arial" w:hAnsi="Arial" w:cs="Arial"/>
          <w:bCs/>
          <w:sz w:val="22"/>
          <w:szCs w:val="22"/>
        </w:rPr>
      </w:pPr>
      <w:hyperlink r:id="rId11" w:history="1">
        <w:r w:rsidR="00603CF9" w:rsidRPr="00826AFA">
          <w:rPr>
            <w:rFonts w:ascii="Arial" w:hAnsi="Arial" w:cs="Arial"/>
            <w:caps/>
            <w:sz w:val="22"/>
            <w:szCs w:val="22"/>
          </w:rPr>
          <w:t>J.B. MAVERICK</w:t>
        </w:r>
      </w:hyperlink>
      <w:r w:rsidR="00826AFA" w:rsidRPr="00826AFA">
        <w:rPr>
          <w:rFonts w:ascii="Arial" w:hAnsi="Arial" w:cs="Arial"/>
          <w:sz w:val="22"/>
          <w:szCs w:val="22"/>
        </w:rPr>
        <w:t xml:space="preserve"> (2020). </w:t>
      </w:r>
      <w:r w:rsidR="00826AFA" w:rsidRPr="00826AFA">
        <w:rPr>
          <w:rFonts w:ascii="Arial" w:hAnsi="Arial" w:cs="Arial"/>
          <w:bCs/>
          <w:i/>
          <w:sz w:val="22"/>
          <w:szCs w:val="22"/>
        </w:rPr>
        <w:t>Why Do Shareholders Need Financial Statements?</w:t>
      </w:r>
      <w:r w:rsidR="00826AFA">
        <w:rPr>
          <w:rFonts w:ascii="Arial" w:hAnsi="Arial" w:cs="Arial"/>
          <w:bCs/>
          <w:i/>
          <w:sz w:val="22"/>
          <w:szCs w:val="22"/>
        </w:rPr>
        <w:t xml:space="preserve"> </w:t>
      </w:r>
      <w:r w:rsidR="00826AFA">
        <w:rPr>
          <w:rFonts w:ascii="Arial" w:hAnsi="Arial" w:cs="Arial"/>
          <w:bCs/>
          <w:sz w:val="22"/>
          <w:szCs w:val="22"/>
        </w:rPr>
        <w:t xml:space="preserve">[online]: </w:t>
      </w:r>
      <w:r w:rsidR="00826AFA" w:rsidRPr="00826AFA">
        <w:rPr>
          <w:rFonts w:ascii="Arial" w:hAnsi="Arial" w:cs="Arial"/>
          <w:bCs/>
          <w:sz w:val="22"/>
          <w:szCs w:val="22"/>
        </w:rPr>
        <w:t>https://www.investopedia.com/ask/answers/032615/why-do-shareholders-need-financial-statements.asp</w:t>
      </w:r>
    </w:p>
    <w:p w:rsidR="00603CF9" w:rsidRPr="00EA7D70" w:rsidRDefault="00EA7D70" w:rsidP="00EA7D70">
      <w:pPr>
        <w:pStyle w:val="NormalWeb"/>
        <w:spacing w:before="0" w:beforeAutospacing="0" w:after="0" w:afterAutospacing="0" w:line="240" w:lineRule="atLeast"/>
        <w:ind w:firstLine="720"/>
        <w:rPr>
          <w:rFonts w:ascii="Arial" w:hAnsi="Arial" w:cs="Arial"/>
          <w:bCs/>
          <w:sz w:val="22"/>
          <w:szCs w:val="22"/>
        </w:rPr>
      </w:pPr>
      <w:r>
        <w:rPr>
          <w:rFonts w:ascii="Arial" w:hAnsi="Arial" w:cs="Arial"/>
          <w:bCs/>
          <w:sz w:val="22"/>
          <w:szCs w:val="22"/>
        </w:rPr>
        <w:t xml:space="preserve">Small Business-Chron.com (2020). </w:t>
      </w:r>
      <w:r w:rsidRPr="00EA7D70">
        <w:rPr>
          <w:rFonts w:ascii="Arial" w:hAnsi="Arial" w:cs="Arial"/>
          <w:bCs/>
          <w:i/>
          <w:sz w:val="22"/>
          <w:szCs w:val="22"/>
        </w:rPr>
        <w:t>Who are the internal &amp; external users of a company’s financial statement</w:t>
      </w:r>
      <w:r>
        <w:rPr>
          <w:rFonts w:ascii="Arial" w:hAnsi="Arial" w:cs="Arial"/>
          <w:bCs/>
          <w:sz w:val="22"/>
          <w:szCs w:val="22"/>
        </w:rPr>
        <w:t xml:space="preserve"> [online]: </w:t>
      </w:r>
      <w:r w:rsidRPr="00EA7D70">
        <w:rPr>
          <w:rFonts w:ascii="Arial" w:hAnsi="Arial" w:cs="Arial"/>
          <w:bCs/>
          <w:sz w:val="22"/>
          <w:szCs w:val="22"/>
        </w:rPr>
        <w:t>https://smallbusiness.chron.com/financial-statements-important-tax-authorities-18132.html</w:t>
      </w:r>
    </w:p>
    <w:sectPr w:rsidR="00603CF9" w:rsidRPr="00EA7D70" w:rsidSect="00B2549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ACC" w:rsidRDefault="000D0ACC" w:rsidP="005B7C54">
      <w:pPr>
        <w:spacing w:after="0"/>
      </w:pPr>
      <w:r>
        <w:separator/>
      </w:r>
    </w:p>
  </w:endnote>
  <w:endnote w:type="continuationSeparator" w:id="0">
    <w:p w:rsidR="000D0ACC" w:rsidRDefault="000D0ACC" w:rsidP="005B7C5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0708828"/>
      <w:docPartObj>
        <w:docPartGallery w:val="Page Numbers (Bottom of Page)"/>
        <w:docPartUnique/>
      </w:docPartObj>
    </w:sdtPr>
    <w:sdtEndPr>
      <w:rPr>
        <w:noProof/>
      </w:rPr>
    </w:sdtEndPr>
    <w:sdtContent>
      <w:p w:rsidR="005B7C54" w:rsidRDefault="005B7C54">
        <w:pPr>
          <w:pStyle w:val="Footer"/>
          <w:jc w:val="right"/>
        </w:pPr>
        <w:r>
          <w:fldChar w:fldCharType="begin"/>
        </w:r>
        <w:r>
          <w:instrText xml:space="preserve"> PAGE   \* MERGEFORMAT </w:instrText>
        </w:r>
        <w:r>
          <w:fldChar w:fldCharType="separate"/>
        </w:r>
        <w:r w:rsidR="00EB4515">
          <w:rPr>
            <w:noProof/>
          </w:rPr>
          <w:t>3</w:t>
        </w:r>
        <w:r>
          <w:rPr>
            <w:noProof/>
          </w:rPr>
          <w:fldChar w:fldCharType="end"/>
        </w:r>
      </w:p>
    </w:sdtContent>
  </w:sdt>
  <w:p w:rsidR="005B7C54" w:rsidRDefault="005B7C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ACC" w:rsidRDefault="000D0ACC" w:rsidP="005B7C54">
      <w:pPr>
        <w:spacing w:after="0"/>
      </w:pPr>
      <w:r>
        <w:separator/>
      </w:r>
    </w:p>
  </w:footnote>
  <w:footnote w:type="continuationSeparator" w:id="0">
    <w:p w:rsidR="000D0ACC" w:rsidRDefault="000D0ACC" w:rsidP="005B7C54">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D80"/>
    <w:rsid w:val="000D0ACC"/>
    <w:rsid w:val="001D7438"/>
    <w:rsid w:val="001E1F09"/>
    <w:rsid w:val="001E5E94"/>
    <w:rsid w:val="005B7C54"/>
    <w:rsid w:val="005E0F8F"/>
    <w:rsid w:val="00603CF9"/>
    <w:rsid w:val="00826AFA"/>
    <w:rsid w:val="00B2549E"/>
    <w:rsid w:val="00B7566A"/>
    <w:rsid w:val="00DC1D80"/>
    <w:rsid w:val="00E62A31"/>
    <w:rsid w:val="00EA3F6F"/>
    <w:rsid w:val="00EA7D70"/>
    <w:rsid w:val="00EB45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FB16"/>
  <w15:chartTrackingRefBased/>
  <w15:docId w15:val="{9F395D9D-C5C1-4CE8-8F19-BDEF49EE7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B7C5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7C54"/>
    <w:pPr>
      <w:tabs>
        <w:tab w:val="center" w:pos="4513"/>
        <w:tab w:val="right" w:pos="9026"/>
      </w:tabs>
      <w:spacing w:after="0"/>
    </w:pPr>
  </w:style>
  <w:style w:type="character" w:customStyle="1" w:styleId="HeaderChar">
    <w:name w:val="Header Char"/>
    <w:basedOn w:val="DefaultParagraphFont"/>
    <w:link w:val="Header"/>
    <w:uiPriority w:val="99"/>
    <w:rsid w:val="005B7C54"/>
  </w:style>
  <w:style w:type="paragraph" w:styleId="Footer">
    <w:name w:val="footer"/>
    <w:basedOn w:val="Normal"/>
    <w:link w:val="FooterChar"/>
    <w:uiPriority w:val="99"/>
    <w:unhideWhenUsed/>
    <w:rsid w:val="005B7C54"/>
    <w:pPr>
      <w:tabs>
        <w:tab w:val="center" w:pos="4513"/>
        <w:tab w:val="right" w:pos="9026"/>
      </w:tabs>
      <w:spacing w:after="0"/>
    </w:pPr>
  </w:style>
  <w:style w:type="character" w:customStyle="1" w:styleId="FooterChar">
    <w:name w:val="Footer Char"/>
    <w:basedOn w:val="DefaultParagraphFont"/>
    <w:link w:val="Footer"/>
    <w:uiPriority w:val="99"/>
    <w:rsid w:val="005B7C54"/>
  </w:style>
  <w:style w:type="character" w:customStyle="1" w:styleId="Heading1Char">
    <w:name w:val="Heading 1 Char"/>
    <w:basedOn w:val="DefaultParagraphFont"/>
    <w:link w:val="Heading1"/>
    <w:uiPriority w:val="9"/>
    <w:rsid w:val="005B7C5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5B7C54"/>
    <w:rPr>
      <w:color w:val="0000FF"/>
      <w:u w:val="single"/>
    </w:rPr>
  </w:style>
  <w:style w:type="paragraph" w:styleId="NormalWeb">
    <w:name w:val="Normal (Web)"/>
    <w:basedOn w:val="Normal"/>
    <w:uiPriority w:val="99"/>
    <w:unhideWhenUsed/>
    <w:rsid w:val="001D7438"/>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linkwrapper">
    <w:name w:val="link__wrapper"/>
    <w:basedOn w:val="DefaultParagraphFont"/>
    <w:rsid w:val="00603CF9"/>
  </w:style>
  <w:style w:type="character" w:customStyle="1" w:styleId="comp">
    <w:name w:val="comp"/>
    <w:basedOn w:val="DefaultParagraphFont"/>
    <w:rsid w:val="00603CF9"/>
  </w:style>
  <w:style w:type="character" w:customStyle="1" w:styleId="bio-social-followfollow-text">
    <w:name w:val="bio-social-follow__follow-text"/>
    <w:basedOn w:val="DefaultParagraphFont"/>
    <w:rsid w:val="00603CF9"/>
  </w:style>
  <w:style w:type="character" w:customStyle="1" w:styleId="bio-social-followicon-text">
    <w:name w:val="bio-social-follow__icon-text"/>
    <w:basedOn w:val="DefaultParagraphFont"/>
    <w:rsid w:val="00603C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492339">
      <w:bodyDiv w:val="1"/>
      <w:marLeft w:val="0"/>
      <w:marRight w:val="0"/>
      <w:marTop w:val="0"/>
      <w:marBottom w:val="0"/>
      <w:divBdr>
        <w:top w:val="none" w:sz="0" w:space="0" w:color="auto"/>
        <w:left w:val="none" w:sz="0" w:space="0" w:color="auto"/>
        <w:bottom w:val="none" w:sz="0" w:space="0" w:color="auto"/>
        <w:right w:val="none" w:sz="0" w:space="0" w:color="auto"/>
      </w:divBdr>
    </w:div>
    <w:div w:id="863371945">
      <w:bodyDiv w:val="1"/>
      <w:marLeft w:val="0"/>
      <w:marRight w:val="0"/>
      <w:marTop w:val="0"/>
      <w:marBottom w:val="0"/>
      <w:divBdr>
        <w:top w:val="none" w:sz="0" w:space="0" w:color="auto"/>
        <w:left w:val="none" w:sz="0" w:space="0" w:color="auto"/>
        <w:bottom w:val="none" w:sz="0" w:space="0" w:color="auto"/>
        <w:right w:val="none" w:sz="0" w:space="0" w:color="auto"/>
      </w:divBdr>
    </w:div>
    <w:div w:id="903955505">
      <w:bodyDiv w:val="1"/>
      <w:marLeft w:val="0"/>
      <w:marRight w:val="0"/>
      <w:marTop w:val="0"/>
      <w:marBottom w:val="0"/>
      <w:divBdr>
        <w:top w:val="none" w:sz="0" w:space="0" w:color="auto"/>
        <w:left w:val="none" w:sz="0" w:space="0" w:color="auto"/>
        <w:bottom w:val="none" w:sz="0" w:space="0" w:color="auto"/>
        <w:right w:val="none" w:sz="0" w:space="0" w:color="auto"/>
      </w:divBdr>
      <w:divsChild>
        <w:div w:id="823159113">
          <w:marLeft w:val="0"/>
          <w:marRight w:val="0"/>
          <w:marTop w:val="0"/>
          <w:marBottom w:val="0"/>
          <w:divBdr>
            <w:top w:val="none" w:sz="0" w:space="0" w:color="auto"/>
            <w:left w:val="none" w:sz="0" w:space="0" w:color="auto"/>
            <w:bottom w:val="none" w:sz="0" w:space="0" w:color="auto"/>
            <w:right w:val="none" w:sz="0" w:space="0" w:color="auto"/>
          </w:divBdr>
          <w:divsChild>
            <w:div w:id="965085069">
              <w:marLeft w:val="0"/>
              <w:marRight w:val="0"/>
              <w:marTop w:val="0"/>
              <w:marBottom w:val="0"/>
              <w:divBdr>
                <w:top w:val="none" w:sz="0" w:space="0" w:color="auto"/>
                <w:left w:val="none" w:sz="0" w:space="0" w:color="auto"/>
                <w:bottom w:val="none" w:sz="0" w:space="0" w:color="auto"/>
                <w:right w:val="none" w:sz="0" w:space="0" w:color="auto"/>
              </w:divBdr>
              <w:divsChild>
                <w:div w:id="1896234603">
                  <w:marLeft w:val="0"/>
                  <w:marRight w:val="0"/>
                  <w:marTop w:val="75"/>
                  <w:marBottom w:val="0"/>
                  <w:divBdr>
                    <w:top w:val="single" w:sz="6" w:space="0" w:color="BBBBBB"/>
                    <w:left w:val="single" w:sz="6" w:space="0" w:color="BBBBBB"/>
                    <w:bottom w:val="single" w:sz="6" w:space="0" w:color="BBBBBB"/>
                    <w:right w:val="single" w:sz="6" w:space="0" w:color="BBBBBB"/>
                  </w:divBdr>
                  <w:divsChild>
                    <w:div w:id="2099515803">
                      <w:marLeft w:val="0"/>
                      <w:marRight w:val="0"/>
                      <w:marTop w:val="0"/>
                      <w:marBottom w:val="0"/>
                      <w:divBdr>
                        <w:top w:val="none" w:sz="0" w:space="0" w:color="auto"/>
                        <w:left w:val="none" w:sz="0" w:space="0" w:color="auto"/>
                        <w:bottom w:val="none" w:sz="0" w:space="0" w:color="auto"/>
                        <w:right w:val="none" w:sz="0" w:space="0" w:color="auto"/>
                      </w:divBdr>
                      <w:divsChild>
                        <w:div w:id="269551167">
                          <w:marLeft w:val="0"/>
                          <w:marRight w:val="0"/>
                          <w:marTop w:val="0"/>
                          <w:marBottom w:val="0"/>
                          <w:divBdr>
                            <w:top w:val="none" w:sz="0" w:space="0" w:color="auto"/>
                            <w:left w:val="none" w:sz="0" w:space="0" w:color="auto"/>
                            <w:bottom w:val="none" w:sz="0" w:space="0" w:color="auto"/>
                            <w:right w:val="none" w:sz="0" w:space="0" w:color="auto"/>
                          </w:divBdr>
                          <w:divsChild>
                            <w:div w:id="1431269751">
                              <w:marLeft w:val="0"/>
                              <w:marRight w:val="0"/>
                              <w:marTop w:val="0"/>
                              <w:marBottom w:val="0"/>
                              <w:divBdr>
                                <w:top w:val="none" w:sz="0" w:space="0" w:color="auto"/>
                                <w:left w:val="none" w:sz="0" w:space="0" w:color="auto"/>
                                <w:bottom w:val="none" w:sz="0" w:space="0" w:color="auto"/>
                                <w:right w:val="none" w:sz="0" w:space="0" w:color="auto"/>
                              </w:divBdr>
                            </w:div>
                          </w:divsChild>
                        </w:div>
                        <w:div w:id="1057389476">
                          <w:marLeft w:val="0"/>
                          <w:marRight w:val="0"/>
                          <w:marTop w:val="0"/>
                          <w:marBottom w:val="0"/>
                          <w:divBdr>
                            <w:top w:val="none" w:sz="0" w:space="0" w:color="auto"/>
                            <w:left w:val="none" w:sz="0" w:space="0" w:color="auto"/>
                            <w:bottom w:val="none" w:sz="0" w:space="0" w:color="auto"/>
                            <w:right w:val="none" w:sz="0" w:space="0" w:color="auto"/>
                          </w:divBdr>
                          <w:divsChild>
                            <w:div w:id="332496793">
                              <w:marLeft w:val="0"/>
                              <w:marRight w:val="0"/>
                              <w:marTop w:val="0"/>
                              <w:marBottom w:val="0"/>
                              <w:divBdr>
                                <w:top w:val="none" w:sz="0" w:space="0" w:color="auto"/>
                                <w:left w:val="none" w:sz="0" w:space="0" w:color="auto"/>
                                <w:bottom w:val="none" w:sz="0" w:space="0" w:color="auto"/>
                                <w:right w:val="none" w:sz="0" w:space="0" w:color="auto"/>
                              </w:divBdr>
                              <w:divsChild>
                                <w:div w:id="1962223175">
                                  <w:marLeft w:val="0"/>
                                  <w:marRight w:val="0"/>
                                  <w:marTop w:val="0"/>
                                  <w:marBottom w:val="0"/>
                                  <w:divBdr>
                                    <w:top w:val="none" w:sz="0" w:space="0" w:color="auto"/>
                                    <w:left w:val="none" w:sz="0" w:space="0" w:color="auto"/>
                                    <w:bottom w:val="none" w:sz="0" w:space="0" w:color="auto"/>
                                    <w:right w:val="none" w:sz="0" w:space="0" w:color="auto"/>
                                  </w:divBdr>
                                  <w:divsChild>
                                    <w:div w:id="89215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92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997302">
                      <w:marLeft w:val="0"/>
                      <w:marRight w:val="0"/>
                      <w:marTop w:val="0"/>
                      <w:marBottom w:val="0"/>
                      <w:divBdr>
                        <w:top w:val="none" w:sz="0" w:space="0" w:color="auto"/>
                        <w:left w:val="none" w:sz="0" w:space="0" w:color="auto"/>
                        <w:bottom w:val="none" w:sz="0" w:space="0" w:color="auto"/>
                        <w:right w:val="none" w:sz="0" w:space="0" w:color="auto"/>
                      </w:divBdr>
                      <w:divsChild>
                        <w:div w:id="190552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5216147">
      <w:bodyDiv w:val="1"/>
      <w:marLeft w:val="0"/>
      <w:marRight w:val="0"/>
      <w:marTop w:val="0"/>
      <w:marBottom w:val="0"/>
      <w:divBdr>
        <w:top w:val="none" w:sz="0" w:space="0" w:color="auto"/>
        <w:left w:val="none" w:sz="0" w:space="0" w:color="auto"/>
        <w:bottom w:val="none" w:sz="0" w:space="0" w:color="auto"/>
        <w:right w:val="none" w:sz="0" w:space="0" w:color="auto"/>
      </w:divBdr>
      <w:divsChild>
        <w:div w:id="1411080263">
          <w:marLeft w:val="0"/>
          <w:marRight w:val="0"/>
          <w:marTop w:val="0"/>
          <w:marBottom w:val="0"/>
          <w:divBdr>
            <w:top w:val="none" w:sz="0" w:space="0" w:color="auto"/>
            <w:left w:val="none" w:sz="0" w:space="0" w:color="auto"/>
            <w:bottom w:val="none" w:sz="0" w:space="0" w:color="auto"/>
            <w:right w:val="none" w:sz="0" w:space="0" w:color="auto"/>
          </w:divBdr>
          <w:divsChild>
            <w:div w:id="154181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007688">
      <w:bodyDiv w:val="1"/>
      <w:marLeft w:val="0"/>
      <w:marRight w:val="0"/>
      <w:marTop w:val="0"/>
      <w:marBottom w:val="0"/>
      <w:divBdr>
        <w:top w:val="none" w:sz="0" w:space="0" w:color="auto"/>
        <w:left w:val="none" w:sz="0" w:space="0" w:color="auto"/>
        <w:bottom w:val="none" w:sz="0" w:space="0" w:color="auto"/>
        <w:right w:val="none" w:sz="0" w:space="0" w:color="auto"/>
      </w:divBdr>
    </w:div>
    <w:div w:id="1180047884">
      <w:bodyDiv w:val="1"/>
      <w:marLeft w:val="0"/>
      <w:marRight w:val="0"/>
      <w:marTop w:val="0"/>
      <w:marBottom w:val="0"/>
      <w:divBdr>
        <w:top w:val="none" w:sz="0" w:space="0" w:color="auto"/>
        <w:left w:val="none" w:sz="0" w:space="0" w:color="auto"/>
        <w:bottom w:val="none" w:sz="0" w:space="0" w:color="auto"/>
        <w:right w:val="none" w:sz="0" w:space="0" w:color="auto"/>
      </w:divBdr>
    </w:div>
    <w:div w:id="172683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lstreetmojo.com/income-stateme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allstreetmojo.com/balance-shee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nvestopedia.com/contributors/53889/" TargetMode="External"/><Relationship Id="rId5" Type="http://schemas.openxmlformats.org/officeDocument/2006/relationships/footnotes" Target="footnotes.xml"/><Relationship Id="rId10" Type="http://schemas.openxmlformats.org/officeDocument/2006/relationships/hyperlink" Target="https://www.wallstreetmojo.com/depreciation/" TargetMode="External"/><Relationship Id="rId4" Type="http://schemas.openxmlformats.org/officeDocument/2006/relationships/webSettings" Target="webSettings.xml"/><Relationship Id="rId9" Type="http://schemas.openxmlformats.org/officeDocument/2006/relationships/hyperlink" Target="https://www.wallstreetmojo.com/income-statement-forma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38E93-5041-418B-90E7-8D06AD089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543</Words>
  <Characters>3101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Georgiana Marcut (2028979)</dc:creator>
  <cp:keywords/>
  <dc:description/>
  <cp:lastModifiedBy>Carmen Georgiana Marcut (2028979)</cp:lastModifiedBy>
  <cp:revision>6</cp:revision>
  <dcterms:created xsi:type="dcterms:W3CDTF">2021-06-30T05:15:00Z</dcterms:created>
  <dcterms:modified xsi:type="dcterms:W3CDTF">2021-06-30T13:35:00Z</dcterms:modified>
</cp:coreProperties>
</file>