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0E1CE3" w14:textId="51C522EE" w:rsidR="00F01A11" w:rsidRDefault="00F01A11" w:rsidP="000E02CA">
      <w:pPr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4384" behindDoc="0" locked="0" layoutInCell="1" allowOverlap="1" wp14:anchorId="12D9E92B" wp14:editId="6091F63B">
            <wp:simplePos x="0" y="0"/>
            <wp:positionH relativeFrom="column">
              <wp:posOffset>-786632</wp:posOffset>
            </wp:positionH>
            <wp:positionV relativeFrom="paragraph">
              <wp:posOffset>487</wp:posOffset>
            </wp:positionV>
            <wp:extent cx="2860675" cy="141859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141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D90F43" w14:textId="77777777" w:rsidR="00F01A11" w:rsidRDefault="00F01A11" w:rsidP="000E02CA">
      <w:pPr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</w:p>
    <w:p w14:paraId="32EAFD5B" w14:textId="77777777" w:rsidR="00F01A11" w:rsidRDefault="00F01A11" w:rsidP="000E02CA">
      <w:pPr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</w:p>
    <w:p w14:paraId="3657BB99" w14:textId="7C06532A" w:rsidR="000E02CA" w:rsidRPr="00F01A11" w:rsidRDefault="000E02CA" w:rsidP="000E02CA">
      <w:pPr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BSc (Hons) Health and Social Care</w:t>
      </w:r>
    </w:p>
    <w:p w14:paraId="5EC4BFB6" w14:textId="77777777" w:rsidR="000E02CA" w:rsidRPr="00F01A11" w:rsidRDefault="000E02CA" w:rsidP="000E02CA">
      <w:pPr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Psychological Classifications and Provisions</w:t>
      </w:r>
    </w:p>
    <w:p w14:paraId="3CFB8EDF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BMHP6029</w:t>
      </w:r>
    </w:p>
    <w:p w14:paraId="19A4CE1E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Student name</w:t>
      </w:r>
    </w:p>
    <w:p w14:paraId="628404DA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Baidar begum</w:t>
      </w:r>
    </w:p>
    <w:p w14:paraId="7DBB029F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Student number</w:t>
      </w:r>
    </w:p>
    <w:p w14:paraId="0A608F64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2318995</w:t>
      </w:r>
    </w:p>
    <w:p w14:paraId="3569AC19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Lecture</w:t>
      </w:r>
    </w:p>
    <w:p w14:paraId="31FBFA79" w14:textId="77777777" w:rsidR="000E02CA" w:rsidRPr="00F01A11" w:rsidRDefault="000E02CA" w:rsidP="000E02CA">
      <w:pPr>
        <w:spacing w:before="120" w:after="120"/>
        <w:jc w:val="center"/>
        <w:rPr>
          <w:rFonts w:ascii="Arial" w:hAnsi="Arial" w:cs="Arial"/>
          <w:b/>
          <w:bCs/>
          <w:color w:val="0E2841" w:themeColor="text2"/>
          <w:sz w:val="56"/>
          <w:szCs w:val="56"/>
        </w:rPr>
      </w:pPr>
      <w:r w:rsidRPr="00F01A11">
        <w:rPr>
          <w:rFonts w:ascii="Arial" w:hAnsi="Arial" w:cs="Arial"/>
          <w:b/>
          <w:bCs/>
          <w:color w:val="0E2841" w:themeColor="text2"/>
          <w:sz w:val="56"/>
          <w:szCs w:val="56"/>
        </w:rPr>
        <w:t>Neale Haddon</w:t>
      </w:r>
    </w:p>
    <w:p w14:paraId="650F9CEE" w14:textId="7312E13C" w:rsidR="005B0066" w:rsidRPr="00F01A11" w:rsidRDefault="005B0066" w:rsidP="000E02CA">
      <w:pPr>
        <w:pStyle w:val="NoSpacing"/>
        <w:spacing w:before="1540" w:after="240"/>
        <w:rPr>
          <w:sz w:val="56"/>
          <w:szCs w:val="56"/>
        </w:rPr>
      </w:pPr>
      <w:r w:rsidRPr="00F01A11">
        <w:rPr>
          <w:sz w:val="56"/>
          <w:szCs w:val="56"/>
        </w:rPr>
        <w:br w:type="page"/>
      </w:r>
    </w:p>
    <w:p w14:paraId="4505BCC2" w14:textId="2F7DD6FA" w:rsidR="005B0066" w:rsidRDefault="00F2442D">
      <w:r w:rsidRPr="00F2442D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09F68B5B" wp14:editId="654FF4E9">
            <wp:simplePos x="0" y="0"/>
            <wp:positionH relativeFrom="margin">
              <wp:align>center</wp:align>
            </wp:positionH>
            <wp:positionV relativeFrom="page">
              <wp:posOffset>104078</wp:posOffset>
            </wp:positionV>
            <wp:extent cx="7411844" cy="10628845"/>
            <wp:effectExtent l="0" t="0" r="0" b="1270"/>
            <wp:wrapSquare wrapText="bothSides"/>
            <wp:docPr id="2140596441" name="Picture 1" descr="A screenshot of a medical inform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596441" name="Picture 1" descr="A screenshot of a medical information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1844" cy="10628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53BE96" w14:textId="37F6DEDD" w:rsidR="005B0066" w:rsidRDefault="00F2442D">
      <w:r w:rsidRPr="00F2442D">
        <w:lastRenderedPageBreak/>
        <w:drawing>
          <wp:anchor distT="0" distB="0" distL="114300" distR="114300" simplePos="0" relativeHeight="251666432" behindDoc="0" locked="0" layoutInCell="1" allowOverlap="1" wp14:anchorId="14D09895" wp14:editId="3ED30302">
            <wp:simplePos x="0" y="0"/>
            <wp:positionH relativeFrom="page">
              <wp:posOffset>89210</wp:posOffset>
            </wp:positionH>
            <wp:positionV relativeFrom="page">
              <wp:align>bottom</wp:align>
            </wp:positionV>
            <wp:extent cx="7463155" cy="10653132"/>
            <wp:effectExtent l="0" t="0" r="4445" b="0"/>
            <wp:wrapSquare wrapText="bothSides"/>
            <wp:docPr id="5237366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73669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63155" cy="106531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0066">
        <w:br w:type="page"/>
      </w:r>
    </w:p>
    <w:p w14:paraId="74C0E5D3" w14:textId="77777777" w:rsidR="00F01A11" w:rsidRPr="00F01A11" w:rsidRDefault="00F01A11" w:rsidP="00303C97">
      <w:pPr>
        <w:rPr>
          <w:rFonts w:ascii="Arial" w:hAnsi="Arial" w:cs="Arial"/>
          <w:b/>
          <w:bCs/>
          <w:sz w:val="52"/>
          <w:szCs w:val="52"/>
        </w:rPr>
      </w:pPr>
      <w:r w:rsidRPr="00F01A11">
        <w:rPr>
          <w:rFonts w:ascii="Arial" w:hAnsi="Arial" w:cs="Arial"/>
          <w:b/>
          <w:bCs/>
          <w:sz w:val="52"/>
          <w:szCs w:val="52"/>
        </w:rPr>
        <w:lastRenderedPageBreak/>
        <w:t>Reference</w:t>
      </w:r>
    </w:p>
    <w:p w14:paraId="3389721E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Agras, W.S. and Robinson, A.H. (eds.) (2017) The Oxford handbook of eating disorders. 2nd edn. Oxford: Oxford University Press.</w:t>
      </w:r>
    </w:p>
    <w:p w14:paraId="7F2ADA64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Brown, M.L. and Levinson, C.A. (2022) ‘Core eating disorder fears: Prevalence and differences across eating disorder diagnoses’, International Journal of Eating Disorders, 55(7), pp. 956–965.</w:t>
      </w:r>
    </w:p>
    <w:p w14:paraId="3F02B54B" w14:textId="463109E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Castellini, G. et al. (2020) ‘The impact of COVID-19 on eating disorders: A longitudinal observation of pre- versus post-psychopathological features’, International Journal of Eating Disorders, 53(11), pp. 1855–1862.</w:t>
      </w:r>
    </w:p>
    <w:p w14:paraId="07695349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Devoe, D. et al. (2023) ‘The impact of the COVID-19 pandemic on eating disorders: A systematic review’, International Journal of Eating Disorders, 56(1), pp. 5–25.</w:t>
      </w:r>
    </w:p>
    <w:p w14:paraId="7395E598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Fernández-Aranda, F. et al. (2020) ‘COVID-19 and implications for eating disorders’, European Eating Disorders Review, 28(3), pp. 239–245.</w:t>
      </w:r>
    </w:p>
    <w:p w14:paraId="0A6E2FBF" w14:textId="389CA560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 xml:space="preserve">Friedlich, C.E. et al. (2023) ‘Updates in the treatment of eating disorders in 2022: A year in review’, </w:t>
      </w:r>
      <w:r w:rsidR="00F2442D" w:rsidRPr="00162DB1">
        <w:rPr>
          <w:rFonts w:ascii="Arial" w:hAnsi="Arial" w:cs="Arial"/>
        </w:rPr>
        <w:t>eating disorders</w:t>
      </w:r>
      <w:r w:rsidRPr="00162DB1">
        <w:rPr>
          <w:rFonts w:ascii="Arial" w:hAnsi="Arial" w:cs="Arial"/>
        </w:rPr>
        <w:t>, 31(2), pp. 128–138.</w:t>
      </w:r>
    </w:p>
    <w:p w14:paraId="3602BBEA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Griffiths, S., Murray, S.B. and Touyz, S. (2018) ‘Extending the masculinity hypothesis: Gender role conformity, body dissatisfaction and disordered eating in young heterosexual men’, Psychology of Men &amp; Masculinity, 19(1), pp. 108–124.</w:t>
      </w:r>
    </w:p>
    <w:p w14:paraId="085D18D4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Hart, L.M., Granillo, M.T., Jorm, A.F. and Paxton, S.J. (2011) ‘Unmet need for treatment in eating disorders: A systematic review of treatment seeking among community cases’, Clinical Psychology Review, 31(5), pp. 727–735.</w:t>
      </w:r>
    </w:p>
    <w:p w14:paraId="4834BFF4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Hay, P. (2020) ‘Current approach to eating disorders: A clinical update’, Internal Medicine Journal, 50(1), pp. 24–29.</w:t>
      </w:r>
    </w:p>
    <w:p w14:paraId="75BFF367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Herpertz-Dahlmann, B. and Schmidt, U. (2023) ‘How to deliver developmentally informed treatment for emerging adults with eating disorders’, European Eating Disorders Review, 31(1), pp. 3–8.</w:t>
      </w:r>
    </w:p>
    <w:p w14:paraId="2454C068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Izydorczyk, B. (2022) Body image in eating disorders: Clinical diagnosis and integrative approach to psychological treatment. London: Routledge.</w:t>
      </w:r>
    </w:p>
    <w:p w14:paraId="02E4F377" w14:textId="15A62E50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 xml:space="preserve">Malson, H., Bailey, L., Clarke, S., Treasure, J., Anderson, </w:t>
      </w:r>
      <w:r w:rsidR="00F2442D" w:rsidRPr="00162DB1">
        <w:rPr>
          <w:rFonts w:ascii="Arial" w:hAnsi="Arial" w:cs="Arial"/>
        </w:rPr>
        <w:t>G.,</w:t>
      </w:r>
      <w:r w:rsidRPr="00162DB1">
        <w:rPr>
          <w:rFonts w:ascii="Arial" w:hAnsi="Arial" w:cs="Arial"/>
        </w:rPr>
        <w:t xml:space="preserve"> and Kohn, M. (2011) ‘Un/imaginable future selves: A discourse analysis of in-patients’ talk about recovery from an eating disorder’, European Eating Disorders Review, 19(1), pp. 25–36. doi: 10.1002/erv.1011.</w:t>
      </w:r>
    </w:p>
    <w:p w14:paraId="1A1FE755" w14:textId="32E6159A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 xml:space="preserve">National Institute for Health and Care Excellence (NICE) (2017) </w:t>
      </w:r>
      <w:r w:rsidR="00F2442D" w:rsidRPr="00162DB1">
        <w:rPr>
          <w:rFonts w:ascii="Arial" w:hAnsi="Arial" w:cs="Arial"/>
        </w:rPr>
        <w:t>eating disorders</w:t>
      </w:r>
      <w:r w:rsidRPr="00162DB1">
        <w:rPr>
          <w:rFonts w:ascii="Arial" w:hAnsi="Arial" w:cs="Arial"/>
        </w:rPr>
        <w:t>: recognition and treatment (NG69). London: NICE.</w:t>
      </w:r>
    </w:p>
    <w:p w14:paraId="25F6A80E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Nawaz, A. (2022) People of colour with eating disorders face cultural and medical stigmas [Video]. PBS NewsHour. Available at: URL (Accessed: Day Month Year).</w:t>
      </w:r>
    </w:p>
    <w:p w14:paraId="683C27C4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Quadflieg, N. et al. (2023) ‘Comparing ICD-11 and DSM-5 eating disorder diagnoses’, International Journal of Eating Disorders, 56(9), pp. 1826–1831.</w:t>
      </w:r>
    </w:p>
    <w:p w14:paraId="66CE89F5" w14:textId="77777777" w:rsidR="00303C97" w:rsidRPr="00162DB1" w:rsidRDefault="00303C97" w:rsidP="00303C97">
      <w:pPr>
        <w:rPr>
          <w:rFonts w:ascii="Arial" w:hAnsi="Arial" w:cs="Arial"/>
        </w:rPr>
      </w:pPr>
    </w:p>
    <w:p w14:paraId="1C8F613C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lastRenderedPageBreak/>
        <w:t>Treasure, J., Duarte, T.A. and Schmidt, U. (2020) ‘Eating disorders’, The Lancet, 395(10227), pp. 899–911.</w:t>
      </w:r>
    </w:p>
    <w:p w14:paraId="52B64AD9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van Hoeken, D. and Hoek, H.W. (2020) ‘Review of the burden of eating disorders: Mortality, disability and costs’, Current Opinion in Psychiatry, 33(6), pp. 521–527.</w:t>
      </w:r>
    </w:p>
    <w:p w14:paraId="73632C20" w14:textId="77777777" w:rsidR="00303C97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Weissman, R.S. and Hay, P. (2022) ‘Lived experience of eating disorders during COVID-19’, International Journal of Eating Disorders, 55(2), pp. 155–160.</w:t>
      </w:r>
    </w:p>
    <w:p w14:paraId="1187656D" w14:textId="391C01F8" w:rsidR="007B0FF0" w:rsidRPr="00162DB1" w:rsidRDefault="00303C97" w:rsidP="00303C97">
      <w:pPr>
        <w:rPr>
          <w:rFonts w:ascii="Arial" w:hAnsi="Arial" w:cs="Arial"/>
        </w:rPr>
      </w:pPr>
      <w:r w:rsidRPr="00162DB1">
        <w:rPr>
          <w:rFonts w:ascii="Arial" w:hAnsi="Arial" w:cs="Arial"/>
        </w:rPr>
        <w:t>World Health Organization (WHO) (2019) International classification of diseases for mortality and morbidity statistics (11th edn.). Geneva: WHO.</w:t>
      </w:r>
    </w:p>
    <w:sectPr w:rsidR="007B0FF0" w:rsidRPr="00162DB1" w:rsidSect="005B0066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B75533" w14:textId="77777777" w:rsidR="005B0066" w:rsidRDefault="005B0066" w:rsidP="005B0066">
      <w:pPr>
        <w:spacing w:after="0" w:line="240" w:lineRule="auto"/>
      </w:pPr>
      <w:r>
        <w:separator/>
      </w:r>
    </w:p>
  </w:endnote>
  <w:endnote w:type="continuationSeparator" w:id="0">
    <w:p w14:paraId="7370DFBF" w14:textId="77777777" w:rsidR="005B0066" w:rsidRDefault="005B0066" w:rsidP="005B00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A49E84" w14:textId="77777777" w:rsidR="005B0066" w:rsidRDefault="005B0066" w:rsidP="005B0066">
      <w:pPr>
        <w:spacing w:after="0" w:line="240" w:lineRule="auto"/>
      </w:pPr>
      <w:r>
        <w:separator/>
      </w:r>
    </w:p>
  </w:footnote>
  <w:footnote w:type="continuationSeparator" w:id="0">
    <w:p w14:paraId="168CBC0E" w14:textId="77777777" w:rsidR="005B0066" w:rsidRDefault="005B0066" w:rsidP="005B00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C0A1EC" w14:textId="77777777" w:rsidR="005B0066" w:rsidRDefault="005B006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066"/>
    <w:rsid w:val="000E02CA"/>
    <w:rsid w:val="00162DB1"/>
    <w:rsid w:val="00303C97"/>
    <w:rsid w:val="0035182B"/>
    <w:rsid w:val="0055030B"/>
    <w:rsid w:val="005B0066"/>
    <w:rsid w:val="00744C41"/>
    <w:rsid w:val="007B0FF0"/>
    <w:rsid w:val="00B167B3"/>
    <w:rsid w:val="00D671A0"/>
    <w:rsid w:val="00F01A11"/>
    <w:rsid w:val="00F24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398FD"/>
  <w15:chartTrackingRefBased/>
  <w15:docId w15:val="{7EE19ED1-E36B-4268-9D4F-21881C79F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02CA"/>
  </w:style>
  <w:style w:type="paragraph" w:styleId="Heading1">
    <w:name w:val="heading 1"/>
    <w:basedOn w:val="Normal"/>
    <w:next w:val="Normal"/>
    <w:link w:val="Heading1Char"/>
    <w:uiPriority w:val="9"/>
    <w:qFormat/>
    <w:rsid w:val="005B00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00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00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00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0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0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0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0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0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0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00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00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00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0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0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0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0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0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00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0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0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00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00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00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00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00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00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00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006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B006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B0066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B0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066"/>
  </w:style>
  <w:style w:type="paragraph" w:styleId="Footer">
    <w:name w:val="footer"/>
    <w:basedOn w:val="Normal"/>
    <w:link w:val="FooterChar"/>
    <w:uiPriority w:val="99"/>
    <w:unhideWhenUsed/>
    <w:rsid w:val="005B0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0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500</Words>
  <Characters>2855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Baidar Begum</dc:creator>
  <cp:keywords/>
  <dc:description/>
  <cp:lastModifiedBy>Baidar Begum</cp:lastModifiedBy>
  <cp:revision>2</cp:revision>
  <dcterms:created xsi:type="dcterms:W3CDTF">2026-03-03T10:28:00Z</dcterms:created>
  <dcterms:modified xsi:type="dcterms:W3CDTF">2026-03-03T10:28:00Z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70bd1ec8-a866-4010-9194-aaa64b1c71d5</vt:lpwstr>
  </property>
</Properties>
</file>