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AC156" w14:textId="77777777" w:rsidR="00531537" w:rsidRPr="006250F4" w:rsidRDefault="00531537" w:rsidP="00531537">
      <w:pPr>
        <w:jc w:val="center"/>
        <w:rPr>
          <w:rFonts w:ascii="Arial" w:hAnsi="Arial" w:cs="Arial"/>
        </w:rPr>
      </w:pPr>
      <w:r w:rsidRPr="006250F4">
        <w:rPr>
          <w:rFonts w:ascii="Arial" w:hAnsi="Arial" w:cs="Arial"/>
          <w:noProof/>
        </w:rPr>
        <w:drawing>
          <wp:inline distT="0" distB="0" distL="0" distR="0" wp14:anchorId="267AB6F4" wp14:editId="4CC985B5">
            <wp:extent cx="2816225" cy="900113"/>
            <wp:effectExtent l="0" t="0" r="3175"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25417" cy="903051"/>
                    </a:xfrm>
                    <a:prstGeom prst="rect">
                      <a:avLst/>
                    </a:prstGeom>
                    <a:noFill/>
                    <a:ln>
                      <a:noFill/>
                    </a:ln>
                  </pic:spPr>
                </pic:pic>
              </a:graphicData>
            </a:graphic>
          </wp:inline>
        </w:drawing>
      </w:r>
    </w:p>
    <w:p w14:paraId="3FB7C075" w14:textId="77777777" w:rsidR="00531537" w:rsidRPr="006250F4" w:rsidRDefault="00531537" w:rsidP="00531537">
      <w:pPr>
        <w:jc w:val="center"/>
        <w:rPr>
          <w:rFonts w:ascii="Arial" w:hAnsi="Arial" w:cs="Arial"/>
          <w:sz w:val="34"/>
          <w:szCs w:val="34"/>
        </w:rPr>
      </w:pPr>
    </w:p>
    <w:p w14:paraId="075F1589" w14:textId="77777777" w:rsidR="00531537" w:rsidRPr="006250F4" w:rsidRDefault="00531537" w:rsidP="00531537">
      <w:pPr>
        <w:spacing w:line="240" w:lineRule="auto"/>
        <w:jc w:val="center"/>
        <w:rPr>
          <w:rFonts w:ascii="Arial" w:hAnsi="Arial" w:cs="Arial"/>
          <w:sz w:val="38"/>
          <w:szCs w:val="38"/>
        </w:rPr>
      </w:pPr>
      <w:r w:rsidRPr="006250F4">
        <w:rPr>
          <w:rFonts w:ascii="Arial" w:hAnsi="Arial" w:cs="Arial"/>
          <w:sz w:val="38"/>
          <w:szCs w:val="38"/>
        </w:rPr>
        <w:t>Master of Business Administration</w:t>
      </w:r>
    </w:p>
    <w:p w14:paraId="65C9D1C1" w14:textId="77777777" w:rsidR="00531537" w:rsidRPr="006250F4" w:rsidRDefault="00531537" w:rsidP="00531537">
      <w:pPr>
        <w:spacing w:line="240" w:lineRule="auto"/>
        <w:jc w:val="center"/>
        <w:rPr>
          <w:rFonts w:ascii="Arial" w:hAnsi="Arial" w:cs="Arial"/>
          <w:sz w:val="32"/>
          <w:szCs w:val="32"/>
        </w:rPr>
      </w:pPr>
      <w:r w:rsidRPr="006250F4">
        <w:rPr>
          <w:rFonts w:ascii="Arial" w:hAnsi="Arial" w:cs="Arial"/>
          <w:sz w:val="32"/>
          <w:szCs w:val="32"/>
        </w:rPr>
        <w:t>International Business pathway</w:t>
      </w:r>
    </w:p>
    <w:p w14:paraId="0A80C0AB" w14:textId="77777777" w:rsidR="00531537" w:rsidRPr="006250F4" w:rsidRDefault="00531537" w:rsidP="00531537">
      <w:pPr>
        <w:jc w:val="center"/>
        <w:rPr>
          <w:rFonts w:ascii="Arial" w:hAnsi="Arial" w:cs="Arial"/>
          <w:sz w:val="28"/>
          <w:szCs w:val="28"/>
        </w:rPr>
      </w:pPr>
    </w:p>
    <w:p w14:paraId="63CC5BCF" w14:textId="77777777" w:rsidR="006E279E" w:rsidRPr="006250F4" w:rsidRDefault="006E279E" w:rsidP="00531537">
      <w:pPr>
        <w:jc w:val="center"/>
        <w:rPr>
          <w:rFonts w:ascii="Arial" w:hAnsi="Arial" w:cs="Arial"/>
          <w:b/>
          <w:bCs/>
          <w:color w:val="EE0000"/>
          <w:sz w:val="32"/>
          <w:szCs w:val="32"/>
        </w:rPr>
      </w:pPr>
      <w:r w:rsidRPr="006250F4">
        <w:rPr>
          <w:rFonts w:ascii="Arial" w:hAnsi="Arial" w:cs="Arial"/>
          <w:b/>
          <w:bCs/>
          <w:color w:val="EE0000"/>
          <w:sz w:val="32"/>
          <w:szCs w:val="32"/>
        </w:rPr>
        <w:t>A Five-Year Financial Analysis, Strategic Restructuring Plan, and Investment Appraisal</w:t>
      </w:r>
    </w:p>
    <w:p w14:paraId="086C14A6" w14:textId="5E19578D" w:rsidR="00531537" w:rsidRPr="006250F4" w:rsidRDefault="006E279E" w:rsidP="00531537">
      <w:pPr>
        <w:jc w:val="center"/>
        <w:rPr>
          <w:rFonts w:ascii="Arial" w:hAnsi="Arial" w:cs="Arial"/>
          <w:b/>
          <w:bCs/>
          <w:color w:val="EE0000"/>
          <w:sz w:val="32"/>
          <w:szCs w:val="32"/>
        </w:rPr>
      </w:pPr>
      <w:r w:rsidRPr="006250F4">
        <w:rPr>
          <w:rFonts w:ascii="Arial" w:hAnsi="Arial" w:cs="Arial"/>
          <w:b/>
          <w:bCs/>
          <w:color w:val="EE0000"/>
          <w:sz w:val="32"/>
          <w:szCs w:val="32"/>
        </w:rPr>
        <w:t xml:space="preserve">WHITBREAD PLC </w:t>
      </w:r>
    </w:p>
    <w:p w14:paraId="3560E472" w14:textId="7B1CF90C" w:rsidR="00531537" w:rsidRPr="006250F4" w:rsidRDefault="00531537" w:rsidP="00531537">
      <w:pPr>
        <w:jc w:val="center"/>
        <w:rPr>
          <w:rFonts w:ascii="Arial" w:hAnsi="Arial" w:cs="Arial"/>
          <w:color w:val="EE0000"/>
          <w:sz w:val="28"/>
          <w:szCs w:val="28"/>
        </w:rPr>
      </w:pPr>
      <w:r w:rsidRPr="006250F4">
        <w:rPr>
          <w:rFonts w:ascii="Arial" w:hAnsi="Arial" w:cs="Arial"/>
          <w:sz w:val="28"/>
          <w:szCs w:val="28"/>
        </w:rPr>
        <w:t xml:space="preserve">Assessment </w:t>
      </w:r>
      <w:r w:rsidRPr="006250F4">
        <w:rPr>
          <w:rFonts w:ascii="Arial" w:hAnsi="Arial" w:cs="Arial"/>
          <w:color w:val="EE0000"/>
          <w:sz w:val="28"/>
          <w:szCs w:val="28"/>
        </w:rPr>
        <w:t>1: Individual report</w:t>
      </w:r>
    </w:p>
    <w:p w14:paraId="6128AF78" w14:textId="77777777" w:rsidR="00531537" w:rsidRPr="006250F4" w:rsidRDefault="00531537" w:rsidP="00531537">
      <w:pPr>
        <w:jc w:val="center"/>
        <w:rPr>
          <w:rFonts w:ascii="Arial" w:hAnsi="Arial" w:cs="Arial"/>
          <w:sz w:val="28"/>
          <w:szCs w:val="28"/>
        </w:rPr>
      </w:pPr>
    </w:p>
    <w:p w14:paraId="70E0886D" w14:textId="319B5D9F" w:rsidR="00531537" w:rsidRPr="006250F4" w:rsidRDefault="00531537" w:rsidP="00531537">
      <w:pPr>
        <w:rPr>
          <w:rFonts w:ascii="Arial" w:hAnsi="Arial" w:cs="Arial"/>
          <w:sz w:val="28"/>
          <w:szCs w:val="28"/>
        </w:rPr>
      </w:pPr>
      <w:r w:rsidRPr="006250F4">
        <w:rPr>
          <w:rFonts w:ascii="Arial" w:hAnsi="Arial" w:cs="Arial"/>
          <w:b/>
          <w:bCs/>
          <w:sz w:val="28"/>
          <w:szCs w:val="28"/>
        </w:rPr>
        <w:t xml:space="preserve">Module name: </w:t>
      </w:r>
      <w:r w:rsidR="006E279E" w:rsidRPr="006250F4">
        <w:rPr>
          <w:rFonts w:ascii="Arial" w:hAnsi="Arial" w:cs="Arial"/>
          <w:sz w:val="28"/>
          <w:szCs w:val="28"/>
        </w:rPr>
        <w:t>Financial Management</w:t>
      </w:r>
    </w:p>
    <w:p w14:paraId="70DEA4C5" w14:textId="0333B9B6" w:rsidR="00531537" w:rsidRPr="006250F4" w:rsidRDefault="00531537" w:rsidP="00531537">
      <w:pPr>
        <w:rPr>
          <w:rFonts w:ascii="Arial" w:hAnsi="Arial" w:cs="Arial"/>
          <w:sz w:val="28"/>
          <w:szCs w:val="28"/>
        </w:rPr>
      </w:pPr>
      <w:r w:rsidRPr="006250F4">
        <w:rPr>
          <w:rFonts w:ascii="Arial" w:hAnsi="Arial" w:cs="Arial"/>
          <w:b/>
          <w:bCs/>
          <w:sz w:val="28"/>
          <w:szCs w:val="28"/>
        </w:rPr>
        <w:t>Module code</w:t>
      </w:r>
      <w:r w:rsidRPr="006250F4">
        <w:rPr>
          <w:rFonts w:ascii="Arial" w:hAnsi="Arial" w:cs="Arial"/>
          <w:sz w:val="28"/>
          <w:szCs w:val="28"/>
        </w:rPr>
        <w:t xml:space="preserve">: </w:t>
      </w:r>
      <w:r w:rsidR="00004613" w:rsidRPr="006250F4">
        <w:rPr>
          <w:rFonts w:ascii="Arial" w:hAnsi="Arial" w:cs="Arial"/>
          <w:sz w:val="28"/>
          <w:szCs w:val="28"/>
        </w:rPr>
        <w:t>LCMB7002</w:t>
      </w:r>
    </w:p>
    <w:p w14:paraId="28641E6B" w14:textId="0A2E5228" w:rsidR="00531537" w:rsidRPr="006250F4" w:rsidRDefault="00531537" w:rsidP="00531537">
      <w:pPr>
        <w:rPr>
          <w:rFonts w:ascii="Arial" w:hAnsi="Arial" w:cs="Arial"/>
          <w:sz w:val="28"/>
          <w:szCs w:val="28"/>
        </w:rPr>
      </w:pPr>
      <w:r w:rsidRPr="006250F4">
        <w:rPr>
          <w:rFonts w:ascii="Arial" w:hAnsi="Arial" w:cs="Arial"/>
          <w:b/>
          <w:bCs/>
          <w:sz w:val="28"/>
          <w:szCs w:val="28"/>
        </w:rPr>
        <w:t>Lecturer name</w:t>
      </w:r>
      <w:r w:rsidR="00004613" w:rsidRPr="006250F4">
        <w:rPr>
          <w:rFonts w:ascii="Arial" w:hAnsi="Arial" w:cs="Arial"/>
          <w:b/>
          <w:bCs/>
          <w:sz w:val="28"/>
          <w:szCs w:val="28"/>
        </w:rPr>
        <w:t>:</w:t>
      </w:r>
      <w:r w:rsidR="00004613" w:rsidRPr="006250F4">
        <w:rPr>
          <w:rFonts w:ascii="Arial" w:hAnsi="Arial" w:cs="Arial"/>
          <w:b/>
          <w:bCs/>
          <w:color w:val="1D2125"/>
          <w:sz w:val="23"/>
          <w:szCs w:val="23"/>
          <w:shd w:val="clear" w:color="auto" w:fill="FFFFFF"/>
        </w:rPr>
        <w:t xml:space="preserve"> </w:t>
      </w:r>
      <w:r w:rsidR="00004613" w:rsidRPr="006250F4">
        <w:rPr>
          <w:rFonts w:ascii="Arial" w:hAnsi="Arial" w:cs="Arial"/>
          <w:sz w:val="28"/>
          <w:szCs w:val="28"/>
        </w:rPr>
        <w:t>Dr Shengfeng Mei</w:t>
      </w:r>
    </w:p>
    <w:p w14:paraId="23EFA44C" w14:textId="77777777" w:rsidR="00531537" w:rsidRPr="006250F4" w:rsidRDefault="00531537" w:rsidP="00531537">
      <w:pPr>
        <w:rPr>
          <w:rFonts w:ascii="Arial" w:hAnsi="Arial" w:cs="Arial"/>
          <w:sz w:val="28"/>
          <w:szCs w:val="28"/>
        </w:rPr>
      </w:pPr>
    </w:p>
    <w:p w14:paraId="3B7EBEA4" w14:textId="77777777" w:rsidR="00531537" w:rsidRPr="006250F4" w:rsidRDefault="00531537" w:rsidP="00531537">
      <w:pPr>
        <w:rPr>
          <w:rFonts w:ascii="Arial" w:hAnsi="Arial" w:cs="Arial"/>
          <w:sz w:val="28"/>
          <w:szCs w:val="28"/>
        </w:rPr>
      </w:pPr>
      <w:r w:rsidRPr="006250F4">
        <w:rPr>
          <w:rFonts w:ascii="Arial" w:hAnsi="Arial" w:cs="Arial"/>
          <w:b/>
          <w:bCs/>
          <w:sz w:val="28"/>
          <w:szCs w:val="28"/>
        </w:rPr>
        <w:t>Student name</w:t>
      </w:r>
      <w:r w:rsidRPr="006250F4">
        <w:rPr>
          <w:rFonts w:ascii="Arial" w:hAnsi="Arial" w:cs="Arial"/>
          <w:sz w:val="28"/>
          <w:szCs w:val="28"/>
        </w:rPr>
        <w:t>: Chahil Maheshbhai Italiya</w:t>
      </w:r>
    </w:p>
    <w:p w14:paraId="08647AEA" w14:textId="77777777" w:rsidR="00531537" w:rsidRPr="006250F4" w:rsidRDefault="00531537" w:rsidP="00531537">
      <w:pPr>
        <w:rPr>
          <w:rFonts w:ascii="Arial" w:hAnsi="Arial" w:cs="Arial"/>
          <w:sz w:val="28"/>
          <w:szCs w:val="28"/>
        </w:rPr>
      </w:pPr>
      <w:r w:rsidRPr="006250F4">
        <w:rPr>
          <w:rFonts w:ascii="Arial" w:hAnsi="Arial" w:cs="Arial"/>
          <w:b/>
          <w:bCs/>
          <w:sz w:val="28"/>
          <w:szCs w:val="28"/>
        </w:rPr>
        <w:t>Student ID</w:t>
      </w:r>
      <w:r w:rsidRPr="006250F4">
        <w:rPr>
          <w:rFonts w:ascii="Arial" w:hAnsi="Arial" w:cs="Arial"/>
          <w:sz w:val="28"/>
          <w:szCs w:val="28"/>
        </w:rPr>
        <w:t>: 2535771</w:t>
      </w:r>
    </w:p>
    <w:p w14:paraId="11CC149D" w14:textId="77777777" w:rsidR="00531537" w:rsidRPr="006250F4" w:rsidRDefault="00531537" w:rsidP="00531537">
      <w:pPr>
        <w:rPr>
          <w:rFonts w:ascii="Arial" w:hAnsi="Arial" w:cs="Arial"/>
          <w:sz w:val="28"/>
          <w:szCs w:val="28"/>
        </w:rPr>
      </w:pPr>
    </w:p>
    <w:p w14:paraId="5D3F87F3" w14:textId="2ACEDB1D" w:rsidR="00531537" w:rsidRPr="006250F4" w:rsidRDefault="00531537" w:rsidP="00531537">
      <w:pPr>
        <w:rPr>
          <w:rFonts w:ascii="Arial" w:hAnsi="Arial" w:cs="Arial"/>
          <w:b/>
          <w:bCs/>
          <w:sz w:val="36"/>
          <w:szCs w:val="36"/>
        </w:rPr>
      </w:pPr>
      <w:r w:rsidRPr="006250F4">
        <w:rPr>
          <w:rFonts w:ascii="Arial" w:hAnsi="Arial" w:cs="Arial"/>
          <w:b/>
          <w:bCs/>
          <w:sz w:val="28"/>
          <w:szCs w:val="28"/>
        </w:rPr>
        <w:t>Word count</w:t>
      </w:r>
      <w:r w:rsidRPr="006250F4">
        <w:rPr>
          <w:rFonts w:ascii="Arial" w:hAnsi="Arial" w:cs="Arial"/>
          <w:sz w:val="28"/>
          <w:szCs w:val="28"/>
        </w:rPr>
        <w:t xml:space="preserve">: </w:t>
      </w:r>
      <w:r w:rsidRPr="006250F4">
        <w:rPr>
          <w:rFonts w:ascii="Arial" w:hAnsi="Arial" w:cs="Arial"/>
          <w:sz w:val="24"/>
          <w:szCs w:val="24"/>
        </w:rPr>
        <w:t>Approx.</w:t>
      </w:r>
      <w:r w:rsidR="00C21819" w:rsidRPr="006250F4">
        <w:rPr>
          <w:rFonts w:ascii="Arial" w:hAnsi="Arial" w:cs="Arial"/>
          <w:sz w:val="24"/>
          <w:szCs w:val="24"/>
        </w:rPr>
        <w:t>5</w:t>
      </w:r>
      <w:r w:rsidR="00FB612E">
        <w:rPr>
          <w:rFonts w:ascii="Arial" w:hAnsi="Arial" w:cs="Arial"/>
          <w:sz w:val="24"/>
          <w:szCs w:val="24"/>
        </w:rPr>
        <w:t>604</w:t>
      </w:r>
    </w:p>
    <w:p w14:paraId="694F68F7" w14:textId="18E430A8" w:rsidR="00531537" w:rsidRPr="006250F4" w:rsidRDefault="00531537" w:rsidP="00531537">
      <w:pPr>
        <w:rPr>
          <w:rFonts w:ascii="Arial" w:hAnsi="Arial" w:cs="Arial"/>
          <w:sz w:val="28"/>
          <w:szCs w:val="28"/>
        </w:rPr>
      </w:pPr>
      <w:r w:rsidRPr="006250F4">
        <w:rPr>
          <w:rFonts w:ascii="Arial" w:hAnsi="Arial" w:cs="Arial"/>
          <w:b/>
          <w:bCs/>
          <w:sz w:val="28"/>
          <w:szCs w:val="28"/>
        </w:rPr>
        <w:t>Submission date</w:t>
      </w:r>
      <w:r w:rsidRPr="006250F4">
        <w:rPr>
          <w:rFonts w:ascii="Arial" w:hAnsi="Arial" w:cs="Arial"/>
          <w:sz w:val="28"/>
          <w:szCs w:val="28"/>
        </w:rPr>
        <w:t xml:space="preserve">: </w:t>
      </w:r>
      <w:r w:rsidR="009B329C" w:rsidRPr="006250F4">
        <w:rPr>
          <w:rFonts w:ascii="Arial" w:hAnsi="Arial" w:cs="Arial"/>
          <w:sz w:val="28"/>
          <w:szCs w:val="28"/>
        </w:rPr>
        <w:t>1</w:t>
      </w:r>
      <w:r w:rsidR="000C4706">
        <w:rPr>
          <w:rFonts w:ascii="Arial" w:hAnsi="Arial" w:cs="Arial"/>
          <w:sz w:val="28"/>
          <w:szCs w:val="28"/>
        </w:rPr>
        <w:t>3</w:t>
      </w:r>
      <w:r w:rsidRPr="006250F4">
        <w:rPr>
          <w:rFonts w:ascii="Arial" w:hAnsi="Arial" w:cs="Arial"/>
          <w:sz w:val="28"/>
          <w:szCs w:val="28"/>
          <w:vertAlign w:val="superscript"/>
        </w:rPr>
        <w:t>th</w:t>
      </w:r>
      <w:r w:rsidRPr="006250F4">
        <w:rPr>
          <w:rFonts w:ascii="Arial" w:hAnsi="Arial" w:cs="Arial"/>
          <w:sz w:val="28"/>
          <w:szCs w:val="28"/>
        </w:rPr>
        <w:t xml:space="preserve"> </w:t>
      </w:r>
      <w:r w:rsidR="009B329C" w:rsidRPr="006250F4">
        <w:rPr>
          <w:rFonts w:ascii="Arial" w:hAnsi="Arial" w:cs="Arial"/>
          <w:sz w:val="28"/>
          <w:szCs w:val="28"/>
        </w:rPr>
        <w:t>Aug</w:t>
      </w:r>
      <w:r w:rsidRPr="006250F4">
        <w:rPr>
          <w:rFonts w:ascii="Arial" w:hAnsi="Arial" w:cs="Arial"/>
          <w:sz w:val="28"/>
          <w:szCs w:val="28"/>
        </w:rPr>
        <w:t xml:space="preserve"> 2026</w:t>
      </w:r>
    </w:p>
    <w:p w14:paraId="28D576CB" w14:textId="77777777" w:rsidR="00DB71FB" w:rsidRPr="006250F4" w:rsidRDefault="00DB71FB">
      <w:pPr>
        <w:rPr>
          <w:rFonts w:ascii="Arial" w:hAnsi="Arial" w:cs="Arial"/>
          <w:lang w:val="en-US"/>
        </w:rPr>
      </w:pPr>
    </w:p>
    <w:sdt>
      <w:sdtPr>
        <w:rPr>
          <w:rFonts w:ascii="Arial" w:eastAsiaTheme="minorHAnsi" w:hAnsi="Arial" w:cs="Arial"/>
          <w:color w:val="auto"/>
          <w:kern w:val="2"/>
          <w:sz w:val="22"/>
          <w:szCs w:val="22"/>
          <w:lang w:val="en-IN"/>
          <w14:ligatures w14:val="standardContextual"/>
        </w:rPr>
        <w:id w:val="-425962258"/>
        <w:docPartObj>
          <w:docPartGallery w:val="Table of Contents"/>
          <w:docPartUnique/>
        </w:docPartObj>
      </w:sdtPr>
      <w:sdtEndPr>
        <w:rPr>
          <w:b/>
          <w:bCs/>
          <w:noProof/>
        </w:rPr>
      </w:sdtEndPr>
      <w:sdtContent>
        <w:p w14:paraId="1F281E48" w14:textId="755DC8DC" w:rsidR="00DB71FB" w:rsidRPr="006250F4" w:rsidRDefault="00DB71FB">
          <w:pPr>
            <w:pStyle w:val="TOCHeading"/>
            <w:rPr>
              <w:rFonts w:ascii="Arial" w:hAnsi="Arial" w:cs="Arial"/>
            </w:rPr>
          </w:pPr>
          <w:r w:rsidRPr="006250F4">
            <w:rPr>
              <w:rFonts w:ascii="Arial" w:hAnsi="Arial" w:cs="Arial"/>
            </w:rPr>
            <w:t>Table of Contents</w:t>
          </w:r>
        </w:p>
        <w:p w14:paraId="638B9A76" w14:textId="6304AE17" w:rsidR="005A69AE" w:rsidRDefault="00DB71FB">
          <w:pPr>
            <w:pStyle w:val="TOC1"/>
            <w:tabs>
              <w:tab w:val="right" w:leader="dot" w:pos="9016"/>
            </w:tabs>
            <w:rPr>
              <w:rFonts w:eastAsiaTheme="minorEastAsia"/>
              <w:noProof/>
              <w:sz w:val="24"/>
              <w:szCs w:val="24"/>
              <w:lang w:eastAsia="en-IN" w:bidi="gu-IN"/>
            </w:rPr>
          </w:pPr>
          <w:r w:rsidRPr="006250F4">
            <w:rPr>
              <w:rFonts w:ascii="Arial" w:hAnsi="Arial" w:cs="Arial"/>
            </w:rPr>
            <w:fldChar w:fldCharType="begin"/>
          </w:r>
          <w:r w:rsidRPr="006250F4">
            <w:rPr>
              <w:rFonts w:ascii="Arial" w:hAnsi="Arial" w:cs="Arial"/>
            </w:rPr>
            <w:instrText xml:space="preserve"> TOC \o "1-3" \h \z \u </w:instrText>
          </w:r>
          <w:r w:rsidRPr="006250F4">
            <w:rPr>
              <w:rFonts w:ascii="Arial" w:hAnsi="Arial" w:cs="Arial"/>
            </w:rPr>
            <w:fldChar w:fldCharType="separate"/>
          </w:r>
          <w:hyperlink w:anchor="_Toc237493776" w:history="1">
            <w:r w:rsidR="005A69AE" w:rsidRPr="00FF47BE">
              <w:rPr>
                <w:rStyle w:val="Hyperlink"/>
                <w:rFonts w:ascii="Arial" w:hAnsi="Arial" w:cs="Arial"/>
                <w:noProof/>
              </w:rPr>
              <w:t>Introduction</w:t>
            </w:r>
            <w:r w:rsidR="005A69AE">
              <w:rPr>
                <w:noProof/>
                <w:webHidden/>
              </w:rPr>
              <w:tab/>
            </w:r>
            <w:r w:rsidR="005A69AE">
              <w:rPr>
                <w:noProof/>
                <w:webHidden/>
              </w:rPr>
              <w:fldChar w:fldCharType="begin"/>
            </w:r>
            <w:r w:rsidR="005A69AE">
              <w:rPr>
                <w:noProof/>
                <w:webHidden/>
              </w:rPr>
              <w:instrText xml:space="preserve"> PAGEREF _Toc237493776 \h </w:instrText>
            </w:r>
            <w:r w:rsidR="005A69AE">
              <w:rPr>
                <w:noProof/>
                <w:webHidden/>
              </w:rPr>
            </w:r>
            <w:r w:rsidR="005A69AE">
              <w:rPr>
                <w:noProof/>
                <w:webHidden/>
              </w:rPr>
              <w:fldChar w:fldCharType="separate"/>
            </w:r>
            <w:r w:rsidR="005A69AE">
              <w:rPr>
                <w:noProof/>
                <w:webHidden/>
              </w:rPr>
              <w:t>4</w:t>
            </w:r>
            <w:r w:rsidR="005A69AE">
              <w:rPr>
                <w:noProof/>
                <w:webHidden/>
              </w:rPr>
              <w:fldChar w:fldCharType="end"/>
            </w:r>
          </w:hyperlink>
        </w:p>
        <w:p w14:paraId="7DB18199" w14:textId="6275B24C" w:rsidR="005A69AE" w:rsidRDefault="005A69AE">
          <w:pPr>
            <w:pStyle w:val="TOC1"/>
            <w:tabs>
              <w:tab w:val="right" w:leader="dot" w:pos="9016"/>
            </w:tabs>
            <w:rPr>
              <w:rFonts w:eastAsiaTheme="minorEastAsia"/>
              <w:noProof/>
              <w:sz w:val="24"/>
              <w:szCs w:val="24"/>
              <w:lang w:eastAsia="en-IN" w:bidi="gu-IN"/>
            </w:rPr>
          </w:pPr>
          <w:hyperlink w:anchor="_Toc237493777" w:history="1">
            <w:r w:rsidRPr="00FF47BE">
              <w:rPr>
                <w:rStyle w:val="Hyperlink"/>
                <w:rFonts w:ascii="Arial" w:hAnsi="Arial" w:cs="Arial"/>
                <w:noProof/>
              </w:rPr>
              <w:t>1.Financial Health Check</w:t>
            </w:r>
            <w:r>
              <w:rPr>
                <w:noProof/>
                <w:webHidden/>
              </w:rPr>
              <w:tab/>
            </w:r>
            <w:r>
              <w:rPr>
                <w:noProof/>
                <w:webHidden/>
              </w:rPr>
              <w:fldChar w:fldCharType="begin"/>
            </w:r>
            <w:r>
              <w:rPr>
                <w:noProof/>
                <w:webHidden/>
              </w:rPr>
              <w:instrText xml:space="preserve"> PAGEREF _Toc237493777 \h </w:instrText>
            </w:r>
            <w:r>
              <w:rPr>
                <w:noProof/>
                <w:webHidden/>
              </w:rPr>
            </w:r>
            <w:r>
              <w:rPr>
                <w:noProof/>
                <w:webHidden/>
              </w:rPr>
              <w:fldChar w:fldCharType="separate"/>
            </w:r>
            <w:r>
              <w:rPr>
                <w:noProof/>
                <w:webHidden/>
              </w:rPr>
              <w:t>4</w:t>
            </w:r>
            <w:r>
              <w:rPr>
                <w:noProof/>
                <w:webHidden/>
              </w:rPr>
              <w:fldChar w:fldCharType="end"/>
            </w:r>
          </w:hyperlink>
        </w:p>
        <w:p w14:paraId="1DC5B788" w14:textId="0F50DB7C" w:rsidR="005A69AE" w:rsidRDefault="005A69AE">
          <w:pPr>
            <w:pStyle w:val="TOC2"/>
            <w:tabs>
              <w:tab w:val="right" w:leader="dot" w:pos="9016"/>
            </w:tabs>
            <w:rPr>
              <w:rFonts w:eastAsiaTheme="minorEastAsia"/>
              <w:noProof/>
              <w:sz w:val="24"/>
              <w:szCs w:val="24"/>
              <w:lang w:eastAsia="en-IN" w:bidi="gu-IN"/>
            </w:rPr>
          </w:pPr>
          <w:hyperlink w:anchor="_Toc237493778" w:history="1">
            <w:r w:rsidRPr="00FF47BE">
              <w:rPr>
                <w:rStyle w:val="Hyperlink"/>
                <w:rFonts w:ascii="Arial" w:hAnsi="Arial" w:cs="Arial"/>
                <w:noProof/>
              </w:rPr>
              <w:t>a. Five-year financial statement analysis</w:t>
            </w:r>
            <w:r>
              <w:rPr>
                <w:noProof/>
                <w:webHidden/>
              </w:rPr>
              <w:tab/>
            </w:r>
            <w:r>
              <w:rPr>
                <w:noProof/>
                <w:webHidden/>
              </w:rPr>
              <w:fldChar w:fldCharType="begin"/>
            </w:r>
            <w:r>
              <w:rPr>
                <w:noProof/>
                <w:webHidden/>
              </w:rPr>
              <w:instrText xml:space="preserve"> PAGEREF _Toc237493778 \h </w:instrText>
            </w:r>
            <w:r>
              <w:rPr>
                <w:noProof/>
                <w:webHidden/>
              </w:rPr>
            </w:r>
            <w:r>
              <w:rPr>
                <w:noProof/>
                <w:webHidden/>
              </w:rPr>
              <w:fldChar w:fldCharType="separate"/>
            </w:r>
            <w:r>
              <w:rPr>
                <w:noProof/>
                <w:webHidden/>
              </w:rPr>
              <w:t>4</w:t>
            </w:r>
            <w:r>
              <w:rPr>
                <w:noProof/>
                <w:webHidden/>
              </w:rPr>
              <w:fldChar w:fldCharType="end"/>
            </w:r>
          </w:hyperlink>
        </w:p>
        <w:p w14:paraId="451E9414" w14:textId="36EBC644" w:rsidR="005A69AE" w:rsidRDefault="005A69AE">
          <w:pPr>
            <w:pStyle w:val="TOC2"/>
            <w:tabs>
              <w:tab w:val="right" w:leader="dot" w:pos="9016"/>
            </w:tabs>
            <w:rPr>
              <w:rFonts w:eastAsiaTheme="minorEastAsia"/>
              <w:noProof/>
              <w:sz w:val="24"/>
              <w:szCs w:val="24"/>
              <w:lang w:eastAsia="en-IN" w:bidi="gu-IN"/>
            </w:rPr>
          </w:pPr>
          <w:hyperlink w:anchor="_Toc237493779" w:history="1">
            <w:r w:rsidRPr="00FF47BE">
              <w:rPr>
                <w:rStyle w:val="Hyperlink"/>
                <w:rFonts w:ascii="Arial" w:hAnsi="Arial" w:cs="Arial"/>
                <w:noProof/>
              </w:rPr>
              <w:t>b. Ratio analysis across the six categories</w:t>
            </w:r>
            <w:r>
              <w:rPr>
                <w:noProof/>
                <w:webHidden/>
              </w:rPr>
              <w:tab/>
            </w:r>
            <w:r>
              <w:rPr>
                <w:noProof/>
                <w:webHidden/>
              </w:rPr>
              <w:fldChar w:fldCharType="begin"/>
            </w:r>
            <w:r>
              <w:rPr>
                <w:noProof/>
                <w:webHidden/>
              </w:rPr>
              <w:instrText xml:space="preserve"> PAGEREF _Toc237493779 \h </w:instrText>
            </w:r>
            <w:r>
              <w:rPr>
                <w:noProof/>
                <w:webHidden/>
              </w:rPr>
            </w:r>
            <w:r>
              <w:rPr>
                <w:noProof/>
                <w:webHidden/>
              </w:rPr>
              <w:fldChar w:fldCharType="separate"/>
            </w:r>
            <w:r>
              <w:rPr>
                <w:noProof/>
                <w:webHidden/>
              </w:rPr>
              <w:t>6</w:t>
            </w:r>
            <w:r>
              <w:rPr>
                <w:noProof/>
                <w:webHidden/>
              </w:rPr>
              <w:fldChar w:fldCharType="end"/>
            </w:r>
          </w:hyperlink>
        </w:p>
        <w:p w14:paraId="41239B88" w14:textId="48B03983" w:rsidR="005A69AE" w:rsidRDefault="005A69AE">
          <w:pPr>
            <w:pStyle w:val="TOC2"/>
            <w:tabs>
              <w:tab w:val="right" w:leader="dot" w:pos="9016"/>
            </w:tabs>
            <w:rPr>
              <w:rFonts w:eastAsiaTheme="minorEastAsia"/>
              <w:noProof/>
              <w:sz w:val="24"/>
              <w:szCs w:val="24"/>
              <w:lang w:eastAsia="en-IN" w:bidi="gu-IN"/>
            </w:rPr>
          </w:pPr>
          <w:hyperlink w:anchor="_Toc237493780" w:history="1">
            <w:r w:rsidRPr="00FF47BE">
              <w:rPr>
                <w:rStyle w:val="Hyperlink"/>
                <w:rFonts w:ascii="Arial" w:hAnsi="Arial" w:cs="Arial"/>
                <w:noProof/>
              </w:rPr>
              <w:t>c. Trends, strengths and threats</w:t>
            </w:r>
            <w:r>
              <w:rPr>
                <w:noProof/>
                <w:webHidden/>
              </w:rPr>
              <w:tab/>
            </w:r>
            <w:r>
              <w:rPr>
                <w:noProof/>
                <w:webHidden/>
              </w:rPr>
              <w:fldChar w:fldCharType="begin"/>
            </w:r>
            <w:r>
              <w:rPr>
                <w:noProof/>
                <w:webHidden/>
              </w:rPr>
              <w:instrText xml:space="preserve"> PAGEREF _Toc237493780 \h </w:instrText>
            </w:r>
            <w:r>
              <w:rPr>
                <w:noProof/>
                <w:webHidden/>
              </w:rPr>
            </w:r>
            <w:r>
              <w:rPr>
                <w:noProof/>
                <w:webHidden/>
              </w:rPr>
              <w:fldChar w:fldCharType="separate"/>
            </w:r>
            <w:r>
              <w:rPr>
                <w:noProof/>
                <w:webHidden/>
              </w:rPr>
              <w:t>8</w:t>
            </w:r>
            <w:r>
              <w:rPr>
                <w:noProof/>
                <w:webHidden/>
              </w:rPr>
              <w:fldChar w:fldCharType="end"/>
            </w:r>
          </w:hyperlink>
        </w:p>
        <w:p w14:paraId="0E128933" w14:textId="7C4FF59C" w:rsidR="005A69AE" w:rsidRDefault="005A69AE">
          <w:pPr>
            <w:pStyle w:val="TOC2"/>
            <w:tabs>
              <w:tab w:val="right" w:leader="dot" w:pos="9016"/>
            </w:tabs>
            <w:rPr>
              <w:rFonts w:eastAsiaTheme="minorEastAsia"/>
              <w:noProof/>
              <w:sz w:val="24"/>
              <w:szCs w:val="24"/>
              <w:lang w:eastAsia="en-IN" w:bidi="gu-IN"/>
            </w:rPr>
          </w:pPr>
          <w:hyperlink w:anchor="_Toc237493781" w:history="1">
            <w:r w:rsidRPr="00FF47BE">
              <w:rPr>
                <w:rStyle w:val="Hyperlink"/>
                <w:rFonts w:ascii="Arial" w:hAnsi="Arial" w:cs="Arial"/>
                <w:noProof/>
              </w:rPr>
              <w:t>d. Liquidity versus industry benchmarks</w:t>
            </w:r>
            <w:r>
              <w:rPr>
                <w:noProof/>
                <w:webHidden/>
              </w:rPr>
              <w:tab/>
            </w:r>
            <w:r>
              <w:rPr>
                <w:noProof/>
                <w:webHidden/>
              </w:rPr>
              <w:fldChar w:fldCharType="begin"/>
            </w:r>
            <w:r>
              <w:rPr>
                <w:noProof/>
                <w:webHidden/>
              </w:rPr>
              <w:instrText xml:space="preserve"> PAGEREF _Toc237493781 \h </w:instrText>
            </w:r>
            <w:r>
              <w:rPr>
                <w:noProof/>
                <w:webHidden/>
              </w:rPr>
            </w:r>
            <w:r>
              <w:rPr>
                <w:noProof/>
                <w:webHidden/>
              </w:rPr>
              <w:fldChar w:fldCharType="separate"/>
            </w:r>
            <w:r>
              <w:rPr>
                <w:noProof/>
                <w:webHidden/>
              </w:rPr>
              <w:t>9</w:t>
            </w:r>
            <w:r>
              <w:rPr>
                <w:noProof/>
                <w:webHidden/>
              </w:rPr>
              <w:fldChar w:fldCharType="end"/>
            </w:r>
          </w:hyperlink>
        </w:p>
        <w:p w14:paraId="7826265E" w14:textId="4D308A65" w:rsidR="005A69AE" w:rsidRDefault="005A69AE">
          <w:pPr>
            <w:pStyle w:val="TOC1"/>
            <w:tabs>
              <w:tab w:val="right" w:leader="dot" w:pos="9016"/>
            </w:tabs>
            <w:rPr>
              <w:rFonts w:eastAsiaTheme="minorEastAsia"/>
              <w:noProof/>
              <w:sz w:val="24"/>
              <w:szCs w:val="24"/>
              <w:lang w:eastAsia="en-IN" w:bidi="gu-IN"/>
            </w:rPr>
          </w:pPr>
          <w:hyperlink w:anchor="_Toc237493782" w:history="1">
            <w:r w:rsidRPr="00FF47BE">
              <w:rPr>
                <w:rStyle w:val="Hyperlink"/>
                <w:rFonts w:ascii="Arial" w:hAnsi="Arial" w:cs="Arial"/>
                <w:noProof/>
              </w:rPr>
              <w:t>2. Working Capital Management Analysis</w:t>
            </w:r>
            <w:r>
              <w:rPr>
                <w:noProof/>
                <w:webHidden/>
              </w:rPr>
              <w:tab/>
            </w:r>
            <w:r>
              <w:rPr>
                <w:noProof/>
                <w:webHidden/>
              </w:rPr>
              <w:fldChar w:fldCharType="begin"/>
            </w:r>
            <w:r>
              <w:rPr>
                <w:noProof/>
                <w:webHidden/>
              </w:rPr>
              <w:instrText xml:space="preserve"> PAGEREF _Toc237493782 \h </w:instrText>
            </w:r>
            <w:r>
              <w:rPr>
                <w:noProof/>
                <w:webHidden/>
              </w:rPr>
            </w:r>
            <w:r>
              <w:rPr>
                <w:noProof/>
                <w:webHidden/>
              </w:rPr>
              <w:fldChar w:fldCharType="separate"/>
            </w:r>
            <w:r>
              <w:rPr>
                <w:noProof/>
                <w:webHidden/>
              </w:rPr>
              <w:t>10</w:t>
            </w:r>
            <w:r>
              <w:rPr>
                <w:noProof/>
                <w:webHidden/>
              </w:rPr>
              <w:fldChar w:fldCharType="end"/>
            </w:r>
          </w:hyperlink>
        </w:p>
        <w:p w14:paraId="6A9AD0DE" w14:textId="036730EF" w:rsidR="005A69AE" w:rsidRDefault="005A69AE">
          <w:pPr>
            <w:pStyle w:val="TOC2"/>
            <w:tabs>
              <w:tab w:val="right" w:leader="dot" w:pos="9016"/>
            </w:tabs>
            <w:rPr>
              <w:rFonts w:eastAsiaTheme="minorEastAsia"/>
              <w:noProof/>
              <w:sz w:val="24"/>
              <w:szCs w:val="24"/>
              <w:lang w:eastAsia="en-IN" w:bidi="gu-IN"/>
            </w:rPr>
          </w:pPr>
          <w:hyperlink w:anchor="_Toc237493783" w:history="1">
            <w:r w:rsidRPr="00FF47BE">
              <w:rPr>
                <w:rStyle w:val="Hyperlink"/>
                <w:rFonts w:ascii="Arial" w:hAnsi="Arial" w:cs="Arial"/>
                <w:noProof/>
              </w:rPr>
              <w:t>a. The cash operating cycle</w:t>
            </w:r>
            <w:r>
              <w:rPr>
                <w:noProof/>
                <w:webHidden/>
              </w:rPr>
              <w:tab/>
            </w:r>
            <w:r>
              <w:rPr>
                <w:noProof/>
                <w:webHidden/>
              </w:rPr>
              <w:fldChar w:fldCharType="begin"/>
            </w:r>
            <w:r>
              <w:rPr>
                <w:noProof/>
                <w:webHidden/>
              </w:rPr>
              <w:instrText xml:space="preserve"> PAGEREF _Toc237493783 \h </w:instrText>
            </w:r>
            <w:r>
              <w:rPr>
                <w:noProof/>
                <w:webHidden/>
              </w:rPr>
            </w:r>
            <w:r>
              <w:rPr>
                <w:noProof/>
                <w:webHidden/>
              </w:rPr>
              <w:fldChar w:fldCharType="separate"/>
            </w:r>
            <w:r>
              <w:rPr>
                <w:noProof/>
                <w:webHidden/>
              </w:rPr>
              <w:t>10</w:t>
            </w:r>
            <w:r>
              <w:rPr>
                <w:noProof/>
                <w:webHidden/>
              </w:rPr>
              <w:fldChar w:fldCharType="end"/>
            </w:r>
          </w:hyperlink>
        </w:p>
        <w:p w14:paraId="504BC411" w14:textId="5B09D108" w:rsidR="005A69AE" w:rsidRDefault="005A69AE">
          <w:pPr>
            <w:pStyle w:val="TOC2"/>
            <w:tabs>
              <w:tab w:val="right" w:leader="dot" w:pos="9016"/>
            </w:tabs>
            <w:rPr>
              <w:rFonts w:eastAsiaTheme="minorEastAsia"/>
              <w:noProof/>
              <w:sz w:val="24"/>
              <w:szCs w:val="24"/>
              <w:lang w:eastAsia="en-IN" w:bidi="gu-IN"/>
            </w:rPr>
          </w:pPr>
          <w:hyperlink w:anchor="_Toc237493784" w:history="1">
            <w:r w:rsidRPr="00FF47BE">
              <w:rPr>
                <w:rStyle w:val="Hyperlink"/>
                <w:rFonts w:ascii="Arial" w:hAnsi="Arial" w:cs="Arial"/>
                <w:noProof/>
              </w:rPr>
              <w:t>b. Recommendations to improve liquidity through working capital reform</w:t>
            </w:r>
            <w:r>
              <w:rPr>
                <w:noProof/>
                <w:webHidden/>
              </w:rPr>
              <w:tab/>
            </w:r>
            <w:r>
              <w:rPr>
                <w:noProof/>
                <w:webHidden/>
              </w:rPr>
              <w:fldChar w:fldCharType="begin"/>
            </w:r>
            <w:r>
              <w:rPr>
                <w:noProof/>
                <w:webHidden/>
              </w:rPr>
              <w:instrText xml:space="preserve"> PAGEREF _Toc237493784 \h </w:instrText>
            </w:r>
            <w:r>
              <w:rPr>
                <w:noProof/>
                <w:webHidden/>
              </w:rPr>
            </w:r>
            <w:r>
              <w:rPr>
                <w:noProof/>
                <w:webHidden/>
              </w:rPr>
              <w:fldChar w:fldCharType="separate"/>
            </w:r>
            <w:r>
              <w:rPr>
                <w:noProof/>
                <w:webHidden/>
              </w:rPr>
              <w:t>11</w:t>
            </w:r>
            <w:r>
              <w:rPr>
                <w:noProof/>
                <w:webHidden/>
              </w:rPr>
              <w:fldChar w:fldCharType="end"/>
            </w:r>
          </w:hyperlink>
        </w:p>
        <w:p w14:paraId="05AD9DD7" w14:textId="2D309005" w:rsidR="005A69AE" w:rsidRDefault="005A69AE">
          <w:pPr>
            <w:pStyle w:val="TOC2"/>
            <w:tabs>
              <w:tab w:val="right" w:leader="dot" w:pos="9016"/>
            </w:tabs>
            <w:rPr>
              <w:rFonts w:eastAsiaTheme="minorEastAsia"/>
              <w:noProof/>
              <w:sz w:val="24"/>
              <w:szCs w:val="24"/>
              <w:lang w:eastAsia="en-IN" w:bidi="gu-IN"/>
            </w:rPr>
          </w:pPr>
          <w:hyperlink w:anchor="_Toc237493785" w:history="1">
            <w:r w:rsidRPr="00FF47BE">
              <w:rPr>
                <w:rStyle w:val="Hyperlink"/>
                <w:rFonts w:ascii="Arial" w:hAnsi="Arial" w:cs="Arial"/>
                <w:noProof/>
              </w:rPr>
              <w:t>c. Short-term v/s long-term financing</w:t>
            </w:r>
            <w:r>
              <w:rPr>
                <w:noProof/>
                <w:webHidden/>
              </w:rPr>
              <w:tab/>
            </w:r>
            <w:r>
              <w:rPr>
                <w:noProof/>
                <w:webHidden/>
              </w:rPr>
              <w:fldChar w:fldCharType="begin"/>
            </w:r>
            <w:r>
              <w:rPr>
                <w:noProof/>
                <w:webHidden/>
              </w:rPr>
              <w:instrText xml:space="preserve"> PAGEREF _Toc237493785 \h </w:instrText>
            </w:r>
            <w:r>
              <w:rPr>
                <w:noProof/>
                <w:webHidden/>
              </w:rPr>
            </w:r>
            <w:r>
              <w:rPr>
                <w:noProof/>
                <w:webHidden/>
              </w:rPr>
              <w:fldChar w:fldCharType="separate"/>
            </w:r>
            <w:r>
              <w:rPr>
                <w:noProof/>
                <w:webHidden/>
              </w:rPr>
              <w:t>12</w:t>
            </w:r>
            <w:r>
              <w:rPr>
                <w:noProof/>
                <w:webHidden/>
              </w:rPr>
              <w:fldChar w:fldCharType="end"/>
            </w:r>
          </w:hyperlink>
        </w:p>
        <w:p w14:paraId="708CF687" w14:textId="34FC34B8" w:rsidR="005A69AE" w:rsidRDefault="005A69AE">
          <w:pPr>
            <w:pStyle w:val="TOC1"/>
            <w:tabs>
              <w:tab w:val="right" w:leader="dot" w:pos="9016"/>
            </w:tabs>
            <w:rPr>
              <w:rFonts w:eastAsiaTheme="minorEastAsia"/>
              <w:noProof/>
              <w:sz w:val="24"/>
              <w:szCs w:val="24"/>
              <w:lang w:eastAsia="en-IN" w:bidi="gu-IN"/>
            </w:rPr>
          </w:pPr>
          <w:hyperlink w:anchor="_Toc237493786" w:history="1">
            <w:r w:rsidRPr="00FF47BE">
              <w:rPr>
                <w:rStyle w:val="Hyperlink"/>
                <w:rFonts w:ascii="Arial" w:hAnsi="Arial" w:cs="Arial"/>
                <w:noProof/>
              </w:rPr>
              <w:t>3. Strategic Financial Restructuring Plan</w:t>
            </w:r>
            <w:r>
              <w:rPr>
                <w:noProof/>
                <w:webHidden/>
              </w:rPr>
              <w:tab/>
            </w:r>
            <w:r>
              <w:rPr>
                <w:noProof/>
                <w:webHidden/>
              </w:rPr>
              <w:fldChar w:fldCharType="begin"/>
            </w:r>
            <w:r>
              <w:rPr>
                <w:noProof/>
                <w:webHidden/>
              </w:rPr>
              <w:instrText xml:space="preserve"> PAGEREF _Toc237493786 \h </w:instrText>
            </w:r>
            <w:r>
              <w:rPr>
                <w:noProof/>
                <w:webHidden/>
              </w:rPr>
            </w:r>
            <w:r>
              <w:rPr>
                <w:noProof/>
                <w:webHidden/>
              </w:rPr>
              <w:fldChar w:fldCharType="separate"/>
            </w:r>
            <w:r>
              <w:rPr>
                <w:noProof/>
                <w:webHidden/>
              </w:rPr>
              <w:t>14</w:t>
            </w:r>
            <w:r>
              <w:rPr>
                <w:noProof/>
                <w:webHidden/>
              </w:rPr>
              <w:fldChar w:fldCharType="end"/>
            </w:r>
          </w:hyperlink>
        </w:p>
        <w:p w14:paraId="6ADA8670" w14:textId="0F8F4F09" w:rsidR="005A69AE" w:rsidRDefault="005A69AE">
          <w:pPr>
            <w:pStyle w:val="TOC2"/>
            <w:tabs>
              <w:tab w:val="right" w:leader="dot" w:pos="9016"/>
            </w:tabs>
            <w:rPr>
              <w:rFonts w:eastAsiaTheme="minorEastAsia"/>
              <w:noProof/>
              <w:sz w:val="24"/>
              <w:szCs w:val="24"/>
              <w:lang w:eastAsia="en-IN" w:bidi="gu-IN"/>
            </w:rPr>
          </w:pPr>
          <w:hyperlink w:anchor="_Toc237493787" w:history="1">
            <w:r w:rsidRPr="00FF47BE">
              <w:rPr>
                <w:rStyle w:val="Hyperlink"/>
                <w:rFonts w:ascii="Arial" w:hAnsi="Arial" w:cs="Arial"/>
                <w:noProof/>
              </w:rPr>
              <w:t>a. Restructuring options</w:t>
            </w:r>
            <w:r>
              <w:rPr>
                <w:noProof/>
                <w:webHidden/>
              </w:rPr>
              <w:tab/>
            </w:r>
            <w:r>
              <w:rPr>
                <w:noProof/>
                <w:webHidden/>
              </w:rPr>
              <w:fldChar w:fldCharType="begin"/>
            </w:r>
            <w:r>
              <w:rPr>
                <w:noProof/>
                <w:webHidden/>
              </w:rPr>
              <w:instrText xml:space="preserve"> PAGEREF _Toc237493787 \h </w:instrText>
            </w:r>
            <w:r>
              <w:rPr>
                <w:noProof/>
                <w:webHidden/>
              </w:rPr>
            </w:r>
            <w:r>
              <w:rPr>
                <w:noProof/>
                <w:webHidden/>
              </w:rPr>
              <w:fldChar w:fldCharType="separate"/>
            </w:r>
            <w:r>
              <w:rPr>
                <w:noProof/>
                <w:webHidden/>
              </w:rPr>
              <w:t>14</w:t>
            </w:r>
            <w:r>
              <w:rPr>
                <w:noProof/>
                <w:webHidden/>
              </w:rPr>
              <w:fldChar w:fldCharType="end"/>
            </w:r>
          </w:hyperlink>
        </w:p>
        <w:p w14:paraId="5C645805" w14:textId="7D5397FE" w:rsidR="005A69AE" w:rsidRDefault="005A69AE">
          <w:pPr>
            <w:pStyle w:val="TOC2"/>
            <w:tabs>
              <w:tab w:val="right" w:leader="dot" w:pos="9016"/>
            </w:tabs>
            <w:rPr>
              <w:rFonts w:eastAsiaTheme="minorEastAsia"/>
              <w:noProof/>
              <w:sz w:val="24"/>
              <w:szCs w:val="24"/>
              <w:lang w:eastAsia="en-IN" w:bidi="gu-IN"/>
            </w:rPr>
          </w:pPr>
          <w:hyperlink w:anchor="_Toc237493788" w:history="1">
            <w:r w:rsidRPr="00FF47BE">
              <w:rPr>
                <w:rStyle w:val="Hyperlink"/>
                <w:rFonts w:ascii="Arial" w:hAnsi="Arial" w:cs="Arial"/>
                <w:noProof/>
              </w:rPr>
              <w:t>b. Impact on shareholder value, debt structure and operational flexibility</w:t>
            </w:r>
            <w:r>
              <w:rPr>
                <w:noProof/>
                <w:webHidden/>
              </w:rPr>
              <w:tab/>
            </w:r>
            <w:r>
              <w:rPr>
                <w:noProof/>
                <w:webHidden/>
              </w:rPr>
              <w:fldChar w:fldCharType="begin"/>
            </w:r>
            <w:r>
              <w:rPr>
                <w:noProof/>
                <w:webHidden/>
              </w:rPr>
              <w:instrText xml:space="preserve"> PAGEREF _Toc237493788 \h </w:instrText>
            </w:r>
            <w:r>
              <w:rPr>
                <w:noProof/>
                <w:webHidden/>
              </w:rPr>
            </w:r>
            <w:r>
              <w:rPr>
                <w:noProof/>
                <w:webHidden/>
              </w:rPr>
              <w:fldChar w:fldCharType="separate"/>
            </w:r>
            <w:r>
              <w:rPr>
                <w:noProof/>
                <w:webHidden/>
              </w:rPr>
              <w:t>15</w:t>
            </w:r>
            <w:r>
              <w:rPr>
                <w:noProof/>
                <w:webHidden/>
              </w:rPr>
              <w:fldChar w:fldCharType="end"/>
            </w:r>
          </w:hyperlink>
        </w:p>
        <w:p w14:paraId="10918FDC" w14:textId="554E2E7B" w:rsidR="005A69AE" w:rsidRDefault="005A69AE">
          <w:pPr>
            <w:pStyle w:val="TOC2"/>
            <w:tabs>
              <w:tab w:val="right" w:leader="dot" w:pos="9016"/>
            </w:tabs>
            <w:rPr>
              <w:rFonts w:eastAsiaTheme="minorEastAsia"/>
              <w:noProof/>
              <w:sz w:val="24"/>
              <w:szCs w:val="24"/>
              <w:lang w:eastAsia="en-IN" w:bidi="gu-IN"/>
            </w:rPr>
          </w:pPr>
          <w:hyperlink w:anchor="_Toc237493789" w:history="1">
            <w:r w:rsidRPr="00FF47BE">
              <w:rPr>
                <w:rStyle w:val="Hyperlink"/>
                <w:rFonts w:ascii="Arial" w:hAnsi="Arial" w:cs="Arial"/>
                <w:noProof/>
              </w:rPr>
              <w:t>c. International and ethical considerations</w:t>
            </w:r>
            <w:r>
              <w:rPr>
                <w:noProof/>
                <w:webHidden/>
              </w:rPr>
              <w:tab/>
            </w:r>
            <w:r>
              <w:rPr>
                <w:noProof/>
                <w:webHidden/>
              </w:rPr>
              <w:fldChar w:fldCharType="begin"/>
            </w:r>
            <w:r>
              <w:rPr>
                <w:noProof/>
                <w:webHidden/>
              </w:rPr>
              <w:instrText xml:space="preserve"> PAGEREF _Toc237493789 \h </w:instrText>
            </w:r>
            <w:r>
              <w:rPr>
                <w:noProof/>
                <w:webHidden/>
              </w:rPr>
            </w:r>
            <w:r>
              <w:rPr>
                <w:noProof/>
                <w:webHidden/>
              </w:rPr>
              <w:fldChar w:fldCharType="separate"/>
            </w:r>
            <w:r>
              <w:rPr>
                <w:noProof/>
                <w:webHidden/>
              </w:rPr>
              <w:t>15</w:t>
            </w:r>
            <w:r>
              <w:rPr>
                <w:noProof/>
                <w:webHidden/>
              </w:rPr>
              <w:fldChar w:fldCharType="end"/>
            </w:r>
          </w:hyperlink>
        </w:p>
        <w:p w14:paraId="3B48AECF" w14:textId="1EF6474F" w:rsidR="005A69AE" w:rsidRDefault="005A69AE">
          <w:pPr>
            <w:pStyle w:val="TOC1"/>
            <w:tabs>
              <w:tab w:val="right" w:leader="dot" w:pos="9016"/>
            </w:tabs>
            <w:rPr>
              <w:rFonts w:eastAsiaTheme="minorEastAsia"/>
              <w:noProof/>
              <w:sz w:val="24"/>
              <w:szCs w:val="24"/>
              <w:lang w:eastAsia="en-IN" w:bidi="gu-IN"/>
            </w:rPr>
          </w:pPr>
          <w:hyperlink w:anchor="_Toc237493790" w:history="1">
            <w:r w:rsidRPr="00FF47BE">
              <w:rPr>
                <w:rStyle w:val="Hyperlink"/>
                <w:rFonts w:ascii="Arial" w:hAnsi="Arial" w:cs="Arial"/>
                <w:noProof/>
              </w:rPr>
              <w:t>4. Investment Appraisal and Capital Budgeting</w:t>
            </w:r>
            <w:r>
              <w:rPr>
                <w:noProof/>
                <w:webHidden/>
              </w:rPr>
              <w:tab/>
            </w:r>
            <w:r>
              <w:rPr>
                <w:noProof/>
                <w:webHidden/>
              </w:rPr>
              <w:fldChar w:fldCharType="begin"/>
            </w:r>
            <w:r>
              <w:rPr>
                <w:noProof/>
                <w:webHidden/>
              </w:rPr>
              <w:instrText xml:space="preserve"> PAGEREF _Toc237493790 \h </w:instrText>
            </w:r>
            <w:r>
              <w:rPr>
                <w:noProof/>
                <w:webHidden/>
              </w:rPr>
            </w:r>
            <w:r>
              <w:rPr>
                <w:noProof/>
                <w:webHidden/>
              </w:rPr>
              <w:fldChar w:fldCharType="separate"/>
            </w:r>
            <w:r>
              <w:rPr>
                <w:noProof/>
                <w:webHidden/>
              </w:rPr>
              <w:t>16</w:t>
            </w:r>
            <w:r>
              <w:rPr>
                <w:noProof/>
                <w:webHidden/>
              </w:rPr>
              <w:fldChar w:fldCharType="end"/>
            </w:r>
          </w:hyperlink>
        </w:p>
        <w:p w14:paraId="6E670467" w14:textId="36DA1C20" w:rsidR="005A69AE" w:rsidRDefault="005A69AE">
          <w:pPr>
            <w:pStyle w:val="TOC2"/>
            <w:tabs>
              <w:tab w:val="right" w:leader="dot" w:pos="9016"/>
            </w:tabs>
            <w:rPr>
              <w:rFonts w:eastAsiaTheme="minorEastAsia"/>
              <w:noProof/>
              <w:sz w:val="24"/>
              <w:szCs w:val="24"/>
              <w:lang w:eastAsia="en-IN" w:bidi="gu-IN"/>
            </w:rPr>
          </w:pPr>
          <w:hyperlink w:anchor="_Toc237493791" w:history="1">
            <w:r w:rsidRPr="00FF47BE">
              <w:rPr>
                <w:rStyle w:val="Hyperlink"/>
                <w:rFonts w:ascii="Arial" w:hAnsi="Arial" w:cs="Arial"/>
                <w:noProof/>
              </w:rPr>
              <w:t>A.Comprehensive Appraisal Metrics</w:t>
            </w:r>
            <w:r>
              <w:rPr>
                <w:noProof/>
                <w:webHidden/>
              </w:rPr>
              <w:tab/>
            </w:r>
            <w:r>
              <w:rPr>
                <w:noProof/>
                <w:webHidden/>
              </w:rPr>
              <w:fldChar w:fldCharType="begin"/>
            </w:r>
            <w:r>
              <w:rPr>
                <w:noProof/>
                <w:webHidden/>
              </w:rPr>
              <w:instrText xml:space="preserve"> PAGEREF _Toc237493791 \h </w:instrText>
            </w:r>
            <w:r>
              <w:rPr>
                <w:noProof/>
                <w:webHidden/>
              </w:rPr>
            </w:r>
            <w:r>
              <w:rPr>
                <w:noProof/>
                <w:webHidden/>
              </w:rPr>
              <w:fldChar w:fldCharType="separate"/>
            </w:r>
            <w:r>
              <w:rPr>
                <w:noProof/>
                <w:webHidden/>
              </w:rPr>
              <w:t>16</w:t>
            </w:r>
            <w:r>
              <w:rPr>
                <w:noProof/>
                <w:webHidden/>
              </w:rPr>
              <w:fldChar w:fldCharType="end"/>
            </w:r>
          </w:hyperlink>
        </w:p>
        <w:p w14:paraId="0120CF05" w14:textId="0B3F306A" w:rsidR="005A69AE" w:rsidRDefault="005A69AE">
          <w:pPr>
            <w:pStyle w:val="TOC2"/>
            <w:tabs>
              <w:tab w:val="right" w:leader="dot" w:pos="9016"/>
            </w:tabs>
            <w:rPr>
              <w:rFonts w:eastAsiaTheme="minorEastAsia"/>
              <w:noProof/>
              <w:sz w:val="24"/>
              <w:szCs w:val="24"/>
              <w:lang w:eastAsia="en-IN" w:bidi="gu-IN"/>
            </w:rPr>
          </w:pPr>
          <w:hyperlink w:anchor="_Toc237493792" w:history="1">
            <w:r w:rsidRPr="00FF47BE">
              <w:rPr>
                <w:rStyle w:val="Hyperlink"/>
                <w:rFonts w:ascii="Arial" w:hAnsi="Arial" w:cs="Arial"/>
                <w:noProof/>
              </w:rPr>
              <w:t>B. Project Evaluation and Financial Viability</w:t>
            </w:r>
            <w:r>
              <w:rPr>
                <w:noProof/>
                <w:webHidden/>
              </w:rPr>
              <w:tab/>
            </w:r>
            <w:r>
              <w:rPr>
                <w:noProof/>
                <w:webHidden/>
              </w:rPr>
              <w:fldChar w:fldCharType="begin"/>
            </w:r>
            <w:r>
              <w:rPr>
                <w:noProof/>
                <w:webHidden/>
              </w:rPr>
              <w:instrText xml:space="preserve"> PAGEREF _Toc237493792 \h </w:instrText>
            </w:r>
            <w:r>
              <w:rPr>
                <w:noProof/>
                <w:webHidden/>
              </w:rPr>
            </w:r>
            <w:r>
              <w:rPr>
                <w:noProof/>
                <w:webHidden/>
              </w:rPr>
              <w:fldChar w:fldCharType="separate"/>
            </w:r>
            <w:r>
              <w:rPr>
                <w:noProof/>
                <w:webHidden/>
              </w:rPr>
              <w:t>17</w:t>
            </w:r>
            <w:r>
              <w:rPr>
                <w:noProof/>
                <w:webHidden/>
              </w:rPr>
              <w:fldChar w:fldCharType="end"/>
            </w:r>
          </w:hyperlink>
        </w:p>
        <w:p w14:paraId="62B29FFF" w14:textId="7E40C065" w:rsidR="005A69AE" w:rsidRDefault="005A69AE">
          <w:pPr>
            <w:pStyle w:val="TOC2"/>
            <w:tabs>
              <w:tab w:val="right" w:leader="dot" w:pos="9016"/>
            </w:tabs>
            <w:rPr>
              <w:rFonts w:eastAsiaTheme="minorEastAsia"/>
              <w:noProof/>
              <w:sz w:val="24"/>
              <w:szCs w:val="24"/>
              <w:lang w:eastAsia="en-IN" w:bidi="gu-IN"/>
            </w:rPr>
          </w:pPr>
          <w:hyperlink w:anchor="_Toc237493793" w:history="1">
            <w:r w:rsidRPr="00FF47BE">
              <w:rPr>
                <w:rStyle w:val="Hyperlink"/>
                <w:rFonts w:ascii="Arial" w:hAnsi="Arial" w:cs="Arial"/>
                <w:noProof/>
              </w:rPr>
              <w:t>C. Strategic Recommendation and Justification</w:t>
            </w:r>
            <w:r>
              <w:rPr>
                <w:noProof/>
                <w:webHidden/>
              </w:rPr>
              <w:tab/>
            </w:r>
            <w:r>
              <w:rPr>
                <w:noProof/>
                <w:webHidden/>
              </w:rPr>
              <w:fldChar w:fldCharType="begin"/>
            </w:r>
            <w:r>
              <w:rPr>
                <w:noProof/>
                <w:webHidden/>
              </w:rPr>
              <w:instrText xml:space="preserve"> PAGEREF _Toc237493793 \h </w:instrText>
            </w:r>
            <w:r>
              <w:rPr>
                <w:noProof/>
                <w:webHidden/>
              </w:rPr>
            </w:r>
            <w:r>
              <w:rPr>
                <w:noProof/>
                <w:webHidden/>
              </w:rPr>
              <w:fldChar w:fldCharType="separate"/>
            </w:r>
            <w:r>
              <w:rPr>
                <w:noProof/>
                <w:webHidden/>
              </w:rPr>
              <w:t>18</w:t>
            </w:r>
            <w:r>
              <w:rPr>
                <w:noProof/>
                <w:webHidden/>
              </w:rPr>
              <w:fldChar w:fldCharType="end"/>
            </w:r>
          </w:hyperlink>
        </w:p>
        <w:p w14:paraId="79B0E7C7" w14:textId="50ED52CC" w:rsidR="005A69AE" w:rsidRDefault="005A69AE">
          <w:pPr>
            <w:pStyle w:val="TOC3"/>
            <w:tabs>
              <w:tab w:val="right" w:leader="dot" w:pos="9016"/>
            </w:tabs>
            <w:rPr>
              <w:rFonts w:eastAsiaTheme="minorEastAsia"/>
              <w:noProof/>
              <w:sz w:val="24"/>
              <w:szCs w:val="24"/>
              <w:lang w:eastAsia="en-IN" w:bidi="gu-IN"/>
            </w:rPr>
          </w:pPr>
          <w:hyperlink w:anchor="_Toc237493794" w:history="1">
            <w:r w:rsidRPr="00FF47BE">
              <w:rPr>
                <w:rStyle w:val="Hyperlink"/>
                <w:rFonts w:ascii="Arial" w:hAnsi="Arial" w:cs="Arial"/>
                <w:noProof/>
              </w:rPr>
              <w:t>Alignment with Return Targets comes after profitability</w:t>
            </w:r>
            <w:r>
              <w:rPr>
                <w:noProof/>
                <w:webHidden/>
              </w:rPr>
              <w:tab/>
            </w:r>
            <w:r>
              <w:rPr>
                <w:noProof/>
                <w:webHidden/>
              </w:rPr>
              <w:fldChar w:fldCharType="begin"/>
            </w:r>
            <w:r>
              <w:rPr>
                <w:noProof/>
                <w:webHidden/>
              </w:rPr>
              <w:instrText xml:space="preserve"> PAGEREF _Toc237493794 \h </w:instrText>
            </w:r>
            <w:r>
              <w:rPr>
                <w:noProof/>
                <w:webHidden/>
              </w:rPr>
            </w:r>
            <w:r>
              <w:rPr>
                <w:noProof/>
                <w:webHidden/>
              </w:rPr>
              <w:fldChar w:fldCharType="separate"/>
            </w:r>
            <w:r>
              <w:rPr>
                <w:noProof/>
                <w:webHidden/>
              </w:rPr>
              <w:t>18</w:t>
            </w:r>
            <w:r>
              <w:rPr>
                <w:noProof/>
                <w:webHidden/>
              </w:rPr>
              <w:fldChar w:fldCharType="end"/>
            </w:r>
          </w:hyperlink>
        </w:p>
        <w:p w14:paraId="12B8C969" w14:textId="58F225DF" w:rsidR="005A69AE" w:rsidRDefault="005A69AE">
          <w:pPr>
            <w:pStyle w:val="TOC3"/>
            <w:tabs>
              <w:tab w:val="right" w:leader="dot" w:pos="9016"/>
            </w:tabs>
            <w:rPr>
              <w:rFonts w:eastAsiaTheme="minorEastAsia"/>
              <w:noProof/>
              <w:sz w:val="24"/>
              <w:szCs w:val="24"/>
              <w:lang w:eastAsia="en-IN" w:bidi="gu-IN"/>
            </w:rPr>
          </w:pPr>
          <w:hyperlink w:anchor="_Toc237493795" w:history="1">
            <w:r w:rsidRPr="00FF47BE">
              <w:rPr>
                <w:rStyle w:val="Hyperlink"/>
                <w:rFonts w:ascii="Arial" w:hAnsi="Arial" w:cs="Arial"/>
                <w:noProof/>
              </w:rPr>
              <w:t>Cash flow of affairs and liquidity</w:t>
            </w:r>
            <w:r>
              <w:rPr>
                <w:noProof/>
                <w:webHidden/>
              </w:rPr>
              <w:tab/>
            </w:r>
            <w:r>
              <w:rPr>
                <w:noProof/>
                <w:webHidden/>
              </w:rPr>
              <w:fldChar w:fldCharType="begin"/>
            </w:r>
            <w:r>
              <w:rPr>
                <w:noProof/>
                <w:webHidden/>
              </w:rPr>
              <w:instrText xml:space="preserve"> PAGEREF _Toc237493795 \h </w:instrText>
            </w:r>
            <w:r>
              <w:rPr>
                <w:noProof/>
                <w:webHidden/>
              </w:rPr>
            </w:r>
            <w:r>
              <w:rPr>
                <w:noProof/>
                <w:webHidden/>
              </w:rPr>
              <w:fldChar w:fldCharType="separate"/>
            </w:r>
            <w:r>
              <w:rPr>
                <w:noProof/>
                <w:webHidden/>
              </w:rPr>
              <w:t>19</w:t>
            </w:r>
            <w:r>
              <w:rPr>
                <w:noProof/>
                <w:webHidden/>
              </w:rPr>
              <w:fldChar w:fldCharType="end"/>
            </w:r>
          </w:hyperlink>
        </w:p>
        <w:p w14:paraId="56138E65" w14:textId="11D1835C" w:rsidR="005A69AE" w:rsidRDefault="005A69AE">
          <w:pPr>
            <w:pStyle w:val="TOC3"/>
            <w:tabs>
              <w:tab w:val="right" w:leader="dot" w:pos="9016"/>
            </w:tabs>
            <w:rPr>
              <w:rFonts w:eastAsiaTheme="minorEastAsia"/>
              <w:noProof/>
              <w:sz w:val="24"/>
              <w:szCs w:val="24"/>
              <w:lang w:eastAsia="en-IN" w:bidi="gu-IN"/>
            </w:rPr>
          </w:pPr>
          <w:hyperlink w:anchor="_Toc237493796" w:history="1">
            <w:r w:rsidRPr="00FF47BE">
              <w:rPr>
                <w:rStyle w:val="Hyperlink"/>
                <w:rFonts w:ascii="Arial" w:hAnsi="Arial" w:cs="Arial"/>
                <w:noProof/>
              </w:rPr>
              <w:t>NFR mitigation</w:t>
            </w:r>
            <w:r>
              <w:rPr>
                <w:noProof/>
                <w:webHidden/>
              </w:rPr>
              <w:tab/>
            </w:r>
            <w:r>
              <w:rPr>
                <w:noProof/>
                <w:webHidden/>
              </w:rPr>
              <w:fldChar w:fldCharType="begin"/>
            </w:r>
            <w:r>
              <w:rPr>
                <w:noProof/>
                <w:webHidden/>
              </w:rPr>
              <w:instrText xml:space="preserve"> PAGEREF _Toc237493796 \h </w:instrText>
            </w:r>
            <w:r>
              <w:rPr>
                <w:noProof/>
                <w:webHidden/>
              </w:rPr>
            </w:r>
            <w:r>
              <w:rPr>
                <w:noProof/>
                <w:webHidden/>
              </w:rPr>
              <w:fldChar w:fldCharType="separate"/>
            </w:r>
            <w:r>
              <w:rPr>
                <w:noProof/>
                <w:webHidden/>
              </w:rPr>
              <w:t>19</w:t>
            </w:r>
            <w:r>
              <w:rPr>
                <w:noProof/>
                <w:webHidden/>
              </w:rPr>
              <w:fldChar w:fldCharType="end"/>
            </w:r>
          </w:hyperlink>
        </w:p>
        <w:p w14:paraId="474A9CF2" w14:textId="4A3C526D" w:rsidR="005A69AE" w:rsidRDefault="005A69AE">
          <w:pPr>
            <w:pStyle w:val="TOC2"/>
            <w:tabs>
              <w:tab w:val="right" w:leader="dot" w:pos="9016"/>
            </w:tabs>
            <w:rPr>
              <w:rFonts w:eastAsiaTheme="minorEastAsia"/>
              <w:noProof/>
              <w:sz w:val="24"/>
              <w:szCs w:val="24"/>
              <w:lang w:eastAsia="en-IN" w:bidi="gu-IN"/>
            </w:rPr>
          </w:pPr>
          <w:hyperlink w:anchor="_Toc237493797" w:history="1">
            <w:r w:rsidRPr="00FF47BE">
              <w:rPr>
                <w:rStyle w:val="Hyperlink"/>
                <w:rFonts w:ascii="Arial" w:hAnsi="Arial" w:cs="Arial"/>
                <w:noProof/>
              </w:rPr>
              <w:t>D. Capital Rationing Analysis</w:t>
            </w:r>
            <w:r>
              <w:rPr>
                <w:noProof/>
                <w:webHidden/>
              </w:rPr>
              <w:tab/>
            </w:r>
            <w:r>
              <w:rPr>
                <w:noProof/>
                <w:webHidden/>
              </w:rPr>
              <w:fldChar w:fldCharType="begin"/>
            </w:r>
            <w:r>
              <w:rPr>
                <w:noProof/>
                <w:webHidden/>
              </w:rPr>
              <w:instrText xml:space="preserve"> PAGEREF _Toc237493797 \h </w:instrText>
            </w:r>
            <w:r>
              <w:rPr>
                <w:noProof/>
                <w:webHidden/>
              </w:rPr>
            </w:r>
            <w:r>
              <w:rPr>
                <w:noProof/>
                <w:webHidden/>
              </w:rPr>
              <w:fldChar w:fldCharType="separate"/>
            </w:r>
            <w:r>
              <w:rPr>
                <w:noProof/>
                <w:webHidden/>
              </w:rPr>
              <w:t>19</w:t>
            </w:r>
            <w:r>
              <w:rPr>
                <w:noProof/>
                <w:webHidden/>
              </w:rPr>
              <w:fldChar w:fldCharType="end"/>
            </w:r>
          </w:hyperlink>
        </w:p>
        <w:p w14:paraId="1473CB1B" w14:textId="4886FBA5" w:rsidR="005A69AE" w:rsidRDefault="005A69AE">
          <w:pPr>
            <w:pStyle w:val="TOC1"/>
            <w:tabs>
              <w:tab w:val="right" w:leader="dot" w:pos="9016"/>
            </w:tabs>
            <w:rPr>
              <w:rFonts w:eastAsiaTheme="minorEastAsia"/>
              <w:noProof/>
              <w:sz w:val="24"/>
              <w:szCs w:val="24"/>
              <w:lang w:eastAsia="en-IN" w:bidi="gu-IN"/>
            </w:rPr>
          </w:pPr>
          <w:hyperlink w:anchor="_Toc237493798" w:history="1">
            <w:r w:rsidRPr="00FF47BE">
              <w:rPr>
                <w:rStyle w:val="Hyperlink"/>
                <w:rFonts w:ascii="Arial" w:hAnsi="Arial" w:cs="Arial"/>
                <w:noProof/>
              </w:rPr>
              <w:t>5. Critical Reflection on AI Usage</w:t>
            </w:r>
            <w:r>
              <w:rPr>
                <w:noProof/>
                <w:webHidden/>
              </w:rPr>
              <w:tab/>
            </w:r>
            <w:r>
              <w:rPr>
                <w:noProof/>
                <w:webHidden/>
              </w:rPr>
              <w:fldChar w:fldCharType="begin"/>
            </w:r>
            <w:r>
              <w:rPr>
                <w:noProof/>
                <w:webHidden/>
              </w:rPr>
              <w:instrText xml:space="preserve"> PAGEREF _Toc237493798 \h </w:instrText>
            </w:r>
            <w:r>
              <w:rPr>
                <w:noProof/>
                <w:webHidden/>
              </w:rPr>
            </w:r>
            <w:r>
              <w:rPr>
                <w:noProof/>
                <w:webHidden/>
              </w:rPr>
              <w:fldChar w:fldCharType="separate"/>
            </w:r>
            <w:r>
              <w:rPr>
                <w:noProof/>
                <w:webHidden/>
              </w:rPr>
              <w:t>21</w:t>
            </w:r>
            <w:r>
              <w:rPr>
                <w:noProof/>
                <w:webHidden/>
              </w:rPr>
              <w:fldChar w:fldCharType="end"/>
            </w:r>
          </w:hyperlink>
        </w:p>
        <w:p w14:paraId="39438075" w14:textId="6B09D786" w:rsidR="005A69AE" w:rsidRDefault="005A69AE">
          <w:pPr>
            <w:pStyle w:val="TOC2"/>
            <w:tabs>
              <w:tab w:val="right" w:leader="dot" w:pos="9016"/>
            </w:tabs>
            <w:rPr>
              <w:rFonts w:eastAsiaTheme="minorEastAsia"/>
              <w:noProof/>
              <w:sz w:val="24"/>
              <w:szCs w:val="24"/>
              <w:lang w:eastAsia="en-IN" w:bidi="gu-IN"/>
            </w:rPr>
          </w:pPr>
          <w:hyperlink w:anchor="_Toc237493799" w:history="1">
            <w:r w:rsidRPr="00FF47BE">
              <w:rPr>
                <w:rStyle w:val="Hyperlink"/>
                <w:rFonts w:ascii="Arial" w:hAnsi="Arial" w:cs="Arial"/>
                <w:noProof/>
              </w:rPr>
              <w:t>a. Tool disclosure</w:t>
            </w:r>
            <w:r>
              <w:rPr>
                <w:noProof/>
                <w:webHidden/>
              </w:rPr>
              <w:tab/>
            </w:r>
            <w:r>
              <w:rPr>
                <w:noProof/>
                <w:webHidden/>
              </w:rPr>
              <w:fldChar w:fldCharType="begin"/>
            </w:r>
            <w:r>
              <w:rPr>
                <w:noProof/>
                <w:webHidden/>
              </w:rPr>
              <w:instrText xml:space="preserve"> PAGEREF _Toc237493799 \h </w:instrText>
            </w:r>
            <w:r>
              <w:rPr>
                <w:noProof/>
                <w:webHidden/>
              </w:rPr>
            </w:r>
            <w:r>
              <w:rPr>
                <w:noProof/>
                <w:webHidden/>
              </w:rPr>
              <w:fldChar w:fldCharType="separate"/>
            </w:r>
            <w:r>
              <w:rPr>
                <w:noProof/>
                <w:webHidden/>
              </w:rPr>
              <w:t>21</w:t>
            </w:r>
            <w:r>
              <w:rPr>
                <w:noProof/>
                <w:webHidden/>
              </w:rPr>
              <w:fldChar w:fldCharType="end"/>
            </w:r>
          </w:hyperlink>
        </w:p>
        <w:p w14:paraId="6DA3E470" w14:textId="12EB2D87" w:rsidR="005A69AE" w:rsidRDefault="005A69AE">
          <w:pPr>
            <w:pStyle w:val="TOC2"/>
            <w:tabs>
              <w:tab w:val="right" w:leader="dot" w:pos="9016"/>
            </w:tabs>
            <w:rPr>
              <w:rFonts w:eastAsiaTheme="minorEastAsia"/>
              <w:noProof/>
              <w:sz w:val="24"/>
              <w:szCs w:val="24"/>
              <w:lang w:eastAsia="en-IN" w:bidi="gu-IN"/>
            </w:rPr>
          </w:pPr>
          <w:hyperlink w:anchor="_Toc237493800" w:history="1">
            <w:r w:rsidRPr="00FF47BE">
              <w:rPr>
                <w:rStyle w:val="Hyperlink"/>
                <w:rFonts w:ascii="Arial" w:hAnsi="Arial" w:cs="Arial"/>
                <w:noProof/>
              </w:rPr>
              <w:t>b. Critical evaluation of AI output</w:t>
            </w:r>
            <w:r>
              <w:rPr>
                <w:noProof/>
                <w:webHidden/>
              </w:rPr>
              <w:tab/>
            </w:r>
            <w:r>
              <w:rPr>
                <w:noProof/>
                <w:webHidden/>
              </w:rPr>
              <w:fldChar w:fldCharType="begin"/>
            </w:r>
            <w:r>
              <w:rPr>
                <w:noProof/>
                <w:webHidden/>
              </w:rPr>
              <w:instrText xml:space="preserve"> PAGEREF _Toc237493800 \h </w:instrText>
            </w:r>
            <w:r>
              <w:rPr>
                <w:noProof/>
                <w:webHidden/>
              </w:rPr>
            </w:r>
            <w:r>
              <w:rPr>
                <w:noProof/>
                <w:webHidden/>
              </w:rPr>
              <w:fldChar w:fldCharType="separate"/>
            </w:r>
            <w:r>
              <w:rPr>
                <w:noProof/>
                <w:webHidden/>
              </w:rPr>
              <w:t>21</w:t>
            </w:r>
            <w:r>
              <w:rPr>
                <w:noProof/>
                <w:webHidden/>
              </w:rPr>
              <w:fldChar w:fldCharType="end"/>
            </w:r>
          </w:hyperlink>
        </w:p>
        <w:p w14:paraId="437F9805" w14:textId="6ADCA1DC" w:rsidR="005A69AE" w:rsidRDefault="005A69AE">
          <w:pPr>
            <w:pStyle w:val="TOC2"/>
            <w:tabs>
              <w:tab w:val="right" w:leader="dot" w:pos="9016"/>
            </w:tabs>
            <w:rPr>
              <w:rFonts w:eastAsiaTheme="minorEastAsia"/>
              <w:noProof/>
              <w:sz w:val="24"/>
              <w:szCs w:val="24"/>
              <w:lang w:eastAsia="en-IN" w:bidi="gu-IN"/>
            </w:rPr>
          </w:pPr>
          <w:hyperlink w:anchor="_Toc237493801" w:history="1">
            <w:r w:rsidRPr="00FF47BE">
              <w:rPr>
                <w:rStyle w:val="Hyperlink"/>
                <w:rFonts w:ascii="Arial" w:hAnsi="Arial" w:cs="Arial"/>
                <w:noProof/>
              </w:rPr>
              <w:t>c. Contribution analysis</w:t>
            </w:r>
            <w:r>
              <w:rPr>
                <w:noProof/>
                <w:webHidden/>
              </w:rPr>
              <w:tab/>
            </w:r>
            <w:r>
              <w:rPr>
                <w:noProof/>
                <w:webHidden/>
              </w:rPr>
              <w:fldChar w:fldCharType="begin"/>
            </w:r>
            <w:r>
              <w:rPr>
                <w:noProof/>
                <w:webHidden/>
              </w:rPr>
              <w:instrText xml:space="preserve"> PAGEREF _Toc237493801 \h </w:instrText>
            </w:r>
            <w:r>
              <w:rPr>
                <w:noProof/>
                <w:webHidden/>
              </w:rPr>
            </w:r>
            <w:r>
              <w:rPr>
                <w:noProof/>
                <w:webHidden/>
              </w:rPr>
              <w:fldChar w:fldCharType="separate"/>
            </w:r>
            <w:r>
              <w:rPr>
                <w:noProof/>
                <w:webHidden/>
              </w:rPr>
              <w:t>22</w:t>
            </w:r>
            <w:r>
              <w:rPr>
                <w:noProof/>
                <w:webHidden/>
              </w:rPr>
              <w:fldChar w:fldCharType="end"/>
            </w:r>
          </w:hyperlink>
        </w:p>
        <w:p w14:paraId="10F7D10F" w14:textId="35AF29C1" w:rsidR="005A69AE" w:rsidRDefault="005A69AE">
          <w:pPr>
            <w:pStyle w:val="TOC2"/>
            <w:tabs>
              <w:tab w:val="right" w:leader="dot" w:pos="9016"/>
            </w:tabs>
            <w:rPr>
              <w:rFonts w:eastAsiaTheme="minorEastAsia"/>
              <w:noProof/>
              <w:sz w:val="24"/>
              <w:szCs w:val="24"/>
              <w:lang w:eastAsia="en-IN" w:bidi="gu-IN"/>
            </w:rPr>
          </w:pPr>
          <w:hyperlink w:anchor="_Toc237493802" w:history="1">
            <w:r w:rsidRPr="00FF47BE">
              <w:rPr>
                <w:rStyle w:val="Hyperlink"/>
                <w:rFonts w:ascii="Arial" w:hAnsi="Arial" w:cs="Arial"/>
                <w:noProof/>
              </w:rPr>
              <w:t>d. Ethical and professional reflection</w:t>
            </w:r>
            <w:r>
              <w:rPr>
                <w:noProof/>
                <w:webHidden/>
              </w:rPr>
              <w:tab/>
            </w:r>
            <w:r>
              <w:rPr>
                <w:noProof/>
                <w:webHidden/>
              </w:rPr>
              <w:fldChar w:fldCharType="begin"/>
            </w:r>
            <w:r>
              <w:rPr>
                <w:noProof/>
                <w:webHidden/>
              </w:rPr>
              <w:instrText xml:space="preserve"> PAGEREF _Toc237493802 \h </w:instrText>
            </w:r>
            <w:r>
              <w:rPr>
                <w:noProof/>
                <w:webHidden/>
              </w:rPr>
            </w:r>
            <w:r>
              <w:rPr>
                <w:noProof/>
                <w:webHidden/>
              </w:rPr>
              <w:fldChar w:fldCharType="separate"/>
            </w:r>
            <w:r>
              <w:rPr>
                <w:noProof/>
                <w:webHidden/>
              </w:rPr>
              <w:t>22</w:t>
            </w:r>
            <w:r>
              <w:rPr>
                <w:noProof/>
                <w:webHidden/>
              </w:rPr>
              <w:fldChar w:fldCharType="end"/>
            </w:r>
          </w:hyperlink>
        </w:p>
        <w:p w14:paraId="0E1BECBE" w14:textId="393D5D46" w:rsidR="005A69AE" w:rsidRDefault="005A69AE">
          <w:pPr>
            <w:pStyle w:val="TOC1"/>
            <w:tabs>
              <w:tab w:val="right" w:leader="dot" w:pos="9016"/>
            </w:tabs>
            <w:rPr>
              <w:rFonts w:eastAsiaTheme="minorEastAsia"/>
              <w:noProof/>
              <w:sz w:val="24"/>
              <w:szCs w:val="24"/>
              <w:lang w:eastAsia="en-IN" w:bidi="gu-IN"/>
            </w:rPr>
          </w:pPr>
          <w:hyperlink w:anchor="_Toc237493803" w:history="1">
            <w:r w:rsidRPr="00FF47B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_Toc237493803 \h </w:instrText>
            </w:r>
            <w:r>
              <w:rPr>
                <w:noProof/>
                <w:webHidden/>
              </w:rPr>
            </w:r>
            <w:r>
              <w:rPr>
                <w:noProof/>
                <w:webHidden/>
              </w:rPr>
              <w:fldChar w:fldCharType="separate"/>
            </w:r>
            <w:r>
              <w:rPr>
                <w:noProof/>
                <w:webHidden/>
              </w:rPr>
              <w:t>23</w:t>
            </w:r>
            <w:r>
              <w:rPr>
                <w:noProof/>
                <w:webHidden/>
              </w:rPr>
              <w:fldChar w:fldCharType="end"/>
            </w:r>
          </w:hyperlink>
        </w:p>
        <w:p w14:paraId="6055E2A7" w14:textId="09B7BB3C" w:rsidR="005A69AE" w:rsidRDefault="005A69AE">
          <w:pPr>
            <w:pStyle w:val="TOC1"/>
            <w:tabs>
              <w:tab w:val="right" w:leader="dot" w:pos="9016"/>
            </w:tabs>
            <w:rPr>
              <w:rFonts w:eastAsiaTheme="minorEastAsia"/>
              <w:noProof/>
              <w:sz w:val="24"/>
              <w:szCs w:val="24"/>
              <w:lang w:eastAsia="en-IN" w:bidi="gu-IN"/>
            </w:rPr>
          </w:pPr>
          <w:hyperlink w:anchor="_Toc237493804" w:history="1">
            <w:r w:rsidRPr="00FF47BE">
              <w:rPr>
                <w:rStyle w:val="Hyperlink"/>
                <w:rFonts w:ascii="Arial" w:hAnsi="Arial" w:cs="Arial"/>
                <w:noProof/>
              </w:rPr>
              <w:t>Reference</w:t>
            </w:r>
            <w:r>
              <w:rPr>
                <w:noProof/>
                <w:webHidden/>
              </w:rPr>
              <w:tab/>
            </w:r>
            <w:r>
              <w:rPr>
                <w:noProof/>
                <w:webHidden/>
              </w:rPr>
              <w:fldChar w:fldCharType="begin"/>
            </w:r>
            <w:r>
              <w:rPr>
                <w:noProof/>
                <w:webHidden/>
              </w:rPr>
              <w:instrText xml:space="preserve"> PAGEREF _Toc237493804 \h </w:instrText>
            </w:r>
            <w:r>
              <w:rPr>
                <w:noProof/>
                <w:webHidden/>
              </w:rPr>
            </w:r>
            <w:r>
              <w:rPr>
                <w:noProof/>
                <w:webHidden/>
              </w:rPr>
              <w:fldChar w:fldCharType="separate"/>
            </w:r>
            <w:r>
              <w:rPr>
                <w:noProof/>
                <w:webHidden/>
              </w:rPr>
              <w:t>24</w:t>
            </w:r>
            <w:r>
              <w:rPr>
                <w:noProof/>
                <w:webHidden/>
              </w:rPr>
              <w:fldChar w:fldCharType="end"/>
            </w:r>
          </w:hyperlink>
        </w:p>
        <w:p w14:paraId="59E51242" w14:textId="77920EF1" w:rsidR="005A69AE" w:rsidRDefault="005A69AE">
          <w:pPr>
            <w:pStyle w:val="TOC1"/>
            <w:tabs>
              <w:tab w:val="right" w:leader="dot" w:pos="9016"/>
            </w:tabs>
            <w:rPr>
              <w:rFonts w:eastAsiaTheme="minorEastAsia"/>
              <w:noProof/>
              <w:sz w:val="24"/>
              <w:szCs w:val="24"/>
              <w:lang w:eastAsia="en-IN" w:bidi="gu-IN"/>
            </w:rPr>
          </w:pPr>
          <w:hyperlink w:anchor="_Toc237493805" w:history="1">
            <w:r w:rsidRPr="00FF47BE">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_Toc237493805 \h </w:instrText>
            </w:r>
            <w:r>
              <w:rPr>
                <w:noProof/>
                <w:webHidden/>
              </w:rPr>
            </w:r>
            <w:r>
              <w:rPr>
                <w:noProof/>
                <w:webHidden/>
              </w:rPr>
              <w:fldChar w:fldCharType="separate"/>
            </w:r>
            <w:r>
              <w:rPr>
                <w:noProof/>
                <w:webHidden/>
              </w:rPr>
              <w:t>26</w:t>
            </w:r>
            <w:r>
              <w:rPr>
                <w:noProof/>
                <w:webHidden/>
              </w:rPr>
              <w:fldChar w:fldCharType="end"/>
            </w:r>
          </w:hyperlink>
        </w:p>
        <w:p w14:paraId="43FA55E7" w14:textId="6F0A3C95" w:rsidR="005A69AE" w:rsidRDefault="005A69AE">
          <w:pPr>
            <w:pStyle w:val="TOC2"/>
            <w:tabs>
              <w:tab w:val="right" w:leader="dot" w:pos="9016"/>
            </w:tabs>
            <w:rPr>
              <w:rFonts w:eastAsiaTheme="minorEastAsia"/>
              <w:noProof/>
              <w:sz w:val="24"/>
              <w:szCs w:val="24"/>
              <w:lang w:eastAsia="en-IN" w:bidi="gu-IN"/>
            </w:rPr>
          </w:pPr>
          <w:hyperlink w:anchor="_Toc237493806" w:history="1">
            <w:r w:rsidRPr="00FF47BE">
              <w:rPr>
                <w:rStyle w:val="Hyperlink"/>
                <w:rFonts w:ascii="Arial" w:hAnsi="Arial" w:cs="Arial"/>
                <w:noProof/>
              </w:rPr>
              <w:t>Appendix A: Five-Year Ratio Analysis</w:t>
            </w:r>
            <w:r>
              <w:rPr>
                <w:noProof/>
                <w:webHidden/>
              </w:rPr>
              <w:tab/>
            </w:r>
            <w:r>
              <w:rPr>
                <w:noProof/>
                <w:webHidden/>
              </w:rPr>
              <w:fldChar w:fldCharType="begin"/>
            </w:r>
            <w:r>
              <w:rPr>
                <w:noProof/>
                <w:webHidden/>
              </w:rPr>
              <w:instrText xml:space="preserve"> PAGEREF _Toc237493806 \h </w:instrText>
            </w:r>
            <w:r>
              <w:rPr>
                <w:noProof/>
                <w:webHidden/>
              </w:rPr>
            </w:r>
            <w:r>
              <w:rPr>
                <w:noProof/>
                <w:webHidden/>
              </w:rPr>
              <w:fldChar w:fldCharType="separate"/>
            </w:r>
            <w:r>
              <w:rPr>
                <w:noProof/>
                <w:webHidden/>
              </w:rPr>
              <w:t>26</w:t>
            </w:r>
            <w:r>
              <w:rPr>
                <w:noProof/>
                <w:webHidden/>
              </w:rPr>
              <w:fldChar w:fldCharType="end"/>
            </w:r>
          </w:hyperlink>
        </w:p>
        <w:p w14:paraId="75BE5648" w14:textId="32AE7D63" w:rsidR="005A69AE" w:rsidRDefault="005A69AE">
          <w:pPr>
            <w:pStyle w:val="TOC2"/>
            <w:tabs>
              <w:tab w:val="right" w:leader="dot" w:pos="9016"/>
            </w:tabs>
            <w:rPr>
              <w:rFonts w:eastAsiaTheme="minorEastAsia"/>
              <w:noProof/>
              <w:sz w:val="24"/>
              <w:szCs w:val="24"/>
              <w:lang w:eastAsia="en-IN" w:bidi="gu-IN"/>
            </w:rPr>
          </w:pPr>
          <w:hyperlink w:anchor="_Toc237493807" w:history="1">
            <w:r w:rsidRPr="00FF47BE">
              <w:rPr>
                <w:rStyle w:val="Hyperlink"/>
                <w:rFonts w:ascii="Arial" w:hAnsi="Arial" w:cs="Arial"/>
                <w:noProof/>
              </w:rPr>
              <w:t>A.1 Profitability Ratios</w:t>
            </w:r>
            <w:r>
              <w:rPr>
                <w:noProof/>
                <w:webHidden/>
              </w:rPr>
              <w:tab/>
            </w:r>
            <w:r>
              <w:rPr>
                <w:noProof/>
                <w:webHidden/>
              </w:rPr>
              <w:fldChar w:fldCharType="begin"/>
            </w:r>
            <w:r>
              <w:rPr>
                <w:noProof/>
                <w:webHidden/>
              </w:rPr>
              <w:instrText xml:space="preserve"> PAGEREF _Toc237493807 \h </w:instrText>
            </w:r>
            <w:r>
              <w:rPr>
                <w:noProof/>
                <w:webHidden/>
              </w:rPr>
            </w:r>
            <w:r>
              <w:rPr>
                <w:noProof/>
                <w:webHidden/>
              </w:rPr>
              <w:fldChar w:fldCharType="separate"/>
            </w:r>
            <w:r>
              <w:rPr>
                <w:noProof/>
                <w:webHidden/>
              </w:rPr>
              <w:t>26</w:t>
            </w:r>
            <w:r>
              <w:rPr>
                <w:noProof/>
                <w:webHidden/>
              </w:rPr>
              <w:fldChar w:fldCharType="end"/>
            </w:r>
          </w:hyperlink>
        </w:p>
        <w:p w14:paraId="2201006B" w14:textId="7140DFB6" w:rsidR="005A69AE" w:rsidRDefault="005A69AE">
          <w:pPr>
            <w:pStyle w:val="TOC3"/>
            <w:tabs>
              <w:tab w:val="right" w:leader="dot" w:pos="9016"/>
            </w:tabs>
            <w:rPr>
              <w:rFonts w:eastAsiaTheme="minorEastAsia"/>
              <w:noProof/>
              <w:sz w:val="24"/>
              <w:szCs w:val="24"/>
              <w:lang w:eastAsia="en-IN" w:bidi="gu-IN"/>
            </w:rPr>
          </w:pPr>
          <w:hyperlink w:anchor="_Toc237493808" w:history="1">
            <w:r w:rsidRPr="00FF47BE">
              <w:rPr>
                <w:rStyle w:val="Hyperlink"/>
                <w:rFonts w:ascii="Arial" w:hAnsi="Arial" w:cs="Arial"/>
                <w:noProof/>
              </w:rPr>
              <w:t>A.2 Liquidity Ratios</w:t>
            </w:r>
            <w:r>
              <w:rPr>
                <w:noProof/>
                <w:webHidden/>
              </w:rPr>
              <w:tab/>
            </w:r>
            <w:r>
              <w:rPr>
                <w:noProof/>
                <w:webHidden/>
              </w:rPr>
              <w:fldChar w:fldCharType="begin"/>
            </w:r>
            <w:r>
              <w:rPr>
                <w:noProof/>
                <w:webHidden/>
              </w:rPr>
              <w:instrText xml:space="preserve"> PAGEREF _Toc237493808 \h </w:instrText>
            </w:r>
            <w:r>
              <w:rPr>
                <w:noProof/>
                <w:webHidden/>
              </w:rPr>
            </w:r>
            <w:r>
              <w:rPr>
                <w:noProof/>
                <w:webHidden/>
              </w:rPr>
              <w:fldChar w:fldCharType="separate"/>
            </w:r>
            <w:r>
              <w:rPr>
                <w:noProof/>
                <w:webHidden/>
              </w:rPr>
              <w:t>26</w:t>
            </w:r>
            <w:r>
              <w:rPr>
                <w:noProof/>
                <w:webHidden/>
              </w:rPr>
              <w:fldChar w:fldCharType="end"/>
            </w:r>
          </w:hyperlink>
        </w:p>
        <w:p w14:paraId="1B79D0E1" w14:textId="22E4B53B" w:rsidR="005A69AE" w:rsidRDefault="005A69AE">
          <w:pPr>
            <w:pStyle w:val="TOC3"/>
            <w:tabs>
              <w:tab w:val="right" w:leader="dot" w:pos="9016"/>
            </w:tabs>
            <w:rPr>
              <w:rFonts w:eastAsiaTheme="minorEastAsia"/>
              <w:noProof/>
              <w:sz w:val="24"/>
              <w:szCs w:val="24"/>
              <w:lang w:eastAsia="en-IN" w:bidi="gu-IN"/>
            </w:rPr>
          </w:pPr>
          <w:hyperlink w:anchor="_Toc237493809" w:history="1">
            <w:r w:rsidRPr="00FF47BE">
              <w:rPr>
                <w:rStyle w:val="Hyperlink"/>
                <w:rFonts w:ascii="Arial" w:hAnsi="Arial" w:cs="Arial"/>
                <w:noProof/>
              </w:rPr>
              <w:t>A.3 Efficiency Ratios</w:t>
            </w:r>
            <w:r>
              <w:rPr>
                <w:noProof/>
                <w:webHidden/>
              </w:rPr>
              <w:tab/>
            </w:r>
            <w:r>
              <w:rPr>
                <w:noProof/>
                <w:webHidden/>
              </w:rPr>
              <w:fldChar w:fldCharType="begin"/>
            </w:r>
            <w:r>
              <w:rPr>
                <w:noProof/>
                <w:webHidden/>
              </w:rPr>
              <w:instrText xml:space="preserve"> PAGEREF _Toc237493809 \h </w:instrText>
            </w:r>
            <w:r>
              <w:rPr>
                <w:noProof/>
                <w:webHidden/>
              </w:rPr>
            </w:r>
            <w:r>
              <w:rPr>
                <w:noProof/>
                <w:webHidden/>
              </w:rPr>
              <w:fldChar w:fldCharType="separate"/>
            </w:r>
            <w:r>
              <w:rPr>
                <w:noProof/>
                <w:webHidden/>
              </w:rPr>
              <w:t>26</w:t>
            </w:r>
            <w:r>
              <w:rPr>
                <w:noProof/>
                <w:webHidden/>
              </w:rPr>
              <w:fldChar w:fldCharType="end"/>
            </w:r>
          </w:hyperlink>
        </w:p>
        <w:p w14:paraId="2B4F1092" w14:textId="70C003A6" w:rsidR="005A69AE" w:rsidRDefault="005A69AE">
          <w:pPr>
            <w:pStyle w:val="TOC3"/>
            <w:tabs>
              <w:tab w:val="right" w:leader="dot" w:pos="9016"/>
            </w:tabs>
            <w:rPr>
              <w:rFonts w:eastAsiaTheme="minorEastAsia"/>
              <w:noProof/>
              <w:sz w:val="24"/>
              <w:szCs w:val="24"/>
              <w:lang w:eastAsia="en-IN" w:bidi="gu-IN"/>
            </w:rPr>
          </w:pPr>
          <w:hyperlink w:anchor="_Toc237493810" w:history="1">
            <w:r w:rsidRPr="00FF47BE">
              <w:rPr>
                <w:rStyle w:val="Hyperlink"/>
                <w:rFonts w:ascii="Arial" w:hAnsi="Arial" w:cs="Arial"/>
                <w:noProof/>
              </w:rPr>
              <w:t>A.4 Gearing / Leverage Ratios</w:t>
            </w:r>
            <w:r>
              <w:rPr>
                <w:noProof/>
                <w:webHidden/>
              </w:rPr>
              <w:tab/>
            </w:r>
            <w:r>
              <w:rPr>
                <w:noProof/>
                <w:webHidden/>
              </w:rPr>
              <w:fldChar w:fldCharType="begin"/>
            </w:r>
            <w:r>
              <w:rPr>
                <w:noProof/>
                <w:webHidden/>
              </w:rPr>
              <w:instrText xml:space="preserve"> PAGEREF _Toc237493810 \h </w:instrText>
            </w:r>
            <w:r>
              <w:rPr>
                <w:noProof/>
                <w:webHidden/>
              </w:rPr>
            </w:r>
            <w:r>
              <w:rPr>
                <w:noProof/>
                <w:webHidden/>
              </w:rPr>
              <w:fldChar w:fldCharType="separate"/>
            </w:r>
            <w:r>
              <w:rPr>
                <w:noProof/>
                <w:webHidden/>
              </w:rPr>
              <w:t>27</w:t>
            </w:r>
            <w:r>
              <w:rPr>
                <w:noProof/>
                <w:webHidden/>
              </w:rPr>
              <w:fldChar w:fldCharType="end"/>
            </w:r>
          </w:hyperlink>
        </w:p>
        <w:p w14:paraId="133B79CC" w14:textId="19421443" w:rsidR="005A69AE" w:rsidRDefault="005A69AE">
          <w:pPr>
            <w:pStyle w:val="TOC3"/>
            <w:tabs>
              <w:tab w:val="right" w:leader="dot" w:pos="9016"/>
            </w:tabs>
            <w:rPr>
              <w:rFonts w:eastAsiaTheme="minorEastAsia"/>
              <w:noProof/>
              <w:sz w:val="24"/>
              <w:szCs w:val="24"/>
              <w:lang w:eastAsia="en-IN" w:bidi="gu-IN"/>
            </w:rPr>
          </w:pPr>
          <w:hyperlink w:anchor="_Toc237493811" w:history="1">
            <w:r w:rsidRPr="00FF47BE">
              <w:rPr>
                <w:rStyle w:val="Hyperlink"/>
                <w:rFonts w:ascii="Arial" w:hAnsi="Arial" w:cs="Arial"/>
                <w:noProof/>
              </w:rPr>
              <w:t>A.5 Investment Ratios</w:t>
            </w:r>
            <w:r>
              <w:rPr>
                <w:noProof/>
                <w:webHidden/>
              </w:rPr>
              <w:tab/>
            </w:r>
            <w:r>
              <w:rPr>
                <w:noProof/>
                <w:webHidden/>
              </w:rPr>
              <w:fldChar w:fldCharType="begin"/>
            </w:r>
            <w:r>
              <w:rPr>
                <w:noProof/>
                <w:webHidden/>
              </w:rPr>
              <w:instrText xml:space="preserve"> PAGEREF _Toc237493811 \h </w:instrText>
            </w:r>
            <w:r>
              <w:rPr>
                <w:noProof/>
                <w:webHidden/>
              </w:rPr>
            </w:r>
            <w:r>
              <w:rPr>
                <w:noProof/>
                <w:webHidden/>
              </w:rPr>
              <w:fldChar w:fldCharType="separate"/>
            </w:r>
            <w:r>
              <w:rPr>
                <w:noProof/>
                <w:webHidden/>
              </w:rPr>
              <w:t>27</w:t>
            </w:r>
            <w:r>
              <w:rPr>
                <w:noProof/>
                <w:webHidden/>
              </w:rPr>
              <w:fldChar w:fldCharType="end"/>
            </w:r>
          </w:hyperlink>
        </w:p>
        <w:p w14:paraId="6BBC48E5" w14:textId="5B2E2B97" w:rsidR="005A69AE" w:rsidRDefault="005A69AE">
          <w:pPr>
            <w:pStyle w:val="TOC3"/>
            <w:tabs>
              <w:tab w:val="right" w:leader="dot" w:pos="9016"/>
            </w:tabs>
            <w:rPr>
              <w:rFonts w:eastAsiaTheme="minorEastAsia"/>
              <w:noProof/>
              <w:sz w:val="24"/>
              <w:szCs w:val="24"/>
              <w:lang w:eastAsia="en-IN" w:bidi="gu-IN"/>
            </w:rPr>
          </w:pPr>
          <w:hyperlink w:anchor="_Toc237493812" w:history="1">
            <w:r w:rsidRPr="00FF47BE">
              <w:rPr>
                <w:rStyle w:val="Hyperlink"/>
                <w:rFonts w:ascii="Arial" w:hAnsi="Arial" w:cs="Arial"/>
                <w:noProof/>
              </w:rPr>
              <w:t>A.6 Cash Flow Ratios</w:t>
            </w:r>
            <w:r>
              <w:rPr>
                <w:noProof/>
                <w:webHidden/>
              </w:rPr>
              <w:tab/>
            </w:r>
            <w:r>
              <w:rPr>
                <w:noProof/>
                <w:webHidden/>
              </w:rPr>
              <w:fldChar w:fldCharType="begin"/>
            </w:r>
            <w:r>
              <w:rPr>
                <w:noProof/>
                <w:webHidden/>
              </w:rPr>
              <w:instrText xml:space="preserve"> PAGEREF _Toc237493812 \h </w:instrText>
            </w:r>
            <w:r>
              <w:rPr>
                <w:noProof/>
                <w:webHidden/>
              </w:rPr>
            </w:r>
            <w:r>
              <w:rPr>
                <w:noProof/>
                <w:webHidden/>
              </w:rPr>
              <w:fldChar w:fldCharType="separate"/>
            </w:r>
            <w:r>
              <w:rPr>
                <w:noProof/>
                <w:webHidden/>
              </w:rPr>
              <w:t>27</w:t>
            </w:r>
            <w:r>
              <w:rPr>
                <w:noProof/>
                <w:webHidden/>
              </w:rPr>
              <w:fldChar w:fldCharType="end"/>
            </w:r>
          </w:hyperlink>
        </w:p>
        <w:p w14:paraId="31456577" w14:textId="7DD4EB72" w:rsidR="005A69AE" w:rsidRDefault="005A69AE">
          <w:pPr>
            <w:pStyle w:val="TOC3"/>
            <w:tabs>
              <w:tab w:val="right" w:leader="dot" w:pos="9016"/>
            </w:tabs>
            <w:rPr>
              <w:rFonts w:eastAsiaTheme="minorEastAsia"/>
              <w:noProof/>
              <w:sz w:val="24"/>
              <w:szCs w:val="24"/>
              <w:lang w:eastAsia="en-IN" w:bidi="gu-IN"/>
            </w:rPr>
          </w:pPr>
          <w:hyperlink w:anchor="_Toc237493813" w:history="1">
            <w:r w:rsidRPr="00FF47BE">
              <w:rPr>
                <w:rStyle w:val="Hyperlink"/>
                <w:rFonts w:ascii="Arial" w:hAnsi="Arial" w:cs="Arial"/>
                <w:noProof/>
              </w:rPr>
              <w:t>A.7 Cash Conversion Cycle (Days)</w:t>
            </w:r>
            <w:r>
              <w:rPr>
                <w:noProof/>
                <w:webHidden/>
              </w:rPr>
              <w:tab/>
            </w:r>
            <w:r>
              <w:rPr>
                <w:noProof/>
                <w:webHidden/>
              </w:rPr>
              <w:fldChar w:fldCharType="begin"/>
            </w:r>
            <w:r>
              <w:rPr>
                <w:noProof/>
                <w:webHidden/>
              </w:rPr>
              <w:instrText xml:space="preserve"> PAGEREF _Toc237493813 \h </w:instrText>
            </w:r>
            <w:r>
              <w:rPr>
                <w:noProof/>
                <w:webHidden/>
              </w:rPr>
            </w:r>
            <w:r>
              <w:rPr>
                <w:noProof/>
                <w:webHidden/>
              </w:rPr>
              <w:fldChar w:fldCharType="separate"/>
            </w:r>
            <w:r>
              <w:rPr>
                <w:noProof/>
                <w:webHidden/>
              </w:rPr>
              <w:t>27</w:t>
            </w:r>
            <w:r>
              <w:rPr>
                <w:noProof/>
                <w:webHidden/>
              </w:rPr>
              <w:fldChar w:fldCharType="end"/>
            </w:r>
          </w:hyperlink>
        </w:p>
        <w:p w14:paraId="4E524BD7" w14:textId="3B9CE899" w:rsidR="005A69AE" w:rsidRDefault="005A69AE">
          <w:pPr>
            <w:pStyle w:val="TOC3"/>
            <w:tabs>
              <w:tab w:val="right" w:leader="dot" w:pos="9016"/>
            </w:tabs>
            <w:rPr>
              <w:rFonts w:eastAsiaTheme="minorEastAsia"/>
              <w:noProof/>
              <w:sz w:val="24"/>
              <w:szCs w:val="24"/>
              <w:lang w:eastAsia="en-IN" w:bidi="gu-IN"/>
            </w:rPr>
          </w:pPr>
          <w:hyperlink w:anchor="_Toc237493814" w:history="1">
            <w:r w:rsidRPr="00FF47BE">
              <w:rPr>
                <w:rStyle w:val="Hyperlink"/>
                <w:rFonts w:ascii="Arial" w:hAnsi="Arial" w:cs="Arial"/>
                <w:noProof/>
              </w:rPr>
              <w:t>A.8 Liquidity vs. Industry Benchmarks (FY2025)</w:t>
            </w:r>
            <w:r>
              <w:rPr>
                <w:noProof/>
                <w:webHidden/>
              </w:rPr>
              <w:tab/>
            </w:r>
            <w:r>
              <w:rPr>
                <w:noProof/>
                <w:webHidden/>
              </w:rPr>
              <w:fldChar w:fldCharType="begin"/>
            </w:r>
            <w:r>
              <w:rPr>
                <w:noProof/>
                <w:webHidden/>
              </w:rPr>
              <w:instrText xml:space="preserve"> PAGEREF _Toc237493814 \h </w:instrText>
            </w:r>
            <w:r>
              <w:rPr>
                <w:noProof/>
                <w:webHidden/>
              </w:rPr>
            </w:r>
            <w:r>
              <w:rPr>
                <w:noProof/>
                <w:webHidden/>
              </w:rPr>
              <w:fldChar w:fldCharType="separate"/>
            </w:r>
            <w:r>
              <w:rPr>
                <w:noProof/>
                <w:webHidden/>
              </w:rPr>
              <w:t>28</w:t>
            </w:r>
            <w:r>
              <w:rPr>
                <w:noProof/>
                <w:webHidden/>
              </w:rPr>
              <w:fldChar w:fldCharType="end"/>
            </w:r>
          </w:hyperlink>
        </w:p>
        <w:p w14:paraId="46344721" w14:textId="00AB1BBE" w:rsidR="005A69AE" w:rsidRDefault="005A69AE">
          <w:pPr>
            <w:pStyle w:val="TOC2"/>
            <w:tabs>
              <w:tab w:val="right" w:leader="dot" w:pos="9016"/>
            </w:tabs>
            <w:rPr>
              <w:rFonts w:eastAsiaTheme="minorEastAsia"/>
              <w:noProof/>
              <w:sz w:val="24"/>
              <w:szCs w:val="24"/>
              <w:lang w:eastAsia="en-IN" w:bidi="gu-IN"/>
            </w:rPr>
          </w:pPr>
          <w:hyperlink w:anchor="_Toc237493815" w:history="1">
            <w:r w:rsidRPr="00FF47BE">
              <w:rPr>
                <w:rStyle w:val="Hyperlink"/>
                <w:rFonts w:ascii="Arial" w:hAnsi="Arial" w:cs="Arial"/>
                <w:noProof/>
              </w:rPr>
              <w:t>Appendix B: Investment Appraisal Calculations</w:t>
            </w:r>
            <w:r>
              <w:rPr>
                <w:noProof/>
                <w:webHidden/>
              </w:rPr>
              <w:tab/>
            </w:r>
            <w:r>
              <w:rPr>
                <w:noProof/>
                <w:webHidden/>
              </w:rPr>
              <w:fldChar w:fldCharType="begin"/>
            </w:r>
            <w:r>
              <w:rPr>
                <w:noProof/>
                <w:webHidden/>
              </w:rPr>
              <w:instrText xml:space="preserve"> PAGEREF _Toc237493815 \h </w:instrText>
            </w:r>
            <w:r>
              <w:rPr>
                <w:noProof/>
                <w:webHidden/>
              </w:rPr>
            </w:r>
            <w:r>
              <w:rPr>
                <w:noProof/>
                <w:webHidden/>
              </w:rPr>
              <w:fldChar w:fldCharType="separate"/>
            </w:r>
            <w:r>
              <w:rPr>
                <w:noProof/>
                <w:webHidden/>
              </w:rPr>
              <w:t>28</w:t>
            </w:r>
            <w:r>
              <w:rPr>
                <w:noProof/>
                <w:webHidden/>
              </w:rPr>
              <w:fldChar w:fldCharType="end"/>
            </w:r>
          </w:hyperlink>
        </w:p>
        <w:p w14:paraId="5E999687" w14:textId="14516A43" w:rsidR="005A69AE" w:rsidRDefault="005A69AE">
          <w:pPr>
            <w:pStyle w:val="TOC3"/>
            <w:tabs>
              <w:tab w:val="right" w:leader="dot" w:pos="9016"/>
            </w:tabs>
            <w:rPr>
              <w:rFonts w:eastAsiaTheme="minorEastAsia"/>
              <w:noProof/>
              <w:sz w:val="24"/>
              <w:szCs w:val="24"/>
              <w:lang w:eastAsia="en-IN" w:bidi="gu-IN"/>
            </w:rPr>
          </w:pPr>
          <w:hyperlink w:anchor="_Toc237493816" w:history="1">
            <w:r w:rsidRPr="00FF47BE">
              <w:rPr>
                <w:rStyle w:val="Hyperlink"/>
                <w:rFonts w:ascii="Arial" w:hAnsi="Arial" w:cs="Arial"/>
                <w:noProof/>
              </w:rPr>
              <w:t>B.1 Project Cash Flow Projections (£m)</w:t>
            </w:r>
            <w:r>
              <w:rPr>
                <w:noProof/>
                <w:webHidden/>
              </w:rPr>
              <w:tab/>
            </w:r>
            <w:r>
              <w:rPr>
                <w:noProof/>
                <w:webHidden/>
              </w:rPr>
              <w:fldChar w:fldCharType="begin"/>
            </w:r>
            <w:r>
              <w:rPr>
                <w:noProof/>
                <w:webHidden/>
              </w:rPr>
              <w:instrText xml:space="preserve"> PAGEREF _Toc237493816 \h </w:instrText>
            </w:r>
            <w:r>
              <w:rPr>
                <w:noProof/>
                <w:webHidden/>
              </w:rPr>
            </w:r>
            <w:r>
              <w:rPr>
                <w:noProof/>
                <w:webHidden/>
              </w:rPr>
              <w:fldChar w:fldCharType="separate"/>
            </w:r>
            <w:r>
              <w:rPr>
                <w:noProof/>
                <w:webHidden/>
              </w:rPr>
              <w:t>28</w:t>
            </w:r>
            <w:r>
              <w:rPr>
                <w:noProof/>
                <w:webHidden/>
              </w:rPr>
              <w:fldChar w:fldCharType="end"/>
            </w:r>
          </w:hyperlink>
        </w:p>
        <w:p w14:paraId="45309534" w14:textId="78D8D904" w:rsidR="005A69AE" w:rsidRDefault="005A69AE">
          <w:pPr>
            <w:pStyle w:val="TOC3"/>
            <w:tabs>
              <w:tab w:val="right" w:leader="dot" w:pos="9016"/>
            </w:tabs>
            <w:rPr>
              <w:rFonts w:eastAsiaTheme="minorEastAsia"/>
              <w:noProof/>
              <w:sz w:val="24"/>
              <w:szCs w:val="24"/>
              <w:lang w:eastAsia="en-IN" w:bidi="gu-IN"/>
            </w:rPr>
          </w:pPr>
          <w:hyperlink w:anchor="_Toc237493817" w:history="1">
            <w:r w:rsidRPr="00FF47BE">
              <w:rPr>
                <w:rStyle w:val="Hyperlink"/>
                <w:rFonts w:ascii="Arial" w:hAnsi="Arial" w:cs="Arial"/>
                <w:noProof/>
              </w:rPr>
              <w:t>B.2 Discounted Cash Flow Analysis (£m)</w:t>
            </w:r>
            <w:r>
              <w:rPr>
                <w:noProof/>
                <w:webHidden/>
              </w:rPr>
              <w:tab/>
            </w:r>
            <w:r>
              <w:rPr>
                <w:noProof/>
                <w:webHidden/>
              </w:rPr>
              <w:fldChar w:fldCharType="begin"/>
            </w:r>
            <w:r>
              <w:rPr>
                <w:noProof/>
                <w:webHidden/>
              </w:rPr>
              <w:instrText xml:space="preserve"> PAGEREF _Toc237493817 \h </w:instrText>
            </w:r>
            <w:r>
              <w:rPr>
                <w:noProof/>
                <w:webHidden/>
              </w:rPr>
            </w:r>
            <w:r>
              <w:rPr>
                <w:noProof/>
                <w:webHidden/>
              </w:rPr>
              <w:fldChar w:fldCharType="separate"/>
            </w:r>
            <w:r>
              <w:rPr>
                <w:noProof/>
                <w:webHidden/>
              </w:rPr>
              <w:t>28</w:t>
            </w:r>
            <w:r>
              <w:rPr>
                <w:noProof/>
                <w:webHidden/>
              </w:rPr>
              <w:fldChar w:fldCharType="end"/>
            </w:r>
          </w:hyperlink>
        </w:p>
        <w:p w14:paraId="73D8D5C3" w14:textId="5397A81F" w:rsidR="005A69AE" w:rsidRDefault="005A69AE">
          <w:pPr>
            <w:pStyle w:val="TOC3"/>
            <w:tabs>
              <w:tab w:val="right" w:leader="dot" w:pos="9016"/>
            </w:tabs>
            <w:rPr>
              <w:rFonts w:eastAsiaTheme="minorEastAsia"/>
              <w:noProof/>
              <w:sz w:val="24"/>
              <w:szCs w:val="24"/>
              <w:lang w:eastAsia="en-IN" w:bidi="gu-IN"/>
            </w:rPr>
          </w:pPr>
          <w:hyperlink w:anchor="_Toc237493818" w:history="1">
            <w:r w:rsidRPr="00FF47BE">
              <w:rPr>
                <w:rStyle w:val="Hyperlink"/>
                <w:rFonts w:ascii="Arial" w:hAnsi="Arial" w:cs="Arial"/>
                <w:noProof/>
              </w:rPr>
              <w:t>B.3 Summary of Investment Appraisal Metrics</w:t>
            </w:r>
            <w:r>
              <w:rPr>
                <w:noProof/>
                <w:webHidden/>
              </w:rPr>
              <w:tab/>
            </w:r>
            <w:r>
              <w:rPr>
                <w:noProof/>
                <w:webHidden/>
              </w:rPr>
              <w:fldChar w:fldCharType="begin"/>
            </w:r>
            <w:r>
              <w:rPr>
                <w:noProof/>
                <w:webHidden/>
              </w:rPr>
              <w:instrText xml:space="preserve"> PAGEREF _Toc237493818 \h </w:instrText>
            </w:r>
            <w:r>
              <w:rPr>
                <w:noProof/>
                <w:webHidden/>
              </w:rPr>
            </w:r>
            <w:r>
              <w:rPr>
                <w:noProof/>
                <w:webHidden/>
              </w:rPr>
              <w:fldChar w:fldCharType="separate"/>
            </w:r>
            <w:r>
              <w:rPr>
                <w:noProof/>
                <w:webHidden/>
              </w:rPr>
              <w:t>29</w:t>
            </w:r>
            <w:r>
              <w:rPr>
                <w:noProof/>
                <w:webHidden/>
              </w:rPr>
              <w:fldChar w:fldCharType="end"/>
            </w:r>
          </w:hyperlink>
        </w:p>
        <w:p w14:paraId="608D8CEE" w14:textId="7C6ECA72" w:rsidR="005A69AE" w:rsidRDefault="005A69AE">
          <w:pPr>
            <w:pStyle w:val="TOC3"/>
            <w:tabs>
              <w:tab w:val="right" w:leader="dot" w:pos="9016"/>
            </w:tabs>
            <w:rPr>
              <w:rFonts w:eastAsiaTheme="minorEastAsia"/>
              <w:noProof/>
              <w:sz w:val="24"/>
              <w:szCs w:val="24"/>
              <w:lang w:eastAsia="en-IN" w:bidi="gu-IN"/>
            </w:rPr>
          </w:pPr>
          <w:hyperlink w:anchor="_Toc237493819" w:history="1">
            <w:r w:rsidRPr="00FF47BE">
              <w:rPr>
                <w:rStyle w:val="Hyperlink"/>
                <w:rFonts w:ascii="Arial" w:hAnsi="Arial" w:cs="Arial"/>
                <w:noProof/>
              </w:rPr>
              <w:t>B.4 Capital Rationing Analysis (£100m Budget)</w:t>
            </w:r>
            <w:r>
              <w:rPr>
                <w:noProof/>
                <w:webHidden/>
              </w:rPr>
              <w:tab/>
            </w:r>
            <w:r>
              <w:rPr>
                <w:noProof/>
                <w:webHidden/>
              </w:rPr>
              <w:fldChar w:fldCharType="begin"/>
            </w:r>
            <w:r>
              <w:rPr>
                <w:noProof/>
                <w:webHidden/>
              </w:rPr>
              <w:instrText xml:space="preserve"> PAGEREF _Toc237493819 \h </w:instrText>
            </w:r>
            <w:r>
              <w:rPr>
                <w:noProof/>
                <w:webHidden/>
              </w:rPr>
            </w:r>
            <w:r>
              <w:rPr>
                <w:noProof/>
                <w:webHidden/>
              </w:rPr>
              <w:fldChar w:fldCharType="separate"/>
            </w:r>
            <w:r>
              <w:rPr>
                <w:noProof/>
                <w:webHidden/>
              </w:rPr>
              <w:t>29</w:t>
            </w:r>
            <w:r>
              <w:rPr>
                <w:noProof/>
                <w:webHidden/>
              </w:rPr>
              <w:fldChar w:fldCharType="end"/>
            </w:r>
          </w:hyperlink>
        </w:p>
        <w:p w14:paraId="3164604D" w14:textId="22376429" w:rsidR="005A69AE" w:rsidRDefault="005A69AE">
          <w:pPr>
            <w:pStyle w:val="TOC3"/>
            <w:tabs>
              <w:tab w:val="right" w:leader="dot" w:pos="9016"/>
            </w:tabs>
            <w:rPr>
              <w:rFonts w:eastAsiaTheme="minorEastAsia"/>
              <w:noProof/>
              <w:sz w:val="24"/>
              <w:szCs w:val="24"/>
              <w:lang w:eastAsia="en-IN" w:bidi="gu-IN"/>
            </w:rPr>
          </w:pPr>
          <w:hyperlink w:anchor="_Toc237493820" w:history="1">
            <w:r w:rsidRPr="00FF47BE">
              <w:rPr>
                <w:rStyle w:val="Hyperlink"/>
                <w:noProof/>
              </w:rPr>
              <w:t>B.5 Combination analysis (max budget £100m)</w:t>
            </w:r>
            <w:r>
              <w:rPr>
                <w:noProof/>
                <w:webHidden/>
              </w:rPr>
              <w:tab/>
            </w:r>
            <w:r>
              <w:rPr>
                <w:noProof/>
                <w:webHidden/>
              </w:rPr>
              <w:fldChar w:fldCharType="begin"/>
            </w:r>
            <w:r>
              <w:rPr>
                <w:noProof/>
                <w:webHidden/>
              </w:rPr>
              <w:instrText xml:space="preserve"> PAGEREF _Toc237493820 \h </w:instrText>
            </w:r>
            <w:r>
              <w:rPr>
                <w:noProof/>
                <w:webHidden/>
              </w:rPr>
            </w:r>
            <w:r>
              <w:rPr>
                <w:noProof/>
                <w:webHidden/>
              </w:rPr>
              <w:fldChar w:fldCharType="separate"/>
            </w:r>
            <w:r>
              <w:rPr>
                <w:noProof/>
                <w:webHidden/>
              </w:rPr>
              <w:t>29</w:t>
            </w:r>
            <w:r>
              <w:rPr>
                <w:noProof/>
                <w:webHidden/>
              </w:rPr>
              <w:fldChar w:fldCharType="end"/>
            </w:r>
          </w:hyperlink>
        </w:p>
        <w:p w14:paraId="611E7743" w14:textId="72CF3BA4" w:rsidR="00DB71FB" w:rsidRPr="006250F4" w:rsidRDefault="00DB71FB">
          <w:pPr>
            <w:rPr>
              <w:rFonts w:ascii="Arial" w:hAnsi="Arial" w:cs="Arial"/>
            </w:rPr>
          </w:pPr>
          <w:r w:rsidRPr="006250F4">
            <w:rPr>
              <w:rFonts w:ascii="Arial" w:hAnsi="Arial" w:cs="Arial"/>
              <w:b/>
              <w:bCs/>
              <w:noProof/>
            </w:rPr>
            <w:fldChar w:fldCharType="end"/>
          </w:r>
        </w:p>
      </w:sdtContent>
    </w:sdt>
    <w:p w14:paraId="1594FCE7" w14:textId="77777777" w:rsidR="00DB71FB" w:rsidRPr="006250F4" w:rsidRDefault="00DB71FB">
      <w:pPr>
        <w:rPr>
          <w:rFonts w:ascii="Arial" w:hAnsi="Arial" w:cs="Arial"/>
          <w:lang w:val="en-US"/>
        </w:rPr>
      </w:pPr>
    </w:p>
    <w:p w14:paraId="67CC41DF" w14:textId="77777777" w:rsidR="00BF1981" w:rsidRPr="006250F4" w:rsidRDefault="00BF1981">
      <w:pPr>
        <w:rPr>
          <w:rFonts w:ascii="Arial" w:hAnsi="Arial" w:cs="Arial"/>
          <w:lang w:val="en-US"/>
        </w:rPr>
      </w:pPr>
    </w:p>
    <w:p w14:paraId="6ECA87DC" w14:textId="77777777" w:rsidR="00BF1981" w:rsidRPr="006250F4" w:rsidRDefault="00BF1981">
      <w:pPr>
        <w:rPr>
          <w:rFonts w:ascii="Arial" w:hAnsi="Arial" w:cs="Arial"/>
          <w:lang w:val="en-US"/>
        </w:rPr>
      </w:pPr>
    </w:p>
    <w:p w14:paraId="15493BA8" w14:textId="77777777" w:rsidR="00BF1981" w:rsidRPr="006250F4" w:rsidRDefault="00BF1981">
      <w:pPr>
        <w:rPr>
          <w:rFonts w:ascii="Arial" w:hAnsi="Arial" w:cs="Arial"/>
          <w:lang w:val="en-US"/>
        </w:rPr>
      </w:pPr>
    </w:p>
    <w:p w14:paraId="34E2986A" w14:textId="77777777" w:rsidR="00BF1981" w:rsidRPr="006250F4" w:rsidRDefault="00BF1981">
      <w:pPr>
        <w:rPr>
          <w:rFonts w:ascii="Arial" w:hAnsi="Arial" w:cs="Arial"/>
          <w:lang w:val="en-US"/>
        </w:rPr>
      </w:pPr>
    </w:p>
    <w:p w14:paraId="42FF8121" w14:textId="77777777" w:rsidR="00BF1981" w:rsidRPr="006250F4" w:rsidRDefault="00BF1981">
      <w:pPr>
        <w:rPr>
          <w:rFonts w:ascii="Arial" w:hAnsi="Arial" w:cs="Arial"/>
          <w:lang w:val="en-US"/>
        </w:rPr>
      </w:pPr>
    </w:p>
    <w:p w14:paraId="39E016E0" w14:textId="77777777" w:rsidR="00BF1981" w:rsidRPr="006250F4" w:rsidRDefault="00BF1981">
      <w:pPr>
        <w:rPr>
          <w:rFonts w:ascii="Arial" w:hAnsi="Arial" w:cs="Arial"/>
          <w:lang w:val="en-US"/>
        </w:rPr>
      </w:pPr>
    </w:p>
    <w:p w14:paraId="2E067028" w14:textId="706323A6" w:rsidR="00DB71FB" w:rsidRPr="006250F4" w:rsidRDefault="000B2D3B" w:rsidP="000B2D3B">
      <w:pPr>
        <w:pStyle w:val="Heading1"/>
        <w:rPr>
          <w:rFonts w:ascii="Arial" w:hAnsi="Arial" w:cs="Arial"/>
        </w:rPr>
      </w:pPr>
      <w:bookmarkStart w:id="0" w:name="_Toc237493776"/>
      <w:r w:rsidRPr="006250F4">
        <w:rPr>
          <w:rFonts w:ascii="Arial" w:hAnsi="Arial" w:cs="Arial"/>
        </w:rPr>
        <w:lastRenderedPageBreak/>
        <w:t>Introduction</w:t>
      </w:r>
      <w:bookmarkEnd w:id="0"/>
    </w:p>
    <w:p w14:paraId="6A84792E" w14:textId="51834F78" w:rsidR="00B563E7" w:rsidRPr="006250F4" w:rsidRDefault="00B563E7" w:rsidP="006250F4">
      <w:pPr>
        <w:rPr>
          <w:rFonts w:ascii="Arial" w:hAnsi="Arial" w:cs="Arial"/>
          <w:sz w:val="24"/>
          <w:szCs w:val="24"/>
        </w:rPr>
      </w:pPr>
      <w:r w:rsidRPr="006250F4">
        <w:rPr>
          <w:rFonts w:ascii="Arial" w:hAnsi="Arial" w:cs="Arial"/>
          <w:sz w:val="24"/>
          <w:szCs w:val="24"/>
        </w:rPr>
        <w:t>After five years of financial performance (FY2020/21 thru FY2024/25) from the Company’s Annual Report and Accounts</w:t>
      </w:r>
      <w:r w:rsidR="00500CC0">
        <w:rPr>
          <w:rFonts w:ascii="Arial" w:hAnsi="Arial" w:cs="Arial"/>
          <w:sz w:val="24"/>
          <w:szCs w:val="24"/>
        </w:rPr>
        <w:t xml:space="preserve"> </w:t>
      </w:r>
      <w:r w:rsidR="00352F43" w:rsidRPr="00352F43">
        <w:rPr>
          <w:rFonts w:ascii="Arial" w:hAnsi="Arial" w:cs="Arial"/>
          <w:sz w:val="24"/>
          <w:szCs w:val="24"/>
        </w:rPr>
        <w:t>(Whitbread PLC, 2021, 2022, 2023, 2024, 2025)</w:t>
      </w:r>
      <w:r w:rsidRPr="006250F4">
        <w:rPr>
          <w:rFonts w:ascii="Arial" w:hAnsi="Arial" w:cs="Arial"/>
          <w:sz w:val="24"/>
          <w:szCs w:val="24"/>
        </w:rPr>
        <w:t>, this report is sent to Whitbread PLC’s CFO. It comprises a written investment appraisal of three capital projects within a budgetary constraint, a strategic restructuring plan, and a thorough financial health check of profitability, liquidity, efficiency, gearing, investment and cash flow, working capital, and cash cycle analysis. The goal is to present Whitbread’s financial data in an understandable manner that supports the Board’s decisions.</w:t>
      </w:r>
    </w:p>
    <w:p w14:paraId="00797CEE" w14:textId="1533EFB7" w:rsidR="00B563E7" w:rsidRPr="006250F4" w:rsidRDefault="00B563E7" w:rsidP="00B563E7">
      <w:pPr>
        <w:pStyle w:val="Heading1"/>
        <w:rPr>
          <w:rFonts w:ascii="Arial" w:hAnsi="Arial" w:cs="Arial"/>
        </w:rPr>
      </w:pPr>
      <w:bookmarkStart w:id="1" w:name="_Toc237493777"/>
      <w:r w:rsidRPr="006250F4">
        <w:rPr>
          <w:rFonts w:ascii="Arial" w:hAnsi="Arial" w:cs="Arial"/>
        </w:rPr>
        <w:t>1.Financial Health Check</w:t>
      </w:r>
      <w:bookmarkEnd w:id="1"/>
    </w:p>
    <w:p w14:paraId="3F60515B" w14:textId="7B3913AC" w:rsidR="00B563E7" w:rsidRPr="006250F4" w:rsidRDefault="00B563E7" w:rsidP="00B563E7">
      <w:pPr>
        <w:pStyle w:val="Heading2"/>
        <w:rPr>
          <w:rFonts w:ascii="Arial" w:hAnsi="Arial" w:cs="Arial"/>
        </w:rPr>
      </w:pPr>
      <w:r w:rsidRPr="006250F4">
        <w:rPr>
          <w:rFonts w:ascii="Arial" w:hAnsi="Arial" w:cs="Arial"/>
        </w:rPr>
        <w:t xml:space="preserve"> </w:t>
      </w:r>
      <w:bookmarkStart w:id="2" w:name="_Toc237493778"/>
      <w:r w:rsidRPr="006250F4">
        <w:rPr>
          <w:rFonts w:ascii="Arial" w:hAnsi="Arial" w:cs="Arial"/>
        </w:rPr>
        <w:t>a. Five-year financial statement analysis</w:t>
      </w:r>
      <w:bookmarkEnd w:id="2"/>
    </w:p>
    <w:p w14:paraId="161F5726" w14:textId="7724BF91" w:rsidR="00B563E7" w:rsidRPr="006250F4" w:rsidRDefault="00B563E7" w:rsidP="006250F4">
      <w:pPr>
        <w:rPr>
          <w:rFonts w:ascii="Arial" w:hAnsi="Arial" w:cs="Arial"/>
          <w:sz w:val="24"/>
          <w:szCs w:val="24"/>
        </w:rPr>
      </w:pPr>
      <w:r w:rsidRPr="006250F4">
        <w:rPr>
          <w:rFonts w:ascii="Arial" w:hAnsi="Arial" w:cs="Arial"/>
          <w:sz w:val="24"/>
          <w:szCs w:val="24"/>
        </w:rPr>
        <w:t xml:space="preserve">The numbers depict a business that was indeed in ruins during the first year but recovered for a second, smaller air pocket at the end. In every way, FY2021 was a catastrophic year: revenue dropped to a pitiful 589.4 million, </w:t>
      </w:r>
      <w:r w:rsidR="002219AB" w:rsidRPr="002219AB">
        <w:rPr>
          <w:rFonts w:ascii="Arial" w:hAnsi="Arial" w:cs="Arial"/>
          <w:sz w:val="24"/>
          <w:szCs w:val="24"/>
        </w:rPr>
        <w:t>operational expenses (statutory) rose to £1,583.1 million</w:t>
      </w:r>
      <w:r w:rsidRPr="006250F4">
        <w:rPr>
          <w:rFonts w:ascii="Arial" w:hAnsi="Arial" w:cs="Arial"/>
          <w:sz w:val="24"/>
          <w:szCs w:val="24"/>
        </w:rPr>
        <w:t>, and the firm reported a statutory pre-tax loss of 1,007.4 million, or a net loss of 906.5 million. You should use FY2021 as the trough because it is nearly impossible to use any ratio built on it as a baseline for a single year.</w:t>
      </w:r>
    </w:p>
    <w:p w14:paraId="613BF414" w14:textId="5B8273E0" w:rsidR="00B563E7" w:rsidRPr="006250F4" w:rsidRDefault="00B563E7" w:rsidP="006250F4">
      <w:pPr>
        <w:rPr>
          <w:rFonts w:ascii="Arial" w:hAnsi="Arial" w:cs="Arial"/>
          <w:sz w:val="24"/>
          <w:szCs w:val="24"/>
        </w:rPr>
      </w:pPr>
      <w:r w:rsidRPr="006250F4">
        <w:rPr>
          <w:rFonts w:ascii="Arial" w:hAnsi="Arial" w:cs="Arial"/>
          <w:sz w:val="24"/>
          <w:szCs w:val="24"/>
        </w:rPr>
        <w:t xml:space="preserve">The turnaround happened quickly after that. When hotels reopened in FY2022, </w:t>
      </w:r>
      <w:r w:rsidR="007212C8" w:rsidRPr="007212C8">
        <w:rPr>
          <w:rFonts w:ascii="Arial" w:hAnsi="Arial" w:cs="Arial"/>
          <w:sz w:val="24"/>
          <w:szCs w:val="24"/>
        </w:rPr>
        <w:t>revenue nearly tripled to £1,703.4 million</w:t>
      </w:r>
      <w:r w:rsidRPr="006250F4">
        <w:rPr>
          <w:rFonts w:ascii="Arial" w:hAnsi="Arial" w:cs="Arial"/>
          <w:sz w:val="24"/>
          <w:szCs w:val="24"/>
        </w:rPr>
        <w:t xml:space="preserve">. This was followed by increases to 2,625.2 million in FY2023 and 2,959.9 million in FY2024, which is over five times the amount observed in FY2021. Similar to statutory operating profit, the profitability trajectory saw a </w:t>
      </w:r>
      <w:r w:rsidR="000B12B0" w:rsidRPr="000B12B0">
        <w:rPr>
          <w:rFonts w:ascii="Arial" w:hAnsi="Arial" w:cs="Arial"/>
          <w:sz w:val="24"/>
          <w:szCs w:val="24"/>
        </w:rPr>
        <w:t>decline from £839.1 million in FY2021</w:t>
      </w:r>
      <w:r w:rsidR="000B12B0">
        <w:rPr>
          <w:rFonts w:ascii="Arial" w:hAnsi="Arial" w:cs="Arial"/>
          <w:sz w:val="24"/>
          <w:szCs w:val="24"/>
        </w:rPr>
        <w:t xml:space="preserve"> </w:t>
      </w:r>
      <w:r w:rsidRPr="006250F4">
        <w:rPr>
          <w:rFonts w:ascii="Arial" w:hAnsi="Arial" w:cs="Arial"/>
          <w:sz w:val="24"/>
          <w:szCs w:val="24"/>
        </w:rPr>
        <w:t xml:space="preserve">to a </w:t>
      </w:r>
      <w:r w:rsidR="00CD5EAE" w:rsidRPr="00CD5EAE">
        <w:rPr>
          <w:rFonts w:ascii="Arial" w:hAnsi="Arial" w:cs="Arial"/>
          <w:sz w:val="24"/>
          <w:szCs w:val="24"/>
        </w:rPr>
        <w:t>swing to a profit of £227.3 million in FY2022</w:t>
      </w:r>
      <w:r w:rsidRPr="006250F4">
        <w:rPr>
          <w:rFonts w:ascii="Arial" w:hAnsi="Arial" w:cs="Arial"/>
          <w:sz w:val="24"/>
          <w:szCs w:val="24"/>
        </w:rPr>
        <w:t xml:space="preserve"> before </w:t>
      </w:r>
      <w:r w:rsidR="00C64FD2" w:rsidRPr="00C64FD2">
        <w:rPr>
          <w:rFonts w:ascii="Arial" w:hAnsi="Arial" w:cs="Arial"/>
          <w:sz w:val="24"/>
          <w:szCs w:val="24"/>
        </w:rPr>
        <w:t>increasing to £505.0 million and £564.8 million in FY2023 and FY2024</w:t>
      </w:r>
      <w:r w:rsidRPr="006250F4">
        <w:rPr>
          <w:rFonts w:ascii="Arial" w:hAnsi="Arial" w:cs="Arial"/>
          <w:sz w:val="24"/>
          <w:szCs w:val="24"/>
        </w:rPr>
        <w:t>. Thanks to the growth in room rates, the recovery of occupancy, and the operating leverage that one would anticipate from a recovering hotel estate with mostly fixed costs, all of that is a pretty good recovery.</w:t>
      </w:r>
      <w:r w:rsidR="000A39DC" w:rsidRPr="006250F4">
        <w:rPr>
          <w:rFonts w:ascii="Arial" w:hAnsi="Arial" w:cs="Arial"/>
          <w:sz w:val="24"/>
          <w:szCs w:val="24"/>
        </w:rPr>
        <w:t xml:space="preserve"> </w:t>
      </w:r>
    </w:p>
    <w:p w14:paraId="1BD727A8" w14:textId="4F102A14" w:rsidR="00B563E7" w:rsidRPr="006250F4" w:rsidRDefault="000A39DC" w:rsidP="006250F4">
      <w:pPr>
        <w:rPr>
          <w:rFonts w:ascii="Arial" w:hAnsi="Arial" w:cs="Arial"/>
          <w:sz w:val="24"/>
          <w:szCs w:val="24"/>
        </w:rPr>
      </w:pPr>
      <w:r w:rsidRPr="006250F4">
        <w:rPr>
          <w:rFonts w:ascii="Arial" w:hAnsi="Arial" w:cs="Arial"/>
          <w:sz w:val="24"/>
          <w:szCs w:val="24"/>
        </w:rPr>
        <w:t xml:space="preserve">In FY2025, the narrative becomes both more intriguing and more cautionary. Net profit decreased from 312 million to 254 million, while revenue decreased somewhat </w:t>
      </w:r>
      <w:r w:rsidRPr="006250F4">
        <w:rPr>
          <w:rFonts w:ascii="Arial" w:hAnsi="Arial" w:cs="Arial"/>
          <w:sz w:val="24"/>
          <w:szCs w:val="24"/>
        </w:rPr>
        <w:lastRenderedPageBreak/>
        <w:t xml:space="preserve">to 2,921.9 million and </w:t>
      </w:r>
      <w:r w:rsidR="00D0026F" w:rsidRPr="00D0026F">
        <w:rPr>
          <w:rFonts w:ascii="Arial" w:hAnsi="Arial" w:cs="Arial"/>
          <w:sz w:val="24"/>
          <w:szCs w:val="24"/>
        </w:rPr>
        <w:t>statutory operating profit to £514.0 million (a 9% decrease year-over-year)</w:t>
      </w:r>
      <w:r w:rsidRPr="006250F4">
        <w:rPr>
          <w:rFonts w:ascii="Arial" w:hAnsi="Arial" w:cs="Arial"/>
          <w:sz w:val="24"/>
          <w:szCs w:val="24"/>
        </w:rPr>
        <w:t xml:space="preserve">. The post-pandemic recovery tailwind has now passed, and Whitbread is facing a more difficult UK consumer and cost landscape (including wage inflation, the softer domestic leisure market, and early losses from the German expansion). This is an inflection point rather than a crisis. This is reflected in the balance sheet, which shows that </w:t>
      </w:r>
      <w:r w:rsidR="006D54B6" w:rsidRPr="006D54B6">
        <w:rPr>
          <w:rFonts w:ascii="Arial" w:hAnsi="Arial" w:cs="Arial"/>
          <w:sz w:val="24"/>
          <w:szCs w:val="24"/>
        </w:rPr>
        <w:t xml:space="preserve">total equity dropped from £3,834.1 million in FY2021 to £3,519.4 million in FY2024, and </w:t>
      </w:r>
      <w:r w:rsidR="006D54B6" w:rsidRPr="006D54B6">
        <w:rPr>
          <w:rFonts w:ascii="Arial" w:hAnsi="Arial" w:cs="Arial"/>
          <w:b/>
          <w:bCs/>
          <w:sz w:val="24"/>
          <w:szCs w:val="24"/>
        </w:rPr>
        <w:t>fell further</w:t>
      </w:r>
      <w:r w:rsidR="006D54B6" w:rsidRPr="006D54B6">
        <w:rPr>
          <w:rFonts w:ascii="Arial" w:hAnsi="Arial" w:cs="Arial"/>
          <w:sz w:val="24"/>
          <w:szCs w:val="24"/>
        </w:rPr>
        <w:t xml:space="preserve"> to £3,334.5 million in FY2025 equity did not recover in FY2025, it kept declining</w:t>
      </w:r>
      <w:r w:rsidRPr="006250F4">
        <w:rPr>
          <w:rFonts w:ascii="Arial" w:hAnsi="Arial" w:cs="Arial"/>
          <w:sz w:val="24"/>
          <w:szCs w:val="24"/>
        </w:rPr>
        <w:t>.</w:t>
      </w:r>
    </w:p>
    <w:p w14:paraId="478CA19D" w14:textId="3BAFC3AB" w:rsidR="000A39DC" w:rsidRDefault="000A39DC" w:rsidP="006250F4">
      <w:pPr>
        <w:rPr>
          <w:rFonts w:ascii="Arial" w:hAnsi="Arial" w:cs="Arial"/>
          <w:sz w:val="24"/>
          <w:szCs w:val="24"/>
        </w:rPr>
      </w:pPr>
      <w:r w:rsidRPr="006250F4">
        <w:rPr>
          <w:rFonts w:ascii="Arial" w:hAnsi="Arial" w:cs="Arial"/>
          <w:sz w:val="24"/>
          <w:szCs w:val="24"/>
        </w:rPr>
        <w:t xml:space="preserve">The other major trend is the rise in </w:t>
      </w:r>
      <w:r w:rsidR="00BF31BA" w:rsidRPr="00BF31BA">
        <w:rPr>
          <w:rFonts w:ascii="Arial" w:hAnsi="Arial" w:cs="Arial"/>
          <w:sz w:val="24"/>
          <w:szCs w:val="24"/>
        </w:rPr>
        <w:t>lease liabilities (current + non-current), which went from £3,231.6 million in FY2021 to £4,233.8 million in FY2025</w:t>
      </w:r>
      <w:r w:rsidRPr="006250F4">
        <w:rPr>
          <w:rFonts w:ascii="Arial" w:hAnsi="Arial" w:cs="Arial"/>
          <w:sz w:val="24"/>
          <w:szCs w:val="24"/>
        </w:rPr>
        <w:t xml:space="preserve">. This increase was caused by both genuine expansion (additional UK locations and the rollout in Germany) and hotel estate accounting under IFRS 16. A bond that was about to mature in FY2024 caused a one-time spike in </w:t>
      </w:r>
      <w:r w:rsidR="001E0997" w:rsidRPr="001E0997">
        <w:rPr>
          <w:rFonts w:ascii="Arial" w:hAnsi="Arial" w:cs="Arial"/>
          <w:sz w:val="24"/>
          <w:szCs w:val="24"/>
        </w:rPr>
        <w:t>current borrowings from nil in FY2024 to £450 million in FY2025 as a bond matured</w:t>
      </w:r>
      <w:r w:rsidRPr="006250F4">
        <w:rPr>
          <w:rFonts w:ascii="Arial" w:hAnsi="Arial" w:cs="Arial"/>
          <w:sz w:val="24"/>
          <w:szCs w:val="24"/>
        </w:rPr>
        <w:t xml:space="preserve">, coinciding with an increase </w:t>
      </w:r>
      <w:r w:rsidR="00823156" w:rsidRPr="00823156">
        <w:rPr>
          <w:rFonts w:ascii="Arial" w:hAnsi="Arial" w:cs="Arial"/>
          <w:sz w:val="24"/>
          <w:szCs w:val="24"/>
        </w:rPr>
        <w:t>long-term borrowings, which stayed broadly flat at around £990-995 million from FY2021-FY2024 before declining to £942.4 million in FY2025</w:t>
      </w:r>
      <w:r w:rsidRPr="006250F4">
        <w:rPr>
          <w:rFonts w:ascii="Arial" w:hAnsi="Arial" w:cs="Arial"/>
          <w:sz w:val="24"/>
          <w:szCs w:val="24"/>
        </w:rPr>
        <w:t xml:space="preserve">. Leverage has grown structurally </w:t>
      </w:r>
      <w:r w:rsidR="00823156" w:rsidRPr="00823156">
        <w:rPr>
          <w:rFonts w:ascii="Arial" w:hAnsi="Arial" w:cs="Arial"/>
          <w:sz w:val="24"/>
          <w:szCs w:val="24"/>
        </w:rPr>
        <w:t>total liabilities grew by around a third, from £4,964.5 million in FY2021 to £6,570.2 million in FY2025</w:t>
      </w:r>
      <w:r w:rsidRPr="006250F4">
        <w:rPr>
          <w:rFonts w:ascii="Arial" w:hAnsi="Arial" w:cs="Arial"/>
          <w:sz w:val="24"/>
          <w:szCs w:val="24"/>
        </w:rPr>
        <w:t xml:space="preserve"> throughout the period, albeit staying at the recessionary level.</w:t>
      </w:r>
    </w:p>
    <w:p w14:paraId="5EB2F3B5" w14:textId="77777777" w:rsidR="008422D4" w:rsidRDefault="008422D4" w:rsidP="008422D4">
      <w:pPr>
        <w:keepNext/>
        <w:jc w:val="center"/>
      </w:pPr>
      <w:r w:rsidRPr="006250F4">
        <w:rPr>
          <w:rFonts w:ascii="Arial" w:hAnsi="Arial" w:cs="Arial"/>
          <w:noProof/>
        </w:rPr>
        <w:drawing>
          <wp:inline distT="0" distB="0" distL="0" distR="0" wp14:anchorId="30AB94A2" wp14:editId="4171EA16">
            <wp:extent cx="5303520" cy="3182112"/>
            <wp:effectExtent l="0" t="0" r="0" b="0"/>
            <wp:docPr id="617276891" name="Picture 617276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1_revenue_profit.png"/>
                    <pic:cNvPicPr/>
                  </pic:nvPicPr>
                  <pic:blipFill>
                    <a:blip r:embed="rId9"/>
                    <a:stretch>
                      <a:fillRect/>
                    </a:stretch>
                  </pic:blipFill>
                  <pic:spPr>
                    <a:xfrm>
                      <a:off x="0" y="0"/>
                      <a:ext cx="5303520" cy="3182112"/>
                    </a:xfrm>
                    <a:prstGeom prst="rect">
                      <a:avLst/>
                    </a:prstGeom>
                  </pic:spPr>
                </pic:pic>
              </a:graphicData>
            </a:graphic>
          </wp:inline>
        </w:drawing>
      </w:r>
    </w:p>
    <w:p w14:paraId="123C5C3F" w14:textId="70CC4FBA" w:rsidR="008422D4" w:rsidRPr="006250F4" w:rsidRDefault="008422D4" w:rsidP="008422D4">
      <w:pPr>
        <w:pStyle w:val="Caption"/>
        <w:jc w:val="center"/>
        <w:rPr>
          <w:rFonts w:ascii="Arial" w:hAnsi="Arial" w:cs="Arial"/>
        </w:rPr>
      </w:pPr>
      <w:r>
        <w:t xml:space="preserve">Figure </w:t>
      </w:r>
      <w:r>
        <w:fldChar w:fldCharType="begin"/>
      </w:r>
      <w:r>
        <w:instrText xml:space="preserve"> SEQ Figure \* ARABIC </w:instrText>
      </w:r>
      <w:r>
        <w:fldChar w:fldCharType="separate"/>
      </w:r>
      <w:r w:rsidR="00131122">
        <w:rPr>
          <w:noProof/>
        </w:rPr>
        <w:t>1</w:t>
      </w:r>
      <w:r>
        <w:fldChar w:fldCharType="end"/>
      </w:r>
      <w:r>
        <w:rPr>
          <w:lang w:val="en-US"/>
        </w:rPr>
        <w:t>.</w:t>
      </w:r>
      <w:r w:rsidRPr="00052521">
        <w:rPr>
          <w:lang w:val="en-US"/>
        </w:rPr>
        <w:t xml:space="preserve"> Whitbread PLC Revenue and Statutory Operating/Net Profit, FY2021-FY2025. Source: Whitbread PLC Annual Report and Accounts, FY20/21-FY24/25.</w:t>
      </w:r>
    </w:p>
    <w:p w14:paraId="00B945AF" w14:textId="77777777" w:rsidR="008422D4" w:rsidRPr="006250F4" w:rsidRDefault="008422D4" w:rsidP="006250F4">
      <w:pPr>
        <w:rPr>
          <w:rFonts w:ascii="Arial" w:hAnsi="Arial" w:cs="Arial"/>
          <w:sz w:val="24"/>
          <w:szCs w:val="24"/>
        </w:rPr>
      </w:pPr>
    </w:p>
    <w:p w14:paraId="5DC7CB33" w14:textId="77777777" w:rsidR="000A39DC" w:rsidRPr="006250F4" w:rsidRDefault="000A39DC" w:rsidP="000A39DC">
      <w:pPr>
        <w:pStyle w:val="Heading2"/>
        <w:rPr>
          <w:rFonts w:ascii="Arial" w:hAnsi="Arial" w:cs="Arial"/>
        </w:rPr>
      </w:pPr>
      <w:bookmarkStart w:id="3" w:name="_Toc237493779"/>
      <w:r w:rsidRPr="006250F4">
        <w:rPr>
          <w:rFonts w:ascii="Arial" w:hAnsi="Arial" w:cs="Arial"/>
        </w:rPr>
        <w:t>b. Ratio analysis across the six categories</w:t>
      </w:r>
      <w:bookmarkEnd w:id="3"/>
    </w:p>
    <w:p w14:paraId="0014F50E" w14:textId="59536487" w:rsidR="000A39DC" w:rsidRDefault="000A39DC" w:rsidP="006250F4">
      <w:pPr>
        <w:rPr>
          <w:rFonts w:ascii="Arial" w:hAnsi="Arial" w:cs="Arial"/>
          <w:sz w:val="24"/>
          <w:szCs w:val="24"/>
        </w:rPr>
      </w:pPr>
      <w:r w:rsidRPr="006250F4">
        <w:rPr>
          <w:rFonts w:ascii="Arial" w:hAnsi="Arial" w:cs="Arial"/>
          <w:sz w:val="24"/>
          <w:szCs w:val="24"/>
        </w:rPr>
        <w:t xml:space="preserve">Similar to the revenue story, the profitability story shows that although the operating margin was negative in FY2021, </w:t>
      </w:r>
      <w:r w:rsidR="00EA17D8" w:rsidRPr="00EA17D8">
        <w:rPr>
          <w:rFonts w:ascii="Arial" w:hAnsi="Arial" w:cs="Arial"/>
          <w:sz w:val="24"/>
          <w:szCs w:val="24"/>
        </w:rPr>
        <w:t>plateaued around 19% in FY2023-FY2024 (19.2%, 19.1%) before falling to 17.6% in FY2025</w:t>
      </w:r>
      <w:r w:rsidRPr="006250F4">
        <w:rPr>
          <w:rFonts w:ascii="Arial" w:hAnsi="Arial" w:cs="Arial"/>
          <w:sz w:val="24"/>
          <w:szCs w:val="24"/>
        </w:rPr>
        <w:t xml:space="preserve">. The net margin remained constant, maintaining at 8.7% in FY2025 after peaking at almost 10.6% in FY2023. </w:t>
      </w:r>
      <w:r w:rsidR="00EA17D8" w:rsidRPr="00EA17D8">
        <w:rPr>
          <w:rFonts w:ascii="Arial" w:hAnsi="Arial" w:cs="Arial"/>
          <w:sz w:val="24"/>
          <w:szCs w:val="24"/>
        </w:rPr>
        <w:t>ROE increased from -23.6% to a better 8.9% (FY2024) before declining to 7.6%</w:t>
      </w:r>
      <w:r w:rsidRPr="006250F4">
        <w:rPr>
          <w:rFonts w:ascii="Arial" w:hAnsi="Arial" w:cs="Arial"/>
          <w:sz w:val="24"/>
          <w:szCs w:val="24"/>
        </w:rPr>
        <w:t xml:space="preserve"> once more, albeit not significantly. What matters is the direction of travel, not the level. </w:t>
      </w:r>
    </w:p>
    <w:p w14:paraId="4BB13763" w14:textId="77777777" w:rsidR="00FD33F1" w:rsidRDefault="00FD33F1" w:rsidP="00FD33F1">
      <w:pPr>
        <w:keepNext/>
      </w:pPr>
      <w:r w:rsidRPr="006250F4">
        <w:rPr>
          <w:rFonts w:ascii="Arial" w:hAnsi="Arial" w:cs="Arial"/>
          <w:noProof/>
        </w:rPr>
        <w:drawing>
          <wp:inline distT="0" distB="0" distL="0" distR="0" wp14:anchorId="5E77810C" wp14:editId="299E95DB">
            <wp:extent cx="5303520" cy="3182112"/>
            <wp:effectExtent l="0" t="0" r="0" b="0"/>
            <wp:docPr id="555234787" name="Picture 555234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3_margins.png"/>
                    <pic:cNvPicPr/>
                  </pic:nvPicPr>
                  <pic:blipFill>
                    <a:blip r:embed="rId10"/>
                    <a:stretch>
                      <a:fillRect/>
                    </a:stretch>
                  </pic:blipFill>
                  <pic:spPr>
                    <a:xfrm>
                      <a:off x="0" y="0"/>
                      <a:ext cx="5303520" cy="3182112"/>
                    </a:xfrm>
                    <a:prstGeom prst="rect">
                      <a:avLst/>
                    </a:prstGeom>
                  </pic:spPr>
                </pic:pic>
              </a:graphicData>
            </a:graphic>
          </wp:inline>
        </w:drawing>
      </w:r>
    </w:p>
    <w:p w14:paraId="679AA135" w14:textId="7D3582A7" w:rsidR="00FD33F1" w:rsidRDefault="00FD33F1" w:rsidP="00FD33F1">
      <w:pPr>
        <w:pStyle w:val="Caption"/>
        <w:rPr>
          <w:lang w:val="en-US"/>
        </w:rPr>
      </w:pPr>
      <w:r>
        <w:t xml:space="preserve">Figure </w:t>
      </w:r>
      <w:r>
        <w:fldChar w:fldCharType="begin"/>
      </w:r>
      <w:r>
        <w:instrText xml:space="preserve"> SEQ Figure \* ARABIC </w:instrText>
      </w:r>
      <w:r>
        <w:fldChar w:fldCharType="separate"/>
      </w:r>
      <w:r w:rsidR="00131122">
        <w:rPr>
          <w:noProof/>
        </w:rPr>
        <w:t>2</w:t>
      </w:r>
      <w:r>
        <w:fldChar w:fldCharType="end"/>
      </w:r>
      <w:r>
        <w:rPr>
          <w:lang w:val="en-US"/>
        </w:rPr>
        <w:t>.</w:t>
      </w:r>
      <w:r w:rsidRPr="00421115">
        <w:rPr>
          <w:lang w:val="en-US"/>
        </w:rPr>
        <w:t>Whitbread PLC Profitability Margins and Return on Equity, FY2021-FY2025. Source: Whitbread PLC Annual Report and Accounts, FY20/21-FY24/25.</w:t>
      </w:r>
    </w:p>
    <w:p w14:paraId="7148E5E7" w14:textId="77777777" w:rsidR="00FD33F1" w:rsidRDefault="00FD33F1" w:rsidP="00FD33F1">
      <w:pPr>
        <w:rPr>
          <w:lang w:val="en-US"/>
        </w:rPr>
      </w:pPr>
    </w:p>
    <w:p w14:paraId="28FF6287" w14:textId="77777777" w:rsidR="00FD33F1" w:rsidRDefault="00FD33F1" w:rsidP="00FD33F1">
      <w:pPr>
        <w:rPr>
          <w:lang w:val="en-US"/>
        </w:rPr>
      </w:pPr>
    </w:p>
    <w:p w14:paraId="35CA91CB" w14:textId="77777777" w:rsidR="00FD33F1" w:rsidRPr="00FD33F1" w:rsidRDefault="00FD33F1" w:rsidP="00FD33F1">
      <w:pPr>
        <w:rPr>
          <w:lang w:val="en-US"/>
        </w:rPr>
      </w:pPr>
    </w:p>
    <w:p w14:paraId="7943E0B3" w14:textId="7A51804A" w:rsidR="000A39DC" w:rsidRDefault="000A39DC" w:rsidP="006250F4">
      <w:pPr>
        <w:rPr>
          <w:rFonts w:ascii="Arial" w:hAnsi="Arial" w:cs="Arial"/>
          <w:sz w:val="24"/>
          <w:szCs w:val="24"/>
        </w:rPr>
      </w:pPr>
      <w:r w:rsidRPr="006250F4">
        <w:rPr>
          <w:rFonts w:ascii="Arial" w:hAnsi="Arial" w:cs="Arial"/>
          <w:sz w:val="24"/>
          <w:szCs w:val="24"/>
        </w:rPr>
        <w:t xml:space="preserve">In reality, a stock’s liquidity is rather erratic, and this should be regularly monitored (more on this later). A 450 million short-term borrowing spike caused the </w:t>
      </w:r>
      <w:r w:rsidR="00EA17D8" w:rsidRPr="00EA17D8">
        <w:rPr>
          <w:rFonts w:ascii="Arial" w:hAnsi="Arial" w:cs="Arial"/>
          <w:sz w:val="24"/>
          <w:szCs w:val="24"/>
        </w:rPr>
        <w:t>current ratio to slip from 1.77 in FY2021 to 1.57 by FY2023</w:t>
      </w:r>
      <w:r w:rsidRPr="006250F4">
        <w:rPr>
          <w:rFonts w:ascii="Arial" w:hAnsi="Arial" w:cs="Arial"/>
          <w:sz w:val="24"/>
          <w:szCs w:val="24"/>
        </w:rPr>
        <w:t xml:space="preserve">. After that debt was refinanced or paid off, it </w:t>
      </w:r>
      <w:r w:rsidR="00EA17D8" w:rsidRPr="00EA17D8">
        <w:rPr>
          <w:rFonts w:ascii="Arial" w:hAnsi="Arial" w:cs="Arial"/>
          <w:sz w:val="24"/>
          <w:szCs w:val="24"/>
        </w:rPr>
        <w:t>fell further to 1.02 in FY2024 and continued declining to 0.91 in FY2025</w:t>
      </w:r>
      <w:r w:rsidRPr="006250F4">
        <w:rPr>
          <w:rFonts w:ascii="Arial" w:hAnsi="Arial" w:cs="Arial"/>
          <w:sz w:val="24"/>
          <w:szCs w:val="24"/>
        </w:rPr>
        <w:t>. The fast and cash ratios show this tendency because Whitbread has very little inventory.</w:t>
      </w:r>
    </w:p>
    <w:p w14:paraId="4D03F2AB" w14:textId="77777777" w:rsidR="00FD33F1" w:rsidRDefault="00FD33F1" w:rsidP="00FD33F1">
      <w:pPr>
        <w:keepNext/>
      </w:pPr>
      <w:r w:rsidRPr="006250F4">
        <w:rPr>
          <w:rFonts w:ascii="Arial" w:hAnsi="Arial" w:cs="Arial"/>
          <w:noProof/>
        </w:rPr>
        <w:lastRenderedPageBreak/>
        <w:drawing>
          <wp:inline distT="0" distB="0" distL="0" distR="0" wp14:anchorId="13FFD043" wp14:editId="57E54A25">
            <wp:extent cx="5303520" cy="3182112"/>
            <wp:effectExtent l="0" t="0" r="0" b="0"/>
            <wp:docPr id="555234788" name="Picture 555234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2_liquidity.png"/>
                    <pic:cNvPicPr/>
                  </pic:nvPicPr>
                  <pic:blipFill>
                    <a:blip r:embed="rId11"/>
                    <a:stretch>
                      <a:fillRect/>
                    </a:stretch>
                  </pic:blipFill>
                  <pic:spPr>
                    <a:xfrm>
                      <a:off x="0" y="0"/>
                      <a:ext cx="5303520" cy="3182112"/>
                    </a:xfrm>
                    <a:prstGeom prst="rect">
                      <a:avLst/>
                    </a:prstGeom>
                  </pic:spPr>
                </pic:pic>
              </a:graphicData>
            </a:graphic>
          </wp:inline>
        </w:drawing>
      </w:r>
    </w:p>
    <w:p w14:paraId="63BDC446" w14:textId="39C10E57" w:rsidR="00FD33F1" w:rsidRPr="006250F4" w:rsidRDefault="00FD33F1" w:rsidP="00FD33F1">
      <w:pPr>
        <w:pStyle w:val="Caption"/>
        <w:rPr>
          <w:rFonts w:ascii="Arial" w:hAnsi="Arial" w:cs="Arial"/>
          <w:sz w:val="24"/>
          <w:szCs w:val="24"/>
        </w:rPr>
      </w:pPr>
      <w:r>
        <w:t xml:space="preserve">Figure </w:t>
      </w:r>
      <w:r w:rsidR="00131122">
        <w:fldChar w:fldCharType="begin"/>
      </w:r>
      <w:r w:rsidR="00131122">
        <w:instrText xml:space="preserve"> SEQ Figure \* ARABIC </w:instrText>
      </w:r>
      <w:r w:rsidR="00131122">
        <w:fldChar w:fldCharType="separate"/>
      </w:r>
      <w:r w:rsidR="00131122">
        <w:rPr>
          <w:noProof/>
        </w:rPr>
        <w:t>3</w:t>
      </w:r>
      <w:r w:rsidR="00131122">
        <w:rPr>
          <w:noProof/>
        </w:rPr>
        <w:fldChar w:fldCharType="end"/>
      </w:r>
      <w:r>
        <w:rPr>
          <w:lang w:val="en-US"/>
        </w:rPr>
        <w:t>.</w:t>
      </w:r>
      <w:r w:rsidRPr="00D73C75">
        <w:rPr>
          <w:lang w:val="en-US"/>
        </w:rPr>
        <w:t>Whitbread PLC Liquidity Ratios, FY2021-FY2025. Source: Whitbread PLC Annual Report and Accounts, FY20/21-FY24/25.</w:t>
      </w:r>
    </w:p>
    <w:p w14:paraId="206A3EAF" w14:textId="11366691" w:rsidR="000A39DC" w:rsidRPr="006250F4" w:rsidRDefault="000A39DC" w:rsidP="006250F4">
      <w:pPr>
        <w:rPr>
          <w:rFonts w:ascii="Arial" w:hAnsi="Arial" w:cs="Arial"/>
          <w:sz w:val="24"/>
          <w:szCs w:val="24"/>
        </w:rPr>
      </w:pPr>
      <w:r w:rsidRPr="006250F4">
        <w:rPr>
          <w:rFonts w:ascii="Arial" w:hAnsi="Arial" w:cs="Arial"/>
          <w:sz w:val="24"/>
          <w:szCs w:val="24"/>
        </w:rPr>
        <w:t xml:space="preserve">With asset turnover rising from 0.07 to 0.32 and fixed asset turnover rising from 0.14 to 0.64 because the hotel estate has been “sweated more” since the reopening, efficiency has steadily increased and is one of the most obvious benefits in the total mix. This is a real structural repair rather than a straightforward base-effect from FY2021. </w:t>
      </w:r>
    </w:p>
    <w:p w14:paraId="5DBE09DE" w14:textId="2E362C0A" w:rsidR="000A39DC" w:rsidRDefault="000A39DC" w:rsidP="006250F4">
      <w:pPr>
        <w:rPr>
          <w:rFonts w:ascii="Arial" w:hAnsi="Arial" w:cs="Arial"/>
          <w:sz w:val="24"/>
          <w:szCs w:val="24"/>
        </w:rPr>
      </w:pPr>
      <w:r w:rsidRPr="006250F4">
        <w:rPr>
          <w:rFonts w:ascii="Arial" w:hAnsi="Arial" w:cs="Arial"/>
          <w:sz w:val="24"/>
          <w:szCs w:val="24"/>
        </w:rPr>
        <w:t xml:space="preserve">The gearing has gotten worse. </w:t>
      </w:r>
      <w:r w:rsidR="00EA17D8" w:rsidRPr="00EA17D8">
        <w:rPr>
          <w:rFonts w:ascii="Arial" w:hAnsi="Arial" w:cs="Arial"/>
          <w:sz w:val="24"/>
          <w:szCs w:val="24"/>
        </w:rPr>
        <w:t>debt-to-equity rose by around 43%, from 1.18 in FY2021 to its highest point of 1.69 in FY2025 — it did not peak in FY2024 (1.45) and decline; it kept rising</w:t>
      </w:r>
      <w:r w:rsidRPr="006250F4">
        <w:rPr>
          <w:rFonts w:ascii="Arial" w:hAnsi="Arial" w:cs="Arial"/>
          <w:sz w:val="24"/>
          <w:szCs w:val="24"/>
        </w:rPr>
        <w:t xml:space="preserve">. The </w:t>
      </w:r>
      <w:r w:rsidR="00EA17D8" w:rsidRPr="00EA17D8">
        <w:rPr>
          <w:rFonts w:ascii="Arial" w:hAnsi="Arial" w:cs="Arial"/>
          <w:sz w:val="24"/>
          <w:szCs w:val="24"/>
        </w:rPr>
        <w:t xml:space="preserve">interest coverage, which is at a pitiful 1.34x in FY2022 </w:t>
      </w:r>
      <w:r w:rsidRPr="006250F4">
        <w:rPr>
          <w:rFonts w:ascii="Arial" w:hAnsi="Arial" w:cs="Arial"/>
          <w:sz w:val="24"/>
          <w:szCs w:val="24"/>
        </w:rPr>
        <w:t xml:space="preserve">(financing costs wiped out a tiny operating profit margin), is the more worrisome series to watch. But </w:t>
      </w:r>
      <w:r w:rsidR="00EA17D8" w:rsidRPr="00EA17D8">
        <w:rPr>
          <w:rFonts w:ascii="Arial" w:hAnsi="Arial" w:cs="Arial"/>
          <w:sz w:val="24"/>
          <w:szCs w:val="24"/>
        </w:rPr>
        <w:t>recovered to a healthier 4.99x in FY2024</w:t>
      </w:r>
      <w:r w:rsidR="00EA17D8">
        <w:rPr>
          <w:rFonts w:ascii="Arial" w:hAnsi="Arial" w:cs="Arial"/>
          <w:sz w:val="24"/>
          <w:szCs w:val="24"/>
        </w:rPr>
        <w:t xml:space="preserve"> </w:t>
      </w:r>
      <w:r w:rsidRPr="006250F4">
        <w:rPr>
          <w:rFonts w:ascii="Arial" w:hAnsi="Arial" w:cs="Arial"/>
          <w:sz w:val="24"/>
          <w:szCs w:val="24"/>
        </w:rPr>
        <w:t xml:space="preserve">due to stronger profits and reduced interest rates before </w:t>
      </w:r>
      <w:r w:rsidR="00EA17D8" w:rsidRPr="00EA17D8">
        <w:rPr>
          <w:rFonts w:ascii="Arial" w:hAnsi="Arial" w:cs="Arial"/>
          <w:sz w:val="24"/>
          <w:szCs w:val="24"/>
        </w:rPr>
        <w:t>declining to 3.52x in FY2025</w:t>
      </w:r>
      <w:r w:rsidRPr="006250F4">
        <w:rPr>
          <w:rFonts w:ascii="Arial" w:hAnsi="Arial" w:cs="Arial"/>
          <w:sz w:val="24"/>
          <w:szCs w:val="24"/>
        </w:rPr>
        <w:t xml:space="preserve">. Even though the current location may appear comfortable, the buffer is rather narrow throughout the recovery years, as evidenced by the swings. </w:t>
      </w:r>
    </w:p>
    <w:p w14:paraId="027F20BA" w14:textId="77777777" w:rsidR="00FD33F1" w:rsidRDefault="00FD33F1" w:rsidP="00FD33F1">
      <w:pPr>
        <w:keepNext/>
      </w:pPr>
      <w:r w:rsidRPr="006250F4">
        <w:rPr>
          <w:rFonts w:ascii="Arial" w:hAnsi="Arial" w:cs="Arial"/>
          <w:noProof/>
        </w:rPr>
        <w:lastRenderedPageBreak/>
        <w:drawing>
          <wp:inline distT="0" distB="0" distL="0" distR="0" wp14:anchorId="2A00A56A" wp14:editId="75D69E0F">
            <wp:extent cx="5303520" cy="3182112"/>
            <wp:effectExtent l="0" t="0" r="0" b="0"/>
            <wp:docPr id="555234789" name="Picture 55523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4_gearing.png"/>
                    <pic:cNvPicPr/>
                  </pic:nvPicPr>
                  <pic:blipFill>
                    <a:blip r:embed="rId12"/>
                    <a:stretch>
                      <a:fillRect/>
                    </a:stretch>
                  </pic:blipFill>
                  <pic:spPr>
                    <a:xfrm>
                      <a:off x="0" y="0"/>
                      <a:ext cx="5303520" cy="3182112"/>
                    </a:xfrm>
                    <a:prstGeom prst="rect">
                      <a:avLst/>
                    </a:prstGeom>
                  </pic:spPr>
                </pic:pic>
              </a:graphicData>
            </a:graphic>
          </wp:inline>
        </w:drawing>
      </w:r>
    </w:p>
    <w:p w14:paraId="2F86117A" w14:textId="3F01F7C0" w:rsidR="00FD33F1" w:rsidRPr="006250F4" w:rsidRDefault="00FD33F1" w:rsidP="00FD33F1">
      <w:pPr>
        <w:pStyle w:val="Caption"/>
        <w:rPr>
          <w:rFonts w:ascii="Arial" w:hAnsi="Arial" w:cs="Arial"/>
          <w:sz w:val="24"/>
          <w:szCs w:val="24"/>
        </w:rPr>
      </w:pPr>
      <w:r>
        <w:t xml:space="preserve">Figure </w:t>
      </w:r>
      <w:r w:rsidR="00131122">
        <w:fldChar w:fldCharType="begin"/>
      </w:r>
      <w:r w:rsidR="00131122">
        <w:instrText xml:space="preserve"> SEQ Figure \* ARABIC </w:instrText>
      </w:r>
      <w:r w:rsidR="00131122">
        <w:fldChar w:fldCharType="separate"/>
      </w:r>
      <w:r w:rsidR="00131122">
        <w:rPr>
          <w:noProof/>
        </w:rPr>
        <w:t>4</w:t>
      </w:r>
      <w:r w:rsidR="00131122">
        <w:rPr>
          <w:noProof/>
        </w:rPr>
        <w:fldChar w:fldCharType="end"/>
      </w:r>
      <w:r>
        <w:rPr>
          <w:lang w:val="en-US"/>
        </w:rPr>
        <w:t>.</w:t>
      </w:r>
      <w:r w:rsidRPr="005A626A">
        <w:rPr>
          <w:lang w:val="en-US"/>
        </w:rPr>
        <w:t>Whitbread PLC Gearing and Interest Coverage, FY2021-FY2025. Source: Whitbread PLC Annual Report and Accounts, FY20/21-FY24/25.</w:t>
      </w:r>
    </w:p>
    <w:p w14:paraId="2BBB217E" w14:textId="77777777" w:rsidR="00A71558" w:rsidRDefault="00A71558" w:rsidP="006250F4">
      <w:pPr>
        <w:rPr>
          <w:rFonts w:ascii="Arial" w:hAnsi="Arial" w:cs="Arial"/>
          <w:sz w:val="24"/>
          <w:szCs w:val="24"/>
        </w:rPr>
      </w:pPr>
      <w:r w:rsidRPr="00A71558">
        <w:rPr>
          <w:rFonts w:ascii="Arial" w:hAnsi="Arial" w:cs="Arial"/>
          <w:sz w:val="24"/>
          <w:szCs w:val="24"/>
        </w:rPr>
        <w:t>The P/E ratio, at a very high 138.6x last year, deserves special attention — this was solely a result of FY22's low earnings level rather than a value signal, before dropping to a more reasonable 18.9x by FY25 as earnings increased.</w:t>
      </w:r>
    </w:p>
    <w:p w14:paraId="7FB974F2" w14:textId="701D365B" w:rsidR="000A39DC" w:rsidRDefault="000A39DC" w:rsidP="006250F4">
      <w:pPr>
        <w:rPr>
          <w:rFonts w:ascii="Arial" w:hAnsi="Arial" w:cs="Arial"/>
          <w:sz w:val="24"/>
          <w:szCs w:val="24"/>
        </w:rPr>
      </w:pPr>
      <w:r w:rsidRPr="006250F4">
        <w:rPr>
          <w:rFonts w:ascii="Arial" w:hAnsi="Arial" w:cs="Arial"/>
          <w:sz w:val="24"/>
          <w:szCs w:val="24"/>
        </w:rPr>
        <w:t xml:space="preserve">Cash flow ratios demonstrate that the underlying operating recovery is genuine. The operating cash flow to current liabilities ratio has been stable in the post-recovery years, </w:t>
      </w:r>
      <w:r w:rsidR="00EA17D8" w:rsidRPr="00EA17D8">
        <w:rPr>
          <w:rFonts w:ascii="Arial" w:hAnsi="Arial" w:cs="Arial"/>
          <w:sz w:val="24"/>
          <w:szCs w:val="24"/>
        </w:rPr>
        <w:t>rising to 1.01 (FY2024), the highest in the five-year period, before falling sharply to 0.58 in FY2025</w:t>
      </w:r>
      <w:r w:rsidRPr="006250F4">
        <w:rPr>
          <w:rFonts w:ascii="Arial" w:hAnsi="Arial" w:cs="Arial"/>
          <w:sz w:val="24"/>
          <w:szCs w:val="24"/>
        </w:rPr>
        <w:t>, a favorable trend considering the gearing ratio mentioned above. However, because Whitbread has a very large capital expenditure program as it continues to expand the estate (</w:t>
      </w:r>
      <w:r w:rsidR="00EA17D8" w:rsidRPr="00EA17D8">
        <w:rPr>
          <w:rFonts w:ascii="Arial" w:hAnsi="Arial" w:cs="Arial"/>
          <w:sz w:val="24"/>
          <w:szCs w:val="24"/>
        </w:rPr>
        <w:t>capex climbed from £217.4m to a peak of £482.0m in FY2023, settling around £478-480m in FY2024-25</w:t>
      </w:r>
      <w:r w:rsidR="00EA17D8">
        <w:rPr>
          <w:rFonts w:ascii="Arial" w:hAnsi="Arial" w:cs="Arial"/>
          <w:sz w:val="24"/>
          <w:szCs w:val="24"/>
        </w:rPr>
        <w:t xml:space="preserve"> </w:t>
      </w:r>
      <w:r w:rsidRPr="006250F4">
        <w:rPr>
          <w:rFonts w:ascii="Arial" w:hAnsi="Arial" w:cs="Arial"/>
          <w:sz w:val="24"/>
          <w:szCs w:val="24"/>
        </w:rPr>
        <w:t xml:space="preserve">throughout the time), </w:t>
      </w:r>
      <w:r w:rsidR="00EA17D8" w:rsidRPr="00EA17D8">
        <w:rPr>
          <w:rFonts w:ascii="Arial" w:hAnsi="Arial" w:cs="Arial"/>
          <w:sz w:val="24"/>
          <w:szCs w:val="24"/>
        </w:rPr>
        <w:t>free cash flow margin peaked at 18.1% in FY2022 before settling in the 10-13% range across FY2023-FY2025</w:t>
      </w:r>
      <w:r w:rsidRPr="006250F4">
        <w:rPr>
          <w:rFonts w:ascii="Arial" w:hAnsi="Arial" w:cs="Arial"/>
          <w:sz w:val="24"/>
          <w:szCs w:val="24"/>
        </w:rPr>
        <w:t>.</w:t>
      </w:r>
    </w:p>
    <w:p w14:paraId="7EC2037C" w14:textId="77777777" w:rsidR="002C69C9" w:rsidRPr="006250F4" w:rsidRDefault="002C69C9" w:rsidP="002C69C9">
      <w:pPr>
        <w:pStyle w:val="Heading2"/>
        <w:rPr>
          <w:rFonts w:ascii="Arial" w:hAnsi="Arial" w:cs="Arial"/>
        </w:rPr>
      </w:pPr>
      <w:bookmarkStart w:id="4" w:name="_Toc237493780"/>
      <w:r w:rsidRPr="006250F4">
        <w:rPr>
          <w:rFonts w:ascii="Arial" w:hAnsi="Arial" w:cs="Arial"/>
        </w:rPr>
        <w:t>c. Trends, strengths and threats</w:t>
      </w:r>
      <w:bookmarkEnd w:id="4"/>
    </w:p>
    <w:p w14:paraId="6DB9B86C" w14:textId="40324521" w:rsidR="002C69C9" w:rsidRPr="006250F4" w:rsidRDefault="002C69C9" w:rsidP="006250F4">
      <w:pPr>
        <w:rPr>
          <w:rFonts w:ascii="Arial" w:hAnsi="Arial" w:cs="Arial"/>
          <w:sz w:val="24"/>
          <w:szCs w:val="24"/>
        </w:rPr>
      </w:pPr>
      <w:r w:rsidRPr="006250F4">
        <w:rPr>
          <w:rFonts w:ascii="Arial" w:hAnsi="Arial" w:cs="Arial"/>
          <w:sz w:val="24"/>
          <w:szCs w:val="24"/>
        </w:rPr>
        <w:t>The operational engine is the strongest: higher asset productivity, margin improvement, and revenue recovery all point to a well-managed core hotel company that is stronger than before the epidemic. A true structural advantage is the negative cash conversion cycle (usually -</w:t>
      </w:r>
      <w:r w:rsidR="0010600B">
        <w:rPr>
          <w:rFonts w:ascii="Arial" w:hAnsi="Arial" w:cs="Arial"/>
          <w:sz w:val="24"/>
          <w:szCs w:val="24"/>
        </w:rPr>
        <w:t>81</w:t>
      </w:r>
      <w:r w:rsidRPr="006250F4">
        <w:rPr>
          <w:rFonts w:ascii="Arial" w:hAnsi="Arial" w:cs="Arial"/>
          <w:sz w:val="24"/>
          <w:szCs w:val="24"/>
        </w:rPr>
        <w:t xml:space="preserve"> to -</w:t>
      </w:r>
      <w:r w:rsidR="0010600B">
        <w:rPr>
          <w:rFonts w:ascii="Arial" w:hAnsi="Arial" w:cs="Arial"/>
          <w:sz w:val="24"/>
          <w:szCs w:val="24"/>
        </w:rPr>
        <w:t>100</w:t>
      </w:r>
      <w:r w:rsidRPr="006250F4">
        <w:rPr>
          <w:rFonts w:ascii="Arial" w:hAnsi="Arial" w:cs="Arial"/>
          <w:sz w:val="24"/>
          <w:szCs w:val="24"/>
        </w:rPr>
        <w:t xml:space="preserve"> days over the previous four years, FY2022 to FY2025). Whitbread’s financial structure is financed by suppliers and </w:t>
      </w:r>
      <w:r w:rsidRPr="006250F4">
        <w:rPr>
          <w:rFonts w:ascii="Arial" w:hAnsi="Arial" w:cs="Arial"/>
          <w:sz w:val="24"/>
          <w:szCs w:val="24"/>
        </w:rPr>
        <w:lastRenderedPageBreak/>
        <w:t>pays off payables more slowly than guest collections, which is working capital that most capital-intensive businesses lack.</w:t>
      </w:r>
    </w:p>
    <w:p w14:paraId="5A1B147E" w14:textId="45BF9549" w:rsidR="002C69C9" w:rsidRPr="006250F4" w:rsidRDefault="002C69C9" w:rsidP="006250F4">
      <w:pPr>
        <w:rPr>
          <w:rFonts w:ascii="Arial" w:hAnsi="Arial" w:cs="Arial"/>
          <w:sz w:val="24"/>
          <w:szCs w:val="24"/>
        </w:rPr>
      </w:pPr>
      <w:r w:rsidRPr="006250F4">
        <w:rPr>
          <w:rFonts w:ascii="Arial" w:hAnsi="Arial" w:cs="Arial"/>
          <w:sz w:val="24"/>
          <w:szCs w:val="24"/>
        </w:rPr>
        <w:t xml:space="preserve">The threats are concentrated around three items. First, increased leverage: </w:t>
      </w:r>
      <w:r w:rsidR="00490EA2" w:rsidRPr="00490EA2">
        <w:rPr>
          <w:rFonts w:ascii="Arial" w:hAnsi="Arial" w:cs="Arial"/>
          <w:sz w:val="24"/>
          <w:szCs w:val="24"/>
        </w:rPr>
        <w:t>increased by around 43%</w:t>
      </w:r>
      <w:r w:rsidRPr="006250F4">
        <w:rPr>
          <w:rFonts w:ascii="Arial" w:hAnsi="Arial" w:cs="Arial"/>
          <w:sz w:val="24"/>
          <w:szCs w:val="24"/>
        </w:rPr>
        <w:t>, and while cash flow is currently adequate to cover interest costs, it is also known to dry down quickly in the future (FY2022’s interest coverage problem). Second, the FY25 profit and revenue fall shows that the reopening’s easy growth era is over and that future growth will need to be gained at higher foreign expansion (Germany)</w:t>
      </w:r>
      <w:r w:rsidR="00352F43" w:rsidRPr="00352F43">
        <w:t xml:space="preserve"> </w:t>
      </w:r>
      <w:r w:rsidR="00352F43" w:rsidRPr="00352F43">
        <w:rPr>
          <w:rFonts w:ascii="Arial" w:hAnsi="Arial" w:cs="Arial"/>
          <w:sz w:val="24"/>
          <w:szCs w:val="24"/>
        </w:rPr>
        <w:t>(CoStar, 2024; TIKR, 2025)</w:t>
      </w:r>
      <w:r w:rsidRPr="006250F4">
        <w:rPr>
          <w:rFonts w:ascii="Arial" w:hAnsi="Arial" w:cs="Arial"/>
          <w:sz w:val="24"/>
          <w:szCs w:val="24"/>
        </w:rPr>
        <w:t>, higher prices, or cost disciplineall of which have risks of their own. Third, even though the liquidity emergency in FY202</w:t>
      </w:r>
      <w:r w:rsidR="00352F43">
        <w:rPr>
          <w:rFonts w:ascii="Arial" w:hAnsi="Arial" w:cs="Arial"/>
          <w:sz w:val="24"/>
          <w:szCs w:val="24"/>
        </w:rPr>
        <w:t>5</w:t>
      </w:r>
      <w:r w:rsidRPr="006250F4">
        <w:rPr>
          <w:rFonts w:ascii="Arial" w:hAnsi="Arial" w:cs="Arial"/>
          <w:sz w:val="24"/>
          <w:szCs w:val="24"/>
        </w:rPr>
        <w:t xml:space="preserve"> passed</w:t>
      </w:r>
      <w:r w:rsidR="00352F43" w:rsidRPr="00352F43">
        <w:rPr>
          <w:rFonts w:ascii="Arial" w:hAnsi="Arial" w:cs="Arial"/>
          <w:sz w:val="24"/>
          <w:szCs w:val="24"/>
        </w:rPr>
        <w:t>(ii.co.uk, 2026)</w:t>
      </w:r>
      <w:r w:rsidRPr="006250F4">
        <w:rPr>
          <w:rFonts w:ascii="Arial" w:hAnsi="Arial" w:cs="Arial"/>
          <w:sz w:val="24"/>
          <w:szCs w:val="24"/>
        </w:rPr>
        <w:t>, it had an impact on the current ratio as well, suggesting that the timing of refinancing is more significant than the ratio trend.</w:t>
      </w:r>
    </w:p>
    <w:p w14:paraId="557BC621" w14:textId="23244242" w:rsidR="002C69C9" w:rsidRPr="006250F4" w:rsidRDefault="002C69C9" w:rsidP="002C69C9">
      <w:pPr>
        <w:pStyle w:val="Heading2"/>
        <w:rPr>
          <w:rFonts w:ascii="Arial" w:hAnsi="Arial" w:cs="Arial"/>
        </w:rPr>
      </w:pPr>
      <w:bookmarkStart w:id="5" w:name="_Toc237493781"/>
      <w:r w:rsidRPr="006250F4">
        <w:rPr>
          <w:rFonts w:ascii="Arial" w:hAnsi="Arial" w:cs="Arial"/>
        </w:rPr>
        <w:t>d. Liquidity versus industry benchmarks</w:t>
      </w:r>
      <w:bookmarkEnd w:id="5"/>
    </w:p>
    <w:p w14:paraId="3A7FC7ED" w14:textId="4221B892" w:rsidR="002C69C9" w:rsidRPr="006250F4" w:rsidRDefault="007609F0" w:rsidP="002C69C9">
      <w:pPr>
        <w:rPr>
          <w:rFonts w:ascii="Arial" w:hAnsi="Arial" w:cs="Arial"/>
          <w:sz w:val="24"/>
          <w:szCs w:val="24"/>
        </w:rPr>
      </w:pPr>
      <w:r w:rsidRPr="007609F0">
        <w:rPr>
          <w:rFonts w:ascii="Arial" w:hAnsi="Arial" w:cs="Arial"/>
          <w:sz w:val="24"/>
          <w:szCs w:val="24"/>
        </w:rPr>
        <w:t>At a current ratio of 0.91 for FY2025, Whitbread sits between TUI's weaker position (0.49) and Accor's stronger one (1.05)</w:t>
      </w:r>
      <w:r w:rsidR="00352F43" w:rsidRPr="00352F43">
        <w:t xml:space="preserve"> </w:t>
      </w:r>
      <w:r w:rsidR="00352F43" w:rsidRPr="00352F43">
        <w:rPr>
          <w:rFonts w:ascii="Arial" w:hAnsi="Arial" w:cs="Arial"/>
          <w:sz w:val="24"/>
          <w:szCs w:val="24"/>
        </w:rPr>
        <w:t>(GuruFocus, 2025; MLQ.ai, 2026)</w:t>
      </w:r>
      <w:r w:rsidRPr="007609F0">
        <w:rPr>
          <w:rFonts w:ascii="Arial" w:hAnsi="Arial" w:cs="Arial"/>
          <w:sz w:val="24"/>
          <w:szCs w:val="24"/>
        </w:rPr>
        <w:t>, and below the Travel &amp; Leisure sector median of 1.34. Accor's cash ratio is roughly 0.43, quick ratio is roughly 1.04, and current ratio is roughly 1.05. TUI's financial foundation is more precarious</w:t>
      </w:r>
      <w:r w:rsidR="00352F43" w:rsidRPr="00352F43">
        <w:rPr>
          <w:rFonts w:ascii="Arial" w:hAnsi="Arial" w:cs="Arial"/>
          <w:sz w:val="24"/>
          <w:szCs w:val="24"/>
        </w:rPr>
        <w:t>(GuruFocus, 2025; StockAnalysis.com, 2025)</w:t>
      </w:r>
      <w:r w:rsidRPr="007609F0">
        <w:rPr>
          <w:rFonts w:ascii="Arial" w:hAnsi="Arial" w:cs="Arial"/>
          <w:sz w:val="24"/>
          <w:szCs w:val="24"/>
        </w:rPr>
        <w:t>; in recent times, its ratios have ranged from roughly 0.46 to 0.52, much lower than the sector median. Whitbread's cash ratio of 0.69 is still notably stronger than Accor's ~0.43, though its current ratio sitting below the sector median is a more mixed picture than headline comparisons alone suggest.</w:t>
      </w:r>
    </w:p>
    <w:p w14:paraId="3E07BE49" w14:textId="787A929D" w:rsidR="006547C1" w:rsidRDefault="006547C1" w:rsidP="006547C1">
      <w:pPr>
        <w:pStyle w:val="Caption"/>
        <w:keepNext/>
      </w:pPr>
      <w:r>
        <w:t xml:space="preserve">Table </w:t>
      </w:r>
      <w:r>
        <w:fldChar w:fldCharType="begin"/>
      </w:r>
      <w:r>
        <w:instrText xml:space="preserve"> SEQ Table \* ARABIC </w:instrText>
      </w:r>
      <w:r>
        <w:fldChar w:fldCharType="separate"/>
      </w:r>
      <w:r w:rsidR="00122FFF">
        <w:rPr>
          <w:noProof/>
        </w:rPr>
        <w:t>1</w:t>
      </w:r>
      <w:r>
        <w:rPr>
          <w:noProof/>
        </w:rPr>
        <w:fldChar w:fldCharType="end"/>
      </w:r>
      <w:r w:rsidRPr="00760C9B">
        <w:rPr>
          <w:lang w:val="en-US"/>
        </w:rPr>
        <w:t>. Whitbread PLC vs. Accor SA and TUI AG — Liquidity Ratio Comparison, FY2025. Source: GuruFocus (2025); MLQ.ai (2026); StockAnalysis.com (2025).</w:t>
      </w:r>
    </w:p>
    <w:tbl>
      <w:tblPr>
        <w:tblW w:w="0" w:type="auto"/>
        <w:tblCellSpacing w:w="15" w:type="dxa"/>
        <w:tblCellMar>
          <w:left w:w="0" w:type="dxa"/>
          <w:right w:w="0" w:type="dxa"/>
        </w:tblCellMar>
        <w:tblLook w:val="04A0" w:firstRow="1" w:lastRow="0" w:firstColumn="1" w:lastColumn="0" w:noHBand="0" w:noVBand="1"/>
      </w:tblPr>
      <w:tblGrid>
        <w:gridCol w:w="3712"/>
        <w:gridCol w:w="1997"/>
        <w:gridCol w:w="1411"/>
        <w:gridCol w:w="1173"/>
      </w:tblGrid>
      <w:tr w:rsidR="00072DC1" w:rsidRPr="006250F4" w14:paraId="1D02C0A8" w14:textId="77777777" w:rsidTr="006250F4">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8EAADB" w:themeFill="accent1" w:themeFillTint="99"/>
            <w:tcMar>
              <w:top w:w="120" w:type="dxa"/>
              <w:left w:w="180" w:type="dxa"/>
              <w:bottom w:w="120" w:type="dxa"/>
              <w:right w:w="180" w:type="dxa"/>
            </w:tcMar>
            <w:vAlign w:val="center"/>
            <w:hideMark/>
          </w:tcPr>
          <w:p w14:paraId="4D7CE388" w14:textId="77777777" w:rsidR="00072DC1" w:rsidRPr="006250F4" w:rsidRDefault="00072DC1" w:rsidP="00072DC1">
            <w:pPr>
              <w:rPr>
                <w:rFonts w:ascii="Arial" w:hAnsi="Arial" w:cs="Arial"/>
              </w:rPr>
            </w:pPr>
            <w:r w:rsidRPr="006250F4">
              <w:rPr>
                <w:rFonts w:ascii="Arial" w:hAnsi="Arial" w:cs="Arial"/>
                <w:b/>
                <w:bCs/>
              </w:rPr>
              <w:t>Benchmark Comparison (FY25)</w:t>
            </w:r>
          </w:p>
        </w:tc>
        <w:tc>
          <w:tcPr>
            <w:tcW w:w="0" w:type="auto"/>
            <w:tcBorders>
              <w:top w:val="single" w:sz="6" w:space="0" w:color="C4C7C5"/>
              <w:left w:val="single" w:sz="6" w:space="0" w:color="C4C7C5"/>
              <w:bottom w:val="single" w:sz="6" w:space="0" w:color="C4C7C5"/>
              <w:right w:val="single" w:sz="6" w:space="0" w:color="C4C7C5"/>
            </w:tcBorders>
            <w:shd w:val="clear" w:color="auto" w:fill="8EAADB" w:themeFill="accent1" w:themeFillTint="99"/>
            <w:tcMar>
              <w:top w:w="120" w:type="dxa"/>
              <w:left w:w="180" w:type="dxa"/>
              <w:bottom w:w="120" w:type="dxa"/>
              <w:right w:w="180" w:type="dxa"/>
            </w:tcMar>
            <w:vAlign w:val="center"/>
            <w:hideMark/>
          </w:tcPr>
          <w:p w14:paraId="4B31B2EB" w14:textId="77777777" w:rsidR="00072DC1" w:rsidRPr="006250F4" w:rsidRDefault="00072DC1" w:rsidP="00072DC1">
            <w:pPr>
              <w:rPr>
                <w:rFonts w:ascii="Arial" w:hAnsi="Arial" w:cs="Arial"/>
              </w:rPr>
            </w:pPr>
            <w:r w:rsidRPr="006250F4">
              <w:rPr>
                <w:rFonts w:ascii="Arial" w:hAnsi="Arial" w:cs="Arial"/>
                <w:b/>
                <w:bCs/>
              </w:rPr>
              <w:t>Whitbread PLC</w:t>
            </w:r>
          </w:p>
        </w:tc>
        <w:tc>
          <w:tcPr>
            <w:tcW w:w="0" w:type="auto"/>
            <w:tcBorders>
              <w:top w:val="single" w:sz="6" w:space="0" w:color="C4C7C5"/>
              <w:left w:val="single" w:sz="6" w:space="0" w:color="C4C7C5"/>
              <w:bottom w:val="single" w:sz="6" w:space="0" w:color="C4C7C5"/>
              <w:right w:val="single" w:sz="6" w:space="0" w:color="C4C7C5"/>
            </w:tcBorders>
            <w:shd w:val="clear" w:color="auto" w:fill="8EAADB" w:themeFill="accent1" w:themeFillTint="99"/>
            <w:tcMar>
              <w:top w:w="120" w:type="dxa"/>
              <w:left w:w="180" w:type="dxa"/>
              <w:bottom w:w="120" w:type="dxa"/>
              <w:right w:w="180" w:type="dxa"/>
            </w:tcMar>
            <w:vAlign w:val="center"/>
            <w:hideMark/>
          </w:tcPr>
          <w:p w14:paraId="4CA9CB65" w14:textId="77777777" w:rsidR="00072DC1" w:rsidRPr="006250F4" w:rsidRDefault="00072DC1" w:rsidP="00072DC1">
            <w:pPr>
              <w:rPr>
                <w:rFonts w:ascii="Arial" w:hAnsi="Arial" w:cs="Arial"/>
              </w:rPr>
            </w:pPr>
            <w:r w:rsidRPr="006250F4">
              <w:rPr>
                <w:rFonts w:ascii="Arial" w:hAnsi="Arial" w:cs="Arial"/>
                <w:b/>
                <w:bCs/>
              </w:rPr>
              <w:t>Accor SA</w:t>
            </w:r>
          </w:p>
        </w:tc>
        <w:tc>
          <w:tcPr>
            <w:tcW w:w="0" w:type="auto"/>
            <w:tcBorders>
              <w:top w:val="single" w:sz="6" w:space="0" w:color="C4C7C5"/>
              <w:left w:val="single" w:sz="6" w:space="0" w:color="C4C7C5"/>
              <w:bottom w:val="single" w:sz="6" w:space="0" w:color="C4C7C5"/>
              <w:right w:val="single" w:sz="6" w:space="0" w:color="C4C7C5"/>
            </w:tcBorders>
            <w:shd w:val="clear" w:color="auto" w:fill="8EAADB" w:themeFill="accent1" w:themeFillTint="99"/>
            <w:tcMar>
              <w:top w:w="120" w:type="dxa"/>
              <w:left w:w="180" w:type="dxa"/>
              <w:bottom w:w="120" w:type="dxa"/>
              <w:right w:w="180" w:type="dxa"/>
            </w:tcMar>
            <w:vAlign w:val="center"/>
            <w:hideMark/>
          </w:tcPr>
          <w:p w14:paraId="28ECBC5B" w14:textId="77777777" w:rsidR="00072DC1" w:rsidRPr="006250F4" w:rsidRDefault="00072DC1" w:rsidP="00072DC1">
            <w:pPr>
              <w:rPr>
                <w:rFonts w:ascii="Arial" w:hAnsi="Arial" w:cs="Arial"/>
              </w:rPr>
            </w:pPr>
            <w:r w:rsidRPr="006250F4">
              <w:rPr>
                <w:rFonts w:ascii="Arial" w:hAnsi="Arial" w:cs="Arial"/>
                <w:b/>
                <w:bCs/>
              </w:rPr>
              <w:t>TUI AG</w:t>
            </w:r>
          </w:p>
        </w:tc>
      </w:tr>
      <w:tr w:rsidR="00072DC1" w:rsidRPr="006250F4" w14:paraId="1ADC1A3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A5BF75" w14:textId="77777777" w:rsidR="00072DC1" w:rsidRPr="006250F4" w:rsidRDefault="00072DC1" w:rsidP="00072DC1">
            <w:pPr>
              <w:rPr>
                <w:rFonts w:ascii="Arial" w:hAnsi="Arial" w:cs="Arial"/>
              </w:rPr>
            </w:pPr>
            <w:r w:rsidRPr="006250F4">
              <w:rPr>
                <w:rFonts w:ascii="Arial" w:hAnsi="Arial" w:cs="Arial"/>
                <w:b/>
                <w:bCs/>
              </w:rPr>
              <w:t>Operating Cash Flow Ratio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AAE977D" w14:textId="2E8EFB97" w:rsidR="00072DC1" w:rsidRPr="006250F4" w:rsidRDefault="00072DC1" w:rsidP="00072DC1">
            <w:pPr>
              <w:rPr>
                <w:rFonts w:ascii="Arial" w:hAnsi="Arial" w:cs="Arial"/>
              </w:rPr>
            </w:pPr>
            <w:r w:rsidRPr="006250F4">
              <w:rPr>
                <w:rFonts w:ascii="Arial" w:hAnsi="Arial" w:cs="Arial"/>
                <w:b/>
                <w:bCs/>
              </w:rPr>
              <w:t>1.</w:t>
            </w:r>
            <w:r w:rsidR="002606B1">
              <w:rPr>
                <w:rFonts w:ascii="Arial" w:hAnsi="Arial" w:cs="Arial"/>
                <w:b/>
                <w:bCs/>
              </w:rPr>
              <w:t>58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F661CB" w14:textId="77777777" w:rsidR="00072DC1" w:rsidRPr="006250F4" w:rsidRDefault="00072DC1" w:rsidP="00072DC1">
            <w:pPr>
              <w:rPr>
                <w:rFonts w:ascii="Arial" w:hAnsi="Arial" w:cs="Arial"/>
              </w:rPr>
            </w:pPr>
            <w:r w:rsidRPr="006250F4">
              <w:rPr>
                <w:rFonts w:ascii="Arial" w:hAnsi="Arial" w:cs="Arial"/>
              </w:rPr>
              <w:t>0.30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1251E2" w14:textId="77777777" w:rsidR="00072DC1" w:rsidRPr="006250F4" w:rsidRDefault="00072DC1" w:rsidP="00072DC1">
            <w:pPr>
              <w:rPr>
                <w:rFonts w:ascii="Arial" w:hAnsi="Arial" w:cs="Arial"/>
              </w:rPr>
            </w:pPr>
            <w:r w:rsidRPr="006250F4">
              <w:rPr>
                <w:rFonts w:ascii="Arial" w:hAnsi="Arial" w:cs="Arial"/>
              </w:rPr>
              <w:t>0.21</w:t>
            </w:r>
          </w:p>
        </w:tc>
      </w:tr>
      <w:tr w:rsidR="00072DC1" w:rsidRPr="006250F4" w14:paraId="41F9C47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E6F5B8" w14:textId="77777777" w:rsidR="00072DC1" w:rsidRPr="006250F4" w:rsidRDefault="00072DC1" w:rsidP="00072DC1">
            <w:pPr>
              <w:rPr>
                <w:rFonts w:ascii="Arial" w:hAnsi="Arial" w:cs="Arial"/>
              </w:rPr>
            </w:pPr>
            <w:r w:rsidRPr="006250F4">
              <w:rPr>
                <w:rFonts w:ascii="Arial" w:hAnsi="Arial" w:cs="Arial"/>
                <w:b/>
                <w:bCs/>
              </w:rPr>
              <w:t>Free Cash Flow Margin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6D54BC" w14:textId="77777777" w:rsidR="00072DC1" w:rsidRPr="006250F4" w:rsidRDefault="00072DC1" w:rsidP="00072DC1">
            <w:pPr>
              <w:rPr>
                <w:rFonts w:ascii="Arial" w:hAnsi="Arial" w:cs="Arial"/>
              </w:rPr>
            </w:pPr>
            <w:r w:rsidRPr="006250F4">
              <w:rPr>
                <w:rFonts w:ascii="Arial" w:hAnsi="Arial" w:cs="Arial"/>
                <w:b/>
                <w:bCs/>
              </w:rPr>
              <w:t>5.41%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586F50" w14:textId="5370CF0A" w:rsidR="00072DC1" w:rsidRPr="006250F4" w:rsidRDefault="002606B1" w:rsidP="00072DC1">
            <w:pPr>
              <w:rPr>
                <w:rFonts w:ascii="Arial" w:hAnsi="Arial" w:cs="Arial"/>
              </w:rPr>
            </w:pPr>
            <w:r>
              <w:rPr>
                <w:rFonts w:ascii="Arial" w:hAnsi="Arial" w:cs="Arial"/>
              </w:rPr>
              <w:t>11.2</w:t>
            </w:r>
            <w:r w:rsidR="00072DC1" w:rsidRPr="006250F4">
              <w:rPr>
                <w:rFonts w:ascii="Arial" w:hAnsi="Arial" w:cs="Arial"/>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B320B0" w14:textId="5C1C3D5F" w:rsidR="00072DC1" w:rsidRPr="006250F4" w:rsidRDefault="002606B1" w:rsidP="00072DC1">
            <w:pPr>
              <w:rPr>
                <w:rFonts w:ascii="Arial" w:hAnsi="Arial" w:cs="Arial"/>
              </w:rPr>
            </w:pPr>
            <w:r>
              <w:rPr>
                <w:rFonts w:ascii="Arial" w:hAnsi="Arial" w:cs="Arial"/>
              </w:rPr>
              <w:t>4.9</w:t>
            </w:r>
            <w:r w:rsidR="00072DC1" w:rsidRPr="006250F4">
              <w:rPr>
                <w:rFonts w:ascii="Arial" w:hAnsi="Arial" w:cs="Arial"/>
              </w:rPr>
              <w:t>%</w:t>
            </w:r>
          </w:p>
        </w:tc>
      </w:tr>
    </w:tbl>
    <w:p w14:paraId="41DDD342" w14:textId="77777777" w:rsidR="00072DC1" w:rsidRPr="006250F4" w:rsidRDefault="00072DC1" w:rsidP="002C69C9">
      <w:pPr>
        <w:rPr>
          <w:rFonts w:ascii="Arial" w:hAnsi="Arial" w:cs="Arial"/>
        </w:rPr>
      </w:pPr>
    </w:p>
    <w:p w14:paraId="7CD0EA20" w14:textId="5E62D24C" w:rsidR="000A39DC" w:rsidRPr="006250F4" w:rsidRDefault="002C69C9" w:rsidP="000A39DC">
      <w:pPr>
        <w:rPr>
          <w:rFonts w:ascii="Arial" w:hAnsi="Arial" w:cs="Arial"/>
          <w:sz w:val="24"/>
          <w:szCs w:val="24"/>
        </w:rPr>
      </w:pPr>
      <w:r w:rsidRPr="006250F4">
        <w:rPr>
          <w:rFonts w:ascii="Arial" w:hAnsi="Arial" w:cs="Arial"/>
          <w:sz w:val="24"/>
          <w:szCs w:val="24"/>
        </w:rPr>
        <w:t xml:space="preserve">According to the read-through, Whitbread has a larger short-term liquidity buffer than its competitors, which makes sense given that it is still expanding and spending </w:t>
      </w:r>
      <w:r w:rsidRPr="006250F4">
        <w:rPr>
          <w:rFonts w:ascii="Arial" w:hAnsi="Arial" w:cs="Arial"/>
          <w:sz w:val="24"/>
          <w:szCs w:val="24"/>
        </w:rPr>
        <w:lastRenderedPageBreak/>
        <w:t>capital expenditures. Additionally, because of the ongoing FY20</w:t>
      </w:r>
      <w:r w:rsidR="002606B1">
        <w:rPr>
          <w:rFonts w:ascii="Arial" w:hAnsi="Arial" w:cs="Arial"/>
          <w:sz w:val="24"/>
          <w:szCs w:val="24"/>
        </w:rPr>
        <w:t>25</w:t>
      </w:r>
      <w:r w:rsidRPr="006250F4">
        <w:rPr>
          <w:rFonts w:ascii="Arial" w:hAnsi="Arial" w:cs="Arial"/>
          <w:sz w:val="24"/>
          <w:szCs w:val="24"/>
        </w:rPr>
        <w:t xml:space="preserve"> scare, the ratio may have been purposefully kept above the level where it would be efficient because that was a quick one to move if the scare materialized on the day.</w:t>
      </w:r>
    </w:p>
    <w:p w14:paraId="2019E6F2" w14:textId="77777777" w:rsidR="00F3738D" w:rsidRPr="006250F4" w:rsidRDefault="00F3738D" w:rsidP="00F3738D">
      <w:pPr>
        <w:pStyle w:val="Heading1"/>
        <w:rPr>
          <w:rFonts w:ascii="Arial" w:hAnsi="Arial" w:cs="Arial"/>
        </w:rPr>
      </w:pPr>
      <w:bookmarkStart w:id="6" w:name="_Toc237493782"/>
      <w:r w:rsidRPr="006250F4">
        <w:rPr>
          <w:rFonts w:ascii="Arial" w:hAnsi="Arial" w:cs="Arial"/>
        </w:rPr>
        <w:t>2. Working Capital Management Analysis</w:t>
      </w:r>
      <w:bookmarkEnd w:id="6"/>
    </w:p>
    <w:p w14:paraId="1169B7E4" w14:textId="1FC07302" w:rsidR="00587CD1" w:rsidRDefault="00F3738D" w:rsidP="00587CD1">
      <w:pPr>
        <w:pStyle w:val="Heading2"/>
        <w:rPr>
          <w:rFonts w:ascii="Arial" w:hAnsi="Arial" w:cs="Arial"/>
        </w:rPr>
      </w:pPr>
      <w:bookmarkStart w:id="7" w:name="_Toc237493783"/>
      <w:r w:rsidRPr="006250F4">
        <w:rPr>
          <w:rFonts w:ascii="Arial" w:hAnsi="Arial" w:cs="Arial"/>
        </w:rPr>
        <w:t>a. The cash operating cycle</w:t>
      </w:r>
      <w:bookmarkEnd w:id="7"/>
    </w:p>
    <w:p w14:paraId="08D7A291" w14:textId="77777777" w:rsidR="00587CD1" w:rsidRDefault="00587CD1" w:rsidP="00587CD1">
      <w:pPr>
        <w:keepNext/>
      </w:pPr>
      <w:r w:rsidRPr="006250F4">
        <w:rPr>
          <w:rFonts w:ascii="Arial" w:hAnsi="Arial" w:cs="Arial"/>
          <w:noProof/>
        </w:rPr>
        <w:drawing>
          <wp:inline distT="0" distB="0" distL="0" distR="0" wp14:anchorId="42390D06" wp14:editId="21B58708">
            <wp:extent cx="5303520" cy="3182112"/>
            <wp:effectExtent l="0" t="0" r="0" b="0"/>
            <wp:docPr id="555234790" name="Picture 555234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5_ccc.png"/>
                    <pic:cNvPicPr/>
                  </pic:nvPicPr>
                  <pic:blipFill>
                    <a:blip r:embed="rId13"/>
                    <a:stretch>
                      <a:fillRect/>
                    </a:stretch>
                  </pic:blipFill>
                  <pic:spPr>
                    <a:xfrm>
                      <a:off x="0" y="0"/>
                      <a:ext cx="5303520" cy="3182112"/>
                    </a:xfrm>
                    <a:prstGeom prst="rect">
                      <a:avLst/>
                    </a:prstGeom>
                  </pic:spPr>
                </pic:pic>
              </a:graphicData>
            </a:graphic>
          </wp:inline>
        </w:drawing>
      </w:r>
    </w:p>
    <w:p w14:paraId="2D53219D" w14:textId="65E1F60F" w:rsidR="00587CD1" w:rsidRPr="00587CD1" w:rsidRDefault="00587CD1" w:rsidP="00587CD1">
      <w:pPr>
        <w:pStyle w:val="Caption"/>
      </w:pPr>
      <w:r>
        <w:t xml:space="preserve">Figure </w:t>
      </w:r>
      <w:r w:rsidR="00131122">
        <w:fldChar w:fldCharType="begin"/>
      </w:r>
      <w:r w:rsidR="00131122">
        <w:instrText xml:space="preserve"> SEQ Figure \* ARABIC </w:instrText>
      </w:r>
      <w:r w:rsidR="00131122">
        <w:fldChar w:fldCharType="separate"/>
      </w:r>
      <w:r w:rsidR="00131122">
        <w:rPr>
          <w:noProof/>
        </w:rPr>
        <w:t>5</w:t>
      </w:r>
      <w:r w:rsidR="00131122">
        <w:rPr>
          <w:noProof/>
        </w:rPr>
        <w:fldChar w:fldCharType="end"/>
      </w:r>
      <w:r>
        <w:rPr>
          <w:lang w:val="en-US"/>
        </w:rPr>
        <w:t>.</w:t>
      </w:r>
      <w:r w:rsidRPr="00457B3C">
        <w:rPr>
          <w:lang w:val="en-US"/>
        </w:rPr>
        <w:t>Whitbread PLC Cash Conversion Cycle Components, FY2021-FY2025. Source: Whitbread PLC Annual Report and Accounts, FY20/21-FY24/25.</w:t>
      </w:r>
    </w:p>
    <w:p w14:paraId="4EA1664F" w14:textId="22C08447" w:rsidR="00F3738D" w:rsidRPr="006250F4" w:rsidRDefault="00F3738D" w:rsidP="00F3738D">
      <w:pPr>
        <w:rPr>
          <w:rFonts w:ascii="Arial" w:hAnsi="Arial" w:cs="Arial"/>
          <w:sz w:val="24"/>
          <w:szCs w:val="24"/>
        </w:rPr>
      </w:pPr>
      <w:r w:rsidRPr="006250F4">
        <w:rPr>
          <w:rFonts w:ascii="Arial" w:hAnsi="Arial" w:cs="Arial"/>
          <w:sz w:val="24"/>
          <w:szCs w:val="24"/>
        </w:rPr>
        <w:t>For the previous five years, Whitbread’s Cash Conversion Cycle has been negative (from -</w:t>
      </w:r>
      <w:r w:rsidR="0010600B" w:rsidRPr="0010600B">
        <w:rPr>
          <w:rFonts w:ascii="Arial" w:hAnsi="Arial" w:cs="Arial"/>
          <w:sz w:val="24"/>
          <w:szCs w:val="24"/>
        </w:rPr>
        <w:t>24.2 days in FY2021 to as low as -100.4 days in FY2022, moderating to -92.3, -83.2 and -81.2 days in FY2023-FY2025</w:t>
      </w:r>
      <w:r w:rsidRPr="006250F4">
        <w:rPr>
          <w:rFonts w:ascii="Arial" w:hAnsi="Arial" w:cs="Arial"/>
          <w:sz w:val="24"/>
          <w:szCs w:val="24"/>
        </w:rPr>
        <w:t xml:space="preserve">). To put it simply, Whitbread collects money from visitors approximately one month prior to having to pay its suppliers. It’s a structurally sound position, but it’s crucial to pinpoint its origin because the three components have moved rather differently. </w:t>
      </w:r>
    </w:p>
    <w:p w14:paraId="17D3582C" w14:textId="78EE4E3B" w:rsidR="00F3738D" w:rsidRPr="006250F4" w:rsidRDefault="00F3738D" w:rsidP="00F3738D">
      <w:pPr>
        <w:rPr>
          <w:rFonts w:ascii="Arial" w:hAnsi="Arial" w:cs="Arial"/>
          <w:sz w:val="24"/>
          <w:szCs w:val="24"/>
        </w:rPr>
      </w:pPr>
      <w:r w:rsidRPr="006250F4">
        <w:rPr>
          <w:rFonts w:ascii="Arial" w:hAnsi="Arial" w:cs="Arial"/>
          <w:sz w:val="24"/>
          <w:szCs w:val="24"/>
        </w:rPr>
        <w:t xml:space="preserve">The inventory days, which were </w:t>
      </w:r>
      <w:r w:rsidR="00CB5AEE" w:rsidRPr="00CB5AEE">
        <w:rPr>
          <w:rFonts w:ascii="Arial" w:hAnsi="Arial" w:cs="Arial"/>
          <w:sz w:val="24"/>
          <w:szCs w:val="24"/>
        </w:rPr>
        <w:t>2.8 days in FY2021 (peaking at 4.4 days in FY2022) and roughly 2.6-3.7 days from FY2023 onward</w:t>
      </w:r>
      <w:r w:rsidRPr="006250F4">
        <w:rPr>
          <w:rFonts w:ascii="Arial" w:hAnsi="Arial" w:cs="Arial"/>
          <w:sz w:val="24"/>
          <w:szCs w:val="24"/>
        </w:rPr>
        <w:t>, are meaningless. Since there isn’t any actual stock to hold, a hotel man is likely to see this line, which has little bearing on the CCC needle.</w:t>
      </w:r>
    </w:p>
    <w:p w14:paraId="551B7546" w14:textId="2113AA9F" w:rsidR="00F3738D" w:rsidRPr="006250F4" w:rsidRDefault="00F3738D" w:rsidP="00F3738D">
      <w:pPr>
        <w:rPr>
          <w:rFonts w:ascii="Arial" w:hAnsi="Arial" w:cs="Arial"/>
          <w:sz w:val="24"/>
          <w:szCs w:val="24"/>
        </w:rPr>
      </w:pPr>
      <w:r w:rsidRPr="006250F4">
        <w:rPr>
          <w:rFonts w:ascii="Arial" w:hAnsi="Arial" w:cs="Arial"/>
          <w:sz w:val="24"/>
          <w:szCs w:val="24"/>
        </w:rPr>
        <w:lastRenderedPageBreak/>
        <w:t xml:space="preserve">From </w:t>
      </w:r>
      <w:r w:rsidR="00CB5AEE" w:rsidRPr="00CB5AEE">
        <w:rPr>
          <w:rFonts w:ascii="Arial" w:hAnsi="Arial" w:cs="Arial"/>
          <w:sz w:val="24"/>
          <w:szCs w:val="24"/>
        </w:rPr>
        <w:t>45.95 days in FY2021 to 14.71 days in FY2024, ticking up slightly to 15.88 days in FY2025</w:t>
      </w:r>
      <w:r w:rsidRPr="006250F4">
        <w:rPr>
          <w:rFonts w:ascii="Arial" w:hAnsi="Arial" w:cs="Arial"/>
          <w:sz w:val="24"/>
          <w:szCs w:val="24"/>
        </w:rPr>
        <w:t xml:space="preserve">, receivable days have significantly improved. This is not only a good outcome, but an even greater portion of Whitbread’s income now comes from cash-at-point-of-sale (room reservations, direct card payment), which is to be expected given that business and leisure travel has resumed as usual and that account billing for corporate clients has decreased. The real causes of the bad CCC are payable days, which have been more dynamic (totally mispronounced, but you get the point). After that, they went </w:t>
      </w:r>
      <w:r w:rsidR="00CB5AEE" w:rsidRPr="00CB5AEE">
        <w:rPr>
          <w:rFonts w:ascii="Arial" w:hAnsi="Arial" w:cs="Arial"/>
          <w:sz w:val="24"/>
          <w:szCs w:val="24"/>
        </w:rPr>
        <w:t>from 72.97 days in FY2021 to a peak of 129.72 days in FY2022, then eased only modestly to 115.8, 101.1 and 99.7 days in FY2023-FY2025 still nearly 30 days longer than pre-pandemic levels, not close to a 45-50 day range</w:t>
      </w:r>
      <w:r w:rsidRPr="006250F4">
        <w:rPr>
          <w:rFonts w:ascii="Arial" w:hAnsi="Arial" w:cs="Arial"/>
          <w:sz w:val="24"/>
          <w:szCs w:val="24"/>
        </w:rPr>
        <w:t xml:space="preserve"> once the business stabilized and supplier relationships were rebalanced.</w:t>
      </w:r>
    </w:p>
    <w:p w14:paraId="456FD650" w14:textId="5FBDD11E" w:rsidR="00F3738D" w:rsidRPr="006250F4" w:rsidRDefault="00F3738D" w:rsidP="00F3738D">
      <w:pPr>
        <w:rPr>
          <w:rFonts w:ascii="Arial" w:hAnsi="Arial" w:cs="Arial"/>
          <w:sz w:val="24"/>
          <w:szCs w:val="24"/>
        </w:rPr>
      </w:pPr>
      <w:r w:rsidRPr="006250F4">
        <w:rPr>
          <w:rFonts w:ascii="Arial" w:hAnsi="Arial" w:cs="Arial"/>
          <w:sz w:val="24"/>
          <w:szCs w:val="24"/>
        </w:rPr>
        <w:t xml:space="preserve">As a result, Whitbread’s working capital cycle is both effective and a source of funding: supplier credit, rather than capital, is effectively used to finance a portion of Whitbread’s working capital requirements. That’s a potent tool, but it’s crucial to keep in mind that the </w:t>
      </w:r>
      <w:r w:rsidR="00646808" w:rsidRPr="00646808">
        <w:rPr>
          <w:rFonts w:ascii="Arial" w:hAnsi="Arial" w:cs="Arial"/>
          <w:sz w:val="24"/>
          <w:szCs w:val="24"/>
        </w:rPr>
        <w:t>payable-days increase in FY2022 (129.72 days</w:t>
      </w:r>
      <w:r w:rsidR="00E751D7">
        <w:rPr>
          <w:rFonts w:ascii="Arial" w:hAnsi="Arial" w:cs="Arial"/>
          <w:sz w:val="24"/>
          <w:szCs w:val="24"/>
        </w:rPr>
        <w:t>)</w:t>
      </w:r>
      <w:r w:rsidRPr="006250F4">
        <w:rPr>
          <w:rFonts w:ascii="Arial" w:hAnsi="Arial" w:cs="Arial"/>
          <w:sz w:val="24"/>
          <w:szCs w:val="24"/>
        </w:rPr>
        <w:t xml:space="preserve"> is close to the point at which a supplier relationship or terms may begin to face pressure, so it shouldn’t be used as a liquidity cushion permanently.</w:t>
      </w:r>
    </w:p>
    <w:p w14:paraId="601CF23D" w14:textId="611A51DC" w:rsidR="00F3738D" w:rsidRPr="006250F4" w:rsidRDefault="00F3738D" w:rsidP="004D5AFE">
      <w:pPr>
        <w:pStyle w:val="Heading2"/>
        <w:rPr>
          <w:rFonts w:ascii="Arial" w:hAnsi="Arial" w:cs="Arial"/>
        </w:rPr>
      </w:pPr>
      <w:bookmarkStart w:id="8" w:name="_Toc237493784"/>
      <w:r w:rsidRPr="006250F4">
        <w:rPr>
          <w:rFonts w:ascii="Arial" w:hAnsi="Arial" w:cs="Arial"/>
        </w:rPr>
        <w:t>b. Recommendations to improve liquidity through working capital reform</w:t>
      </w:r>
      <w:bookmarkEnd w:id="8"/>
    </w:p>
    <w:p w14:paraId="634E44DF" w14:textId="0162770E" w:rsidR="00F3738D" w:rsidRPr="006250F4" w:rsidRDefault="00F3738D" w:rsidP="00F3738D">
      <w:pPr>
        <w:rPr>
          <w:rFonts w:ascii="Arial" w:hAnsi="Arial" w:cs="Arial"/>
          <w:sz w:val="24"/>
          <w:szCs w:val="24"/>
        </w:rPr>
      </w:pPr>
      <w:r w:rsidRPr="006250F4">
        <w:rPr>
          <w:rFonts w:ascii="Arial" w:hAnsi="Arial" w:cs="Arial"/>
          <w:sz w:val="24"/>
          <w:szCs w:val="24"/>
        </w:rPr>
        <w:t xml:space="preserve">Whitbread’s value is most affected by how the company handles the cash generated by the operational cycle and how it lessens the volatility that surfaced in FY2024, not by the cycle itself. </w:t>
      </w:r>
    </w:p>
    <w:p w14:paraId="30FB07C0" w14:textId="4FFB74E8" w:rsidR="00F3738D" w:rsidRPr="006250F4" w:rsidRDefault="00F3738D" w:rsidP="00F3738D">
      <w:pPr>
        <w:rPr>
          <w:rFonts w:ascii="Arial" w:hAnsi="Arial" w:cs="Arial"/>
          <w:sz w:val="24"/>
          <w:szCs w:val="24"/>
        </w:rPr>
      </w:pPr>
      <w:r w:rsidRPr="006250F4">
        <w:rPr>
          <w:rFonts w:ascii="Arial" w:hAnsi="Arial" w:cs="Arial"/>
          <w:sz w:val="24"/>
          <w:szCs w:val="24"/>
        </w:rPr>
        <w:t>First, set up a short-term investment policy and cash sweep for the excess cash of the negative CCC. There is a real chance to invest excess funds in short-dated investment-grade instruments (like money market funds and short gilts) without sacrificing operational liquiditya low-risk method of generating finance income without increasing cash. The five-year trend</w:t>
      </w:r>
      <w:r w:rsidR="007D0873">
        <w:rPr>
          <w:rFonts w:ascii="Arial" w:hAnsi="Arial" w:cs="Arial"/>
          <w:sz w:val="24"/>
          <w:szCs w:val="24"/>
        </w:rPr>
        <w:t xml:space="preserve"> for</w:t>
      </w:r>
      <w:r w:rsidRPr="006250F4">
        <w:rPr>
          <w:rFonts w:ascii="Arial" w:hAnsi="Arial" w:cs="Arial"/>
          <w:sz w:val="24"/>
          <w:szCs w:val="24"/>
        </w:rPr>
        <w:t xml:space="preserve"> </w:t>
      </w:r>
      <w:r w:rsidR="00903CA9" w:rsidRPr="00903CA9">
        <w:rPr>
          <w:rFonts w:ascii="Arial" w:hAnsi="Arial" w:cs="Arial"/>
          <w:sz w:val="24"/>
          <w:szCs w:val="24"/>
        </w:rPr>
        <w:t>cash and equivalents has been between roughly £696.7 million and £1,256.0 million</w:t>
      </w:r>
      <w:r w:rsidRPr="006250F4">
        <w:rPr>
          <w:rFonts w:ascii="Arial" w:hAnsi="Arial" w:cs="Arial"/>
          <w:sz w:val="24"/>
          <w:szCs w:val="24"/>
        </w:rPr>
        <w:t xml:space="preserve"> at year’s end.</w:t>
      </w:r>
    </w:p>
    <w:p w14:paraId="08FCFEC8" w14:textId="4F96EA6E" w:rsidR="00F3738D" w:rsidRPr="006250F4" w:rsidRDefault="00336FF5" w:rsidP="00F3738D">
      <w:pPr>
        <w:rPr>
          <w:rFonts w:ascii="Arial" w:hAnsi="Arial" w:cs="Arial"/>
          <w:sz w:val="24"/>
          <w:szCs w:val="24"/>
        </w:rPr>
      </w:pPr>
      <w:r w:rsidRPr="00336FF5">
        <w:rPr>
          <w:rFonts w:ascii="Arial" w:hAnsi="Arial" w:cs="Arial"/>
          <w:sz w:val="24"/>
          <w:szCs w:val="24"/>
        </w:rPr>
        <w:t xml:space="preserve">Second, create a maturity ladder for short-term loans so that no one bond or facility maturity can ever be seen to have a distorting effect on the current ratio, which dropped below the 1.0 threshold that credit agencies and lenders regularly monitor </w:t>
      </w:r>
      <w:r w:rsidRPr="00336FF5">
        <w:rPr>
          <w:rFonts w:ascii="Arial" w:hAnsi="Arial" w:cs="Arial"/>
          <w:sz w:val="24"/>
          <w:szCs w:val="24"/>
        </w:rPr>
        <w:lastRenderedPageBreak/>
        <w:t>for the first time in FY2025 (0.91) — FY2024 (1.02) was still just above it. Refinancing would take place well in advance of the roll-over dates, and the debt maturities would be spaced out.</w:t>
      </w:r>
    </w:p>
    <w:p w14:paraId="1A7FB2ED" w14:textId="39D1D473" w:rsidR="00F3738D" w:rsidRPr="006250F4" w:rsidRDefault="00F3738D" w:rsidP="00F3738D">
      <w:pPr>
        <w:rPr>
          <w:rFonts w:ascii="Arial" w:hAnsi="Arial" w:cs="Arial"/>
          <w:sz w:val="24"/>
          <w:szCs w:val="24"/>
        </w:rPr>
      </w:pPr>
      <w:r w:rsidRPr="006250F4">
        <w:rPr>
          <w:rFonts w:ascii="Arial" w:hAnsi="Arial" w:cs="Arial"/>
          <w:sz w:val="24"/>
          <w:szCs w:val="24"/>
        </w:rPr>
        <w:t>Third, exercise discipline when it comes to payment days; don’t prolong them. The lever is in place for the FY2022 peak, but going overboard with supplier terms could result in higher input prices being discreetly passed on or supplier disruption in a company where the guest experience depends on the supplier’s delivery. Pursuing the FY2022 extreme is not as viable as a</w:t>
      </w:r>
      <w:r w:rsidR="00336FF5">
        <w:rPr>
          <w:rFonts w:ascii="Arial" w:hAnsi="Arial" w:cs="Arial"/>
          <w:sz w:val="24"/>
          <w:szCs w:val="24"/>
        </w:rPr>
        <w:t xml:space="preserve"> </w:t>
      </w:r>
      <w:r w:rsidR="00AC3296" w:rsidRPr="00AC3296">
        <w:rPr>
          <w:rFonts w:ascii="Arial" w:hAnsi="Arial" w:cs="Arial"/>
          <w:sz w:val="24"/>
          <w:szCs w:val="24"/>
        </w:rPr>
        <w:t>target band closer to 60-90 days</w:t>
      </w:r>
      <w:r w:rsidRPr="006250F4">
        <w:rPr>
          <w:rFonts w:ascii="Arial" w:hAnsi="Arial" w:cs="Arial"/>
          <w:sz w:val="24"/>
          <w:szCs w:val="24"/>
        </w:rPr>
        <w:t>.</w:t>
      </w:r>
    </w:p>
    <w:p w14:paraId="719C93B8" w14:textId="75C0266C" w:rsidR="00F3738D" w:rsidRDefault="00F3738D" w:rsidP="00F3738D">
      <w:pPr>
        <w:rPr>
          <w:rFonts w:ascii="Arial" w:hAnsi="Arial" w:cs="Arial"/>
          <w:sz w:val="24"/>
          <w:szCs w:val="24"/>
        </w:rPr>
      </w:pPr>
      <w:r w:rsidRPr="006250F4">
        <w:rPr>
          <w:rFonts w:ascii="Arial" w:hAnsi="Arial" w:cs="Arial"/>
          <w:sz w:val="24"/>
          <w:szCs w:val="24"/>
        </w:rPr>
        <w:t>Fourth, since the credit terms of corporate and business accounts are the main cause of the already low receivable days, any additional improvements would likely be minimal. Rather than making a general change, it might be preferable to establish a credit policy and improve the credit terms of the lowest-value, highest-risk corporate accounts.</w:t>
      </w:r>
    </w:p>
    <w:p w14:paraId="72F10B31" w14:textId="77777777" w:rsidR="006250F4" w:rsidRPr="006250F4" w:rsidRDefault="006250F4" w:rsidP="00F3738D">
      <w:pPr>
        <w:rPr>
          <w:rFonts w:ascii="Arial" w:hAnsi="Arial" w:cs="Arial"/>
          <w:sz w:val="24"/>
          <w:szCs w:val="24"/>
        </w:rPr>
      </w:pPr>
    </w:p>
    <w:p w14:paraId="76BE5F6B" w14:textId="0FFCDA1B" w:rsidR="00F3738D" w:rsidRPr="006250F4" w:rsidRDefault="006250F4" w:rsidP="004D5AFE">
      <w:pPr>
        <w:pStyle w:val="Heading2"/>
        <w:rPr>
          <w:rFonts w:ascii="Arial" w:hAnsi="Arial" w:cs="Arial"/>
        </w:rPr>
      </w:pPr>
      <w:bookmarkStart w:id="9" w:name="_Toc237493785"/>
      <w:r>
        <w:rPr>
          <w:rFonts w:ascii="Arial" w:hAnsi="Arial" w:cs="Arial"/>
        </w:rPr>
        <w:t>c</w:t>
      </w:r>
      <w:r w:rsidR="00F3738D" w:rsidRPr="006250F4">
        <w:rPr>
          <w:rFonts w:ascii="Arial" w:hAnsi="Arial" w:cs="Arial"/>
        </w:rPr>
        <w:t>. Short-term v/s long-term financing</w:t>
      </w:r>
      <w:bookmarkEnd w:id="9"/>
    </w:p>
    <w:p w14:paraId="22A29374" w14:textId="254034B8" w:rsidR="00F3738D" w:rsidRPr="006250F4" w:rsidRDefault="00F3738D" w:rsidP="00F3738D">
      <w:pPr>
        <w:rPr>
          <w:rFonts w:ascii="Arial" w:hAnsi="Arial" w:cs="Arial"/>
          <w:sz w:val="24"/>
          <w:szCs w:val="24"/>
        </w:rPr>
      </w:pPr>
      <w:r w:rsidRPr="006250F4">
        <w:rPr>
          <w:rFonts w:ascii="Arial" w:hAnsi="Arial" w:cs="Arial"/>
          <w:sz w:val="24"/>
          <w:szCs w:val="24"/>
        </w:rPr>
        <w:t>The strongest justification for matching the structure of assets to finance</w:t>
      </w:r>
      <w:r w:rsidR="002606B1">
        <w:rPr>
          <w:rFonts w:ascii="Arial" w:hAnsi="Arial" w:cs="Arial"/>
          <w:sz w:val="24"/>
          <w:szCs w:val="24"/>
        </w:rPr>
        <w:t xml:space="preserve"> is</w:t>
      </w:r>
      <w:r w:rsidRPr="006250F4">
        <w:rPr>
          <w:rFonts w:ascii="Arial" w:hAnsi="Arial" w:cs="Arial"/>
          <w:sz w:val="24"/>
          <w:szCs w:val="24"/>
        </w:rPr>
        <w:t xml:space="preserve"> </w:t>
      </w:r>
      <w:r w:rsidR="00AC3296" w:rsidRPr="00AC3296">
        <w:rPr>
          <w:rFonts w:ascii="Arial" w:hAnsi="Arial" w:cs="Arial"/>
          <w:sz w:val="24"/>
          <w:szCs w:val="24"/>
        </w:rPr>
        <w:t>the liquidity issue for FY2025</w:t>
      </w:r>
      <w:r w:rsidRPr="006250F4">
        <w:rPr>
          <w:rFonts w:ascii="Arial" w:hAnsi="Arial" w:cs="Arial"/>
          <w:sz w:val="24"/>
          <w:szCs w:val="24"/>
        </w:rPr>
        <w:t xml:space="preserve"> alone. On the other hand, short-term financing (commercial paper, revolving credit facilities, short-dated bank debt) is more affordable, adaptable, and appropriate for short-term financing needs, such as seasonal fluctuations in working capital, financing while a receivable is being received, or pre-funding of a known short-term expense. But using it to finance anything with a longer economic life creates precisely the rollover and refinancing risk that appeared in FY202</w:t>
      </w:r>
      <w:r w:rsidR="006F35BB">
        <w:rPr>
          <w:rFonts w:ascii="Arial" w:hAnsi="Arial" w:cs="Arial"/>
          <w:sz w:val="24"/>
          <w:szCs w:val="24"/>
        </w:rPr>
        <w:t>5</w:t>
      </w:r>
      <w:r w:rsidRPr="006250F4">
        <w:rPr>
          <w:rFonts w:ascii="Arial" w:hAnsi="Arial" w:cs="Arial"/>
          <w:sz w:val="24"/>
          <w:szCs w:val="24"/>
        </w:rPr>
        <w:t xml:space="preserve"> when a short-term obligation was slipping off the radar and momentarily straining the current ratio.</w:t>
      </w:r>
    </w:p>
    <w:p w14:paraId="7663B280" w14:textId="286FCF58" w:rsidR="00C91AAE" w:rsidRPr="006250F4" w:rsidRDefault="00F3738D" w:rsidP="00F3738D">
      <w:pPr>
        <w:rPr>
          <w:rFonts w:ascii="Arial" w:hAnsi="Arial" w:cs="Arial"/>
          <w:sz w:val="24"/>
          <w:szCs w:val="24"/>
        </w:rPr>
      </w:pPr>
      <w:r w:rsidRPr="006250F4">
        <w:rPr>
          <w:rFonts w:ascii="Arial" w:hAnsi="Arial" w:cs="Arial"/>
          <w:sz w:val="24"/>
          <w:szCs w:val="24"/>
        </w:rPr>
        <w:t xml:space="preserve">The use of long-term financing (the </w:t>
      </w:r>
      <w:r w:rsidR="00F94E09" w:rsidRPr="00F94E09">
        <w:rPr>
          <w:rFonts w:ascii="Arial" w:hAnsi="Arial" w:cs="Arial"/>
          <w:sz w:val="24"/>
          <w:szCs w:val="24"/>
        </w:rPr>
        <w:t>long-term borrowings, which stayed broadly flat at around £990-995 million from FY2021-FY2024 before declining to £942.4 million in FY2025</w:t>
      </w:r>
      <w:r w:rsidRPr="006250F4">
        <w:rPr>
          <w:rFonts w:ascii="Arial" w:hAnsi="Arial" w:cs="Arial"/>
          <w:sz w:val="24"/>
          <w:szCs w:val="24"/>
        </w:rPr>
        <w:t xml:space="preserve"> throughout the period) is inappropriate for them due to the long-life nature of the property assets and the UK and German expansion plans they finance. Although it is less flexible than short-term debt and more costly in terms of absolute interest, it does not carry the rollover risk of short-term debt.</w:t>
      </w:r>
    </w:p>
    <w:p w14:paraId="0DC054D9" w14:textId="63CF38BB" w:rsidR="006547C1" w:rsidRDefault="006547C1" w:rsidP="006547C1">
      <w:pPr>
        <w:pStyle w:val="Caption"/>
        <w:keepNext/>
      </w:pPr>
      <w:r>
        <w:lastRenderedPageBreak/>
        <w:t xml:space="preserve">Table </w:t>
      </w:r>
      <w:r>
        <w:fldChar w:fldCharType="begin"/>
      </w:r>
      <w:r>
        <w:instrText xml:space="preserve"> SEQ Table \* ARABIC </w:instrText>
      </w:r>
      <w:r>
        <w:fldChar w:fldCharType="separate"/>
      </w:r>
      <w:r w:rsidR="00122FFF">
        <w:rPr>
          <w:noProof/>
        </w:rPr>
        <w:t>2</w:t>
      </w:r>
      <w:r>
        <w:rPr>
          <w:noProof/>
        </w:rPr>
        <w:fldChar w:fldCharType="end"/>
      </w:r>
      <w:r w:rsidRPr="007C7CA5">
        <w:rPr>
          <w:lang w:val="en-US"/>
        </w:rPr>
        <w:t>. Short-Term vs. Long-Term Financing — Profile, Cost and Risk Comparison. Source: Author's own analysis, informed by Atrill (2024) and Brealey et al. (2022).</w:t>
      </w:r>
    </w:p>
    <w:tbl>
      <w:tblPr>
        <w:tblStyle w:val="TableGrid"/>
        <w:tblW w:w="9520" w:type="dxa"/>
        <w:tblLook w:val="04A0" w:firstRow="1" w:lastRow="0" w:firstColumn="1" w:lastColumn="0" w:noHBand="0" w:noVBand="1"/>
      </w:tblPr>
      <w:tblGrid>
        <w:gridCol w:w="2380"/>
        <w:gridCol w:w="2380"/>
        <w:gridCol w:w="2380"/>
        <w:gridCol w:w="2380"/>
      </w:tblGrid>
      <w:tr w:rsidR="00C91AAE" w:rsidRPr="006250F4" w14:paraId="69874AE5" w14:textId="77777777" w:rsidTr="00C91AAE">
        <w:trPr>
          <w:trHeight w:val="544"/>
        </w:trPr>
        <w:tc>
          <w:tcPr>
            <w:tcW w:w="2380" w:type="dxa"/>
            <w:shd w:val="clear" w:color="auto" w:fill="B4C6E7" w:themeFill="accent1" w:themeFillTint="66"/>
          </w:tcPr>
          <w:p w14:paraId="4ADBBEE9" w14:textId="6D6AC303" w:rsidR="00C91AAE" w:rsidRPr="006250F4" w:rsidRDefault="00C91AAE" w:rsidP="00F3738D">
            <w:pPr>
              <w:rPr>
                <w:rFonts w:ascii="Arial" w:hAnsi="Arial" w:cs="Arial"/>
                <w:sz w:val="24"/>
                <w:szCs w:val="24"/>
              </w:rPr>
            </w:pPr>
            <w:r w:rsidRPr="006250F4">
              <w:rPr>
                <w:rFonts w:ascii="Arial" w:hAnsi="Arial" w:cs="Arial"/>
                <w:sz w:val="24"/>
                <w:szCs w:val="24"/>
              </w:rPr>
              <w:t>Financing Option</w:t>
            </w:r>
          </w:p>
        </w:tc>
        <w:tc>
          <w:tcPr>
            <w:tcW w:w="2380" w:type="dxa"/>
            <w:shd w:val="clear" w:color="auto" w:fill="B4C6E7" w:themeFill="accent1" w:themeFillTint="66"/>
          </w:tcPr>
          <w:p w14:paraId="6B37C8AF" w14:textId="6988CE99" w:rsidR="00C91AAE" w:rsidRPr="006250F4" w:rsidRDefault="00C91AAE" w:rsidP="00F3738D">
            <w:pPr>
              <w:rPr>
                <w:rFonts w:ascii="Arial" w:hAnsi="Arial" w:cs="Arial"/>
                <w:sz w:val="24"/>
                <w:szCs w:val="24"/>
              </w:rPr>
            </w:pPr>
            <w:r w:rsidRPr="006250F4">
              <w:rPr>
                <w:rFonts w:ascii="Arial" w:hAnsi="Arial" w:cs="Arial"/>
                <w:sz w:val="24"/>
                <w:szCs w:val="24"/>
              </w:rPr>
              <w:t>Profile &amp; Cost Dynamics</w:t>
            </w:r>
          </w:p>
        </w:tc>
        <w:tc>
          <w:tcPr>
            <w:tcW w:w="2380" w:type="dxa"/>
            <w:shd w:val="clear" w:color="auto" w:fill="B4C6E7" w:themeFill="accent1" w:themeFillTint="66"/>
          </w:tcPr>
          <w:p w14:paraId="561ACBD2" w14:textId="6C0B8D85" w:rsidR="00C91AAE" w:rsidRPr="006250F4" w:rsidRDefault="00C91AAE" w:rsidP="00F3738D">
            <w:pPr>
              <w:rPr>
                <w:rFonts w:ascii="Arial" w:hAnsi="Arial" w:cs="Arial"/>
                <w:sz w:val="24"/>
                <w:szCs w:val="24"/>
              </w:rPr>
            </w:pPr>
            <w:r w:rsidRPr="006250F4">
              <w:rPr>
                <w:rFonts w:ascii="Arial" w:hAnsi="Arial" w:cs="Arial"/>
                <w:sz w:val="24"/>
                <w:szCs w:val="24"/>
              </w:rPr>
              <w:t>Flexibility &amp; Risk</w:t>
            </w:r>
          </w:p>
        </w:tc>
        <w:tc>
          <w:tcPr>
            <w:tcW w:w="2380" w:type="dxa"/>
            <w:shd w:val="clear" w:color="auto" w:fill="B4C6E7" w:themeFill="accent1" w:themeFillTint="66"/>
          </w:tcPr>
          <w:p w14:paraId="5D0A2701" w14:textId="7365E80C" w:rsidR="00C91AAE" w:rsidRPr="006250F4" w:rsidRDefault="00C91AAE" w:rsidP="00F3738D">
            <w:pPr>
              <w:rPr>
                <w:rFonts w:ascii="Arial" w:hAnsi="Arial" w:cs="Arial"/>
                <w:sz w:val="24"/>
                <w:szCs w:val="24"/>
              </w:rPr>
            </w:pPr>
            <w:r w:rsidRPr="006250F4">
              <w:rPr>
                <w:rFonts w:ascii="Arial" w:hAnsi="Arial" w:cs="Arial"/>
                <w:sz w:val="24"/>
                <w:szCs w:val="24"/>
              </w:rPr>
              <w:t>Whitbread Strategic Application</w:t>
            </w:r>
          </w:p>
        </w:tc>
      </w:tr>
      <w:tr w:rsidR="00C91AAE" w:rsidRPr="006250F4" w14:paraId="058C9185" w14:textId="77777777" w:rsidTr="00C91AAE">
        <w:trPr>
          <w:trHeight w:val="1902"/>
        </w:trPr>
        <w:tc>
          <w:tcPr>
            <w:tcW w:w="2380" w:type="dxa"/>
          </w:tcPr>
          <w:p w14:paraId="065124DD" w14:textId="2B296236" w:rsidR="00C91AAE" w:rsidRPr="006250F4" w:rsidRDefault="00C91AAE" w:rsidP="00F3738D">
            <w:pPr>
              <w:rPr>
                <w:rFonts w:ascii="Arial" w:hAnsi="Arial" w:cs="Arial"/>
                <w:sz w:val="24"/>
                <w:szCs w:val="24"/>
              </w:rPr>
            </w:pPr>
            <w:r w:rsidRPr="006250F4">
              <w:rPr>
                <w:rFonts w:ascii="Arial" w:hAnsi="Arial" w:cs="Arial"/>
                <w:sz w:val="24"/>
                <w:szCs w:val="24"/>
              </w:rPr>
              <w:t>Revolving Credit Facility (RCF)</w:t>
            </w:r>
          </w:p>
        </w:tc>
        <w:tc>
          <w:tcPr>
            <w:tcW w:w="2380" w:type="dxa"/>
          </w:tcPr>
          <w:p w14:paraId="71FFD473" w14:textId="13AE12FE" w:rsidR="00C91AAE" w:rsidRPr="006250F4" w:rsidRDefault="00C91AAE" w:rsidP="00F3738D">
            <w:pPr>
              <w:rPr>
                <w:rFonts w:ascii="Arial" w:hAnsi="Arial" w:cs="Arial"/>
                <w:sz w:val="24"/>
                <w:szCs w:val="24"/>
              </w:rPr>
            </w:pPr>
            <w:r w:rsidRPr="006250F4">
              <w:rPr>
                <w:rFonts w:ascii="Arial" w:hAnsi="Arial" w:cs="Arial"/>
                <w:b/>
                <w:bCs/>
                <w:sz w:val="24"/>
                <w:szCs w:val="24"/>
              </w:rPr>
              <w:t>Short-Term:</w:t>
            </w:r>
            <w:r w:rsidRPr="006250F4">
              <w:rPr>
                <w:rFonts w:ascii="Arial" w:hAnsi="Arial" w:cs="Arial"/>
                <w:sz w:val="24"/>
                <w:szCs w:val="24"/>
              </w:rPr>
              <w:t xml:space="preserve"> Variable interest rates tied to SONIA/EURIBOR. Highly cost-effective when undrawn.</w:t>
            </w:r>
          </w:p>
        </w:tc>
        <w:tc>
          <w:tcPr>
            <w:tcW w:w="2380" w:type="dxa"/>
          </w:tcPr>
          <w:p w14:paraId="7E863962" w14:textId="28EF3865" w:rsidR="00C91AAE" w:rsidRPr="006250F4" w:rsidRDefault="00C91AAE" w:rsidP="00F3738D">
            <w:pPr>
              <w:rPr>
                <w:rFonts w:ascii="Arial" w:hAnsi="Arial" w:cs="Arial"/>
                <w:sz w:val="24"/>
                <w:szCs w:val="24"/>
              </w:rPr>
            </w:pPr>
            <w:r w:rsidRPr="006250F4">
              <w:rPr>
                <w:rFonts w:ascii="Arial" w:hAnsi="Arial" w:cs="Arial"/>
                <w:sz w:val="24"/>
                <w:szCs w:val="24"/>
              </w:rPr>
              <w:t>Maximum flexibility to draw and repay as working capital fluctuates. High refinancing/interest rate risk if relied upon heavily.</w:t>
            </w:r>
          </w:p>
        </w:tc>
        <w:tc>
          <w:tcPr>
            <w:tcW w:w="2380" w:type="dxa"/>
          </w:tcPr>
          <w:p w14:paraId="7E545D4F" w14:textId="4B73F9E5" w:rsidR="00C91AAE" w:rsidRPr="006250F4" w:rsidRDefault="00C91AAE" w:rsidP="00F3738D">
            <w:pPr>
              <w:rPr>
                <w:rFonts w:ascii="Arial" w:hAnsi="Arial" w:cs="Arial"/>
                <w:sz w:val="24"/>
                <w:szCs w:val="24"/>
              </w:rPr>
            </w:pPr>
            <w:r w:rsidRPr="006250F4">
              <w:rPr>
                <w:rFonts w:ascii="Arial" w:hAnsi="Arial" w:cs="Arial"/>
                <w:sz w:val="24"/>
                <w:szCs w:val="24"/>
              </w:rPr>
              <w:t xml:space="preserve">We maintain an undrawn </w:t>
            </w:r>
            <w:r w:rsidRPr="006250F4">
              <w:rPr>
                <w:rFonts w:ascii="Arial" w:hAnsi="Arial" w:cs="Arial"/>
                <w:b/>
                <w:bCs/>
                <w:sz w:val="24"/>
                <w:szCs w:val="24"/>
              </w:rPr>
              <w:t>£775m RCF</w:t>
            </w:r>
            <w:r w:rsidRPr="006250F4">
              <w:rPr>
                <w:rFonts w:ascii="Arial" w:hAnsi="Arial" w:cs="Arial"/>
                <w:sz w:val="24"/>
                <w:szCs w:val="24"/>
              </w:rPr>
              <w:t xml:space="preserve"> (maturing 2029) to act as a liquidity buffer for seasonal working capital swings.</w:t>
            </w:r>
          </w:p>
        </w:tc>
      </w:tr>
      <w:tr w:rsidR="00C91AAE" w:rsidRPr="006250F4" w14:paraId="32771EFA" w14:textId="77777777" w:rsidTr="00C91AAE">
        <w:trPr>
          <w:trHeight w:val="1632"/>
        </w:trPr>
        <w:tc>
          <w:tcPr>
            <w:tcW w:w="2380" w:type="dxa"/>
          </w:tcPr>
          <w:p w14:paraId="7CB74B7E" w14:textId="14D459E5" w:rsidR="00C91AAE" w:rsidRPr="006250F4" w:rsidRDefault="00C91AAE" w:rsidP="00F3738D">
            <w:pPr>
              <w:rPr>
                <w:rFonts w:ascii="Arial" w:hAnsi="Arial" w:cs="Arial"/>
                <w:sz w:val="24"/>
                <w:szCs w:val="24"/>
              </w:rPr>
            </w:pPr>
            <w:r w:rsidRPr="006250F4">
              <w:rPr>
                <w:rFonts w:ascii="Arial" w:hAnsi="Arial" w:cs="Arial"/>
                <w:sz w:val="24"/>
                <w:szCs w:val="24"/>
              </w:rPr>
              <w:t>Commercial Paper / Overdrafts</w:t>
            </w:r>
          </w:p>
        </w:tc>
        <w:tc>
          <w:tcPr>
            <w:tcW w:w="2380" w:type="dxa"/>
          </w:tcPr>
          <w:p w14:paraId="1ED8191C" w14:textId="392A07A7" w:rsidR="00C91AAE" w:rsidRPr="006250F4" w:rsidRDefault="00C91AAE" w:rsidP="00F3738D">
            <w:pPr>
              <w:rPr>
                <w:rFonts w:ascii="Arial" w:hAnsi="Arial" w:cs="Arial"/>
                <w:sz w:val="24"/>
                <w:szCs w:val="24"/>
              </w:rPr>
            </w:pPr>
            <w:r w:rsidRPr="006250F4">
              <w:rPr>
                <w:rFonts w:ascii="Arial" w:hAnsi="Arial" w:cs="Arial"/>
                <w:b/>
                <w:bCs/>
                <w:sz w:val="24"/>
                <w:szCs w:val="24"/>
              </w:rPr>
              <w:t>Short-Term:</w:t>
            </w:r>
            <w:r w:rsidRPr="006250F4">
              <w:rPr>
                <w:rFonts w:ascii="Arial" w:hAnsi="Arial" w:cs="Arial"/>
                <w:sz w:val="24"/>
                <w:szCs w:val="24"/>
              </w:rPr>
              <w:t xml:space="preserve"> Unsecured promissory notes. Generally higher marginal cost than RCF if utilised frequently.</w:t>
            </w:r>
          </w:p>
        </w:tc>
        <w:tc>
          <w:tcPr>
            <w:tcW w:w="2380" w:type="dxa"/>
          </w:tcPr>
          <w:p w14:paraId="63481638" w14:textId="65CB1F2F" w:rsidR="00C91AAE" w:rsidRPr="006250F4" w:rsidRDefault="00C91AAE" w:rsidP="00F3738D">
            <w:pPr>
              <w:rPr>
                <w:rFonts w:ascii="Arial" w:hAnsi="Arial" w:cs="Arial"/>
                <w:sz w:val="24"/>
                <w:szCs w:val="24"/>
              </w:rPr>
            </w:pPr>
            <w:r w:rsidRPr="006250F4">
              <w:rPr>
                <w:rFonts w:ascii="Arial" w:hAnsi="Arial" w:cs="Arial"/>
                <w:sz w:val="24"/>
                <w:szCs w:val="24"/>
              </w:rPr>
              <w:t>Fast execution but subject to sudden changes in market liquidity and credit rating downgrades.</w:t>
            </w:r>
          </w:p>
        </w:tc>
        <w:tc>
          <w:tcPr>
            <w:tcW w:w="2380" w:type="dxa"/>
          </w:tcPr>
          <w:p w14:paraId="5F895462" w14:textId="0F06AC0D" w:rsidR="00C91AAE" w:rsidRPr="006250F4" w:rsidRDefault="00C91AAE" w:rsidP="00F3738D">
            <w:pPr>
              <w:rPr>
                <w:rFonts w:ascii="Arial" w:hAnsi="Arial" w:cs="Arial"/>
                <w:sz w:val="24"/>
                <w:szCs w:val="24"/>
              </w:rPr>
            </w:pPr>
            <w:r w:rsidRPr="006250F4">
              <w:rPr>
                <w:rFonts w:ascii="Arial" w:hAnsi="Arial" w:cs="Arial"/>
                <w:sz w:val="24"/>
                <w:szCs w:val="24"/>
              </w:rPr>
              <w:t>Not currently utilised; our cash reserves (</w:t>
            </w:r>
            <w:r w:rsidRPr="006250F4">
              <w:rPr>
                <w:rFonts w:ascii="Arial" w:hAnsi="Arial" w:cs="Arial"/>
                <w:b/>
                <w:bCs/>
                <w:sz w:val="24"/>
                <w:szCs w:val="24"/>
              </w:rPr>
              <w:t>£171m</w:t>
            </w:r>
            <w:r w:rsidRPr="006250F4">
              <w:rPr>
                <w:rFonts w:ascii="Arial" w:hAnsi="Arial" w:cs="Arial"/>
                <w:sz w:val="24"/>
                <w:szCs w:val="24"/>
              </w:rPr>
              <w:t xml:space="preserve"> in FY25) and RCF render expensive overdrafts unnecessary.</w:t>
            </w:r>
          </w:p>
        </w:tc>
      </w:tr>
      <w:tr w:rsidR="00C91AAE" w:rsidRPr="006250F4" w14:paraId="04B98ABB" w14:textId="77777777" w:rsidTr="00C91AAE">
        <w:trPr>
          <w:trHeight w:val="1626"/>
        </w:trPr>
        <w:tc>
          <w:tcPr>
            <w:tcW w:w="2380" w:type="dxa"/>
          </w:tcPr>
          <w:p w14:paraId="1EEC1B76" w14:textId="118594FD" w:rsidR="00C91AAE" w:rsidRPr="006250F4" w:rsidRDefault="00C91AAE" w:rsidP="00F3738D">
            <w:pPr>
              <w:rPr>
                <w:rFonts w:ascii="Arial" w:hAnsi="Arial" w:cs="Arial"/>
                <w:sz w:val="24"/>
                <w:szCs w:val="24"/>
              </w:rPr>
            </w:pPr>
            <w:r w:rsidRPr="006250F4">
              <w:rPr>
                <w:rFonts w:ascii="Arial" w:hAnsi="Arial" w:cs="Arial"/>
                <w:sz w:val="24"/>
                <w:szCs w:val="24"/>
              </w:rPr>
              <w:t>Corporate Bonds</w:t>
            </w:r>
          </w:p>
        </w:tc>
        <w:tc>
          <w:tcPr>
            <w:tcW w:w="2380" w:type="dxa"/>
          </w:tcPr>
          <w:p w14:paraId="62E65203" w14:textId="5AAEE7BE" w:rsidR="00C91AAE" w:rsidRPr="006250F4" w:rsidRDefault="00C91AAE" w:rsidP="00F3738D">
            <w:pPr>
              <w:rPr>
                <w:rFonts w:ascii="Arial" w:hAnsi="Arial" w:cs="Arial"/>
                <w:sz w:val="24"/>
                <w:szCs w:val="24"/>
              </w:rPr>
            </w:pPr>
            <w:r w:rsidRPr="006250F4">
              <w:rPr>
                <w:rFonts w:ascii="Arial" w:hAnsi="Arial" w:cs="Arial"/>
                <w:b/>
                <w:bCs/>
                <w:sz w:val="24"/>
                <w:szCs w:val="24"/>
              </w:rPr>
              <w:t>Long-Term:</w:t>
            </w:r>
            <w:r w:rsidRPr="006250F4">
              <w:rPr>
                <w:rFonts w:ascii="Arial" w:hAnsi="Arial" w:cs="Arial"/>
                <w:sz w:val="24"/>
                <w:szCs w:val="24"/>
              </w:rPr>
              <w:t xml:space="preserve"> Fixed coupon rate. Higher absolute cost but locks in capital over 5 to 10+ years.</w:t>
            </w:r>
          </w:p>
        </w:tc>
        <w:tc>
          <w:tcPr>
            <w:tcW w:w="2380" w:type="dxa"/>
          </w:tcPr>
          <w:p w14:paraId="38E51641" w14:textId="23EF7AF8" w:rsidR="00C91AAE" w:rsidRPr="006250F4" w:rsidRDefault="00C91AAE" w:rsidP="00F3738D">
            <w:pPr>
              <w:rPr>
                <w:rFonts w:ascii="Arial" w:hAnsi="Arial" w:cs="Arial"/>
                <w:sz w:val="24"/>
                <w:szCs w:val="24"/>
              </w:rPr>
            </w:pPr>
            <w:r w:rsidRPr="006250F4">
              <w:rPr>
                <w:rFonts w:ascii="Arial" w:hAnsi="Arial" w:cs="Arial"/>
                <w:sz w:val="24"/>
                <w:szCs w:val="24"/>
              </w:rPr>
              <w:t>Low refinancing risk. Less flexible, as capital cannot be easily repaid early without incurring make-whole penalties.</w:t>
            </w:r>
          </w:p>
        </w:tc>
        <w:tc>
          <w:tcPr>
            <w:tcW w:w="2380" w:type="dxa"/>
          </w:tcPr>
          <w:p w14:paraId="47939B4C" w14:textId="56AE1AC9" w:rsidR="00C91AAE" w:rsidRPr="006250F4" w:rsidRDefault="00C91AAE" w:rsidP="00F3738D">
            <w:pPr>
              <w:rPr>
                <w:rFonts w:ascii="Arial" w:hAnsi="Arial" w:cs="Arial"/>
                <w:sz w:val="24"/>
                <w:szCs w:val="24"/>
              </w:rPr>
            </w:pPr>
            <w:r w:rsidRPr="006250F4">
              <w:rPr>
                <w:rFonts w:ascii="Arial" w:hAnsi="Arial" w:cs="Arial"/>
                <w:sz w:val="24"/>
                <w:szCs w:val="24"/>
              </w:rPr>
              <w:t xml:space="preserve">We recently issued a </w:t>
            </w:r>
            <w:r w:rsidRPr="006250F4">
              <w:rPr>
                <w:rFonts w:ascii="Arial" w:hAnsi="Arial" w:cs="Arial"/>
                <w:b/>
                <w:bCs/>
                <w:sz w:val="24"/>
                <w:szCs w:val="24"/>
              </w:rPr>
              <w:t>£400m bond (5.50% coupon, due 2032)</w:t>
            </w:r>
            <w:r w:rsidRPr="006250F4">
              <w:rPr>
                <w:rFonts w:ascii="Arial" w:hAnsi="Arial" w:cs="Arial"/>
                <w:sz w:val="24"/>
                <w:szCs w:val="24"/>
              </w:rPr>
              <w:t xml:space="preserve"> to refinance maturing debt and secure long-term capital stability.</w:t>
            </w:r>
          </w:p>
        </w:tc>
      </w:tr>
      <w:tr w:rsidR="00C91AAE" w:rsidRPr="006250F4" w14:paraId="28416CA0" w14:textId="77777777" w:rsidTr="00C91AAE">
        <w:trPr>
          <w:trHeight w:val="2177"/>
        </w:trPr>
        <w:tc>
          <w:tcPr>
            <w:tcW w:w="2380" w:type="dxa"/>
          </w:tcPr>
          <w:p w14:paraId="5D0BCC6C" w14:textId="61518958" w:rsidR="00C91AAE" w:rsidRPr="006250F4" w:rsidRDefault="00C91AAE" w:rsidP="00F3738D">
            <w:pPr>
              <w:rPr>
                <w:rFonts w:ascii="Arial" w:hAnsi="Arial" w:cs="Arial"/>
                <w:sz w:val="24"/>
                <w:szCs w:val="24"/>
              </w:rPr>
            </w:pPr>
            <w:r w:rsidRPr="006250F4">
              <w:rPr>
                <w:rFonts w:ascii="Arial" w:hAnsi="Arial" w:cs="Arial"/>
                <w:sz w:val="24"/>
                <w:szCs w:val="24"/>
              </w:rPr>
              <w:t>Green Bonds</w:t>
            </w:r>
          </w:p>
        </w:tc>
        <w:tc>
          <w:tcPr>
            <w:tcW w:w="2380" w:type="dxa"/>
          </w:tcPr>
          <w:p w14:paraId="28AE36AF" w14:textId="39D8906F" w:rsidR="00C91AAE" w:rsidRPr="006250F4" w:rsidRDefault="00C91AAE" w:rsidP="00F3738D">
            <w:pPr>
              <w:rPr>
                <w:rFonts w:ascii="Arial" w:hAnsi="Arial" w:cs="Arial"/>
                <w:sz w:val="24"/>
                <w:szCs w:val="24"/>
              </w:rPr>
            </w:pPr>
            <w:r w:rsidRPr="006250F4">
              <w:rPr>
                <w:rFonts w:ascii="Arial" w:hAnsi="Arial" w:cs="Arial"/>
                <w:b/>
                <w:bCs/>
                <w:sz w:val="24"/>
                <w:szCs w:val="24"/>
              </w:rPr>
              <w:t>Long-Term:</w:t>
            </w:r>
            <w:r w:rsidRPr="006250F4">
              <w:rPr>
                <w:rFonts w:ascii="Arial" w:hAnsi="Arial" w:cs="Arial"/>
                <w:sz w:val="24"/>
                <w:szCs w:val="24"/>
              </w:rPr>
              <w:t xml:space="preserve"> Fixed rate. Often achieves a 'greenium' (lower interest rate) due to high investor demand for ESG assets.</w:t>
            </w:r>
          </w:p>
        </w:tc>
        <w:tc>
          <w:tcPr>
            <w:tcW w:w="2380" w:type="dxa"/>
          </w:tcPr>
          <w:p w14:paraId="3E749D2F" w14:textId="30BA1793" w:rsidR="00C91AAE" w:rsidRPr="006250F4" w:rsidRDefault="00C91AAE" w:rsidP="00F3738D">
            <w:pPr>
              <w:rPr>
                <w:rFonts w:ascii="Arial" w:hAnsi="Arial" w:cs="Arial"/>
                <w:sz w:val="24"/>
                <w:szCs w:val="24"/>
              </w:rPr>
            </w:pPr>
            <w:r w:rsidRPr="006250F4">
              <w:rPr>
                <w:rFonts w:ascii="Arial" w:hAnsi="Arial" w:cs="Arial"/>
                <w:sz w:val="24"/>
                <w:szCs w:val="24"/>
              </w:rPr>
              <w:t>Strict covenants requiring funds to be allocated specifically to sustainable projects (e.g., retrofitting gasless hotels).</w:t>
            </w:r>
          </w:p>
        </w:tc>
        <w:tc>
          <w:tcPr>
            <w:tcW w:w="2380" w:type="dxa"/>
          </w:tcPr>
          <w:p w14:paraId="1ABEE41A" w14:textId="58CF5F58" w:rsidR="00C91AAE" w:rsidRPr="006250F4" w:rsidRDefault="00C91AAE" w:rsidP="00F3738D">
            <w:pPr>
              <w:rPr>
                <w:rFonts w:ascii="Arial" w:hAnsi="Arial" w:cs="Arial"/>
                <w:sz w:val="24"/>
                <w:szCs w:val="24"/>
              </w:rPr>
            </w:pPr>
            <w:r w:rsidRPr="006250F4">
              <w:rPr>
                <w:rFonts w:ascii="Arial" w:hAnsi="Arial" w:cs="Arial"/>
                <w:sz w:val="24"/>
                <w:szCs w:val="24"/>
              </w:rPr>
              <w:t xml:space="preserve">We utilise </w:t>
            </w:r>
            <w:r w:rsidRPr="006250F4">
              <w:rPr>
                <w:rFonts w:ascii="Arial" w:hAnsi="Arial" w:cs="Arial"/>
                <w:b/>
                <w:bCs/>
                <w:sz w:val="24"/>
                <w:szCs w:val="24"/>
              </w:rPr>
              <w:t>£550m in Green Bonds</w:t>
            </w:r>
            <w:r w:rsidRPr="006250F4">
              <w:rPr>
                <w:rFonts w:ascii="Arial" w:hAnsi="Arial" w:cs="Arial"/>
                <w:sz w:val="24"/>
                <w:szCs w:val="24"/>
              </w:rPr>
              <w:t xml:space="preserve"> to directly fund our transition to Net Zero by 2040, perfectly aligning capital strategy with ESG goals.</w:t>
            </w:r>
          </w:p>
        </w:tc>
      </w:tr>
    </w:tbl>
    <w:p w14:paraId="155DFCB8" w14:textId="77777777" w:rsidR="00C91AAE" w:rsidRPr="006250F4" w:rsidRDefault="00C91AAE" w:rsidP="00F3738D">
      <w:pPr>
        <w:rPr>
          <w:rFonts w:ascii="Arial" w:hAnsi="Arial" w:cs="Arial"/>
        </w:rPr>
      </w:pPr>
    </w:p>
    <w:p w14:paraId="232BABFC" w14:textId="77777777" w:rsidR="00C91AAE" w:rsidRPr="006250F4" w:rsidRDefault="00C91AAE" w:rsidP="00F3738D">
      <w:pPr>
        <w:rPr>
          <w:rFonts w:ascii="Arial" w:hAnsi="Arial" w:cs="Arial"/>
        </w:rPr>
      </w:pPr>
    </w:p>
    <w:p w14:paraId="799E48F9" w14:textId="01D5AAA0" w:rsidR="00BF1981" w:rsidRPr="006250F4" w:rsidRDefault="00F3738D" w:rsidP="00F3738D">
      <w:pPr>
        <w:rPr>
          <w:rFonts w:ascii="Arial" w:hAnsi="Arial" w:cs="Arial"/>
          <w:sz w:val="24"/>
          <w:szCs w:val="24"/>
        </w:rPr>
      </w:pPr>
      <w:r w:rsidRPr="006250F4">
        <w:rPr>
          <w:rFonts w:ascii="Arial" w:hAnsi="Arial" w:cs="Arial"/>
          <w:sz w:val="24"/>
          <w:szCs w:val="24"/>
        </w:rPr>
        <w:t>The practical advice is to maintain a revolving credit facility solely as a liquidity backup, undrawn under normal circumstances, while making sure that capital expenditures and expansion are financed by the current long-term bond and lease structure rather than by short-term borrowings that are continually rolled over. The FY202</w:t>
      </w:r>
      <w:r w:rsidR="006F35BB">
        <w:rPr>
          <w:rFonts w:ascii="Arial" w:hAnsi="Arial" w:cs="Arial"/>
          <w:sz w:val="24"/>
          <w:szCs w:val="24"/>
        </w:rPr>
        <w:t>5</w:t>
      </w:r>
      <w:r w:rsidRPr="006250F4">
        <w:rPr>
          <w:rFonts w:ascii="Arial" w:hAnsi="Arial" w:cs="Arial"/>
          <w:sz w:val="24"/>
          <w:szCs w:val="24"/>
        </w:rPr>
        <w:t xml:space="preserve"> current ratio fall indicated a lack of that discipline.</w:t>
      </w:r>
    </w:p>
    <w:p w14:paraId="3E3EBCF0" w14:textId="77777777" w:rsidR="007F6A60" w:rsidRPr="006250F4" w:rsidRDefault="007F6A60" w:rsidP="007F6A60">
      <w:pPr>
        <w:pStyle w:val="Heading1"/>
        <w:rPr>
          <w:rFonts w:ascii="Arial" w:hAnsi="Arial" w:cs="Arial"/>
        </w:rPr>
      </w:pPr>
      <w:bookmarkStart w:id="10" w:name="_Toc237493786"/>
      <w:r w:rsidRPr="006250F4">
        <w:rPr>
          <w:rFonts w:ascii="Arial" w:hAnsi="Arial" w:cs="Arial"/>
        </w:rPr>
        <w:lastRenderedPageBreak/>
        <w:t>3. Strategic Financial Restructuring Plan</w:t>
      </w:r>
      <w:bookmarkEnd w:id="10"/>
    </w:p>
    <w:p w14:paraId="07E32439" w14:textId="77777777" w:rsidR="007F6A60" w:rsidRPr="006250F4" w:rsidRDefault="007F6A60" w:rsidP="007F6A60">
      <w:pPr>
        <w:pStyle w:val="Heading2"/>
        <w:rPr>
          <w:rFonts w:ascii="Arial" w:hAnsi="Arial" w:cs="Arial"/>
        </w:rPr>
      </w:pPr>
      <w:bookmarkStart w:id="11" w:name="_Toc237493787"/>
      <w:r w:rsidRPr="006250F4">
        <w:rPr>
          <w:rFonts w:ascii="Arial" w:hAnsi="Arial" w:cs="Arial"/>
        </w:rPr>
        <w:t>a. Restructuring options</w:t>
      </w:r>
      <w:bookmarkEnd w:id="11"/>
    </w:p>
    <w:p w14:paraId="792FEA5C" w14:textId="72ED2C0A" w:rsidR="007F6A60" w:rsidRPr="006250F4" w:rsidRDefault="007F6A60" w:rsidP="00F3738D">
      <w:pPr>
        <w:rPr>
          <w:rFonts w:ascii="Arial" w:hAnsi="Arial" w:cs="Arial"/>
          <w:sz w:val="24"/>
          <w:szCs w:val="24"/>
        </w:rPr>
      </w:pPr>
      <w:r w:rsidRPr="006250F4">
        <w:rPr>
          <w:rFonts w:ascii="Arial" w:hAnsi="Arial" w:cs="Arial"/>
          <w:sz w:val="24"/>
          <w:szCs w:val="24"/>
        </w:rPr>
        <w:t>Whitbread doesn’t need to be saved and put into restructuring mode; instead, the balance sheet has to be optimized. Three levers stick out in particular.</w:t>
      </w:r>
    </w:p>
    <w:p w14:paraId="067FF9DB" w14:textId="589BFE80" w:rsidR="007F6A60" w:rsidRPr="006250F4" w:rsidRDefault="007F6A60" w:rsidP="00F3738D">
      <w:pPr>
        <w:rPr>
          <w:rFonts w:ascii="Arial" w:hAnsi="Arial" w:cs="Arial"/>
          <w:sz w:val="24"/>
          <w:szCs w:val="24"/>
        </w:rPr>
      </w:pPr>
      <w:r w:rsidRPr="006250F4">
        <w:rPr>
          <w:rFonts w:ascii="Arial" w:hAnsi="Arial" w:cs="Arial"/>
          <w:sz w:val="24"/>
          <w:szCs w:val="24"/>
        </w:rPr>
        <w:t>The first is portfolio disposal, which management already uses thru restaurant conversion and sale and leaseback. Whitbread has been converting underperforming branded restaurants (Beefeater, Brewer’s Fayre) into additional rooms for Whitbread’s Premier Inn brand and selling off a portion of its owned property estate to long leases. By 2030, the initiative is expected to produce an additional profit of approximately 100 million and add about 3,500 rooms</w:t>
      </w:r>
      <w:r w:rsidR="00294C44" w:rsidRPr="00294C44">
        <w:rPr>
          <w:rFonts w:ascii="Arial" w:hAnsi="Arial" w:cs="Arial"/>
          <w:sz w:val="24"/>
          <w:szCs w:val="24"/>
        </w:rPr>
        <w:t>(ii.co.uk, 2025; Skift, 2025)</w:t>
      </w:r>
      <w:r w:rsidRPr="006250F4">
        <w:rPr>
          <w:rFonts w:ascii="Arial" w:hAnsi="Arial" w:cs="Arial"/>
          <w:sz w:val="24"/>
          <w:szCs w:val="24"/>
        </w:rPr>
        <w:t xml:space="preserve">. I would continue and cautiously accelerate this: it cashes in capital that is trapped in the lower-return F&amp;B estate and repurposes it into the hotel core, which has a greater return on capital, without taking on new debt or shrinking the shareholder base. The </w:t>
      </w:r>
      <w:r w:rsidR="004039D5" w:rsidRPr="004039D5">
        <w:rPr>
          <w:rFonts w:ascii="Arial" w:hAnsi="Arial" w:cs="Arial"/>
          <w:sz w:val="24"/>
          <w:szCs w:val="24"/>
        </w:rPr>
        <w:t xml:space="preserve">grown by around </w:t>
      </w:r>
      <w:r w:rsidR="004039D5" w:rsidRPr="004039D5">
        <w:rPr>
          <w:rFonts w:ascii="Arial" w:hAnsi="Arial" w:cs="Arial"/>
          <w:b/>
          <w:bCs/>
          <w:sz w:val="24"/>
          <w:szCs w:val="24"/>
        </w:rPr>
        <w:t>31%</w:t>
      </w:r>
      <w:r w:rsidR="004039D5" w:rsidRPr="004039D5">
        <w:rPr>
          <w:rFonts w:ascii="Arial" w:hAnsi="Arial" w:cs="Arial"/>
          <w:sz w:val="24"/>
          <w:szCs w:val="24"/>
        </w:rPr>
        <w:t xml:space="preserve"> since FY2021</w:t>
      </w:r>
      <w:r w:rsidRPr="006250F4">
        <w:rPr>
          <w:rFonts w:ascii="Arial" w:hAnsi="Arial" w:cs="Arial"/>
          <w:sz w:val="24"/>
          <w:szCs w:val="24"/>
        </w:rPr>
        <w:t>as a result of the sale and lease back, which is a drawback that needs to be balanced rather than adding to the already growing lease liability line.</w:t>
      </w:r>
    </w:p>
    <w:p w14:paraId="18BEDBC8" w14:textId="68134121" w:rsidR="007F6A60" w:rsidRPr="006250F4" w:rsidRDefault="007F6A60" w:rsidP="00F3738D">
      <w:pPr>
        <w:rPr>
          <w:rFonts w:ascii="Arial" w:hAnsi="Arial" w:cs="Arial"/>
          <w:sz w:val="24"/>
          <w:szCs w:val="24"/>
        </w:rPr>
      </w:pPr>
      <w:r w:rsidRPr="006250F4">
        <w:rPr>
          <w:rFonts w:ascii="Arial" w:hAnsi="Arial" w:cs="Arial"/>
          <w:sz w:val="24"/>
          <w:szCs w:val="24"/>
        </w:rPr>
        <w:t>Selective divestment of the freestanding restaurant estate, which does not create a nice hotel room, is the second lever. Not every location where Table</w:t>
      </w:r>
      <w:r w:rsidR="00A743BE" w:rsidRPr="006250F4">
        <w:rPr>
          <w:rFonts w:ascii="Arial" w:hAnsi="Arial" w:cs="Arial"/>
          <w:sz w:val="24"/>
          <w:szCs w:val="24"/>
        </w:rPr>
        <w:t xml:space="preserve"> </w:t>
      </w:r>
      <w:r w:rsidRPr="006250F4">
        <w:rPr>
          <w:rFonts w:ascii="Arial" w:hAnsi="Arial" w:cs="Arial"/>
          <w:sz w:val="24"/>
          <w:szCs w:val="24"/>
        </w:rPr>
        <w:t>or Beefeater is constructed is suitable for a hotel</w:t>
      </w:r>
      <w:r w:rsidR="00294C44" w:rsidRPr="00294C44">
        <w:rPr>
          <w:rFonts w:ascii="Arial" w:hAnsi="Arial" w:cs="Arial"/>
          <w:sz w:val="24"/>
          <w:szCs w:val="24"/>
        </w:rPr>
        <w:t>(Skift, 2025)</w:t>
      </w:r>
      <w:r w:rsidRPr="006250F4">
        <w:rPr>
          <w:rFonts w:ascii="Arial" w:hAnsi="Arial" w:cs="Arial"/>
          <w:sz w:val="24"/>
          <w:szCs w:val="24"/>
        </w:rPr>
        <w:t>. They believe that a franchise-out or outright sale to a third-party operator frees up funds and management time more quickly than a decreasing, fundamentally under-scale food and beverage business with a growing hotel operation.</w:t>
      </w:r>
    </w:p>
    <w:p w14:paraId="5A97F4CF" w14:textId="29BDB94B" w:rsidR="007F6A60" w:rsidRPr="006250F4" w:rsidRDefault="007F6A60" w:rsidP="00F3738D">
      <w:pPr>
        <w:rPr>
          <w:rFonts w:ascii="Arial" w:hAnsi="Arial" w:cs="Arial"/>
          <w:sz w:val="24"/>
          <w:szCs w:val="24"/>
        </w:rPr>
      </w:pPr>
      <w:r w:rsidRPr="006250F4">
        <w:rPr>
          <w:rFonts w:ascii="Arial" w:hAnsi="Arial" w:cs="Arial"/>
          <w:sz w:val="24"/>
          <w:szCs w:val="24"/>
        </w:rPr>
        <w:t>The third is not an equity funding structure, but rather a stricter capital discipline system. The current 250 million+ share repurchase program</w:t>
      </w:r>
      <w:r w:rsidR="00294C44">
        <w:rPr>
          <w:rFonts w:ascii="Arial" w:hAnsi="Arial" w:cs="Arial"/>
          <w:sz w:val="24"/>
          <w:szCs w:val="24"/>
        </w:rPr>
        <w:t>;</w:t>
      </w:r>
      <w:r w:rsidRPr="006250F4">
        <w:rPr>
          <w:rFonts w:ascii="Arial" w:hAnsi="Arial" w:cs="Arial"/>
          <w:sz w:val="24"/>
          <w:szCs w:val="24"/>
        </w:rPr>
        <w:t xml:space="preserve"> is not exactly in line with a </w:t>
      </w:r>
      <w:r w:rsidR="00490EA2" w:rsidRPr="00490EA2">
        <w:rPr>
          <w:rFonts w:ascii="Arial" w:hAnsi="Arial" w:cs="Arial"/>
          <w:sz w:val="24"/>
          <w:szCs w:val="24"/>
        </w:rPr>
        <w:t>increased by around 43% since FY2021</w:t>
      </w:r>
      <w:r w:rsidRPr="006250F4">
        <w:rPr>
          <w:rFonts w:ascii="Arial" w:hAnsi="Arial" w:cs="Arial"/>
          <w:sz w:val="24"/>
          <w:szCs w:val="24"/>
        </w:rPr>
        <w:t xml:space="preserve">, but it is entirely feasible considering that operating cash flow in FY2025 averaged </w:t>
      </w:r>
      <w:r w:rsidR="00490EA2" w:rsidRPr="00490EA2">
        <w:rPr>
          <w:rFonts w:ascii="Arial" w:hAnsi="Arial" w:cs="Arial"/>
          <w:sz w:val="24"/>
          <w:szCs w:val="24"/>
        </w:rPr>
        <w:t>£761.7 million</w:t>
      </w:r>
      <w:r w:rsidRPr="006250F4">
        <w:rPr>
          <w:rFonts w:ascii="Arial" w:hAnsi="Arial" w:cs="Arial"/>
          <w:sz w:val="24"/>
          <w:szCs w:val="24"/>
        </w:rPr>
        <w:t xml:space="preserve"> annually. I would propose that the pace of buybacks be made more explicit with leveraging, pausing or slowing the rate of buybacks when the debt-to-equity ratio moves materially above the current ~1.6x, rather than running returns to shareholders and deleveraging the balance sheet as two independent operations, as is the current trend.</w:t>
      </w:r>
    </w:p>
    <w:p w14:paraId="309BB029" w14:textId="7896C755" w:rsidR="007F6A60" w:rsidRPr="006250F4" w:rsidRDefault="007F6A60" w:rsidP="00F3738D">
      <w:pPr>
        <w:rPr>
          <w:rFonts w:ascii="Arial" w:hAnsi="Arial" w:cs="Arial"/>
          <w:sz w:val="24"/>
          <w:szCs w:val="24"/>
        </w:rPr>
      </w:pPr>
      <w:r w:rsidRPr="006250F4">
        <w:rPr>
          <w:rFonts w:ascii="Arial" w:hAnsi="Arial" w:cs="Arial"/>
          <w:sz w:val="24"/>
          <w:szCs w:val="24"/>
        </w:rPr>
        <w:lastRenderedPageBreak/>
        <w:t>The scale (UK market leader, FTSE 100) and strategic clarity (a declared five-year strategy) are typically associated with M&amp;A to generate, thus this is not a call for a full merger or takeover. The greater risk to be addressed during an ambitious growth period is balance sheet discipline, not a lack of strategic direction.</w:t>
      </w:r>
    </w:p>
    <w:p w14:paraId="2CC5816C" w14:textId="29513901" w:rsidR="007F6A60" w:rsidRPr="006250F4" w:rsidRDefault="007F6A60" w:rsidP="004D5AFE">
      <w:pPr>
        <w:pStyle w:val="Heading2"/>
        <w:rPr>
          <w:rFonts w:ascii="Arial" w:hAnsi="Arial" w:cs="Arial"/>
        </w:rPr>
      </w:pPr>
      <w:bookmarkStart w:id="12" w:name="_Toc237493788"/>
      <w:r w:rsidRPr="006250F4">
        <w:rPr>
          <w:rFonts w:ascii="Arial" w:hAnsi="Arial" w:cs="Arial"/>
        </w:rPr>
        <w:t>b. Impact on shareholder value, debt structure and operational flexibility</w:t>
      </w:r>
      <w:bookmarkEnd w:id="12"/>
    </w:p>
    <w:p w14:paraId="48DC9DC4" w14:textId="29764CE8" w:rsidR="007F6A60" w:rsidRPr="006250F4" w:rsidRDefault="007F6A60" w:rsidP="00F3738D">
      <w:pPr>
        <w:rPr>
          <w:rFonts w:ascii="Arial" w:hAnsi="Arial" w:cs="Arial"/>
          <w:sz w:val="24"/>
          <w:szCs w:val="24"/>
        </w:rPr>
      </w:pPr>
      <w:r w:rsidRPr="006250F4">
        <w:rPr>
          <w:rFonts w:ascii="Arial" w:hAnsi="Arial" w:cs="Arial"/>
          <w:sz w:val="24"/>
          <w:szCs w:val="24"/>
        </w:rPr>
        <w:t>Both restaurant conversion and sale-and-leaseback increase capital efficiency, but they have no effect on the number of shares in issue, which is advantageous for current shareholders. Instead, they increase lease liabilities, which may be more of an operational necessity than a debt, and diminish the flexibility that comes with owning freehold property. Given Whitbread’s 12.9% ROCE target and the fact that hotel rooms generally generate more income per square foot than the restaurant estate being replaced, it is a reasonable trade-off.</w:t>
      </w:r>
    </w:p>
    <w:p w14:paraId="373BFE93" w14:textId="371D4134" w:rsidR="007F6A60" w:rsidRPr="006250F4" w:rsidRDefault="007F6A60" w:rsidP="00F3738D">
      <w:pPr>
        <w:rPr>
          <w:rFonts w:ascii="Arial" w:hAnsi="Arial" w:cs="Arial"/>
          <w:sz w:val="24"/>
          <w:szCs w:val="24"/>
        </w:rPr>
      </w:pPr>
      <w:r w:rsidRPr="006250F4">
        <w:rPr>
          <w:rFonts w:ascii="Arial" w:hAnsi="Arial" w:cs="Arial"/>
          <w:sz w:val="24"/>
          <w:szCs w:val="24"/>
        </w:rPr>
        <w:t xml:space="preserve">In addition to ensuring that money is returned to shareholders during prosperous years, a leverage cap on the repurchase can assist preserve debt capacity and interest coverage, which fell to as low as </w:t>
      </w:r>
      <w:r w:rsidR="00490EA2">
        <w:rPr>
          <w:rFonts w:ascii="Arial" w:hAnsi="Arial" w:cs="Arial"/>
          <w:sz w:val="24"/>
          <w:szCs w:val="24"/>
        </w:rPr>
        <w:t>1.34</w:t>
      </w:r>
      <w:r w:rsidRPr="006250F4">
        <w:rPr>
          <w:rFonts w:ascii="Arial" w:hAnsi="Arial" w:cs="Arial"/>
          <w:sz w:val="24"/>
          <w:szCs w:val="24"/>
        </w:rPr>
        <w:t>x in FY2022 and shouldn’t be pushed so far in the future. It has less of an effect on buybacks’ short-term EPS accretion, but it has a bigger effect on refinancing risk, which is a bigger worry given the rise in leases and long-term borrowing.</w:t>
      </w:r>
    </w:p>
    <w:p w14:paraId="4CE27D0D" w14:textId="1A4682BE" w:rsidR="007F6A60" w:rsidRPr="006250F4" w:rsidRDefault="007F6A60" w:rsidP="00F3738D">
      <w:pPr>
        <w:rPr>
          <w:rFonts w:ascii="Arial" w:hAnsi="Arial" w:cs="Arial"/>
          <w:sz w:val="24"/>
          <w:szCs w:val="24"/>
        </w:rPr>
      </w:pPr>
      <w:r w:rsidRPr="006250F4">
        <w:rPr>
          <w:rFonts w:ascii="Arial" w:hAnsi="Arial" w:cs="Arial"/>
          <w:sz w:val="24"/>
          <w:szCs w:val="24"/>
        </w:rPr>
        <w:t>When the weakest restaurant sites are eliminated, the company has additional resources to allocate to the two development drivers: the expansion of rooms in the UK and the scale-up of operations in Germany. These resources include available capital and management time.</w:t>
      </w:r>
    </w:p>
    <w:p w14:paraId="46264950" w14:textId="4F1516CC" w:rsidR="007F6A60" w:rsidRPr="006250F4" w:rsidRDefault="007F6A60" w:rsidP="004D5AFE">
      <w:pPr>
        <w:pStyle w:val="Heading2"/>
        <w:rPr>
          <w:rFonts w:ascii="Arial" w:hAnsi="Arial" w:cs="Arial"/>
        </w:rPr>
      </w:pPr>
      <w:bookmarkStart w:id="13" w:name="_Toc237493789"/>
      <w:r w:rsidRPr="006250F4">
        <w:rPr>
          <w:rFonts w:ascii="Arial" w:hAnsi="Arial" w:cs="Arial"/>
        </w:rPr>
        <w:t>c. International and ethical considerations</w:t>
      </w:r>
      <w:bookmarkEnd w:id="13"/>
    </w:p>
    <w:p w14:paraId="7FC4D403" w14:textId="43646D2E" w:rsidR="007F6A60" w:rsidRPr="006250F4" w:rsidRDefault="007F6A60" w:rsidP="00F3738D">
      <w:pPr>
        <w:rPr>
          <w:rFonts w:ascii="Arial" w:hAnsi="Arial" w:cs="Arial"/>
          <w:sz w:val="24"/>
          <w:szCs w:val="24"/>
        </w:rPr>
      </w:pPr>
      <w:r w:rsidRPr="006250F4">
        <w:rPr>
          <w:rFonts w:ascii="Arial" w:hAnsi="Arial" w:cs="Arial"/>
          <w:sz w:val="24"/>
          <w:szCs w:val="24"/>
        </w:rPr>
        <w:t>The most prominent foreign aspect of this strategy is the German expansion</w:t>
      </w:r>
      <w:r w:rsidR="00294C44" w:rsidRPr="00294C44">
        <w:rPr>
          <w:rFonts w:ascii="Arial" w:hAnsi="Arial" w:cs="Arial"/>
          <w:sz w:val="24"/>
          <w:szCs w:val="24"/>
        </w:rPr>
        <w:t>(CoStar, 2024; ii.co.uk, 2026; TIKR, 2025)</w:t>
      </w:r>
      <w:r w:rsidRPr="006250F4">
        <w:rPr>
          <w:rFonts w:ascii="Arial" w:hAnsi="Arial" w:cs="Arial"/>
          <w:sz w:val="24"/>
          <w:szCs w:val="24"/>
        </w:rPr>
        <w:t>, which aims to increase the number of rooms from about 10,000 to 20,000 by 2028</w:t>
      </w:r>
      <w:r w:rsidR="00B5419C">
        <w:rPr>
          <w:rFonts w:ascii="Arial" w:hAnsi="Arial" w:cs="Arial"/>
          <w:sz w:val="24"/>
          <w:szCs w:val="24"/>
        </w:rPr>
        <w:t>-</w:t>
      </w:r>
      <w:r w:rsidRPr="006250F4">
        <w:rPr>
          <w:rFonts w:ascii="Arial" w:hAnsi="Arial" w:cs="Arial"/>
          <w:sz w:val="24"/>
          <w:szCs w:val="24"/>
        </w:rPr>
        <w:t xml:space="preserve">2030. Additionally, this results in some genuine currency exposure (euro revenue, euro cost, sterling reporting currency, and sterling debt), which should be actively hedged rather than left as a translation vulnerability, particularly given the amount of capital involved in the German business’s rollout. Additionally, it adds a layer of cross-border tax complexity. For example, the </w:t>
      </w:r>
      <w:r w:rsidRPr="006250F4">
        <w:rPr>
          <w:rFonts w:ascii="Arial" w:hAnsi="Arial" w:cs="Arial"/>
          <w:sz w:val="24"/>
          <w:szCs w:val="24"/>
        </w:rPr>
        <w:lastRenderedPageBreak/>
        <w:t>corporate tax treatment of owned and leased property differs between Germany and the UK, and the profit repatriation structure must satisfy both German and HMRC tax authorities without being scrutinized for transfer pricing. However, inflation is a real threat on both sides of the Channel: post-Brexit labor restrictions and wage inflation in the UK have already been mentioned as cost pressures</w:t>
      </w:r>
      <w:r w:rsidR="00294C44" w:rsidRPr="00294C44">
        <w:rPr>
          <w:rFonts w:ascii="Arial" w:hAnsi="Arial" w:cs="Arial"/>
          <w:sz w:val="24"/>
          <w:szCs w:val="24"/>
        </w:rPr>
        <w:t>(IG.com, 2026)</w:t>
      </w:r>
      <w:r w:rsidRPr="006250F4">
        <w:rPr>
          <w:rFonts w:ascii="Arial" w:hAnsi="Arial" w:cs="Arial"/>
          <w:sz w:val="24"/>
          <w:szCs w:val="24"/>
        </w:rPr>
        <w:t>, and additional inflation brought on by construction or labor costs in Germany will lower the returns that have been projected in the five-year plan unless it is assumed conservatively.</w:t>
      </w:r>
    </w:p>
    <w:p w14:paraId="66798AF7" w14:textId="7290D255" w:rsidR="00B563E7" w:rsidRPr="00C859DB" w:rsidRDefault="007F6A60" w:rsidP="000B2D3B">
      <w:pPr>
        <w:rPr>
          <w:rFonts w:ascii="Arial" w:hAnsi="Arial" w:cs="Arial"/>
          <w:sz w:val="24"/>
          <w:szCs w:val="24"/>
        </w:rPr>
      </w:pPr>
      <w:r w:rsidRPr="006250F4">
        <w:rPr>
          <w:rFonts w:ascii="Arial" w:hAnsi="Arial" w:cs="Arial"/>
          <w:sz w:val="24"/>
          <w:szCs w:val="24"/>
        </w:rPr>
        <w:t>In terms of CSR/ESG, Whitbread already has a baseline to which this restructuring is being held; their stated goal is to reduce water usage by 20% by 2030 (they have already achieved 18% on a 2019/20 baseline), and an ESG due-diligence step shouldn’t be limited to a financial step. The buyback and leverage recommendation also has an ethical governance component, which I would specifically address: It is not in the immediate interest of the share price to reward management with a repurchase when a board is primarily focused on the company’s long-term interests.</w:t>
      </w:r>
    </w:p>
    <w:p w14:paraId="4369FA21" w14:textId="77777777" w:rsidR="005F468C" w:rsidRPr="006250F4" w:rsidRDefault="005F468C" w:rsidP="005F468C">
      <w:pPr>
        <w:pStyle w:val="Heading1"/>
        <w:rPr>
          <w:rFonts w:ascii="Arial" w:hAnsi="Arial" w:cs="Arial"/>
        </w:rPr>
      </w:pPr>
      <w:bookmarkStart w:id="14" w:name="_Toc237493790"/>
      <w:r w:rsidRPr="006250F4">
        <w:rPr>
          <w:rFonts w:ascii="Arial" w:hAnsi="Arial" w:cs="Arial"/>
        </w:rPr>
        <w:t>4. Investment Appraisal and Capital Budgeting</w:t>
      </w:r>
      <w:bookmarkEnd w:id="14"/>
    </w:p>
    <w:p w14:paraId="62D9717F" w14:textId="19DAFA1B" w:rsidR="005F468C" w:rsidRPr="006250F4" w:rsidRDefault="005F468C" w:rsidP="005F468C">
      <w:pPr>
        <w:rPr>
          <w:rFonts w:ascii="Arial" w:hAnsi="Arial" w:cs="Arial"/>
          <w:sz w:val="24"/>
          <w:szCs w:val="24"/>
        </w:rPr>
      </w:pPr>
      <w:r w:rsidRPr="006250F4">
        <w:rPr>
          <w:rFonts w:ascii="Arial" w:hAnsi="Arial" w:cs="Arial"/>
          <w:sz w:val="24"/>
          <w:szCs w:val="24"/>
        </w:rPr>
        <w:t>The meticulous process of capital allocation is essential to Whitbread’s long-term financial performance. Every pound invested must immediately increase shareholder value and support our strategic objectives, such as our ambitions for Accelerating Growth (AGP), the expansion of our network in Germany, and share buybacks, according to our capital allocation methodology.</w:t>
      </w:r>
    </w:p>
    <w:p w14:paraId="3ECE2D0E" w14:textId="38E20582" w:rsidR="006250F4" w:rsidRPr="00C859DB" w:rsidRDefault="005F468C" w:rsidP="005F468C">
      <w:pPr>
        <w:rPr>
          <w:rFonts w:ascii="Arial" w:hAnsi="Arial" w:cs="Arial"/>
          <w:sz w:val="24"/>
          <w:szCs w:val="24"/>
        </w:rPr>
      </w:pPr>
      <w:r w:rsidRPr="006250F4">
        <w:rPr>
          <w:rFonts w:ascii="Arial" w:hAnsi="Arial" w:cs="Arial"/>
          <w:sz w:val="24"/>
          <w:szCs w:val="24"/>
        </w:rPr>
        <w:t>Three investment opportunities of 50 million have been proposed by the Board. I have completed a thorough investment analysis for Projects A, B, and C in order to ensure complete capital discipline. This is done in accordance with their viability using straight-line depreciation to a zero residual value and our predetermined discount rate of 8%.</w:t>
      </w:r>
    </w:p>
    <w:p w14:paraId="13FBD418" w14:textId="4ADFF03E" w:rsidR="005F468C" w:rsidRPr="006250F4" w:rsidRDefault="005F468C" w:rsidP="004D5AFE">
      <w:pPr>
        <w:pStyle w:val="Heading2"/>
        <w:rPr>
          <w:rFonts w:ascii="Arial" w:hAnsi="Arial" w:cs="Arial"/>
        </w:rPr>
      </w:pPr>
      <w:bookmarkStart w:id="15" w:name="_Toc237493791"/>
      <w:r w:rsidRPr="006250F4">
        <w:rPr>
          <w:rFonts w:ascii="Arial" w:hAnsi="Arial" w:cs="Arial"/>
        </w:rPr>
        <w:t>A.Comprehensive Appraisal Metrics</w:t>
      </w:r>
      <w:bookmarkEnd w:id="15"/>
    </w:p>
    <w:p w14:paraId="15A3A945" w14:textId="61B65072" w:rsidR="00286E39" w:rsidRPr="006250F4" w:rsidRDefault="005F468C" w:rsidP="00286E39">
      <w:pPr>
        <w:rPr>
          <w:rFonts w:ascii="Arial" w:hAnsi="Arial" w:cs="Arial"/>
          <w:sz w:val="24"/>
          <w:szCs w:val="24"/>
        </w:rPr>
      </w:pPr>
      <w:r w:rsidRPr="006250F4">
        <w:rPr>
          <w:rFonts w:ascii="Arial" w:hAnsi="Arial" w:cs="Arial"/>
          <w:sz w:val="24"/>
          <w:szCs w:val="24"/>
        </w:rPr>
        <w:t>Liquidity, profitability, and overall value creation are assessed using five fundamental approaches that form the basis of the appraisal. The following are these measurements’ mathematical foundations:</w:t>
      </w:r>
    </w:p>
    <w:p w14:paraId="49630BCF" w14:textId="553730B7" w:rsidR="006547C1" w:rsidRDefault="006547C1" w:rsidP="006547C1">
      <w:pPr>
        <w:pStyle w:val="Caption"/>
        <w:keepNext/>
      </w:pPr>
      <w:r>
        <w:lastRenderedPageBreak/>
        <w:t xml:space="preserve">Table </w:t>
      </w:r>
      <w:r>
        <w:fldChar w:fldCharType="begin"/>
      </w:r>
      <w:r>
        <w:instrText xml:space="preserve"> SEQ Table \* ARABIC </w:instrText>
      </w:r>
      <w:r>
        <w:fldChar w:fldCharType="separate"/>
      </w:r>
      <w:r w:rsidR="00122FFF">
        <w:rPr>
          <w:noProof/>
        </w:rPr>
        <w:t>3</w:t>
      </w:r>
      <w:r>
        <w:fldChar w:fldCharType="end"/>
      </w:r>
      <w:r w:rsidRPr="00E6507F">
        <w:rPr>
          <w:lang w:val="en-US"/>
        </w:rPr>
        <w:t>. Summary of Investment Appraisal Metrics — Projects A, B and C. Source: Author's own calculations (Investment_Appraisal_Final.xlsx).</w:t>
      </w:r>
    </w:p>
    <w:tbl>
      <w:tblPr>
        <w:tblW w:w="0" w:type="auto"/>
        <w:tblCellSpacing w:w="15" w:type="dxa"/>
        <w:tblCellMar>
          <w:left w:w="0" w:type="dxa"/>
          <w:right w:w="0" w:type="dxa"/>
        </w:tblCellMar>
        <w:tblLook w:val="04A0" w:firstRow="1" w:lastRow="0" w:firstColumn="1" w:lastColumn="0" w:noHBand="0" w:noVBand="1"/>
      </w:tblPr>
      <w:tblGrid>
        <w:gridCol w:w="2988"/>
        <w:gridCol w:w="1394"/>
        <w:gridCol w:w="1394"/>
        <w:gridCol w:w="1412"/>
        <w:gridCol w:w="1822"/>
      </w:tblGrid>
      <w:tr w:rsidR="00286E39" w:rsidRPr="006250F4" w14:paraId="158CCF1B" w14:textId="77777777" w:rsidTr="001A01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5D1F3876" w14:textId="77777777" w:rsidR="00286E39" w:rsidRPr="006250F4" w:rsidRDefault="00286E39" w:rsidP="00286E39">
            <w:pPr>
              <w:rPr>
                <w:rFonts w:ascii="Arial" w:hAnsi="Arial" w:cs="Arial"/>
                <w:sz w:val="24"/>
                <w:szCs w:val="24"/>
              </w:rPr>
            </w:pPr>
            <w:r w:rsidRPr="006250F4">
              <w:rPr>
                <w:rFonts w:ascii="Arial" w:hAnsi="Arial" w:cs="Arial"/>
                <w:b/>
                <w:bCs/>
                <w:sz w:val="24"/>
                <w:szCs w:val="24"/>
              </w:rPr>
              <w:t>Appraisal Metric</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11C5E07C" w14:textId="77777777" w:rsidR="00286E39" w:rsidRPr="006250F4" w:rsidRDefault="00286E39" w:rsidP="00286E39">
            <w:pPr>
              <w:rPr>
                <w:rFonts w:ascii="Arial" w:hAnsi="Arial" w:cs="Arial"/>
                <w:sz w:val="24"/>
                <w:szCs w:val="24"/>
              </w:rPr>
            </w:pPr>
            <w:r w:rsidRPr="006250F4">
              <w:rPr>
                <w:rFonts w:ascii="Arial" w:hAnsi="Arial" w:cs="Arial"/>
                <w:b/>
                <w:bCs/>
                <w:sz w:val="24"/>
                <w:szCs w:val="24"/>
              </w:rPr>
              <w:t>Project A</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6F41B1D0" w14:textId="77777777" w:rsidR="00286E39" w:rsidRPr="006250F4" w:rsidRDefault="00286E39" w:rsidP="00286E39">
            <w:pPr>
              <w:rPr>
                <w:rFonts w:ascii="Arial" w:hAnsi="Arial" w:cs="Arial"/>
                <w:sz w:val="24"/>
                <w:szCs w:val="24"/>
              </w:rPr>
            </w:pPr>
            <w:r w:rsidRPr="006250F4">
              <w:rPr>
                <w:rFonts w:ascii="Arial" w:hAnsi="Arial" w:cs="Arial"/>
                <w:b/>
                <w:bCs/>
                <w:sz w:val="24"/>
                <w:szCs w:val="24"/>
              </w:rPr>
              <w:t>Project B</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464F5E51" w14:textId="77777777" w:rsidR="00286E39" w:rsidRPr="006250F4" w:rsidRDefault="00286E39" w:rsidP="00286E39">
            <w:pPr>
              <w:rPr>
                <w:rFonts w:ascii="Arial" w:hAnsi="Arial" w:cs="Arial"/>
                <w:sz w:val="24"/>
                <w:szCs w:val="24"/>
              </w:rPr>
            </w:pPr>
            <w:r w:rsidRPr="006250F4">
              <w:rPr>
                <w:rFonts w:ascii="Arial" w:hAnsi="Arial" w:cs="Arial"/>
                <w:b/>
                <w:bCs/>
                <w:sz w:val="24"/>
                <w:szCs w:val="24"/>
              </w:rPr>
              <w:t>Project C</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6DE216AD" w14:textId="77777777" w:rsidR="00286E39" w:rsidRPr="006250F4" w:rsidRDefault="00286E39" w:rsidP="00286E39">
            <w:pPr>
              <w:rPr>
                <w:rFonts w:ascii="Arial" w:hAnsi="Arial" w:cs="Arial"/>
                <w:sz w:val="24"/>
                <w:szCs w:val="24"/>
              </w:rPr>
            </w:pPr>
            <w:r w:rsidRPr="006250F4">
              <w:rPr>
                <w:rFonts w:ascii="Arial" w:hAnsi="Arial" w:cs="Arial"/>
                <w:b/>
                <w:bCs/>
                <w:sz w:val="24"/>
                <w:szCs w:val="24"/>
              </w:rPr>
              <w:t>Target Criteria</w:t>
            </w:r>
          </w:p>
        </w:tc>
      </w:tr>
      <w:tr w:rsidR="00286E39" w:rsidRPr="006250F4" w14:paraId="7AE218B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F1F3C8" w14:textId="77777777" w:rsidR="00286E39" w:rsidRPr="006250F4" w:rsidRDefault="00286E39" w:rsidP="00286E39">
            <w:pPr>
              <w:rPr>
                <w:rFonts w:ascii="Arial" w:hAnsi="Arial" w:cs="Arial"/>
                <w:sz w:val="24"/>
                <w:szCs w:val="24"/>
              </w:rPr>
            </w:pPr>
            <w:r w:rsidRPr="006250F4">
              <w:rPr>
                <w:rFonts w:ascii="Arial" w:hAnsi="Arial" w:cs="Arial"/>
                <w:b/>
                <w:bCs/>
                <w:sz w:val="24"/>
                <w:szCs w:val="24"/>
              </w:rPr>
              <w:t>Payback Period (PBP)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22299B" w14:textId="77777777" w:rsidR="00286E39" w:rsidRPr="006250F4" w:rsidRDefault="00286E39" w:rsidP="00286E39">
            <w:pPr>
              <w:rPr>
                <w:rFonts w:ascii="Arial" w:hAnsi="Arial" w:cs="Arial"/>
                <w:sz w:val="24"/>
                <w:szCs w:val="24"/>
              </w:rPr>
            </w:pPr>
            <w:r w:rsidRPr="006250F4">
              <w:rPr>
                <w:rFonts w:ascii="Arial" w:hAnsi="Arial" w:cs="Arial"/>
                <w:sz w:val="24"/>
                <w:szCs w:val="24"/>
              </w:rPr>
              <w:t>4.50 Years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A2F301" w14:textId="77777777" w:rsidR="00286E39" w:rsidRPr="006250F4" w:rsidRDefault="00286E39" w:rsidP="00286E39">
            <w:pPr>
              <w:rPr>
                <w:rFonts w:ascii="Arial" w:hAnsi="Arial" w:cs="Arial"/>
                <w:sz w:val="24"/>
                <w:szCs w:val="24"/>
              </w:rPr>
            </w:pPr>
            <w:r w:rsidRPr="006250F4">
              <w:rPr>
                <w:rFonts w:ascii="Arial" w:hAnsi="Arial" w:cs="Arial"/>
                <w:sz w:val="24"/>
                <w:szCs w:val="24"/>
              </w:rPr>
              <w:t>4.55 Years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514314" w14:textId="77777777" w:rsidR="00286E39" w:rsidRPr="006250F4" w:rsidRDefault="00286E39" w:rsidP="00286E39">
            <w:pPr>
              <w:rPr>
                <w:rFonts w:ascii="Arial" w:hAnsi="Arial" w:cs="Arial"/>
                <w:sz w:val="24"/>
                <w:szCs w:val="24"/>
              </w:rPr>
            </w:pPr>
            <w:r w:rsidRPr="006250F4">
              <w:rPr>
                <w:rFonts w:ascii="Arial" w:hAnsi="Arial" w:cs="Arial"/>
                <w:b/>
                <w:bCs/>
                <w:sz w:val="24"/>
                <w:szCs w:val="24"/>
              </w:rPr>
              <w:t>3.60 Years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874EAC" w14:textId="77777777" w:rsidR="00286E39" w:rsidRPr="006250F4" w:rsidRDefault="00286E39" w:rsidP="00286E39">
            <w:pPr>
              <w:rPr>
                <w:rFonts w:ascii="Arial" w:hAnsi="Arial" w:cs="Arial"/>
                <w:sz w:val="24"/>
                <w:szCs w:val="24"/>
              </w:rPr>
            </w:pPr>
            <w:r w:rsidRPr="006250F4">
              <w:rPr>
                <w:rFonts w:ascii="Arial" w:hAnsi="Arial" w:cs="Arial"/>
                <w:sz w:val="24"/>
                <w:szCs w:val="24"/>
              </w:rPr>
              <w:t>Shorter is optimal</w:t>
            </w:r>
          </w:p>
        </w:tc>
      </w:tr>
      <w:tr w:rsidR="00286E39" w:rsidRPr="006250F4" w14:paraId="26CB4A6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DB049D" w14:textId="77777777" w:rsidR="00286E39" w:rsidRPr="006250F4" w:rsidRDefault="00286E39" w:rsidP="00286E39">
            <w:pPr>
              <w:rPr>
                <w:rFonts w:ascii="Arial" w:hAnsi="Arial" w:cs="Arial"/>
                <w:sz w:val="24"/>
                <w:szCs w:val="24"/>
              </w:rPr>
            </w:pPr>
            <w:r w:rsidRPr="006250F4">
              <w:rPr>
                <w:rFonts w:ascii="Arial" w:hAnsi="Arial" w:cs="Arial"/>
                <w:b/>
                <w:bCs/>
                <w:sz w:val="24"/>
                <w:szCs w:val="24"/>
              </w:rPr>
              <w:t>Accounting Rate of Return (ARR)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4CD6AC" w14:textId="77777777" w:rsidR="00286E39" w:rsidRPr="006250F4" w:rsidRDefault="00286E39" w:rsidP="00286E39">
            <w:pPr>
              <w:rPr>
                <w:rFonts w:ascii="Arial" w:hAnsi="Arial" w:cs="Arial"/>
                <w:sz w:val="24"/>
                <w:szCs w:val="24"/>
              </w:rPr>
            </w:pPr>
            <w:r w:rsidRPr="006250F4">
              <w:rPr>
                <w:rFonts w:ascii="Arial" w:hAnsi="Arial" w:cs="Arial"/>
                <w:sz w:val="24"/>
                <w:szCs w:val="24"/>
              </w:rPr>
              <w:t>3.20%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D463F1" w14:textId="77777777" w:rsidR="00286E39" w:rsidRPr="006250F4" w:rsidRDefault="00286E39" w:rsidP="00286E39">
            <w:pPr>
              <w:rPr>
                <w:rFonts w:ascii="Arial" w:hAnsi="Arial" w:cs="Arial"/>
                <w:sz w:val="24"/>
                <w:szCs w:val="24"/>
              </w:rPr>
            </w:pPr>
            <w:r w:rsidRPr="006250F4">
              <w:rPr>
                <w:rFonts w:ascii="Arial" w:hAnsi="Arial" w:cs="Arial"/>
                <w:sz w:val="24"/>
                <w:szCs w:val="24"/>
              </w:rPr>
              <w:t>4.00%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0AFE1F" w14:textId="77777777" w:rsidR="00286E39" w:rsidRPr="006250F4" w:rsidRDefault="00286E39" w:rsidP="00286E39">
            <w:pPr>
              <w:rPr>
                <w:rFonts w:ascii="Arial" w:hAnsi="Arial" w:cs="Arial"/>
                <w:sz w:val="24"/>
                <w:szCs w:val="24"/>
              </w:rPr>
            </w:pPr>
            <w:r w:rsidRPr="006250F4">
              <w:rPr>
                <w:rFonts w:ascii="Arial" w:hAnsi="Arial" w:cs="Arial"/>
                <w:b/>
                <w:bCs/>
                <w:sz w:val="24"/>
                <w:szCs w:val="24"/>
              </w:rPr>
              <w:t>12.00%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C3E8EA" w14:textId="77777777" w:rsidR="00286E39" w:rsidRPr="006250F4" w:rsidRDefault="00286E39" w:rsidP="00286E39">
            <w:pPr>
              <w:rPr>
                <w:rFonts w:ascii="Arial" w:hAnsi="Arial" w:cs="Arial"/>
                <w:sz w:val="24"/>
                <w:szCs w:val="24"/>
              </w:rPr>
            </w:pPr>
            <w:r w:rsidRPr="006250F4">
              <w:rPr>
                <w:rFonts w:ascii="Arial" w:hAnsi="Arial" w:cs="Arial"/>
                <w:sz w:val="24"/>
                <w:szCs w:val="24"/>
              </w:rPr>
              <w:t>Higher is optimal</w:t>
            </w:r>
          </w:p>
        </w:tc>
      </w:tr>
      <w:tr w:rsidR="00286E39" w:rsidRPr="006250F4" w14:paraId="259242D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F117F8" w14:textId="77777777" w:rsidR="00286E39" w:rsidRPr="006250F4" w:rsidRDefault="00286E39" w:rsidP="00286E39">
            <w:pPr>
              <w:rPr>
                <w:rFonts w:ascii="Arial" w:hAnsi="Arial" w:cs="Arial"/>
                <w:sz w:val="24"/>
                <w:szCs w:val="24"/>
              </w:rPr>
            </w:pPr>
            <w:r w:rsidRPr="006250F4">
              <w:rPr>
                <w:rFonts w:ascii="Arial" w:hAnsi="Arial" w:cs="Arial"/>
                <w:b/>
                <w:bCs/>
                <w:sz w:val="24"/>
                <w:szCs w:val="24"/>
              </w:rPr>
              <w:t>Net Present Value (NPV)</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316FCB" w14:textId="77777777" w:rsidR="00286E39" w:rsidRPr="006250F4" w:rsidRDefault="00286E39" w:rsidP="00286E39">
            <w:pPr>
              <w:rPr>
                <w:rFonts w:ascii="Arial" w:hAnsi="Arial" w:cs="Arial"/>
                <w:sz w:val="24"/>
                <w:szCs w:val="24"/>
              </w:rPr>
            </w:pPr>
            <w:r w:rsidRPr="006250F4">
              <w:rPr>
                <w:rFonts w:ascii="Arial" w:hAnsi="Arial" w:cs="Arial"/>
                <w:sz w:val="24"/>
                <w:szCs w:val="24"/>
              </w:rPr>
              <w:t>-£6.54m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9A8B65" w14:textId="77777777" w:rsidR="00286E39" w:rsidRPr="006250F4" w:rsidRDefault="00286E39" w:rsidP="00286E39">
            <w:pPr>
              <w:rPr>
                <w:rFonts w:ascii="Arial" w:hAnsi="Arial" w:cs="Arial"/>
                <w:sz w:val="24"/>
                <w:szCs w:val="24"/>
              </w:rPr>
            </w:pPr>
            <w:r w:rsidRPr="006250F4">
              <w:rPr>
                <w:rFonts w:ascii="Arial" w:hAnsi="Arial" w:cs="Arial"/>
                <w:sz w:val="24"/>
                <w:szCs w:val="24"/>
              </w:rPr>
              <w:t>-£6.08m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E29AED" w14:textId="77777777" w:rsidR="00286E39" w:rsidRPr="006250F4" w:rsidRDefault="00286E39" w:rsidP="00286E39">
            <w:pPr>
              <w:rPr>
                <w:rFonts w:ascii="Arial" w:hAnsi="Arial" w:cs="Arial"/>
                <w:sz w:val="24"/>
                <w:szCs w:val="24"/>
              </w:rPr>
            </w:pPr>
            <w:r w:rsidRPr="006250F4">
              <w:rPr>
                <w:rFonts w:ascii="Arial" w:hAnsi="Arial" w:cs="Arial"/>
                <w:b/>
                <w:bCs/>
                <w:sz w:val="24"/>
                <w:szCs w:val="24"/>
              </w:rPr>
              <w:t>£0.86m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5E4BE3" w14:textId="714E2CDF" w:rsidR="00286E39" w:rsidRPr="006250F4" w:rsidRDefault="00286E39" w:rsidP="00286E39">
            <w:pPr>
              <w:rPr>
                <w:rFonts w:ascii="Arial" w:hAnsi="Arial" w:cs="Arial"/>
                <w:sz w:val="24"/>
                <w:szCs w:val="24"/>
              </w:rPr>
            </w:pPr>
            <m:oMathPara>
              <m:oMath>
                <m:r>
                  <w:rPr>
                    <w:rFonts w:ascii="Cambria Math" w:hAnsi="Cambria Math" w:cs="Arial"/>
                    <w:sz w:val="24"/>
                    <w:szCs w:val="24"/>
                  </w:rPr>
                  <m:t>NPV&gt;0</m:t>
                </m:r>
              </m:oMath>
            </m:oMathPara>
          </w:p>
        </w:tc>
      </w:tr>
      <w:tr w:rsidR="00286E39" w:rsidRPr="006250F4" w14:paraId="56A7B26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1B2A36" w14:textId="77777777" w:rsidR="00286E39" w:rsidRPr="006250F4" w:rsidRDefault="00286E39" w:rsidP="00286E39">
            <w:pPr>
              <w:rPr>
                <w:rFonts w:ascii="Arial" w:hAnsi="Arial" w:cs="Arial"/>
                <w:sz w:val="24"/>
                <w:szCs w:val="24"/>
              </w:rPr>
            </w:pPr>
            <w:r w:rsidRPr="006250F4">
              <w:rPr>
                <w:rFonts w:ascii="Arial" w:hAnsi="Arial" w:cs="Arial"/>
                <w:b/>
                <w:bCs/>
                <w:sz w:val="24"/>
                <w:szCs w:val="24"/>
              </w:rPr>
              <w:t>Profitability Index (PI)</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2F6056" w14:textId="77777777" w:rsidR="00286E39" w:rsidRPr="006250F4" w:rsidRDefault="00286E39" w:rsidP="00286E39">
            <w:pPr>
              <w:rPr>
                <w:rFonts w:ascii="Arial" w:hAnsi="Arial" w:cs="Arial"/>
                <w:sz w:val="24"/>
                <w:szCs w:val="24"/>
              </w:rPr>
            </w:pPr>
            <w:r w:rsidRPr="006250F4">
              <w:rPr>
                <w:rFonts w:ascii="Arial" w:hAnsi="Arial" w:cs="Arial"/>
                <w:sz w:val="24"/>
                <w:szCs w:val="24"/>
              </w:rPr>
              <w:t>0.869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8FB3DB" w14:textId="77777777" w:rsidR="00286E39" w:rsidRPr="006250F4" w:rsidRDefault="00286E39" w:rsidP="00286E39">
            <w:pPr>
              <w:rPr>
                <w:rFonts w:ascii="Arial" w:hAnsi="Arial" w:cs="Arial"/>
                <w:sz w:val="24"/>
                <w:szCs w:val="24"/>
              </w:rPr>
            </w:pPr>
            <w:r w:rsidRPr="006250F4">
              <w:rPr>
                <w:rFonts w:ascii="Arial" w:hAnsi="Arial" w:cs="Arial"/>
                <w:sz w:val="24"/>
                <w:szCs w:val="24"/>
              </w:rPr>
              <w:t>0.878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F3D8FD" w14:textId="77777777" w:rsidR="00286E39" w:rsidRPr="006250F4" w:rsidRDefault="00286E39" w:rsidP="00286E39">
            <w:pPr>
              <w:rPr>
                <w:rFonts w:ascii="Arial" w:hAnsi="Arial" w:cs="Arial"/>
                <w:sz w:val="24"/>
                <w:szCs w:val="24"/>
              </w:rPr>
            </w:pPr>
            <w:r w:rsidRPr="006250F4">
              <w:rPr>
                <w:rFonts w:ascii="Arial" w:hAnsi="Arial" w:cs="Arial"/>
                <w:b/>
                <w:bCs/>
                <w:sz w:val="24"/>
                <w:szCs w:val="24"/>
              </w:rPr>
              <w:t>1.017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D82246" w14:textId="60AEE0B7" w:rsidR="00286E39" w:rsidRPr="006250F4" w:rsidRDefault="00286E39" w:rsidP="00286E39">
            <w:pPr>
              <w:rPr>
                <w:rFonts w:ascii="Arial" w:hAnsi="Arial" w:cs="Arial"/>
                <w:sz w:val="24"/>
                <w:szCs w:val="24"/>
              </w:rPr>
            </w:pPr>
            <m:oMathPara>
              <m:oMath>
                <m:r>
                  <w:rPr>
                    <w:rFonts w:ascii="Cambria Math" w:hAnsi="Cambria Math" w:cs="Arial"/>
                    <w:sz w:val="24"/>
                    <w:szCs w:val="24"/>
                  </w:rPr>
                  <m:t>PI&gt;1.0</m:t>
                </m:r>
              </m:oMath>
            </m:oMathPara>
          </w:p>
        </w:tc>
      </w:tr>
      <w:tr w:rsidR="00286E39" w:rsidRPr="006250F4" w14:paraId="2D4BAA6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7393CC" w14:textId="77777777" w:rsidR="00286E39" w:rsidRPr="006250F4" w:rsidRDefault="00286E39" w:rsidP="00286E39">
            <w:pPr>
              <w:rPr>
                <w:rFonts w:ascii="Arial" w:hAnsi="Arial" w:cs="Arial"/>
                <w:sz w:val="24"/>
                <w:szCs w:val="24"/>
              </w:rPr>
            </w:pPr>
            <w:r w:rsidRPr="006250F4">
              <w:rPr>
                <w:rFonts w:ascii="Arial" w:hAnsi="Arial" w:cs="Arial"/>
                <w:b/>
                <w:bCs/>
                <w:sz w:val="24"/>
                <w:szCs w:val="24"/>
              </w:rPr>
              <w:t>Internal Rate of Return (IRR)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F9E169" w14:textId="77777777" w:rsidR="00286E39" w:rsidRPr="006250F4" w:rsidRDefault="00286E39" w:rsidP="00286E39">
            <w:pPr>
              <w:rPr>
                <w:rFonts w:ascii="Arial" w:hAnsi="Arial" w:cs="Arial"/>
                <w:sz w:val="24"/>
                <w:szCs w:val="24"/>
              </w:rPr>
            </w:pPr>
            <w:r w:rsidRPr="006250F4">
              <w:rPr>
                <w:rFonts w:ascii="Arial" w:hAnsi="Arial" w:cs="Arial"/>
                <w:sz w:val="24"/>
                <w:szCs w:val="24"/>
              </w:rPr>
              <w:t>2.72%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494CFE" w14:textId="77777777" w:rsidR="00286E39" w:rsidRPr="006250F4" w:rsidRDefault="00286E39" w:rsidP="00286E39">
            <w:pPr>
              <w:rPr>
                <w:rFonts w:ascii="Arial" w:hAnsi="Arial" w:cs="Arial"/>
                <w:sz w:val="24"/>
                <w:szCs w:val="24"/>
              </w:rPr>
            </w:pPr>
            <w:r w:rsidRPr="006250F4">
              <w:rPr>
                <w:rFonts w:ascii="Arial" w:hAnsi="Arial" w:cs="Arial"/>
                <w:sz w:val="24"/>
                <w:szCs w:val="24"/>
              </w:rPr>
              <w:t>3.26%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1B6990" w14:textId="77777777" w:rsidR="00286E39" w:rsidRPr="006250F4" w:rsidRDefault="00286E39" w:rsidP="00286E39">
            <w:pPr>
              <w:rPr>
                <w:rFonts w:ascii="Arial" w:hAnsi="Arial" w:cs="Arial"/>
                <w:sz w:val="24"/>
                <w:szCs w:val="24"/>
              </w:rPr>
            </w:pPr>
            <w:r w:rsidRPr="006250F4">
              <w:rPr>
                <w:rFonts w:ascii="Arial" w:hAnsi="Arial" w:cs="Arial"/>
                <w:b/>
                <w:bCs/>
                <w:sz w:val="24"/>
                <w:szCs w:val="24"/>
              </w:rPr>
              <w:t>8.59%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ADA97A" w14:textId="50C7F087" w:rsidR="00286E39" w:rsidRPr="006250F4" w:rsidRDefault="00286E39" w:rsidP="00286E39">
            <w:pPr>
              <w:rPr>
                <w:rFonts w:ascii="Arial" w:hAnsi="Arial" w:cs="Arial"/>
                <w:sz w:val="24"/>
                <w:szCs w:val="24"/>
              </w:rPr>
            </w:pPr>
            <m:oMathPara>
              <m:oMath>
                <m:r>
                  <w:rPr>
                    <w:rFonts w:ascii="Cambria Math" w:hAnsi="Cambria Math" w:cs="Arial"/>
                    <w:sz w:val="24"/>
                    <w:szCs w:val="24"/>
                  </w:rPr>
                  <m:t>IRR&gt;8.00%</m:t>
                </m:r>
              </m:oMath>
            </m:oMathPara>
          </w:p>
        </w:tc>
      </w:tr>
    </w:tbl>
    <w:p w14:paraId="2AF16CC2" w14:textId="7D731D80" w:rsidR="00626D0A" w:rsidRPr="006250F4" w:rsidRDefault="00626D0A" w:rsidP="004D5AFE">
      <w:pPr>
        <w:pStyle w:val="Heading2"/>
        <w:rPr>
          <w:rFonts w:ascii="Arial" w:hAnsi="Arial" w:cs="Arial"/>
        </w:rPr>
      </w:pPr>
      <w:bookmarkStart w:id="16" w:name="_Toc237493792"/>
      <w:r w:rsidRPr="006250F4">
        <w:rPr>
          <w:rFonts w:ascii="Arial" w:hAnsi="Arial" w:cs="Arial"/>
        </w:rPr>
        <w:t>B. Project Evaluation and Financial Viability</w:t>
      </w:r>
      <w:bookmarkEnd w:id="16"/>
    </w:p>
    <w:p w14:paraId="5D854E8B" w14:textId="7C12A9E9" w:rsidR="00626D0A" w:rsidRPr="006250F4" w:rsidRDefault="00626D0A" w:rsidP="000B2D3B">
      <w:pPr>
        <w:rPr>
          <w:rFonts w:ascii="Arial" w:hAnsi="Arial" w:cs="Arial"/>
          <w:b/>
          <w:bCs/>
          <w:sz w:val="24"/>
          <w:szCs w:val="24"/>
        </w:rPr>
      </w:pPr>
      <w:r w:rsidRPr="006250F4">
        <w:rPr>
          <w:rFonts w:ascii="Arial" w:hAnsi="Arial" w:cs="Arial"/>
          <w:b/>
          <w:bCs/>
          <w:sz w:val="24"/>
          <w:szCs w:val="24"/>
        </w:rPr>
        <w:t xml:space="preserve">Project A: Destructive of Value </w:t>
      </w:r>
    </w:p>
    <w:p w14:paraId="615E0256" w14:textId="18854403" w:rsidR="00626D0A" w:rsidRPr="006250F4" w:rsidRDefault="00626D0A" w:rsidP="000B2D3B">
      <w:pPr>
        <w:rPr>
          <w:rFonts w:ascii="Arial" w:hAnsi="Arial" w:cs="Arial"/>
          <w:sz w:val="24"/>
          <w:szCs w:val="24"/>
        </w:rPr>
      </w:pPr>
      <w:r w:rsidRPr="006250F4">
        <w:rPr>
          <w:rFonts w:ascii="Arial" w:hAnsi="Arial" w:cs="Arial"/>
          <w:sz w:val="24"/>
          <w:szCs w:val="24"/>
        </w:rPr>
        <w:t>Although Project A initially exhibits a strong cash flow pattern, the total cash returns are insufficient to justify the initial investment. Its shareholder value (NPV) is declining by 6.54 million, and its internal rate of return (IRR) is only 2.72%, significantly less than our 8% capital cost. This project is not profitable because the profitability index is less than 1.0.</w:t>
      </w:r>
    </w:p>
    <w:p w14:paraId="415B4A3F" w14:textId="7BDE4741" w:rsidR="00626D0A" w:rsidRPr="006250F4" w:rsidRDefault="00626D0A" w:rsidP="000B2D3B">
      <w:pPr>
        <w:rPr>
          <w:rFonts w:ascii="Arial" w:hAnsi="Arial" w:cs="Arial"/>
          <w:b/>
          <w:bCs/>
          <w:sz w:val="24"/>
          <w:szCs w:val="24"/>
        </w:rPr>
      </w:pPr>
      <w:r w:rsidRPr="006250F4">
        <w:rPr>
          <w:rFonts w:ascii="Arial" w:hAnsi="Arial" w:cs="Arial"/>
          <w:b/>
          <w:bCs/>
          <w:sz w:val="24"/>
          <w:szCs w:val="24"/>
        </w:rPr>
        <w:t>Project B: Destructive Value</w:t>
      </w:r>
    </w:p>
    <w:p w14:paraId="66A29C92" w14:textId="51FA252A" w:rsidR="00EC0BFE" w:rsidRDefault="00626D0A" w:rsidP="000B2D3B">
      <w:pPr>
        <w:rPr>
          <w:rFonts w:ascii="Arial" w:hAnsi="Arial" w:cs="Arial"/>
          <w:sz w:val="24"/>
          <w:szCs w:val="24"/>
        </w:rPr>
      </w:pPr>
      <w:r w:rsidRPr="006250F4">
        <w:rPr>
          <w:rFonts w:ascii="Arial" w:hAnsi="Arial" w:cs="Arial"/>
          <w:sz w:val="24"/>
          <w:szCs w:val="24"/>
        </w:rPr>
        <w:t>In spite of the relatively stable cashflow of 11 million per annum, Project B has the same fatal faults as Project A. The steady cash flows cannot be covered by the discounted cash flows at 8%. In the end, it produces a very low IRR of 3.26% and loses 6.08 million in value. That ought to be rejected.</w:t>
      </w:r>
    </w:p>
    <w:p w14:paraId="0344B09F" w14:textId="77777777" w:rsidR="00131122" w:rsidRPr="006250F4" w:rsidRDefault="00131122" w:rsidP="000B2D3B">
      <w:pPr>
        <w:rPr>
          <w:rFonts w:ascii="Arial" w:hAnsi="Arial" w:cs="Arial"/>
          <w:sz w:val="24"/>
          <w:szCs w:val="24"/>
        </w:rPr>
      </w:pPr>
    </w:p>
    <w:p w14:paraId="5379834F" w14:textId="06BBAAE8" w:rsidR="00626D0A" w:rsidRPr="006250F4" w:rsidRDefault="00626D0A" w:rsidP="000B2D3B">
      <w:pPr>
        <w:rPr>
          <w:rFonts w:ascii="Arial" w:hAnsi="Arial" w:cs="Arial"/>
          <w:b/>
          <w:bCs/>
          <w:sz w:val="24"/>
          <w:szCs w:val="24"/>
        </w:rPr>
      </w:pPr>
      <w:r w:rsidRPr="006250F4">
        <w:rPr>
          <w:rFonts w:ascii="Arial" w:hAnsi="Arial" w:cs="Arial"/>
          <w:b/>
          <w:bCs/>
          <w:sz w:val="24"/>
          <w:szCs w:val="24"/>
        </w:rPr>
        <w:t xml:space="preserve">Project C: Accretive Value </w:t>
      </w:r>
    </w:p>
    <w:p w14:paraId="317CA9B4" w14:textId="1083C818" w:rsidR="00626D0A" w:rsidRDefault="00626D0A" w:rsidP="000B2D3B">
      <w:pPr>
        <w:rPr>
          <w:rFonts w:ascii="Arial" w:hAnsi="Arial" w:cs="Arial"/>
          <w:sz w:val="24"/>
          <w:szCs w:val="24"/>
        </w:rPr>
      </w:pPr>
      <w:r w:rsidRPr="006250F4">
        <w:rPr>
          <w:rFonts w:ascii="Arial" w:hAnsi="Arial" w:cs="Arial"/>
          <w:sz w:val="24"/>
          <w:szCs w:val="24"/>
        </w:rPr>
        <w:t>With a modest 5 million in Year 1, Project C’s cash flow pattern is far more progressive. By Year 4, it has grown to 25 million. With a positive net present value (NPV) of 0.86 million, this well-weighted return profile surpasses the 8% barrier rate. Its ARR of 12.00% and IRR of 8.59% are remarkable. Additionally, with a payback period of 3.6 years, it yields the fastest return on investment.</w:t>
      </w:r>
    </w:p>
    <w:p w14:paraId="51936340" w14:textId="77777777" w:rsidR="00131122" w:rsidRDefault="00131122" w:rsidP="00131122">
      <w:pPr>
        <w:keepNext/>
      </w:pPr>
      <w:r w:rsidRPr="006250F4">
        <w:rPr>
          <w:rFonts w:ascii="Arial" w:hAnsi="Arial" w:cs="Arial"/>
          <w:noProof/>
        </w:rPr>
        <w:drawing>
          <wp:inline distT="0" distB="0" distL="0" distR="0" wp14:anchorId="452B634A" wp14:editId="2C8CDAD6">
            <wp:extent cx="5303520" cy="3182112"/>
            <wp:effectExtent l="0" t="0" r="0" b="0"/>
            <wp:docPr id="555234791" name="Picture 555234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6_investment_cumcf.png"/>
                    <pic:cNvPicPr/>
                  </pic:nvPicPr>
                  <pic:blipFill>
                    <a:blip r:embed="rId14"/>
                    <a:stretch>
                      <a:fillRect/>
                    </a:stretch>
                  </pic:blipFill>
                  <pic:spPr>
                    <a:xfrm>
                      <a:off x="0" y="0"/>
                      <a:ext cx="5303520" cy="3182112"/>
                    </a:xfrm>
                    <a:prstGeom prst="rect">
                      <a:avLst/>
                    </a:prstGeom>
                  </pic:spPr>
                </pic:pic>
              </a:graphicData>
            </a:graphic>
          </wp:inline>
        </w:drawing>
      </w:r>
    </w:p>
    <w:p w14:paraId="7A740EA2" w14:textId="0FCB5325" w:rsidR="00131122" w:rsidRPr="006250F4" w:rsidRDefault="00131122" w:rsidP="00131122">
      <w:pPr>
        <w:pStyle w:val="Caption"/>
        <w:rPr>
          <w:rFonts w:ascii="Arial" w:hAnsi="Arial" w:cs="Arial"/>
          <w:sz w:val="24"/>
          <w:szCs w:val="24"/>
        </w:rPr>
      </w:pPr>
      <w:r>
        <w:t xml:space="preserve">Figure </w:t>
      </w:r>
      <w:r>
        <w:fldChar w:fldCharType="begin"/>
      </w:r>
      <w:r>
        <w:instrText xml:space="preserve"> SEQ Figure \* ARABIC </w:instrText>
      </w:r>
      <w:r>
        <w:fldChar w:fldCharType="separate"/>
      </w:r>
      <w:r>
        <w:rPr>
          <w:noProof/>
        </w:rPr>
        <w:t>6</w:t>
      </w:r>
      <w:r>
        <w:rPr>
          <w:noProof/>
        </w:rPr>
        <w:fldChar w:fldCharType="end"/>
      </w:r>
      <w:r>
        <w:rPr>
          <w:lang w:val="en-US"/>
        </w:rPr>
        <w:t>.</w:t>
      </w:r>
      <w:r w:rsidRPr="005F2390">
        <w:rPr>
          <w:lang w:val="en-US"/>
        </w:rPr>
        <w:t>Cumulative Cash Flow by Project, Year 0-5. Source: Investment_Appraisal_Final.xlsx (author's own calculations).</w:t>
      </w:r>
    </w:p>
    <w:p w14:paraId="58EBAB5B" w14:textId="56468B39" w:rsidR="00626D0A" w:rsidRPr="006250F4" w:rsidRDefault="00626D0A" w:rsidP="004D5AFE">
      <w:pPr>
        <w:pStyle w:val="Heading2"/>
        <w:rPr>
          <w:rFonts w:ascii="Arial" w:hAnsi="Arial" w:cs="Arial"/>
        </w:rPr>
      </w:pPr>
      <w:bookmarkStart w:id="17" w:name="_Toc237493793"/>
      <w:r w:rsidRPr="006250F4">
        <w:rPr>
          <w:rFonts w:ascii="Arial" w:hAnsi="Arial" w:cs="Arial"/>
        </w:rPr>
        <w:t>C. Strategic Recommendation and Justification</w:t>
      </w:r>
      <w:bookmarkEnd w:id="17"/>
    </w:p>
    <w:p w14:paraId="2A0B5221" w14:textId="2EACC5D0" w:rsidR="00626D0A" w:rsidRPr="006250F4" w:rsidRDefault="00626D0A" w:rsidP="000B2D3B">
      <w:pPr>
        <w:rPr>
          <w:rFonts w:ascii="Arial" w:hAnsi="Arial" w:cs="Arial"/>
          <w:sz w:val="24"/>
          <w:szCs w:val="24"/>
        </w:rPr>
      </w:pPr>
      <w:r w:rsidRPr="006250F4">
        <w:rPr>
          <w:rFonts w:ascii="Arial" w:hAnsi="Arial" w:cs="Arial"/>
          <w:sz w:val="24"/>
          <w:szCs w:val="24"/>
        </w:rPr>
        <w:t xml:space="preserve">Project C is highly recommended. </w:t>
      </w:r>
    </w:p>
    <w:p w14:paraId="30C1C129" w14:textId="542C9F66" w:rsidR="00626D0A" w:rsidRPr="006250F4" w:rsidRDefault="00626D0A" w:rsidP="000B2D3B">
      <w:pPr>
        <w:rPr>
          <w:rFonts w:ascii="Arial" w:hAnsi="Arial" w:cs="Arial"/>
          <w:sz w:val="24"/>
          <w:szCs w:val="24"/>
        </w:rPr>
      </w:pPr>
      <w:r w:rsidRPr="006250F4">
        <w:rPr>
          <w:rFonts w:ascii="Arial" w:hAnsi="Arial" w:cs="Arial"/>
          <w:sz w:val="24"/>
          <w:szCs w:val="24"/>
        </w:rPr>
        <w:t>In addition to being a perfect fit with Whitbread’s macroeconomic posture and long-term strategic goals, Project C passes the stringent mathematical investment standards. This advice is based on our non-financial risk profile and financial performance measures rather than being made at random.</w:t>
      </w:r>
    </w:p>
    <w:p w14:paraId="4BCB0942" w14:textId="075D7B43" w:rsidR="00626D0A" w:rsidRPr="006250F4" w:rsidRDefault="00626D0A" w:rsidP="00EC0BFE">
      <w:pPr>
        <w:pStyle w:val="Heading3"/>
        <w:rPr>
          <w:rFonts w:ascii="Arial" w:hAnsi="Arial" w:cs="Arial"/>
        </w:rPr>
      </w:pPr>
      <w:bookmarkStart w:id="18" w:name="_Toc237493794"/>
      <w:r w:rsidRPr="006250F4">
        <w:rPr>
          <w:rFonts w:ascii="Arial" w:hAnsi="Arial" w:cs="Arial"/>
        </w:rPr>
        <w:t>Alignment with Return Targets comes after profitability</w:t>
      </w:r>
      <w:bookmarkEnd w:id="18"/>
    </w:p>
    <w:p w14:paraId="6A55E5AB" w14:textId="33AE1B08" w:rsidR="00EC0BFE" w:rsidRPr="006250F4" w:rsidRDefault="00626D0A" w:rsidP="000B2D3B">
      <w:pPr>
        <w:rPr>
          <w:rFonts w:ascii="Arial" w:hAnsi="Arial" w:cs="Arial"/>
          <w:sz w:val="24"/>
          <w:szCs w:val="24"/>
        </w:rPr>
      </w:pPr>
      <w:r w:rsidRPr="006250F4">
        <w:rPr>
          <w:rFonts w:ascii="Arial" w:hAnsi="Arial" w:cs="Arial"/>
          <w:sz w:val="24"/>
          <w:szCs w:val="24"/>
        </w:rPr>
        <w:t xml:space="preserve">For both our UK and German operations, our strategic goal is to attain a long-term return on capital employed of 10% to 14%. Project C: This target range is met by the Accounting Rate of Return of 12.00%. In contrast, Projects A and B yield returns of </w:t>
      </w:r>
      <w:r w:rsidRPr="006250F4">
        <w:rPr>
          <w:rFonts w:ascii="Arial" w:hAnsi="Arial" w:cs="Arial"/>
          <w:sz w:val="24"/>
          <w:szCs w:val="24"/>
        </w:rPr>
        <w:lastRenderedPageBreak/>
        <w:t>only 3.20% and 4.00%, respectively, which are far from satisfactory. Taking on less-than-ideal initiatives would undoubtedly dilute our company ROCE, which is precisely what we have been working hard to enhance since the pandemic.</w:t>
      </w:r>
    </w:p>
    <w:p w14:paraId="6E17BDC5" w14:textId="57E386D1" w:rsidR="00626D0A" w:rsidRPr="006250F4" w:rsidRDefault="00626D0A" w:rsidP="00EC0BFE">
      <w:pPr>
        <w:pStyle w:val="Heading3"/>
        <w:rPr>
          <w:rFonts w:ascii="Arial" w:hAnsi="Arial" w:cs="Arial"/>
        </w:rPr>
      </w:pPr>
      <w:bookmarkStart w:id="19" w:name="_Toc237493795"/>
      <w:r w:rsidRPr="006250F4">
        <w:rPr>
          <w:rFonts w:ascii="Arial" w:hAnsi="Arial" w:cs="Arial"/>
        </w:rPr>
        <w:t>Cash flow of affairs and liquidity</w:t>
      </w:r>
      <w:bookmarkEnd w:id="19"/>
      <w:r w:rsidRPr="006250F4">
        <w:rPr>
          <w:rFonts w:ascii="Arial" w:hAnsi="Arial" w:cs="Arial"/>
        </w:rPr>
        <w:t xml:space="preserve"> </w:t>
      </w:r>
    </w:p>
    <w:p w14:paraId="2779461B" w14:textId="0470AD67" w:rsidR="00626D0A" w:rsidRPr="00C859DB" w:rsidRDefault="00626D0A" w:rsidP="000B2D3B">
      <w:pPr>
        <w:rPr>
          <w:rFonts w:ascii="Arial" w:hAnsi="Arial" w:cs="Arial"/>
          <w:sz w:val="24"/>
          <w:szCs w:val="24"/>
        </w:rPr>
      </w:pPr>
      <w:r w:rsidRPr="006250F4">
        <w:rPr>
          <w:rFonts w:ascii="Arial" w:hAnsi="Arial" w:cs="Arial"/>
          <w:sz w:val="24"/>
          <w:szCs w:val="24"/>
        </w:rPr>
        <w:t>With a very secure cash ratio and 909 million in liquid cash equivalents at the end of FY25, Whitbread’s balance sheet is now a stronghold. More liquidity is not required. Thus, we are able to backload Project C’s cash flow with ease. It is not anticipated that the minor inflows in Years 1 and 2 will jeopardize our working capital or our lease obligations. Instead, Project C is set up to closely mimic the cash flow curve of our hotel expansion in Germany, which starts with significant capital intensity and ramp-up and eventually matures into highly profitable yields.</w:t>
      </w:r>
    </w:p>
    <w:p w14:paraId="2DF9F4DB" w14:textId="2B1DB361" w:rsidR="00626D0A" w:rsidRPr="006250F4" w:rsidRDefault="00626D0A" w:rsidP="00EC0BFE">
      <w:pPr>
        <w:pStyle w:val="Heading3"/>
        <w:rPr>
          <w:rFonts w:ascii="Arial" w:hAnsi="Arial" w:cs="Arial"/>
        </w:rPr>
      </w:pPr>
      <w:bookmarkStart w:id="20" w:name="_Toc237493796"/>
      <w:r w:rsidRPr="006250F4">
        <w:rPr>
          <w:rFonts w:ascii="Arial" w:hAnsi="Arial" w:cs="Arial"/>
        </w:rPr>
        <w:t>NFR mitigation</w:t>
      </w:r>
      <w:bookmarkEnd w:id="20"/>
      <w:r w:rsidRPr="006250F4">
        <w:rPr>
          <w:rFonts w:ascii="Arial" w:hAnsi="Arial" w:cs="Arial"/>
        </w:rPr>
        <w:t xml:space="preserve"> </w:t>
      </w:r>
    </w:p>
    <w:p w14:paraId="68D92E9D" w14:textId="6D72951E" w:rsidR="00626D0A" w:rsidRPr="006250F4" w:rsidRDefault="00626D0A" w:rsidP="000B2D3B">
      <w:pPr>
        <w:rPr>
          <w:rFonts w:ascii="Arial" w:hAnsi="Arial" w:cs="Arial"/>
          <w:sz w:val="24"/>
          <w:szCs w:val="24"/>
        </w:rPr>
      </w:pPr>
      <w:r w:rsidRPr="006250F4">
        <w:rPr>
          <w:rFonts w:ascii="Arial" w:hAnsi="Arial" w:cs="Arial"/>
          <w:sz w:val="24"/>
          <w:szCs w:val="24"/>
        </w:rPr>
        <w:t>Project C’s back-loaded architecture acts as a natural buffer against short-term, non-financial risks that the hotel sector is currently confronting.</w:t>
      </w:r>
    </w:p>
    <w:p w14:paraId="5DAB1CB2" w14:textId="79C0EE4B" w:rsidR="00626D0A" w:rsidRPr="006250F4" w:rsidRDefault="00626D0A" w:rsidP="000B2D3B">
      <w:pPr>
        <w:rPr>
          <w:rFonts w:ascii="Arial" w:hAnsi="Arial" w:cs="Arial"/>
          <w:sz w:val="24"/>
          <w:szCs w:val="24"/>
        </w:rPr>
      </w:pPr>
      <w:r w:rsidRPr="006250F4">
        <w:rPr>
          <w:rFonts w:ascii="Arial" w:hAnsi="Arial" w:cs="Arial"/>
          <w:b/>
          <w:bCs/>
          <w:sz w:val="24"/>
          <w:szCs w:val="24"/>
        </w:rPr>
        <w:t>Cost of living</w:t>
      </w:r>
      <w:r w:rsidRPr="006250F4">
        <w:rPr>
          <w:rFonts w:ascii="Arial" w:hAnsi="Arial" w:cs="Arial"/>
          <w:sz w:val="24"/>
          <w:szCs w:val="24"/>
        </w:rPr>
        <w:t>: The long-term cost of living problem that the UK has been going thru has momentarily reduced discretionary leisure spending. Project C has the biggest cash flow in Years 3 and 4. By now, macroeconomic projections point to a normalized level of consumer spending power and a less hostile interest rate environment.</w:t>
      </w:r>
    </w:p>
    <w:p w14:paraId="2504A0C4" w14:textId="71B90688" w:rsidR="006250F4" w:rsidRPr="00C859DB" w:rsidRDefault="00626D0A" w:rsidP="000B2D3B">
      <w:pPr>
        <w:rPr>
          <w:rFonts w:ascii="Arial" w:hAnsi="Arial" w:cs="Arial"/>
          <w:sz w:val="24"/>
          <w:szCs w:val="24"/>
        </w:rPr>
      </w:pPr>
      <w:r w:rsidRPr="006250F4">
        <w:rPr>
          <w:rFonts w:ascii="Arial" w:hAnsi="Arial" w:cs="Arial"/>
          <w:sz w:val="24"/>
          <w:szCs w:val="24"/>
        </w:rPr>
        <w:t>As part of the political and execution risks, the hotel industry is anticipated to face pressures from unions and new environmental, social, and governance (ESG) legislation in addition to the change in the macro labor market. Because the payment from Project C is so rapidthe payback period is three and a half years, or precisely 3.6 yearsour original capital is consistently being cashed out before long-term, chronic regulatory changes may have a negative influence on the asset class’s bottom line.</w:t>
      </w:r>
    </w:p>
    <w:p w14:paraId="2DA95843" w14:textId="1D831F14" w:rsidR="00626D0A" w:rsidRPr="006250F4" w:rsidRDefault="00626D0A" w:rsidP="00286E39">
      <w:pPr>
        <w:pStyle w:val="Heading2"/>
        <w:rPr>
          <w:rFonts w:ascii="Arial" w:hAnsi="Arial" w:cs="Arial"/>
        </w:rPr>
      </w:pPr>
      <w:bookmarkStart w:id="21" w:name="_Toc237493797"/>
      <w:r w:rsidRPr="006250F4">
        <w:rPr>
          <w:rFonts w:ascii="Arial" w:hAnsi="Arial" w:cs="Arial"/>
        </w:rPr>
        <w:t>D. Capital Rationing Analysis</w:t>
      </w:r>
      <w:bookmarkEnd w:id="21"/>
    </w:p>
    <w:p w14:paraId="17F3E2C1" w14:textId="024EC8BB" w:rsidR="001A0188" w:rsidRPr="006250F4" w:rsidRDefault="00626D0A" w:rsidP="000B2D3B">
      <w:pPr>
        <w:rPr>
          <w:rFonts w:ascii="Arial" w:hAnsi="Arial" w:cs="Arial"/>
          <w:sz w:val="24"/>
          <w:szCs w:val="24"/>
        </w:rPr>
      </w:pPr>
      <w:r w:rsidRPr="006250F4">
        <w:rPr>
          <w:rFonts w:ascii="Arial" w:hAnsi="Arial" w:cs="Arial"/>
          <w:sz w:val="24"/>
          <w:szCs w:val="24"/>
        </w:rPr>
        <w:t xml:space="preserve">We have a 100 million budget, but capital rationing is in place. The budget’s 50 million cap theoretically permits the simultaneous operation of two projects. </w:t>
      </w:r>
    </w:p>
    <w:p w14:paraId="6DA9042F" w14:textId="623C7F7F" w:rsidR="001A0188" w:rsidRPr="00C859DB" w:rsidRDefault="00626D0A" w:rsidP="000B2D3B">
      <w:pPr>
        <w:rPr>
          <w:rFonts w:ascii="Arial" w:hAnsi="Arial" w:cs="Arial"/>
          <w:sz w:val="24"/>
          <w:szCs w:val="24"/>
        </w:rPr>
      </w:pPr>
      <w:r w:rsidRPr="006250F4">
        <w:rPr>
          <w:rFonts w:ascii="Arial" w:hAnsi="Arial" w:cs="Arial"/>
          <w:sz w:val="24"/>
          <w:szCs w:val="24"/>
        </w:rPr>
        <w:lastRenderedPageBreak/>
        <w:t>The objective of maximizing the NPV (Net Present Value) of the cash flows persists in capital rationing scenarios where mutually exclusive combinations must be taken into account. This is how the combinatorial analysis works:</w:t>
      </w:r>
    </w:p>
    <w:p w14:paraId="6CB7C916" w14:textId="62B73A0A" w:rsidR="006547C1" w:rsidRDefault="006547C1" w:rsidP="006547C1">
      <w:pPr>
        <w:pStyle w:val="Caption"/>
        <w:keepNext/>
      </w:pPr>
      <w:r>
        <w:t xml:space="preserve">Table </w:t>
      </w:r>
      <w:r>
        <w:fldChar w:fldCharType="begin"/>
      </w:r>
      <w:r>
        <w:instrText xml:space="preserve"> SEQ Table \* ARABIC </w:instrText>
      </w:r>
      <w:r>
        <w:fldChar w:fldCharType="separate"/>
      </w:r>
      <w:r w:rsidR="00122FFF">
        <w:rPr>
          <w:noProof/>
        </w:rPr>
        <w:t>4</w:t>
      </w:r>
      <w:r>
        <w:fldChar w:fldCharType="end"/>
      </w:r>
      <w:r w:rsidRPr="00EE1D2D">
        <w:rPr>
          <w:lang w:val="en-US"/>
        </w:rPr>
        <w:t>. Capital Rationing — Project Combinations within £100m Budget. Source: Author's own calculations (Investment_Appraisal_Final.xlsx).</w:t>
      </w:r>
    </w:p>
    <w:tbl>
      <w:tblPr>
        <w:tblW w:w="0" w:type="auto"/>
        <w:tblCellSpacing w:w="15" w:type="dxa"/>
        <w:tblCellMar>
          <w:left w:w="0" w:type="dxa"/>
          <w:right w:w="0" w:type="dxa"/>
        </w:tblCellMar>
        <w:tblLook w:val="04A0" w:firstRow="1" w:lastRow="0" w:firstColumn="1" w:lastColumn="0" w:noHBand="0" w:noVBand="1"/>
      </w:tblPr>
      <w:tblGrid>
        <w:gridCol w:w="1786"/>
        <w:gridCol w:w="1362"/>
        <w:gridCol w:w="1144"/>
        <w:gridCol w:w="1513"/>
        <w:gridCol w:w="1505"/>
        <w:gridCol w:w="1700"/>
      </w:tblGrid>
      <w:tr w:rsidR="00286E39" w:rsidRPr="006250F4" w14:paraId="7A2F413C" w14:textId="77777777" w:rsidTr="001A01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4B58F1DB" w14:textId="77777777" w:rsidR="00286E39" w:rsidRPr="006250F4" w:rsidRDefault="00286E39" w:rsidP="00286E39">
            <w:pPr>
              <w:rPr>
                <w:rFonts w:ascii="Arial" w:hAnsi="Arial" w:cs="Arial"/>
              </w:rPr>
            </w:pPr>
            <w:r w:rsidRPr="006250F4">
              <w:rPr>
                <w:rFonts w:ascii="Arial" w:hAnsi="Arial" w:cs="Arial"/>
                <w:b/>
                <w:bCs/>
              </w:rPr>
              <w:t>Combination</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2E434D61" w14:textId="77777777" w:rsidR="00286E39" w:rsidRPr="006250F4" w:rsidRDefault="00286E39" w:rsidP="00286E39">
            <w:pPr>
              <w:rPr>
                <w:rFonts w:ascii="Arial" w:hAnsi="Arial" w:cs="Arial"/>
              </w:rPr>
            </w:pPr>
            <w:r w:rsidRPr="006250F4">
              <w:rPr>
                <w:rFonts w:ascii="Arial" w:hAnsi="Arial" w:cs="Arial"/>
                <w:b/>
                <w:bCs/>
              </w:rPr>
              <w:t>Projects Included</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66FC4E83" w14:textId="77777777" w:rsidR="00286E39" w:rsidRPr="006250F4" w:rsidRDefault="00286E39" w:rsidP="00286E39">
            <w:pPr>
              <w:rPr>
                <w:rFonts w:ascii="Arial" w:hAnsi="Arial" w:cs="Arial"/>
              </w:rPr>
            </w:pPr>
            <w:r w:rsidRPr="006250F4">
              <w:rPr>
                <w:rFonts w:ascii="Arial" w:hAnsi="Arial" w:cs="Arial"/>
                <w:b/>
                <w:bCs/>
              </w:rPr>
              <w:t>Total Initial Outlay</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785CF458" w14:textId="77777777" w:rsidR="00286E39" w:rsidRPr="006250F4" w:rsidRDefault="00286E39" w:rsidP="00286E39">
            <w:pPr>
              <w:rPr>
                <w:rFonts w:ascii="Arial" w:hAnsi="Arial" w:cs="Arial"/>
              </w:rPr>
            </w:pPr>
            <w:r w:rsidRPr="006250F4">
              <w:rPr>
                <w:rFonts w:ascii="Arial" w:hAnsi="Arial" w:cs="Arial"/>
                <w:b/>
                <w:bCs/>
              </w:rPr>
              <w:t>Combined NPV</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2116BE5E" w14:textId="77777777" w:rsidR="00286E39" w:rsidRPr="006250F4" w:rsidRDefault="00286E39" w:rsidP="00286E39">
            <w:pPr>
              <w:rPr>
                <w:rFonts w:ascii="Arial" w:hAnsi="Arial" w:cs="Arial"/>
              </w:rPr>
            </w:pPr>
            <w:r w:rsidRPr="006250F4">
              <w:rPr>
                <w:rFonts w:ascii="Arial" w:hAnsi="Arial" w:cs="Arial"/>
                <w:b/>
                <w:bCs/>
              </w:rPr>
              <w:t>Combined PI</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0091F34B" w14:textId="77777777" w:rsidR="00286E39" w:rsidRPr="006250F4" w:rsidRDefault="00286E39" w:rsidP="00286E39">
            <w:pPr>
              <w:rPr>
                <w:rFonts w:ascii="Arial" w:hAnsi="Arial" w:cs="Arial"/>
              </w:rPr>
            </w:pPr>
            <w:r w:rsidRPr="006250F4">
              <w:rPr>
                <w:rFonts w:ascii="Arial" w:hAnsi="Arial" w:cs="Arial"/>
                <w:b/>
                <w:bCs/>
              </w:rPr>
              <w:t>Strategic Decision</w:t>
            </w:r>
          </w:p>
        </w:tc>
      </w:tr>
      <w:tr w:rsidR="00286E39" w:rsidRPr="006250F4" w14:paraId="7CF35EF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E69576" w14:textId="77777777" w:rsidR="00286E39" w:rsidRPr="006250F4" w:rsidRDefault="00286E39" w:rsidP="00286E39">
            <w:pPr>
              <w:rPr>
                <w:rFonts w:ascii="Arial" w:hAnsi="Arial" w:cs="Arial"/>
              </w:rPr>
            </w:pPr>
            <w:r w:rsidRPr="006250F4">
              <w:rPr>
                <w:rFonts w:ascii="Arial" w:hAnsi="Arial" w:cs="Arial"/>
                <w:b/>
                <w:bCs/>
              </w:rPr>
              <w:t>Combination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0075DC" w14:textId="77777777" w:rsidR="00286E39" w:rsidRPr="006250F4" w:rsidRDefault="00286E39" w:rsidP="00286E39">
            <w:pPr>
              <w:rPr>
                <w:rFonts w:ascii="Arial" w:hAnsi="Arial" w:cs="Arial"/>
              </w:rPr>
            </w:pPr>
            <w:r w:rsidRPr="006250F4">
              <w:rPr>
                <w:rFonts w:ascii="Arial" w:hAnsi="Arial" w:cs="Arial"/>
              </w:rPr>
              <w:t>Project A + Project B</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B62FEC" w14:textId="77777777" w:rsidR="00286E39" w:rsidRPr="006250F4" w:rsidRDefault="00286E39" w:rsidP="00286E39">
            <w:pPr>
              <w:rPr>
                <w:rFonts w:ascii="Arial" w:hAnsi="Arial" w:cs="Arial"/>
              </w:rPr>
            </w:pPr>
            <w:r w:rsidRPr="006250F4">
              <w:rPr>
                <w:rFonts w:ascii="Arial" w:hAnsi="Arial" w:cs="Arial"/>
              </w:rPr>
              <w:t>£100m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5947A5" w14:textId="77777777" w:rsidR="00286E39" w:rsidRPr="006250F4" w:rsidRDefault="00286E39" w:rsidP="00286E39">
            <w:pPr>
              <w:rPr>
                <w:rFonts w:ascii="Arial" w:hAnsi="Arial" w:cs="Arial"/>
              </w:rPr>
            </w:pPr>
            <w:r w:rsidRPr="006250F4">
              <w:rPr>
                <w:rFonts w:ascii="Arial" w:hAnsi="Arial" w:cs="Arial"/>
              </w:rPr>
              <w:t>-£12.62m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1E441A" w14:textId="303DF55C" w:rsidR="00286E39" w:rsidRPr="006250F4" w:rsidRDefault="00286E39" w:rsidP="00286E39">
            <w:pPr>
              <w:rPr>
                <w:rFonts w:ascii="Arial" w:hAnsi="Arial" w:cs="Arial"/>
              </w:rPr>
            </w:pPr>
            <w:r w:rsidRPr="006250F4">
              <w:rPr>
                <w:rFonts w:ascii="Arial" w:hAnsi="Arial" w:cs="Arial"/>
              </w:rPr>
              <w:t>0.87</w:t>
            </w:r>
            <w:r w:rsidR="002866BC">
              <w:rPr>
                <w:rFonts w:ascii="Arial" w:hAnsi="Arial" w:cs="Arial"/>
              </w:rPr>
              <w:t>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279E5F" w14:textId="77777777" w:rsidR="00286E39" w:rsidRPr="006250F4" w:rsidRDefault="00286E39" w:rsidP="00286E39">
            <w:pPr>
              <w:rPr>
                <w:rFonts w:ascii="Arial" w:hAnsi="Arial" w:cs="Arial"/>
              </w:rPr>
            </w:pPr>
            <w:r w:rsidRPr="006250F4">
              <w:rPr>
                <w:rFonts w:ascii="Arial" w:hAnsi="Arial" w:cs="Arial"/>
                <w:b/>
                <w:bCs/>
              </w:rPr>
              <w:t>Reject</w:t>
            </w:r>
            <w:r w:rsidRPr="006250F4">
              <w:rPr>
                <w:rFonts w:ascii="Arial" w:hAnsi="Arial" w:cs="Arial"/>
              </w:rPr>
              <w:t xml:space="preserve"> (Maximum Value Destruction)</w:t>
            </w:r>
          </w:p>
        </w:tc>
      </w:tr>
      <w:tr w:rsidR="00286E39" w:rsidRPr="006250F4" w14:paraId="7514E2B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8F8D11" w14:textId="77777777" w:rsidR="00286E39" w:rsidRPr="006250F4" w:rsidRDefault="00286E39" w:rsidP="00286E39">
            <w:pPr>
              <w:rPr>
                <w:rFonts w:ascii="Arial" w:hAnsi="Arial" w:cs="Arial"/>
              </w:rPr>
            </w:pPr>
            <w:r w:rsidRPr="006250F4">
              <w:rPr>
                <w:rFonts w:ascii="Arial" w:hAnsi="Arial" w:cs="Arial"/>
                <w:b/>
                <w:bCs/>
              </w:rPr>
              <w:t>Combination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237C8C" w14:textId="77777777" w:rsidR="00286E39" w:rsidRPr="006250F4" w:rsidRDefault="00286E39" w:rsidP="00286E39">
            <w:pPr>
              <w:rPr>
                <w:rFonts w:ascii="Arial" w:hAnsi="Arial" w:cs="Arial"/>
              </w:rPr>
            </w:pPr>
            <w:r w:rsidRPr="006250F4">
              <w:rPr>
                <w:rFonts w:ascii="Arial" w:hAnsi="Arial" w:cs="Arial"/>
              </w:rPr>
              <w:t>Project A + Project C</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6DE99E" w14:textId="77777777" w:rsidR="00286E39" w:rsidRPr="006250F4" w:rsidRDefault="00286E39" w:rsidP="00286E39">
            <w:pPr>
              <w:rPr>
                <w:rFonts w:ascii="Arial" w:hAnsi="Arial" w:cs="Arial"/>
              </w:rPr>
            </w:pPr>
            <w:r w:rsidRPr="006250F4">
              <w:rPr>
                <w:rFonts w:ascii="Arial" w:hAnsi="Arial" w:cs="Arial"/>
              </w:rPr>
              <w:t>£100m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A8154E" w14:textId="77777777" w:rsidR="00286E39" w:rsidRPr="006250F4" w:rsidRDefault="00286E39" w:rsidP="00286E39">
            <w:pPr>
              <w:rPr>
                <w:rFonts w:ascii="Arial" w:hAnsi="Arial" w:cs="Arial"/>
              </w:rPr>
            </w:pPr>
            <w:r w:rsidRPr="006250F4">
              <w:rPr>
                <w:rFonts w:ascii="Arial" w:hAnsi="Arial" w:cs="Arial"/>
              </w:rPr>
              <w:t>-£5.69m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465967" w14:textId="77777777" w:rsidR="00286E39" w:rsidRPr="006250F4" w:rsidRDefault="00286E39" w:rsidP="00286E39">
            <w:pPr>
              <w:rPr>
                <w:rFonts w:ascii="Arial" w:hAnsi="Arial" w:cs="Arial"/>
              </w:rPr>
            </w:pPr>
            <w:r w:rsidRPr="006250F4">
              <w:rPr>
                <w:rFonts w:ascii="Arial" w:hAnsi="Arial" w:cs="Arial"/>
              </w:rPr>
              <w:t>0.943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E0BF3A" w14:textId="77777777" w:rsidR="00286E39" w:rsidRPr="006250F4" w:rsidRDefault="00286E39" w:rsidP="00286E39">
            <w:pPr>
              <w:rPr>
                <w:rFonts w:ascii="Arial" w:hAnsi="Arial" w:cs="Arial"/>
              </w:rPr>
            </w:pPr>
            <w:r w:rsidRPr="006250F4">
              <w:rPr>
                <w:rFonts w:ascii="Arial" w:hAnsi="Arial" w:cs="Arial"/>
                <w:b/>
                <w:bCs/>
              </w:rPr>
              <w:t>Reject</w:t>
            </w:r>
            <w:r w:rsidRPr="006250F4">
              <w:rPr>
                <w:rFonts w:ascii="Arial" w:hAnsi="Arial" w:cs="Arial"/>
              </w:rPr>
              <w:t xml:space="preserve"> (Net Value Destruction)</w:t>
            </w:r>
          </w:p>
        </w:tc>
      </w:tr>
      <w:tr w:rsidR="00286E39" w:rsidRPr="006250F4" w14:paraId="47D935E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D4B8896" w14:textId="77777777" w:rsidR="00286E39" w:rsidRPr="006250F4" w:rsidRDefault="00286E39" w:rsidP="00286E39">
            <w:pPr>
              <w:rPr>
                <w:rFonts w:ascii="Arial" w:hAnsi="Arial" w:cs="Arial"/>
              </w:rPr>
            </w:pPr>
            <w:r w:rsidRPr="006250F4">
              <w:rPr>
                <w:rFonts w:ascii="Arial" w:hAnsi="Arial" w:cs="Arial"/>
                <w:b/>
                <w:bCs/>
              </w:rPr>
              <w:t>Combination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C3BC2F" w14:textId="77777777" w:rsidR="00286E39" w:rsidRPr="006250F4" w:rsidRDefault="00286E39" w:rsidP="00286E39">
            <w:pPr>
              <w:rPr>
                <w:rFonts w:ascii="Arial" w:hAnsi="Arial" w:cs="Arial"/>
              </w:rPr>
            </w:pPr>
            <w:r w:rsidRPr="006250F4">
              <w:rPr>
                <w:rFonts w:ascii="Arial" w:hAnsi="Arial" w:cs="Arial"/>
              </w:rPr>
              <w:t>Project B + Project C</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171AD0" w14:textId="77777777" w:rsidR="00286E39" w:rsidRPr="006250F4" w:rsidRDefault="00286E39" w:rsidP="00286E39">
            <w:pPr>
              <w:rPr>
                <w:rFonts w:ascii="Arial" w:hAnsi="Arial" w:cs="Arial"/>
              </w:rPr>
            </w:pPr>
            <w:r w:rsidRPr="006250F4">
              <w:rPr>
                <w:rFonts w:ascii="Arial" w:hAnsi="Arial" w:cs="Arial"/>
              </w:rPr>
              <w:t>£100m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6C58D5" w14:textId="77777777" w:rsidR="00286E39" w:rsidRPr="006250F4" w:rsidRDefault="00286E39" w:rsidP="00286E39">
            <w:pPr>
              <w:rPr>
                <w:rFonts w:ascii="Arial" w:hAnsi="Arial" w:cs="Arial"/>
              </w:rPr>
            </w:pPr>
            <w:r w:rsidRPr="006250F4">
              <w:rPr>
                <w:rFonts w:ascii="Arial" w:hAnsi="Arial" w:cs="Arial"/>
              </w:rPr>
              <w:t>-£5.22m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98B0DA" w14:textId="4CEA84A6" w:rsidR="00286E39" w:rsidRPr="006250F4" w:rsidRDefault="00286E39" w:rsidP="00286E39">
            <w:pPr>
              <w:rPr>
                <w:rFonts w:ascii="Arial" w:hAnsi="Arial" w:cs="Arial"/>
              </w:rPr>
            </w:pPr>
            <w:r w:rsidRPr="006250F4">
              <w:rPr>
                <w:rFonts w:ascii="Arial" w:hAnsi="Arial" w:cs="Arial"/>
              </w:rPr>
              <w:t>0.94</w:t>
            </w:r>
            <w:r w:rsidR="002866BC">
              <w:rPr>
                <w:rFonts w:ascii="Arial" w:hAnsi="Arial" w:cs="Arial"/>
              </w:rPr>
              <w:t>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C5945B" w14:textId="77777777" w:rsidR="00286E39" w:rsidRPr="006250F4" w:rsidRDefault="00286E39" w:rsidP="00286E39">
            <w:pPr>
              <w:rPr>
                <w:rFonts w:ascii="Arial" w:hAnsi="Arial" w:cs="Arial"/>
              </w:rPr>
            </w:pPr>
            <w:r w:rsidRPr="006250F4">
              <w:rPr>
                <w:rFonts w:ascii="Arial" w:hAnsi="Arial" w:cs="Arial"/>
                <w:b/>
                <w:bCs/>
              </w:rPr>
              <w:t>Reject</w:t>
            </w:r>
            <w:r w:rsidRPr="006250F4">
              <w:rPr>
                <w:rFonts w:ascii="Arial" w:hAnsi="Arial" w:cs="Arial"/>
              </w:rPr>
              <w:t xml:space="preserve"> (Net Value Destruction)</w:t>
            </w:r>
          </w:p>
        </w:tc>
      </w:tr>
      <w:tr w:rsidR="00286E39" w:rsidRPr="006250F4" w14:paraId="060AF45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F4FC3C" w14:textId="77777777" w:rsidR="00286E39" w:rsidRPr="006250F4" w:rsidRDefault="00286E39" w:rsidP="00286E39">
            <w:pPr>
              <w:rPr>
                <w:rFonts w:ascii="Arial" w:hAnsi="Arial" w:cs="Arial"/>
              </w:rPr>
            </w:pPr>
            <w:r w:rsidRPr="006250F4">
              <w:rPr>
                <w:rFonts w:ascii="Arial" w:hAnsi="Arial" w:cs="Arial"/>
                <w:b/>
                <w:bCs/>
              </w:rPr>
              <w:t>Standalone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7D8188" w14:textId="77777777" w:rsidR="00286E39" w:rsidRPr="006250F4" w:rsidRDefault="00286E39" w:rsidP="00286E39">
            <w:pPr>
              <w:rPr>
                <w:rFonts w:ascii="Arial" w:hAnsi="Arial" w:cs="Arial"/>
              </w:rPr>
            </w:pPr>
            <w:r w:rsidRPr="006250F4">
              <w:rPr>
                <w:rFonts w:ascii="Arial" w:hAnsi="Arial" w:cs="Arial"/>
                <w:b/>
                <w:bCs/>
              </w:rPr>
              <w:t>Project C Only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DF226F" w14:textId="77777777" w:rsidR="00286E39" w:rsidRPr="006250F4" w:rsidRDefault="00286E39" w:rsidP="00286E39">
            <w:pPr>
              <w:rPr>
                <w:rFonts w:ascii="Arial" w:hAnsi="Arial" w:cs="Arial"/>
              </w:rPr>
            </w:pPr>
            <w:r w:rsidRPr="006250F4">
              <w:rPr>
                <w:rFonts w:ascii="Arial" w:hAnsi="Arial" w:cs="Arial"/>
                <w:b/>
                <w:bCs/>
              </w:rPr>
              <w:t>£50m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38E8F9" w14:textId="77777777" w:rsidR="00286E39" w:rsidRPr="006250F4" w:rsidRDefault="00286E39" w:rsidP="00286E39">
            <w:pPr>
              <w:rPr>
                <w:rFonts w:ascii="Arial" w:hAnsi="Arial" w:cs="Arial"/>
              </w:rPr>
            </w:pPr>
            <w:r w:rsidRPr="006250F4">
              <w:rPr>
                <w:rFonts w:ascii="Arial" w:hAnsi="Arial" w:cs="Arial"/>
                <w:b/>
                <w:bCs/>
              </w:rPr>
              <w:t>£0.86m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4E5A78" w14:textId="77777777" w:rsidR="00286E39" w:rsidRPr="006250F4" w:rsidRDefault="00286E39" w:rsidP="00286E39">
            <w:pPr>
              <w:rPr>
                <w:rFonts w:ascii="Arial" w:hAnsi="Arial" w:cs="Arial"/>
              </w:rPr>
            </w:pPr>
            <w:r w:rsidRPr="006250F4">
              <w:rPr>
                <w:rFonts w:ascii="Arial" w:hAnsi="Arial" w:cs="Arial"/>
                <w:b/>
                <w:bCs/>
              </w:rPr>
              <w:t>1.017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F1886A" w14:textId="77777777" w:rsidR="00286E39" w:rsidRPr="006250F4" w:rsidRDefault="00286E39" w:rsidP="00286E39">
            <w:pPr>
              <w:rPr>
                <w:rFonts w:ascii="Arial" w:hAnsi="Arial" w:cs="Arial"/>
              </w:rPr>
            </w:pPr>
            <w:r w:rsidRPr="006250F4">
              <w:rPr>
                <w:rFonts w:ascii="Arial" w:hAnsi="Arial" w:cs="Arial"/>
                <w:b/>
                <w:bCs/>
              </w:rPr>
              <w:t>Optimal Investment Strategy</w:t>
            </w:r>
          </w:p>
        </w:tc>
      </w:tr>
    </w:tbl>
    <w:p w14:paraId="50F33042" w14:textId="77777777" w:rsidR="00E23A2C" w:rsidRPr="006250F4" w:rsidRDefault="00E23A2C" w:rsidP="000B2D3B">
      <w:pPr>
        <w:rPr>
          <w:rFonts w:ascii="Arial" w:hAnsi="Arial" w:cs="Arial"/>
        </w:rPr>
      </w:pPr>
    </w:p>
    <w:p w14:paraId="6B430A92" w14:textId="46B5FC92" w:rsidR="00E23A2C" w:rsidRPr="006250F4" w:rsidRDefault="00E23A2C" w:rsidP="000B2D3B">
      <w:pPr>
        <w:rPr>
          <w:rFonts w:ascii="Arial" w:hAnsi="Arial" w:cs="Arial"/>
          <w:sz w:val="24"/>
          <w:szCs w:val="24"/>
        </w:rPr>
      </w:pPr>
      <w:r w:rsidRPr="006250F4">
        <w:rPr>
          <w:rFonts w:ascii="Arial" w:hAnsi="Arial" w:cs="Arial"/>
          <w:sz w:val="24"/>
          <w:szCs w:val="24"/>
        </w:rPr>
        <w:t xml:space="preserve">“A project should not be undertaken if its expected value is negative, it should not be undertaken if its budget capacity is positive” is a very strict statement from supply management theory. </w:t>
      </w:r>
    </w:p>
    <w:p w14:paraId="2C976FCB" w14:textId="4EA7471A" w:rsidR="00E23A2C" w:rsidRPr="006250F4" w:rsidRDefault="00E23A2C" w:rsidP="000B2D3B">
      <w:pPr>
        <w:rPr>
          <w:rFonts w:ascii="Arial" w:hAnsi="Arial" w:cs="Arial"/>
          <w:sz w:val="24"/>
          <w:szCs w:val="24"/>
        </w:rPr>
      </w:pPr>
      <w:r w:rsidRPr="006250F4">
        <w:rPr>
          <w:rFonts w:ascii="Arial" w:hAnsi="Arial" w:cs="Arial"/>
          <w:sz w:val="24"/>
          <w:szCs w:val="24"/>
        </w:rPr>
        <w:t xml:space="preserve">The value accrete Project C (NPV of 0.86 million) plus either of the other projects really subsidize the bad performance. For instance, Combination 3 (Projects C and B) will consume the entire 100 million budget yet result in a 5.22 million net loss of value. Our fiduciary duty to our shareholders is completely violated by that. </w:t>
      </w:r>
    </w:p>
    <w:p w14:paraId="021B9BE8" w14:textId="5233639B" w:rsidR="00E23A2C" w:rsidRPr="006250F4" w:rsidRDefault="00E23A2C" w:rsidP="000B2D3B">
      <w:pPr>
        <w:rPr>
          <w:rFonts w:ascii="Arial" w:hAnsi="Arial" w:cs="Arial"/>
          <w:sz w:val="24"/>
          <w:szCs w:val="24"/>
        </w:rPr>
      </w:pPr>
      <w:r w:rsidRPr="006250F4">
        <w:rPr>
          <w:rFonts w:ascii="Arial" w:hAnsi="Arial" w:cs="Arial"/>
          <w:sz w:val="24"/>
          <w:szCs w:val="24"/>
        </w:rPr>
        <w:lastRenderedPageBreak/>
        <w:t>As a result, only Project C will receive 50 million, making this the most effective use of our 100 million budgetary limit.</w:t>
      </w:r>
    </w:p>
    <w:p w14:paraId="175FD857" w14:textId="45F42126" w:rsidR="00E23A2C" w:rsidRPr="00C859DB" w:rsidRDefault="00E23A2C" w:rsidP="000B2D3B">
      <w:pPr>
        <w:rPr>
          <w:rFonts w:ascii="Arial" w:hAnsi="Arial" w:cs="Arial"/>
          <w:sz w:val="24"/>
          <w:szCs w:val="24"/>
        </w:rPr>
      </w:pPr>
      <w:r w:rsidRPr="006250F4">
        <w:rPr>
          <w:rFonts w:ascii="Arial" w:hAnsi="Arial" w:cs="Arial"/>
          <w:sz w:val="24"/>
          <w:szCs w:val="24"/>
        </w:rPr>
        <w:t>The remaining 50 million in unspent funds must be closely monitored. Instead of lending this extra cash to less-than-ideal ventures, it would be better to use it for other initiatives. It can be applied to our pipeline of 7,265 rooms in Germany, support the ongoing conversion effort within our Accelerating Growth Plan, or put directly into our recently announced 250 million share repurchase program. It implies that Whitbread will continuously employ every pound of its capital to generate profits for its shareholders.</w:t>
      </w:r>
    </w:p>
    <w:p w14:paraId="0AD9D0AD" w14:textId="2EF4FD55" w:rsidR="00E23A2C" w:rsidRPr="006250F4" w:rsidRDefault="00E23A2C" w:rsidP="004D5AFE">
      <w:pPr>
        <w:pStyle w:val="Heading1"/>
        <w:rPr>
          <w:rFonts w:ascii="Arial" w:hAnsi="Arial" w:cs="Arial"/>
        </w:rPr>
      </w:pPr>
      <w:bookmarkStart w:id="22" w:name="_Toc237493798"/>
      <w:r w:rsidRPr="006250F4">
        <w:rPr>
          <w:rFonts w:ascii="Arial" w:hAnsi="Arial" w:cs="Arial"/>
        </w:rPr>
        <w:t>5. Critical Reflection on AI Usage</w:t>
      </w:r>
      <w:bookmarkEnd w:id="22"/>
    </w:p>
    <w:p w14:paraId="4012250F" w14:textId="5EE32F66" w:rsidR="00E23A2C" w:rsidRPr="006250F4" w:rsidRDefault="00E23A2C" w:rsidP="004D5AFE">
      <w:pPr>
        <w:pStyle w:val="Heading2"/>
        <w:rPr>
          <w:rFonts w:ascii="Arial" w:hAnsi="Arial" w:cs="Arial"/>
        </w:rPr>
      </w:pPr>
      <w:bookmarkStart w:id="23" w:name="_Toc237493799"/>
      <w:r w:rsidRPr="006250F4">
        <w:rPr>
          <w:rFonts w:ascii="Arial" w:hAnsi="Arial" w:cs="Arial"/>
        </w:rPr>
        <w:t>a. Tool disclosure</w:t>
      </w:r>
      <w:bookmarkEnd w:id="23"/>
    </w:p>
    <w:p w14:paraId="146D2AD4" w14:textId="41A88BDE" w:rsidR="00E23A2C" w:rsidRPr="006250F4" w:rsidRDefault="00E23A2C" w:rsidP="000B2D3B">
      <w:pPr>
        <w:rPr>
          <w:rFonts w:ascii="Arial" w:hAnsi="Arial" w:cs="Arial"/>
        </w:rPr>
      </w:pPr>
      <w:r w:rsidRPr="006250F4">
        <w:rPr>
          <w:rFonts w:ascii="Arial" w:hAnsi="Arial" w:cs="Arial"/>
          <w:sz w:val="24"/>
          <w:szCs w:val="24"/>
        </w:rPr>
        <w:t>During the creation of this report, Claude (Anthropic) served as our primary AI tool for three distinct tasks. First, data structuring: using AI to help organize and sense check the data into the ratio categories required by the assignment brief, I created structured spreadsheets from five years of Whitbread’s income statement, balance sheet, cash flow statement, and ratio data (which I had previously extracted from the annual reports filed with the LSE for the last five years, 2020/212024/25). The Financial Health Check, Working Capital, Restructuring, and Investment Appraisal sections were drafted using the underlying numbers, and AI transformed them into structured prose in accordance with the particular sub-requirements listed in the brief. This was the second type of drafting support. Third, external research: I relied on AI-assisted web search for two items: the international/strategic context of the restructuring plan (section 3) and the industry liquidity benchmarking (section 1d). This is because I didn’t trust the AI to remember the numbers for these items, which are current facts. I have independently completed the standard AI use declaration with my institution, which should be reviewed in combination with this report.</w:t>
      </w:r>
    </w:p>
    <w:p w14:paraId="0F1F3F4C" w14:textId="47841AC8" w:rsidR="00E23A2C" w:rsidRPr="006250F4" w:rsidRDefault="00E23A2C" w:rsidP="004D5AFE">
      <w:pPr>
        <w:pStyle w:val="Heading2"/>
        <w:rPr>
          <w:rFonts w:ascii="Arial" w:hAnsi="Arial" w:cs="Arial"/>
        </w:rPr>
      </w:pPr>
      <w:bookmarkStart w:id="24" w:name="_Toc237493800"/>
      <w:r w:rsidRPr="006250F4">
        <w:rPr>
          <w:rFonts w:ascii="Arial" w:hAnsi="Arial" w:cs="Arial"/>
        </w:rPr>
        <w:t>b. Critical evaluation of AI output</w:t>
      </w:r>
      <w:bookmarkEnd w:id="24"/>
    </w:p>
    <w:p w14:paraId="35CFE9E8" w14:textId="7A0A8E0D" w:rsidR="00E23A2C" w:rsidRPr="006250F4" w:rsidRDefault="00E23A2C" w:rsidP="000B2D3B">
      <w:pPr>
        <w:rPr>
          <w:rFonts w:ascii="Arial" w:hAnsi="Arial" w:cs="Arial"/>
          <w:sz w:val="24"/>
          <w:szCs w:val="24"/>
        </w:rPr>
      </w:pPr>
      <w:r w:rsidRPr="006250F4">
        <w:rPr>
          <w:rFonts w:ascii="Arial" w:hAnsi="Arial" w:cs="Arial"/>
          <w:sz w:val="24"/>
          <w:szCs w:val="24"/>
        </w:rPr>
        <w:t xml:space="preserve">The most important discipline was to view each AI number not as a given to be taken at face value, but as a claim that needs to be confirmed with the source data. I didn’t accept any financial statistics that the AI produced if there was no obvious </w:t>
      </w:r>
      <w:r w:rsidRPr="006250F4">
        <w:rPr>
          <w:rFonts w:ascii="Arial" w:hAnsi="Arial" w:cs="Arial"/>
          <w:sz w:val="24"/>
          <w:szCs w:val="24"/>
        </w:rPr>
        <w:lastRenderedPageBreak/>
        <w:t>connection to the spreadsheet data; all ratios and figures in this report were based on data from the spreadsheet I provided or were sourced from sources that I looked up in the real world. If AI was used to help with the search, I have verified the third-party data (such as the liquidity ratios of Accor and TUI) from several separate sources rather than depending just on one, since these might vary greatly depending on the data source and report date.</w:t>
      </w:r>
    </w:p>
    <w:p w14:paraId="670BDF0A" w14:textId="01F870BA" w:rsidR="00E23A2C" w:rsidRPr="00C859DB" w:rsidRDefault="00E23A2C" w:rsidP="000B2D3B">
      <w:pPr>
        <w:rPr>
          <w:rFonts w:ascii="Arial" w:hAnsi="Arial" w:cs="Arial"/>
          <w:sz w:val="24"/>
          <w:szCs w:val="24"/>
        </w:rPr>
      </w:pPr>
      <w:r w:rsidRPr="006250F4">
        <w:rPr>
          <w:rFonts w:ascii="Arial" w:hAnsi="Arial" w:cs="Arial"/>
          <w:sz w:val="24"/>
          <w:szCs w:val="24"/>
        </w:rPr>
        <w:t>I examined the investment appraisal’s outputs myself and even rejected the AI’s NPV, IRR, and PI calculations because I discovered that they were not internally consistent. For instance, I discovered that Project C’s NPV was positive at the discount rate and its IRR was higher than the discount rate, both of which were consistent with one another. This also applied to me. Artificial intelligence’s capacity for explanation was only occasionally justified when it came to narrative interpretation rather than math: For example, the AI-generated commentary frequently overstated the degree of confidence in the explanation (e.g., citing a single factor for the profit decline in FY2025), when there may have been a more qualified explanation with multiple factors at play. I’ve modified this wording to convey the appropriate degree of ambiguity without being dishonest about it.</w:t>
      </w:r>
    </w:p>
    <w:p w14:paraId="233D3D8C" w14:textId="4F8035B6" w:rsidR="00E23A2C" w:rsidRPr="006250F4" w:rsidRDefault="00E23A2C" w:rsidP="004D5AFE">
      <w:pPr>
        <w:pStyle w:val="Heading2"/>
        <w:rPr>
          <w:rFonts w:ascii="Arial" w:hAnsi="Arial" w:cs="Arial"/>
        </w:rPr>
      </w:pPr>
      <w:bookmarkStart w:id="25" w:name="_Toc237493801"/>
      <w:r w:rsidRPr="006250F4">
        <w:rPr>
          <w:rFonts w:ascii="Arial" w:hAnsi="Arial" w:cs="Arial"/>
        </w:rPr>
        <w:t>c. Contribution analysis</w:t>
      </w:r>
      <w:bookmarkEnd w:id="25"/>
    </w:p>
    <w:p w14:paraId="46CA904A" w14:textId="3309478B" w:rsidR="00E23A2C" w:rsidRPr="00C859DB" w:rsidRDefault="00E23A2C" w:rsidP="000B2D3B">
      <w:pPr>
        <w:rPr>
          <w:rFonts w:ascii="Arial" w:hAnsi="Arial" w:cs="Arial"/>
          <w:sz w:val="24"/>
          <w:szCs w:val="24"/>
        </w:rPr>
      </w:pPr>
      <w:r w:rsidRPr="006250F4">
        <w:rPr>
          <w:rFonts w:ascii="Arial" w:hAnsi="Arial" w:cs="Arial"/>
          <w:sz w:val="24"/>
          <w:szCs w:val="24"/>
        </w:rPr>
        <w:t>The AI’s primary computational and structural contributions included organizing five years’ worth of data into a logical ratio framework, performing the typical appraisal computations (PBP, ARR, NPV, PI, IRR), and creating a preliminary prose draft that adhered to the brief’s mandatory subsections. On top of that, I contributed strategic thinking by choosing to invest only in the German project, Project C, rather than in both; linking the share buyback program to the leverage cap; determining whether or not certain risks apply to the investment (whether in the German project or the UK project); and interpreting the ratio trend overall and how it affects Whitbread’s strategic position. The ideas and suggestions for financing are my own, and the proposed framework is provided by the AI.</w:t>
      </w:r>
    </w:p>
    <w:p w14:paraId="13F7F24F" w14:textId="1E20CBA8" w:rsidR="00E23A2C" w:rsidRPr="006250F4" w:rsidRDefault="00E23A2C" w:rsidP="004D5AFE">
      <w:pPr>
        <w:pStyle w:val="Heading2"/>
        <w:rPr>
          <w:rFonts w:ascii="Arial" w:hAnsi="Arial" w:cs="Arial"/>
        </w:rPr>
      </w:pPr>
      <w:bookmarkStart w:id="26" w:name="_Toc237493802"/>
      <w:r w:rsidRPr="006250F4">
        <w:rPr>
          <w:rFonts w:ascii="Arial" w:hAnsi="Arial" w:cs="Arial"/>
        </w:rPr>
        <w:t>d. Ethical and professional reflection</w:t>
      </w:r>
      <w:bookmarkEnd w:id="26"/>
    </w:p>
    <w:p w14:paraId="780F21BE" w14:textId="778E619E" w:rsidR="0035477F" w:rsidRPr="006250F4" w:rsidRDefault="00E23A2C" w:rsidP="000B2D3B">
      <w:pPr>
        <w:rPr>
          <w:rFonts w:ascii="Arial" w:hAnsi="Arial" w:cs="Arial"/>
          <w:sz w:val="24"/>
          <w:szCs w:val="24"/>
        </w:rPr>
      </w:pPr>
      <w:r w:rsidRPr="006250F4">
        <w:rPr>
          <w:rFonts w:ascii="Arial" w:hAnsi="Arial" w:cs="Arial"/>
          <w:sz w:val="24"/>
          <w:szCs w:val="24"/>
        </w:rPr>
        <w:t xml:space="preserve">Adoption of AI in an executive report raises the bar for transparency, and when reporting to a CFO or board, using AI is not a choice. The report must be transparent </w:t>
      </w:r>
      <w:r w:rsidRPr="006250F4">
        <w:rPr>
          <w:rFonts w:ascii="Arial" w:hAnsi="Arial" w:cs="Arial"/>
          <w:sz w:val="24"/>
          <w:szCs w:val="24"/>
        </w:rPr>
        <w:lastRenderedPageBreak/>
        <w:t>and show the CFO exactly which sections are created by AI and which are validated by the CFO. However, it’s also a real concern: in an actual executive setting, accessing data from an executive report that wasn’t made public would require a review of data governance procedures prior to usage because private information shouldn’t be provided to a third-party AI tool. The deeper risk is over-reliance: AI can be useful when structuring analysis and when it can find arithmetic that would take more time to analyze manually, but an AI tool that is only being asked to “optimise capital allocation” might not think of the suggestion in section 4 to fund only Project C when the budget is big enough to cover both projects. Things can get confused in an executive position; AI should assist with analysis, not replace the board’s final decision-making authority.</w:t>
      </w:r>
    </w:p>
    <w:p w14:paraId="2FEBF3EB" w14:textId="77777777" w:rsidR="004D5AFE" w:rsidRPr="006250F4" w:rsidRDefault="004D5AFE" w:rsidP="004D5AFE">
      <w:pPr>
        <w:pStyle w:val="Heading1"/>
        <w:rPr>
          <w:rFonts w:ascii="Arial" w:hAnsi="Arial" w:cs="Arial"/>
        </w:rPr>
      </w:pPr>
      <w:bookmarkStart w:id="27" w:name="_Toc237493803"/>
      <w:r w:rsidRPr="006250F4">
        <w:rPr>
          <w:rFonts w:ascii="Arial" w:hAnsi="Arial" w:cs="Arial"/>
        </w:rPr>
        <w:t>Conclusion</w:t>
      </w:r>
      <w:bookmarkEnd w:id="27"/>
      <w:r w:rsidRPr="006250F4">
        <w:rPr>
          <w:rFonts w:ascii="Arial" w:hAnsi="Arial" w:cs="Arial"/>
        </w:rPr>
        <w:t xml:space="preserve"> </w:t>
      </w:r>
    </w:p>
    <w:p w14:paraId="7A7C06F9" w14:textId="36FB7CA2" w:rsidR="006D5B69" w:rsidRPr="006250F4" w:rsidRDefault="00E23A2C" w:rsidP="000F4F84">
      <w:pPr>
        <w:rPr>
          <w:rFonts w:ascii="Arial" w:hAnsi="Arial" w:cs="Arial"/>
          <w:sz w:val="24"/>
          <w:szCs w:val="24"/>
        </w:rPr>
      </w:pPr>
      <w:r w:rsidRPr="006250F4">
        <w:rPr>
          <w:rFonts w:ascii="Arial" w:hAnsi="Arial" w:cs="Arial"/>
          <w:sz w:val="24"/>
          <w:szCs w:val="24"/>
        </w:rPr>
        <w:t>Through improved margins, asset efficiency, and a structurally positive cash conversion cycle, Whitbread has recovered admirably from the pandemic. Due to its higher gearing level, the balance sheet is less flexible than it used to be, but there was a brief period of time at the end of FY2024 when liquidity was a little tight. It is advised to maintain a maximum debt-to-shareholder ratio, manage debt maturities carefully, and continuously optimize the portfolio. Project C is the only project that adds value under capital rationing, hence it is a wise decision to not spend the entire 100 million on any other project</w:t>
      </w:r>
      <w:r w:rsidR="00413C61" w:rsidRPr="006250F4">
        <w:rPr>
          <w:rFonts w:ascii="Arial" w:hAnsi="Arial" w:cs="Arial"/>
          <w:sz w:val="24"/>
          <w:szCs w:val="24"/>
        </w:rPr>
        <w:t>.</w:t>
      </w:r>
    </w:p>
    <w:p w14:paraId="6083E898" w14:textId="77777777" w:rsidR="006D5B69" w:rsidRDefault="006D5B69" w:rsidP="000F4F84">
      <w:pPr>
        <w:rPr>
          <w:rFonts w:ascii="Arial" w:hAnsi="Arial" w:cs="Arial"/>
        </w:rPr>
      </w:pPr>
    </w:p>
    <w:p w14:paraId="570F97CA" w14:textId="77777777" w:rsidR="002457B7" w:rsidRDefault="002457B7" w:rsidP="000F4F84">
      <w:pPr>
        <w:rPr>
          <w:rFonts w:ascii="Arial" w:hAnsi="Arial" w:cs="Arial"/>
        </w:rPr>
      </w:pPr>
    </w:p>
    <w:p w14:paraId="693FD54A" w14:textId="77777777" w:rsidR="002457B7" w:rsidRDefault="002457B7" w:rsidP="000F4F84">
      <w:pPr>
        <w:rPr>
          <w:rFonts w:ascii="Arial" w:hAnsi="Arial" w:cs="Arial"/>
        </w:rPr>
      </w:pPr>
    </w:p>
    <w:p w14:paraId="130DC824" w14:textId="77777777" w:rsidR="002457B7" w:rsidRDefault="002457B7" w:rsidP="000F4F84">
      <w:pPr>
        <w:rPr>
          <w:rFonts w:ascii="Arial" w:hAnsi="Arial" w:cs="Arial"/>
        </w:rPr>
      </w:pPr>
    </w:p>
    <w:p w14:paraId="65614BA8" w14:textId="77777777" w:rsidR="002457B7" w:rsidRDefault="002457B7" w:rsidP="000F4F84">
      <w:pPr>
        <w:rPr>
          <w:rFonts w:ascii="Arial" w:hAnsi="Arial" w:cs="Arial"/>
        </w:rPr>
      </w:pPr>
    </w:p>
    <w:p w14:paraId="1BAA60D8" w14:textId="77777777" w:rsidR="002457B7" w:rsidRPr="006250F4" w:rsidRDefault="002457B7" w:rsidP="000F4F84">
      <w:pPr>
        <w:rPr>
          <w:rFonts w:ascii="Arial" w:hAnsi="Arial" w:cs="Arial"/>
        </w:rPr>
      </w:pPr>
    </w:p>
    <w:p w14:paraId="6EEB1F8D" w14:textId="131AEC60" w:rsidR="000F4F84" w:rsidRPr="006250F4" w:rsidRDefault="000F4F84" w:rsidP="00F92DB7">
      <w:pPr>
        <w:pStyle w:val="Heading1"/>
        <w:rPr>
          <w:rFonts w:ascii="Arial" w:hAnsi="Arial" w:cs="Arial"/>
        </w:rPr>
      </w:pPr>
      <w:bookmarkStart w:id="28" w:name="_Toc237493804"/>
      <w:r w:rsidRPr="006250F4">
        <w:rPr>
          <w:rFonts w:ascii="Arial" w:hAnsi="Arial" w:cs="Arial"/>
        </w:rPr>
        <w:lastRenderedPageBreak/>
        <w:t>Reference</w:t>
      </w:r>
      <w:bookmarkEnd w:id="28"/>
    </w:p>
    <w:p w14:paraId="5D626D2D" w14:textId="7BE011D9" w:rsidR="000F4F84" w:rsidRDefault="000F4F84" w:rsidP="000F4F84">
      <w:pPr>
        <w:rPr>
          <w:rFonts w:ascii="Arial" w:hAnsi="Arial" w:cs="Arial"/>
          <w:sz w:val="24"/>
          <w:szCs w:val="24"/>
        </w:rPr>
      </w:pPr>
      <w:r w:rsidRPr="006250F4">
        <w:rPr>
          <w:rFonts w:ascii="Arial" w:hAnsi="Arial" w:cs="Arial"/>
          <w:sz w:val="24"/>
          <w:szCs w:val="24"/>
        </w:rPr>
        <w:t xml:space="preserve">Accor SA (2026) Full-Year 2025 Results: Solid Results Above 2025 Guidance. [online] Available at: </w:t>
      </w:r>
      <w:hyperlink r:id="rId15" w:history="1">
        <w:r w:rsidRPr="006250F4">
          <w:rPr>
            <w:rStyle w:val="Hyperlink"/>
            <w:rFonts w:ascii="Arial" w:hAnsi="Arial" w:cs="Arial"/>
            <w:sz w:val="24"/>
            <w:szCs w:val="24"/>
          </w:rPr>
          <w:t>https://press.accor.com/full-year-2025-results-solid-results-above-2025-guidance/?lang=eng</w:t>
        </w:r>
      </w:hyperlink>
      <w:r w:rsidRPr="006250F4">
        <w:rPr>
          <w:rFonts w:ascii="Arial" w:hAnsi="Arial" w:cs="Arial"/>
          <w:sz w:val="24"/>
          <w:szCs w:val="24"/>
        </w:rPr>
        <w:t xml:space="preserve"> [Accessed 7 August 2026].</w:t>
      </w:r>
    </w:p>
    <w:p w14:paraId="21E4BCFA" w14:textId="77777777" w:rsidR="002457B7" w:rsidRDefault="002457B7" w:rsidP="002457B7">
      <w:pPr>
        <w:rPr>
          <w:rFonts w:ascii="Arial" w:hAnsi="Arial" w:cs="Arial"/>
          <w:sz w:val="24"/>
          <w:szCs w:val="24"/>
        </w:rPr>
      </w:pPr>
      <w:r w:rsidRPr="00077A59">
        <w:rPr>
          <w:rFonts w:ascii="Arial" w:hAnsi="Arial" w:cs="Arial"/>
          <w:sz w:val="24"/>
          <w:szCs w:val="24"/>
        </w:rPr>
        <w:t xml:space="preserve">Atrill, P. (2024) </w:t>
      </w:r>
      <w:r w:rsidRPr="00077A59">
        <w:rPr>
          <w:rFonts w:ascii="Arial" w:hAnsi="Arial" w:cs="Arial"/>
          <w:i/>
          <w:iCs/>
          <w:sz w:val="24"/>
          <w:szCs w:val="24"/>
        </w:rPr>
        <w:t>Financial Management for Decision Makers</w:t>
      </w:r>
      <w:r w:rsidRPr="00077A59">
        <w:rPr>
          <w:rFonts w:ascii="Arial" w:hAnsi="Arial" w:cs="Arial"/>
          <w:sz w:val="24"/>
          <w:szCs w:val="24"/>
        </w:rPr>
        <w:t>. 10th edn. Harlow: Pearson Education.</w:t>
      </w:r>
    </w:p>
    <w:p w14:paraId="4C102192" w14:textId="55C1293E" w:rsidR="002457B7" w:rsidRPr="006250F4" w:rsidRDefault="002457B7" w:rsidP="000F4F84">
      <w:pPr>
        <w:rPr>
          <w:rFonts w:ascii="Arial" w:hAnsi="Arial" w:cs="Arial"/>
          <w:sz w:val="24"/>
          <w:szCs w:val="24"/>
        </w:rPr>
      </w:pPr>
      <w:r w:rsidRPr="00077A59">
        <w:rPr>
          <w:rFonts w:ascii="Arial" w:hAnsi="Arial" w:cs="Arial"/>
          <w:sz w:val="24"/>
          <w:szCs w:val="24"/>
        </w:rPr>
        <w:t xml:space="preserve">Brealey, R.A., Myers, S.C., Allen, F. and Edmans, A. (2022) </w:t>
      </w:r>
      <w:r w:rsidRPr="00077A59">
        <w:rPr>
          <w:rFonts w:ascii="Arial" w:hAnsi="Arial" w:cs="Arial"/>
          <w:i/>
          <w:iCs/>
          <w:sz w:val="24"/>
          <w:szCs w:val="24"/>
        </w:rPr>
        <w:t>Principles of Corporate Finance</w:t>
      </w:r>
      <w:r w:rsidRPr="00077A59">
        <w:rPr>
          <w:rFonts w:ascii="Arial" w:hAnsi="Arial" w:cs="Arial"/>
          <w:sz w:val="24"/>
          <w:szCs w:val="24"/>
        </w:rPr>
        <w:t>. 14th edn. New York: McGraw-Hill.</w:t>
      </w:r>
    </w:p>
    <w:p w14:paraId="1830A32E" w14:textId="6199B573" w:rsidR="000F4F84" w:rsidRPr="006250F4" w:rsidRDefault="000F4F84" w:rsidP="000F4F84">
      <w:pPr>
        <w:rPr>
          <w:rFonts w:ascii="Arial" w:hAnsi="Arial" w:cs="Arial"/>
          <w:sz w:val="24"/>
          <w:szCs w:val="24"/>
        </w:rPr>
      </w:pPr>
      <w:r w:rsidRPr="006250F4">
        <w:rPr>
          <w:rFonts w:ascii="Arial" w:hAnsi="Arial" w:cs="Arial"/>
          <w:sz w:val="24"/>
          <w:szCs w:val="24"/>
        </w:rPr>
        <w:t xml:space="preserve">CoStar (2024) Whitbread’s Premier Inn Portfolio in Germany Nearing Maturity. [online] Available at: </w:t>
      </w:r>
      <w:hyperlink r:id="rId16" w:history="1">
        <w:r w:rsidRPr="006250F4">
          <w:rPr>
            <w:rStyle w:val="Hyperlink"/>
            <w:rFonts w:ascii="Arial" w:hAnsi="Arial" w:cs="Arial"/>
            <w:sz w:val="24"/>
            <w:szCs w:val="24"/>
          </w:rPr>
          <w:t>https://www.costar.com/article/1783778888/whitbreads-premier-inn-portfolio-in-germany-nearing-maturity</w:t>
        </w:r>
      </w:hyperlink>
      <w:r w:rsidRPr="006250F4">
        <w:rPr>
          <w:rFonts w:ascii="Arial" w:hAnsi="Arial" w:cs="Arial"/>
          <w:sz w:val="24"/>
          <w:szCs w:val="24"/>
        </w:rPr>
        <w:t xml:space="preserve"> [Accessed 7 August 2026].</w:t>
      </w:r>
    </w:p>
    <w:p w14:paraId="15AB041D" w14:textId="07096B7B" w:rsidR="000F4F84" w:rsidRPr="006250F4" w:rsidRDefault="000F4F84" w:rsidP="000F4F84">
      <w:pPr>
        <w:rPr>
          <w:rFonts w:ascii="Arial" w:hAnsi="Arial" w:cs="Arial"/>
          <w:sz w:val="24"/>
          <w:szCs w:val="24"/>
        </w:rPr>
      </w:pPr>
      <w:r w:rsidRPr="006250F4">
        <w:rPr>
          <w:rFonts w:ascii="Arial" w:hAnsi="Arial" w:cs="Arial"/>
          <w:sz w:val="24"/>
          <w:szCs w:val="24"/>
        </w:rPr>
        <w:t xml:space="preserve">GuruFocus (2025) Accor (ACRFF) Quick Ratio. [online] Available at: </w:t>
      </w:r>
      <w:hyperlink r:id="rId17" w:history="1">
        <w:r w:rsidRPr="006250F4">
          <w:rPr>
            <w:rStyle w:val="Hyperlink"/>
            <w:rFonts w:ascii="Arial" w:hAnsi="Arial" w:cs="Arial"/>
            <w:sz w:val="24"/>
            <w:szCs w:val="24"/>
          </w:rPr>
          <w:t>https://www.gurufocus.com/term/quick_ratio/OTCPK:ACRFF/Quick-Ratio/Accor</w:t>
        </w:r>
      </w:hyperlink>
      <w:r w:rsidRPr="006250F4">
        <w:rPr>
          <w:rFonts w:ascii="Arial" w:hAnsi="Arial" w:cs="Arial"/>
          <w:sz w:val="24"/>
          <w:szCs w:val="24"/>
        </w:rPr>
        <w:t xml:space="preserve"> [Accessed 7 August 2026].</w:t>
      </w:r>
    </w:p>
    <w:p w14:paraId="1E2122FE" w14:textId="59F22E55" w:rsidR="000F4F84" w:rsidRPr="006250F4" w:rsidRDefault="000F4F84" w:rsidP="000F4F84">
      <w:pPr>
        <w:rPr>
          <w:rFonts w:ascii="Arial" w:hAnsi="Arial" w:cs="Arial"/>
          <w:sz w:val="24"/>
          <w:szCs w:val="24"/>
        </w:rPr>
      </w:pPr>
      <w:r w:rsidRPr="006250F4">
        <w:rPr>
          <w:rFonts w:ascii="Arial" w:hAnsi="Arial" w:cs="Arial"/>
          <w:sz w:val="24"/>
          <w:szCs w:val="24"/>
        </w:rPr>
        <w:t xml:space="preserve">GuruFocus (2025) TUIFF (TUI AG) Current Ratio. [online] Available at: </w:t>
      </w:r>
      <w:hyperlink r:id="rId18" w:history="1">
        <w:r w:rsidRPr="006250F4">
          <w:rPr>
            <w:rStyle w:val="Hyperlink"/>
            <w:rFonts w:ascii="Arial" w:hAnsi="Arial" w:cs="Arial"/>
            <w:sz w:val="24"/>
            <w:szCs w:val="24"/>
          </w:rPr>
          <w:t>https://www.gurufocus.com/term/current-ratio/TUIFF</w:t>
        </w:r>
      </w:hyperlink>
      <w:r w:rsidRPr="006250F4">
        <w:rPr>
          <w:rFonts w:ascii="Arial" w:hAnsi="Arial" w:cs="Arial"/>
          <w:sz w:val="24"/>
          <w:szCs w:val="24"/>
        </w:rPr>
        <w:t xml:space="preserve"> [Accessed 7 August 2026].</w:t>
      </w:r>
    </w:p>
    <w:p w14:paraId="00941553" w14:textId="26F5B283" w:rsidR="000F4F84" w:rsidRPr="006250F4" w:rsidRDefault="000F4F84" w:rsidP="000F4F84">
      <w:pPr>
        <w:rPr>
          <w:rFonts w:ascii="Arial" w:hAnsi="Arial" w:cs="Arial"/>
          <w:sz w:val="24"/>
          <w:szCs w:val="24"/>
        </w:rPr>
      </w:pPr>
      <w:r w:rsidRPr="006250F4">
        <w:rPr>
          <w:rFonts w:ascii="Arial" w:hAnsi="Arial" w:cs="Arial"/>
          <w:sz w:val="24"/>
          <w:szCs w:val="24"/>
        </w:rPr>
        <w:t xml:space="preserve">ii.co.uk (2026) ii View: Germany Winning at Premier Inn Owner Whitbread. [online] Available at: </w:t>
      </w:r>
      <w:hyperlink r:id="rId19" w:history="1">
        <w:r w:rsidRPr="006250F4">
          <w:rPr>
            <w:rStyle w:val="Hyperlink"/>
            <w:rFonts w:ascii="Arial" w:hAnsi="Arial" w:cs="Arial"/>
            <w:sz w:val="24"/>
            <w:szCs w:val="24"/>
          </w:rPr>
          <w:t>https://www.ii.co.uk/analysis-commentary/ii-view-germany-winning-premier-inn-owner-whitbread-ii535751</w:t>
        </w:r>
      </w:hyperlink>
      <w:r w:rsidRPr="006250F4">
        <w:rPr>
          <w:rFonts w:ascii="Arial" w:hAnsi="Arial" w:cs="Arial"/>
          <w:sz w:val="24"/>
          <w:szCs w:val="24"/>
        </w:rPr>
        <w:t xml:space="preserve"> [Accessed 7 August 2026].</w:t>
      </w:r>
    </w:p>
    <w:p w14:paraId="1139C1BD" w14:textId="27F745D3" w:rsidR="000F4F84" w:rsidRPr="006250F4" w:rsidRDefault="000F4F84" w:rsidP="000F4F84">
      <w:pPr>
        <w:rPr>
          <w:rFonts w:ascii="Arial" w:hAnsi="Arial" w:cs="Arial"/>
          <w:sz w:val="24"/>
          <w:szCs w:val="24"/>
        </w:rPr>
      </w:pPr>
      <w:r w:rsidRPr="006250F4">
        <w:rPr>
          <w:rFonts w:ascii="Arial" w:hAnsi="Arial" w:cs="Arial"/>
          <w:sz w:val="24"/>
          <w:szCs w:val="24"/>
        </w:rPr>
        <w:t xml:space="preserve">ii.co.uk (2025) ii View: Whitbread Bullish Given Room for German Expansion. [online] Available at: </w:t>
      </w:r>
      <w:hyperlink r:id="rId20" w:history="1">
        <w:r w:rsidRPr="006250F4">
          <w:rPr>
            <w:rStyle w:val="Hyperlink"/>
            <w:rFonts w:ascii="Arial" w:hAnsi="Arial" w:cs="Arial"/>
            <w:sz w:val="24"/>
            <w:szCs w:val="24"/>
          </w:rPr>
          <w:t>https://www.ii.co.uk/analysis-commentary/ii-view-whitbread-bullish-given-room-german-expansion-ii533322</w:t>
        </w:r>
      </w:hyperlink>
      <w:r w:rsidRPr="006250F4">
        <w:rPr>
          <w:rFonts w:ascii="Arial" w:hAnsi="Arial" w:cs="Arial"/>
          <w:sz w:val="24"/>
          <w:szCs w:val="24"/>
        </w:rPr>
        <w:t xml:space="preserve"> [Accessed 7 August 2026].</w:t>
      </w:r>
    </w:p>
    <w:p w14:paraId="7AE61E35" w14:textId="1C6D2CF9" w:rsidR="000F4F84" w:rsidRPr="006250F4" w:rsidRDefault="000F4F84" w:rsidP="000F4F84">
      <w:pPr>
        <w:rPr>
          <w:rFonts w:ascii="Arial" w:hAnsi="Arial" w:cs="Arial"/>
          <w:sz w:val="24"/>
          <w:szCs w:val="24"/>
        </w:rPr>
      </w:pPr>
      <w:r w:rsidRPr="006250F4">
        <w:rPr>
          <w:rFonts w:ascii="Arial" w:hAnsi="Arial" w:cs="Arial"/>
          <w:sz w:val="24"/>
          <w:szCs w:val="24"/>
        </w:rPr>
        <w:t xml:space="preserve">IG.com (2026) Whitbread FY 2026 Earnings Preview: 30 April Results. [online] Available at: </w:t>
      </w:r>
      <w:hyperlink r:id="rId21" w:history="1">
        <w:r w:rsidRPr="006250F4">
          <w:rPr>
            <w:rStyle w:val="Hyperlink"/>
            <w:rFonts w:ascii="Arial" w:hAnsi="Arial" w:cs="Arial"/>
            <w:sz w:val="24"/>
            <w:szCs w:val="24"/>
          </w:rPr>
          <w:t>https://www.ig.com/uk/news-and-trade-ideas/-_whitbread-fy-2026-earnings-preview--can-premier-inn-owner-bala-260429</w:t>
        </w:r>
      </w:hyperlink>
      <w:r w:rsidRPr="006250F4">
        <w:rPr>
          <w:rFonts w:ascii="Arial" w:hAnsi="Arial" w:cs="Arial"/>
          <w:sz w:val="24"/>
          <w:szCs w:val="24"/>
        </w:rPr>
        <w:t xml:space="preserve"> [Accessed 7 August 2026].</w:t>
      </w:r>
    </w:p>
    <w:p w14:paraId="54CF282D" w14:textId="3565C198" w:rsidR="002457B7" w:rsidRDefault="000F4F84" w:rsidP="000F4F84">
      <w:pPr>
        <w:rPr>
          <w:rFonts w:ascii="Arial" w:hAnsi="Arial" w:cs="Arial"/>
          <w:sz w:val="24"/>
          <w:szCs w:val="24"/>
        </w:rPr>
      </w:pPr>
      <w:r w:rsidRPr="006250F4">
        <w:rPr>
          <w:rFonts w:ascii="Arial" w:hAnsi="Arial" w:cs="Arial"/>
          <w:sz w:val="24"/>
          <w:szCs w:val="24"/>
        </w:rPr>
        <w:t xml:space="preserve">MLQ.ai (2026) Accor S.A. Financial Ratios. [online] Available at: </w:t>
      </w:r>
      <w:hyperlink r:id="rId22" w:history="1">
        <w:r w:rsidRPr="006250F4">
          <w:rPr>
            <w:rStyle w:val="Hyperlink"/>
            <w:rFonts w:ascii="Arial" w:hAnsi="Arial" w:cs="Arial"/>
            <w:sz w:val="24"/>
            <w:szCs w:val="24"/>
          </w:rPr>
          <w:t>https://mlq.ai/stocks/ACCYY/ratios/</w:t>
        </w:r>
      </w:hyperlink>
      <w:r w:rsidRPr="006250F4">
        <w:rPr>
          <w:rFonts w:ascii="Arial" w:hAnsi="Arial" w:cs="Arial"/>
          <w:sz w:val="24"/>
          <w:szCs w:val="24"/>
        </w:rPr>
        <w:t xml:space="preserve"> [Accessed 7 August 2026].</w:t>
      </w:r>
    </w:p>
    <w:p w14:paraId="1B955FBD" w14:textId="4C86A60F" w:rsidR="002457B7" w:rsidRPr="006250F4" w:rsidRDefault="002457B7" w:rsidP="000F4F84">
      <w:pPr>
        <w:rPr>
          <w:rFonts w:ascii="Arial" w:hAnsi="Arial" w:cs="Arial"/>
          <w:sz w:val="24"/>
          <w:szCs w:val="24"/>
        </w:rPr>
      </w:pPr>
      <w:r w:rsidRPr="00077A59">
        <w:rPr>
          <w:rFonts w:ascii="Arial" w:hAnsi="Arial" w:cs="Arial"/>
          <w:sz w:val="24"/>
          <w:szCs w:val="24"/>
        </w:rPr>
        <w:t xml:space="preserve">Modigliani, F. and Miller, M.H. (1958) 'The cost of capital, corporation finance and the theory of investment', </w:t>
      </w:r>
      <w:r w:rsidRPr="00077A59">
        <w:rPr>
          <w:rFonts w:ascii="Arial" w:hAnsi="Arial" w:cs="Arial"/>
          <w:i/>
          <w:iCs/>
          <w:sz w:val="24"/>
          <w:szCs w:val="24"/>
        </w:rPr>
        <w:t>American Economic Review</w:t>
      </w:r>
      <w:r w:rsidRPr="00077A59">
        <w:rPr>
          <w:rFonts w:ascii="Arial" w:hAnsi="Arial" w:cs="Arial"/>
          <w:sz w:val="24"/>
          <w:szCs w:val="24"/>
        </w:rPr>
        <w:t>, 48(3), pp. 261-297.</w:t>
      </w:r>
    </w:p>
    <w:p w14:paraId="3A3B829D" w14:textId="064F1346" w:rsidR="000F4F84" w:rsidRDefault="000F4F84" w:rsidP="000F4F84">
      <w:pPr>
        <w:rPr>
          <w:rFonts w:ascii="Arial" w:hAnsi="Arial" w:cs="Arial"/>
          <w:sz w:val="24"/>
          <w:szCs w:val="24"/>
        </w:rPr>
      </w:pPr>
      <w:r w:rsidRPr="006250F4">
        <w:rPr>
          <w:rFonts w:ascii="Arial" w:hAnsi="Arial" w:cs="Arial"/>
          <w:sz w:val="24"/>
          <w:szCs w:val="24"/>
        </w:rPr>
        <w:lastRenderedPageBreak/>
        <w:t xml:space="preserve">Skift (2025) Premier Inn Converts Pubs to Hotels to Offset Revenue Decline. [online] Available at: </w:t>
      </w:r>
      <w:hyperlink r:id="rId23" w:history="1">
        <w:r w:rsidRPr="006250F4">
          <w:rPr>
            <w:rStyle w:val="Hyperlink"/>
            <w:rFonts w:ascii="Arial" w:hAnsi="Arial" w:cs="Arial"/>
            <w:sz w:val="24"/>
            <w:szCs w:val="24"/>
          </w:rPr>
          <w:t>https://skift.com/2025/05/01/premier-inn-converts-pubs-to-hotels-to-offset-revenue-decline/</w:t>
        </w:r>
      </w:hyperlink>
      <w:r w:rsidRPr="006250F4">
        <w:rPr>
          <w:rFonts w:ascii="Arial" w:hAnsi="Arial" w:cs="Arial"/>
          <w:sz w:val="24"/>
          <w:szCs w:val="24"/>
        </w:rPr>
        <w:t xml:space="preserve"> [Accessed 7 August 2026].</w:t>
      </w:r>
    </w:p>
    <w:p w14:paraId="6F439885" w14:textId="77777777" w:rsidR="002457B7" w:rsidRPr="006250F4" w:rsidRDefault="002457B7" w:rsidP="002457B7">
      <w:pPr>
        <w:rPr>
          <w:rFonts w:ascii="Arial" w:hAnsi="Arial" w:cs="Arial"/>
          <w:sz w:val="24"/>
          <w:szCs w:val="24"/>
        </w:rPr>
      </w:pPr>
      <w:r w:rsidRPr="00077A59">
        <w:rPr>
          <w:rFonts w:ascii="Arial" w:hAnsi="Arial" w:cs="Arial"/>
          <w:sz w:val="24"/>
          <w:szCs w:val="24"/>
        </w:rPr>
        <w:t xml:space="preserve">Richards, V.D. and Laughlin, E.J. (1980) 'A cash conversion cycle approach to liquidity analysis', </w:t>
      </w:r>
      <w:r w:rsidRPr="00077A59">
        <w:rPr>
          <w:rFonts w:ascii="Arial" w:hAnsi="Arial" w:cs="Arial"/>
          <w:i/>
          <w:iCs/>
          <w:sz w:val="24"/>
          <w:szCs w:val="24"/>
        </w:rPr>
        <w:t>Financial Management</w:t>
      </w:r>
      <w:r w:rsidRPr="00077A59">
        <w:rPr>
          <w:rFonts w:ascii="Arial" w:hAnsi="Arial" w:cs="Arial"/>
          <w:sz w:val="24"/>
          <w:szCs w:val="24"/>
        </w:rPr>
        <w:t>, 9(1), pp. 32-38.</w:t>
      </w:r>
    </w:p>
    <w:p w14:paraId="63A5A14B" w14:textId="7233B355" w:rsidR="000F4F84" w:rsidRPr="006250F4" w:rsidRDefault="000F4F84" w:rsidP="000F4F84">
      <w:pPr>
        <w:rPr>
          <w:rFonts w:ascii="Arial" w:hAnsi="Arial" w:cs="Arial"/>
          <w:sz w:val="24"/>
          <w:szCs w:val="24"/>
        </w:rPr>
      </w:pPr>
      <w:r w:rsidRPr="006250F4">
        <w:rPr>
          <w:rFonts w:ascii="Arial" w:hAnsi="Arial" w:cs="Arial"/>
          <w:sz w:val="24"/>
          <w:szCs w:val="24"/>
        </w:rPr>
        <w:t xml:space="preserve">StockAnalysis.com (2025) TUI AG (ETR:TUI1) Statistics &amp; Valuation Metrics. [online] Available at: </w:t>
      </w:r>
      <w:hyperlink r:id="rId24" w:history="1">
        <w:r w:rsidRPr="006250F4">
          <w:rPr>
            <w:rStyle w:val="Hyperlink"/>
            <w:rFonts w:ascii="Arial" w:hAnsi="Arial" w:cs="Arial"/>
            <w:sz w:val="24"/>
            <w:szCs w:val="24"/>
          </w:rPr>
          <w:t>https://stockanalysis.com/quote/etr/TUI1/statistics/</w:t>
        </w:r>
      </w:hyperlink>
      <w:r w:rsidRPr="006250F4">
        <w:rPr>
          <w:rFonts w:ascii="Arial" w:hAnsi="Arial" w:cs="Arial"/>
          <w:sz w:val="24"/>
          <w:szCs w:val="24"/>
        </w:rPr>
        <w:t xml:space="preserve"> [Accessed 7 August 2026].</w:t>
      </w:r>
    </w:p>
    <w:p w14:paraId="3E101C27" w14:textId="446AFC34" w:rsidR="000F4F84" w:rsidRPr="006250F4" w:rsidRDefault="000F4F84" w:rsidP="000F4F84">
      <w:pPr>
        <w:rPr>
          <w:rFonts w:ascii="Arial" w:hAnsi="Arial" w:cs="Arial"/>
          <w:sz w:val="24"/>
          <w:szCs w:val="24"/>
        </w:rPr>
      </w:pPr>
      <w:r w:rsidRPr="006250F4">
        <w:rPr>
          <w:rFonts w:ascii="Arial" w:hAnsi="Arial" w:cs="Arial"/>
          <w:sz w:val="24"/>
          <w:szCs w:val="24"/>
        </w:rPr>
        <w:t xml:space="preserve">TIKR (2025) Can Whitbread’s German Expansion and Efficiency Push Unlock Its Next Phase of Growth? [online] Available at: </w:t>
      </w:r>
      <w:hyperlink r:id="rId25" w:history="1">
        <w:r w:rsidRPr="006250F4">
          <w:rPr>
            <w:rStyle w:val="Hyperlink"/>
            <w:rFonts w:ascii="Arial" w:hAnsi="Arial" w:cs="Arial"/>
            <w:sz w:val="24"/>
            <w:szCs w:val="24"/>
          </w:rPr>
          <w:t>https://www.tikr.com/blog/can-whitbreads-german-expansion-and-efficiency-push-unlock-its-next-phase-of-growth</w:t>
        </w:r>
      </w:hyperlink>
      <w:r w:rsidRPr="006250F4">
        <w:rPr>
          <w:rFonts w:ascii="Arial" w:hAnsi="Arial" w:cs="Arial"/>
          <w:sz w:val="24"/>
          <w:szCs w:val="24"/>
        </w:rPr>
        <w:t xml:space="preserve"> [Accessed 7 August 2026].</w:t>
      </w:r>
    </w:p>
    <w:p w14:paraId="39B8EB5B" w14:textId="4B771B33" w:rsidR="000F4F84" w:rsidRPr="006250F4" w:rsidRDefault="000F4F84" w:rsidP="000F4F84">
      <w:pPr>
        <w:rPr>
          <w:rFonts w:ascii="Arial" w:hAnsi="Arial" w:cs="Arial"/>
          <w:sz w:val="24"/>
          <w:szCs w:val="24"/>
        </w:rPr>
      </w:pPr>
      <w:r w:rsidRPr="006250F4">
        <w:rPr>
          <w:rFonts w:ascii="Arial" w:hAnsi="Arial" w:cs="Arial"/>
          <w:sz w:val="24"/>
          <w:szCs w:val="24"/>
        </w:rPr>
        <w:t>Whitbread PLC (2021) Annual Report and Accounts 2020/21. London: Whitbread PLC. London Stock Exchange filing.</w:t>
      </w:r>
    </w:p>
    <w:p w14:paraId="507A6368" w14:textId="71C2BDCE" w:rsidR="000F4F84" w:rsidRPr="006250F4" w:rsidRDefault="000F4F84" w:rsidP="000F4F84">
      <w:pPr>
        <w:rPr>
          <w:rFonts w:ascii="Arial" w:hAnsi="Arial" w:cs="Arial"/>
          <w:sz w:val="24"/>
          <w:szCs w:val="24"/>
        </w:rPr>
      </w:pPr>
      <w:r w:rsidRPr="006250F4">
        <w:rPr>
          <w:rFonts w:ascii="Arial" w:hAnsi="Arial" w:cs="Arial"/>
          <w:sz w:val="24"/>
          <w:szCs w:val="24"/>
        </w:rPr>
        <w:t>Whitbread PLC (2022) Annual Report and Accounts 2021/22. London: Whitbread PLC. London Stock Exchange filing.</w:t>
      </w:r>
    </w:p>
    <w:p w14:paraId="17BE5700" w14:textId="7FA01597" w:rsidR="000F4F84" w:rsidRPr="006250F4" w:rsidRDefault="000F4F84" w:rsidP="000F4F84">
      <w:pPr>
        <w:rPr>
          <w:rFonts w:ascii="Arial" w:hAnsi="Arial" w:cs="Arial"/>
          <w:sz w:val="24"/>
          <w:szCs w:val="24"/>
        </w:rPr>
      </w:pPr>
      <w:r w:rsidRPr="006250F4">
        <w:rPr>
          <w:rFonts w:ascii="Arial" w:hAnsi="Arial" w:cs="Arial"/>
          <w:sz w:val="24"/>
          <w:szCs w:val="24"/>
        </w:rPr>
        <w:t>Whitbread PLC (2023) Annual Report and Accounts 2022/23. London: Whitbread PLC. London Stock Exchange filing.</w:t>
      </w:r>
    </w:p>
    <w:p w14:paraId="50A4E4C9" w14:textId="18C14599" w:rsidR="000F4F84" w:rsidRPr="006250F4" w:rsidRDefault="000F4F84" w:rsidP="000F4F84">
      <w:pPr>
        <w:rPr>
          <w:rFonts w:ascii="Arial" w:hAnsi="Arial" w:cs="Arial"/>
          <w:sz w:val="24"/>
          <w:szCs w:val="24"/>
        </w:rPr>
      </w:pPr>
      <w:r w:rsidRPr="006250F4">
        <w:rPr>
          <w:rFonts w:ascii="Arial" w:hAnsi="Arial" w:cs="Arial"/>
          <w:sz w:val="24"/>
          <w:szCs w:val="24"/>
        </w:rPr>
        <w:t>Whitbread PLC (2024) Annual Report and Accounts 2023/24. London: Whitbread PLC. London Stock Exchange filing.</w:t>
      </w:r>
    </w:p>
    <w:p w14:paraId="5F56CFED" w14:textId="54F2BFCB" w:rsidR="000F4F84" w:rsidRPr="006250F4" w:rsidRDefault="000F4F84" w:rsidP="000F4F84">
      <w:pPr>
        <w:rPr>
          <w:rFonts w:ascii="Arial" w:hAnsi="Arial" w:cs="Arial"/>
          <w:sz w:val="24"/>
          <w:szCs w:val="24"/>
        </w:rPr>
      </w:pPr>
      <w:r w:rsidRPr="006250F4">
        <w:rPr>
          <w:rFonts w:ascii="Arial" w:hAnsi="Arial" w:cs="Arial"/>
          <w:sz w:val="24"/>
          <w:szCs w:val="24"/>
        </w:rPr>
        <w:t>Whitbread PLC (2025) Annual Report and Accounts 2024/25. London: Whitbread PLC. London Stock Exchange filing.</w:t>
      </w:r>
    </w:p>
    <w:p w14:paraId="35B790B2" w14:textId="3D984869" w:rsidR="000106C3" w:rsidRDefault="000F4F84" w:rsidP="000F4F84">
      <w:pPr>
        <w:rPr>
          <w:rFonts w:ascii="Arial" w:hAnsi="Arial" w:cs="Arial"/>
          <w:sz w:val="24"/>
          <w:szCs w:val="24"/>
        </w:rPr>
      </w:pPr>
      <w:r w:rsidRPr="006250F4">
        <w:rPr>
          <w:rFonts w:ascii="Arial" w:hAnsi="Arial" w:cs="Arial"/>
          <w:sz w:val="24"/>
          <w:szCs w:val="24"/>
        </w:rPr>
        <w:t xml:space="preserve">Whitbread PLC (2026) Year in Review. [online] Available at: </w:t>
      </w:r>
      <w:hyperlink r:id="rId26" w:history="1">
        <w:r w:rsidRPr="006250F4">
          <w:rPr>
            <w:rStyle w:val="Hyperlink"/>
            <w:rFonts w:ascii="Arial" w:hAnsi="Arial" w:cs="Arial"/>
            <w:sz w:val="24"/>
            <w:szCs w:val="24"/>
          </w:rPr>
          <w:t>https://www.whitbread.co.uk/investors/annual-report/</w:t>
        </w:r>
      </w:hyperlink>
      <w:r w:rsidRPr="006250F4">
        <w:rPr>
          <w:rFonts w:ascii="Arial" w:hAnsi="Arial" w:cs="Arial"/>
          <w:sz w:val="24"/>
          <w:szCs w:val="24"/>
        </w:rPr>
        <w:t xml:space="preserve"> [Accessed 7 August 2026].</w:t>
      </w:r>
    </w:p>
    <w:p w14:paraId="1CC4B198" w14:textId="77777777" w:rsidR="002457B7" w:rsidRDefault="002457B7" w:rsidP="000F4F84">
      <w:pPr>
        <w:rPr>
          <w:rFonts w:ascii="Arial" w:hAnsi="Arial" w:cs="Arial"/>
          <w:sz w:val="24"/>
          <w:szCs w:val="24"/>
        </w:rPr>
      </w:pPr>
    </w:p>
    <w:p w14:paraId="4D6E557E" w14:textId="77777777" w:rsidR="002457B7" w:rsidRDefault="002457B7" w:rsidP="000F4F84">
      <w:pPr>
        <w:rPr>
          <w:rFonts w:ascii="Arial" w:hAnsi="Arial" w:cs="Arial"/>
          <w:sz w:val="24"/>
          <w:szCs w:val="24"/>
        </w:rPr>
      </w:pPr>
    </w:p>
    <w:p w14:paraId="75660BD9" w14:textId="7CDC753C" w:rsidR="000106C3" w:rsidRPr="006250F4" w:rsidRDefault="000106C3" w:rsidP="000106C3">
      <w:pPr>
        <w:pStyle w:val="Heading1"/>
        <w:rPr>
          <w:rFonts w:ascii="Arial" w:hAnsi="Arial" w:cs="Arial"/>
        </w:rPr>
      </w:pPr>
      <w:bookmarkStart w:id="29" w:name="_Toc237493805"/>
      <w:r w:rsidRPr="006250F4">
        <w:rPr>
          <w:rFonts w:ascii="Arial" w:hAnsi="Arial" w:cs="Arial"/>
        </w:rPr>
        <w:lastRenderedPageBreak/>
        <w:t>Appendices</w:t>
      </w:r>
      <w:bookmarkEnd w:id="29"/>
    </w:p>
    <w:p w14:paraId="3154C1C9" w14:textId="060A6D47" w:rsidR="006250F4" w:rsidRPr="006250F4" w:rsidRDefault="00731250" w:rsidP="00731250">
      <w:pPr>
        <w:rPr>
          <w:rFonts w:ascii="Arial" w:hAnsi="Arial" w:cs="Arial"/>
          <w:sz w:val="24"/>
          <w:szCs w:val="24"/>
        </w:rPr>
      </w:pPr>
      <w:r w:rsidRPr="006250F4">
        <w:rPr>
          <w:rFonts w:ascii="Arial" w:hAnsi="Arial" w:cs="Arial"/>
          <w:sz w:val="24"/>
          <w:szCs w:val="24"/>
        </w:rPr>
        <w:t>The ratio analysis in Section 1, the working capital analysis in Section 2, and the investment evaluation in Section 4 are all enhanced by the tables and charts that follow.These workbooks are based on data from Whitbread PLC’s Annual Report and Accounts (London Stock Exchange filings) for the years that ended on March 31, 2020, March 31, 2021, March 31, 2022, and March 31, 2025.</w:t>
      </w:r>
    </w:p>
    <w:p w14:paraId="276DC3AE" w14:textId="5D0F68DE" w:rsidR="00731250" w:rsidRPr="006250F4" w:rsidRDefault="000106C3" w:rsidP="00731250">
      <w:pPr>
        <w:pStyle w:val="Heading2"/>
        <w:rPr>
          <w:rFonts w:ascii="Arial" w:hAnsi="Arial" w:cs="Arial"/>
        </w:rPr>
      </w:pPr>
      <w:bookmarkStart w:id="30" w:name="_Toc237493806"/>
      <w:r w:rsidRPr="006250F4">
        <w:rPr>
          <w:rFonts w:ascii="Arial" w:hAnsi="Arial" w:cs="Arial"/>
        </w:rPr>
        <w:t>Appendix A: Five-Year Ratio Analysis</w:t>
      </w:r>
      <w:bookmarkEnd w:id="30"/>
    </w:p>
    <w:p w14:paraId="3AB74D4E" w14:textId="77777777" w:rsidR="000106C3" w:rsidRPr="006250F4" w:rsidRDefault="000106C3" w:rsidP="000106C3">
      <w:pPr>
        <w:pStyle w:val="Heading2"/>
        <w:rPr>
          <w:rFonts w:ascii="Arial" w:hAnsi="Arial" w:cs="Arial"/>
        </w:rPr>
      </w:pPr>
      <w:bookmarkStart w:id="31" w:name="_Toc237493807"/>
      <w:r w:rsidRPr="006250F4">
        <w:rPr>
          <w:rFonts w:ascii="Arial" w:hAnsi="Arial" w:cs="Arial"/>
        </w:rPr>
        <w:t>A.1 Profitability Ratios</w:t>
      </w:r>
      <w:bookmarkEnd w:id="31"/>
    </w:p>
    <w:p w14:paraId="12E962D8" w14:textId="604B795E"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5</w:t>
      </w:r>
      <w:r w:rsidR="006547C1">
        <w:rPr>
          <w:noProof/>
        </w:rPr>
        <w:fldChar w:fldCharType="end"/>
      </w:r>
      <w:r w:rsidRPr="00CD63DB">
        <w:rPr>
          <w:lang w:val="en-US"/>
        </w:rPr>
        <w:t>. Whitbread PLC Profitability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0106C3" w:rsidRPr="00C859DB" w14:paraId="55D8B7D3" w14:textId="77777777" w:rsidTr="00EF0C44">
        <w:trPr>
          <w:jc w:val="center"/>
        </w:trPr>
        <w:tc>
          <w:tcPr>
            <w:tcW w:w="1504" w:type="dxa"/>
            <w:shd w:val="clear" w:color="auto" w:fill="1F4E79"/>
          </w:tcPr>
          <w:p w14:paraId="33C025E1"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Ratio</w:t>
            </w:r>
          </w:p>
        </w:tc>
        <w:tc>
          <w:tcPr>
            <w:tcW w:w="1504" w:type="dxa"/>
            <w:shd w:val="clear" w:color="auto" w:fill="1F4E79"/>
          </w:tcPr>
          <w:p w14:paraId="6D7A07AC"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FY2021</w:t>
            </w:r>
          </w:p>
        </w:tc>
        <w:tc>
          <w:tcPr>
            <w:tcW w:w="1504" w:type="dxa"/>
            <w:shd w:val="clear" w:color="auto" w:fill="1F4E79"/>
          </w:tcPr>
          <w:p w14:paraId="7D8530A4"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FY2022</w:t>
            </w:r>
          </w:p>
        </w:tc>
        <w:tc>
          <w:tcPr>
            <w:tcW w:w="1504" w:type="dxa"/>
            <w:shd w:val="clear" w:color="auto" w:fill="1F4E79"/>
          </w:tcPr>
          <w:p w14:paraId="79A7F7CA"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FY2023</w:t>
            </w:r>
          </w:p>
        </w:tc>
        <w:tc>
          <w:tcPr>
            <w:tcW w:w="1504" w:type="dxa"/>
            <w:shd w:val="clear" w:color="auto" w:fill="1F4E79"/>
          </w:tcPr>
          <w:p w14:paraId="3BD9F619"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FY2024</w:t>
            </w:r>
          </w:p>
        </w:tc>
        <w:tc>
          <w:tcPr>
            <w:tcW w:w="1504" w:type="dxa"/>
            <w:shd w:val="clear" w:color="auto" w:fill="1F4E79"/>
          </w:tcPr>
          <w:p w14:paraId="33C2DE58"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FY2025</w:t>
            </w:r>
          </w:p>
        </w:tc>
      </w:tr>
      <w:tr w:rsidR="000106C3" w:rsidRPr="00C859DB" w14:paraId="3107A108" w14:textId="77777777" w:rsidTr="00EF0C44">
        <w:trPr>
          <w:jc w:val="center"/>
        </w:trPr>
        <w:tc>
          <w:tcPr>
            <w:tcW w:w="1504" w:type="dxa"/>
          </w:tcPr>
          <w:p w14:paraId="7610FC08" w14:textId="77777777" w:rsidR="000106C3" w:rsidRPr="00C859DB" w:rsidRDefault="000106C3" w:rsidP="00EF0C44">
            <w:pPr>
              <w:rPr>
                <w:rFonts w:ascii="Arial" w:hAnsi="Arial" w:cs="Arial"/>
                <w:sz w:val="20"/>
              </w:rPr>
            </w:pPr>
            <w:r w:rsidRPr="00C859DB">
              <w:rPr>
                <w:rFonts w:ascii="Arial" w:hAnsi="Arial" w:cs="Arial"/>
                <w:sz w:val="20"/>
              </w:rPr>
              <w:t>Operating Margin</w:t>
            </w:r>
          </w:p>
        </w:tc>
        <w:tc>
          <w:tcPr>
            <w:tcW w:w="1504" w:type="dxa"/>
          </w:tcPr>
          <w:p w14:paraId="04A1ABB5" w14:textId="77777777" w:rsidR="000106C3" w:rsidRPr="00C859DB" w:rsidRDefault="000106C3" w:rsidP="00EF0C44">
            <w:pPr>
              <w:jc w:val="center"/>
              <w:rPr>
                <w:rFonts w:ascii="Arial" w:hAnsi="Arial" w:cs="Arial"/>
                <w:sz w:val="20"/>
              </w:rPr>
            </w:pPr>
            <w:r w:rsidRPr="00C859DB">
              <w:rPr>
                <w:rFonts w:ascii="Arial" w:hAnsi="Arial" w:cs="Arial"/>
                <w:sz w:val="20"/>
              </w:rPr>
              <w:t>-142.4%</w:t>
            </w:r>
          </w:p>
        </w:tc>
        <w:tc>
          <w:tcPr>
            <w:tcW w:w="1504" w:type="dxa"/>
          </w:tcPr>
          <w:p w14:paraId="4944E857" w14:textId="77777777" w:rsidR="000106C3" w:rsidRPr="00C859DB" w:rsidRDefault="000106C3" w:rsidP="00EF0C44">
            <w:pPr>
              <w:jc w:val="center"/>
              <w:rPr>
                <w:rFonts w:ascii="Arial" w:hAnsi="Arial" w:cs="Arial"/>
                <w:sz w:val="20"/>
              </w:rPr>
            </w:pPr>
            <w:r w:rsidRPr="00C859DB">
              <w:rPr>
                <w:rFonts w:ascii="Arial" w:hAnsi="Arial" w:cs="Arial"/>
                <w:sz w:val="20"/>
              </w:rPr>
              <w:t>13.3%</w:t>
            </w:r>
          </w:p>
        </w:tc>
        <w:tc>
          <w:tcPr>
            <w:tcW w:w="1504" w:type="dxa"/>
          </w:tcPr>
          <w:p w14:paraId="7392242C" w14:textId="77777777" w:rsidR="000106C3" w:rsidRPr="00C859DB" w:rsidRDefault="000106C3" w:rsidP="00EF0C44">
            <w:pPr>
              <w:jc w:val="center"/>
              <w:rPr>
                <w:rFonts w:ascii="Arial" w:hAnsi="Arial" w:cs="Arial"/>
                <w:sz w:val="20"/>
              </w:rPr>
            </w:pPr>
            <w:r w:rsidRPr="00C859DB">
              <w:rPr>
                <w:rFonts w:ascii="Arial" w:hAnsi="Arial" w:cs="Arial"/>
                <w:sz w:val="20"/>
              </w:rPr>
              <w:t>19.2%</w:t>
            </w:r>
          </w:p>
        </w:tc>
        <w:tc>
          <w:tcPr>
            <w:tcW w:w="1504" w:type="dxa"/>
          </w:tcPr>
          <w:p w14:paraId="4882B2A1" w14:textId="77777777" w:rsidR="000106C3" w:rsidRPr="00C859DB" w:rsidRDefault="000106C3" w:rsidP="00EF0C44">
            <w:pPr>
              <w:jc w:val="center"/>
              <w:rPr>
                <w:rFonts w:ascii="Arial" w:hAnsi="Arial" w:cs="Arial"/>
                <w:sz w:val="20"/>
              </w:rPr>
            </w:pPr>
            <w:r w:rsidRPr="00C859DB">
              <w:rPr>
                <w:rFonts w:ascii="Arial" w:hAnsi="Arial" w:cs="Arial"/>
                <w:sz w:val="20"/>
              </w:rPr>
              <w:t>19.1%</w:t>
            </w:r>
          </w:p>
        </w:tc>
        <w:tc>
          <w:tcPr>
            <w:tcW w:w="1504" w:type="dxa"/>
          </w:tcPr>
          <w:p w14:paraId="590BB410" w14:textId="77777777" w:rsidR="000106C3" w:rsidRPr="00C859DB" w:rsidRDefault="000106C3" w:rsidP="00EF0C44">
            <w:pPr>
              <w:jc w:val="center"/>
              <w:rPr>
                <w:rFonts w:ascii="Arial" w:hAnsi="Arial" w:cs="Arial"/>
                <w:sz w:val="20"/>
              </w:rPr>
            </w:pPr>
            <w:r w:rsidRPr="00C859DB">
              <w:rPr>
                <w:rFonts w:ascii="Arial" w:hAnsi="Arial" w:cs="Arial"/>
                <w:sz w:val="20"/>
              </w:rPr>
              <w:t>17.6%</w:t>
            </w:r>
          </w:p>
        </w:tc>
      </w:tr>
      <w:tr w:rsidR="000106C3" w:rsidRPr="00C859DB" w14:paraId="0A6C7ECD" w14:textId="77777777" w:rsidTr="00EF0C44">
        <w:trPr>
          <w:jc w:val="center"/>
        </w:trPr>
        <w:tc>
          <w:tcPr>
            <w:tcW w:w="1504" w:type="dxa"/>
          </w:tcPr>
          <w:p w14:paraId="0CB973DF" w14:textId="77777777" w:rsidR="000106C3" w:rsidRPr="00C859DB" w:rsidRDefault="000106C3" w:rsidP="00EF0C44">
            <w:pPr>
              <w:rPr>
                <w:rFonts w:ascii="Arial" w:hAnsi="Arial" w:cs="Arial"/>
                <w:sz w:val="20"/>
              </w:rPr>
            </w:pPr>
            <w:r w:rsidRPr="00C859DB">
              <w:rPr>
                <w:rFonts w:ascii="Arial" w:hAnsi="Arial" w:cs="Arial"/>
                <w:sz w:val="20"/>
              </w:rPr>
              <w:t>Net Profit Margin</w:t>
            </w:r>
          </w:p>
        </w:tc>
        <w:tc>
          <w:tcPr>
            <w:tcW w:w="1504" w:type="dxa"/>
          </w:tcPr>
          <w:p w14:paraId="419EDBD2" w14:textId="77777777" w:rsidR="000106C3" w:rsidRPr="00C859DB" w:rsidRDefault="000106C3" w:rsidP="00EF0C44">
            <w:pPr>
              <w:jc w:val="center"/>
              <w:rPr>
                <w:rFonts w:ascii="Arial" w:hAnsi="Arial" w:cs="Arial"/>
                <w:sz w:val="20"/>
              </w:rPr>
            </w:pPr>
            <w:r w:rsidRPr="00C859DB">
              <w:rPr>
                <w:rFonts w:ascii="Arial" w:hAnsi="Arial" w:cs="Arial"/>
                <w:sz w:val="20"/>
              </w:rPr>
              <w:t>-153.8%</w:t>
            </w:r>
          </w:p>
        </w:tc>
        <w:tc>
          <w:tcPr>
            <w:tcW w:w="1504" w:type="dxa"/>
          </w:tcPr>
          <w:p w14:paraId="0663EEC5" w14:textId="77777777" w:rsidR="000106C3" w:rsidRPr="00C859DB" w:rsidRDefault="000106C3" w:rsidP="00EF0C44">
            <w:pPr>
              <w:jc w:val="center"/>
              <w:rPr>
                <w:rFonts w:ascii="Arial" w:hAnsi="Arial" w:cs="Arial"/>
                <w:sz w:val="20"/>
              </w:rPr>
            </w:pPr>
            <w:r w:rsidRPr="00C859DB">
              <w:rPr>
                <w:rFonts w:ascii="Arial" w:hAnsi="Arial" w:cs="Arial"/>
                <w:sz w:val="20"/>
              </w:rPr>
              <w:t>2.5%</w:t>
            </w:r>
          </w:p>
        </w:tc>
        <w:tc>
          <w:tcPr>
            <w:tcW w:w="1504" w:type="dxa"/>
          </w:tcPr>
          <w:p w14:paraId="42CBA91F" w14:textId="77777777" w:rsidR="000106C3" w:rsidRPr="00C859DB" w:rsidRDefault="000106C3" w:rsidP="00EF0C44">
            <w:pPr>
              <w:jc w:val="center"/>
              <w:rPr>
                <w:rFonts w:ascii="Arial" w:hAnsi="Arial" w:cs="Arial"/>
                <w:sz w:val="20"/>
              </w:rPr>
            </w:pPr>
            <w:r w:rsidRPr="00C859DB">
              <w:rPr>
                <w:rFonts w:ascii="Arial" w:hAnsi="Arial" w:cs="Arial"/>
                <w:sz w:val="20"/>
              </w:rPr>
              <w:t>10.6%</w:t>
            </w:r>
          </w:p>
        </w:tc>
        <w:tc>
          <w:tcPr>
            <w:tcW w:w="1504" w:type="dxa"/>
          </w:tcPr>
          <w:p w14:paraId="1A23F4E3" w14:textId="77777777" w:rsidR="000106C3" w:rsidRPr="00C859DB" w:rsidRDefault="000106C3" w:rsidP="00EF0C44">
            <w:pPr>
              <w:jc w:val="center"/>
              <w:rPr>
                <w:rFonts w:ascii="Arial" w:hAnsi="Arial" w:cs="Arial"/>
                <w:sz w:val="20"/>
              </w:rPr>
            </w:pPr>
            <w:r w:rsidRPr="00C859DB">
              <w:rPr>
                <w:rFonts w:ascii="Arial" w:hAnsi="Arial" w:cs="Arial"/>
                <w:sz w:val="20"/>
              </w:rPr>
              <w:t>10.5%</w:t>
            </w:r>
          </w:p>
        </w:tc>
        <w:tc>
          <w:tcPr>
            <w:tcW w:w="1504" w:type="dxa"/>
          </w:tcPr>
          <w:p w14:paraId="70766E25" w14:textId="77777777" w:rsidR="000106C3" w:rsidRPr="00C859DB" w:rsidRDefault="000106C3" w:rsidP="00EF0C44">
            <w:pPr>
              <w:jc w:val="center"/>
              <w:rPr>
                <w:rFonts w:ascii="Arial" w:hAnsi="Arial" w:cs="Arial"/>
                <w:sz w:val="20"/>
              </w:rPr>
            </w:pPr>
            <w:r w:rsidRPr="00C859DB">
              <w:rPr>
                <w:rFonts w:ascii="Arial" w:hAnsi="Arial" w:cs="Arial"/>
                <w:sz w:val="20"/>
              </w:rPr>
              <w:t>8.7%</w:t>
            </w:r>
          </w:p>
        </w:tc>
      </w:tr>
      <w:tr w:rsidR="000106C3" w:rsidRPr="00C859DB" w14:paraId="4719D004" w14:textId="77777777" w:rsidTr="00EF0C44">
        <w:trPr>
          <w:jc w:val="center"/>
        </w:trPr>
        <w:tc>
          <w:tcPr>
            <w:tcW w:w="1504" w:type="dxa"/>
          </w:tcPr>
          <w:p w14:paraId="7F492D99" w14:textId="77777777" w:rsidR="000106C3" w:rsidRPr="00C859DB" w:rsidRDefault="000106C3" w:rsidP="00EF0C44">
            <w:pPr>
              <w:rPr>
                <w:rFonts w:ascii="Arial" w:hAnsi="Arial" w:cs="Arial"/>
                <w:sz w:val="20"/>
              </w:rPr>
            </w:pPr>
            <w:r w:rsidRPr="00C859DB">
              <w:rPr>
                <w:rFonts w:ascii="Arial" w:hAnsi="Arial" w:cs="Arial"/>
                <w:sz w:val="20"/>
              </w:rPr>
              <w:t>Return on Equity (ROE)</w:t>
            </w:r>
          </w:p>
        </w:tc>
        <w:tc>
          <w:tcPr>
            <w:tcW w:w="1504" w:type="dxa"/>
          </w:tcPr>
          <w:p w14:paraId="35675073" w14:textId="77777777" w:rsidR="000106C3" w:rsidRPr="00C859DB" w:rsidRDefault="000106C3" w:rsidP="00EF0C44">
            <w:pPr>
              <w:jc w:val="center"/>
              <w:rPr>
                <w:rFonts w:ascii="Arial" w:hAnsi="Arial" w:cs="Arial"/>
                <w:sz w:val="20"/>
              </w:rPr>
            </w:pPr>
            <w:r w:rsidRPr="00C859DB">
              <w:rPr>
                <w:rFonts w:ascii="Arial" w:hAnsi="Arial" w:cs="Arial"/>
                <w:sz w:val="20"/>
              </w:rPr>
              <w:t>-23.6%</w:t>
            </w:r>
          </w:p>
        </w:tc>
        <w:tc>
          <w:tcPr>
            <w:tcW w:w="1504" w:type="dxa"/>
          </w:tcPr>
          <w:p w14:paraId="57862E02" w14:textId="77777777" w:rsidR="000106C3" w:rsidRPr="00C859DB" w:rsidRDefault="000106C3" w:rsidP="00EF0C44">
            <w:pPr>
              <w:jc w:val="center"/>
              <w:rPr>
                <w:rFonts w:ascii="Arial" w:hAnsi="Arial" w:cs="Arial"/>
                <w:sz w:val="20"/>
              </w:rPr>
            </w:pPr>
            <w:r w:rsidRPr="00C859DB">
              <w:rPr>
                <w:rFonts w:ascii="Arial" w:hAnsi="Arial" w:cs="Arial"/>
                <w:sz w:val="20"/>
              </w:rPr>
              <w:t>1.0%</w:t>
            </w:r>
          </w:p>
        </w:tc>
        <w:tc>
          <w:tcPr>
            <w:tcW w:w="1504" w:type="dxa"/>
          </w:tcPr>
          <w:p w14:paraId="519FE196" w14:textId="77777777" w:rsidR="000106C3" w:rsidRPr="00C859DB" w:rsidRDefault="000106C3" w:rsidP="00EF0C44">
            <w:pPr>
              <w:jc w:val="center"/>
              <w:rPr>
                <w:rFonts w:ascii="Arial" w:hAnsi="Arial" w:cs="Arial"/>
                <w:sz w:val="20"/>
              </w:rPr>
            </w:pPr>
            <w:r w:rsidRPr="00C859DB">
              <w:rPr>
                <w:rFonts w:ascii="Arial" w:hAnsi="Arial" w:cs="Arial"/>
                <w:sz w:val="20"/>
              </w:rPr>
              <w:t>6.8%</w:t>
            </w:r>
          </w:p>
        </w:tc>
        <w:tc>
          <w:tcPr>
            <w:tcW w:w="1504" w:type="dxa"/>
          </w:tcPr>
          <w:p w14:paraId="7D9E0FAE" w14:textId="77777777" w:rsidR="000106C3" w:rsidRPr="00C859DB" w:rsidRDefault="000106C3" w:rsidP="00EF0C44">
            <w:pPr>
              <w:jc w:val="center"/>
              <w:rPr>
                <w:rFonts w:ascii="Arial" w:hAnsi="Arial" w:cs="Arial"/>
                <w:sz w:val="20"/>
              </w:rPr>
            </w:pPr>
            <w:r w:rsidRPr="00C859DB">
              <w:rPr>
                <w:rFonts w:ascii="Arial" w:hAnsi="Arial" w:cs="Arial"/>
                <w:sz w:val="20"/>
              </w:rPr>
              <w:t>8.9%</w:t>
            </w:r>
          </w:p>
        </w:tc>
        <w:tc>
          <w:tcPr>
            <w:tcW w:w="1504" w:type="dxa"/>
          </w:tcPr>
          <w:p w14:paraId="33CC7E66" w14:textId="77777777" w:rsidR="000106C3" w:rsidRPr="00C859DB" w:rsidRDefault="000106C3" w:rsidP="00EF0C44">
            <w:pPr>
              <w:jc w:val="center"/>
              <w:rPr>
                <w:rFonts w:ascii="Arial" w:hAnsi="Arial" w:cs="Arial"/>
                <w:sz w:val="20"/>
              </w:rPr>
            </w:pPr>
            <w:r w:rsidRPr="00C859DB">
              <w:rPr>
                <w:rFonts w:ascii="Arial" w:hAnsi="Arial" w:cs="Arial"/>
                <w:sz w:val="20"/>
              </w:rPr>
              <w:t>7.6%</w:t>
            </w:r>
          </w:p>
        </w:tc>
      </w:tr>
    </w:tbl>
    <w:p w14:paraId="32A77A2F" w14:textId="77777777" w:rsidR="000106C3" w:rsidRPr="006250F4" w:rsidRDefault="000106C3" w:rsidP="000106C3">
      <w:pPr>
        <w:pStyle w:val="Heading3"/>
        <w:rPr>
          <w:rFonts w:ascii="Arial" w:hAnsi="Arial" w:cs="Arial"/>
        </w:rPr>
      </w:pPr>
      <w:bookmarkStart w:id="32" w:name="_Toc237493808"/>
      <w:r w:rsidRPr="006250F4">
        <w:rPr>
          <w:rFonts w:ascii="Arial" w:hAnsi="Arial" w:cs="Arial"/>
        </w:rPr>
        <w:t>A.2 Liquidity Ratios</w:t>
      </w:r>
      <w:bookmarkEnd w:id="32"/>
    </w:p>
    <w:p w14:paraId="1E268490" w14:textId="13E38CC4"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6</w:t>
      </w:r>
      <w:r w:rsidR="006547C1">
        <w:rPr>
          <w:noProof/>
        </w:rPr>
        <w:fldChar w:fldCharType="end"/>
      </w:r>
      <w:r w:rsidRPr="005906FE">
        <w:rPr>
          <w:lang w:val="en-US"/>
        </w:rPr>
        <w:t>. Whitbread PLC Liquidity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0106C3" w:rsidRPr="006250F4" w14:paraId="4A317EB3" w14:textId="77777777" w:rsidTr="00EF0C44">
        <w:trPr>
          <w:jc w:val="center"/>
        </w:trPr>
        <w:tc>
          <w:tcPr>
            <w:tcW w:w="1504" w:type="dxa"/>
            <w:shd w:val="clear" w:color="auto" w:fill="1F4E79"/>
          </w:tcPr>
          <w:p w14:paraId="5CED2574" w14:textId="77777777" w:rsidR="000106C3" w:rsidRPr="006250F4" w:rsidRDefault="000106C3"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10C2B0BB" w14:textId="77777777" w:rsidR="000106C3" w:rsidRPr="006250F4" w:rsidRDefault="000106C3"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1802A464" w14:textId="77777777" w:rsidR="000106C3" w:rsidRPr="006250F4" w:rsidRDefault="000106C3"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38695B7B" w14:textId="77777777" w:rsidR="000106C3" w:rsidRPr="006250F4" w:rsidRDefault="000106C3"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3CE75EA4" w14:textId="77777777" w:rsidR="000106C3" w:rsidRPr="006250F4" w:rsidRDefault="000106C3"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13269512" w14:textId="77777777" w:rsidR="000106C3" w:rsidRPr="006250F4" w:rsidRDefault="000106C3" w:rsidP="00EF0C44">
            <w:pPr>
              <w:jc w:val="center"/>
              <w:rPr>
                <w:rFonts w:ascii="Arial" w:hAnsi="Arial" w:cs="Arial"/>
              </w:rPr>
            </w:pPr>
            <w:r w:rsidRPr="006250F4">
              <w:rPr>
                <w:rFonts w:ascii="Arial" w:hAnsi="Arial" w:cs="Arial"/>
                <w:b/>
                <w:color w:val="FFFFFF"/>
                <w:sz w:val="20"/>
              </w:rPr>
              <w:t>FY2025</w:t>
            </w:r>
          </w:p>
        </w:tc>
      </w:tr>
      <w:tr w:rsidR="000106C3" w:rsidRPr="006250F4" w14:paraId="52DE9946" w14:textId="77777777" w:rsidTr="00EF0C44">
        <w:trPr>
          <w:jc w:val="center"/>
        </w:trPr>
        <w:tc>
          <w:tcPr>
            <w:tcW w:w="1504" w:type="dxa"/>
          </w:tcPr>
          <w:p w14:paraId="67D6647A" w14:textId="77777777" w:rsidR="000106C3" w:rsidRPr="006250F4" w:rsidRDefault="000106C3" w:rsidP="00EF0C44">
            <w:pPr>
              <w:rPr>
                <w:rFonts w:ascii="Arial" w:hAnsi="Arial" w:cs="Arial"/>
              </w:rPr>
            </w:pPr>
            <w:r w:rsidRPr="006250F4">
              <w:rPr>
                <w:rFonts w:ascii="Arial" w:hAnsi="Arial" w:cs="Arial"/>
                <w:sz w:val="19"/>
              </w:rPr>
              <w:t>Current Ratio (x)</w:t>
            </w:r>
          </w:p>
        </w:tc>
        <w:tc>
          <w:tcPr>
            <w:tcW w:w="1504" w:type="dxa"/>
          </w:tcPr>
          <w:p w14:paraId="26D99927" w14:textId="77777777" w:rsidR="000106C3" w:rsidRPr="006250F4" w:rsidRDefault="000106C3" w:rsidP="00EF0C44">
            <w:pPr>
              <w:jc w:val="center"/>
              <w:rPr>
                <w:rFonts w:ascii="Arial" w:hAnsi="Arial" w:cs="Arial"/>
              </w:rPr>
            </w:pPr>
            <w:r w:rsidRPr="006250F4">
              <w:rPr>
                <w:rFonts w:ascii="Arial" w:hAnsi="Arial" w:cs="Arial"/>
                <w:sz w:val="19"/>
              </w:rPr>
              <w:t>1.77</w:t>
            </w:r>
          </w:p>
        </w:tc>
        <w:tc>
          <w:tcPr>
            <w:tcW w:w="1504" w:type="dxa"/>
          </w:tcPr>
          <w:p w14:paraId="04D5382D" w14:textId="77777777" w:rsidR="000106C3" w:rsidRPr="006250F4" w:rsidRDefault="000106C3" w:rsidP="00EF0C44">
            <w:pPr>
              <w:jc w:val="center"/>
              <w:rPr>
                <w:rFonts w:ascii="Arial" w:hAnsi="Arial" w:cs="Arial"/>
              </w:rPr>
            </w:pPr>
            <w:r w:rsidRPr="006250F4">
              <w:rPr>
                <w:rFonts w:ascii="Arial" w:hAnsi="Arial" w:cs="Arial"/>
                <w:sz w:val="19"/>
              </w:rPr>
              <w:t>1.85</w:t>
            </w:r>
          </w:p>
        </w:tc>
        <w:tc>
          <w:tcPr>
            <w:tcW w:w="1504" w:type="dxa"/>
          </w:tcPr>
          <w:p w14:paraId="02D8C302" w14:textId="77777777" w:rsidR="000106C3" w:rsidRPr="006250F4" w:rsidRDefault="000106C3" w:rsidP="00EF0C44">
            <w:pPr>
              <w:jc w:val="center"/>
              <w:rPr>
                <w:rFonts w:ascii="Arial" w:hAnsi="Arial" w:cs="Arial"/>
              </w:rPr>
            </w:pPr>
            <w:r w:rsidRPr="006250F4">
              <w:rPr>
                <w:rFonts w:ascii="Arial" w:hAnsi="Arial" w:cs="Arial"/>
                <w:sz w:val="19"/>
              </w:rPr>
              <w:t>1.57</w:t>
            </w:r>
          </w:p>
        </w:tc>
        <w:tc>
          <w:tcPr>
            <w:tcW w:w="1504" w:type="dxa"/>
          </w:tcPr>
          <w:p w14:paraId="50BDE118" w14:textId="77777777" w:rsidR="000106C3" w:rsidRPr="006250F4" w:rsidRDefault="000106C3" w:rsidP="00EF0C44">
            <w:pPr>
              <w:jc w:val="center"/>
              <w:rPr>
                <w:rFonts w:ascii="Arial" w:hAnsi="Arial" w:cs="Arial"/>
              </w:rPr>
            </w:pPr>
            <w:r w:rsidRPr="006250F4">
              <w:rPr>
                <w:rFonts w:ascii="Arial" w:hAnsi="Arial" w:cs="Arial"/>
                <w:sz w:val="19"/>
              </w:rPr>
              <w:t>1.02</w:t>
            </w:r>
          </w:p>
        </w:tc>
        <w:tc>
          <w:tcPr>
            <w:tcW w:w="1504" w:type="dxa"/>
          </w:tcPr>
          <w:p w14:paraId="1F71267F" w14:textId="77777777" w:rsidR="000106C3" w:rsidRPr="006250F4" w:rsidRDefault="000106C3" w:rsidP="00EF0C44">
            <w:pPr>
              <w:jc w:val="center"/>
              <w:rPr>
                <w:rFonts w:ascii="Arial" w:hAnsi="Arial" w:cs="Arial"/>
              </w:rPr>
            </w:pPr>
            <w:r w:rsidRPr="006250F4">
              <w:rPr>
                <w:rFonts w:ascii="Arial" w:hAnsi="Arial" w:cs="Arial"/>
                <w:sz w:val="19"/>
              </w:rPr>
              <w:t>0.91</w:t>
            </w:r>
          </w:p>
        </w:tc>
      </w:tr>
      <w:tr w:rsidR="000106C3" w:rsidRPr="006250F4" w14:paraId="1141676B" w14:textId="77777777" w:rsidTr="00EF0C44">
        <w:trPr>
          <w:jc w:val="center"/>
        </w:trPr>
        <w:tc>
          <w:tcPr>
            <w:tcW w:w="1504" w:type="dxa"/>
          </w:tcPr>
          <w:p w14:paraId="40AAE2AE" w14:textId="77777777" w:rsidR="000106C3" w:rsidRPr="006250F4" w:rsidRDefault="000106C3" w:rsidP="00EF0C44">
            <w:pPr>
              <w:rPr>
                <w:rFonts w:ascii="Arial" w:hAnsi="Arial" w:cs="Arial"/>
              </w:rPr>
            </w:pPr>
            <w:r w:rsidRPr="006250F4">
              <w:rPr>
                <w:rFonts w:ascii="Arial" w:hAnsi="Arial" w:cs="Arial"/>
                <w:sz w:val="19"/>
              </w:rPr>
              <w:t>Quick Ratio (x)</w:t>
            </w:r>
          </w:p>
        </w:tc>
        <w:tc>
          <w:tcPr>
            <w:tcW w:w="1504" w:type="dxa"/>
          </w:tcPr>
          <w:p w14:paraId="76C6F54A" w14:textId="77777777" w:rsidR="000106C3" w:rsidRPr="006250F4" w:rsidRDefault="000106C3" w:rsidP="00EF0C44">
            <w:pPr>
              <w:jc w:val="center"/>
              <w:rPr>
                <w:rFonts w:ascii="Arial" w:hAnsi="Arial" w:cs="Arial"/>
              </w:rPr>
            </w:pPr>
            <w:r w:rsidRPr="006250F4">
              <w:rPr>
                <w:rFonts w:ascii="Arial" w:hAnsi="Arial" w:cs="Arial"/>
                <w:sz w:val="19"/>
              </w:rPr>
              <w:t>1.77</w:t>
            </w:r>
          </w:p>
        </w:tc>
        <w:tc>
          <w:tcPr>
            <w:tcW w:w="1504" w:type="dxa"/>
          </w:tcPr>
          <w:p w14:paraId="49BD0E0B" w14:textId="77777777" w:rsidR="000106C3" w:rsidRPr="006250F4" w:rsidRDefault="000106C3" w:rsidP="00EF0C44">
            <w:pPr>
              <w:jc w:val="center"/>
              <w:rPr>
                <w:rFonts w:ascii="Arial" w:hAnsi="Arial" w:cs="Arial"/>
              </w:rPr>
            </w:pPr>
            <w:r w:rsidRPr="006250F4">
              <w:rPr>
                <w:rFonts w:ascii="Arial" w:hAnsi="Arial" w:cs="Arial"/>
                <w:sz w:val="19"/>
              </w:rPr>
              <w:t>1.85</w:t>
            </w:r>
          </w:p>
        </w:tc>
        <w:tc>
          <w:tcPr>
            <w:tcW w:w="1504" w:type="dxa"/>
          </w:tcPr>
          <w:p w14:paraId="74D0A711" w14:textId="77777777" w:rsidR="000106C3" w:rsidRPr="006250F4" w:rsidRDefault="000106C3" w:rsidP="00EF0C44">
            <w:pPr>
              <w:jc w:val="center"/>
              <w:rPr>
                <w:rFonts w:ascii="Arial" w:hAnsi="Arial" w:cs="Arial"/>
              </w:rPr>
            </w:pPr>
            <w:r w:rsidRPr="006250F4">
              <w:rPr>
                <w:rFonts w:ascii="Arial" w:hAnsi="Arial" w:cs="Arial"/>
                <w:sz w:val="19"/>
              </w:rPr>
              <w:t>1.57</w:t>
            </w:r>
          </w:p>
        </w:tc>
        <w:tc>
          <w:tcPr>
            <w:tcW w:w="1504" w:type="dxa"/>
          </w:tcPr>
          <w:p w14:paraId="03A626AC" w14:textId="77777777" w:rsidR="000106C3" w:rsidRPr="006250F4" w:rsidRDefault="000106C3" w:rsidP="00EF0C44">
            <w:pPr>
              <w:jc w:val="center"/>
              <w:rPr>
                <w:rFonts w:ascii="Arial" w:hAnsi="Arial" w:cs="Arial"/>
              </w:rPr>
            </w:pPr>
            <w:r w:rsidRPr="006250F4">
              <w:rPr>
                <w:rFonts w:ascii="Arial" w:hAnsi="Arial" w:cs="Arial"/>
                <w:sz w:val="19"/>
              </w:rPr>
              <w:t>1.02</w:t>
            </w:r>
          </w:p>
        </w:tc>
        <w:tc>
          <w:tcPr>
            <w:tcW w:w="1504" w:type="dxa"/>
          </w:tcPr>
          <w:p w14:paraId="182652C1" w14:textId="77777777" w:rsidR="000106C3" w:rsidRPr="006250F4" w:rsidRDefault="000106C3" w:rsidP="00EF0C44">
            <w:pPr>
              <w:jc w:val="center"/>
              <w:rPr>
                <w:rFonts w:ascii="Arial" w:hAnsi="Arial" w:cs="Arial"/>
              </w:rPr>
            </w:pPr>
            <w:r w:rsidRPr="006250F4">
              <w:rPr>
                <w:rFonts w:ascii="Arial" w:hAnsi="Arial" w:cs="Arial"/>
                <w:sz w:val="19"/>
              </w:rPr>
              <w:t>0.91</w:t>
            </w:r>
          </w:p>
        </w:tc>
      </w:tr>
      <w:tr w:rsidR="000106C3" w:rsidRPr="006250F4" w14:paraId="710F5151" w14:textId="77777777" w:rsidTr="00EF0C44">
        <w:trPr>
          <w:jc w:val="center"/>
        </w:trPr>
        <w:tc>
          <w:tcPr>
            <w:tcW w:w="1504" w:type="dxa"/>
          </w:tcPr>
          <w:p w14:paraId="15293B48" w14:textId="77777777" w:rsidR="000106C3" w:rsidRPr="006250F4" w:rsidRDefault="000106C3" w:rsidP="00EF0C44">
            <w:pPr>
              <w:rPr>
                <w:rFonts w:ascii="Arial" w:hAnsi="Arial" w:cs="Arial"/>
              </w:rPr>
            </w:pPr>
            <w:r w:rsidRPr="006250F4">
              <w:rPr>
                <w:rFonts w:ascii="Arial" w:hAnsi="Arial" w:cs="Arial"/>
                <w:sz w:val="19"/>
              </w:rPr>
              <w:t>Cash Ratio (x)</w:t>
            </w:r>
          </w:p>
        </w:tc>
        <w:tc>
          <w:tcPr>
            <w:tcW w:w="1504" w:type="dxa"/>
          </w:tcPr>
          <w:p w14:paraId="69D3F09A" w14:textId="77777777" w:rsidR="000106C3" w:rsidRPr="006250F4" w:rsidRDefault="000106C3" w:rsidP="00EF0C44">
            <w:pPr>
              <w:jc w:val="center"/>
              <w:rPr>
                <w:rFonts w:ascii="Arial" w:hAnsi="Arial" w:cs="Arial"/>
              </w:rPr>
            </w:pPr>
            <w:r w:rsidRPr="006250F4">
              <w:rPr>
                <w:rFonts w:ascii="Arial" w:hAnsi="Arial" w:cs="Arial"/>
                <w:sz w:val="19"/>
              </w:rPr>
              <w:t>1.62</w:t>
            </w:r>
          </w:p>
        </w:tc>
        <w:tc>
          <w:tcPr>
            <w:tcW w:w="1504" w:type="dxa"/>
          </w:tcPr>
          <w:p w14:paraId="02C22DAC" w14:textId="77777777" w:rsidR="000106C3" w:rsidRPr="006250F4" w:rsidRDefault="000106C3" w:rsidP="00EF0C44">
            <w:pPr>
              <w:jc w:val="center"/>
              <w:rPr>
                <w:rFonts w:ascii="Arial" w:hAnsi="Arial" w:cs="Arial"/>
              </w:rPr>
            </w:pPr>
            <w:r w:rsidRPr="006250F4">
              <w:rPr>
                <w:rFonts w:ascii="Arial" w:hAnsi="Arial" w:cs="Arial"/>
                <w:sz w:val="19"/>
              </w:rPr>
              <w:t>1.57</w:t>
            </w:r>
          </w:p>
        </w:tc>
        <w:tc>
          <w:tcPr>
            <w:tcW w:w="1504" w:type="dxa"/>
          </w:tcPr>
          <w:p w14:paraId="6E5EDE46" w14:textId="77777777" w:rsidR="000106C3" w:rsidRPr="006250F4" w:rsidRDefault="000106C3" w:rsidP="00EF0C44">
            <w:pPr>
              <w:jc w:val="center"/>
              <w:rPr>
                <w:rFonts w:ascii="Arial" w:hAnsi="Arial" w:cs="Arial"/>
              </w:rPr>
            </w:pPr>
            <w:r w:rsidRPr="006250F4">
              <w:rPr>
                <w:rFonts w:ascii="Arial" w:hAnsi="Arial" w:cs="Arial"/>
                <w:sz w:val="19"/>
              </w:rPr>
              <w:t>1.38</w:t>
            </w:r>
          </w:p>
        </w:tc>
        <w:tc>
          <w:tcPr>
            <w:tcW w:w="1504" w:type="dxa"/>
          </w:tcPr>
          <w:p w14:paraId="48820583" w14:textId="77777777" w:rsidR="000106C3" w:rsidRPr="006250F4" w:rsidRDefault="000106C3" w:rsidP="00EF0C44">
            <w:pPr>
              <w:jc w:val="center"/>
              <w:rPr>
                <w:rFonts w:ascii="Arial" w:hAnsi="Arial" w:cs="Arial"/>
              </w:rPr>
            </w:pPr>
            <w:r w:rsidRPr="006250F4">
              <w:rPr>
                <w:rFonts w:ascii="Arial" w:hAnsi="Arial" w:cs="Arial"/>
                <w:sz w:val="19"/>
              </w:rPr>
              <w:t>0.80</w:t>
            </w:r>
          </w:p>
        </w:tc>
        <w:tc>
          <w:tcPr>
            <w:tcW w:w="1504" w:type="dxa"/>
          </w:tcPr>
          <w:p w14:paraId="3F1A5A84" w14:textId="77777777" w:rsidR="000106C3" w:rsidRPr="006250F4" w:rsidRDefault="000106C3" w:rsidP="00EF0C44">
            <w:pPr>
              <w:jc w:val="center"/>
              <w:rPr>
                <w:rFonts w:ascii="Arial" w:hAnsi="Arial" w:cs="Arial"/>
              </w:rPr>
            </w:pPr>
            <w:r w:rsidRPr="006250F4">
              <w:rPr>
                <w:rFonts w:ascii="Arial" w:hAnsi="Arial" w:cs="Arial"/>
                <w:sz w:val="19"/>
              </w:rPr>
              <w:t>0.69</w:t>
            </w:r>
          </w:p>
        </w:tc>
      </w:tr>
    </w:tbl>
    <w:p w14:paraId="50808B2E" w14:textId="77777777" w:rsidR="000106C3" w:rsidRPr="006250F4" w:rsidRDefault="000106C3" w:rsidP="000106C3">
      <w:pPr>
        <w:rPr>
          <w:rFonts w:ascii="Arial" w:hAnsi="Arial" w:cs="Arial"/>
        </w:rPr>
      </w:pPr>
    </w:p>
    <w:p w14:paraId="307BCDFE" w14:textId="77777777" w:rsidR="00346B81" w:rsidRPr="006250F4" w:rsidRDefault="00346B81" w:rsidP="00346B81">
      <w:pPr>
        <w:pStyle w:val="Heading3"/>
        <w:rPr>
          <w:rFonts w:ascii="Arial" w:hAnsi="Arial" w:cs="Arial"/>
        </w:rPr>
      </w:pPr>
      <w:bookmarkStart w:id="33" w:name="_Toc237493809"/>
      <w:r w:rsidRPr="006250F4">
        <w:rPr>
          <w:rFonts w:ascii="Arial" w:hAnsi="Arial" w:cs="Arial"/>
        </w:rPr>
        <w:t>A.3 Efficiency Ratios</w:t>
      </w:r>
      <w:bookmarkEnd w:id="33"/>
    </w:p>
    <w:p w14:paraId="511BD658" w14:textId="3A42EEF4"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7</w:t>
      </w:r>
      <w:r w:rsidR="006547C1">
        <w:rPr>
          <w:noProof/>
        </w:rPr>
        <w:fldChar w:fldCharType="end"/>
      </w:r>
      <w:r w:rsidRPr="00800E8D">
        <w:rPr>
          <w:lang w:val="en-US"/>
        </w:rPr>
        <w:t>. Whitbread PLC Efficiency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09C76701" w14:textId="77777777" w:rsidTr="00EF0C44">
        <w:trPr>
          <w:jc w:val="center"/>
        </w:trPr>
        <w:tc>
          <w:tcPr>
            <w:tcW w:w="1504" w:type="dxa"/>
            <w:shd w:val="clear" w:color="auto" w:fill="1F4E79"/>
          </w:tcPr>
          <w:p w14:paraId="189A4452"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713BB65B"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1ACFC695"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30020FFB"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5A2BDF75"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60286C16"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71358AB8" w14:textId="77777777" w:rsidTr="00EF0C44">
        <w:trPr>
          <w:jc w:val="center"/>
        </w:trPr>
        <w:tc>
          <w:tcPr>
            <w:tcW w:w="1504" w:type="dxa"/>
          </w:tcPr>
          <w:p w14:paraId="41C75121" w14:textId="77777777" w:rsidR="00346B81" w:rsidRPr="006250F4" w:rsidRDefault="00346B81" w:rsidP="00EF0C44">
            <w:pPr>
              <w:rPr>
                <w:rFonts w:ascii="Arial" w:hAnsi="Arial" w:cs="Arial"/>
              </w:rPr>
            </w:pPr>
            <w:r w:rsidRPr="006250F4">
              <w:rPr>
                <w:rFonts w:ascii="Arial" w:hAnsi="Arial" w:cs="Arial"/>
                <w:sz w:val="19"/>
              </w:rPr>
              <w:t>Asset Turnover (x)</w:t>
            </w:r>
          </w:p>
        </w:tc>
        <w:tc>
          <w:tcPr>
            <w:tcW w:w="1504" w:type="dxa"/>
          </w:tcPr>
          <w:p w14:paraId="16802892" w14:textId="77777777" w:rsidR="00346B81" w:rsidRPr="006250F4" w:rsidRDefault="00346B81" w:rsidP="00EF0C44">
            <w:pPr>
              <w:jc w:val="center"/>
              <w:rPr>
                <w:rFonts w:ascii="Arial" w:hAnsi="Arial" w:cs="Arial"/>
              </w:rPr>
            </w:pPr>
            <w:r w:rsidRPr="006250F4">
              <w:rPr>
                <w:rFonts w:ascii="Arial" w:hAnsi="Arial" w:cs="Arial"/>
                <w:sz w:val="19"/>
              </w:rPr>
              <w:t>0.07</w:t>
            </w:r>
          </w:p>
        </w:tc>
        <w:tc>
          <w:tcPr>
            <w:tcW w:w="1504" w:type="dxa"/>
          </w:tcPr>
          <w:p w14:paraId="4DA12AC0" w14:textId="77777777" w:rsidR="00346B81" w:rsidRPr="006250F4" w:rsidRDefault="00346B81" w:rsidP="00EF0C44">
            <w:pPr>
              <w:jc w:val="center"/>
              <w:rPr>
                <w:rFonts w:ascii="Arial" w:hAnsi="Arial" w:cs="Arial"/>
              </w:rPr>
            </w:pPr>
            <w:r w:rsidRPr="006250F4">
              <w:rPr>
                <w:rFonts w:ascii="Arial" w:hAnsi="Arial" w:cs="Arial"/>
                <w:sz w:val="19"/>
              </w:rPr>
              <w:t>0.18</w:t>
            </w:r>
          </w:p>
        </w:tc>
        <w:tc>
          <w:tcPr>
            <w:tcW w:w="1504" w:type="dxa"/>
          </w:tcPr>
          <w:p w14:paraId="3AF1ED0E" w14:textId="77777777" w:rsidR="00346B81" w:rsidRPr="006250F4" w:rsidRDefault="00346B81" w:rsidP="00EF0C44">
            <w:pPr>
              <w:jc w:val="center"/>
              <w:rPr>
                <w:rFonts w:ascii="Arial" w:hAnsi="Arial" w:cs="Arial"/>
              </w:rPr>
            </w:pPr>
            <w:r w:rsidRPr="006250F4">
              <w:rPr>
                <w:rFonts w:ascii="Arial" w:hAnsi="Arial" w:cs="Arial"/>
                <w:sz w:val="19"/>
              </w:rPr>
              <w:t>0.26</w:t>
            </w:r>
          </w:p>
        </w:tc>
        <w:tc>
          <w:tcPr>
            <w:tcW w:w="1504" w:type="dxa"/>
          </w:tcPr>
          <w:p w14:paraId="6E1FFBBD" w14:textId="77777777" w:rsidR="00346B81" w:rsidRPr="006250F4" w:rsidRDefault="00346B81" w:rsidP="00EF0C44">
            <w:pPr>
              <w:jc w:val="center"/>
              <w:rPr>
                <w:rFonts w:ascii="Arial" w:hAnsi="Arial" w:cs="Arial"/>
              </w:rPr>
            </w:pPr>
            <w:r w:rsidRPr="006250F4">
              <w:rPr>
                <w:rFonts w:ascii="Arial" w:hAnsi="Arial" w:cs="Arial"/>
                <w:sz w:val="19"/>
              </w:rPr>
              <w:t>0.31</w:t>
            </w:r>
          </w:p>
        </w:tc>
        <w:tc>
          <w:tcPr>
            <w:tcW w:w="1504" w:type="dxa"/>
          </w:tcPr>
          <w:p w14:paraId="5C0970B4" w14:textId="77777777" w:rsidR="00346B81" w:rsidRPr="006250F4" w:rsidRDefault="00346B81" w:rsidP="00EF0C44">
            <w:pPr>
              <w:jc w:val="center"/>
              <w:rPr>
                <w:rFonts w:ascii="Arial" w:hAnsi="Arial" w:cs="Arial"/>
              </w:rPr>
            </w:pPr>
            <w:r w:rsidRPr="006250F4">
              <w:rPr>
                <w:rFonts w:ascii="Arial" w:hAnsi="Arial" w:cs="Arial"/>
                <w:sz w:val="19"/>
              </w:rPr>
              <w:t>0.30</w:t>
            </w:r>
          </w:p>
        </w:tc>
      </w:tr>
      <w:tr w:rsidR="00346B81" w:rsidRPr="006250F4" w14:paraId="1A3F3872" w14:textId="77777777" w:rsidTr="00EF0C44">
        <w:trPr>
          <w:jc w:val="center"/>
        </w:trPr>
        <w:tc>
          <w:tcPr>
            <w:tcW w:w="1504" w:type="dxa"/>
          </w:tcPr>
          <w:p w14:paraId="2E17B32D" w14:textId="77777777" w:rsidR="00346B81" w:rsidRPr="006250F4" w:rsidRDefault="00346B81" w:rsidP="00EF0C44">
            <w:pPr>
              <w:rPr>
                <w:rFonts w:ascii="Arial" w:hAnsi="Arial" w:cs="Arial"/>
              </w:rPr>
            </w:pPr>
            <w:r w:rsidRPr="006250F4">
              <w:rPr>
                <w:rFonts w:ascii="Arial" w:hAnsi="Arial" w:cs="Arial"/>
                <w:sz w:val="19"/>
              </w:rPr>
              <w:t>Fixed Asset Turnover (x)</w:t>
            </w:r>
          </w:p>
        </w:tc>
        <w:tc>
          <w:tcPr>
            <w:tcW w:w="1504" w:type="dxa"/>
          </w:tcPr>
          <w:p w14:paraId="5E41826A" w14:textId="77777777" w:rsidR="00346B81" w:rsidRPr="006250F4" w:rsidRDefault="00346B81" w:rsidP="00EF0C44">
            <w:pPr>
              <w:jc w:val="center"/>
              <w:rPr>
                <w:rFonts w:ascii="Arial" w:hAnsi="Arial" w:cs="Arial"/>
              </w:rPr>
            </w:pPr>
            <w:r w:rsidRPr="006250F4">
              <w:rPr>
                <w:rFonts w:ascii="Arial" w:hAnsi="Arial" w:cs="Arial"/>
                <w:sz w:val="19"/>
              </w:rPr>
              <w:t>0.14</w:t>
            </w:r>
          </w:p>
        </w:tc>
        <w:tc>
          <w:tcPr>
            <w:tcW w:w="1504" w:type="dxa"/>
          </w:tcPr>
          <w:p w14:paraId="1234F7C6" w14:textId="77777777" w:rsidR="00346B81" w:rsidRPr="006250F4" w:rsidRDefault="00346B81" w:rsidP="00EF0C44">
            <w:pPr>
              <w:jc w:val="center"/>
              <w:rPr>
                <w:rFonts w:ascii="Arial" w:hAnsi="Arial" w:cs="Arial"/>
              </w:rPr>
            </w:pPr>
            <w:r w:rsidRPr="006250F4">
              <w:rPr>
                <w:rFonts w:ascii="Arial" w:hAnsi="Arial" w:cs="Arial"/>
                <w:sz w:val="19"/>
              </w:rPr>
              <w:t>0.40</w:t>
            </w:r>
          </w:p>
        </w:tc>
        <w:tc>
          <w:tcPr>
            <w:tcW w:w="1504" w:type="dxa"/>
          </w:tcPr>
          <w:p w14:paraId="1512238D" w14:textId="77777777" w:rsidR="00346B81" w:rsidRPr="006250F4" w:rsidRDefault="00346B81" w:rsidP="00EF0C44">
            <w:pPr>
              <w:jc w:val="center"/>
              <w:rPr>
                <w:rFonts w:ascii="Arial" w:hAnsi="Arial" w:cs="Arial"/>
              </w:rPr>
            </w:pPr>
            <w:r w:rsidRPr="006250F4">
              <w:rPr>
                <w:rFonts w:ascii="Arial" w:hAnsi="Arial" w:cs="Arial"/>
                <w:sz w:val="19"/>
              </w:rPr>
              <w:t>0.58</w:t>
            </w:r>
          </w:p>
        </w:tc>
        <w:tc>
          <w:tcPr>
            <w:tcW w:w="1504" w:type="dxa"/>
          </w:tcPr>
          <w:p w14:paraId="73EA89AC" w14:textId="77777777" w:rsidR="00346B81" w:rsidRPr="006250F4" w:rsidRDefault="00346B81" w:rsidP="00EF0C44">
            <w:pPr>
              <w:jc w:val="center"/>
              <w:rPr>
                <w:rFonts w:ascii="Arial" w:hAnsi="Arial" w:cs="Arial"/>
              </w:rPr>
            </w:pPr>
            <w:r w:rsidRPr="006250F4">
              <w:rPr>
                <w:rFonts w:ascii="Arial" w:hAnsi="Arial" w:cs="Arial"/>
                <w:sz w:val="19"/>
              </w:rPr>
              <w:t>0.64</w:t>
            </w:r>
          </w:p>
        </w:tc>
        <w:tc>
          <w:tcPr>
            <w:tcW w:w="1504" w:type="dxa"/>
          </w:tcPr>
          <w:p w14:paraId="07B08732" w14:textId="77777777" w:rsidR="00346B81" w:rsidRPr="006250F4" w:rsidRDefault="00346B81" w:rsidP="00EF0C44">
            <w:pPr>
              <w:jc w:val="center"/>
              <w:rPr>
                <w:rFonts w:ascii="Arial" w:hAnsi="Arial" w:cs="Arial"/>
              </w:rPr>
            </w:pPr>
            <w:r w:rsidRPr="006250F4">
              <w:rPr>
                <w:rFonts w:ascii="Arial" w:hAnsi="Arial" w:cs="Arial"/>
                <w:sz w:val="19"/>
              </w:rPr>
              <w:t>0.62</w:t>
            </w:r>
          </w:p>
        </w:tc>
      </w:tr>
    </w:tbl>
    <w:p w14:paraId="35393B88" w14:textId="77777777" w:rsidR="000106C3" w:rsidRPr="006250F4" w:rsidRDefault="000106C3" w:rsidP="000106C3">
      <w:pPr>
        <w:rPr>
          <w:rFonts w:ascii="Arial" w:hAnsi="Arial" w:cs="Arial"/>
        </w:rPr>
      </w:pPr>
    </w:p>
    <w:p w14:paraId="2840337B" w14:textId="77777777" w:rsidR="00346B81" w:rsidRPr="006250F4" w:rsidRDefault="00346B81" w:rsidP="00346B81">
      <w:pPr>
        <w:pStyle w:val="Heading3"/>
        <w:rPr>
          <w:rFonts w:ascii="Arial" w:hAnsi="Arial" w:cs="Arial"/>
        </w:rPr>
      </w:pPr>
      <w:bookmarkStart w:id="34" w:name="_Toc237493810"/>
      <w:r w:rsidRPr="006250F4">
        <w:rPr>
          <w:rFonts w:ascii="Arial" w:hAnsi="Arial" w:cs="Arial"/>
        </w:rPr>
        <w:lastRenderedPageBreak/>
        <w:t>A.4 Gearing / Leverage Ratios</w:t>
      </w:r>
      <w:bookmarkEnd w:id="34"/>
    </w:p>
    <w:p w14:paraId="4C1F2D5C" w14:textId="7938E9D5"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8</w:t>
      </w:r>
      <w:r w:rsidR="006547C1">
        <w:rPr>
          <w:noProof/>
        </w:rPr>
        <w:fldChar w:fldCharType="end"/>
      </w:r>
      <w:r w:rsidRPr="002D5E55">
        <w:rPr>
          <w:lang w:val="en-US"/>
        </w:rPr>
        <w:t>. Whitbread PLC Gearing and Leverage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3F9844A3" w14:textId="77777777" w:rsidTr="00EF0C44">
        <w:trPr>
          <w:jc w:val="center"/>
        </w:trPr>
        <w:tc>
          <w:tcPr>
            <w:tcW w:w="1504" w:type="dxa"/>
            <w:shd w:val="clear" w:color="auto" w:fill="1F4E79"/>
          </w:tcPr>
          <w:p w14:paraId="4203BC44"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245A5A97"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39521D2F"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1E36751C"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2A376F44"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2BB4511B"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277CDE68" w14:textId="77777777" w:rsidTr="00EF0C44">
        <w:trPr>
          <w:jc w:val="center"/>
        </w:trPr>
        <w:tc>
          <w:tcPr>
            <w:tcW w:w="1504" w:type="dxa"/>
          </w:tcPr>
          <w:p w14:paraId="4F8DF429" w14:textId="77777777" w:rsidR="00346B81" w:rsidRPr="006250F4" w:rsidRDefault="00346B81" w:rsidP="00EF0C44">
            <w:pPr>
              <w:rPr>
                <w:rFonts w:ascii="Arial" w:hAnsi="Arial" w:cs="Arial"/>
              </w:rPr>
            </w:pPr>
            <w:r w:rsidRPr="006250F4">
              <w:rPr>
                <w:rFonts w:ascii="Arial" w:hAnsi="Arial" w:cs="Arial"/>
                <w:sz w:val="19"/>
              </w:rPr>
              <w:t>Interest Coverage Ratio (x)</w:t>
            </w:r>
          </w:p>
        </w:tc>
        <w:tc>
          <w:tcPr>
            <w:tcW w:w="1504" w:type="dxa"/>
          </w:tcPr>
          <w:p w14:paraId="13DCA5A9" w14:textId="77777777" w:rsidR="00346B81" w:rsidRPr="006250F4" w:rsidRDefault="00346B81" w:rsidP="00EF0C44">
            <w:pPr>
              <w:jc w:val="center"/>
              <w:rPr>
                <w:rFonts w:ascii="Arial" w:hAnsi="Arial" w:cs="Arial"/>
              </w:rPr>
            </w:pPr>
            <w:r w:rsidRPr="006250F4">
              <w:rPr>
                <w:rFonts w:ascii="Arial" w:hAnsi="Arial" w:cs="Arial"/>
                <w:sz w:val="19"/>
              </w:rPr>
              <w:t>4.99</w:t>
            </w:r>
          </w:p>
        </w:tc>
        <w:tc>
          <w:tcPr>
            <w:tcW w:w="1504" w:type="dxa"/>
          </w:tcPr>
          <w:p w14:paraId="12CBF2EE" w14:textId="77777777" w:rsidR="00346B81" w:rsidRPr="006250F4" w:rsidRDefault="00346B81" w:rsidP="00EF0C44">
            <w:pPr>
              <w:jc w:val="center"/>
              <w:rPr>
                <w:rFonts w:ascii="Arial" w:hAnsi="Arial" w:cs="Arial"/>
              </w:rPr>
            </w:pPr>
            <w:r w:rsidRPr="006250F4">
              <w:rPr>
                <w:rFonts w:ascii="Arial" w:hAnsi="Arial" w:cs="Arial"/>
                <w:sz w:val="19"/>
              </w:rPr>
              <w:t>1.34</w:t>
            </w:r>
          </w:p>
        </w:tc>
        <w:tc>
          <w:tcPr>
            <w:tcW w:w="1504" w:type="dxa"/>
          </w:tcPr>
          <w:p w14:paraId="35334038" w14:textId="77777777" w:rsidR="00346B81" w:rsidRPr="006250F4" w:rsidRDefault="00346B81" w:rsidP="00EF0C44">
            <w:pPr>
              <w:jc w:val="center"/>
              <w:rPr>
                <w:rFonts w:ascii="Arial" w:hAnsi="Arial" w:cs="Arial"/>
              </w:rPr>
            </w:pPr>
            <w:r w:rsidRPr="006250F4">
              <w:rPr>
                <w:rFonts w:ascii="Arial" w:hAnsi="Arial" w:cs="Arial"/>
                <w:sz w:val="19"/>
              </w:rPr>
              <w:t>3.88</w:t>
            </w:r>
          </w:p>
        </w:tc>
        <w:tc>
          <w:tcPr>
            <w:tcW w:w="1504" w:type="dxa"/>
          </w:tcPr>
          <w:p w14:paraId="0A33812F" w14:textId="77777777" w:rsidR="00346B81" w:rsidRPr="006250F4" w:rsidRDefault="00346B81" w:rsidP="00EF0C44">
            <w:pPr>
              <w:jc w:val="center"/>
              <w:rPr>
                <w:rFonts w:ascii="Arial" w:hAnsi="Arial" w:cs="Arial"/>
              </w:rPr>
            </w:pPr>
            <w:r w:rsidRPr="006250F4">
              <w:rPr>
                <w:rFonts w:ascii="Arial" w:hAnsi="Arial" w:cs="Arial"/>
                <w:sz w:val="19"/>
              </w:rPr>
              <w:t>4.99</w:t>
            </w:r>
          </w:p>
        </w:tc>
        <w:tc>
          <w:tcPr>
            <w:tcW w:w="1504" w:type="dxa"/>
          </w:tcPr>
          <w:p w14:paraId="74EF9D92" w14:textId="77777777" w:rsidR="00346B81" w:rsidRPr="006250F4" w:rsidRDefault="00346B81" w:rsidP="00EF0C44">
            <w:pPr>
              <w:jc w:val="center"/>
              <w:rPr>
                <w:rFonts w:ascii="Arial" w:hAnsi="Arial" w:cs="Arial"/>
              </w:rPr>
            </w:pPr>
            <w:r w:rsidRPr="006250F4">
              <w:rPr>
                <w:rFonts w:ascii="Arial" w:hAnsi="Arial" w:cs="Arial"/>
                <w:sz w:val="19"/>
              </w:rPr>
              <w:t>3.52</w:t>
            </w:r>
          </w:p>
        </w:tc>
      </w:tr>
      <w:tr w:rsidR="00346B81" w:rsidRPr="006250F4" w14:paraId="5B2CDD12" w14:textId="77777777" w:rsidTr="00EF0C44">
        <w:trPr>
          <w:jc w:val="center"/>
        </w:trPr>
        <w:tc>
          <w:tcPr>
            <w:tcW w:w="1504" w:type="dxa"/>
          </w:tcPr>
          <w:p w14:paraId="7C6CF2B3" w14:textId="77777777" w:rsidR="00346B81" w:rsidRPr="006250F4" w:rsidRDefault="00346B81" w:rsidP="00EF0C44">
            <w:pPr>
              <w:rPr>
                <w:rFonts w:ascii="Arial" w:hAnsi="Arial" w:cs="Arial"/>
              </w:rPr>
            </w:pPr>
            <w:r w:rsidRPr="006250F4">
              <w:rPr>
                <w:rFonts w:ascii="Arial" w:hAnsi="Arial" w:cs="Arial"/>
                <w:sz w:val="19"/>
              </w:rPr>
              <w:t>Debt-to-Equity Ratio (x)</w:t>
            </w:r>
          </w:p>
        </w:tc>
        <w:tc>
          <w:tcPr>
            <w:tcW w:w="1504" w:type="dxa"/>
          </w:tcPr>
          <w:p w14:paraId="7AA7C2B2" w14:textId="77777777" w:rsidR="00346B81" w:rsidRPr="006250F4" w:rsidRDefault="00346B81" w:rsidP="00EF0C44">
            <w:pPr>
              <w:jc w:val="center"/>
              <w:rPr>
                <w:rFonts w:ascii="Arial" w:hAnsi="Arial" w:cs="Arial"/>
              </w:rPr>
            </w:pPr>
            <w:r w:rsidRPr="006250F4">
              <w:rPr>
                <w:rFonts w:ascii="Arial" w:hAnsi="Arial" w:cs="Arial"/>
                <w:sz w:val="19"/>
              </w:rPr>
              <w:t>1.18</w:t>
            </w:r>
          </w:p>
        </w:tc>
        <w:tc>
          <w:tcPr>
            <w:tcW w:w="1504" w:type="dxa"/>
          </w:tcPr>
          <w:p w14:paraId="10E528AB" w14:textId="77777777" w:rsidR="00346B81" w:rsidRPr="006250F4" w:rsidRDefault="00346B81" w:rsidP="00EF0C44">
            <w:pPr>
              <w:jc w:val="center"/>
              <w:rPr>
                <w:rFonts w:ascii="Arial" w:hAnsi="Arial" w:cs="Arial"/>
              </w:rPr>
            </w:pPr>
            <w:r w:rsidRPr="006250F4">
              <w:rPr>
                <w:rFonts w:ascii="Arial" w:hAnsi="Arial" w:cs="Arial"/>
                <w:sz w:val="19"/>
              </w:rPr>
              <w:t>1.14</w:t>
            </w:r>
          </w:p>
        </w:tc>
        <w:tc>
          <w:tcPr>
            <w:tcW w:w="1504" w:type="dxa"/>
          </w:tcPr>
          <w:p w14:paraId="4255E14B" w14:textId="77777777" w:rsidR="00346B81" w:rsidRPr="006250F4" w:rsidRDefault="00346B81" w:rsidP="00EF0C44">
            <w:pPr>
              <w:jc w:val="center"/>
              <w:rPr>
                <w:rFonts w:ascii="Arial" w:hAnsi="Arial" w:cs="Arial"/>
              </w:rPr>
            </w:pPr>
            <w:r w:rsidRPr="006250F4">
              <w:rPr>
                <w:rFonts w:ascii="Arial" w:hAnsi="Arial" w:cs="Arial"/>
                <w:sz w:val="19"/>
              </w:rPr>
              <w:t>1.20</w:t>
            </w:r>
          </w:p>
        </w:tc>
        <w:tc>
          <w:tcPr>
            <w:tcW w:w="1504" w:type="dxa"/>
          </w:tcPr>
          <w:p w14:paraId="73B0C46C" w14:textId="77777777" w:rsidR="00346B81" w:rsidRPr="006250F4" w:rsidRDefault="00346B81" w:rsidP="00EF0C44">
            <w:pPr>
              <w:jc w:val="center"/>
              <w:rPr>
                <w:rFonts w:ascii="Arial" w:hAnsi="Arial" w:cs="Arial"/>
              </w:rPr>
            </w:pPr>
            <w:r w:rsidRPr="006250F4">
              <w:rPr>
                <w:rFonts w:ascii="Arial" w:hAnsi="Arial" w:cs="Arial"/>
                <w:sz w:val="19"/>
              </w:rPr>
              <w:t>1.45</w:t>
            </w:r>
          </w:p>
        </w:tc>
        <w:tc>
          <w:tcPr>
            <w:tcW w:w="1504" w:type="dxa"/>
          </w:tcPr>
          <w:p w14:paraId="5F6C5CB1" w14:textId="77777777" w:rsidR="00346B81" w:rsidRPr="006250F4" w:rsidRDefault="00346B81" w:rsidP="00EF0C44">
            <w:pPr>
              <w:jc w:val="center"/>
              <w:rPr>
                <w:rFonts w:ascii="Arial" w:hAnsi="Arial" w:cs="Arial"/>
              </w:rPr>
            </w:pPr>
            <w:r w:rsidRPr="006250F4">
              <w:rPr>
                <w:rFonts w:ascii="Arial" w:hAnsi="Arial" w:cs="Arial"/>
                <w:sz w:val="19"/>
              </w:rPr>
              <w:t>1.69</w:t>
            </w:r>
          </w:p>
        </w:tc>
      </w:tr>
    </w:tbl>
    <w:p w14:paraId="4A2E7661" w14:textId="77777777" w:rsidR="00346B81" w:rsidRPr="006250F4" w:rsidRDefault="00346B81" w:rsidP="000106C3">
      <w:pPr>
        <w:rPr>
          <w:rFonts w:ascii="Arial" w:hAnsi="Arial" w:cs="Arial"/>
        </w:rPr>
      </w:pPr>
    </w:p>
    <w:p w14:paraId="0C718556" w14:textId="77777777" w:rsidR="00346B81" w:rsidRPr="006250F4" w:rsidRDefault="00346B81" w:rsidP="00346B81">
      <w:pPr>
        <w:pStyle w:val="Heading3"/>
        <w:rPr>
          <w:rFonts w:ascii="Arial" w:hAnsi="Arial" w:cs="Arial"/>
        </w:rPr>
      </w:pPr>
      <w:bookmarkStart w:id="35" w:name="_Toc237493811"/>
      <w:r w:rsidRPr="006250F4">
        <w:rPr>
          <w:rFonts w:ascii="Arial" w:hAnsi="Arial" w:cs="Arial"/>
        </w:rPr>
        <w:t>A.5 Investment Ratios</w:t>
      </w:r>
      <w:bookmarkEnd w:id="35"/>
    </w:p>
    <w:p w14:paraId="58412ACA" w14:textId="76DB6EFF"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9</w:t>
      </w:r>
      <w:r w:rsidR="006547C1">
        <w:rPr>
          <w:noProof/>
        </w:rPr>
        <w:fldChar w:fldCharType="end"/>
      </w:r>
      <w:r w:rsidRPr="00295542">
        <w:rPr>
          <w:lang w:val="en-US"/>
        </w:rPr>
        <w:t>. Whitbread PLC Investment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720E661D" w14:textId="77777777" w:rsidTr="00EF0C44">
        <w:trPr>
          <w:jc w:val="center"/>
        </w:trPr>
        <w:tc>
          <w:tcPr>
            <w:tcW w:w="1504" w:type="dxa"/>
            <w:shd w:val="clear" w:color="auto" w:fill="1F4E79"/>
          </w:tcPr>
          <w:p w14:paraId="7A14F9EC"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11C4D018"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466FD7D9"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4BB88356"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00935C7A"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304F6CD1"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6AEFA956" w14:textId="77777777" w:rsidTr="00EF0C44">
        <w:trPr>
          <w:jc w:val="center"/>
        </w:trPr>
        <w:tc>
          <w:tcPr>
            <w:tcW w:w="1504" w:type="dxa"/>
          </w:tcPr>
          <w:p w14:paraId="2D706A39" w14:textId="77777777" w:rsidR="00346B81" w:rsidRPr="006250F4" w:rsidRDefault="00346B81" w:rsidP="00EF0C44">
            <w:pPr>
              <w:rPr>
                <w:rFonts w:ascii="Arial" w:hAnsi="Arial" w:cs="Arial"/>
              </w:rPr>
            </w:pPr>
            <w:r w:rsidRPr="006250F4">
              <w:rPr>
                <w:rFonts w:ascii="Arial" w:hAnsi="Arial" w:cs="Arial"/>
                <w:sz w:val="19"/>
              </w:rPr>
              <w:t>Return on Equity (ROE)</w:t>
            </w:r>
          </w:p>
        </w:tc>
        <w:tc>
          <w:tcPr>
            <w:tcW w:w="1504" w:type="dxa"/>
          </w:tcPr>
          <w:p w14:paraId="4CA7DC5B" w14:textId="77777777" w:rsidR="00346B81" w:rsidRPr="006250F4" w:rsidRDefault="00346B81" w:rsidP="00EF0C44">
            <w:pPr>
              <w:jc w:val="center"/>
              <w:rPr>
                <w:rFonts w:ascii="Arial" w:hAnsi="Arial" w:cs="Arial"/>
              </w:rPr>
            </w:pPr>
            <w:r w:rsidRPr="006250F4">
              <w:rPr>
                <w:rFonts w:ascii="Arial" w:hAnsi="Arial" w:cs="Arial"/>
                <w:sz w:val="19"/>
              </w:rPr>
              <w:t>-23.6%</w:t>
            </w:r>
          </w:p>
        </w:tc>
        <w:tc>
          <w:tcPr>
            <w:tcW w:w="1504" w:type="dxa"/>
          </w:tcPr>
          <w:p w14:paraId="5EBD6C1E" w14:textId="77777777" w:rsidR="00346B81" w:rsidRPr="006250F4" w:rsidRDefault="00346B81" w:rsidP="00EF0C44">
            <w:pPr>
              <w:jc w:val="center"/>
              <w:rPr>
                <w:rFonts w:ascii="Arial" w:hAnsi="Arial" w:cs="Arial"/>
              </w:rPr>
            </w:pPr>
            <w:r w:rsidRPr="006250F4">
              <w:rPr>
                <w:rFonts w:ascii="Arial" w:hAnsi="Arial" w:cs="Arial"/>
                <w:sz w:val="19"/>
              </w:rPr>
              <w:t>1.0%</w:t>
            </w:r>
          </w:p>
        </w:tc>
        <w:tc>
          <w:tcPr>
            <w:tcW w:w="1504" w:type="dxa"/>
          </w:tcPr>
          <w:p w14:paraId="23E9ABAB" w14:textId="77777777" w:rsidR="00346B81" w:rsidRPr="006250F4" w:rsidRDefault="00346B81" w:rsidP="00EF0C44">
            <w:pPr>
              <w:jc w:val="center"/>
              <w:rPr>
                <w:rFonts w:ascii="Arial" w:hAnsi="Arial" w:cs="Arial"/>
              </w:rPr>
            </w:pPr>
            <w:r w:rsidRPr="006250F4">
              <w:rPr>
                <w:rFonts w:ascii="Arial" w:hAnsi="Arial" w:cs="Arial"/>
                <w:sz w:val="19"/>
              </w:rPr>
              <w:t>6.8%</w:t>
            </w:r>
          </w:p>
        </w:tc>
        <w:tc>
          <w:tcPr>
            <w:tcW w:w="1504" w:type="dxa"/>
          </w:tcPr>
          <w:p w14:paraId="566B80C2" w14:textId="77777777" w:rsidR="00346B81" w:rsidRPr="006250F4" w:rsidRDefault="00346B81" w:rsidP="00EF0C44">
            <w:pPr>
              <w:jc w:val="center"/>
              <w:rPr>
                <w:rFonts w:ascii="Arial" w:hAnsi="Arial" w:cs="Arial"/>
              </w:rPr>
            </w:pPr>
            <w:r w:rsidRPr="006250F4">
              <w:rPr>
                <w:rFonts w:ascii="Arial" w:hAnsi="Arial" w:cs="Arial"/>
                <w:sz w:val="19"/>
              </w:rPr>
              <w:t>8.9%</w:t>
            </w:r>
          </w:p>
        </w:tc>
        <w:tc>
          <w:tcPr>
            <w:tcW w:w="1504" w:type="dxa"/>
          </w:tcPr>
          <w:p w14:paraId="753770CF" w14:textId="77777777" w:rsidR="00346B81" w:rsidRPr="006250F4" w:rsidRDefault="00346B81" w:rsidP="00EF0C44">
            <w:pPr>
              <w:jc w:val="center"/>
              <w:rPr>
                <w:rFonts w:ascii="Arial" w:hAnsi="Arial" w:cs="Arial"/>
              </w:rPr>
            </w:pPr>
            <w:r w:rsidRPr="006250F4">
              <w:rPr>
                <w:rFonts w:ascii="Arial" w:hAnsi="Arial" w:cs="Arial"/>
                <w:sz w:val="19"/>
              </w:rPr>
              <w:t>7.6%</w:t>
            </w:r>
          </w:p>
        </w:tc>
      </w:tr>
      <w:tr w:rsidR="00346B81" w:rsidRPr="006250F4" w14:paraId="54C8DA73" w14:textId="77777777" w:rsidTr="00EF0C44">
        <w:trPr>
          <w:jc w:val="center"/>
        </w:trPr>
        <w:tc>
          <w:tcPr>
            <w:tcW w:w="1504" w:type="dxa"/>
          </w:tcPr>
          <w:p w14:paraId="07403711" w14:textId="77777777" w:rsidR="00346B81" w:rsidRPr="006250F4" w:rsidRDefault="00346B81" w:rsidP="00EF0C44">
            <w:pPr>
              <w:rPr>
                <w:rFonts w:ascii="Arial" w:hAnsi="Arial" w:cs="Arial"/>
              </w:rPr>
            </w:pPr>
            <w:r w:rsidRPr="006250F4">
              <w:rPr>
                <w:rFonts w:ascii="Arial" w:hAnsi="Arial" w:cs="Arial"/>
                <w:sz w:val="19"/>
              </w:rPr>
              <w:t>Return on Assets (ROA)</w:t>
            </w:r>
          </w:p>
        </w:tc>
        <w:tc>
          <w:tcPr>
            <w:tcW w:w="1504" w:type="dxa"/>
          </w:tcPr>
          <w:p w14:paraId="458D2D2A" w14:textId="77777777" w:rsidR="00346B81" w:rsidRPr="006250F4" w:rsidRDefault="00346B81" w:rsidP="00EF0C44">
            <w:pPr>
              <w:jc w:val="center"/>
              <w:rPr>
                <w:rFonts w:ascii="Arial" w:hAnsi="Arial" w:cs="Arial"/>
              </w:rPr>
            </w:pPr>
            <w:r w:rsidRPr="006250F4">
              <w:rPr>
                <w:rFonts w:ascii="Arial" w:hAnsi="Arial" w:cs="Arial"/>
                <w:sz w:val="19"/>
              </w:rPr>
              <w:t>-10.3%</w:t>
            </w:r>
          </w:p>
        </w:tc>
        <w:tc>
          <w:tcPr>
            <w:tcW w:w="1504" w:type="dxa"/>
          </w:tcPr>
          <w:p w14:paraId="540A819E" w14:textId="77777777" w:rsidR="00346B81" w:rsidRPr="006250F4" w:rsidRDefault="00346B81" w:rsidP="00EF0C44">
            <w:pPr>
              <w:jc w:val="center"/>
              <w:rPr>
                <w:rFonts w:ascii="Arial" w:hAnsi="Arial" w:cs="Arial"/>
              </w:rPr>
            </w:pPr>
            <w:r w:rsidRPr="006250F4">
              <w:rPr>
                <w:rFonts w:ascii="Arial" w:hAnsi="Arial" w:cs="Arial"/>
                <w:sz w:val="19"/>
              </w:rPr>
              <w:t>0.4%</w:t>
            </w:r>
          </w:p>
        </w:tc>
        <w:tc>
          <w:tcPr>
            <w:tcW w:w="1504" w:type="dxa"/>
          </w:tcPr>
          <w:p w14:paraId="321B70AD" w14:textId="77777777" w:rsidR="00346B81" w:rsidRPr="006250F4" w:rsidRDefault="00346B81" w:rsidP="00EF0C44">
            <w:pPr>
              <w:jc w:val="center"/>
              <w:rPr>
                <w:rFonts w:ascii="Arial" w:hAnsi="Arial" w:cs="Arial"/>
              </w:rPr>
            </w:pPr>
            <w:r w:rsidRPr="006250F4">
              <w:rPr>
                <w:rFonts w:ascii="Arial" w:hAnsi="Arial" w:cs="Arial"/>
                <w:sz w:val="19"/>
              </w:rPr>
              <w:t>2.8%</w:t>
            </w:r>
          </w:p>
        </w:tc>
        <w:tc>
          <w:tcPr>
            <w:tcW w:w="1504" w:type="dxa"/>
          </w:tcPr>
          <w:p w14:paraId="61BE745D" w14:textId="77777777" w:rsidR="00346B81" w:rsidRPr="006250F4" w:rsidRDefault="00346B81" w:rsidP="00EF0C44">
            <w:pPr>
              <w:jc w:val="center"/>
              <w:rPr>
                <w:rFonts w:ascii="Arial" w:hAnsi="Arial" w:cs="Arial"/>
              </w:rPr>
            </w:pPr>
            <w:r w:rsidRPr="006250F4">
              <w:rPr>
                <w:rFonts w:ascii="Arial" w:hAnsi="Arial" w:cs="Arial"/>
                <w:sz w:val="19"/>
              </w:rPr>
              <w:t>3.3%</w:t>
            </w:r>
          </w:p>
        </w:tc>
        <w:tc>
          <w:tcPr>
            <w:tcW w:w="1504" w:type="dxa"/>
          </w:tcPr>
          <w:p w14:paraId="6282F39E" w14:textId="77777777" w:rsidR="00346B81" w:rsidRPr="006250F4" w:rsidRDefault="00346B81" w:rsidP="00EF0C44">
            <w:pPr>
              <w:jc w:val="center"/>
              <w:rPr>
                <w:rFonts w:ascii="Arial" w:hAnsi="Arial" w:cs="Arial"/>
              </w:rPr>
            </w:pPr>
            <w:r w:rsidRPr="006250F4">
              <w:rPr>
                <w:rFonts w:ascii="Arial" w:hAnsi="Arial" w:cs="Arial"/>
                <w:sz w:val="19"/>
              </w:rPr>
              <w:t>2.6%</w:t>
            </w:r>
          </w:p>
        </w:tc>
      </w:tr>
      <w:tr w:rsidR="00346B81" w:rsidRPr="006250F4" w14:paraId="77DB15D1" w14:textId="77777777" w:rsidTr="00EF0C44">
        <w:trPr>
          <w:jc w:val="center"/>
        </w:trPr>
        <w:tc>
          <w:tcPr>
            <w:tcW w:w="1504" w:type="dxa"/>
          </w:tcPr>
          <w:p w14:paraId="387156C1" w14:textId="77777777" w:rsidR="00346B81" w:rsidRPr="006250F4" w:rsidRDefault="00346B81" w:rsidP="00EF0C44">
            <w:pPr>
              <w:rPr>
                <w:rFonts w:ascii="Arial" w:hAnsi="Arial" w:cs="Arial"/>
              </w:rPr>
            </w:pPr>
            <w:r w:rsidRPr="006250F4">
              <w:rPr>
                <w:rFonts w:ascii="Arial" w:hAnsi="Arial" w:cs="Arial"/>
                <w:sz w:val="19"/>
              </w:rPr>
              <w:t>Price / Earnings (P/E) Ratio (x)</w:t>
            </w:r>
          </w:p>
        </w:tc>
        <w:tc>
          <w:tcPr>
            <w:tcW w:w="1504" w:type="dxa"/>
          </w:tcPr>
          <w:p w14:paraId="6F19EFF2" w14:textId="77777777" w:rsidR="00346B81" w:rsidRPr="006250F4" w:rsidRDefault="00346B81" w:rsidP="00EF0C44">
            <w:pPr>
              <w:jc w:val="center"/>
              <w:rPr>
                <w:rFonts w:ascii="Arial" w:hAnsi="Arial" w:cs="Arial"/>
              </w:rPr>
            </w:pPr>
            <w:r w:rsidRPr="006250F4">
              <w:rPr>
                <w:rFonts w:ascii="Arial" w:hAnsi="Arial" w:cs="Arial"/>
                <w:sz w:val="19"/>
              </w:rPr>
              <w:t>-7.05</w:t>
            </w:r>
          </w:p>
        </w:tc>
        <w:tc>
          <w:tcPr>
            <w:tcW w:w="1504" w:type="dxa"/>
          </w:tcPr>
          <w:p w14:paraId="5116FBD7" w14:textId="77777777" w:rsidR="00346B81" w:rsidRPr="006250F4" w:rsidRDefault="00346B81" w:rsidP="00EF0C44">
            <w:pPr>
              <w:jc w:val="center"/>
              <w:rPr>
                <w:rFonts w:ascii="Arial" w:hAnsi="Arial" w:cs="Arial"/>
              </w:rPr>
            </w:pPr>
            <w:r w:rsidRPr="006250F4">
              <w:rPr>
                <w:rFonts w:ascii="Arial" w:hAnsi="Arial" w:cs="Arial"/>
                <w:sz w:val="19"/>
              </w:rPr>
              <w:t>138.58</w:t>
            </w:r>
          </w:p>
        </w:tc>
        <w:tc>
          <w:tcPr>
            <w:tcW w:w="1504" w:type="dxa"/>
          </w:tcPr>
          <w:p w14:paraId="79C85AB7" w14:textId="77777777" w:rsidR="00346B81" w:rsidRPr="006250F4" w:rsidRDefault="00346B81" w:rsidP="00EF0C44">
            <w:pPr>
              <w:jc w:val="center"/>
              <w:rPr>
                <w:rFonts w:ascii="Arial" w:hAnsi="Arial" w:cs="Arial"/>
              </w:rPr>
            </w:pPr>
            <w:r w:rsidRPr="006250F4">
              <w:rPr>
                <w:rFonts w:ascii="Arial" w:hAnsi="Arial" w:cs="Arial"/>
                <w:sz w:val="19"/>
              </w:rPr>
              <w:t>22.32</w:t>
            </w:r>
          </w:p>
        </w:tc>
        <w:tc>
          <w:tcPr>
            <w:tcW w:w="1504" w:type="dxa"/>
          </w:tcPr>
          <w:p w14:paraId="164D291A" w14:textId="77777777" w:rsidR="00346B81" w:rsidRPr="006250F4" w:rsidRDefault="00346B81" w:rsidP="00EF0C44">
            <w:pPr>
              <w:jc w:val="center"/>
              <w:rPr>
                <w:rFonts w:ascii="Arial" w:hAnsi="Arial" w:cs="Arial"/>
              </w:rPr>
            </w:pPr>
            <w:r w:rsidRPr="006250F4">
              <w:rPr>
                <w:rFonts w:ascii="Arial" w:hAnsi="Arial" w:cs="Arial"/>
                <w:sz w:val="19"/>
              </w:rPr>
              <w:t>20.52</w:t>
            </w:r>
          </w:p>
        </w:tc>
        <w:tc>
          <w:tcPr>
            <w:tcW w:w="1504" w:type="dxa"/>
          </w:tcPr>
          <w:p w14:paraId="292E7F6C" w14:textId="77777777" w:rsidR="00346B81" w:rsidRPr="006250F4" w:rsidRDefault="00346B81" w:rsidP="00EF0C44">
            <w:pPr>
              <w:jc w:val="center"/>
              <w:rPr>
                <w:rFonts w:ascii="Arial" w:hAnsi="Arial" w:cs="Arial"/>
              </w:rPr>
            </w:pPr>
            <w:r w:rsidRPr="006250F4">
              <w:rPr>
                <w:rFonts w:ascii="Arial" w:hAnsi="Arial" w:cs="Arial"/>
                <w:sz w:val="19"/>
              </w:rPr>
              <w:t>18.90</w:t>
            </w:r>
          </w:p>
        </w:tc>
      </w:tr>
    </w:tbl>
    <w:p w14:paraId="2AE0ECFC" w14:textId="77777777" w:rsidR="00346B81" w:rsidRPr="006250F4" w:rsidRDefault="00346B81" w:rsidP="00346B81">
      <w:pPr>
        <w:rPr>
          <w:rFonts w:ascii="Arial" w:hAnsi="Arial" w:cs="Arial"/>
        </w:rPr>
      </w:pPr>
    </w:p>
    <w:p w14:paraId="7C7A8D69" w14:textId="77777777" w:rsidR="00346B81" w:rsidRPr="006250F4" w:rsidRDefault="00346B81" w:rsidP="00346B81">
      <w:pPr>
        <w:pStyle w:val="Heading3"/>
        <w:rPr>
          <w:rFonts w:ascii="Arial" w:hAnsi="Arial" w:cs="Arial"/>
        </w:rPr>
      </w:pPr>
      <w:bookmarkStart w:id="36" w:name="_Toc237493812"/>
      <w:r w:rsidRPr="006250F4">
        <w:rPr>
          <w:rFonts w:ascii="Arial" w:hAnsi="Arial" w:cs="Arial"/>
        </w:rPr>
        <w:t>A.6 Cash Flow Ratios</w:t>
      </w:r>
      <w:bookmarkEnd w:id="36"/>
    </w:p>
    <w:p w14:paraId="0CA9D4DB" w14:textId="72B26765"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10</w:t>
      </w:r>
      <w:r w:rsidR="006547C1">
        <w:rPr>
          <w:noProof/>
        </w:rPr>
        <w:fldChar w:fldCharType="end"/>
      </w:r>
      <w:r w:rsidRPr="00490EFD">
        <w:rPr>
          <w:lang w:val="en-US"/>
        </w:rPr>
        <w:t>. Whitbread PLC Cash Flow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3F9360A7" w14:textId="77777777" w:rsidTr="00EF0C44">
        <w:trPr>
          <w:jc w:val="center"/>
        </w:trPr>
        <w:tc>
          <w:tcPr>
            <w:tcW w:w="1504" w:type="dxa"/>
            <w:shd w:val="clear" w:color="auto" w:fill="1F4E79"/>
          </w:tcPr>
          <w:p w14:paraId="048FDDF9"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1E43516E"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1797B6BD"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324A38F8"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6478406F"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744CC0F5"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65CC46DB" w14:textId="77777777" w:rsidTr="00EF0C44">
        <w:trPr>
          <w:jc w:val="center"/>
        </w:trPr>
        <w:tc>
          <w:tcPr>
            <w:tcW w:w="1504" w:type="dxa"/>
          </w:tcPr>
          <w:p w14:paraId="13EFC501" w14:textId="77777777" w:rsidR="00346B81" w:rsidRPr="006250F4" w:rsidRDefault="00346B81" w:rsidP="00EF0C44">
            <w:pPr>
              <w:rPr>
                <w:rFonts w:ascii="Arial" w:hAnsi="Arial" w:cs="Arial"/>
              </w:rPr>
            </w:pPr>
            <w:r w:rsidRPr="006250F4">
              <w:rPr>
                <w:rFonts w:ascii="Arial" w:hAnsi="Arial" w:cs="Arial"/>
                <w:sz w:val="19"/>
              </w:rPr>
              <w:t>Operating Cash Flow Ratio (x)</w:t>
            </w:r>
          </w:p>
        </w:tc>
        <w:tc>
          <w:tcPr>
            <w:tcW w:w="1504" w:type="dxa"/>
          </w:tcPr>
          <w:p w14:paraId="70658523" w14:textId="77777777" w:rsidR="00346B81" w:rsidRPr="006250F4" w:rsidRDefault="00346B81" w:rsidP="00EF0C44">
            <w:pPr>
              <w:jc w:val="center"/>
              <w:rPr>
                <w:rFonts w:ascii="Arial" w:hAnsi="Arial" w:cs="Arial"/>
              </w:rPr>
            </w:pPr>
            <w:r w:rsidRPr="006250F4">
              <w:rPr>
                <w:rFonts w:ascii="Arial" w:hAnsi="Arial" w:cs="Arial"/>
                <w:sz w:val="19"/>
              </w:rPr>
              <w:t>-0.50</w:t>
            </w:r>
          </w:p>
        </w:tc>
        <w:tc>
          <w:tcPr>
            <w:tcW w:w="1504" w:type="dxa"/>
          </w:tcPr>
          <w:p w14:paraId="01B17E63" w14:textId="77777777" w:rsidR="00346B81" w:rsidRPr="006250F4" w:rsidRDefault="00346B81" w:rsidP="00EF0C44">
            <w:pPr>
              <w:jc w:val="center"/>
              <w:rPr>
                <w:rFonts w:ascii="Arial" w:hAnsi="Arial" w:cs="Arial"/>
              </w:rPr>
            </w:pPr>
            <w:r w:rsidRPr="006250F4">
              <w:rPr>
                <w:rFonts w:ascii="Arial" w:hAnsi="Arial" w:cs="Arial"/>
                <w:sz w:val="19"/>
              </w:rPr>
              <w:t>0.71</w:t>
            </w:r>
          </w:p>
        </w:tc>
        <w:tc>
          <w:tcPr>
            <w:tcW w:w="1504" w:type="dxa"/>
          </w:tcPr>
          <w:p w14:paraId="114A5A62" w14:textId="77777777" w:rsidR="00346B81" w:rsidRPr="006250F4" w:rsidRDefault="00346B81" w:rsidP="00EF0C44">
            <w:pPr>
              <w:jc w:val="center"/>
              <w:rPr>
                <w:rFonts w:ascii="Arial" w:hAnsi="Arial" w:cs="Arial"/>
              </w:rPr>
            </w:pPr>
            <w:r w:rsidRPr="006250F4">
              <w:rPr>
                <w:rFonts w:ascii="Arial" w:hAnsi="Arial" w:cs="Arial"/>
                <w:sz w:val="19"/>
              </w:rPr>
              <w:t>0.95</w:t>
            </w:r>
          </w:p>
        </w:tc>
        <w:tc>
          <w:tcPr>
            <w:tcW w:w="1504" w:type="dxa"/>
          </w:tcPr>
          <w:p w14:paraId="6C7A20D7" w14:textId="77777777" w:rsidR="00346B81" w:rsidRPr="006250F4" w:rsidRDefault="00346B81" w:rsidP="00EF0C44">
            <w:pPr>
              <w:jc w:val="center"/>
              <w:rPr>
                <w:rFonts w:ascii="Arial" w:hAnsi="Arial" w:cs="Arial"/>
              </w:rPr>
            </w:pPr>
            <w:r w:rsidRPr="006250F4">
              <w:rPr>
                <w:rFonts w:ascii="Arial" w:hAnsi="Arial" w:cs="Arial"/>
                <w:sz w:val="19"/>
              </w:rPr>
              <w:t>1.01</w:t>
            </w:r>
          </w:p>
        </w:tc>
        <w:tc>
          <w:tcPr>
            <w:tcW w:w="1504" w:type="dxa"/>
          </w:tcPr>
          <w:p w14:paraId="244AD4A3" w14:textId="77777777" w:rsidR="00346B81" w:rsidRPr="006250F4" w:rsidRDefault="00346B81" w:rsidP="00EF0C44">
            <w:pPr>
              <w:jc w:val="center"/>
              <w:rPr>
                <w:rFonts w:ascii="Arial" w:hAnsi="Arial" w:cs="Arial"/>
              </w:rPr>
            </w:pPr>
            <w:r w:rsidRPr="006250F4">
              <w:rPr>
                <w:rFonts w:ascii="Arial" w:hAnsi="Arial" w:cs="Arial"/>
                <w:sz w:val="19"/>
              </w:rPr>
              <w:t>0.58</w:t>
            </w:r>
          </w:p>
        </w:tc>
      </w:tr>
      <w:tr w:rsidR="00346B81" w:rsidRPr="006250F4" w14:paraId="186DD3DD" w14:textId="77777777" w:rsidTr="00EF0C44">
        <w:trPr>
          <w:jc w:val="center"/>
        </w:trPr>
        <w:tc>
          <w:tcPr>
            <w:tcW w:w="1504" w:type="dxa"/>
          </w:tcPr>
          <w:p w14:paraId="68C730FF" w14:textId="77777777" w:rsidR="00346B81" w:rsidRPr="006250F4" w:rsidRDefault="00346B81" w:rsidP="00EF0C44">
            <w:pPr>
              <w:rPr>
                <w:rFonts w:ascii="Arial" w:hAnsi="Arial" w:cs="Arial"/>
              </w:rPr>
            </w:pPr>
            <w:r w:rsidRPr="006250F4">
              <w:rPr>
                <w:rFonts w:ascii="Arial" w:hAnsi="Arial" w:cs="Arial"/>
                <w:sz w:val="19"/>
              </w:rPr>
              <w:t>Free Cash Flow Margin</w:t>
            </w:r>
          </w:p>
        </w:tc>
        <w:tc>
          <w:tcPr>
            <w:tcW w:w="1504" w:type="dxa"/>
          </w:tcPr>
          <w:p w14:paraId="3CAFA6FD" w14:textId="77777777" w:rsidR="00346B81" w:rsidRPr="006250F4" w:rsidRDefault="00346B81" w:rsidP="00EF0C44">
            <w:pPr>
              <w:jc w:val="center"/>
              <w:rPr>
                <w:rFonts w:ascii="Arial" w:hAnsi="Arial" w:cs="Arial"/>
              </w:rPr>
            </w:pPr>
            <w:r w:rsidRPr="006250F4">
              <w:rPr>
                <w:rFonts w:ascii="Arial" w:hAnsi="Arial" w:cs="Arial"/>
                <w:sz w:val="19"/>
              </w:rPr>
              <w:t>-103.2%</w:t>
            </w:r>
          </w:p>
        </w:tc>
        <w:tc>
          <w:tcPr>
            <w:tcW w:w="1504" w:type="dxa"/>
          </w:tcPr>
          <w:p w14:paraId="39A61785" w14:textId="77777777" w:rsidR="00346B81" w:rsidRPr="006250F4" w:rsidRDefault="00346B81" w:rsidP="00EF0C44">
            <w:pPr>
              <w:jc w:val="center"/>
              <w:rPr>
                <w:rFonts w:ascii="Arial" w:hAnsi="Arial" w:cs="Arial"/>
              </w:rPr>
            </w:pPr>
            <w:r w:rsidRPr="006250F4">
              <w:rPr>
                <w:rFonts w:ascii="Arial" w:hAnsi="Arial" w:cs="Arial"/>
                <w:sz w:val="19"/>
              </w:rPr>
              <w:t>18.1%</w:t>
            </w:r>
          </w:p>
        </w:tc>
        <w:tc>
          <w:tcPr>
            <w:tcW w:w="1504" w:type="dxa"/>
          </w:tcPr>
          <w:p w14:paraId="33E11A77" w14:textId="77777777" w:rsidR="00346B81" w:rsidRPr="006250F4" w:rsidRDefault="00346B81" w:rsidP="00EF0C44">
            <w:pPr>
              <w:jc w:val="center"/>
              <w:rPr>
                <w:rFonts w:ascii="Arial" w:hAnsi="Arial" w:cs="Arial"/>
              </w:rPr>
            </w:pPr>
            <w:r w:rsidRPr="006250F4">
              <w:rPr>
                <w:rFonts w:ascii="Arial" w:hAnsi="Arial" w:cs="Arial"/>
                <w:sz w:val="19"/>
              </w:rPr>
              <w:t>12.1%</w:t>
            </w:r>
          </w:p>
        </w:tc>
        <w:tc>
          <w:tcPr>
            <w:tcW w:w="1504" w:type="dxa"/>
          </w:tcPr>
          <w:p w14:paraId="5DC11634" w14:textId="77777777" w:rsidR="00346B81" w:rsidRPr="006250F4" w:rsidRDefault="00346B81" w:rsidP="00EF0C44">
            <w:pPr>
              <w:jc w:val="center"/>
              <w:rPr>
                <w:rFonts w:ascii="Arial" w:hAnsi="Arial" w:cs="Arial"/>
              </w:rPr>
            </w:pPr>
            <w:r w:rsidRPr="006250F4">
              <w:rPr>
                <w:rFonts w:ascii="Arial" w:hAnsi="Arial" w:cs="Arial"/>
                <w:sz w:val="19"/>
              </w:rPr>
              <w:t>13.4%</w:t>
            </w:r>
          </w:p>
        </w:tc>
        <w:tc>
          <w:tcPr>
            <w:tcW w:w="1504" w:type="dxa"/>
          </w:tcPr>
          <w:p w14:paraId="537DB3F6" w14:textId="77777777" w:rsidR="00346B81" w:rsidRPr="006250F4" w:rsidRDefault="00346B81" w:rsidP="00EF0C44">
            <w:pPr>
              <w:jc w:val="center"/>
              <w:rPr>
                <w:rFonts w:ascii="Arial" w:hAnsi="Arial" w:cs="Arial"/>
              </w:rPr>
            </w:pPr>
            <w:r w:rsidRPr="006250F4">
              <w:rPr>
                <w:rFonts w:ascii="Arial" w:hAnsi="Arial" w:cs="Arial"/>
                <w:sz w:val="19"/>
              </w:rPr>
              <w:t>9.7%</w:t>
            </w:r>
          </w:p>
        </w:tc>
      </w:tr>
    </w:tbl>
    <w:p w14:paraId="4865838D" w14:textId="77777777" w:rsidR="00346B81" w:rsidRDefault="00346B81" w:rsidP="00346B81">
      <w:pPr>
        <w:rPr>
          <w:rFonts w:ascii="Arial" w:hAnsi="Arial" w:cs="Arial"/>
        </w:rPr>
      </w:pPr>
    </w:p>
    <w:p w14:paraId="45ACD1AD" w14:textId="77777777" w:rsidR="00F21D04" w:rsidRDefault="00F21D04" w:rsidP="00346B81">
      <w:pPr>
        <w:rPr>
          <w:rFonts w:ascii="Arial" w:hAnsi="Arial" w:cs="Arial"/>
        </w:rPr>
      </w:pPr>
    </w:p>
    <w:p w14:paraId="1FEF5F4E" w14:textId="77777777" w:rsidR="00F21D04" w:rsidRPr="006250F4" w:rsidRDefault="00F21D04" w:rsidP="00346B81">
      <w:pPr>
        <w:rPr>
          <w:rFonts w:ascii="Arial" w:hAnsi="Arial" w:cs="Arial"/>
        </w:rPr>
      </w:pPr>
    </w:p>
    <w:p w14:paraId="4EE51357" w14:textId="77777777" w:rsidR="00346B81" w:rsidRPr="006250F4" w:rsidRDefault="00346B81" w:rsidP="00346B81">
      <w:pPr>
        <w:pStyle w:val="Heading3"/>
        <w:rPr>
          <w:rFonts w:ascii="Arial" w:hAnsi="Arial" w:cs="Arial"/>
        </w:rPr>
      </w:pPr>
      <w:bookmarkStart w:id="37" w:name="_Toc237493813"/>
      <w:r w:rsidRPr="006250F4">
        <w:rPr>
          <w:rFonts w:ascii="Arial" w:hAnsi="Arial" w:cs="Arial"/>
        </w:rPr>
        <w:t>A.7 Cash Conversion Cycle (Days)</w:t>
      </w:r>
      <w:bookmarkEnd w:id="37"/>
    </w:p>
    <w:p w14:paraId="5A3C2CB3" w14:textId="46393241"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11</w:t>
      </w:r>
      <w:r w:rsidR="006547C1">
        <w:rPr>
          <w:noProof/>
        </w:rPr>
        <w:fldChar w:fldCharType="end"/>
      </w:r>
      <w:r w:rsidRPr="00883306">
        <w:rPr>
          <w:lang w:val="en-US"/>
        </w:rPr>
        <w:t>. Whitbread PLC Cash Conversion Cycle Components, FY2021-FY2025 (Days).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1E171887" w14:textId="77777777" w:rsidTr="00EF0C44">
        <w:trPr>
          <w:jc w:val="center"/>
        </w:trPr>
        <w:tc>
          <w:tcPr>
            <w:tcW w:w="1504" w:type="dxa"/>
            <w:shd w:val="clear" w:color="auto" w:fill="1F4E79"/>
          </w:tcPr>
          <w:p w14:paraId="4523C054"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07963A8C"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2950D325"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1CC0F475"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316EE0F4"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05B8D02E"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7ABD6C9D" w14:textId="77777777" w:rsidTr="00EF0C44">
        <w:trPr>
          <w:jc w:val="center"/>
        </w:trPr>
        <w:tc>
          <w:tcPr>
            <w:tcW w:w="1504" w:type="dxa"/>
          </w:tcPr>
          <w:p w14:paraId="7714C623" w14:textId="77777777" w:rsidR="00346B81" w:rsidRPr="006250F4" w:rsidRDefault="00346B81" w:rsidP="00EF0C44">
            <w:pPr>
              <w:rPr>
                <w:rFonts w:ascii="Arial" w:hAnsi="Arial" w:cs="Arial"/>
              </w:rPr>
            </w:pPr>
            <w:r w:rsidRPr="006250F4">
              <w:rPr>
                <w:rFonts w:ascii="Arial" w:hAnsi="Arial" w:cs="Arial"/>
                <w:sz w:val="19"/>
              </w:rPr>
              <w:t>Inventory Days</w:t>
            </w:r>
          </w:p>
        </w:tc>
        <w:tc>
          <w:tcPr>
            <w:tcW w:w="1504" w:type="dxa"/>
          </w:tcPr>
          <w:p w14:paraId="73021769" w14:textId="77777777" w:rsidR="00346B81" w:rsidRPr="006250F4" w:rsidRDefault="00346B81" w:rsidP="00EF0C44">
            <w:pPr>
              <w:jc w:val="center"/>
              <w:rPr>
                <w:rFonts w:ascii="Arial" w:hAnsi="Arial" w:cs="Arial"/>
              </w:rPr>
            </w:pPr>
            <w:r w:rsidRPr="006250F4">
              <w:rPr>
                <w:rFonts w:ascii="Arial" w:hAnsi="Arial" w:cs="Arial"/>
                <w:sz w:val="19"/>
              </w:rPr>
              <w:t>2.79</w:t>
            </w:r>
          </w:p>
        </w:tc>
        <w:tc>
          <w:tcPr>
            <w:tcW w:w="1504" w:type="dxa"/>
          </w:tcPr>
          <w:p w14:paraId="32490A29" w14:textId="77777777" w:rsidR="00346B81" w:rsidRPr="006250F4" w:rsidRDefault="00346B81" w:rsidP="00EF0C44">
            <w:pPr>
              <w:jc w:val="center"/>
              <w:rPr>
                <w:rFonts w:ascii="Arial" w:hAnsi="Arial" w:cs="Arial"/>
              </w:rPr>
            </w:pPr>
            <w:r w:rsidRPr="006250F4">
              <w:rPr>
                <w:rFonts w:ascii="Arial" w:hAnsi="Arial" w:cs="Arial"/>
                <w:sz w:val="19"/>
              </w:rPr>
              <w:t>4.41</w:t>
            </w:r>
          </w:p>
        </w:tc>
        <w:tc>
          <w:tcPr>
            <w:tcW w:w="1504" w:type="dxa"/>
          </w:tcPr>
          <w:p w14:paraId="371799D7" w14:textId="77777777" w:rsidR="00346B81" w:rsidRPr="006250F4" w:rsidRDefault="00346B81" w:rsidP="00EF0C44">
            <w:pPr>
              <w:jc w:val="center"/>
              <w:rPr>
                <w:rFonts w:ascii="Arial" w:hAnsi="Arial" w:cs="Arial"/>
              </w:rPr>
            </w:pPr>
            <w:r w:rsidRPr="006250F4">
              <w:rPr>
                <w:rFonts w:ascii="Arial" w:hAnsi="Arial" w:cs="Arial"/>
                <w:sz w:val="19"/>
              </w:rPr>
              <w:t>3.71</w:t>
            </w:r>
          </w:p>
        </w:tc>
        <w:tc>
          <w:tcPr>
            <w:tcW w:w="1504" w:type="dxa"/>
          </w:tcPr>
          <w:p w14:paraId="1F75A9DE" w14:textId="77777777" w:rsidR="00346B81" w:rsidRPr="006250F4" w:rsidRDefault="00346B81" w:rsidP="00EF0C44">
            <w:pPr>
              <w:jc w:val="center"/>
              <w:rPr>
                <w:rFonts w:ascii="Arial" w:hAnsi="Arial" w:cs="Arial"/>
              </w:rPr>
            </w:pPr>
            <w:r w:rsidRPr="006250F4">
              <w:rPr>
                <w:rFonts w:ascii="Arial" w:hAnsi="Arial" w:cs="Arial"/>
                <w:sz w:val="19"/>
              </w:rPr>
              <w:t>3.20</w:t>
            </w:r>
          </w:p>
        </w:tc>
        <w:tc>
          <w:tcPr>
            <w:tcW w:w="1504" w:type="dxa"/>
          </w:tcPr>
          <w:p w14:paraId="00027E8C" w14:textId="77777777" w:rsidR="00346B81" w:rsidRPr="006250F4" w:rsidRDefault="00346B81" w:rsidP="00EF0C44">
            <w:pPr>
              <w:jc w:val="center"/>
              <w:rPr>
                <w:rFonts w:ascii="Arial" w:hAnsi="Arial" w:cs="Arial"/>
              </w:rPr>
            </w:pPr>
            <w:r w:rsidRPr="006250F4">
              <w:rPr>
                <w:rFonts w:ascii="Arial" w:hAnsi="Arial" w:cs="Arial"/>
                <w:sz w:val="19"/>
              </w:rPr>
              <w:t>2.58</w:t>
            </w:r>
          </w:p>
        </w:tc>
      </w:tr>
      <w:tr w:rsidR="00346B81" w:rsidRPr="006250F4" w14:paraId="71F90912" w14:textId="77777777" w:rsidTr="00EF0C44">
        <w:trPr>
          <w:jc w:val="center"/>
        </w:trPr>
        <w:tc>
          <w:tcPr>
            <w:tcW w:w="1504" w:type="dxa"/>
          </w:tcPr>
          <w:p w14:paraId="4FFCC63C" w14:textId="77777777" w:rsidR="00346B81" w:rsidRPr="006250F4" w:rsidRDefault="00346B81" w:rsidP="00EF0C44">
            <w:pPr>
              <w:rPr>
                <w:rFonts w:ascii="Arial" w:hAnsi="Arial" w:cs="Arial"/>
              </w:rPr>
            </w:pPr>
            <w:r w:rsidRPr="006250F4">
              <w:rPr>
                <w:rFonts w:ascii="Arial" w:hAnsi="Arial" w:cs="Arial"/>
                <w:sz w:val="19"/>
              </w:rPr>
              <w:t>Receivable Days</w:t>
            </w:r>
          </w:p>
        </w:tc>
        <w:tc>
          <w:tcPr>
            <w:tcW w:w="1504" w:type="dxa"/>
          </w:tcPr>
          <w:p w14:paraId="2F4DD586" w14:textId="77777777" w:rsidR="00346B81" w:rsidRPr="006250F4" w:rsidRDefault="00346B81" w:rsidP="00EF0C44">
            <w:pPr>
              <w:jc w:val="center"/>
              <w:rPr>
                <w:rFonts w:ascii="Arial" w:hAnsi="Arial" w:cs="Arial"/>
              </w:rPr>
            </w:pPr>
            <w:r w:rsidRPr="006250F4">
              <w:rPr>
                <w:rFonts w:ascii="Arial" w:hAnsi="Arial" w:cs="Arial"/>
                <w:sz w:val="19"/>
              </w:rPr>
              <w:t>45.95</w:t>
            </w:r>
          </w:p>
        </w:tc>
        <w:tc>
          <w:tcPr>
            <w:tcW w:w="1504" w:type="dxa"/>
          </w:tcPr>
          <w:p w14:paraId="58053478" w14:textId="77777777" w:rsidR="00346B81" w:rsidRPr="006250F4" w:rsidRDefault="00346B81" w:rsidP="00EF0C44">
            <w:pPr>
              <w:jc w:val="center"/>
              <w:rPr>
                <w:rFonts w:ascii="Arial" w:hAnsi="Arial" w:cs="Arial"/>
              </w:rPr>
            </w:pPr>
            <w:r w:rsidRPr="006250F4">
              <w:rPr>
                <w:rFonts w:ascii="Arial" w:hAnsi="Arial" w:cs="Arial"/>
                <w:sz w:val="19"/>
              </w:rPr>
              <w:t>24.94</w:t>
            </w:r>
          </w:p>
        </w:tc>
        <w:tc>
          <w:tcPr>
            <w:tcW w:w="1504" w:type="dxa"/>
          </w:tcPr>
          <w:p w14:paraId="5ABAC1AC" w14:textId="77777777" w:rsidR="00346B81" w:rsidRPr="006250F4" w:rsidRDefault="00346B81" w:rsidP="00EF0C44">
            <w:pPr>
              <w:jc w:val="center"/>
              <w:rPr>
                <w:rFonts w:ascii="Arial" w:hAnsi="Arial" w:cs="Arial"/>
              </w:rPr>
            </w:pPr>
            <w:r w:rsidRPr="006250F4">
              <w:rPr>
                <w:rFonts w:ascii="Arial" w:hAnsi="Arial" w:cs="Arial"/>
                <w:sz w:val="19"/>
              </w:rPr>
              <w:t>19.72</w:t>
            </w:r>
          </w:p>
        </w:tc>
        <w:tc>
          <w:tcPr>
            <w:tcW w:w="1504" w:type="dxa"/>
          </w:tcPr>
          <w:p w14:paraId="49A4DAC5" w14:textId="77777777" w:rsidR="00346B81" w:rsidRPr="006250F4" w:rsidRDefault="00346B81" w:rsidP="00EF0C44">
            <w:pPr>
              <w:jc w:val="center"/>
              <w:rPr>
                <w:rFonts w:ascii="Arial" w:hAnsi="Arial" w:cs="Arial"/>
              </w:rPr>
            </w:pPr>
            <w:r w:rsidRPr="006250F4">
              <w:rPr>
                <w:rFonts w:ascii="Arial" w:hAnsi="Arial" w:cs="Arial"/>
                <w:sz w:val="19"/>
              </w:rPr>
              <w:t>14.71</w:t>
            </w:r>
          </w:p>
        </w:tc>
        <w:tc>
          <w:tcPr>
            <w:tcW w:w="1504" w:type="dxa"/>
          </w:tcPr>
          <w:p w14:paraId="54699800" w14:textId="77777777" w:rsidR="00346B81" w:rsidRPr="006250F4" w:rsidRDefault="00346B81" w:rsidP="00EF0C44">
            <w:pPr>
              <w:jc w:val="center"/>
              <w:rPr>
                <w:rFonts w:ascii="Arial" w:hAnsi="Arial" w:cs="Arial"/>
              </w:rPr>
            </w:pPr>
            <w:r w:rsidRPr="006250F4">
              <w:rPr>
                <w:rFonts w:ascii="Arial" w:hAnsi="Arial" w:cs="Arial"/>
                <w:sz w:val="19"/>
              </w:rPr>
              <w:t>15.88</w:t>
            </w:r>
          </w:p>
        </w:tc>
      </w:tr>
      <w:tr w:rsidR="00346B81" w:rsidRPr="006250F4" w14:paraId="6B3D0F50" w14:textId="77777777" w:rsidTr="00EF0C44">
        <w:trPr>
          <w:jc w:val="center"/>
        </w:trPr>
        <w:tc>
          <w:tcPr>
            <w:tcW w:w="1504" w:type="dxa"/>
          </w:tcPr>
          <w:p w14:paraId="79DDE5E8" w14:textId="77777777" w:rsidR="00346B81" w:rsidRPr="006250F4" w:rsidRDefault="00346B81" w:rsidP="00EF0C44">
            <w:pPr>
              <w:rPr>
                <w:rFonts w:ascii="Arial" w:hAnsi="Arial" w:cs="Arial"/>
              </w:rPr>
            </w:pPr>
            <w:r w:rsidRPr="006250F4">
              <w:rPr>
                <w:rFonts w:ascii="Arial" w:hAnsi="Arial" w:cs="Arial"/>
                <w:sz w:val="19"/>
              </w:rPr>
              <w:t>Payable Days</w:t>
            </w:r>
          </w:p>
        </w:tc>
        <w:tc>
          <w:tcPr>
            <w:tcW w:w="1504" w:type="dxa"/>
          </w:tcPr>
          <w:p w14:paraId="50C9E48D" w14:textId="77777777" w:rsidR="00346B81" w:rsidRPr="006250F4" w:rsidRDefault="00346B81" w:rsidP="00EF0C44">
            <w:pPr>
              <w:jc w:val="center"/>
              <w:rPr>
                <w:rFonts w:ascii="Arial" w:hAnsi="Arial" w:cs="Arial"/>
              </w:rPr>
            </w:pPr>
            <w:r w:rsidRPr="006250F4">
              <w:rPr>
                <w:rFonts w:ascii="Arial" w:hAnsi="Arial" w:cs="Arial"/>
                <w:sz w:val="19"/>
              </w:rPr>
              <w:t>72.97</w:t>
            </w:r>
          </w:p>
        </w:tc>
        <w:tc>
          <w:tcPr>
            <w:tcW w:w="1504" w:type="dxa"/>
          </w:tcPr>
          <w:p w14:paraId="6C51C505" w14:textId="77777777" w:rsidR="00346B81" w:rsidRPr="006250F4" w:rsidRDefault="00346B81" w:rsidP="00EF0C44">
            <w:pPr>
              <w:jc w:val="center"/>
              <w:rPr>
                <w:rFonts w:ascii="Arial" w:hAnsi="Arial" w:cs="Arial"/>
              </w:rPr>
            </w:pPr>
            <w:r w:rsidRPr="006250F4">
              <w:rPr>
                <w:rFonts w:ascii="Arial" w:hAnsi="Arial" w:cs="Arial"/>
                <w:sz w:val="19"/>
              </w:rPr>
              <w:t>129.72</w:t>
            </w:r>
          </w:p>
        </w:tc>
        <w:tc>
          <w:tcPr>
            <w:tcW w:w="1504" w:type="dxa"/>
          </w:tcPr>
          <w:p w14:paraId="18003BD1" w14:textId="77777777" w:rsidR="00346B81" w:rsidRPr="006250F4" w:rsidRDefault="00346B81" w:rsidP="00EF0C44">
            <w:pPr>
              <w:jc w:val="center"/>
              <w:rPr>
                <w:rFonts w:ascii="Arial" w:hAnsi="Arial" w:cs="Arial"/>
              </w:rPr>
            </w:pPr>
            <w:r w:rsidRPr="006250F4">
              <w:rPr>
                <w:rFonts w:ascii="Arial" w:hAnsi="Arial" w:cs="Arial"/>
                <w:sz w:val="19"/>
              </w:rPr>
              <w:t>115.76</w:t>
            </w:r>
          </w:p>
        </w:tc>
        <w:tc>
          <w:tcPr>
            <w:tcW w:w="1504" w:type="dxa"/>
          </w:tcPr>
          <w:p w14:paraId="5C038316" w14:textId="77777777" w:rsidR="00346B81" w:rsidRPr="006250F4" w:rsidRDefault="00346B81" w:rsidP="00EF0C44">
            <w:pPr>
              <w:jc w:val="center"/>
              <w:rPr>
                <w:rFonts w:ascii="Arial" w:hAnsi="Arial" w:cs="Arial"/>
              </w:rPr>
            </w:pPr>
            <w:r w:rsidRPr="006250F4">
              <w:rPr>
                <w:rFonts w:ascii="Arial" w:hAnsi="Arial" w:cs="Arial"/>
                <w:sz w:val="19"/>
              </w:rPr>
              <w:t>101.06</w:t>
            </w:r>
          </w:p>
        </w:tc>
        <w:tc>
          <w:tcPr>
            <w:tcW w:w="1504" w:type="dxa"/>
          </w:tcPr>
          <w:p w14:paraId="0DC8CBBF" w14:textId="77777777" w:rsidR="00346B81" w:rsidRPr="006250F4" w:rsidRDefault="00346B81" w:rsidP="00EF0C44">
            <w:pPr>
              <w:jc w:val="center"/>
              <w:rPr>
                <w:rFonts w:ascii="Arial" w:hAnsi="Arial" w:cs="Arial"/>
              </w:rPr>
            </w:pPr>
            <w:r w:rsidRPr="006250F4">
              <w:rPr>
                <w:rFonts w:ascii="Arial" w:hAnsi="Arial" w:cs="Arial"/>
                <w:sz w:val="19"/>
              </w:rPr>
              <w:t>99.67</w:t>
            </w:r>
          </w:p>
        </w:tc>
      </w:tr>
      <w:tr w:rsidR="00346B81" w:rsidRPr="006250F4" w14:paraId="59E0E026" w14:textId="77777777" w:rsidTr="00EF0C44">
        <w:trPr>
          <w:jc w:val="center"/>
        </w:trPr>
        <w:tc>
          <w:tcPr>
            <w:tcW w:w="1504" w:type="dxa"/>
          </w:tcPr>
          <w:p w14:paraId="2081615B" w14:textId="77777777" w:rsidR="00346B81" w:rsidRPr="006250F4" w:rsidRDefault="00346B81" w:rsidP="00EF0C44">
            <w:pPr>
              <w:rPr>
                <w:rFonts w:ascii="Arial" w:hAnsi="Arial" w:cs="Arial"/>
              </w:rPr>
            </w:pPr>
            <w:r w:rsidRPr="006250F4">
              <w:rPr>
                <w:rFonts w:ascii="Arial" w:hAnsi="Arial" w:cs="Arial"/>
                <w:sz w:val="19"/>
              </w:rPr>
              <w:t>Cash Conversion Cycle (CCC)</w:t>
            </w:r>
          </w:p>
        </w:tc>
        <w:tc>
          <w:tcPr>
            <w:tcW w:w="1504" w:type="dxa"/>
          </w:tcPr>
          <w:p w14:paraId="1E80AC1D" w14:textId="77777777" w:rsidR="00346B81" w:rsidRPr="006250F4" w:rsidRDefault="00346B81" w:rsidP="00EF0C44">
            <w:pPr>
              <w:jc w:val="center"/>
              <w:rPr>
                <w:rFonts w:ascii="Arial" w:hAnsi="Arial" w:cs="Arial"/>
              </w:rPr>
            </w:pPr>
            <w:r w:rsidRPr="006250F4">
              <w:rPr>
                <w:rFonts w:ascii="Arial" w:hAnsi="Arial" w:cs="Arial"/>
                <w:sz w:val="19"/>
              </w:rPr>
              <w:t>-24.23</w:t>
            </w:r>
          </w:p>
        </w:tc>
        <w:tc>
          <w:tcPr>
            <w:tcW w:w="1504" w:type="dxa"/>
          </w:tcPr>
          <w:p w14:paraId="49579606" w14:textId="77777777" w:rsidR="00346B81" w:rsidRPr="006250F4" w:rsidRDefault="00346B81" w:rsidP="00EF0C44">
            <w:pPr>
              <w:jc w:val="center"/>
              <w:rPr>
                <w:rFonts w:ascii="Arial" w:hAnsi="Arial" w:cs="Arial"/>
              </w:rPr>
            </w:pPr>
            <w:r w:rsidRPr="006250F4">
              <w:rPr>
                <w:rFonts w:ascii="Arial" w:hAnsi="Arial" w:cs="Arial"/>
                <w:sz w:val="19"/>
              </w:rPr>
              <w:t>-100.37</w:t>
            </w:r>
          </w:p>
        </w:tc>
        <w:tc>
          <w:tcPr>
            <w:tcW w:w="1504" w:type="dxa"/>
          </w:tcPr>
          <w:p w14:paraId="40233494" w14:textId="77777777" w:rsidR="00346B81" w:rsidRPr="006250F4" w:rsidRDefault="00346B81" w:rsidP="00EF0C44">
            <w:pPr>
              <w:jc w:val="center"/>
              <w:rPr>
                <w:rFonts w:ascii="Arial" w:hAnsi="Arial" w:cs="Arial"/>
              </w:rPr>
            </w:pPr>
            <w:r w:rsidRPr="006250F4">
              <w:rPr>
                <w:rFonts w:ascii="Arial" w:hAnsi="Arial" w:cs="Arial"/>
                <w:sz w:val="19"/>
              </w:rPr>
              <w:t>-92.33</w:t>
            </w:r>
          </w:p>
        </w:tc>
        <w:tc>
          <w:tcPr>
            <w:tcW w:w="1504" w:type="dxa"/>
          </w:tcPr>
          <w:p w14:paraId="21A4E7C9" w14:textId="77777777" w:rsidR="00346B81" w:rsidRPr="006250F4" w:rsidRDefault="00346B81" w:rsidP="00EF0C44">
            <w:pPr>
              <w:jc w:val="center"/>
              <w:rPr>
                <w:rFonts w:ascii="Arial" w:hAnsi="Arial" w:cs="Arial"/>
              </w:rPr>
            </w:pPr>
            <w:r w:rsidRPr="006250F4">
              <w:rPr>
                <w:rFonts w:ascii="Arial" w:hAnsi="Arial" w:cs="Arial"/>
                <w:sz w:val="19"/>
              </w:rPr>
              <w:t>-83.15</w:t>
            </w:r>
          </w:p>
        </w:tc>
        <w:tc>
          <w:tcPr>
            <w:tcW w:w="1504" w:type="dxa"/>
          </w:tcPr>
          <w:p w14:paraId="4E5CD193" w14:textId="77777777" w:rsidR="00346B81" w:rsidRPr="006250F4" w:rsidRDefault="00346B81" w:rsidP="00EF0C44">
            <w:pPr>
              <w:jc w:val="center"/>
              <w:rPr>
                <w:rFonts w:ascii="Arial" w:hAnsi="Arial" w:cs="Arial"/>
              </w:rPr>
            </w:pPr>
            <w:r w:rsidRPr="006250F4">
              <w:rPr>
                <w:rFonts w:ascii="Arial" w:hAnsi="Arial" w:cs="Arial"/>
                <w:sz w:val="19"/>
              </w:rPr>
              <w:t>-81.21</w:t>
            </w:r>
          </w:p>
        </w:tc>
      </w:tr>
    </w:tbl>
    <w:p w14:paraId="2303F34A" w14:textId="77777777" w:rsidR="00346B81" w:rsidRPr="006250F4" w:rsidRDefault="00346B81" w:rsidP="00346B81">
      <w:pPr>
        <w:rPr>
          <w:rFonts w:ascii="Arial" w:hAnsi="Arial" w:cs="Arial"/>
        </w:rPr>
      </w:pPr>
    </w:p>
    <w:p w14:paraId="7DE12F20" w14:textId="77777777" w:rsidR="00346B81" w:rsidRPr="006250F4" w:rsidRDefault="00346B81" w:rsidP="00346B81">
      <w:pPr>
        <w:pStyle w:val="Heading3"/>
        <w:rPr>
          <w:rFonts w:ascii="Arial" w:hAnsi="Arial" w:cs="Arial"/>
        </w:rPr>
      </w:pPr>
      <w:bookmarkStart w:id="38" w:name="_Toc237493814"/>
      <w:r w:rsidRPr="006250F4">
        <w:rPr>
          <w:rFonts w:ascii="Arial" w:hAnsi="Arial" w:cs="Arial"/>
        </w:rPr>
        <w:t>A.8 Liquidity vs. Industry Benchmarks (FY2025)</w:t>
      </w:r>
      <w:bookmarkEnd w:id="38"/>
    </w:p>
    <w:p w14:paraId="4E5B9F1E" w14:textId="16621601"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12</w:t>
      </w:r>
      <w:r w:rsidR="006547C1">
        <w:rPr>
          <w:noProof/>
        </w:rPr>
        <w:fldChar w:fldCharType="end"/>
      </w:r>
      <w:r w:rsidRPr="00E05781">
        <w:rPr>
          <w:lang w:val="en-US"/>
        </w:rPr>
        <w:t>. Whitbread PLC Liquidity Ratios vs. Industry Benchmarks, FY2025. Source: GuruFocus (2025); MLQ.ai (2026); StockAnalysis.com (2025).</w:t>
      </w:r>
    </w:p>
    <w:tbl>
      <w:tblPr>
        <w:tblStyle w:val="TableGrid"/>
        <w:tblW w:w="0" w:type="auto"/>
        <w:jc w:val="center"/>
        <w:tblLook w:val="04A0" w:firstRow="1" w:lastRow="0" w:firstColumn="1" w:lastColumn="0" w:noHBand="0" w:noVBand="1"/>
      </w:tblPr>
      <w:tblGrid>
        <w:gridCol w:w="1803"/>
        <w:gridCol w:w="1804"/>
        <w:gridCol w:w="1803"/>
        <w:gridCol w:w="1803"/>
        <w:gridCol w:w="1803"/>
      </w:tblGrid>
      <w:tr w:rsidR="00346B81" w:rsidRPr="006250F4" w14:paraId="2C4FE055" w14:textId="77777777" w:rsidTr="00F21D04">
        <w:trPr>
          <w:jc w:val="center"/>
        </w:trPr>
        <w:tc>
          <w:tcPr>
            <w:tcW w:w="1803" w:type="dxa"/>
            <w:shd w:val="clear" w:color="auto" w:fill="1F4E79"/>
          </w:tcPr>
          <w:p w14:paraId="42D9E9FE"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804" w:type="dxa"/>
            <w:shd w:val="clear" w:color="auto" w:fill="1F4E79"/>
          </w:tcPr>
          <w:p w14:paraId="3CF2896B" w14:textId="77777777" w:rsidR="00346B81" w:rsidRPr="006250F4" w:rsidRDefault="00346B81" w:rsidP="00EF0C44">
            <w:pPr>
              <w:jc w:val="center"/>
              <w:rPr>
                <w:rFonts w:ascii="Arial" w:hAnsi="Arial" w:cs="Arial"/>
              </w:rPr>
            </w:pPr>
            <w:r w:rsidRPr="006250F4">
              <w:rPr>
                <w:rFonts w:ascii="Arial" w:hAnsi="Arial" w:cs="Arial"/>
                <w:b/>
                <w:color w:val="FFFFFF"/>
                <w:sz w:val="20"/>
              </w:rPr>
              <w:t>Whitbread PLC</w:t>
            </w:r>
          </w:p>
        </w:tc>
        <w:tc>
          <w:tcPr>
            <w:tcW w:w="1803" w:type="dxa"/>
            <w:shd w:val="clear" w:color="auto" w:fill="1F4E79"/>
          </w:tcPr>
          <w:p w14:paraId="3F8EA709" w14:textId="77777777" w:rsidR="00346B81" w:rsidRPr="006250F4" w:rsidRDefault="00346B81" w:rsidP="00EF0C44">
            <w:pPr>
              <w:jc w:val="center"/>
              <w:rPr>
                <w:rFonts w:ascii="Arial" w:hAnsi="Arial" w:cs="Arial"/>
              </w:rPr>
            </w:pPr>
            <w:r w:rsidRPr="006250F4">
              <w:rPr>
                <w:rFonts w:ascii="Arial" w:hAnsi="Arial" w:cs="Arial"/>
                <w:b/>
                <w:color w:val="FFFFFF"/>
                <w:sz w:val="20"/>
              </w:rPr>
              <w:t>Accor SA</w:t>
            </w:r>
          </w:p>
        </w:tc>
        <w:tc>
          <w:tcPr>
            <w:tcW w:w="1803" w:type="dxa"/>
            <w:shd w:val="clear" w:color="auto" w:fill="1F4E79"/>
          </w:tcPr>
          <w:p w14:paraId="5EAAE3F4" w14:textId="77777777" w:rsidR="00346B81" w:rsidRPr="006250F4" w:rsidRDefault="00346B81" w:rsidP="00EF0C44">
            <w:pPr>
              <w:jc w:val="center"/>
              <w:rPr>
                <w:rFonts w:ascii="Arial" w:hAnsi="Arial" w:cs="Arial"/>
              </w:rPr>
            </w:pPr>
            <w:r w:rsidRPr="006250F4">
              <w:rPr>
                <w:rFonts w:ascii="Arial" w:hAnsi="Arial" w:cs="Arial"/>
                <w:b/>
                <w:color w:val="FFFFFF"/>
                <w:sz w:val="20"/>
              </w:rPr>
              <w:t>TUI AG</w:t>
            </w:r>
          </w:p>
        </w:tc>
        <w:tc>
          <w:tcPr>
            <w:tcW w:w="1803" w:type="dxa"/>
            <w:shd w:val="clear" w:color="auto" w:fill="1F4E79"/>
          </w:tcPr>
          <w:p w14:paraId="5CF7DFC1" w14:textId="77777777" w:rsidR="00346B81" w:rsidRPr="006250F4" w:rsidRDefault="00346B81" w:rsidP="00EF0C44">
            <w:pPr>
              <w:jc w:val="center"/>
              <w:rPr>
                <w:rFonts w:ascii="Arial" w:hAnsi="Arial" w:cs="Arial"/>
              </w:rPr>
            </w:pPr>
            <w:r w:rsidRPr="006250F4">
              <w:rPr>
                <w:rFonts w:ascii="Arial" w:hAnsi="Arial" w:cs="Arial"/>
                <w:b/>
                <w:color w:val="FFFFFF"/>
                <w:sz w:val="20"/>
              </w:rPr>
              <w:t>Sector Median*</w:t>
            </w:r>
          </w:p>
        </w:tc>
      </w:tr>
      <w:tr w:rsidR="00346B81" w:rsidRPr="006250F4" w14:paraId="2AF2186A" w14:textId="77777777" w:rsidTr="00F21D04">
        <w:trPr>
          <w:jc w:val="center"/>
        </w:trPr>
        <w:tc>
          <w:tcPr>
            <w:tcW w:w="1803" w:type="dxa"/>
          </w:tcPr>
          <w:p w14:paraId="0F5DE1F7" w14:textId="77777777" w:rsidR="00346B81" w:rsidRPr="006250F4" w:rsidRDefault="00346B81" w:rsidP="00EF0C44">
            <w:pPr>
              <w:rPr>
                <w:rFonts w:ascii="Arial" w:hAnsi="Arial" w:cs="Arial"/>
              </w:rPr>
            </w:pPr>
            <w:r w:rsidRPr="006250F4">
              <w:rPr>
                <w:rFonts w:ascii="Arial" w:hAnsi="Arial" w:cs="Arial"/>
                <w:sz w:val="19"/>
              </w:rPr>
              <w:t>Current Ratio (x)</w:t>
            </w:r>
          </w:p>
        </w:tc>
        <w:tc>
          <w:tcPr>
            <w:tcW w:w="1804" w:type="dxa"/>
          </w:tcPr>
          <w:p w14:paraId="1FB28657" w14:textId="77777777" w:rsidR="00346B81" w:rsidRPr="006250F4" w:rsidRDefault="00346B81" w:rsidP="00EF0C44">
            <w:pPr>
              <w:jc w:val="center"/>
              <w:rPr>
                <w:rFonts w:ascii="Arial" w:hAnsi="Arial" w:cs="Arial"/>
              </w:rPr>
            </w:pPr>
            <w:r w:rsidRPr="006250F4">
              <w:rPr>
                <w:rFonts w:ascii="Arial" w:hAnsi="Arial" w:cs="Arial"/>
                <w:sz w:val="19"/>
              </w:rPr>
              <w:t>0.91</w:t>
            </w:r>
          </w:p>
        </w:tc>
        <w:tc>
          <w:tcPr>
            <w:tcW w:w="1803" w:type="dxa"/>
          </w:tcPr>
          <w:p w14:paraId="1ED887A2" w14:textId="77777777" w:rsidR="00346B81" w:rsidRPr="006250F4" w:rsidRDefault="00346B81" w:rsidP="00EF0C44">
            <w:pPr>
              <w:jc w:val="center"/>
              <w:rPr>
                <w:rFonts w:ascii="Arial" w:hAnsi="Arial" w:cs="Arial"/>
              </w:rPr>
            </w:pPr>
            <w:r w:rsidRPr="006250F4">
              <w:rPr>
                <w:rFonts w:ascii="Arial" w:hAnsi="Arial" w:cs="Arial"/>
                <w:sz w:val="19"/>
              </w:rPr>
              <w:t>1.05</w:t>
            </w:r>
          </w:p>
        </w:tc>
        <w:tc>
          <w:tcPr>
            <w:tcW w:w="1803" w:type="dxa"/>
          </w:tcPr>
          <w:p w14:paraId="73D80506" w14:textId="77777777" w:rsidR="00346B81" w:rsidRPr="006250F4" w:rsidRDefault="00346B81" w:rsidP="00EF0C44">
            <w:pPr>
              <w:jc w:val="center"/>
              <w:rPr>
                <w:rFonts w:ascii="Arial" w:hAnsi="Arial" w:cs="Arial"/>
              </w:rPr>
            </w:pPr>
            <w:r w:rsidRPr="006250F4">
              <w:rPr>
                <w:rFonts w:ascii="Arial" w:hAnsi="Arial" w:cs="Arial"/>
                <w:sz w:val="19"/>
              </w:rPr>
              <w:t>0.49</w:t>
            </w:r>
          </w:p>
        </w:tc>
        <w:tc>
          <w:tcPr>
            <w:tcW w:w="1803" w:type="dxa"/>
          </w:tcPr>
          <w:p w14:paraId="4145B9B4" w14:textId="77777777" w:rsidR="00346B81" w:rsidRPr="006250F4" w:rsidRDefault="00346B81" w:rsidP="00EF0C44">
            <w:pPr>
              <w:jc w:val="center"/>
              <w:rPr>
                <w:rFonts w:ascii="Arial" w:hAnsi="Arial" w:cs="Arial"/>
              </w:rPr>
            </w:pPr>
            <w:r w:rsidRPr="006250F4">
              <w:rPr>
                <w:rFonts w:ascii="Arial" w:hAnsi="Arial" w:cs="Arial"/>
                <w:sz w:val="19"/>
              </w:rPr>
              <w:t>1.34</w:t>
            </w:r>
          </w:p>
        </w:tc>
      </w:tr>
      <w:tr w:rsidR="00346B81" w:rsidRPr="006250F4" w14:paraId="284EE75F" w14:textId="77777777" w:rsidTr="00F21D04">
        <w:trPr>
          <w:jc w:val="center"/>
        </w:trPr>
        <w:tc>
          <w:tcPr>
            <w:tcW w:w="1803" w:type="dxa"/>
          </w:tcPr>
          <w:p w14:paraId="249F752C" w14:textId="77777777" w:rsidR="00346B81" w:rsidRPr="006250F4" w:rsidRDefault="00346B81" w:rsidP="00EF0C44">
            <w:pPr>
              <w:rPr>
                <w:rFonts w:ascii="Arial" w:hAnsi="Arial" w:cs="Arial"/>
              </w:rPr>
            </w:pPr>
            <w:r w:rsidRPr="006250F4">
              <w:rPr>
                <w:rFonts w:ascii="Arial" w:hAnsi="Arial" w:cs="Arial"/>
                <w:sz w:val="19"/>
              </w:rPr>
              <w:t>Quick Ratio (x)</w:t>
            </w:r>
          </w:p>
        </w:tc>
        <w:tc>
          <w:tcPr>
            <w:tcW w:w="1804" w:type="dxa"/>
          </w:tcPr>
          <w:p w14:paraId="145EEA96" w14:textId="77777777" w:rsidR="00346B81" w:rsidRPr="006250F4" w:rsidRDefault="00346B81" w:rsidP="00EF0C44">
            <w:pPr>
              <w:jc w:val="center"/>
              <w:rPr>
                <w:rFonts w:ascii="Arial" w:hAnsi="Arial" w:cs="Arial"/>
              </w:rPr>
            </w:pPr>
            <w:r w:rsidRPr="006250F4">
              <w:rPr>
                <w:rFonts w:ascii="Arial" w:hAnsi="Arial" w:cs="Arial"/>
                <w:sz w:val="19"/>
              </w:rPr>
              <w:t>0.91</w:t>
            </w:r>
          </w:p>
        </w:tc>
        <w:tc>
          <w:tcPr>
            <w:tcW w:w="1803" w:type="dxa"/>
          </w:tcPr>
          <w:p w14:paraId="185A288E" w14:textId="77777777" w:rsidR="00346B81" w:rsidRPr="006250F4" w:rsidRDefault="00346B81" w:rsidP="00EF0C44">
            <w:pPr>
              <w:jc w:val="center"/>
              <w:rPr>
                <w:rFonts w:ascii="Arial" w:hAnsi="Arial" w:cs="Arial"/>
              </w:rPr>
            </w:pPr>
            <w:r w:rsidRPr="006250F4">
              <w:rPr>
                <w:rFonts w:ascii="Arial" w:hAnsi="Arial" w:cs="Arial"/>
                <w:sz w:val="19"/>
              </w:rPr>
              <w:t>1.04</w:t>
            </w:r>
          </w:p>
        </w:tc>
        <w:tc>
          <w:tcPr>
            <w:tcW w:w="1803" w:type="dxa"/>
          </w:tcPr>
          <w:p w14:paraId="55D27B91" w14:textId="77777777" w:rsidR="00346B81" w:rsidRPr="006250F4" w:rsidRDefault="00346B81" w:rsidP="00EF0C44">
            <w:pPr>
              <w:jc w:val="center"/>
              <w:rPr>
                <w:rFonts w:ascii="Arial" w:hAnsi="Arial" w:cs="Arial"/>
              </w:rPr>
            </w:pPr>
            <w:r w:rsidRPr="006250F4">
              <w:rPr>
                <w:rFonts w:ascii="Arial" w:hAnsi="Arial" w:cs="Arial"/>
                <w:sz w:val="19"/>
              </w:rPr>
              <w:t>0.49</w:t>
            </w:r>
          </w:p>
        </w:tc>
        <w:tc>
          <w:tcPr>
            <w:tcW w:w="1803" w:type="dxa"/>
          </w:tcPr>
          <w:p w14:paraId="06DB5B6C" w14:textId="77777777" w:rsidR="00346B81" w:rsidRPr="006250F4" w:rsidRDefault="00346B81" w:rsidP="00EF0C44">
            <w:pPr>
              <w:jc w:val="center"/>
              <w:rPr>
                <w:rFonts w:ascii="Arial" w:hAnsi="Arial" w:cs="Arial"/>
              </w:rPr>
            </w:pPr>
            <w:r w:rsidRPr="006250F4">
              <w:rPr>
                <w:rFonts w:ascii="Arial" w:hAnsi="Arial" w:cs="Arial"/>
                <w:sz w:val="19"/>
              </w:rPr>
              <w:t>—</w:t>
            </w:r>
          </w:p>
        </w:tc>
      </w:tr>
      <w:tr w:rsidR="00346B81" w:rsidRPr="006250F4" w14:paraId="05973DE9" w14:textId="77777777" w:rsidTr="00F21D04">
        <w:trPr>
          <w:jc w:val="center"/>
        </w:trPr>
        <w:tc>
          <w:tcPr>
            <w:tcW w:w="1803" w:type="dxa"/>
          </w:tcPr>
          <w:p w14:paraId="760EF6A2" w14:textId="77777777" w:rsidR="00346B81" w:rsidRPr="006250F4" w:rsidRDefault="00346B81" w:rsidP="00EF0C44">
            <w:pPr>
              <w:rPr>
                <w:rFonts w:ascii="Arial" w:hAnsi="Arial" w:cs="Arial"/>
              </w:rPr>
            </w:pPr>
            <w:r w:rsidRPr="006250F4">
              <w:rPr>
                <w:rFonts w:ascii="Arial" w:hAnsi="Arial" w:cs="Arial"/>
                <w:sz w:val="19"/>
              </w:rPr>
              <w:t>Cash Ratio (x)</w:t>
            </w:r>
          </w:p>
        </w:tc>
        <w:tc>
          <w:tcPr>
            <w:tcW w:w="1804" w:type="dxa"/>
          </w:tcPr>
          <w:p w14:paraId="37189DDD" w14:textId="77777777" w:rsidR="00346B81" w:rsidRPr="006250F4" w:rsidRDefault="00346B81" w:rsidP="00EF0C44">
            <w:pPr>
              <w:jc w:val="center"/>
              <w:rPr>
                <w:rFonts w:ascii="Arial" w:hAnsi="Arial" w:cs="Arial"/>
              </w:rPr>
            </w:pPr>
            <w:r w:rsidRPr="006250F4">
              <w:rPr>
                <w:rFonts w:ascii="Arial" w:hAnsi="Arial" w:cs="Arial"/>
                <w:sz w:val="19"/>
              </w:rPr>
              <w:t>0.69</w:t>
            </w:r>
          </w:p>
        </w:tc>
        <w:tc>
          <w:tcPr>
            <w:tcW w:w="1803" w:type="dxa"/>
          </w:tcPr>
          <w:p w14:paraId="466CE83F" w14:textId="77777777" w:rsidR="00346B81" w:rsidRPr="006250F4" w:rsidRDefault="00346B81" w:rsidP="00EF0C44">
            <w:pPr>
              <w:jc w:val="center"/>
              <w:rPr>
                <w:rFonts w:ascii="Arial" w:hAnsi="Arial" w:cs="Arial"/>
              </w:rPr>
            </w:pPr>
            <w:r w:rsidRPr="006250F4">
              <w:rPr>
                <w:rFonts w:ascii="Arial" w:hAnsi="Arial" w:cs="Arial"/>
                <w:sz w:val="19"/>
              </w:rPr>
              <w:t>0.43</w:t>
            </w:r>
          </w:p>
        </w:tc>
        <w:tc>
          <w:tcPr>
            <w:tcW w:w="1803" w:type="dxa"/>
          </w:tcPr>
          <w:p w14:paraId="5B16A53B" w14:textId="77777777" w:rsidR="00346B81" w:rsidRPr="006250F4" w:rsidRDefault="00346B81" w:rsidP="00EF0C44">
            <w:pPr>
              <w:jc w:val="center"/>
              <w:rPr>
                <w:rFonts w:ascii="Arial" w:hAnsi="Arial" w:cs="Arial"/>
              </w:rPr>
            </w:pPr>
            <w:r w:rsidRPr="006250F4">
              <w:rPr>
                <w:rFonts w:ascii="Arial" w:hAnsi="Arial" w:cs="Arial"/>
                <w:sz w:val="19"/>
              </w:rPr>
              <w:t>—</w:t>
            </w:r>
          </w:p>
        </w:tc>
        <w:tc>
          <w:tcPr>
            <w:tcW w:w="1803" w:type="dxa"/>
          </w:tcPr>
          <w:p w14:paraId="0ECDBB4D" w14:textId="77777777" w:rsidR="00346B81" w:rsidRPr="006250F4" w:rsidRDefault="00346B81" w:rsidP="00EF0C44">
            <w:pPr>
              <w:jc w:val="center"/>
              <w:rPr>
                <w:rFonts w:ascii="Arial" w:hAnsi="Arial" w:cs="Arial"/>
              </w:rPr>
            </w:pPr>
            <w:r w:rsidRPr="006250F4">
              <w:rPr>
                <w:rFonts w:ascii="Arial" w:hAnsi="Arial" w:cs="Arial"/>
                <w:sz w:val="19"/>
              </w:rPr>
              <w:t>—</w:t>
            </w:r>
          </w:p>
        </w:tc>
      </w:tr>
      <w:tr w:rsidR="00F21D04" w:rsidRPr="006250F4" w14:paraId="21EA8A7F" w14:textId="77777777" w:rsidTr="00F21D04">
        <w:trPr>
          <w:jc w:val="center"/>
        </w:trPr>
        <w:tc>
          <w:tcPr>
            <w:tcW w:w="1803" w:type="dxa"/>
          </w:tcPr>
          <w:p w14:paraId="17D62E62" w14:textId="77777777" w:rsidR="00F21D04" w:rsidRPr="006250F4" w:rsidRDefault="00F21D04" w:rsidP="00EF0C44">
            <w:pPr>
              <w:rPr>
                <w:rFonts w:ascii="Arial" w:hAnsi="Arial" w:cs="Arial"/>
                <w:sz w:val="19"/>
              </w:rPr>
            </w:pPr>
          </w:p>
        </w:tc>
        <w:tc>
          <w:tcPr>
            <w:tcW w:w="1804" w:type="dxa"/>
          </w:tcPr>
          <w:p w14:paraId="0EBE11AA" w14:textId="77777777" w:rsidR="00F21D04" w:rsidRPr="006250F4" w:rsidRDefault="00F21D04" w:rsidP="00EF0C44">
            <w:pPr>
              <w:jc w:val="center"/>
              <w:rPr>
                <w:rFonts w:ascii="Arial" w:hAnsi="Arial" w:cs="Arial"/>
                <w:sz w:val="19"/>
              </w:rPr>
            </w:pPr>
          </w:p>
        </w:tc>
        <w:tc>
          <w:tcPr>
            <w:tcW w:w="1803" w:type="dxa"/>
          </w:tcPr>
          <w:p w14:paraId="2CB852BE" w14:textId="77777777" w:rsidR="00F21D04" w:rsidRPr="006250F4" w:rsidRDefault="00F21D04" w:rsidP="00EF0C44">
            <w:pPr>
              <w:jc w:val="center"/>
              <w:rPr>
                <w:rFonts w:ascii="Arial" w:hAnsi="Arial" w:cs="Arial"/>
                <w:sz w:val="19"/>
              </w:rPr>
            </w:pPr>
          </w:p>
        </w:tc>
        <w:tc>
          <w:tcPr>
            <w:tcW w:w="1803" w:type="dxa"/>
          </w:tcPr>
          <w:p w14:paraId="364B0E67" w14:textId="77777777" w:rsidR="00F21D04" w:rsidRPr="006250F4" w:rsidRDefault="00F21D04" w:rsidP="00EF0C44">
            <w:pPr>
              <w:jc w:val="center"/>
              <w:rPr>
                <w:rFonts w:ascii="Arial" w:hAnsi="Arial" w:cs="Arial"/>
                <w:sz w:val="19"/>
              </w:rPr>
            </w:pPr>
          </w:p>
        </w:tc>
        <w:tc>
          <w:tcPr>
            <w:tcW w:w="1803" w:type="dxa"/>
          </w:tcPr>
          <w:p w14:paraId="787454EA" w14:textId="77777777" w:rsidR="00F21D04" w:rsidRPr="006250F4" w:rsidRDefault="00F21D04" w:rsidP="00EF0C44">
            <w:pPr>
              <w:jc w:val="center"/>
              <w:rPr>
                <w:rFonts w:ascii="Arial" w:hAnsi="Arial" w:cs="Arial"/>
                <w:sz w:val="19"/>
              </w:rPr>
            </w:pPr>
          </w:p>
        </w:tc>
      </w:tr>
    </w:tbl>
    <w:p w14:paraId="6B235A54" w14:textId="3EE4DCFB" w:rsidR="00346B81" w:rsidRPr="006250F4" w:rsidRDefault="00731250" w:rsidP="000106C3">
      <w:pPr>
        <w:rPr>
          <w:rFonts w:ascii="Arial" w:hAnsi="Arial" w:cs="Arial"/>
          <w:sz w:val="24"/>
          <w:szCs w:val="24"/>
        </w:rPr>
      </w:pPr>
      <w:r w:rsidRPr="006250F4">
        <w:rPr>
          <w:rFonts w:ascii="Arial" w:hAnsi="Arial" w:cs="Arial"/>
          <w:sz w:val="24"/>
          <w:szCs w:val="24"/>
        </w:rPr>
        <w:t>Only when a public and trustworthy cross-industry ratio (Travel &amp; Leisure current ratio, GuruFocus) is available is the sector median displayed. Instead of a zero number, blank cells show that the statistic was not consistently available from public data providers.</w:t>
      </w:r>
    </w:p>
    <w:p w14:paraId="5968013F" w14:textId="0D8C4949" w:rsidR="005D45BB" w:rsidRPr="006250F4" w:rsidRDefault="00346B81" w:rsidP="006250F4">
      <w:pPr>
        <w:pStyle w:val="Heading2"/>
        <w:rPr>
          <w:rFonts w:ascii="Arial" w:hAnsi="Arial" w:cs="Arial"/>
        </w:rPr>
      </w:pPr>
      <w:bookmarkStart w:id="39" w:name="_Toc237493815"/>
      <w:r w:rsidRPr="006250F4">
        <w:rPr>
          <w:rFonts w:ascii="Arial" w:hAnsi="Arial" w:cs="Arial"/>
        </w:rPr>
        <w:t xml:space="preserve">Appendix </w:t>
      </w:r>
      <w:r w:rsidR="00F964C3">
        <w:rPr>
          <w:rFonts w:ascii="Arial" w:hAnsi="Arial" w:cs="Arial"/>
        </w:rPr>
        <w:t>B</w:t>
      </w:r>
      <w:r w:rsidRPr="006250F4">
        <w:rPr>
          <w:rFonts w:ascii="Arial" w:hAnsi="Arial" w:cs="Arial"/>
        </w:rPr>
        <w:t>: Investment Appraisal Calculations</w:t>
      </w:r>
      <w:bookmarkEnd w:id="39"/>
    </w:p>
    <w:p w14:paraId="61453EBE" w14:textId="60D8AA65" w:rsidR="005D45BB" w:rsidRPr="006250F4" w:rsidRDefault="005D45BB" w:rsidP="005D45BB">
      <w:pPr>
        <w:rPr>
          <w:rFonts w:ascii="Arial" w:hAnsi="Arial" w:cs="Arial"/>
          <w:sz w:val="24"/>
          <w:szCs w:val="24"/>
        </w:rPr>
      </w:pPr>
      <w:r w:rsidRPr="006250F4">
        <w:rPr>
          <w:rFonts w:ascii="Arial" w:hAnsi="Arial" w:cs="Arial"/>
          <w:sz w:val="24"/>
          <w:szCs w:val="24"/>
        </w:rPr>
        <w:t>Rate of discount: 8%. Initial outlay: 50 million for each project. Straight-line depreciation for five years with no residual value</w:t>
      </w:r>
    </w:p>
    <w:p w14:paraId="5A9EC294" w14:textId="209E14F7" w:rsidR="00346B81" w:rsidRPr="006250F4" w:rsidRDefault="00F964C3" w:rsidP="00346B81">
      <w:pPr>
        <w:pStyle w:val="Heading3"/>
        <w:rPr>
          <w:rFonts w:ascii="Arial" w:hAnsi="Arial" w:cs="Arial"/>
        </w:rPr>
      </w:pPr>
      <w:bookmarkStart w:id="40" w:name="_Toc237493816"/>
      <w:r>
        <w:rPr>
          <w:rFonts w:ascii="Arial" w:hAnsi="Arial" w:cs="Arial"/>
        </w:rPr>
        <w:t>B</w:t>
      </w:r>
      <w:r w:rsidR="00346B81" w:rsidRPr="006250F4">
        <w:rPr>
          <w:rFonts w:ascii="Arial" w:hAnsi="Arial" w:cs="Arial"/>
        </w:rPr>
        <w:t>.1 Project Cash Flow Projections (£m)</w:t>
      </w:r>
      <w:bookmarkEnd w:id="40"/>
    </w:p>
    <w:p w14:paraId="05F3CC98" w14:textId="3E122E10"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13</w:t>
      </w:r>
      <w:r>
        <w:fldChar w:fldCharType="end"/>
      </w:r>
      <w:r>
        <w:rPr>
          <w:lang w:val="en-US"/>
        </w:rPr>
        <w:t xml:space="preserve"> </w:t>
      </w:r>
      <w:r w:rsidRPr="00F617DE">
        <w:rPr>
          <w:lang w:val="en-US"/>
        </w:rPr>
        <w:t>Project Cash Flow Projections, Projects A, B and C (£m). Source: Author's own calculations (Investment_Appraisal_Final.xlsx).</w:t>
      </w:r>
    </w:p>
    <w:tbl>
      <w:tblPr>
        <w:tblStyle w:val="TableGrid"/>
        <w:tblW w:w="0" w:type="auto"/>
        <w:jc w:val="center"/>
        <w:tblLook w:val="04A0" w:firstRow="1" w:lastRow="0" w:firstColumn="1" w:lastColumn="0" w:noHBand="0" w:noVBand="1"/>
      </w:tblPr>
      <w:tblGrid>
        <w:gridCol w:w="1288"/>
        <w:gridCol w:w="1288"/>
        <w:gridCol w:w="1288"/>
        <w:gridCol w:w="1288"/>
        <w:gridCol w:w="1288"/>
        <w:gridCol w:w="1288"/>
        <w:gridCol w:w="1288"/>
      </w:tblGrid>
      <w:tr w:rsidR="00346B81" w:rsidRPr="006250F4" w14:paraId="20B3ED5D" w14:textId="77777777" w:rsidTr="00EF0C44">
        <w:trPr>
          <w:jc w:val="center"/>
        </w:trPr>
        <w:tc>
          <w:tcPr>
            <w:tcW w:w="1289" w:type="dxa"/>
            <w:shd w:val="clear" w:color="auto" w:fill="1F4E79"/>
          </w:tcPr>
          <w:p w14:paraId="179B9AB5" w14:textId="77777777" w:rsidR="00346B81" w:rsidRPr="006250F4" w:rsidRDefault="00346B81" w:rsidP="00EF0C44">
            <w:pPr>
              <w:jc w:val="center"/>
              <w:rPr>
                <w:rFonts w:ascii="Arial" w:hAnsi="Arial" w:cs="Arial"/>
              </w:rPr>
            </w:pPr>
            <w:r w:rsidRPr="006250F4">
              <w:rPr>
                <w:rFonts w:ascii="Arial" w:hAnsi="Arial" w:cs="Arial"/>
                <w:b/>
                <w:color w:val="FFFFFF"/>
                <w:sz w:val="20"/>
              </w:rPr>
              <w:t>Project</w:t>
            </w:r>
          </w:p>
        </w:tc>
        <w:tc>
          <w:tcPr>
            <w:tcW w:w="1289" w:type="dxa"/>
            <w:shd w:val="clear" w:color="auto" w:fill="1F4E79"/>
          </w:tcPr>
          <w:p w14:paraId="478ADDA8" w14:textId="77777777" w:rsidR="00346B81" w:rsidRPr="006250F4" w:rsidRDefault="00346B81" w:rsidP="00EF0C44">
            <w:pPr>
              <w:jc w:val="center"/>
              <w:rPr>
                <w:rFonts w:ascii="Arial" w:hAnsi="Arial" w:cs="Arial"/>
              </w:rPr>
            </w:pPr>
            <w:r w:rsidRPr="006250F4">
              <w:rPr>
                <w:rFonts w:ascii="Arial" w:hAnsi="Arial" w:cs="Arial"/>
                <w:b/>
                <w:color w:val="FFFFFF"/>
                <w:sz w:val="20"/>
              </w:rPr>
              <w:t>Year 0</w:t>
            </w:r>
          </w:p>
        </w:tc>
        <w:tc>
          <w:tcPr>
            <w:tcW w:w="1289" w:type="dxa"/>
            <w:shd w:val="clear" w:color="auto" w:fill="1F4E79"/>
          </w:tcPr>
          <w:p w14:paraId="35664FF2" w14:textId="77777777" w:rsidR="00346B81" w:rsidRPr="006250F4" w:rsidRDefault="00346B81" w:rsidP="00EF0C44">
            <w:pPr>
              <w:jc w:val="center"/>
              <w:rPr>
                <w:rFonts w:ascii="Arial" w:hAnsi="Arial" w:cs="Arial"/>
              </w:rPr>
            </w:pPr>
            <w:r w:rsidRPr="006250F4">
              <w:rPr>
                <w:rFonts w:ascii="Arial" w:hAnsi="Arial" w:cs="Arial"/>
                <w:b/>
                <w:color w:val="FFFFFF"/>
                <w:sz w:val="20"/>
              </w:rPr>
              <w:t>Year 1</w:t>
            </w:r>
          </w:p>
        </w:tc>
        <w:tc>
          <w:tcPr>
            <w:tcW w:w="1289" w:type="dxa"/>
            <w:shd w:val="clear" w:color="auto" w:fill="1F4E79"/>
          </w:tcPr>
          <w:p w14:paraId="3115CF8E" w14:textId="77777777" w:rsidR="00346B81" w:rsidRPr="006250F4" w:rsidRDefault="00346B81" w:rsidP="00EF0C44">
            <w:pPr>
              <w:jc w:val="center"/>
              <w:rPr>
                <w:rFonts w:ascii="Arial" w:hAnsi="Arial" w:cs="Arial"/>
              </w:rPr>
            </w:pPr>
            <w:r w:rsidRPr="006250F4">
              <w:rPr>
                <w:rFonts w:ascii="Arial" w:hAnsi="Arial" w:cs="Arial"/>
                <w:b/>
                <w:color w:val="FFFFFF"/>
                <w:sz w:val="20"/>
              </w:rPr>
              <w:t>Year 2</w:t>
            </w:r>
          </w:p>
        </w:tc>
        <w:tc>
          <w:tcPr>
            <w:tcW w:w="1289" w:type="dxa"/>
            <w:shd w:val="clear" w:color="auto" w:fill="1F4E79"/>
          </w:tcPr>
          <w:p w14:paraId="2CC84FDB" w14:textId="77777777" w:rsidR="00346B81" w:rsidRPr="006250F4" w:rsidRDefault="00346B81" w:rsidP="00EF0C44">
            <w:pPr>
              <w:jc w:val="center"/>
              <w:rPr>
                <w:rFonts w:ascii="Arial" w:hAnsi="Arial" w:cs="Arial"/>
              </w:rPr>
            </w:pPr>
            <w:r w:rsidRPr="006250F4">
              <w:rPr>
                <w:rFonts w:ascii="Arial" w:hAnsi="Arial" w:cs="Arial"/>
                <w:b/>
                <w:color w:val="FFFFFF"/>
                <w:sz w:val="20"/>
              </w:rPr>
              <w:t>Year 3</w:t>
            </w:r>
          </w:p>
        </w:tc>
        <w:tc>
          <w:tcPr>
            <w:tcW w:w="1289" w:type="dxa"/>
            <w:shd w:val="clear" w:color="auto" w:fill="1F4E79"/>
          </w:tcPr>
          <w:p w14:paraId="1BAC5329" w14:textId="77777777" w:rsidR="00346B81" w:rsidRPr="006250F4" w:rsidRDefault="00346B81" w:rsidP="00EF0C44">
            <w:pPr>
              <w:jc w:val="center"/>
              <w:rPr>
                <w:rFonts w:ascii="Arial" w:hAnsi="Arial" w:cs="Arial"/>
              </w:rPr>
            </w:pPr>
            <w:r w:rsidRPr="006250F4">
              <w:rPr>
                <w:rFonts w:ascii="Arial" w:hAnsi="Arial" w:cs="Arial"/>
                <w:b/>
                <w:color w:val="FFFFFF"/>
                <w:sz w:val="20"/>
              </w:rPr>
              <w:t>Year 4</w:t>
            </w:r>
          </w:p>
        </w:tc>
        <w:tc>
          <w:tcPr>
            <w:tcW w:w="1289" w:type="dxa"/>
            <w:shd w:val="clear" w:color="auto" w:fill="1F4E79"/>
          </w:tcPr>
          <w:p w14:paraId="3CFF1420" w14:textId="77777777" w:rsidR="00346B81" w:rsidRPr="006250F4" w:rsidRDefault="00346B81" w:rsidP="00EF0C44">
            <w:pPr>
              <w:jc w:val="center"/>
              <w:rPr>
                <w:rFonts w:ascii="Arial" w:hAnsi="Arial" w:cs="Arial"/>
              </w:rPr>
            </w:pPr>
            <w:r w:rsidRPr="006250F4">
              <w:rPr>
                <w:rFonts w:ascii="Arial" w:hAnsi="Arial" w:cs="Arial"/>
                <w:b/>
                <w:color w:val="FFFFFF"/>
                <w:sz w:val="20"/>
              </w:rPr>
              <w:t>Year 5</w:t>
            </w:r>
          </w:p>
        </w:tc>
      </w:tr>
      <w:tr w:rsidR="00346B81" w:rsidRPr="006250F4" w14:paraId="526AADC0" w14:textId="77777777" w:rsidTr="00EF0C44">
        <w:trPr>
          <w:jc w:val="center"/>
        </w:trPr>
        <w:tc>
          <w:tcPr>
            <w:tcW w:w="1289" w:type="dxa"/>
          </w:tcPr>
          <w:p w14:paraId="31A5C52E" w14:textId="77777777" w:rsidR="00346B81" w:rsidRPr="006250F4" w:rsidRDefault="00346B81" w:rsidP="00EF0C44">
            <w:pPr>
              <w:rPr>
                <w:rFonts w:ascii="Arial" w:hAnsi="Arial" w:cs="Arial"/>
              </w:rPr>
            </w:pPr>
            <w:r w:rsidRPr="006250F4">
              <w:rPr>
                <w:rFonts w:ascii="Arial" w:hAnsi="Arial" w:cs="Arial"/>
                <w:sz w:val="19"/>
              </w:rPr>
              <w:t>Project A</w:t>
            </w:r>
          </w:p>
        </w:tc>
        <w:tc>
          <w:tcPr>
            <w:tcW w:w="1289" w:type="dxa"/>
          </w:tcPr>
          <w:p w14:paraId="3F8A389F"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289" w:type="dxa"/>
          </w:tcPr>
          <w:p w14:paraId="34AB0D78" w14:textId="77777777" w:rsidR="00346B81" w:rsidRPr="006250F4" w:rsidRDefault="00346B81" w:rsidP="00EF0C44">
            <w:pPr>
              <w:jc w:val="center"/>
              <w:rPr>
                <w:rFonts w:ascii="Arial" w:hAnsi="Arial" w:cs="Arial"/>
              </w:rPr>
            </w:pPr>
            <w:r w:rsidRPr="006250F4">
              <w:rPr>
                <w:rFonts w:ascii="Arial" w:hAnsi="Arial" w:cs="Arial"/>
                <w:sz w:val="19"/>
              </w:rPr>
              <w:t>10.0</w:t>
            </w:r>
          </w:p>
        </w:tc>
        <w:tc>
          <w:tcPr>
            <w:tcW w:w="1289" w:type="dxa"/>
          </w:tcPr>
          <w:p w14:paraId="2130890A" w14:textId="77777777" w:rsidR="00346B81" w:rsidRPr="006250F4" w:rsidRDefault="00346B81" w:rsidP="00EF0C44">
            <w:pPr>
              <w:jc w:val="center"/>
              <w:rPr>
                <w:rFonts w:ascii="Arial" w:hAnsi="Arial" w:cs="Arial"/>
              </w:rPr>
            </w:pPr>
            <w:r w:rsidRPr="006250F4">
              <w:rPr>
                <w:rFonts w:ascii="Arial" w:hAnsi="Arial" w:cs="Arial"/>
                <w:sz w:val="19"/>
              </w:rPr>
              <w:t>12.0</w:t>
            </w:r>
          </w:p>
        </w:tc>
        <w:tc>
          <w:tcPr>
            <w:tcW w:w="1289" w:type="dxa"/>
          </w:tcPr>
          <w:p w14:paraId="5E06134E" w14:textId="77777777" w:rsidR="00346B81" w:rsidRPr="006250F4" w:rsidRDefault="00346B81" w:rsidP="00EF0C44">
            <w:pPr>
              <w:jc w:val="center"/>
              <w:rPr>
                <w:rFonts w:ascii="Arial" w:hAnsi="Arial" w:cs="Arial"/>
              </w:rPr>
            </w:pPr>
            <w:r w:rsidRPr="006250F4">
              <w:rPr>
                <w:rFonts w:ascii="Arial" w:hAnsi="Arial" w:cs="Arial"/>
                <w:sz w:val="19"/>
              </w:rPr>
              <w:t>14.0</w:t>
            </w:r>
          </w:p>
        </w:tc>
        <w:tc>
          <w:tcPr>
            <w:tcW w:w="1289" w:type="dxa"/>
          </w:tcPr>
          <w:p w14:paraId="2A1F8CE6" w14:textId="77777777" w:rsidR="00346B81" w:rsidRPr="006250F4" w:rsidRDefault="00346B81" w:rsidP="00EF0C44">
            <w:pPr>
              <w:jc w:val="center"/>
              <w:rPr>
                <w:rFonts w:ascii="Arial" w:hAnsi="Arial" w:cs="Arial"/>
              </w:rPr>
            </w:pPr>
            <w:r w:rsidRPr="006250F4">
              <w:rPr>
                <w:rFonts w:ascii="Arial" w:hAnsi="Arial" w:cs="Arial"/>
                <w:sz w:val="19"/>
              </w:rPr>
              <w:t>10.0</w:t>
            </w:r>
          </w:p>
        </w:tc>
        <w:tc>
          <w:tcPr>
            <w:tcW w:w="1289" w:type="dxa"/>
          </w:tcPr>
          <w:p w14:paraId="176D2D2C" w14:textId="77777777" w:rsidR="00346B81" w:rsidRPr="006250F4" w:rsidRDefault="00346B81" w:rsidP="00EF0C44">
            <w:pPr>
              <w:jc w:val="center"/>
              <w:rPr>
                <w:rFonts w:ascii="Arial" w:hAnsi="Arial" w:cs="Arial"/>
              </w:rPr>
            </w:pPr>
            <w:r w:rsidRPr="006250F4">
              <w:rPr>
                <w:rFonts w:ascii="Arial" w:hAnsi="Arial" w:cs="Arial"/>
                <w:sz w:val="19"/>
              </w:rPr>
              <w:t>8.0</w:t>
            </w:r>
          </w:p>
        </w:tc>
      </w:tr>
      <w:tr w:rsidR="00346B81" w:rsidRPr="006250F4" w14:paraId="053161D9" w14:textId="77777777" w:rsidTr="00EF0C44">
        <w:trPr>
          <w:jc w:val="center"/>
        </w:trPr>
        <w:tc>
          <w:tcPr>
            <w:tcW w:w="1289" w:type="dxa"/>
          </w:tcPr>
          <w:p w14:paraId="61988480" w14:textId="77777777" w:rsidR="00346B81" w:rsidRPr="006250F4" w:rsidRDefault="00346B81" w:rsidP="00EF0C44">
            <w:pPr>
              <w:rPr>
                <w:rFonts w:ascii="Arial" w:hAnsi="Arial" w:cs="Arial"/>
              </w:rPr>
            </w:pPr>
            <w:r w:rsidRPr="006250F4">
              <w:rPr>
                <w:rFonts w:ascii="Arial" w:hAnsi="Arial" w:cs="Arial"/>
                <w:sz w:val="19"/>
              </w:rPr>
              <w:t>Project B</w:t>
            </w:r>
          </w:p>
        </w:tc>
        <w:tc>
          <w:tcPr>
            <w:tcW w:w="1289" w:type="dxa"/>
          </w:tcPr>
          <w:p w14:paraId="332015F7"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289" w:type="dxa"/>
          </w:tcPr>
          <w:p w14:paraId="70F77B0C" w14:textId="77777777" w:rsidR="00346B81" w:rsidRPr="006250F4" w:rsidRDefault="00346B81" w:rsidP="00EF0C44">
            <w:pPr>
              <w:jc w:val="center"/>
              <w:rPr>
                <w:rFonts w:ascii="Arial" w:hAnsi="Arial" w:cs="Arial"/>
              </w:rPr>
            </w:pPr>
            <w:r w:rsidRPr="006250F4">
              <w:rPr>
                <w:rFonts w:ascii="Arial" w:hAnsi="Arial" w:cs="Arial"/>
                <w:sz w:val="19"/>
              </w:rPr>
              <w:t>11.0</w:t>
            </w:r>
          </w:p>
        </w:tc>
        <w:tc>
          <w:tcPr>
            <w:tcW w:w="1289" w:type="dxa"/>
          </w:tcPr>
          <w:p w14:paraId="61385ECA" w14:textId="77777777" w:rsidR="00346B81" w:rsidRPr="006250F4" w:rsidRDefault="00346B81" w:rsidP="00EF0C44">
            <w:pPr>
              <w:jc w:val="center"/>
              <w:rPr>
                <w:rFonts w:ascii="Arial" w:hAnsi="Arial" w:cs="Arial"/>
              </w:rPr>
            </w:pPr>
            <w:r w:rsidRPr="006250F4">
              <w:rPr>
                <w:rFonts w:ascii="Arial" w:hAnsi="Arial" w:cs="Arial"/>
                <w:sz w:val="19"/>
              </w:rPr>
              <w:t>11.0</w:t>
            </w:r>
          </w:p>
        </w:tc>
        <w:tc>
          <w:tcPr>
            <w:tcW w:w="1289" w:type="dxa"/>
          </w:tcPr>
          <w:p w14:paraId="4A9946B8" w14:textId="77777777" w:rsidR="00346B81" w:rsidRPr="006250F4" w:rsidRDefault="00346B81" w:rsidP="00EF0C44">
            <w:pPr>
              <w:jc w:val="center"/>
              <w:rPr>
                <w:rFonts w:ascii="Arial" w:hAnsi="Arial" w:cs="Arial"/>
              </w:rPr>
            </w:pPr>
            <w:r w:rsidRPr="006250F4">
              <w:rPr>
                <w:rFonts w:ascii="Arial" w:hAnsi="Arial" w:cs="Arial"/>
                <w:sz w:val="19"/>
              </w:rPr>
              <w:t>11.0</w:t>
            </w:r>
          </w:p>
        </w:tc>
        <w:tc>
          <w:tcPr>
            <w:tcW w:w="1289" w:type="dxa"/>
          </w:tcPr>
          <w:p w14:paraId="753AEACA" w14:textId="77777777" w:rsidR="00346B81" w:rsidRPr="006250F4" w:rsidRDefault="00346B81" w:rsidP="00EF0C44">
            <w:pPr>
              <w:jc w:val="center"/>
              <w:rPr>
                <w:rFonts w:ascii="Arial" w:hAnsi="Arial" w:cs="Arial"/>
              </w:rPr>
            </w:pPr>
            <w:r w:rsidRPr="006250F4">
              <w:rPr>
                <w:rFonts w:ascii="Arial" w:hAnsi="Arial" w:cs="Arial"/>
                <w:sz w:val="19"/>
              </w:rPr>
              <w:t>11.0</w:t>
            </w:r>
          </w:p>
        </w:tc>
        <w:tc>
          <w:tcPr>
            <w:tcW w:w="1289" w:type="dxa"/>
          </w:tcPr>
          <w:p w14:paraId="704E4170" w14:textId="77777777" w:rsidR="00346B81" w:rsidRPr="006250F4" w:rsidRDefault="00346B81" w:rsidP="00EF0C44">
            <w:pPr>
              <w:jc w:val="center"/>
              <w:rPr>
                <w:rFonts w:ascii="Arial" w:hAnsi="Arial" w:cs="Arial"/>
              </w:rPr>
            </w:pPr>
            <w:r w:rsidRPr="006250F4">
              <w:rPr>
                <w:rFonts w:ascii="Arial" w:hAnsi="Arial" w:cs="Arial"/>
                <w:sz w:val="19"/>
              </w:rPr>
              <w:t>11.0</w:t>
            </w:r>
          </w:p>
        </w:tc>
      </w:tr>
      <w:tr w:rsidR="00346B81" w:rsidRPr="006250F4" w14:paraId="16680D10" w14:textId="77777777" w:rsidTr="00EF0C44">
        <w:trPr>
          <w:jc w:val="center"/>
        </w:trPr>
        <w:tc>
          <w:tcPr>
            <w:tcW w:w="1289" w:type="dxa"/>
          </w:tcPr>
          <w:p w14:paraId="5283748F" w14:textId="77777777" w:rsidR="00346B81" w:rsidRPr="006250F4" w:rsidRDefault="00346B81" w:rsidP="00EF0C44">
            <w:pPr>
              <w:rPr>
                <w:rFonts w:ascii="Arial" w:hAnsi="Arial" w:cs="Arial"/>
              </w:rPr>
            </w:pPr>
            <w:r w:rsidRPr="006250F4">
              <w:rPr>
                <w:rFonts w:ascii="Arial" w:hAnsi="Arial" w:cs="Arial"/>
                <w:sz w:val="19"/>
              </w:rPr>
              <w:t>Project C</w:t>
            </w:r>
          </w:p>
        </w:tc>
        <w:tc>
          <w:tcPr>
            <w:tcW w:w="1289" w:type="dxa"/>
          </w:tcPr>
          <w:p w14:paraId="181B6AAB"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289" w:type="dxa"/>
          </w:tcPr>
          <w:p w14:paraId="6ED7D7FE" w14:textId="77777777" w:rsidR="00346B81" w:rsidRPr="006250F4" w:rsidRDefault="00346B81" w:rsidP="00EF0C44">
            <w:pPr>
              <w:jc w:val="center"/>
              <w:rPr>
                <w:rFonts w:ascii="Arial" w:hAnsi="Arial" w:cs="Arial"/>
              </w:rPr>
            </w:pPr>
            <w:r w:rsidRPr="006250F4">
              <w:rPr>
                <w:rFonts w:ascii="Arial" w:hAnsi="Arial" w:cs="Arial"/>
                <w:sz w:val="19"/>
              </w:rPr>
              <w:t>5.0</w:t>
            </w:r>
          </w:p>
        </w:tc>
        <w:tc>
          <w:tcPr>
            <w:tcW w:w="1289" w:type="dxa"/>
          </w:tcPr>
          <w:p w14:paraId="69861C1D" w14:textId="77777777" w:rsidR="00346B81" w:rsidRPr="006250F4" w:rsidRDefault="00346B81" w:rsidP="00EF0C44">
            <w:pPr>
              <w:jc w:val="center"/>
              <w:rPr>
                <w:rFonts w:ascii="Arial" w:hAnsi="Arial" w:cs="Arial"/>
              </w:rPr>
            </w:pPr>
            <w:r w:rsidRPr="006250F4">
              <w:rPr>
                <w:rFonts w:ascii="Arial" w:hAnsi="Arial" w:cs="Arial"/>
                <w:sz w:val="19"/>
              </w:rPr>
              <w:t>10.0</w:t>
            </w:r>
          </w:p>
        </w:tc>
        <w:tc>
          <w:tcPr>
            <w:tcW w:w="1289" w:type="dxa"/>
          </w:tcPr>
          <w:p w14:paraId="58F173A7" w14:textId="77777777" w:rsidR="00346B81" w:rsidRPr="006250F4" w:rsidRDefault="00346B81" w:rsidP="00EF0C44">
            <w:pPr>
              <w:jc w:val="center"/>
              <w:rPr>
                <w:rFonts w:ascii="Arial" w:hAnsi="Arial" w:cs="Arial"/>
              </w:rPr>
            </w:pPr>
            <w:r w:rsidRPr="006250F4">
              <w:rPr>
                <w:rFonts w:ascii="Arial" w:hAnsi="Arial" w:cs="Arial"/>
                <w:sz w:val="19"/>
              </w:rPr>
              <w:t>20.0</w:t>
            </w:r>
          </w:p>
        </w:tc>
        <w:tc>
          <w:tcPr>
            <w:tcW w:w="1289" w:type="dxa"/>
          </w:tcPr>
          <w:p w14:paraId="41EEB5D2" w14:textId="77777777" w:rsidR="00346B81" w:rsidRPr="006250F4" w:rsidRDefault="00346B81" w:rsidP="00EF0C44">
            <w:pPr>
              <w:jc w:val="center"/>
              <w:rPr>
                <w:rFonts w:ascii="Arial" w:hAnsi="Arial" w:cs="Arial"/>
              </w:rPr>
            </w:pPr>
            <w:r w:rsidRPr="006250F4">
              <w:rPr>
                <w:rFonts w:ascii="Arial" w:hAnsi="Arial" w:cs="Arial"/>
                <w:sz w:val="19"/>
              </w:rPr>
              <w:t>25.0</w:t>
            </w:r>
          </w:p>
        </w:tc>
        <w:tc>
          <w:tcPr>
            <w:tcW w:w="1289" w:type="dxa"/>
          </w:tcPr>
          <w:p w14:paraId="7DC1FF32" w14:textId="77777777" w:rsidR="00346B81" w:rsidRPr="006250F4" w:rsidRDefault="00346B81" w:rsidP="00EF0C44">
            <w:pPr>
              <w:jc w:val="center"/>
              <w:rPr>
                <w:rFonts w:ascii="Arial" w:hAnsi="Arial" w:cs="Arial"/>
              </w:rPr>
            </w:pPr>
            <w:r w:rsidRPr="006250F4">
              <w:rPr>
                <w:rFonts w:ascii="Arial" w:hAnsi="Arial" w:cs="Arial"/>
                <w:sz w:val="19"/>
              </w:rPr>
              <w:t>5.0</w:t>
            </w:r>
          </w:p>
        </w:tc>
      </w:tr>
    </w:tbl>
    <w:p w14:paraId="30C9E7DE" w14:textId="77777777" w:rsidR="00346B81" w:rsidRDefault="00346B81" w:rsidP="00346B81">
      <w:pPr>
        <w:rPr>
          <w:rFonts w:ascii="Arial" w:hAnsi="Arial" w:cs="Arial"/>
        </w:rPr>
      </w:pPr>
    </w:p>
    <w:p w14:paraId="423C1B1A" w14:textId="77777777" w:rsidR="00122FFF" w:rsidRPr="006250F4" w:rsidRDefault="00122FFF" w:rsidP="00346B81">
      <w:pPr>
        <w:rPr>
          <w:rFonts w:ascii="Arial" w:hAnsi="Arial" w:cs="Arial"/>
        </w:rPr>
      </w:pPr>
    </w:p>
    <w:p w14:paraId="673BE50C" w14:textId="1F1AF949" w:rsidR="00346B81" w:rsidRPr="006250F4" w:rsidRDefault="00F964C3" w:rsidP="00346B81">
      <w:pPr>
        <w:pStyle w:val="Heading3"/>
        <w:rPr>
          <w:rFonts w:ascii="Arial" w:hAnsi="Arial" w:cs="Arial"/>
        </w:rPr>
      </w:pPr>
      <w:bookmarkStart w:id="41" w:name="_Toc237493817"/>
      <w:r>
        <w:rPr>
          <w:rFonts w:ascii="Arial" w:hAnsi="Arial" w:cs="Arial"/>
        </w:rPr>
        <w:t>B</w:t>
      </w:r>
      <w:r w:rsidR="00346B81" w:rsidRPr="006250F4">
        <w:rPr>
          <w:rFonts w:ascii="Arial" w:hAnsi="Arial" w:cs="Arial"/>
        </w:rPr>
        <w:t>.2 Discounted Cash Flow Analysis (£m)</w:t>
      </w:r>
      <w:bookmarkEnd w:id="41"/>
    </w:p>
    <w:p w14:paraId="26BF3D46" w14:textId="3AC866BD"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14</w:t>
      </w:r>
      <w:r>
        <w:fldChar w:fldCharType="end"/>
      </w:r>
      <w:r>
        <w:rPr>
          <w:lang w:val="en-US"/>
        </w:rPr>
        <w:t>.</w:t>
      </w:r>
      <w:r w:rsidRPr="004F1063">
        <w:rPr>
          <w:lang w:val="en-US"/>
        </w:rPr>
        <w:t>Discounted Cash Flow Analysis, Projects A, B and C (£m). Source: Author's own calculations (Investment_Appraisal_Final.xlsx).</w:t>
      </w:r>
    </w:p>
    <w:tbl>
      <w:tblPr>
        <w:tblStyle w:val="TableGrid"/>
        <w:tblW w:w="0" w:type="auto"/>
        <w:jc w:val="center"/>
        <w:tblLook w:val="04A0" w:firstRow="1" w:lastRow="0" w:firstColumn="1" w:lastColumn="0" w:noHBand="0" w:noVBand="1"/>
      </w:tblPr>
      <w:tblGrid>
        <w:gridCol w:w="1288"/>
        <w:gridCol w:w="1288"/>
        <w:gridCol w:w="1288"/>
        <w:gridCol w:w="1288"/>
        <w:gridCol w:w="1288"/>
        <w:gridCol w:w="1288"/>
        <w:gridCol w:w="1288"/>
      </w:tblGrid>
      <w:tr w:rsidR="00346B81" w:rsidRPr="006250F4" w14:paraId="4AC4B2A9" w14:textId="77777777" w:rsidTr="00346B81">
        <w:trPr>
          <w:jc w:val="center"/>
        </w:trPr>
        <w:tc>
          <w:tcPr>
            <w:tcW w:w="1288" w:type="dxa"/>
            <w:shd w:val="clear" w:color="auto" w:fill="1F4E79"/>
          </w:tcPr>
          <w:p w14:paraId="7FCEF53E" w14:textId="77777777" w:rsidR="00346B81" w:rsidRPr="006250F4" w:rsidRDefault="00346B81" w:rsidP="00EF0C44">
            <w:pPr>
              <w:jc w:val="center"/>
              <w:rPr>
                <w:rFonts w:ascii="Arial" w:hAnsi="Arial" w:cs="Arial"/>
              </w:rPr>
            </w:pPr>
          </w:p>
        </w:tc>
        <w:tc>
          <w:tcPr>
            <w:tcW w:w="1288" w:type="dxa"/>
            <w:shd w:val="clear" w:color="auto" w:fill="1F4E79"/>
          </w:tcPr>
          <w:p w14:paraId="41A33D57" w14:textId="77777777" w:rsidR="00346B81" w:rsidRPr="006250F4" w:rsidRDefault="00346B81" w:rsidP="00EF0C44">
            <w:pPr>
              <w:jc w:val="center"/>
              <w:rPr>
                <w:rFonts w:ascii="Arial" w:hAnsi="Arial" w:cs="Arial"/>
              </w:rPr>
            </w:pPr>
            <w:r w:rsidRPr="006250F4">
              <w:rPr>
                <w:rFonts w:ascii="Arial" w:hAnsi="Arial" w:cs="Arial"/>
                <w:b/>
                <w:color w:val="FFFFFF"/>
                <w:sz w:val="20"/>
              </w:rPr>
              <w:t>Year 0</w:t>
            </w:r>
          </w:p>
        </w:tc>
        <w:tc>
          <w:tcPr>
            <w:tcW w:w="1288" w:type="dxa"/>
            <w:shd w:val="clear" w:color="auto" w:fill="1F4E79"/>
          </w:tcPr>
          <w:p w14:paraId="2E750926" w14:textId="77777777" w:rsidR="00346B81" w:rsidRPr="006250F4" w:rsidRDefault="00346B81" w:rsidP="00EF0C44">
            <w:pPr>
              <w:jc w:val="center"/>
              <w:rPr>
                <w:rFonts w:ascii="Arial" w:hAnsi="Arial" w:cs="Arial"/>
              </w:rPr>
            </w:pPr>
            <w:r w:rsidRPr="006250F4">
              <w:rPr>
                <w:rFonts w:ascii="Arial" w:hAnsi="Arial" w:cs="Arial"/>
                <w:b/>
                <w:color w:val="FFFFFF"/>
                <w:sz w:val="20"/>
              </w:rPr>
              <w:t>Year 1</w:t>
            </w:r>
          </w:p>
        </w:tc>
        <w:tc>
          <w:tcPr>
            <w:tcW w:w="1288" w:type="dxa"/>
            <w:shd w:val="clear" w:color="auto" w:fill="1F4E79"/>
          </w:tcPr>
          <w:p w14:paraId="5AECC8C6" w14:textId="77777777" w:rsidR="00346B81" w:rsidRPr="006250F4" w:rsidRDefault="00346B81" w:rsidP="00EF0C44">
            <w:pPr>
              <w:jc w:val="center"/>
              <w:rPr>
                <w:rFonts w:ascii="Arial" w:hAnsi="Arial" w:cs="Arial"/>
              </w:rPr>
            </w:pPr>
            <w:r w:rsidRPr="006250F4">
              <w:rPr>
                <w:rFonts w:ascii="Arial" w:hAnsi="Arial" w:cs="Arial"/>
                <w:b/>
                <w:color w:val="FFFFFF"/>
                <w:sz w:val="20"/>
              </w:rPr>
              <w:t>Year 2</w:t>
            </w:r>
          </w:p>
        </w:tc>
        <w:tc>
          <w:tcPr>
            <w:tcW w:w="1288" w:type="dxa"/>
            <w:shd w:val="clear" w:color="auto" w:fill="1F4E79"/>
          </w:tcPr>
          <w:p w14:paraId="48DF4931" w14:textId="77777777" w:rsidR="00346B81" w:rsidRPr="006250F4" w:rsidRDefault="00346B81" w:rsidP="00EF0C44">
            <w:pPr>
              <w:jc w:val="center"/>
              <w:rPr>
                <w:rFonts w:ascii="Arial" w:hAnsi="Arial" w:cs="Arial"/>
              </w:rPr>
            </w:pPr>
            <w:r w:rsidRPr="006250F4">
              <w:rPr>
                <w:rFonts w:ascii="Arial" w:hAnsi="Arial" w:cs="Arial"/>
                <w:b/>
                <w:color w:val="FFFFFF"/>
                <w:sz w:val="20"/>
              </w:rPr>
              <w:t>Year 3</w:t>
            </w:r>
          </w:p>
        </w:tc>
        <w:tc>
          <w:tcPr>
            <w:tcW w:w="1288" w:type="dxa"/>
            <w:shd w:val="clear" w:color="auto" w:fill="1F4E79"/>
          </w:tcPr>
          <w:p w14:paraId="3907C0E8" w14:textId="77777777" w:rsidR="00346B81" w:rsidRPr="006250F4" w:rsidRDefault="00346B81" w:rsidP="00EF0C44">
            <w:pPr>
              <w:jc w:val="center"/>
              <w:rPr>
                <w:rFonts w:ascii="Arial" w:hAnsi="Arial" w:cs="Arial"/>
              </w:rPr>
            </w:pPr>
            <w:r w:rsidRPr="006250F4">
              <w:rPr>
                <w:rFonts w:ascii="Arial" w:hAnsi="Arial" w:cs="Arial"/>
                <w:b/>
                <w:color w:val="FFFFFF"/>
                <w:sz w:val="20"/>
              </w:rPr>
              <w:t>Year 4</w:t>
            </w:r>
          </w:p>
        </w:tc>
        <w:tc>
          <w:tcPr>
            <w:tcW w:w="1288" w:type="dxa"/>
            <w:shd w:val="clear" w:color="auto" w:fill="1F4E79"/>
          </w:tcPr>
          <w:p w14:paraId="79805187" w14:textId="77777777" w:rsidR="00346B81" w:rsidRPr="006250F4" w:rsidRDefault="00346B81" w:rsidP="00EF0C44">
            <w:pPr>
              <w:jc w:val="center"/>
              <w:rPr>
                <w:rFonts w:ascii="Arial" w:hAnsi="Arial" w:cs="Arial"/>
              </w:rPr>
            </w:pPr>
            <w:r w:rsidRPr="006250F4">
              <w:rPr>
                <w:rFonts w:ascii="Arial" w:hAnsi="Arial" w:cs="Arial"/>
                <w:b/>
                <w:color w:val="FFFFFF"/>
                <w:sz w:val="20"/>
              </w:rPr>
              <w:t>Year 5</w:t>
            </w:r>
          </w:p>
        </w:tc>
      </w:tr>
      <w:tr w:rsidR="00346B81" w:rsidRPr="006250F4" w14:paraId="5037CB7E" w14:textId="77777777" w:rsidTr="00346B81">
        <w:trPr>
          <w:jc w:val="center"/>
        </w:trPr>
        <w:tc>
          <w:tcPr>
            <w:tcW w:w="1288" w:type="dxa"/>
          </w:tcPr>
          <w:p w14:paraId="7706D8BB" w14:textId="77777777" w:rsidR="00346B81" w:rsidRPr="006250F4" w:rsidRDefault="00346B81" w:rsidP="00EF0C44">
            <w:pPr>
              <w:rPr>
                <w:rFonts w:ascii="Arial" w:hAnsi="Arial" w:cs="Arial"/>
              </w:rPr>
            </w:pPr>
            <w:r w:rsidRPr="006250F4">
              <w:rPr>
                <w:rFonts w:ascii="Arial" w:hAnsi="Arial" w:cs="Arial"/>
                <w:sz w:val="19"/>
              </w:rPr>
              <w:t>Discount Factor</w:t>
            </w:r>
          </w:p>
        </w:tc>
        <w:tc>
          <w:tcPr>
            <w:tcW w:w="1288" w:type="dxa"/>
          </w:tcPr>
          <w:p w14:paraId="5CB567E1" w14:textId="77777777" w:rsidR="00346B81" w:rsidRPr="006250F4" w:rsidRDefault="00346B81" w:rsidP="00EF0C44">
            <w:pPr>
              <w:jc w:val="center"/>
              <w:rPr>
                <w:rFonts w:ascii="Arial" w:hAnsi="Arial" w:cs="Arial"/>
              </w:rPr>
            </w:pPr>
            <w:r w:rsidRPr="006250F4">
              <w:rPr>
                <w:rFonts w:ascii="Arial" w:hAnsi="Arial" w:cs="Arial"/>
                <w:sz w:val="19"/>
              </w:rPr>
              <w:t>1.0000</w:t>
            </w:r>
          </w:p>
        </w:tc>
        <w:tc>
          <w:tcPr>
            <w:tcW w:w="1288" w:type="dxa"/>
          </w:tcPr>
          <w:p w14:paraId="365F1CF2" w14:textId="77777777" w:rsidR="00346B81" w:rsidRPr="006250F4" w:rsidRDefault="00346B81" w:rsidP="00EF0C44">
            <w:pPr>
              <w:jc w:val="center"/>
              <w:rPr>
                <w:rFonts w:ascii="Arial" w:hAnsi="Arial" w:cs="Arial"/>
              </w:rPr>
            </w:pPr>
            <w:r w:rsidRPr="006250F4">
              <w:rPr>
                <w:rFonts w:ascii="Arial" w:hAnsi="Arial" w:cs="Arial"/>
                <w:sz w:val="19"/>
              </w:rPr>
              <w:t>0.9259</w:t>
            </w:r>
          </w:p>
        </w:tc>
        <w:tc>
          <w:tcPr>
            <w:tcW w:w="1288" w:type="dxa"/>
          </w:tcPr>
          <w:p w14:paraId="79E65391" w14:textId="77777777" w:rsidR="00346B81" w:rsidRPr="006250F4" w:rsidRDefault="00346B81" w:rsidP="00EF0C44">
            <w:pPr>
              <w:jc w:val="center"/>
              <w:rPr>
                <w:rFonts w:ascii="Arial" w:hAnsi="Arial" w:cs="Arial"/>
              </w:rPr>
            </w:pPr>
            <w:r w:rsidRPr="006250F4">
              <w:rPr>
                <w:rFonts w:ascii="Arial" w:hAnsi="Arial" w:cs="Arial"/>
                <w:sz w:val="19"/>
              </w:rPr>
              <w:t>0.8573</w:t>
            </w:r>
          </w:p>
        </w:tc>
        <w:tc>
          <w:tcPr>
            <w:tcW w:w="1288" w:type="dxa"/>
          </w:tcPr>
          <w:p w14:paraId="1420D1D9" w14:textId="77777777" w:rsidR="00346B81" w:rsidRPr="006250F4" w:rsidRDefault="00346B81" w:rsidP="00EF0C44">
            <w:pPr>
              <w:jc w:val="center"/>
              <w:rPr>
                <w:rFonts w:ascii="Arial" w:hAnsi="Arial" w:cs="Arial"/>
              </w:rPr>
            </w:pPr>
            <w:r w:rsidRPr="006250F4">
              <w:rPr>
                <w:rFonts w:ascii="Arial" w:hAnsi="Arial" w:cs="Arial"/>
                <w:sz w:val="19"/>
              </w:rPr>
              <w:t>0.7938</w:t>
            </w:r>
          </w:p>
        </w:tc>
        <w:tc>
          <w:tcPr>
            <w:tcW w:w="1288" w:type="dxa"/>
          </w:tcPr>
          <w:p w14:paraId="4A1F2229" w14:textId="77777777" w:rsidR="00346B81" w:rsidRPr="006250F4" w:rsidRDefault="00346B81" w:rsidP="00EF0C44">
            <w:pPr>
              <w:jc w:val="center"/>
              <w:rPr>
                <w:rFonts w:ascii="Arial" w:hAnsi="Arial" w:cs="Arial"/>
              </w:rPr>
            </w:pPr>
            <w:r w:rsidRPr="006250F4">
              <w:rPr>
                <w:rFonts w:ascii="Arial" w:hAnsi="Arial" w:cs="Arial"/>
                <w:sz w:val="19"/>
              </w:rPr>
              <w:t>0.7350</w:t>
            </w:r>
          </w:p>
        </w:tc>
        <w:tc>
          <w:tcPr>
            <w:tcW w:w="1288" w:type="dxa"/>
          </w:tcPr>
          <w:p w14:paraId="276E5ECE" w14:textId="77777777" w:rsidR="00346B81" w:rsidRPr="006250F4" w:rsidRDefault="00346B81" w:rsidP="00EF0C44">
            <w:pPr>
              <w:jc w:val="center"/>
              <w:rPr>
                <w:rFonts w:ascii="Arial" w:hAnsi="Arial" w:cs="Arial"/>
              </w:rPr>
            </w:pPr>
            <w:r w:rsidRPr="006250F4">
              <w:rPr>
                <w:rFonts w:ascii="Arial" w:hAnsi="Arial" w:cs="Arial"/>
                <w:sz w:val="19"/>
              </w:rPr>
              <w:t>0.6806</w:t>
            </w:r>
          </w:p>
        </w:tc>
      </w:tr>
      <w:tr w:rsidR="00346B81" w:rsidRPr="006250F4" w14:paraId="054EFAFC" w14:textId="77777777" w:rsidTr="00346B81">
        <w:trPr>
          <w:jc w:val="center"/>
        </w:trPr>
        <w:tc>
          <w:tcPr>
            <w:tcW w:w="1288" w:type="dxa"/>
          </w:tcPr>
          <w:p w14:paraId="078685A1" w14:textId="77777777" w:rsidR="00346B81" w:rsidRPr="006250F4" w:rsidRDefault="00346B81" w:rsidP="00EF0C44">
            <w:pPr>
              <w:rPr>
                <w:rFonts w:ascii="Arial" w:hAnsi="Arial" w:cs="Arial"/>
              </w:rPr>
            </w:pPr>
            <w:r w:rsidRPr="006250F4">
              <w:rPr>
                <w:rFonts w:ascii="Arial" w:hAnsi="Arial" w:cs="Arial"/>
                <w:sz w:val="19"/>
              </w:rPr>
              <w:t>Project A: PV</w:t>
            </w:r>
          </w:p>
        </w:tc>
        <w:tc>
          <w:tcPr>
            <w:tcW w:w="1288" w:type="dxa"/>
          </w:tcPr>
          <w:p w14:paraId="4EC137B2" w14:textId="77777777" w:rsidR="00346B81" w:rsidRPr="006250F4" w:rsidRDefault="00346B81" w:rsidP="00EF0C44">
            <w:pPr>
              <w:jc w:val="center"/>
              <w:rPr>
                <w:rFonts w:ascii="Arial" w:hAnsi="Arial" w:cs="Arial"/>
              </w:rPr>
            </w:pPr>
            <w:r w:rsidRPr="006250F4">
              <w:rPr>
                <w:rFonts w:ascii="Arial" w:hAnsi="Arial" w:cs="Arial"/>
                <w:sz w:val="19"/>
              </w:rPr>
              <w:t>-50.00</w:t>
            </w:r>
          </w:p>
        </w:tc>
        <w:tc>
          <w:tcPr>
            <w:tcW w:w="1288" w:type="dxa"/>
          </w:tcPr>
          <w:p w14:paraId="65828912" w14:textId="77777777" w:rsidR="00346B81" w:rsidRPr="006250F4" w:rsidRDefault="00346B81" w:rsidP="00EF0C44">
            <w:pPr>
              <w:jc w:val="center"/>
              <w:rPr>
                <w:rFonts w:ascii="Arial" w:hAnsi="Arial" w:cs="Arial"/>
              </w:rPr>
            </w:pPr>
            <w:r w:rsidRPr="006250F4">
              <w:rPr>
                <w:rFonts w:ascii="Arial" w:hAnsi="Arial" w:cs="Arial"/>
                <w:sz w:val="19"/>
              </w:rPr>
              <w:t>9.26</w:t>
            </w:r>
          </w:p>
        </w:tc>
        <w:tc>
          <w:tcPr>
            <w:tcW w:w="1288" w:type="dxa"/>
          </w:tcPr>
          <w:p w14:paraId="5BD15679" w14:textId="77777777" w:rsidR="00346B81" w:rsidRPr="006250F4" w:rsidRDefault="00346B81" w:rsidP="00EF0C44">
            <w:pPr>
              <w:jc w:val="center"/>
              <w:rPr>
                <w:rFonts w:ascii="Arial" w:hAnsi="Arial" w:cs="Arial"/>
              </w:rPr>
            </w:pPr>
            <w:r w:rsidRPr="006250F4">
              <w:rPr>
                <w:rFonts w:ascii="Arial" w:hAnsi="Arial" w:cs="Arial"/>
                <w:sz w:val="19"/>
              </w:rPr>
              <w:t>10.29</w:t>
            </w:r>
          </w:p>
        </w:tc>
        <w:tc>
          <w:tcPr>
            <w:tcW w:w="1288" w:type="dxa"/>
          </w:tcPr>
          <w:p w14:paraId="08EF3F1F" w14:textId="77777777" w:rsidR="00346B81" w:rsidRPr="006250F4" w:rsidRDefault="00346B81" w:rsidP="00EF0C44">
            <w:pPr>
              <w:jc w:val="center"/>
              <w:rPr>
                <w:rFonts w:ascii="Arial" w:hAnsi="Arial" w:cs="Arial"/>
              </w:rPr>
            </w:pPr>
            <w:r w:rsidRPr="006250F4">
              <w:rPr>
                <w:rFonts w:ascii="Arial" w:hAnsi="Arial" w:cs="Arial"/>
                <w:sz w:val="19"/>
              </w:rPr>
              <w:t>11.11</w:t>
            </w:r>
          </w:p>
        </w:tc>
        <w:tc>
          <w:tcPr>
            <w:tcW w:w="1288" w:type="dxa"/>
          </w:tcPr>
          <w:p w14:paraId="5D552F99" w14:textId="77777777" w:rsidR="00346B81" w:rsidRPr="006250F4" w:rsidRDefault="00346B81" w:rsidP="00EF0C44">
            <w:pPr>
              <w:jc w:val="center"/>
              <w:rPr>
                <w:rFonts w:ascii="Arial" w:hAnsi="Arial" w:cs="Arial"/>
              </w:rPr>
            </w:pPr>
            <w:r w:rsidRPr="006250F4">
              <w:rPr>
                <w:rFonts w:ascii="Arial" w:hAnsi="Arial" w:cs="Arial"/>
                <w:sz w:val="19"/>
              </w:rPr>
              <w:t>7.35</w:t>
            </w:r>
          </w:p>
        </w:tc>
        <w:tc>
          <w:tcPr>
            <w:tcW w:w="1288" w:type="dxa"/>
          </w:tcPr>
          <w:p w14:paraId="280FE849" w14:textId="77777777" w:rsidR="00346B81" w:rsidRPr="006250F4" w:rsidRDefault="00346B81" w:rsidP="00EF0C44">
            <w:pPr>
              <w:jc w:val="center"/>
              <w:rPr>
                <w:rFonts w:ascii="Arial" w:hAnsi="Arial" w:cs="Arial"/>
              </w:rPr>
            </w:pPr>
            <w:r w:rsidRPr="006250F4">
              <w:rPr>
                <w:rFonts w:ascii="Arial" w:hAnsi="Arial" w:cs="Arial"/>
                <w:sz w:val="19"/>
              </w:rPr>
              <w:t>5.44</w:t>
            </w:r>
          </w:p>
        </w:tc>
      </w:tr>
      <w:tr w:rsidR="00346B81" w:rsidRPr="006250F4" w14:paraId="5109BF3B" w14:textId="77777777" w:rsidTr="00346B81">
        <w:trPr>
          <w:jc w:val="center"/>
        </w:trPr>
        <w:tc>
          <w:tcPr>
            <w:tcW w:w="1288" w:type="dxa"/>
          </w:tcPr>
          <w:p w14:paraId="41FF4D72" w14:textId="77777777" w:rsidR="00346B81" w:rsidRPr="006250F4" w:rsidRDefault="00346B81" w:rsidP="00EF0C44">
            <w:pPr>
              <w:rPr>
                <w:rFonts w:ascii="Arial" w:hAnsi="Arial" w:cs="Arial"/>
              </w:rPr>
            </w:pPr>
            <w:r w:rsidRPr="006250F4">
              <w:rPr>
                <w:rFonts w:ascii="Arial" w:hAnsi="Arial" w:cs="Arial"/>
                <w:sz w:val="19"/>
              </w:rPr>
              <w:t>Project B: PV</w:t>
            </w:r>
          </w:p>
        </w:tc>
        <w:tc>
          <w:tcPr>
            <w:tcW w:w="1288" w:type="dxa"/>
          </w:tcPr>
          <w:p w14:paraId="7A4AD538" w14:textId="77777777" w:rsidR="00346B81" w:rsidRPr="006250F4" w:rsidRDefault="00346B81" w:rsidP="00EF0C44">
            <w:pPr>
              <w:jc w:val="center"/>
              <w:rPr>
                <w:rFonts w:ascii="Arial" w:hAnsi="Arial" w:cs="Arial"/>
              </w:rPr>
            </w:pPr>
            <w:r w:rsidRPr="006250F4">
              <w:rPr>
                <w:rFonts w:ascii="Arial" w:hAnsi="Arial" w:cs="Arial"/>
                <w:sz w:val="19"/>
              </w:rPr>
              <w:t>-50.00</w:t>
            </w:r>
          </w:p>
        </w:tc>
        <w:tc>
          <w:tcPr>
            <w:tcW w:w="1288" w:type="dxa"/>
          </w:tcPr>
          <w:p w14:paraId="23E2B823" w14:textId="77777777" w:rsidR="00346B81" w:rsidRPr="006250F4" w:rsidRDefault="00346B81" w:rsidP="00EF0C44">
            <w:pPr>
              <w:jc w:val="center"/>
              <w:rPr>
                <w:rFonts w:ascii="Arial" w:hAnsi="Arial" w:cs="Arial"/>
              </w:rPr>
            </w:pPr>
            <w:r w:rsidRPr="006250F4">
              <w:rPr>
                <w:rFonts w:ascii="Arial" w:hAnsi="Arial" w:cs="Arial"/>
                <w:sz w:val="19"/>
              </w:rPr>
              <w:t>10.19</w:t>
            </w:r>
          </w:p>
        </w:tc>
        <w:tc>
          <w:tcPr>
            <w:tcW w:w="1288" w:type="dxa"/>
          </w:tcPr>
          <w:p w14:paraId="4BBED4AE" w14:textId="77777777" w:rsidR="00346B81" w:rsidRPr="006250F4" w:rsidRDefault="00346B81" w:rsidP="00EF0C44">
            <w:pPr>
              <w:jc w:val="center"/>
              <w:rPr>
                <w:rFonts w:ascii="Arial" w:hAnsi="Arial" w:cs="Arial"/>
              </w:rPr>
            </w:pPr>
            <w:r w:rsidRPr="006250F4">
              <w:rPr>
                <w:rFonts w:ascii="Arial" w:hAnsi="Arial" w:cs="Arial"/>
                <w:sz w:val="19"/>
              </w:rPr>
              <w:t>9.43</w:t>
            </w:r>
          </w:p>
        </w:tc>
        <w:tc>
          <w:tcPr>
            <w:tcW w:w="1288" w:type="dxa"/>
          </w:tcPr>
          <w:p w14:paraId="72F1F95D" w14:textId="77777777" w:rsidR="00346B81" w:rsidRPr="006250F4" w:rsidRDefault="00346B81" w:rsidP="00EF0C44">
            <w:pPr>
              <w:jc w:val="center"/>
              <w:rPr>
                <w:rFonts w:ascii="Arial" w:hAnsi="Arial" w:cs="Arial"/>
              </w:rPr>
            </w:pPr>
            <w:r w:rsidRPr="006250F4">
              <w:rPr>
                <w:rFonts w:ascii="Arial" w:hAnsi="Arial" w:cs="Arial"/>
                <w:sz w:val="19"/>
              </w:rPr>
              <w:t>8.73</w:t>
            </w:r>
          </w:p>
        </w:tc>
        <w:tc>
          <w:tcPr>
            <w:tcW w:w="1288" w:type="dxa"/>
          </w:tcPr>
          <w:p w14:paraId="47F8630A" w14:textId="77777777" w:rsidR="00346B81" w:rsidRPr="006250F4" w:rsidRDefault="00346B81" w:rsidP="00EF0C44">
            <w:pPr>
              <w:jc w:val="center"/>
              <w:rPr>
                <w:rFonts w:ascii="Arial" w:hAnsi="Arial" w:cs="Arial"/>
              </w:rPr>
            </w:pPr>
            <w:r w:rsidRPr="006250F4">
              <w:rPr>
                <w:rFonts w:ascii="Arial" w:hAnsi="Arial" w:cs="Arial"/>
                <w:sz w:val="19"/>
              </w:rPr>
              <w:t>8.09</w:t>
            </w:r>
          </w:p>
        </w:tc>
        <w:tc>
          <w:tcPr>
            <w:tcW w:w="1288" w:type="dxa"/>
          </w:tcPr>
          <w:p w14:paraId="1EFC5306" w14:textId="77777777" w:rsidR="00346B81" w:rsidRPr="006250F4" w:rsidRDefault="00346B81" w:rsidP="00EF0C44">
            <w:pPr>
              <w:jc w:val="center"/>
              <w:rPr>
                <w:rFonts w:ascii="Arial" w:hAnsi="Arial" w:cs="Arial"/>
              </w:rPr>
            </w:pPr>
            <w:r w:rsidRPr="006250F4">
              <w:rPr>
                <w:rFonts w:ascii="Arial" w:hAnsi="Arial" w:cs="Arial"/>
                <w:sz w:val="19"/>
              </w:rPr>
              <w:t>7.49</w:t>
            </w:r>
          </w:p>
        </w:tc>
      </w:tr>
      <w:tr w:rsidR="00346B81" w:rsidRPr="006250F4" w14:paraId="3DF74D4F" w14:textId="77777777" w:rsidTr="00346B81">
        <w:trPr>
          <w:jc w:val="center"/>
        </w:trPr>
        <w:tc>
          <w:tcPr>
            <w:tcW w:w="1288" w:type="dxa"/>
          </w:tcPr>
          <w:p w14:paraId="7DFA2128" w14:textId="77777777" w:rsidR="00346B81" w:rsidRPr="006250F4" w:rsidRDefault="00346B81" w:rsidP="00EF0C44">
            <w:pPr>
              <w:rPr>
                <w:rFonts w:ascii="Arial" w:hAnsi="Arial" w:cs="Arial"/>
              </w:rPr>
            </w:pPr>
            <w:r w:rsidRPr="006250F4">
              <w:rPr>
                <w:rFonts w:ascii="Arial" w:hAnsi="Arial" w:cs="Arial"/>
                <w:sz w:val="19"/>
              </w:rPr>
              <w:t>Project C: PV</w:t>
            </w:r>
          </w:p>
        </w:tc>
        <w:tc>
          <w:tcPr>
            <w:tcW w:w="1288" w:type="dxa"/>
          </w:tcPr>
          <w:p w14:paraId="7FD6FCDB" w14:textId="77777777" w:rsidR="00346B81" w:rsidRPr="006250F4" w:rsidRDefault="00346B81" w:rsidP="00EF0C44">
            <w:pPr>
              <w:jc w:val="center"/>
              <w:rPr>
                <w:rFonts w:ascii="Arial" w:hAnsi="Arial" w:cs="Arial"/>
              </w:rPr>
            </w:pPr>
            <w:r w:rsidRPr="006250F4">
              <w:rPr>
                <w:rFonts w:ascii="Arial" w:hAnsi="Arial" w:cs="Arial"/>
                <w:sz w:val="19"/>
              </w:rPr>
              <w:t>-50.00</w:t>
            </w:r>
          </w:p>
        </w:tc>
        <w:tc>
          <w:tcPr>
            <w:tcW w:w="1288" w:type="dxa"/>
          </w:tcPr>
          <w:p w14:paraId="75AF4B2D" w14:textId="77777777" w:rsidR="00346B81" w:rsidRPr="006250F4" w:rsidRDefault="00346B81" w:rsidP="00EF0C44">
            <w:pPr>
              <w:jc w:val="center"/>
              <w:rPr>
                <w:rFonts w:ascii="Arial" w:hAnsi="Arial" w:cs="Arial"/>
              </w:rPr>
            </w:pPr>
            <w:r w:rsidRPr="006250F4">
              <w:rPr>
                <w:rFonts w:ascii="Arial" w:hAnsi="Arial" w:cs="Arial"/>
                <w:sz w:val="19"/>
              </w:rPr>
              <w:t>4.63</w:t>
            </w:r>
          </w:p>
        </w:tc>
        <w:tc>
          <w:tcPr>
            <w:tcW w:w="1288" w:type="dxa"/>
          </w:tcPr>
          <w:p w14:paraId="60E3F3A8" w14:textId="77777777" w:rsidR="00346B81" w:rsidRPr="006250F4" w:rsidRDefault="00346B81" w:rsidP="00EF0C44">
            <w:pPr>
              <w:jc w:val="center"/>
              <w:rPr>
                <w:rFonts w:ascii="Arial" w:hAnsi="Arial" w:cs="Arial"/>
              </w:rPr>
            </w:pPr>
            <w:r w:rsidRPr="006250F4">
              <w:rPr>
                <w:rFonts w:ascii="Arial" w:hAnsi="Arial" w:cs="Arial"/>
                <w:sz w:val="19"/>
              </w:rPr>
              <w:t>8.57</w:t>
            </w:r>
          </w:p>
        </w:tc>
        <w:tc>
          <w:tcPr>
            <w:tcW w:w="1288" w:type="dxa"/>
          </w:tcPr>
          <w:p w14:paraId="24076D0B" w14:textId="77777777" w:rsidR="00346B81" w:rsidRPr="006250F4" w:rsidRDefault="00346B81" w:rsidP="00EF0C44">
            <w:pPr>
              <w:jc w:val="center"/>
              <w:rPr>
                <w:rFonts w:ascii="Arial" w:hAnsi="Arial" w:cs="Arial"/>
              </w:rPr>
            </w:pPr>
            <w:r w:rsidRPr="006250F4">
              <w:rPr>
                <w:rFonts w:ascii="Arial" w:hAnsi="Arial" w:cs="Arial"/>
                <w:sz w:val="19"/>
              </w:rPr>
              <w:t>15.88</w:t>
            </w:r>
          </w:p>
        </w:tc>
        <w:tc>
          <w:tcPr>
            <w:tcW w:w="1288" w:type="dxa"/>
          </w:tcPr>
          <w:p w14:paraId="4BEEFFE2" w14:textId="77777777" w:rsidR="00346B81" w:rsidRPr="006250F4" w:rsidRDefault="00346B81" w:rsidP="00EF0C44">
            <w:pPr>
              <w:jc w:val="center"/>
              <w:rPr>
                <w:rFonts w:ascii="Arial" w:hAnsi="Arial" w:cs="Arial"/>
              </w:rPr>
            </w:pPr>
            <w:r w:rsidRPr="006250F4">
              <w:rPr>
                <w:rFonts w:ascii="Arial" w:hAnsi="Arial" w:cs="Arial"/>
                <w:sz w:val="19"/>
              </w:rPr>
              <w:t>18.38</w:t>
            </w:r>
          </w:p>
        </w:tc>
        <w:tc>
          <w:tcPr>
            <w:tcW w:w="1288" w:type="dxa"/>
          </w:tcPr>
          <w:p w14:paraId="2ADB667B" w14:textId="77777777" w:rsidR="00346B81" w:rsidRPr="006250F4" w:rsidRDefault="00346B81" w:rsidP="00EF0C44">
            <w:pPr>
              <w:jc w:val="center"/>
              <w:rPr>
                <w:rFonts w:ascii="Arial" w:hAnsi="Arial" w:cs="Arial"/>
              </w:rPr>
            </w:pPr>
            <w:r w:rsidRPr="006250F4">
              <w:rPr>
                <w:rFonts w:ascii="Arial" w:hAnsi="Arial" w:cs="Arial"/>
                <w:sz w:val="19"/>
              </w:rPr>
              <w:t>3.40</w:t>
            </w:r>
          </w:p>
        </w:tc>
      </w:tr>
    </w:tbl>
    <w:p w14:paraId="5AE271B0" w14:textId="11A1C473" w:rsidR="00346B81" w:rsidRPr="006250F4" w:rsidRDefault="00F964C3" w:rsidP="00346B81">
      <w:pPr>
        <w:pStyle w:val="Heading3"/>
        <w:rPr>
          <w:rFonts w:ascii="Arial" w:hAnsi="Arial" w:cs="Arial"/>
        </w:rPr>
      </w:pPr>
      <w:bookmarkStart w:id="42" w:name="_Toc237493818"/>
      <w:r>
        <w:rPr>
          <w:rFonts w:ascii="Arial" w:hAnsi="Arial" w:cs="Arial"/>
        </w:rPr>
        <w:lastRenderedPageBreak/>
        <w:t>B</w:t>
      </w:r>
      <w:r w:rsidR="00346B81" w:rsidRPr="006250F4">
        <w:rPr>
          <w:rFonts w:ascii="Arial" w:hAnsi="Arial" w:cs="Arial"/>
        </w:rPr>
        <w:t>.3 Summary of Investment Appraisal Metrics</w:t>
      </w:r>
      <w:bookmarkEnd w:id="42"/>
    </w:p>
    <w:p w14:paraId="3BF9742D" w14:textId="05D27792"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15</w:t>
      </w:r>
      <w:r>
        <w:fldChar w:fldCharType="end"/>
      </w:r>
      <w:r>
        <w:rPr>
          <w:lang w:val="en-US"/>
        </w:rPr>
        <w:t xml:space="preserve">. </w:t>
      </w:r>
      <w:r w:rsidRPr="00194D6E">
        <w:rPr>
          <w:lang w:val="en-US"/>
        </w:rPr>
        <w:t>Summary of Investment Appraisal Metrics (PBP, NPV, PI, IRR, ARR), Projects A, B and C. Source: Author's own calculations (Investment_Appraisal_Final.xlsx).</w:t>
      </w:r>
    </w:p>
    <w:tbl>
      <w:tblPr>
        <w:tblStyle w:val="TableGrid"/>
        <w:tblW w:w="0" w:type="auto"/>
        <w:jc w:val="center"/>
        <w:tblLook w:val="04A0" w:firstRow="1" w:lastRow="0" w:firstColumn="1" w:lastColumn="0" w:noHBand="0" w:noVBand="1"/>
      </w:tblPr>
      <w:tblGrid>
        <w:gridCol w:w="1804"/>
        <w:gridCol w:w="1803"/>
        <w:gridCol w:w="1803"/>
        <w:gridCol w:w="1803"/>
        <w:gridCol w:w="1803"/>
      </w:tblGrid>
      <w:tr w:rsidR="00346B81" w:rsidRPr="006250F4" w14:paraId="128C8749" w14:textId="77777777" w:rsidTr="00EF0C44">
        <w:trPr>
          <w:jc w:val="center"/>
        </w:trPr>
        <w:tc>
          <w:tcPr>
            <w:tcW w:w="1805" w:type="dxa"/>
            <w:shd w:val="clear" w:color="auto" w:fill="1F4E79"/>
          </w:tcPr>
          <w:p w14:paraId="3C3059F5" w14:textId="77777777" w:rsidR="00346B81" w:rsidRPr="006250F4" w:rsidRDefault="00346B81" w:rsidP="00EF0C44">
            <w:pPr>
              <w:jc w:val="center"/>
              <w:rPr>
                <w:rFonts w:ascii="Arial" w:hAnsi="Arial" w:cs="Arial"/>
              </w:rPr>
            </w:pPr>
            <w:r w:rsidRPr="006250F4">
              <w:rPr>
                <w:rFonts w:ascii="Arial" w:hAnsi="Arial" w:cs="Arial"/>
                <w:b/>
                <w:color w:val="FFFFFF"/>
                <w:sz w:val="20"/>
              </w:rPr>
              <w:t>Metric</w:t>
            </w:r>
          </w:p>
        </w:tc>
        <w:tc>
          <w:tcPr>
            <w:tcW w:w="1805" w:type="dxa"/>
            <w:shd w:val="clear" w:color="auto" w:fill="1F4E79"/>
          </w:tcPr>
          <w:p w14:paraId="25F7F0DC" w14:textId="77777777" w:rsidR="00346B81" w:rsidRPr="006250F4" w:rsidRDefault="00346B81" w:rsidP="00EF0C44">
            <w:pPr>
              <w:jc w:val="center"/>
              <w:rPr>
                <w:rFonts w:ascii="Arial" w:hAnsi="Arial" w:cs="Arial"/>
              </w:rPr>
            </w:pPr>
            <w:r w:rsidRPr="006250F4">
              <w:rPr>
                <w:rFonts w:ascii="Arial" w:hAnsi="Arial" w:cs="Arial"/>
                <w:b/>
                <w:color w:val="FFFFFF"/>
                <w:sz w:val="20"/>
              </w:rPr>
              <w:t>Project A</w:t>
            </w:r>
          </w:p>
        </w:tc>
        <w:tc>
          <w:tcPr>
            <w:tcW w:w="1805" w:type="dxa"/>
            <w:shd w:val="clear" w:color="auto" w:fill="1F4E79"/>
          </w:tcPr>
          <w:p w14:paraId="33DFEE21" w14:textId="77777777" w:rsidR="00346B81" w:rsidRPr="006250F4" w:rsidRDefault="00346B81" w:rsidP="00EF0C44">
            <w:pPr>
              <w:jc w:val="center"/>
              <w:rPr>
                <w:rFonts w:ascii="Arial" w:hAnsi="Arial" w:cs="Arial"/>
              </w:rPr>
            </w:pPr>
            <w:r w:rsidRPr="006250F4">
              <w:rPr>
                <w:rFonts w:ascii="Arial" w:hAnsi="Arial" w:cs="Arial"/>
                <w:b/>
                <w:color w:val="FFFFFF"/>
                <w:sz w:val="20"/>
              </w:rPr>
              <w:t>Project B</w:t>
            </w:r>
          </w:p>
        </w:tc>
        <w:tc>
          <w:tcPr>
            <w:tcW w:w="1805" w:type="dxa"/>
            <w:shd w:val="clear" w:color="auto" w:fill="1F4E79"/>
          </w:tcPr>
          <w:p w14:paraId="30BF4965" w14:textId="77777777" w:rsidR="00346B81" w:rsidRPr="006250F4" w:rsidRDefault="00346B81" w:rsidP="00EF0C44">
            <w:pPr>
              <w:jc w:val="center"/>
              <w:rPr>
                <w:rFonts w:ascii="Arial" w:hAnsi="Arial" w:cs="Arial"/>
              </w:rPr>
            </w:pPr>
            <w:r w:rsidRPr="006250F4">
              <w:rPr>
                <w:rFonts w:ascii="Arial" w:hAnsi="Arial" w:cs="Arial"/>
                <w:b/>
                <w:color w:val="FFFFFF"/>
                <w:sz w:val="20"/>
              </w:rPr>
              <w:t>Project C</w:t>
            </w:r>
          </w:p>
        </w:tc>
        <w:tc>
          <w:tcPr>
            <w:tcW w:w="1805" w:type="dxa"/>
            <w:shd w:val="clear" w:color="auto" w:fill="1F4E79"/>
          </w:tcPr>
          <w:p w14:paraId="356F86A0" w14:textId="77777777" w:rsidR="00346B81" w:rsidRPr="006250F4" w:rsidRDefault="00346B81" w:rsidP="00EF0C44">
            <w:pPr>
              <w:jc w:val="center"/>
              <w:rPr>
                <w:rFonts w:ascii="Arial" w:hAnsi="Arial" w:cs="Arial"/>
              </w:rPr>
            </w:pPr>
            <w:r w:rsidRPr="006250F4">
              <w:rPr>
                <w:rFonts w:ascii="Arial" w:hAnsi="Arial" w:cs="Arial"/>
                <w:b/>
                <w:color w:val="FFFFFF"/>
                <w:sz w:val="20"/>
              </w:rPr>
              <w:t>Decision Criteria</w:t>
            </w:r>
          </w:p>
        </w:tc>
      </w:tr>
      <w:tr w:rsidR="00346B81" w:rsidRPr="006250F4" w14:paraId="24AB2CA2" w14:textId="77777777" w:rsidTr="00EF0C44">
        <w:trPr>
          <w:jc w:val="center"/>
        </w:trPr>
        <w:tc>
          <w:tcPr>
            <w:tcW w:w="1805" w:type="dxa"/>
          </w:tcPr>
          <w:p w14:paraId="342EC939" w14:textId="77777777" w:rsidR="00346B81" w:rsidRPr="006250F4" w:rsidRDefault="00346B81" w:rsidP="00EF0C44">
            <w:pPr>
              <w:rPr>
                <w:rFonts w:ascii="Arial" w:hAnsi="Arial" w:cs="Arial"/>
              </w:rPr>
            </w:pPr>
            <w:r w:rsidRPr="006250F4">
              <w:rPr>
                <w:rFonts w:ascii="Arial" w:hAnsi="Arial" w:cs="Arial"/>
                <w:sz w:val="19"/>
              </w:rPr>
              <w:t>Payback Period (PBP)</w:t>
            </w:r>
          </w:p>
        </w:tc>
        <w:tc>
          <w:tcPr>
            <w:tcW w:w="1805" w:type="dxa"/>
          </w:tcPr>
          <w:p w14:paraId="01EA510C" w14:textId="77777777" w:rsidR="00346B81" w:rsidRPr="006250F4" w:rsidRDefault="00346B81" w:rsidP="00EF0C44">
            <w:pPr>
              <w:jc w:val="center"/>
              <w:rPr>
                <w:rFonts w:ascii="Arial" w:hAnsi="Arial" w:cs="Arial"/>
              </w:rPr>
            </w:pPr>
            <w:r w:rsidRPr="006250F4">
              <w:rPr>
                <w:rFonts w:ascii="Arial" w:hAnsi="Arial" w:cs="Arial"/>
                <w:sz w:val="19"/>
              </w:rPr>
              <w:t>4.50 yrs</w:t>
            </w:r>
          </w:p>
        </w:tc>
        <w:tc>
          <w:tcPr>
            <w:tcW w:w="1805" w:type="dxa"/>
          </w:tcPr>
          <w:p w14:paraId="1533FBD3" w14:textId="77777777" w:rsidR="00346B81" w:rsidRPr="006250F4" w:rsidRDefault="00346B81" w:rsidP="00EF0C44">
            <w:pPr>
              <w:jc w:val="center"/>
              <w:rPr>
                <w:rFonts w:ascii="Arial" w:hAnsi="Arial" w:cs="Arial"/>
              </w:rPr>
            </w:pPr>
            <w:r w:rsidRPr="006250F4">
              <w:rPr>
                <w:rFonts w:ascii="Arial" w:hAnsi="Arial" w:cs="Arial"/>
                <w:sz w:val="19"/>
              </w:rPr>
              <w:t>4.55 yrs</w:t>
            </w:r>
          </w:p>
        </w:tc>
        <w:tc>
          <w:tcPr>
            <w:tcW w:w="1805" w:type="dxa"/>
          </w:tcPr>
          <w:p w14:paraId="0650858E" w14:textId="77777777" w:rsidR="00346B81" w:rsidRPr="006250F4" w:rsidRDefault="00346B81" w:rsidP="00EF0C44">
            <w:pPr>
              <w:jc w:val="center"/>
              <w:rPr>
                <w:rFonts w:ascii="Arial" w:hAnsi="Arial" w:cs="Arial"/>
              </w:rPr>
            </w:pPr>
            <w:r w:rsidRPr="006250F4">
              <w:rPr>
                <w:rFonts w:ascii="Arial" w:hAnsi="Arial" w:cs="Arial"/>
                <w:sz w:val="19"/>
              </w:rPr>
              <w:t>3.60 yrs</w:t>
            </w:r>
          </w:p>
        </w:tc>
        <w:tc>
          <w:tcPr>
            <w:tcW w:w="1805" w:type="dxa"/>
          </w:tcPr>
          <w:p w14:paraId="5A205008" w14:textId="77777777" w:rsidR="00346B81" w:rsidRPr="006250F4" w:rsidRDefault="00346B81" w:rsidP="00EF0C44">
            <w:pPr>
              <w:jc w:val="center"/>
              <w:rPr>
                <w:rFonts w:ascii="Arial" w:hAnsi="Arial" w:cs="Arial"/>
              </w:rPr>
            </w:pPr>
            <w:r w:rsidRPr="006250F4">
              <w:rPr>
                <w:rFonts w:ascii="Arial" w:hAnsi="Arial" w:cs="Arial"/>
                <w:sz w:val="19"/>
              </w:rPr>
              <w:t>Shorter is Better</w:t>
            </w:r>
          </w:p>
        </w:tc>
      </w:tr>
      <w:tr w:rsidR="00346B81" w:rsidRPr="006250F4" w14:paraId="584E27A4" w14:textId="77777777" w:rsidTr="00EF0C44">
        <w:trPr>
          <w:jc w:val="center"/>
        </w:trPr>
        <w:tc>
          <w:tcPr>
            <w:tcW w:w="1805" w:type="dxa"/>
          </w:tcPr>
          <w:p w14:paraId="55DC01A4" w14:textId="77777777" w:rsidR="00346B81" w:rsidRPr="006250F4" w:rsidRDefault="00346B81" w:rsidP="00EF0C44">
            <w:pPr>
              <w:rPr>
                <w:rFonts w:ascii="Arial" w:hAnsi="Arial" w:cs="Arial"/>
              </w:rPr>
            </w:pPr>
            <w:r w:rsidRPr="006250F4">
              <w:rPr>
                <w:rFonts w:ascii="Arial" w:hAnsi="Arial" w:cs="Arial"/>
                <w:sz w:val="19"/>
              </w:rPr>
              <w:t>Net Present Value (NPV)</w:t>
            </w:r>
          </w:p>
        </w:tc>
        <w:tc>
          <w:tcPr>
            <w:tcW w:w="1805" w:type="dxa"/>
          </w:tcPr>
          <w:p w14:paraId="7437D2A8" w14:textId="77777777" w:rsidR="00346B81" w:rsidRPr="006250F4" w:rsidRDefault="00346B81" w:rsidP="00EF0C44">
            <w:pPr>
              <w:jc w:val="center"/>
              <w:rPr>
                <w:rFonts w:ascii="Arial" w:hAnsi="Arial" w:cs="Arial"/>
              </w:rPr>
            </w:pPr>
            <w:r w:rsidRPr="006250F4">
              <w:rPr>
                <w:rFonts w:ascii="Arial" w:hAnsi="Arial" w:cs="Arial"/>
                <w:sz w:val="19"/>
              </w:rPr>
              <w:t>-6.54m</w:t>
            </w:r>
          </w:p>
        </w:tc>
        <w:tc>
          <w:tcPr>
            <w:tcW w:w="1805" w:type="dxa"/>
          </w:tcPr>
          <w:p w14:paraId="1C996E52" w14:textId="77777777" w:rsidR="00346B81" w:rsidRPr="006250F4" w:rsidRDefault="00346B81" w:rsidP="00EF0C44">
            <w:pPr>
              <w:jc w:val="center"/>
              <w:rPr>
                <w:rFonts w:ascii="Arial" w:hAnsi="Arial" w:cs="Arial"/>
              </w:rPr>
            </w:pPr>
            <w:r w:rsidRPr="006250F4">
              <w:rPr>
                <w:rFonts w:ascii="Arial" w:hAnsi="Arial" w:cs="Arial"/>
                <w:sz w:val="19"/>
              </w:rPr>
              <w:t>-6.08m</w:t>
            </w:r>
          </w:p>
        </w:tc>
        <w:tc>
          <w:tcPr>
            <w:tcW w:w="1805" w:type="dxa"/>
          </w:tcPr>
          <w:p w14:paraId="4529F9DC" w14:textId="77777777" w:rsidR="00346B81" w:rsidRPr="006250F4" w:rsidRDefault="00346B81" w:rsidP="00EF0C44">
            <w:pPr>
              <w:jc w:val="center"/>
              <w:rPr>
                <w:rFonts w:ascii="Arial" w:hAnsi="Arial" w:cs="Arial"/>
              </w:rPr>
            </w:pPr>
            <w:r w:rsidRPr="006250F4">
              <w:rPr>
                <w:rFonts w:ascii="Arial" w:hAnsi="Arial" w:cs="Arial"/>
                <w:sz w:val="19"/>
              </w:rPr>
              <w:t>0.86m</w:t>
            </w:r>
          </w:p>
        </w:tc>
        <w:tc>
          <w:tcPr>
            <w:tcW w:w="1805" w:type="dxa"/>
          </w:tcPr>
          <w:p w14:paraId="76633DFE" w14:textId="77777777" w:rsidR="00346B81" w:rsidRPr="006250F4" w:rsidRDefault="00346B81" w:rsidP="00EF0C44">
            <w:pPr>
              <w:jc w:val="center"/>
              <w:rPr>
                <w:rFonts w:ascii="Arial" w:hAnsi="Arial" w:cs="Arial"/>
              </w:rPr>
            </w:pPr>
            <w:r w:rsidRPr="006250F4">
              <w:rPr>
                <w:rFonts w:ascii="Arial" w:hAnsi="Arial" w:cs="Arial"/>
                <w:sz w:val="19"/>
              </w:rPr>
              <w:t>NPV &gt; 0</w:t>
            </w:r>
          </w:p>
        </w:tc>
      </w:tr>
      <w:tr w:rsidR="00346B81" w:rsidRPr="006250F4" w14:paraId="49A7634E" w14:textId="77777777" w:rsidTr="00EF0C44">
        <w:trPr>
          <w:jc w:val="center"/>
        </w:trPr>
        <w:tc>
          <w:tcPr>
            <w:tcW w:w="1805" w:type="dxa"/>
          </w:tcPr>
          <w:p w14:paraId="4953ADD9" w14:textId="77777777" w:rsidR="00346B81" w:rsidRPr="006250F4" w:rsidRDefault="00346B81" w:rsidP="00EF0C44">
            <w:pPr>
              <w:rPr>
                <w:rFonts w:ascii="Arial" w:hAnsi="Arial" w:cs="Arial"/>
              </w:rPr>
            </w:pPr>
            <w:r w:rsidRPr="006250F4">
              <w:rPr>
                <w:rFonts w:ascii="Arial" w:hAnsi="Arial" w:cs="Arial"/>
                <w:sz w:val="19"/>
              </w:rPr>
              <w:t>Profitability Index (PI)</w:t>
            </w:r>
          </w:p>
        </w:tc>
        <w:tc>
          <w:tcPr>
            <w:tcW w:w="1805" w:type="dxa"/>
          </w:tcPr>
          <w:p w14:paraId="2A412D8F" w14:textId="77777777" w:rsidR="00346B81" w:rsidRPr="006250F4" w:rsidRDefault="00346B81" w:rsidP="00EF0C44">
            <w:pPr>
              <w:jc w:val="center"/>
              <w:rPr>
                <w:rFonts w:ascii="Arial" w:hAnsi="Arial" w:cs="Arial"/>
              </w:rPr>
            </w:pPr>
            <w:r w:rsidRPr="006250F4">
              <w:rPr>
                <w:rFonts w:ascii="Arial" w:hAnsi="Arial" w:cs="Arial"/>
                <w:sz w:val="19"/>
              </w:rPr>
              <w:t>0.869</w:t>
            </w:r>
          </w:p>
        </w:tc>
        <w:tc>
          <w:tcPr>
            <w:tcW w:w="1805" w:type="dxa"/>
          </w:tcPr>
          <w:p w14:paraId="217D849E" w14:textId="77777777" w:rsidR="00346B81" w:rsidRPr="006250F4" w:rsidRDefault="00346B81" w:rsidP="00EF0C44">
            <w:pPr>
              <w:jc w:val="center"/>
              <w:rPr>
                <w:rFonts w:ascii="Arial" w:hAnsi="Arial" w:cs="Arial"/>
              </w:rPr>
            </w:pPr>
            <w:r w:rsidRPr="006250F4">
              <w:rPr>
                <w:rFonts w:ascii="Arial" w:hAnsi="Arial" w:cs="Arial"/>
                <w:sz w:val="19"/>
              </w:rPr>
              <w:t>0.878</w:t>
            </w:r>
          </w:p>
        </w:tc>
        <w:tc>
          <w:tcPr>
            <w:tcW w:w="1805" w:type="dxa"/>
          </w:tcPr>
          <w:p w14:paraId="675567AE" w14:textId="77777777" w:rsidR="00346B81" w:rsidRPr="006250F4" w:rsidRDefault="00346B81" w:rsidP="00EF0C44">
            <w:pPr>
              <w:jc w:val="center"/>
              <w:rPr>
                <w:rFonts w:ascii="Arial" w:hAnsi="Arial" w:cs="Arial"/>
              </w:rPr>
            </w:pPr>
            <w:r w:rsidRPr="006250F4">
              <w:rPr>
                <w:rFonts w:ascii="Arial" w:hAnsi="Arial" w:cs="Arial"/>
                <w:sz w:val="19"/>
              </w:rPr>
              <w:t>1.017</w:t>
            </w:r>
          </w:p>
        </w:tc>
        <w:tc>
          <w:tcPr>
            <w:tcW w:w="1805" w:type="dxa"/>
          </w:tcPr>
          <w:p w14:paraId="52776696" w14:textId="77777777" w:rsidR="00346B81" w:rsidRPr="006250F4" w:rsidRDefault="00346B81" w:rsidP="00EF0C44">
            <w:pPr>
              <w:jc w:val="center"/>
              <w:rPr>
                <w:rFonts w:ascii="Arial" w:hAnsi="Arial" w:cs="Arial"/>
              </w:rPr>
            </w:pPr>
            <w:r w:rsidRPr="006250F4">
              <w:rPr>
                <w:rFonts w:ascii="Arial" w:hAnsi="Arial" w:cs="Arial"/>
                <w:sz w:val="19"/>
              </w:rPr>
              <w:t>PI &gt; 1.0</w:t>
            </w:r>
          </w:p>
        </w:tc>
      </w:tr>
      <w:tr w:rsidR="00346B81" w:rsidRPr="006250F4" w14:paraId="6F47748D" w14:textId="77777777" w:rsidTr="00EF0C44">
        <w:trPr>
          <w:jc w:val="center"/>
        </w:trPr>
        <w:tc>
          <w:tcPr>
            <w:tcW w:w="1805" w:type="dxa"/>
          </w:tcPr>
          <w:p w14:paraId="359986DF" w14:textId="77777777" w:rsidR="00346B81" w:rsidRPr="006250F4" w:rsidRDefault="00346B81" w:rsidP="00EF0C44">
            <w:pPr>
              <w:rPr>
                <w:rFonts w:ascii="Arial" w:hAnsi="Arial" w:cs="Arial"/>
              </w:rPr>
            </w:pPr>
            <w:r w:rsidRPr="006250F4">
              <w:rPr>
                <w:rFonts w:ascii="Arial" w:hAnsi="Arial" w:cs="Arial"/>
                <w:sz w:val="19"/>
              </w:rPr>
              <w:t>Internal Rate of Return (IRR)</w:t>
            </w:r>
          </w:p>
        </w:tc>
        <w:tc>
          <w:tcPr>
            <w:tcW w:w="1805" w:type="dxa"/>
          </w:tcPr>
          <w:p w14:paraId="5DD7E330" w14:textId="77777777" w:rsidR="00346B81" w:rsidRPr="006250F4" w:rsidRDefault="00346B81" w:rsidP="00EF0C44">
            <w:pPr>
              <w:jc w:val="center"/>
              <w:rPr>
                <w:rFonts w:ascii="Arial" w:hAnsi="Arial" w:cs="Arial"/>
              </w:rPr>
            </w:pPr>
            <w:r w:rsidRPr="006250F4">
              <w:rPr>
                <w:rFonts w:ascii="Arial" w:hAnsi="Arial" w:cs="Arial"/>
                <w:sz w:val="19"/>
              </w:rPr>
              <w:t>2.7%</w:t>
            </w:r>
          </w:p>
        </w:tc>
        <w:tc>
          <w:tcPr>
            <w:tcW w:w="1805" w:type="dxa"/>
          </w:tcPr>
          <w:p w14:paraId="3E33A1E6" w14:textId="77777777" w:rsidR="00346B81" w:rsidRPr="006250F4" w:rsidRDefault="00346B81" w:rsidP="00EF0C44">
            <w:pPr>
              <w:jc w:val="center"/>
              <w:rPr>
                <w:rFonts w:ascii="Arial" w:hAnsi="Arial" w:cs="Arial"/>
              </w:rPr>
            </w:pPr>
            <w:r w:rsidRPr="006250F4">
              <w:rPr>
                <w:rFonts w:ascii="Arial" w:hAnsi="Arial" w:cs="Arial"/>
                <w:sz w:val="19"/>
              </w:rPr>
              <w:t>3.3%</w:t>
            </w:r>
          </w:p>
        </w:tc>
        <w:tc>
          <w:tcPr>
            <w:tcW w:w="1805" w:type="dxa"/>
          </w:tcPr>
          <w:p w14:paraId="5DD6B8E3" w14:textId="77777777" w:rsidR="00346B81" w:rsidRPr="006250F4" w:rsidRDefault="00346B81" w:rsidP="00EF0C44">
            <w:pPr>
              <w:jc w:val="center"/>
              <w:rPr>
                <w:rFonts w:ascii="Arial" w:hAnsi="Arial" w:cs="Arial"/>
              </w:rPr>
            </w:pPr>
            <w:r w:rsidRPr="006250F4">
              <w:rPr>
                <w:rFonts w:ascii="Arial" w:hAnsi="Arial" w:cs="Arial"/>
                <w:sz w:val="19"/>
              </w:rPr>
              <w:t>8.6%</w:t>
            </w:r>
          </w:p>
        </w:tc>
        <w:tc>
          <w:tcPr>
            <w:tcW w:w="1805" w:type="dxa"/>
          </w:tcPr>
          <w:p w14:paraId="117FCF7C" w14:textId="77777777" w:rsidR="00346B81" w:rsidRPr="006250F4" w:rsidRDefault="00346B81" w:rsidP="00EF0C44">
            <w:pPr>
              <w:jc w:val="center"/>
              <w:rPr>
                <w:rFonts w:ascii="Arial" w:hAnsi="Arial" w:cs="Arial"/>
              </w:rPr>
            </w:pPr>
            <w:r w:rsidRPr="006250F4">
              <w:rPr>
                <w:rFonts w:ascii="Arial" w:hAnsi="Arial" w:cs="Arial"/>
                <w:sz w:val="19"/>
              </w:rPr>
              <w:t>IRR &gt; Discount Rate</w:t>
            </w:r>
          </w:p>
        </w:tc>
      </w:tr>
      <w:tr w:rsidR="00346B81" w:rsidRPr="006250F4" w14:paraId="62E00156" w14:textId="77777777" w:rsidTr="00EF0C44">
        <w:trPr>
          <w:jc w:val="center"/>
        </w:trPr>
        <w:tc>
          <w:tcPr>
            <w:tcW w:w="1805" w:type="dxa"/>
          </w:tcPr>
          <w:p w14:paraId="234F4162" w14:textId="77777777" w:rsidR="00346B81" w:rsidRPr="006250F4" w:rsidRDefault="00346B81" w:rsidP="00EF0C44">
            <w:pPr>
              <w:rPr>
                <w:rFonts w:ascii="Arial" w:hAnsi="Arial" w:cs="Arial"/>
              </w:rPr>
            </w:pPr>
            <w:r w:rsidRPr="006250F4">
              <w:rPr>
                <w:rFonts w:ascii="Arial" w:hAnsi="Arial" w:cs="Arial"/>
                <w:sz w:val="19"/>
              </w:rPr>
              <w:t>Accounting Rate of Return (ARR)</w:t>
            </w:r>
          </w:p>
        </w:tc>
        <w:tc>
          <w:tcPr>
            <w:tcW w:w="1805" w:type="dxa"/>
          </w:tcPr>
          <w:p w14:paraId="328BFF54" w14:textId="77777777" w:rsidR="00346B81" w:rsidRPr="006250F4" w:rsidRDefault="00346B81" w:rsidP="00EF0C44">
            <w:pPr>
              <w:jc w:val="center"/>
              <w:rPr>
                <w:rFonts w:ascii="Arial" w:hAnsi="Arial" w:cs="Arial"/>
              </w:rPr>
            </w:pPr>
            <w:r w:rsidRPr="006250F4">
              <w:rPr>
                <w:rFonts w:ascii="Arial" w:hAnsi="Arial" w:cs="Arial"/>
                <w:sz w:val="19"/>
              </w:rPr>
              <w:t>3.2%</w:t>
            </w:r>
          </w:p>
        </w:tc>
        <w:tc>
          <w:tcPr>
            <w:tcW w:w="1805" w:type="dxa"/>
          </w:tcPr>
          <w:p w14:paraId="3FCF123B" w14:textId="77777777" w:rsidR="00346B81" w:rsidRPr="006250F4" w:rsidRDefault="00346B81" w:rsidP="00EF0C44">
            <w:pPr>
              <w:jc w:val="center"/>
              <w:rPr>
                <w:rFonts w:ascii="Arial" w:hAnsi="Arial" w:cs="Arial"/>
              </w:rPr>
            </w:pPr>
            <w:r w:rsidRPr="006250F4">
              <w:rPr>
                <w:rFonts w:ascii="Arial" w:hAnsi="Arial" w:cs="Arial"/>
                <w:sz w:val="19"/>
              </w:rPr>
              <w:t>4.0%</w:t>
            </w:r>
          </w:p>
        </w:tc>
        <w:tc>
          <w:tcPr>
            <w:tcW w:w="1805" w:type="dxa"/>
          </w:tcPr>
          <w:p w14:paraId="05FB3DAD" w14:textId="77777777" w:rsidR="00346B81" w:rsidRPr="006250F4" w:rsidRDefault="00346B81" w:rsidP="00EF0C44">
            <w:pPr>
              <w:jc w:val="center"/>
              <w:rPr>
                <w:rFonts w:ascii="Arial" w:hAnsi="Arial" w:cs="Arial"/>
              </w:rPr>
            </w:pPr>
            <w:r w:rsidRPr="006250F4">
              <w:rPr>
                <w:rFonts w:ascii="Arial" w:hAnsi="Arial" w:cs="Arial"/>
                <w:sz w:val="19"/>
              </w:rPr>
              <w:t>12.0%</w:t>
            </w:r>
          </w:p>
        </w:tc>
        <w:tc>
          <w:tcPr>
            <w:tcW w:w="1805" w:type="dxa"/>
          </w:tcPr>
          <w:p w14:paraId="1279B9F7" w14:textId="77777777" w:rsidR="00346B81" w:rsidRPr="006250F4" w:rsidRDefault="00346B81" w:rsidP="00EF0C44">
            <w:pPr>
              <w:jc w:val="center"/>
              <w:rPr>
                <w:rFonts w:ascii="Arial" w:hAnsi="Arial" w:cs="Arial"/>
              </w:rPr>
            </w:pPr>
            <w:r w:rsidRPr="006250F4">
              <w:rPr>
                <w:rFonts w:ascii="Arial" w:hAnsi="Arial" w:cs="Arial"/>
                <w:sz w:val="19"/>
              </w:rPr>
              <w:t>Higher is Better</w:t>
            </w:r>
          </w:p>
        </w:tc>
      </w:tr>
    </w:tbl>
    <w:p w14:paraId="37F62C94" w14:textId="77777777" w:rsidR="00346B81" w:rsidRPr="006250F4" w:rsidRDefault="00346B81" w:rsidP="00346B81">
      <w:pPr>
        <w:rPr>
          <w:rFonts w:ascii="Arial" w:hAnsi="Arial" w:cs="Arial"/>
        </w:rPr>
      </w:pPr>
    </w:p>
    <w:p w14:paraId="0C1AED04" w14:textId="6A99EA17" w:rsidR="00346B81" w:rsidRPr="006250F4" w:rsidRDefault="00F964C3" w:rsidP="00346B81">
      <w:pPr>
        <w:pStyle w:val="Heading3"/>
        <w:rPr>
          <w:rFonts w:ascii="Arial" w:hAnsi="Arial" w:cs="Arial"/>
        </w:rPr>
      </w:pPr>
      <w:bookmarkStart w:id="43" w:name="_Toc237493819"/>
      <w:r>
        <w:rPr>
          <w:rFonts w:ascii="Arial" w:hAnsi="Arial" w:cs="Arial"/>
        </w:rPr>
        <w:t>B</w:t>
      </w:r>
      <w:r w:rsidR="00346B81" w:rsidRPr="006250F4">
        <w:rPr>
          <w:rFonts w:ascii="Arial" w:hAnsi="Arial" w:cs="Arial"/>
        </w:rPr>
        <w:t>.4 Capital Rationing Analysis (£100m Budget)</w:t>
      </w:r>
      <w:bookmarkEnd w:id="43"/>
    </w:p>
    <w:p w14:paraId="000374C5" w14:textId="77777777" w:rsidR="00346B81" w:rsidRPr="006250F4" w:rsidRDefault="00346B81" w:rsidP="00346B81">
      <w:pPr>
        <w:rPr>
          <w:rFonts w:ascii="Arial" w:hAnsi="Arial" w:cs="Arial"/>
          <w:sz w:val="24"/>
          <w:szCs w:val="24"/>
        </w:rPr>
      </w:pPr>
      <w:r w:rsidRPr="006250F4">
        <w:rPr>
          <w:rFonts w:ascii="Arial" w:hAnsi="Arial" w:cs="Arial"/>
          <w:b/>
          <w:sz w:val="24"/>
          <w:szCs w:val="24"/>
        </w:rPr>
        <w:t>Project ranking by NPV/PI:</w:t>
      </w:r>
    </w:p>
    <w:p w14:paraId="08C0BFAA" w14:textId="160DCE28"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16</w:t>
      </w:r>
      <w:r>
        <w:fldChar w:fldCharType="end"/>
      </w:r>
      <w:r>
        <w:rPr>
          <w:lang w:val="en-US"/>
        </w:rPr>
        <w:t xml:space="preserve">. </w:t>
      </w:r>
      <w:r w:rsidRPr="009B30DC">
        <w:rPr>
          <w:lang w:val="en-US"/>
        </w:rPr>
        <w:t>Project Ranking by NPV and Profitability Index. Source: Author's own calculations (Investment_Appraisal_Final.xlsx).</w:t>
      </w:r>
    </w:p>
    <w:tbl>
      <w:tblPr>
        <w:tblStyle w:val="TableGrid"/>
        <w:tblW w:w="0" w:type="auto"/>
        <w:jc w:val="center"/>
        <w:tblLook w:val="04A0" w:firstRow="1" w:lastRow="0" w:firstColumn="1" w:lastColumn="0" w:noHBand="0" w:noVBand="1"/>
      </w:tblPr>
      <w:tblGrid>
        <w:gridCol w:w="1502"/>
        <w:gridCol w:w="1503"/>
        <w:gridCol w:w="1502"/>
        <w:gridCol w:w="1503"/>
        <w:gridCol w:w="1503"/>
        <w:gridCol w:w="1503"/>
      </w:tblGrid>
      <w:tr w:rsidR="00346B81" w:rsidRPr="006250F4" w14:paraId="125D1A63" w14:textId="77777777" w:rsidTr="00EF0C44">
        <w:trPr>
          <w:jc w:val="center"/>
        </w:trPr>
        <w:tc>
          <w:tcPr>
            <w:tcW w:w="1504" w:type="dxa"/>
            <w:shd w:val="clear" w:color="auto" w:fill="1F4E79"/>
          </w:tcPr>
          <w:p w14:paraId="1FA35387" w14:textId="77777777" w:rsidR="00346B81" w:rsidRPr="006250F4" w:rsidRDefault="00346B81" w:rsidP="00EF0C44">
            <w:pPr>
              <w:jc w:val="center"/>
              <w:rPr>
                <w:rFonts w:ascii="Arial" w:hAnsi="Arial" w:cs="Arial"/>
              </w:rPr>
            </w:pPr>
            <w:r w:rsidRPr="006250F4">
              <w:rPr>
                <w:rFonts w:ascii="Arial" w:hAnsi="Arial" w:cs="Arial"/>
                <w:b/>
                <w:color w:val="FFFFFF"/>
                <w:sz w:val="20"/>
              </w:rPr>
              <w:t>Project</w:t>
            </w:r>
          </w:p>
        </w:tc>
        <w:tc>
          <w:tcPr>
            <w:tcW w:w="1504" w:type="dxa"/>
            <w:shd w:val="clear" w:color="auto" w:fill="1F4E79"/>
          </w:tcPr>
          <w:p w14:paraId="57C83118" w14:textId="77777777" w:rsidR="00346B81" w:rsidRPr="006250F4" w:rsidRDefault="00346B81" w:rsidP="00EF0C44">
            <w:pPr>
              <w:jc w:val="center"/>
              <w:rPr>
                <w:rFonts w:ascii="Arial" w:hAnsi="Arial" w:cs="Arial"/>
              </w:rPr>
            </w:pPr>
            <w:r w:rsidRPr="006250F4">
              <w:rPr>
                <w:rFonts w:ascii="Arial" w:hAnsi="Arial" w:cs="Arial"/>
                <w:b/>
                <w:color w:val="FFFFFF"/>
                <w:sz w:val="20"/>
              </w:rPr>
              <w:t>Initial Outlay (£m)</w:t>
            </w:r>
          </w:p>
        </w:tc>
        <w:tc>
          <w:tcPr>
            <w:tcW w:w="1504" w:type="dxa"/>
            <w:shd w:val="clear" w:color="auto" w:fill="1F4E79"/>
          </w:tcPr>
          <w:p w14:paraId="36103F39" w14:textId="77777777" w:rsidR="00346B81" w:rsidRPr="006250F4" w:rsidRDefault="00346B81" w:rsidP="00EF0C44">
            <w:pPr>
              <w:jc w:val="center"/>
              <w:rPr>
                <w:rFonts w:ascii="Arial" w:hAnsi="Arial" w:cs="Arial"/>
              </w:rPr>
            </w:pPr>
            <w:r w:rsidRPr="006250F4">
              <w:rPr>
                <w:rFonts w:ascii="Arial" w:hAnsi="Arial" w:cs="Arial"/>
                <w:b/>
                <w:color w:val="FFFFFF"/>
                <w:sz w:val="20"/>
              </w:rPr>
              <w:t>NPV (£m)</w:t>
            </w:r>
          </w:p>
        </w:tc>
        <w:tc>
          <w:tcPr>
            <w:tcW w:w="1504" w:type="dxa"/>
            <w:shd w:val="clear" w:color="auto" w:fill="1F4E79"/>
          </w:tcPr>
          <w:p w14:paraId="2856333E" w14:textId="77777777" w:rsidR="00346B81" w:rsidRPr="006250F4" w:rsidRDefault="00346B81" w:rsidP="00EF0C44">
            <w:pPr>
              <w:jc w:val="center"/>
              <w:rPr>
                <w:rFonts w:ascii="Arial" w:hAnsi="Arial" w:cs="Arial"/>
              </w:rPr>
            </w:pPr>
            <w:r w:rsidRPr="006250F4">
              <w:rPr>
                <w:rFonts w:ascii="Arial" w:hAnsi="Arial" w:cs="Arial"/>
                <w:b/>
                <w:color w:val="FFFFFF"/>
                <w:sz w:val="20"/>
              </w:rPr>
              <w:t>PI</w:t>
            </w:r>
          </w:p>
        </w:tc>
        <w:tc>
          <w:tcPr>
            <w:tcW w:w="1504" w:type="dxa"/>
            <w:shd w:val="clear" w:color="auto" w:fill="1F4E79"/>
          </w:tcPr>
          <w:p w14:paraId="0DF89A95" w14:textId="77777777" w:rsidR="00346B81" w:rsidRPr="006250F4" w:rsidRDefault="00346B81" w:rsidP="00EF0C44">
            <w:pPr>
              <w:jc w:val="center"/>
              <w:rPr>
                <w:rFonts w:ascii="Arial" w:hAnsi="Arial" w:cs="Arial"/>
              </w:rPr>
            </w:pPr>
            <w:r w:rsidRPr="006250F4">
              <w:rPr>
                <w:rFonts w:ascii="Arial" w:hAnsi="Arial" w:cs="Arial"/>
                <w:b/>
                <w:color w:val="FFFFFF"/>
                <w:sz w:val="20"/>
              </w:rPr>
              <w:t>IRR</w:t>
            </w:r>
          </w:p>
        </w:tc>
        <w:tc>
          <w:tcPr>
            <w:tcW w:w="1504" w:type="dxa"/>
            <w:shd w:val="clear" w:color="auto" w:fill="1F4E79"/>
          </w:tcPr>
          <w:p w14:paraId="154EFD6E" w14:textId="77777777" w:rsidR="00346B81" w:rsidRPr="006250F4" w:rsidRDefault="00346B81" w:rsidP="00EF0C44">
            <w:pPr>
              <w:jc w:val="center"/>
              <w:rPr>
                <w:rFonts w:ascii="Arial" w:hAnsi="Arial" w:cs="Arial"/>
              </w:rPr>
            </w:pPr>
            <w:r w:rsidRPr="006250F4">
              <w:rPr>
                <w:rFonts w:ascii="Arial" w:hAnsi="Arial" w:cs="Arial"/>
                <w:b/>
                <w:color w:val="FFFFFF"/>
                <w:sz w:val="20"/>
              </w:rPr>
              <w:t>Rank</w:t>
            </w:r>
          </w:p>
        </w:tc>
      </w:tr>
      <w:tr w:rsidR="00346B81" w:rsidRPr="006250F4" w14:paraId="5DB54E98" w14:textId="77777777" w:rsidTr="00EF0C44">
        <w:trPr>
          <w:jc w:val="center"/>
        </w:trPr>
        <w:tc>
          <w:tcPr>
            <w:tcW w:w="1504" w:type="dxa"/>
          </w:tcPr>
          <w:p w14:paraId="18CA0F00" w14:textId="77777777" w:rsidR="00346B81" w:rsidRPr="006250F4" w:rsidRDefault="00346B81" w:rsidP="00EF0C44">
            <w:pPr>
              <w:rPr>
                <w:rFonts w:ascii="Arial" w:hAnsi="Arial" w:cs="Arial"/>
              </w:rPr>
            </w:pPr>
            <w:r w:rsidRPr="006250F4">
              <w:rPr>
                <w:rFonts w:ascii="Arial" w:hAnsi="Arial" w:cs="Arial"/>
                <w:sz w:val="19"/>
              </w:rPr>
              <w:t>Project A</w:t>
            </w:r>
          </w:p>
        </w:tc>
        <w:tc>
          <w:tcPr>
            <w:tcW w:w="1504" w:type="dxa"/>
          </w:tcPr>
          <w:p w14:paraId="1AAE2DF9"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504" w:type="dxa"/>
          </w:tcPr>
          <w:p w14:paraId="27265B10" w14:textId="77777777" w:rsidR="00346B81" w:rsidRPr="006250F4" w:rsidRDefault="00346B81" w:rsidP="00EF0C44">
            <w:pPr>
              <w:jc w:val="center"/>
              <w:rPr>
                <w:rFonts w:ascii="Arial" w:hAnsi="Arial" w:cs="Arial"/>
              </w:rPr>
            </w:pPr>
            <w:r w:rsidRPr="006250F4">
              <w:rPr>
                <w:rFonts w:ascii="Arial" w:hAnsi="Arial" w:cs="Arial"/>
                <w:sz w:val="19"/>
              </w:rPr>
              <w:t>-6.54</w:t>
            </w:r>
          </w:p>
        </w:tc>
        <w:tc>
          <w:tcPr>
            <w:tcW w:w="1504" w:type="dxa"/>
          </w:tcPr>
          <w:p w14:paraId="058031BC" w14:textId="77777777" w:rsidR="00346B81" w:rsidRPr="006250F4" w:rsidRDefault="00346B81" w:rsidP="00EF0C44">
            <w:pPr>
              <w:jc w:val="center"/>
              <w:rPr>
                <w:rFonts w:ascii="Arial" w:hAnsi="Arial" w:cs="Arial"/>
              </w:rPr>
            </w:pPr>
            <w:r w:rsidRPr="006250F4">
              <w:rPr>
                <w:rFonts w:ascii="Arial" w:hAnsi="Arial" w:cs="Arial"/>
                <w:sz w:val="19"/>
              </w:rPr>
              <w:t>0.869</w:t>
            </w:r>
          </w:p>
        </w:tc>
        <w:tc>
          <w:tcPr>
            <w:tcW w:w="1504" w:type="dxa"/>
          </w:tcPr>
          <w:p w14:paraId="2200A043" w14:textId="77777777" w:rsidR="00346B81" w:rsidRPr="006250F4" w:rsidRDefault="00346B81" w:rsidP="00EF0C44">
            <w:pPr>
              <w:jc w:val="center"/>
              <w:rPr>
                <w:rFonts w:ascii="Arial" w:hAnsi="Arial" w:cs="Arial"/>
              </w:rPr>
            </w:pPr>
            <w:r w:rsidRPr="006250F4">
              <w:rPr>
                <w:rFonts w:ascii="Arial" w:hAnsi="Arial" w:cs="Arial"/>
                <w:sz w:val="19"/>
              </w:rPr>
              <w:t>2.7%</w:t>
            </w:r>
          </w:p>
        </w:tc>
        <w:tc>
          <w:tcPr>
            <w:tcW w:w="1504" w:type="dxa"/>
          </w:tcPr>
          <w:p w14:paraId="0D10EF34" w14:textId="77777777" w:rsidR="00346B81" w:rsidRPr="006250F4" w:rsidRDefault="00346B81" w:rsidP="00EF0C44">
            <w:pPr>
              <w:jc w:val="center"/>
              <w:rPr>
                <w:rFonts w:ascii="Arial" w:hAnsi="Arial" w:cs="Arial"/>
              </w:rPr>
            </w:pPr>
            <w:r w:rsidRPr="006250F4">
              <w:rPr>
                <w:rFonts w:ascii="Arial" w:hAnsi="Arial" w:cs="Arial"/>
                <w:sz w:val="19"/>
              </w:rPr>
              <w:t>3</w:t>
            </w:r>
          </w:p>
        </w:tc>
      </w:tr>
      <w:tr w:rsidR="00346B81" w:rsidRPr="006250F4" w14:paraId="61A7DDF6" w14:textId="77777777" w:rsidTr="00EF0C44">
        <w:trPr>
          <w:jc w:val="center"/>
        </w:trPr>
        <w:tc>
          <w:tcPr>
            <w:tcW w:w="1504" w:type="dxa"/>
          </w:tcPr>
          <w:p w14:paraId="0F94F99C" w14:textId="77777777" w:rsidR="00346B81" w:rsidRPr="006250F4" w:rsidRDefault="00346B81" w:rsidP="00EF0C44">
            <w:pPr>
              <w:rPr>
                <w:rFonts w:ascii="Arial" w:hAnsi="Arial" w:cs="Arial"/>
              </w:rPr>
            </w:pPr>
            <w:r w:rsidRPr="006250F4">
              <w:rPr>
                <w:rFonts w:ascii="Arial" w:hAnsi="Arial" w:cs="Arial"/>
                <w:sz w:val="19"/>
              </w:rPr>
              <w:t>Project B</w:t>
            </w:r>
          </w:p>
        </w:tc>
        <w:tc>
          <w:tcPr>
            <w:tcW w:w="1504" w:type="dxa"/>
          </w:tcPr>
          <w:p w14:paraId="613887B9"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504" w:type="dxa"/>
          </w:tcPr>
          <w:p w14:paraId="50BBAAEF" w14:textId="77777777" w:rsidR="00346B81" w:rsidRPr="006250F4" w:rsidRDefault="00346B81" w:rsidP="00EF0C44">
            <w:pPr>
              <w:jc w:val="center"/>
              <w:rPr>
                <w:rFonts w:ascii="Arial" w:hAnsi="Arial" w:cs="Arial"/>
              </w:rPr>
            </w:pPr>
            <w:r w:rsidRPr="006250F4">
              <w:rPr>
                <w:rFonts w:ascii="Arial" w:hAnsi="Arial" w:cs="Arial"/>
                <w:sz w:val="19"/>
              </w:rPr>
              <w:t>-6.08</w:t>
            </w:r>
          </w:p>
        </w:tc>
        <w:tc>
          <w:tcPr>
            <w:tcW w:w="1504" w:type="dxa"/>
          </w:tcPr>
          <w:p w14:paraId="4A996DC9" w14:textId="77777777" w:rsidR="00346B81" w:rsidRPr="006250F4" w:rsidRDefault="00346B81" w:rsidP="00EF0C44">
            <w:pPr>
              <w:jc w:val="center"/>
              <w:rPr>
                <w:rFonts w:ascii="Arial" w:hAnsi="Arial" w:cs="Arial"/>
              </w:rPr>
            </w:pPr>
            <w:r w:rsidRPr="006250F4">
              <w:rPr>
                <w:rFonts w:ascii="Arial" w:hAnsi="Arial" w:cs="Arial"/>
                <w:sz w:val="19"/>
              </w:rPr>
              <w:t>0.878</w:t>
            </w:r>
          </w:p>
        </w:tc>
        <w:tc>
          <w:tcPr>
            <w:tcW w:w="1504" w:type="dxa"/>
          </w:tcPr>
          <w:p w14:paraId="7B15A57D" w14:textId="77777777" w:rsidR="00346B81" w:rsidRPr="006250F4" w:rsidRDefault="00346B81" w:rsidP="00EF0C44">
            <w:pPr>
              <w:jc w:val="center"/>
              <w:rPr>
                <w:rFonts w:ascii="Arial" w:hAnsi="Arial" w:cs="Arial"/>
              </w:rPr>
            </w:pPr>
            <w:r w:rsidRPr="006250F4">
              <w:rPr>
                <w:rFonts w:ascii="Arial" w:hAnsi="Arial" w:cs="Arial"/>
                <w:sz w:val="19"/>
              </w:rPr>
              <w:t>3.3%</w:t>
            </w:r>
          </w:p>
        </w:tc>
        <w:tc>
          <w:tcPr>
            <w:tcW w:w="1504" w:type="dxa"/>
          </w:tcPr>
          <w:p w14:paraId="087A94B7" w14:textId="77777777" w:rsidR="00346B81" w:rsidRPr="006250F4" w:rsidRDefault="00346B81" w:rsidP="00EF0C44">
            <w:pPr>
              <w:jc w:val="center"/>
              <w:rPr>
                <w:rFonts w:ascii="Arial" w:hAnsi="Arial" w:cs="Arial"/>
              </w:rPr>
            </w:pPr>
            <w:r w:rsidRPr="006250F4">
              <w:rPr>
                <w:rFonts w:ascii="Arial" w:hAnsi="Arial" w:cs="Arial"/>
                <w:sz w:val="19"/>
              </w:rPr>
              <w:t>2</w:t>
            </w:r>
          </w:p>
        </w:tc>
      </w:tr>
      <w:tr w:rsidR="00346B81" w:rsidRPr="006250F4" w14:paraId="75494905" w14:textId="77777777" w:rsidTr="00EF0C44">
        <w:trPr>
          <w:jc w:val="center"/>
        </w:trPr>
        <w:tc>
          <w:tcPr>
            <w:tcW w:w="1504" w:type="dxa"/>
          </w:tcPr>
          <w:p w14:paraId="7FFB0A05" w14:textId="77777777" w:rsidR="00346B81" w:rsidRPr="006250F4" w:rsidRDefault="00346B81" w:rsidP="00EF0C44">
            <w:pPr>
              <w:rPr>
                <w:rFonts w:ascii="Arial" w:hAnsi="Arial" w:cs="Arial"/>
              </w:rPr>
            </w:pPr>
            <w:r w:rsidRPr="006250F4">
              <w:rPr>
                <w:rFonts w:ascii="Arial" w:hAnsi="Arial" w:cs="Arial"/>
                <w:sz w:val="19"/>
              </w:rPr>
              <w:t>Project C</w:t>
            </w:r>
          </w:p>
        </w:tc>
        <w:tc>
          <w:tcPr>
            <w:tcW w:w="1504" w:type="dxa"/>
          </w:tcPr>
          <w:p w14:paraId="5CBC51FC"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504" w:type="dxa"/>
          </w:tcPr>
          <w:p w14:paraId="3FA2073D" w14:textId="77777777" w:rsidR="00346B81" w:rsidRPr="006250F4" w:rsidRDefault="00346B81" w:rsidP="00EF0C44">
            <w:pPr>
              <w:jc w:val="center"/>
              <w:rPr>
                <w:rFonts w:ascii="Arial" w:hAnsi="Arial" w:cs="Arial"/>
              </w:rPr>
            </w:pPr>
            <w:r w:rsidRPr="006250F4">
              <w:rPr>
                <w:rFonts w:ascii="Arial" w:hAnsi="Arial" w:cs="Arial"/>
                <w:sz w:val="19"/>
              </w:rPr>
              <w:t>0.86</w:t>
            </w:r>
          </w:p>
        </w:tc>
        <w:tc>
          <w:tcPr>
            <w:tcW w:w="1504" w:type="dxa"/>
          </w:tcPr>
          <w:p w14:paraId="45FC8F11" w14:textId="77777777" w:rsidR="00346B81" w:rsidRPr="006250F4" w:rsidRDefault="00346B81" w:rsidP="00EF0C44">
            <w:pPr>
              <w:jc w:val="center"/>
              <w:rPr>
                <w:rFonts w:ascii="Arial" w:hAnsi="Arial" w:cs="Arial"/>
              </w:rPr>
            </w:pPr>
            <w:r w:rsidRPr="006250F4">
              <w:rPr>
                <w:rFonts w:ascii="Arial" w:hAnsi="Arial" w:cs="Arial"/>
                <w:sz w:val="19"/>
              </w:rPr>
              <w:t>1.017</w:t>
            </w:r>
          </w:p>
        </w:tc>
        <w:tc>
          <w:tcPr>
            <w:tcW w:w="1504" w:type="dxa"/>
          </w:tcPr>
          <w:p w14:paraId="05096C33" w14:textId="77777777" w:rsidR="00346B81" w:rsidRPr="006250F4" w:rsidRDefault="00346B81" w:rsidP="00EF0C44">
            <w:pPr>
              <w:jc w:val="center"/>
              <w:rPr>
                <w:rFonts w:ascii="Arial" w:hAnsi="Arial" w:cs="Arial"/>
              </w:rPr>
            </w:pPr>
            <w:r w:rsidRPr="006250F4">
              <w:rPr>
                <w:rFonts w:ascii="Arial" w:hAnsi="Arial" w:cs="Arial"/>
                <w:sz w:val="19"/>
              </w:rPr>
              <w:t>8.6%</w:t>
            </w:r>
          </w:p>
        </w:tc>
        <w:tc>
          <w:tcPr>
            <w:tcW w:w="1504" w:type="dxa"/>
          </w:tcPr>
          <w:p w14:paraId="55889F04" w14:textId="77777777" w:rsidR="00346B81" w:rsidRPr="006250F4" w:rsidRDefault="00346B81" w:rsidP="00EF0C44">
            <w:pPr>
              <w:jc w:val="center"/>
              <w:rPr>
                <w:rFonts w:ascii="Arial" w:hAnsi="Arial" w:cs="Arial"/>
              </w:rPr>
            </w:pPr>
            <w:r w:rsidRPr="006250F4">
              <w:rPr>
                <w:rFonts w:ascii="Arial" w:hAnsi="Arial" w:cs="Arial"/>
                <w:sz w:val="19"/>
              </w:rPr>
              <w:t>1</w:t>
            </w:r>
          </w:p>
        </w:tc>
      </w:tr>
    </w:tbl>
    <w:p w14:paraId="78335D1C" w14:textId="77777777" w:rsidR="00122FFF" w:rsidRDefault="00122FFF" w:rsidP="00346B81">
      <w:pPr>
        <w:rPr>
          <w:rFonts w:ascii="Arial" w:hAnsi="Arial" w:cs="Arial"/>
        </w:rPr>
      </w:pPr>
    </w:p>
    <w:p w14:paraId="473F7332" w14:textId="77777777" w:rsidR="00122FFF" w:rsidRDefault="00122FFF" w:rsidP="00346B81">
      <w:pPr>
        <w:rPr>
          <w:rFonts w:ascii="Arial" w:hAnsi="Arial" w:cs="Arial"/>
        </w:rPr>
      </w:pPr>
    </w:p>
    <w:p w14:paraId="0B956269" w14:textId="77777777" w:rsidR="00122FFF" w:rsidRPr="006250F4" w:rsidRDefault="00122FFF" w:rsidP="00346B81">
      <w:pPr>
        <w:rPr>
          <w:rFonts w:ascii="Arial" w:hAnsi="Arial" w:cs="Arial"/>
        </w:rPr>
      </w:pPr>
    </w:p>
    <w:p w14:paraId="231DF56E" w14:textId="61A0C23A" w:rsidR="00346B81" w:rsidRPr="00122FFF" w:rsidRDefault="00122FFF" w:rsidP="00122FFF">
      <w:pPr>
        <w:pStyle w:val="Heading3"/>
      </w:pPr>
      <w:bookmarkStart w:id="44" w:name="_Toc237493820"/>
      <w:r w:rsidRPr="00122FFF">
        <w:t>B</w:t>
      </w:r>
      <w:r>
        <w:t>.</w:t>
      </w:r>
      <w:r w:rsidRPr="00122FFF">
        <w:t xml:space="preserve">5 </w:t>
      </w:r>
      <w:r w:rsidR="00346B81" w:rsidRPr="00122FFF">
        <w:t>Combination analysis (max budget £100m)</w:t>
      </w:r>
      <w:bookmarkEnd w:id="44"/>
    </w:p>
    <w:p w14:paraId="202138B4" w14:textId="1F174B46"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17</w:t>
      </w:r>
      <w:r>
        <w:fldChar w:fldCharType="end"/>
      </w:r>
      <w:r>
        <w:rPr>
          <w:lang w:val="en-US"/>
        </w:rPr>
        <w:t xml:space="preserve">. </w:t>
      </w:r>
      <w:r w:rsidRPr="00180FF6">
        <w:rPr>
          <w:lang w:val="en-US"/>
        </w:rPr>
        <w:t>Capital Rationing — Project Combinations within £100m Budget. Source: Author's own calculations (Investment_Appraisal_Final.xlsx).</w:t>
      </w:r>
    </w:p>
    <w:tbl>
      <w:tblPr>
        <w:tblStyle w:val="TableGrid"/>
        <w:tblW w:w="0" w:type="auto"/>
        <w:jc w:val="center"/>
        <w:tblLook w:val="04A0" w:firstRow="1" w:lastRow="0" w:firstColumn="1" w:lastColumn="0" w:noHBand="0" w:noVBand="1"/>
      </w:tblPr>
      <w:tblGrid>
        <w:gridCol w:w="1504"/>
        <w:gridCol w:w="1502"/>
        <w:gridCol w:w="1501"/>
        <w:gridCol w:w="1503"/>
        <w:gridCol w:w="1503"/>
        <w:gridCol w:w="1503"/>
      </w:tblGrid>
      <w:tr w:rsidR="00346B81" w:rsidRPr="006250F4" w14:paraId="30390E27" w14:textId="77777777" w:rsidTr="002916AD">
        <w:trPr>
          <w:jc w:val="center"/>
        </w:trPr>
        <w:tc>
          <w:tcPr>
            <w:tcW w:w="1504" w:type="dxa"/>
            <w:shd w:val="clear" w:color="auto" w:fill="1F4E79"/>
          </w:tcPr>
          <w:p w14:paraId="4F5D35C2" w14:textId="77777777" w:rsidR="00346B81" w:rsidRPr="006250F4" w:rsidRDefault="00346B81" w:rsidP="00EF0C44">
            <w:pPr>
              <w:jc w:val="center"/>
              <w:rPr>
                <w:rFonts w:ascii="Arial" w:hAnsi="Arial" w:cs="Arial"/>
              </w:rPr>
            </w:pPr>
            <w:r w:rsidRPr="006250F4">
              <w:rPr>
                <w:rFonts w:ascii="Arial" w:hAnsi="Arial" w:cs="Arial"/>
                <w:b/>
                <w:color w:val="FFFFFF"/>
                <w:sz w:val="20"/>
              </w:rPr>
              <w:t>Combination</w:t>
            </w:r>
          </w:p>
        </w:tc>
        <w:tc>
          <w:tcPr>
            <w:tcW w:w="1502" w:type="dxa"/>
            <w:shd w:val="clear" w:color="auto" w:fill="1F4E79"/>
          </w:tcPr>
          <w:p w14:paraId="45E4212D" w14:textId="77777777" w:rsidR="00346B81" w:rsidRPr="006250F4" w:rsidRDefault="00346B81" w:rsidP="00EF0C44">
            <w:pPr>
              <w:jc w:val="center"/>
              <w:rPr>
                <w:rFonts w:ascii="Arial" w:hAnsi="Arial" w:cs="Arial"/>
              </w:rPr>
            </w:pPr>
            <w:r w:rsidRPr="006250F4">
              <w:rPr>
                <w:rFonts w:ascii="Arial" w:hAnsi="Arial" w:cs="Arial"/>
                <w:b/>
                <w:color w:val="FFFFFF"/>
                <w:sz w:val="20"/>
              </w:rPr>
              <w:t>Projects</w:t>
            </w:r>
          </w:p>
        </w:tc>
        <w:tc>
          <w:tcPr>
            <w:tcW w:w="1501" w:type="dxa"/>
            <w:shd w:val="clear" w:color="auto" w:fill="1F4E79"/>
          </w:tcPr>
          <w:p w14:paraId="5BD9A30C" w14:textId="77777777" w:rsidR="00346B81" w:rsidRPr="006250F4" w:rsidRDefault="00346B81" w:rsidP="00EF0C44">
            <w:pPr>
              <w:jc w:val="center"/>
              <w:rPr>
                <w:rFonts w:ascii="Arial" w:hAnsi="Arial" w:cs="Arial"/>
              </w:rPr>
            </w:pPr>
            <w:r w:rsidRPr="006250F4">
              <w:rPr>
                <w:rFonts w:ascii="Arial" w:hAnsi="Arial" w:cs="Arial"/>
                <w:b/>
                <w:color w:val="FFFFFF"/>
                <w:sz w:val="20"/>
              </w:rPr>
              <w:t>Total Outlay (£m)</w:t>
            </w:r>
          </w:p>
        </w:tc>
        <w:tc>
          <w:tcPr>
            <w:tcW w:w="1503" w:type="dxa"/>
            <w:shd w:val="clear" w:color="auto" w:fill="1F4E79"/>
          </w:tcPr>
          <w:p w14:paraId="4750EC2F" w14:textId="77777777" w:rsidR="00346B81" w:rsidRPr="006250F4" w:rsidRDefault="00346B81" w:rsidP="00EF0C44">
            <w:pPr>
              <w:jc w:val="center"/>
              <w:rPr>
                <w:rFonts w:ascii="Arial" w:hAnsi="Arial" w:cs="Arial"/>
              </w:rPr>
            </w:pPr>
            <w:r w:rsidRPr="006250F4">
              <w:rPr>
                <w:rFonts w:ascii="Arial" w:hAnsi="Arial" w:cs="Arial"/>
                <w:b/>
                <w:color w:val="FFFFFF"/>
                <w:sz w:val="20"/>
              </w:rPr>
              <w:t>Combined NPV (£m)</w:t>
            </w:r>
          </w:p>
        </w:tc>
        <w:tc>
          <w:tcPr>
            <w:tcW w:w="1503" w:type="dxa"/>
            <w:shd w:val="clear" w:color="auto" w:fill="1F4E79"/>
          </w:tcPr>
          <w:p w14:paraId="0681A556" w14:textId="77777777" w:rsidR="00346B81" w:rsidRPr="006250F4" w:rsidRDefault="00346B81" w:rsidP="00EF0C44">
            <w:pPr>
              <w:jc w:val="center"/>
              <w:rPr>
                <w:rFonts w:ascii="Arial" w:hAnsi="Arial" w:cs="Arial"/>
              </w:rPr>
            </w:pPr>
            <w:r w:rsidRPr="006250F4">
              <w:rPr>
                <w:rFonts w:ascii="Arial" w:hAnsi="Arial" w:cs="Arial"/>
                <w:b/>
                <w:color w:val="FFFFFF"/>
                <w:sz w:val="20"/>
              </w:rPr>
              <w:t>Combined PI</w:t>
            </w:r>
          </w:p>
        </w:tc>
        <w:tc>
          <w:tcPr>
            <w:tcW w:w="1503" w:type="dxa"/>
            <w:shd w:val="clear" w:color="auto" w:fill="1F4E79"/>
          </w:tcPr>
          <w:p w14:paraId="36B09B0D" w14:textId="77777777" w:rsidR="00346B81" w:rsidRPr="006250F4" w:rsidRDefault="00346B81" w:rsidP="00EF0C44">
            <w:pPr>
              <w:jc w:val="center"/>
              <w:rPr>
                <w:rFonts w:ascii="Arial" w:hAnsi="Arial" w:cs="Arial"/>
              </w:rPr>
            </w:pPr>
            <w:r w:rsidRPr="006250F4">
              <w:rPr>
                <w:rFonts w:ascii="Arial" w:hAnsi="Arial" w:cs="Arial"/>
                <w:b/>
                <w:color w:val="FFFFFF"/>
                <w:sz w:val="20"/>
              </w:rPr>
              <w:t>Decision</w:t>
            </w:r>
          </w:p>
        </w:tc>
      </w:tr>
      <w:tr w:rsidR="00346B81" w:rsidRPr="006250F4" w14:paraId="4A2AF6FC" w14:textId="77777777" w:rsidTr="002916AD">
        <w:trPr>
          <w:jc w:val="center"/>
        </w:trPr>
        <w:tc>
          <w:tcPr>
            <w:tcW w:w="1504" w:type="dxa"/>
          </w:tcPr>
          <w:p w14:paraId="17E0AC23" w14:textId="77777777" w:rsidR="00346B81" w:rsidRPr="006250F4" w:rsidRDefault="00346B81" w:rsidP="00EF0C44">
            <w:pPr>
              <w:rPr>
                <w:rFonts w:ascii="Arial" w:hAnsi="Arial" w:cs="Arial"/>
              </w:rPr>
            </w:pPr>
            <w:r w:rsidRPr="006250F4">
              <w:rPr>
                <w:rFonts w:ascii="Arial" w:hAnsi="Arial" w:cs="Arial"/>
                <w:sz w:val="19"/>
              </w:rPr>
              <w:t>Combination 1</w:t>
            </w:r>
          </w:p>
        </w:tc>
        <w:tc>
          <w:tcPr>
            <w:tcW w:w="1502" w:type="dxa"/>
          </w:tcPr>
          <w:p w14:paraId="21387683" w14:textId="77777777" w:rsidR="00346B81" w:rsidRPr="006250F4" w:rsidRDefault="00346B81" w:rsidP="00EF0C44">
            <w:pPr>
              <w:jc w:val="center"/>
              <w:rPr>
                <w:rFonts w:ascii="Arial" w:hAnsi="Arial" w:cs="Arial"/>
              </w:rPr>
            </w:pPr>
            <w:r w:rsidRPr="006250F4">
              <w:rPr>
                <w:rFonts w:ascii="Arial" w:hAnsi="Arial" w:cs="Arial"/>
                <w:sz w:val="19"/>
              </w:rPr>
              <w:t>Project A + Project B</w:t>
            </w:r>
          </w:p>
        </w:tc>
        <w:tc>
          <w:tcPr>
            <w:tcW w:w="1501" w:type="dxa"/>
          </w:tcPr>
          <w:p w14:paraId="0E27311F" w14:textId="77777777" w:rsidR="00346B81" w:rsidRPr="006250F4" w:rsidRDefault="00346B81" w:rsidP="00EF0C44">
            <w:pPr>
              <w:jc w:val="center"/>
              <w:rPr>
                <w:rFonts w:ascii="Arial" w:hAnsi="Arial" w:cs="Arial"/>
              </w:rPr>
            </w:pPr>
            <w:r w:rsidRPr="006250F4">
              <w:rPr>
                <w:rFonts w:ascii="Arial" w:hAnsi="Arial" w:cs="Arial"/>
                <w:sz w:val="19"/>
              </w:rPr>
              <w:t>100.0</w:t>
            </w:r>
          </w:p>
        </w:tc>
        <w:tc>
          <w:tcPr>
            <w:tcW w:w="1503" w:type="dxa"/>
          </w:tcPr>
          <w:p w14:paraId="10942837" w14:textId="77777777" w:rsidR="00346B81" w:rsidRPr="006250F4" w:rsidRDefault="00346B81" w:rsidP="00EF0C44">
            <w:pPr>
              <w:jc w:val="center"/>
              <w:rPr>
                <w:rFonts w:ascii="Arial" w:hAnsi="Arial" w:cs="Arial"/>
              </w:rPr>
            </w:pPr>
            <w:r w:rsidRPr="006250F4">
              <w:rPr>
                <w:rFonts w:ascii="Arial" w:hAnsi="Arial" w:cs="Arial"/>
                <w:sz w:val="19"/>
              </w:rPr>
              <w:t>-12.62</w:t>
            </w:r>
          </w:p>
        </w:tc>
        <w:tc>
          <w:tcPr>
            <w:tcW w:w="1503" w:type="dxa"/>
          </w:tcPr>
          <w:p w14:paraId="1ED77111" w14:textId="77777777" w:rsidR="00346B81" w:rsidRPr="006250F4" w:rsidRDefault="00346B81" w:rsidP="00EF0C44">
            <w:pPr>
              <w:jc w:val="center"/>
              <w:rPr>
                <w:rFonts w:ascii="Arial" w:hAnsi="Arial" w:cs="Arial"/>
              </w:rPr>
            </w:pPr>
            <w:r w:rsidRPr="006250F4">
              <w:rPr>
                <w:rFonts w:ascii="Arial" w:hAnsi="Arial" w:cs="Arial"/>
                <w:sz w:val="19"/>
              </w:rPr>
              <w:t>0.874</w:t>
            </w:r>
          </w:p>
        </w:tc>
        <w:tc>
          <w:tcPr>
            <w:tcW w:w="1503" w:type="dxa"/>
          </w:tcPr>
          <w:p w14:paraId="4A195DA9" w14:textId="77777777" w:rsidR="00346B81" w:rsidRPr="006250F4" w:rsidRDefault="00346B81" w:rsidP="00EF0C44">
            <w:pPr>
              <w:jc w:val="center"/>
              <w:rPr>
                <w:rFonts w:ascii="Arial" w:hAnsi="Arial" w:cs="Arial"/>
              </w:rPr>
            </w:pPr>
            <w:r w:rsidRPr="006250F4">
              <w:rPr>
                <w:rFonts w:ascii="Arial" w:hAnsi="Arial" w:cs="Arial"/>
                <w:sz w:val="19"/>
              </w:rPr>
              <w:t>Reject (Lowest NPV)</w:t>
            </w:r>
          </w:p>
        </w:tc>
      </w:tr>
      <w:tr w:rsidR="00346B81" w:rsidRPr="006250F4" w14:paraId="63FCCD34" w14:textId="77777777" w:rsidTr="002916AD">
        <w:trPr>
          <w:jc w:val="center"/>
        </w:trPr>
        <w:tc>
          <w:tcPr>
            <w:tcW w:w="1504" w:type="dxa"/>
          </w:tcPr>
          <w:p w14:paraId="6D51EC2C" w14:textId="77777777" w:rsidR="00346B81" w:rsidRPr="006250F4" w:rsidRDefault="00346B81" w:rsidP="00EF0C44">
            <w:pPr>
              <w:rPr>
                <w:rFonts w:ascii="Arial" w:hAnsi="Arial" w:cs="Arial"/>
              </w:rPr>
            </w:pPr>
            <w:r w:rsidRPr="006250F4">
              <w:rPr>
                <w:rFonts w:ascii="Arial" w:hAnsi="Arial" w:cs="Arial"/>
                <w:sz w:val="19"/>
              </w:rPr>
              <w:t>Combination 2</w:t>
            </w:r>
          </w:p>
        </w:tc>
        <w:tc>
          <w:tcPr>
            <w:tcW w:w="1502" w:type="dxa"/>
          </w:tcPr>
          <w:p w14:paraId="7ADE50E3" w14:textId="77777777" w:rsidR="00346B81" w:rsidRPr="006250F4" w:rsidRDefault="00346B81" w:rsidP="00EF0C44">
            <w:pPr>
              <w:jc w:val="center"/>
              <w:rPr>
                <w:rFonts w:ascii="Arial" w:hAnsi="Arial" w:cs="Arial"/>
              </w:rPr>
            </w:pPr>
            <w:r w:rsidRPr="006250F4">
              <w:rPr>
                <w:rFonts w:ascii="Arial" w:hAnsi="Arial" w:cs="Arial"/>
                <w:sz w:val="19"/>
              </w:rPr>
              <w:t>Project A + Project C</w:t>
            </w:r>
          </w:p>
        </w:tc>
        <w:tc>
          <w:tcPr>
            <w:tcW w:w="1501" w:type="dxa"/>
          </w:tcPr>
          <w:p w14:paraId="3DD20CE0" w14:textId="77777777" w:rsidR="00346B81" w:rsidRPr="006250F4" w:rsidRDefault="00346B81" w:rsidP="00EF0C44">
            <w:pPr>
              <w:jc w:val="center"/>
              <w:rPr>
                <w:rFonts w:ascii="Arial" w:hAnsi="Arial" w:cs="Arial"/>
              </w:rPr>
            </w:pPr>
            <w:r w:rsidRPr="006250F4">
              <w:rPr>
                <w:rFonts w:ascii="Arial" w:hAnsi="Arial" w:cs="Arial"/>
                <w:sz w:val="19"/>
              </w:rPr>
              <w:t>100.0</w:t>
            </w:r>
          </w:p>
        </w:tc>
        <w:tc>
          <w:tcPr>
            <w:tcW w:w="1503" w:type="dxa"/>
          </w:tcPr>
          <w:p w14:paraId="3E44C351" w14:textId="77777777" w:rsidR="00346B81" w:rsidRPr="006250F4" w:rsidRDefault="00346B81" w:rsidP="00EF0C44">
            <w:pPr>
              <w:jc w:val="center"/>
              <w:rPr>
                <w:rFonts w:ascii="Arial" w:hAnsi="Arial" w:cs="Arial"/>
              </w:rPr>
            </w:pPr>
            <w:r w:rsidRPr="006250F4">
              <w:rPr>
                <w:rFonts w:ascii="Arial" w:hAnsi="Arial" w:cs="Arial"/>
                <w:sz w:val="19"/>
              </w:rPr>
              <w:t>-5.69</w:t>
            </w:r>
          </w:p>
        </w:tc>
        <w:tc>
          <w:tcPr>
            <w:tcW w:w="1503" w:type="dxa"/>
          </w:tcPr>
          <w:p w14:paraId="6F05E160" w14:textId="77777777" w:rsidR="00346B81" w:rsidRPr="006250F4" w:rsidRDefault="00346B81" w:rsidP="00EF0C44">
            <w:pPr>
              <w:jc w:val="center"/>
              <w:rPr>
                <w:rFonts w:ascii="Arial" w:hAnsi="Arial" w:cs="Arial"/>
              </w:rPr>
            </w:pPr>
            <w:r w:rsidRPr="006250F4">
              <w:rPr>
                <w:rFonts w:ascii="Arial" w:hAnsi="Arial" w:cs="Arial"/>
                <w:sz w:val="19"/>
              </w:rPr>
              <w:t>0.943</w:t>
            </w:r>
          </w:p>
        </w:tc>
        <w:tc>
          <w:tcPr>
            <w:tcW w:w="1503" w:type="dxa"/>
          </w:tcPr>
          <w:p w14:paraId="4FA40FBE" w14:textId="77777777" w:rsidR="00346B81" w:rsidRPr="006250F4" w:rsidRDefault="00346B81" w:rsidP="00EF0C44">
            <w:pPr>
              <w:jc w:val="center"/>
              <w:rPr>
                <w:rFonts w:ascii="Arial" w:hAnsi="Arial" w:cs="Arial"/>
              </w:rPr>
            </w:pPr>
            <w:r w:rsidRPr="006250F4">
              <w:rPr>
                <w:rFonts w:ascii="Arial" w:hAnsi="Arial" w:cs="Arial"/>
                <w:sz w:val="19"/>
              </w:rPr>
              <w:t>Reject (Negative NPV)</w:t>
            </w:r>
          </w:p>
        </w:tc>
      </w:tr>
      <w:tr w:rsidR="00346B81" w:rsidRPr="006250F4" w14:paraId="01697927" w14:textId="77777777" w:rsidTr="002916AD">
        <w:trPr>
          <w:jc w:val="center"/>
        </w:trPr>
        <w:tc>
          <w:tcPr>
            <w:tcW w:w="1504" w:type="dxa"/>
          </w:tcPr>
          <w:p w14:paraId="74593448" w14:textId="77777777" w:rsidR="00346B81" w:rsidRPr="006250F4" w:rsidRDefault="00346B81" w:rsidP="00EF0C44">
            <w:pPr>
              <w:rPr>
                <w:rFonts w:ascii="Arial" w:hAnsi="Arial" w:cs="Arial"/>
              </w:rPr>
            </w:pPr>
            <w:r w:rsidRPr="006250F4">
              <w:rPr>
                <w:rFonts w:ascii="Arial" w:hAnsi="Arial" w:cs="Arial"/>
                <w:sz w:val="19"/>
              </w:rPr>
              <w:t>Combination 3</w:t>
            </w:r>
          </w:p>
        </w:tc>
        <w:tc>
          <w:tcPr>
            <w:tcW w:w="1502" w:type="dxa"/>
          </w:tcPr>
          <w:p w14:paraId="1D3799AE" w14:textId="77777777" w:rsidR="00346B81" w:rsidRPr="006250F4" w:rsidRDefault="00346B81" w:rsidP="00EF0C44">
            <w:pPr>
              <w:jc w:val="center"/>
              <w:rPr>
                <w:rFonts w:ascii="Arial" w:hAnsi="Arial" w:cs="Arial"/>
              </w:rPr>
            </w:pPr>
            <w:r w:rsidRPr="006250F4">
              <w:rPr>
                <w:rFonts w:ascii="Arial" w:hAnsi="Arial" w:cs="Arial"/>
                <w:sz w:val="19"/>
              </w:rPr>
              <w:t>Project B + Project C</w:t>
            </w:r>
          </w:p>
        </w:tc>
        <w:tc>
          <w:tcPr>
            <w:tcW w:w="1501" w:type="dxa"/>
          </w:tcPr>
          <w:p w14:paraId="790F74DC" w14:textId="77777777" w:rsidR="00346B81" w:rsidRPr="006250F4" w:rsidRDefault="00346B81" w:rsidP="00EF0C44">
            <w:pPr>
              <w:jc w:val="center"/>
              <w:rPr>
                <w:rFonts w:ascii="Arial" w:hAnsi="Arial" w:cs="Arial"/>
              </w:rPr>
            </w:pPr>
            <w:r w:rsidRPr="006250F4">
              <w:rPr>
                <w:rFonts w:ascii="Arial" w:hAnsi="Arial" w:cs="Arial"/>
                <w:sz w:val="19"/>
              </w:rPr>
              <w:t>100.0</w:t>
            </w:r>
          </w:p>
        </w:tc>
        <w:tc>
          <w:tcPr>
            <w:tcW w:w="1503" w:type="dxa"/>
          </w:tcPr>
          <w:p w14:paraId="61031527" w14:textId="77777777" w:rsidR="00346B81" w:rsidRPr="006250F4" w:rsidRDefault="00346B81" w:rsidP="00EF0C44">
            <w:pPr>
              <w:jc w:val="center"/>
              <w:rPr>
                <w:rFonts w:ascii="Arial" w:hAnsi="Arial" w:cs="Arial"/>
              </w:rPr>
            </w:pPr>
            <w:r w:rsidRPr="006250F4">
              <w:rPr>
                <w:rFonts w:ascii="Arial" w:hAnsi="Arial" w:cs="Arial"/>
                <w:sz w:val="19"/>
              </w:rPr>
              <w:t>-5.22</w:t>
            </w:r>
          </w:p>
        </w:tc>
        <w:tc>
          <w:tcPr>
            <w:tcW w:w="1503" w:type="dxa"/>
          </w:tcPr>
          <w:p w14:paraId="4E4F7579" w14:textId="77777777" w:rsidR="00346B81" w:rsidRPr="006250F4" w:rsidRDefault="00346B81" w:rsidP="00EF0C44">
            <w:pPr>
              <w:jc w:val="center"/>
              <w:rPr>
                <w:rFonts w:ascii="Arial" w:hAnsi="Arial" w:cs="Arial"/>
              </w:rPr>
            </w:pPr>
            <w:r w:rsidRPr="006250F4">
              <w:rPr>
                <w:rFonts w:ascii="Arial" w:hAnsi="Arial" w:cs="Arial"/>
                <w:sz w:val="19"/>
              </w:rPr>
              <w:t>0.948</w:t>
            </w:r>
          </w:p>
        </w:tc>
        <w:tc>
          <w:tcPr>
            <w:tcW w:w="1503" w:type="dxa"/>
          </w:tcPr>
          <w:p w14:paraId="595A89E8" w14:textId="0F305508" w:rsidR="002916AD" w:rsidRPr="002916AD" w:rsidRDefault="00346B81" w:rsidP="002916AD">
            <w:pPr>
              <w:jc w:val="center"/>
              <w:rPr>
                <w:rFonts w:ascii="Arial" w:hAnsi="Arial" w:cs="Arial"/>
                <w:sz w:val="19"/>
              </w:rPr>
            </w:pPr>
            <w:r w:rsidRPr="006250F4">
              <w:rPr>
                <w:rFonts w:ascii="Arial" w:hAnsi="Arial" w:cs="Arial"/>
                <w:sz w:val="19"/>
              </w:rPr>
              <w:t>Best 2-Project Combination</w:t>
            </w:r>
          </w:p>
        </w:tc>
      </w:tr>
      <w:tr w:rsidR="002916AD" w:rsidRPr="006250F4" w14:paraId="67A4308F" w14:textId="77777777" w:rsidTr="002916AD">
        <w:trPr>
          <w:jc w:val="center"/>
        </w:trPr>
        <w:tc>
          <w:tcPr>
            <w:tcW w:w="1504" w:type="dxa"/>
          </w:tcPr>
          <w:p w14:paraId="5D7B2E7B" w14:textId="58DF0341" w:rsidR="002916AD" w:rsidRPr="006250F4" w:rsidRDefault="002916AD" w:rsidP="00EF0C44">
            <w:pPr>
              <w:rPr>
                <w:rFonts w:ascii="Arial" w:hAnsi="Arial" w:cs="Arial"/>
                <w:sz w:val="19"/>
              </w:rPr>
            </w:pPr>
            <w:r w:rsidRPr="002916AD">
              <w:rPr>
                <w:rFonts w:ascii="Arial" w:hAnsi="Arial" w:cs="Arial"/>
                <w:sz w:val="19"/>
              </w:rPr>
              <w:t>Standalone</w:t>
            </w:r>
          </w:p>
        </w:tc>
        <w:tc>
          <w:tcPr>
            <w:tcW w:w="1502" w:type="dxa"/>
          </w:tcPr>
          <w:p w14:paraId="59B30172" w14:textId="39844C74" w:rsidR="002916AD" w:rsidRPr="006250F4" w:rsidRDefault="002916AD" w:rsidP="00EF0C44">
            <w:pPr>
              <w:jc w:val="center"/>
              <w:rPr>
                <w:rFonts w:ascii="Arial" w:hAnsi="Arial" w:cs="Arial"/>
                <w:sz w:val="19"/>
              </w:rPr>
            </w:pPr>
            <w:r w:rsidRPr="002916AD">
              <w:rPr>
                <w:rFonts w:ascii="Arial" w:hAnsi="Arial" w:cs="Arial"/>
                <w:sz w:val="19"/>
              </w:rPr>
              <w:t>Project C Only</w:t>
            </w:r>
          </w:p>
        </w:tc>
        <w:tc>
          <w:tcPr>
            <w:tcW w:w="1501" w:type="dxa"/>
          </w:tcPr>
          <w:p w14:paraId="434B474F" w14:textId="70D3F420" w:rsidR="002916AD" w:rsidRPr="006250F4" w:rsidRDefault="002916AD" w:rsidP="00EF0C44">
            <w:pPr>
              <w:jc w:val="center"/>
              <w:rPr>
                <w:rFonts w:ascii="Arial" w:hAnsi="Arial" w:cs="Arial"/>
                <w:sz w:val="19"/>
              </w:rPr>
            </w:pPr>
            <w:r w:rsidRPr="002916AD">
              <w:rPr>
                <w:rFonts w:ascii="Arial" w:hAnsi="Arial" w:cs="Arial"/>
                <w:sz w:val="19"/>
              </w:rPr>
              <w:t>50.0</w:t>
            </w:r>
          </w:p>
        </w:tc>
        <w:tc>
          <w:tcPr>
            <w:tcW w:w="1503" w:type="dxa"/>
          </w:tcPr>
          <w:p w14:paraId="39FB73D2" w14:textId="02299F33" w:rsidR="002916AD" w:rsidRPr="006250F4" w:rsidRDefault="002916AD" w:rsidP="00EF0C44">
            <w:pPr>
              <w:jc w:val="center"/>
              <w:rPr>
                <w:rFonts w:ascii="Arial" w:hAnsi="Arial" w:cs="Arial"/>
                <w:sz w:val="19"/>
              </w:rPr>
            </w:pPr>
            <w:r>
              <w:rPr>
                <w:rFonts w:ascii="Arial" w:hAnsi="Arial" w:cs="Arial"/>
                <w:sz w:val="19"/>
              </w:rPr>
              <w:t>0.86</w:t>
            </w:r>
          </w:p>
        </w:tc>
        <w:tc>
          <w:tcPr>
            <w:tcW w:w="1503" w:type="dxa"/>
          </w:tcPr>
          <w:p w14:paraId="7E971C1F" w14:textId="5F85B1FB" w:rsidR="002916AD" w:rsidRPr="006250F4" w:rsidRDefault="002916AD" w:rsidP="00EF0C44">
            <w:pPr>
              <w:jc w:val="center"/>
              <w:rPr>
                <w:rFonts w:ascii="Arial" w:hAnsi="Arial" w:cs="Arial"/>
                <w:sz w:val="19"/>
              </w:rPr>
            </w:pPr>
            <w:r>
              <w:rPr>
                <w:rFonts w:ascii="Arial" w:hAnsi="Arial" w:cs="Arial"/>
                <w:sz w:val="19"/>
              </w:rPr>
              <w:t>1.017</w:t>
            </w:r>
          </w:p>
        </w:tc>
        <w:tc>
          <w:tcPr>
            <w:tcW w:w="1503" w:type="dxa"/>
          </w:tcPr>
          <w:p w14:paraId="061ED37E" w14:textId="1E8F4F19" w:rsidR="002916AD" w:rsidRPr="006250F4" w:rsidRDefault="002916AD" w:rsidP="002916AD">
            <w:pPr>
              <w:jc w:val="center"/>
              <w:rPr>
                <w:rFonts w:ascii="Arial" w:hAnsi="Arial" w:cs="Arial"/>
                <w:sz w:val="19"/>
              </w:rPr>
            </w:pPr>
            <w:r w:rsidRPr="002916AD">
              <w:rPr>
                <w:rFonts w:ascii="Arial" w:hAnsi="Arial" w:cs="Arial"/>
                <w:sz w:val="19"/>
              </w:rPr>
              <w:t>Optimal Investment Strategy</w:t>
            </w:r>
          </w:p>
        </w:tc>
      </w:tr>
    </w:tbl>
    <w:p w14:paraId="465987E9" w14:textId="77777777" w:rsidR="00346B81" w:rsidRPr="006250F4" w:rsidRDefault="00346B81" w:rsidP="00346B81">
      <w:pPr>
        <w:rPr>
          <w:rFonts w:ascii="Arial" w:hAnsi="Arial" w:cs="Arial"/>
        </w:rPr>
      </w:pPr>
    </w:p>
    <w:p w14:paraId="15244BFF" w14:textId="3154B80F" w:rsidR="00346B81" w:rsidRDefault="00346B81" w:rsidP="000106C3">
      <w:pPr>
        <w:rPr>
          <w:rFonts w:ascii="Arial" w:hAnsi="Arial" w:cs="Arial"/>
        </w:rPr>
      </w:pPr>
    </w:p>
    <w:p w14:paraId="4E32A6D8" w14:textId="023E661F" w:rsidR="00825C7E" w:rsidRPr="00825C7E" w:rsidRDefault="00825C7E" w:rsidP="000106C3">
      <w:pPr>
        <w:rPr>
          <w:rFonts w:ascii="Arial" w:hAnsi="Arial" w:cs="Arial"/>
          <w:b/>
          <w:bCs/>
          <w:sz w:val="24"/>
          <w:szCs w:val="24"/>
        </w:rPr>
      </w:pPr>
      <w:r>
        <w:rPr>
          <w:rFonts w:ascii="Arial" w:hAnsi="Arial" w:cs="Arial"/>
          <w:b/>
          <w:bCs/>
          <w:sz w:val="24"/>
          <w:szCs w:val="24"/>
        </w:rPr>
        <w:lastRenderedPageBreak/>
        <w:t>I</w:t>
      </w:r>
      <w:r w:rsidRPr="00825C7E">
        <w:rPr>
          <w:rFonts w:ascii="Arial" w:hAnsi="Arial" w:cs="Arial"/>
          <w:b/>
          <w:bCs/>
          <w:sz w:val="24"/>
          <w:szCs w:val="24"/>
        </w:rPr>
        <w:t>ncome statement</w:t>
      </w:r>
    </w:p>
    <w:p w14:paraId="439F95F5" w14:textId="54A87685" w:rsidR="00100A38" w:rsidRDefault="00825C7E" w:rsidP="000106C3">
      <w:pPr>
        <w:rPr>
          <w:rFonts w:ascii="Arial" w:hAnsi="Arial" w:cs="Arial"/>
        </w:rPr>
      </w:pPr>
      <w:r>
        <w:rPr>
          <w:rFonts w:ascii="Arial" w:hAnsi="Arial" w:cs="Arial"/>
          <w:noProof/>
        </w:rPr>
        <w:drawing>
          <wp:inline distT="0" distB="0" distL="0" distR="0" wp14:anchorId="5DD79ED0" wp14:editId="436055D1">
            <wp:extent cx="5731510" cy="1502410"/>
            <wp:effectExtent l="0" t="0" r="2540" b="2540"/>
            <wp:docPr id="1604977887" name="Picture 1" descr=" income statemen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77887" name="Picture 1" descr=" income statement">
                      <a:extLst>
                        <a:ext uri="{C183D7F6-B498-43B3-948B-1728B52AA6E4}">
                          <adec:decorative xmlns:adec="http://schemas.microsoft.com/office/drawing/2017/decorative" val="0"/>
                        </a:ext>
                      </a:extLst>
                    </pic:cNvPr>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502410"/>
                    </a:xfrm>
                    <a:prstGeom prst="rect">
                      <a:avLst/>
                    </a:prstGeom>
                  </pic:spPr>
                </pic:pic>
              </a:graphicData>
            </a:graphic>
          </wp:inline>
        </w:drawing>
      </w:r>
    </w:p>
    <w:p w14:paraId="6D28EE23" w14:textId="77777777" w:rsidR="00100A38" w:rsidRDefault="00100A38" w:rsidP="000106C3">
      <w:pPr>
        <w:rPr>
          <w:rFonts w:ascii="Arial" w:hAnsi="Arial" w:cs="Arial"/>
        </w:rPr>
      </w:pPr>
    </w:p>
    <w:p w14:paraId="21B93304" w14:textId="45400082" w:rsidR="00825C7E" w:rsidRPr="00825C7E" w:rsidRDefault="00825C7E" w:rsidP="000106C3">
      <w:pPr>
        <w:rPr>
          <w:rFonts w:ascii="Arial" w:hAnsi="Arial" w:cs="Arial"/>
          <w:b/>
          <w:bCs/>
          <w:sz w:val="24"/>
          <w:szCs w:val="24"/>
        </w:rPr>
      </w:pPr>
      <w:r w:rsidRPr="00825C7E">
        <w:rPr>
          <w:rFonts w:ascii="Arial" w:hAnsi="Arial" w:cs="Arial"/>
          <w:b/>
          <w:bCs/>
          <w:sz w:val="24"/>
          <w:szCs w:val="24"/>
        </w:rPr>
        <w:t>Balance Sheet</w:t>
      </w:r>
    </w:p>
    <w:p w14:paraId="2F36EB44" w14:textId="24F34546" w:rsidR="00825C7E" w:rsidRDefault="00746230" w:rsidP="000106C3">
      <w:pPr>
        <w:rPr>
          <w:rFonts w:ascii="Arial" w:hAnsi="Arial" w:cs="Arial"/>
        </w:rPr>
      </w:pPr>
      <w:r>
        <w:rPr>
          <w:rFonts w:ascii="Arial" w:hAnsi="Arial" w:cs="Arial"/>
          <w:noProof/>
        </w:rPr>
        <w:drawing>
          <wp:inline distT="0" distB="0" distL="0" distR="0" wp14:anchorId="504163CE" wp14:editId="21AAF305">
            <wp:extent cx="5731510" cy="2956560"/>
            <wp:effectExtent l="0" t="0" r="2540" b="0"/>
            <wp:docPr id="2087882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82573" name="Picture 208788257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956560"/>
                    </a:xfrm>
                    <a:prstGeom prst="rect">
                      <a:avLst/>
                    </a:prstGeom>
                  </pic:spPr>
                </pic:pic>
              </a:graphicData>
            </a:graphic>
          </wp:inline>
        </w:drawing>
      </w:r>
    </w:p>
    <w:p w14:paraId="3730DD31" w14:textId="77777777" w:rsidR="00746230" w:rsidRDefault="00746230" w:rsidP="00746230">
      <w:pPr>
        <w:rPr>
          <w:rFonts w:ascii="Arial" w:hAnsi="Arial" w:cs="Arial"/>
        </w:rPr>
      </w:pPr>
    </w:p>
    <w:p w14:paraId="6D7CF57B" w14:textId="77777777" w:rsidR="00746230" w:rsidRDefault="00746230" w:rsidP="00746230">
      <w:pPr>
        <w:rPr>
          <w:rFonts w:ascii="Arial" w:hAnsi="Arial" w:cs="Arial"/>
        </w:rPr>
      </w:pPr>
    </w:p>
    <w:p w14:paraId="1E05E19A" w14:textId="77777777" w:rsidR="00746230" w:rsidRDefault="00746230" w:rsidP="00746230">
      <w:pPr>
        <w:rPr>
          <w:rFonts w:ascii="Arial" w:hAnsi="Arial" w:cs="Arial"/>
        </w:rPr>
      </w:pPr>
    </w:p>
    <w:p w14:paraId="0F6C7464" w14:textId="77777777" w:rsidR="00746230" w:rsidRDefault="00746230" w:rsidP="00746230">
      <w:pPr>
        <w:rPr>
          <w:rFonts w:ascii="Arial" w:hAnsi="Arial" w:cs="Arial"/>
        </w:rPr>
      </w:pPr>
    </w:p>
    <w:p w14:paraId="4D357285" w14:textId="77777777" w:rsidR="00746230" w:rsidRDefault="00746230" w:rsidP="00746230">
      <w:pPr>
        <w:rPr>
          <w:rFonts w:ascii="Arial" w:hAnsi="Arial" w:cs="Arial"/>
        </w:rPr>
      </w:pPr>
    </w:p>
    <w:p w14:paraId="7752E89D" w14:textId="77777777" w:rsidR="00746230" w:rsidRDefault="00746230" w:rsidP="00746230">
      <w:pPr>
        <w:rPr>
          <w:rFonts w:ascii="Arial" w:hAnsi="Arial" w:cs="Arial"/>
        </w:rPr>
      </w:pPr>
    </w:p>
    <w:p w14:paraId="5D331208" w14:textId="77777777" w:rsidR="00746230" w:rsidRDefault="00746230" w:rsidP="00746230">
      <w:pPr>
        <w:rPr>
          <w:rFonts w:ascii="Arial" w:hAnsi="Arial" w:cs="Arial"/>
        </w:rPr>
      </w:pPr>
    </w:p>
    <w:p w14:paraId="5654B934" w14:textId="77777777" w:rsidR="00746230" w:rsidRDefault="00746230" w:rsidP="00746230">
      <w:pPr>
        <w:rPr>
          <w:rFonts w:ascii="Arial" w:hAnsi="Arial" w:cs="Arial"/>
        </w:rPr>
      </w:pPr>
    </w:p>
    <w:p w14:paraId="5D265799" w14:textId="77777777" w:rsidR="00746230" w:rsidRDefault="00746230" w:rsidP="00746230">
      <w:pPr>
        <w:rPr>
          <w:rFonts w:ascii="Arial" w:hAnsi="Arial" w:cs="Arial"/>
        </w:rPr>
      </w:pPr>
    </w:p>
    <w:p w14:paraId="3A760C34" w14:textId="76EC0E43" w:rsidR="00746230" w:rsidRDefault="00746230" w:rsidP="00746230">
      <w:pPr>
        <w:rPr>
          <w:rFonts w:ascii="Arial" w:hAnsi="Arial" w:cs="Arial"/>
          <w:b/>
          <w:bCs/>
          <w:sz w:val="24"/>
          <w:szCs w:val="24"/>
        </w:rPr>
      </w:pPr>
      <w:r w:rsidRPr="00746230">
        <w:rPr>
          <w:rFonts w:ascii="Arial" w:hAnsi="Arial" w:cs="Arial"/>
          <w:b/>
          <w:bCs/>
          <w:sz w:val="24"/>
          <w:szCs w:val="24"/>
        </w:rPr>
        <w:lastRenderedPageBreak/>
        <w:t>Cash Flow Component</w:t>
      </w:r>
    </w:p>
    <w:p w14:paraId="73E03ABA" w14:textId="5661A639" w:rsidR="00746230" w:rsidRPr="00746230" w:rsidRDefault="00746230" w:rsidP="00746230">
      <w:pPr>
        <w:rPr>
          <w:rFonts w:ascii="Arial" w:hAnsi="Arial" w:cs="Arial"/>
          <w:b/>
          <w:bCs/>
          <w:sz w:val="24"/>
          <w:szCs w:val="24"/>
        </w:rPr>
      </w:pPr>
      <w:r>
        <w:rPr>
          <w:rFonts w:ascii="Arial" w:hAnsi="Arial" w:cs="Arial"/>
          <w:b/>
          <w:bCs/>
          <w:noProof/>
          <w:sz w:val="24"/>
          <w:szCs w:val="24"/>
        </w:rPr>
        <w:drawing>
          <wp:inline distT="0" distB="0" distL="0" distR="0" wp14:anchorId="7B32C952" wp14:editId="22FB66FE">
            <wp:extent cx="5731510" cy="2305685"/>
            <wp:effectExtent l="0" t="0" r="2540" b="0"/>
            <wp:docPr id="384345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34571" name="Picture 3843457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305685"/>
                    </a:xfrm>
                    <a:prstGeom prst="rect">
                      <a:avLst/>
                    </a:prstGeom>
                  </pic:spPr>
                </pic:pic>
              </a:graphicData>
            </a:graphic>
          </wp:inline>
        </w:drawing>
      </w:r>
    </w:p>
    <w:sectPr w:rsidR="00746230" w:rsidRPr="00746230">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4D188" w14:textId="77777777" w:rsidR="003A030E" w:rsidRDefault="003A030E" w:rsidP="00E751D7">
      <w:pPr>
        <w:spacing w:after="0" w:line="240" w:lineRule="auto"/>
      </w:pPr>
      <w:r>
        <w:separator/>
      </w:r>
    </w:p>
  </w:endnote>
  <w:endnote w:type="continuationSeparator" w:id="0">
    <w:p w14:paraId="1D0FB5C1" w14:textId="77777777" w:rsidR="003A030E" w:rsidRDefault="003A030E" w:rsidP="00E75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100656"/>
      <w:docPartObj>
        <w:docPartGallery w:val="Page Numbers (Bottom of Page)"/>
        <w:docPartUnique/>
      </w:docPartObj>
    </w:sdtPr>
    <w:sdtEndPr>
      <w:rPr>
        <w:noProof/>
      </w:rPr>
    </w:sdtEndPr>
    <w:sdtContent>
      <w:p w14:paraId="020215A9" w14:textId="27139ECA" w:rsidR="00664E45" w:rsidRDefault="00664E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48E859" w14:textId="77777777" w:rsidR="00664E45" w:rsidRDefault="00664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60A0D" w14:textId="77777777" w:rsidR="003A030E" w:rsidRDefault="003A030E" w:rsidP="00E751D7">
      <w:pPr>
        <w:spacing w:after="0" w:line="240" w:lineRule="auto"/>
      </w:pPr>
      <w:r>
        <w:separator/>
      </w:r>
    </w:p>
  </w:footnote>
  <w:footnote w:type="continuationSeparator" w:id="0">
    <w:p w14:paraId="055F69BC" w14:textId="77777777" w:rsidR="003A030E" w:rsidRDefault="003A030E" w:rsidP="00E751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97E8C"/>
    <w:multiLevelType w:val="hybridMultilevel"/>
    <w:tmpl w:val="8DB4AB4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D5B1E2A"/>
    <w:multiLevelType w:val="hybridMultilevel"/>
    <w:tmpl w:val="D4D46488"/>
    <w:lvl w:ilvl="0" w:tplc="269A564A">
      <w:start w:val="1"/>
      <w:numFmt w:val="decimal"/>
      <w:lvlText w:val="%1."/>
      <w:lvlJc w:val="left"/>
      <w:pPr>
        <w:ind w:left="803" w:hanging="443"/>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97174257">
    <w:abstractNumId w:val="1"/>
  </w:num>
  <w:num w:numId="2" w16cid:durableId="1773667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1FB"/>
    <w:rsid w:val="00004613"/>
    <w:rsid w:val="000106C3"/>
    <w:rsid w:val="0004726A"/>
    <w:rsid w:val="00072DC1"/>
    <w:rsid w:val="00077A59"/>
    <w:rsid w:val="000A39DC"/>
    <w:rsid w:val="000B12B0"/>
    <w:rsid w:val="000B2D3B"/>
    <w:rsid w:val="000C4706"/>
    <w:rsid w:val="000F4F84"/>
    <w:rsid w:val="00100A38"/>
    <w:rsid w:val="00100F68"/>
    <w:rsid w:val="00105898"/>
    <w:rsid w:val="0010600B"/>
    <w:rsid w:val="00122FFF"/>
    <w:rsid w:val="00131122"/>
    <w:rsid w:val="00166240"/>
    <w:rsid w:val="001A0188"/>
    <w:rsid w:val="001A4C41"/>
    <w:rsid w:val="001D4E79"/>
    <w:rsid w:val="001E0997"/>
    <w:rsid w:val="00213BA7"/>
    <w:rsid w:val="002219AB"/>
    <w:rsid w:val="0024027E"/>
    <w:rsid w:val="002457B7"/>
    <w:rsid w:val="002606B1"/>
    <w:rsid w:val="0026359C"/>
    <w:rsid w:val="0028088A"/>
    <w:rsid w:val="002866BC"/>
    <w:rsid w:val="00286E39"/>
    <w:rsid w:val="002916AD"/>
    <w:rsid w:val="00294C44"/>
    <w:rsid w:val="002A7DAD"/>
    <w:rsid w:val="002C69C9"/>
    <w:rsid w:val="002D05F8"/>
    <w:rsid w:val="00336FF5"/>
    <w:rsid w:val="00340F60"/>
    <w:rsid w:val="00346B81"/>
    <w:rsid w:val="00352F43"/>
    <w:rsid w:val="0035477F"/>
    <w:rsid w:val="003A030E"/>
    <w:rsid w:val="003C5A40"/>
    <w:rsid w:val="004039D5"/>
    <w:rsid w:val="00413C61"/>
    <w:rsid w:val="00490EA2"/>
    <w:rsid w:val="004A66F9"/>
    <w:rsid w:val="004D5AFE"/>
    <w:rsid w:val="00500CC0"/>
    <w:rsid w:val="00531537"/>
    <w:rsid w:val="00587CD1"/>
    <w:rsid w:val="005A69AE"/>
    <w:rsid w:val="005C44FB"/>
    <w:rsid w:val="005D45BB"/>
    <w:rsid w:val="005F468C"/>
    <w:rsid w:val="006018E6"/>
    <w:rsid w:val="00605B16"/>
    <w:rsid w:val="006250F4"/>
    <w:rsid w:val="00626D0A"/>
    <w:rsid w:val="00646808"/>
    <w:rsid w:val="006547C1"/>
    <w:rsid w:val="00664E45"/>
    <w:rsid w:val="0068541F"/>
    <w:rsid w:val="006D54B6"/>
    <w:rsid w:val="006D5B69"/>
    <w:rsid w:val="006E279E"/>
    <w:rsid w:val="006F35BB"/>
    <w:rsid w:val="007212C8"/>
    <w:rsid w:val="00723C4C"/>
    <w:rsid w:val="00731250"/>
    <w:rsid w:val="007315C2"/>
    <w:rsid w:val="00746230"/>
    <w:rsid w:val="007609F0"/>
    <w:rsid w:val="007A4AF8"/>
    <w:rsid w:val="007D0873"/>
    <w:rsid w:val="007F6A60"/>
    <w:rsid w:val="00823156"/>
    <w:rsid w:val="00825C7E"/>
    <w:rsid w:val="008422D4"/>
    <w:rsid w:val="008D1BFC"/>
    <w:rsid w:val="008F09B0"/>
    <w:rsid w:val="00903CA9"/>
    <w:rsid w:val="009244F3"/>
    <w:rsid w:val="00932B0A"/>
    <w:rsid w:val="009A3A27"/>
    <w:rsid w:val="009A5C93"/>
    <w:rsid w:val="009B329C"/>
    <w:rsid w:val="009D3660"/>
    <w:rsid w:val="00A138A6"/>
    <w:rsid w:val="00A71558"/>
    <w:rsid w:val="00A743BE"/>
    <w:rsid w:val="00AC3296"/>
    <w:rsid w:val="00AF58AB"/>
    <w:rsid w:val="00B5419C"/>
    <w:rsid w:val="00B563E7"/>
    <w:rsid w:val="00BF1981"/>
    <w:rsid w:val="00BF31BA"/>
    <w:rsid w:val="00C02F3D"/>
    <w:rsid w:val="00C21819"/>
    <w:rsid w:val="00C53442"/>
    <w:rsid w:val="00C64FD2"/>
    <w:rsid w:val="00C859DB"/>
    <w:rsid w:val="00C91AAE"/>
    <w:rsid w:val="00CB5AEE"/>
    <w:rsid w:val="00CB74C2"/>
    <w:rsid w:val="00CD5EAE"/>
    <w:rsid w:val="00D0026F"/>
    <w:rsid w:val="00D060C4"/>
    <w:rsid w:val="00D12256"/>
    <w:rsid w:val="00DB71FB"/>
    <w:rsid w:val="00DE5737"/>
    <w:rsid w:val="00E06F87"/>
    <w:rsid w:val="00E23A2C"/>
    <w:rsid w:val="00E413D0"/>
    <w:rsid w:val="00E751D7"/>
    <w:rsid w:val="00EA17D8"/>
    <w:rsid w:val="00EC0BFE"/>
    <w:rsid w:val="00F02FB4"/>
    <w:rsid w:val="00F03289"/>
    <w:rsid w:val="00F04929"/>
    <w:rsid w:val="00F21D04"/>
    <w:rsid w:val="00F3738D"/>
    <w:rsid w:val="00F46B1F"/>
    <w:rsid w:val="00F75655"/>
    <w:rsid w:val="00F92DB7"/>
    <w:rsid w:val="00F94E09"/>
    <w:rsid w:val="00F964C3"/>
    <w:rsid w:val="00FA2269"/>
    <w:rsid w:val="00FB612E"/>
    <w:rsid w:val="00FD33F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3E3CD"/>
  <w15:chartTrackingRefBased/>
  <w15:docId w15:val="{0A4F92DE-D6A6-45F1-9D5A-8ED68B7B5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2D4"/>
  </w:style>
  <w:style w:type="paragraph" w:styleId="Heading1">
    <w:name w:val="heading 1"/>
    <w:basedOn w:val="Normal"/>
    <w:next w:val="Normal"/>
    <w:link w:val="Heading1Char"/>
    <w:uiPriority w:val="9"/>
    <w:qFormat/>
    <w:rsid w:val="00DB71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B71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B71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B71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B71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B71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1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1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1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1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B71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B71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B71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B71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B71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1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1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1FB"/>
    <w:rPr>
      <w:rFonts w:eastAsiaTheme="majorEastAsia" w:cstheme="majorBidi"/>
      <w:color w:val="272727" w:themeColor="text1" w:themeTint="D8"/>
    </w:rPr>
  </w:style>
  <w:style w:type="paragraph" w:styleId="Title">
    <w:name w:val="Title"/>
    <w:basedOn w:val="Normal"/>
    <w:next w:val="Normal"/>
    <w:link w:val="TitleChar"/>
    <w:uiPriority w:val="10"/>
    <w:qFormat/>
    <w:rsid w:val="00DB71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1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1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1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1FB"/>
    <w:pPr>
      <w:spacing w:before="160"/>
      <w:jc w:val="center"/>
    </w:pPr>
    <w:rPr>
      <w:i/>
      <w:iCs/>
      <w:color w:val="404040" w:themeColor="text1" w:themeTint="BF"/>
    </w:rPr>
  </w:style>
  <w:style w:type="character" w:customStyle="1" w:styleId="QuoteChar">
    <w:name w:val="Quote Char"/>
    <w:basedOn w:val="DefaultParagraphFont"/>
    <w:link w:val="Quote"/>
    <w:uiPriority w:val="29"/>
    <w:rsid w:val="00DB71FB"/>
    <w:rPr>
      <w:i/>
      <w:iCs/>
      <w:color w:val="404040" w:themeColor="text1" w:themeTint="BF"/>
    </w:rPr>
  </w:style>
  <w:style w:type="paragraph" w:styleId="ListParagraph">
    <w:name w:val="List Paragraph"/>
    <w:basedOn w:val="Normal"/>
    <w:uiPriority w:val="34"/>
    <w:qFormat/>
    <w:rsid w:val="00DB71FB"/>
    <w:pPr>
      <w:ind w:left="720"/>
      <w:contextualSpacing/>
    </w:pPr>
  </w:style>
  <w:style w:type="character" w:styleId="IntenseEmphasis">
    <w:name w:val="Intense Emphasis"/>
    <w:basedOn w:val="DefaultParagraphFont"/>
    <w:uiPriority w:val="21"/>
    <w:qFormat/>
    <w:rsid w:val="00DB71FB"/>
    <w:rPr>
      <w:i/>
      <w:iCs/>
      <w:color w:val="2F5496" w:themeColor="accent1" w:themeShade="BF"/>
    </w:rPr>
  </w:style>
  <w:style w:type="paragraph" w:styleId="IntenseQuote">
    <w:name w:val="Intense Quote"/>
    <w:basedOn w:val="Normal"/>
    <w:next w:val="Normal"/>
    <w:link w:val="IntenseQuoteChar"/>
    <w:uiPriority w:val="30"/>
    <w:qFormat/>
    <w:rsid w:val="00DB71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71FB"/>
    <w:rPr>
      <w:i/>
      <w:iCs/>
      <w:color w:val="2F5496" w:themeColor="accent1" w:themeShade="BF"/>
    </w:rPr>
  </w:style>
  <w:style w:type="character" w:styleId="IntenseReference">
    <w:name w:val="Intense Reference"/>
    <w:basedOn w:val="DefaultParagraphFont"/>
    <w:uiPriority w:val="32"/>
    <w:qFormat/>
    <w:rsid w:val="00DB71FB"/>
    <w:rPr>
      <w:b/>
      <w:bCs/>
      <w:smallCaps/>
      <w:color w:val="2F5496" w:themeColor="accent1" w:themeShade="BF"/>
      <w:spacing w:val="5"/>
    </w:rPr>
  </w:style>
  <w:style w:type="paragraph" w:styleId="TOCHeading">
    <w:name w:val="TOC Heading"/>
    <w:basedOn w:val="Heading1"/>
    <w:next w:val="Normal"/>
    <w:uiPriority w:val="39"/>
    <w:unhideWhenUsed/>
    <w:qFormat/>
    <w:rsid w:val="00DB71F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D5AFE"/>
    <w:pPr>
      <w:spacing w:after="100"/>
    </w:pPr>
  </w:style>
  <w:style w:type="paragraph" w:styleId="TOC2">
    <w:name w:val="toc 2"/>
    <w:basedOn w:val="Normal"/>
    <w:next w:val="Normal"/>
    <w:autoRedefine/>
    <w:uiPriority w:val="39"/>
    <w:unhideWhenUsed/>
    <w:rsid w:val="004D5AFE"/>
    <w:pPr>
      <w:spacing w:after="100"/>
      <w:ind w:left="220"/>
    </w:pPr>
  </w:style>
  <w:style w:type="character" w:styleId="Hyperlink">
    <w:name w:val="Hyperlink"/>
    <w:basedOn w:val="DefaultParagraphFont"/>
    <w:uiPriority w:val="99"/>
    <w:unhideWhenUsed/>
    <w:rsid w:val="004D5AFE"/>
    <w:rPr>
      <w:color w:val="0563C1" w:themeColor="hyperlink"/>
      <w:u w:val="single"/>
    </w:rPr>
  </w:style>
  <w:style w:type="table" w:styleId="TableGrid">
    <w:name w:val="Table Grid"/>
    <w:basedOn w:val="TableNormal"/>
    <w:uiPriority w:val="39"/>
    <w:rsid w:val="00C91A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F4F84"/>
    <w:rPr>
      <w:color w:val="605E5C"/>
      <w:shd w:val="clear" w:color="auto" w:fill="E1DFDD"/>
    </w:rPr>
  </w:style>
  <w:style w:type="paragraph" w:styleId="TOC3">
    <w:name w:val="toc 3"/>
    <w:basedOn w:val="Normal"/>
    <w:next w:val="Normal"/>
    <w:autoRedefine/>
    <w:uiPriority w:val="39"/>
    <w:unhideWhenUsed/>
    <w:rsid w:val="00C53442"/>
    <w:pPr>
      <w:spacing w:after="100"/>
      <w:ind w:left="440"/>
    </w:pPr>
  </w:style>
  <w:style w:type="paragraph" w:styleId="Header">
    <w:name w:val="header"/>
    <w:basedOn w:val="Normal"/>
    <w:link w:val="HeaderChar"/>
    <w:uiPriority w:val="99"/>
    <w:unhideWhenUsed/>
    <w:rsid w:val="00E751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1D7"/>
  </w:style>
  <w:style w:type="paragraph" w:styleId="Footer">
    <w:name w:val="footer"/>
    <w:basedOn w:val="Normal"/>
    <w:link w:val="FooterChar"/>
    <w:uiPriority w:val="99"/>
    <w:unhideWhenUsed/>
    <w:rsid w:val="00E751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1D7"/>
  </w:style>
  <w:style w:type="paragraph" w:styleId="Caption">
    <w:name w:val="caption"/>
    <w:basedOn w:val="Normal"/>
    <w:next w:val="Normal"/>
    <w:uiPriority w:val="35"/>
    <w:unhideWhenUsed/>
    <w:qFormat/>
    <w:rsid w:val="008422D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urufocus.com/term/current-ratio/TUIFF" TargetMode="External"/><Relationship Id="rId26" Type="http://schemas.openxmlformats.org/officeDocument/2006/relationships/hyperlink" Target="https://www.whitbread.co.uk/investors/annual-report/" TargetMode="External"/><Relationship Id="rId3" Type="http://schemas.openxmlformats.org/officeDocument/2006/relationships/styles" Target="styles.xml"/><Relationship Id="rId21" Type="http://schemas.openxmlformats.org/officeDocument/2006/relationships/hyperlink" Target="https://www.ig.com/uk/news-and-trade-ideas/-_whitbread-fy-2026-earnings-preview--can-premier-inn-owner-bala-26042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urufocus.com/term/quick_ratio/OTCPK:ACRFF/Quick-Ratio/Accor" TargetMode="External"/><Relationship Id="rId25" Type="http://schemas.openxmlformats.org/officeDocument/2006/relationships/hyperlink" Target="https://www.tikr.com/blog/can-whitbreads-german-expansion-and-efficiency-push-unlock-its-next-phase-of-growth" TargetMode="External"/><Relationship Id="rId2" Type="http://schemas.openxmlformats.org/officeDocument/2006/relationships/numbering" Target="numbering.xml"/><Relationship Id="rId16" Type="http://schemas.openxmlformats.org/officeDocument/2006/relationships/hyperlink" Target="https://www.costar.com/article/1783778888/whitbreads-premier-inn-portfolio-in-germany-nearing-maturity" TargetMode="External"/><Relationship Id="rId20" Type="http://schemas.openxmlformats.org/officeDocument/2006/relationships/hyperlink" Target="https://www.ii.co.uk/analysis-commentary/ii-view-whitbread-bullish-given-room-german-expansion-ii533322" TargetMode="External"/><Relationship Id="rId29" Type="http://schemas.openxmlformats.org/officeDocument/2006/relationships/image" Target="media/image10.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ckanalysis.com/quote/etr/TUI1/statistic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ress.accor.com/full-year-2025-results-solid-results-above-2025-guidance/?lang=eng" TargetMode="External"/><Relationship Id="rId23" Type="http://schemas.openxmlformats.org/officeDocument/2006/relationships/hyperlink" Target="https://skift.com/2025/05/01/premier-inn-converts-pubs-to-hotels-to-offset-revenue-decline/" TargetMode="External"/><Relationship Id="rId28" Type="http://schemas.openxmlformats.org/officeDocument/2006/relationships/image" Target="media/image9.tmp"/><Relationship Id="rId10" Type="http://schemas.openxmlformats.org/officeDocument/2006/relationships/image" Target="media/image3.png"/><Relationship Id="rId19" Type="http://schemas.openxmlformats.org/officeDocument/2006/relationships/hyperlink" Target="https://www.ii.co.uk/analysis-commentary/ii-view-germany-winning-premier-inn-owner-whitbread-ii53575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lq.ai/stocks/ACCYY/ratios/" TargetMode="External"/><Relationship Id="rId27" Type="http://schemas.openxmlformats.org/officeDocument/2006/relationships/image" Target="media/image8.tmp"/><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4451F-4367-4D38-98F4-6BD78A58F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1427</TotalTime>
  <Pages>31</Pages>
  <Words>7767</Words>
  <Characters>44273</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chahil italiya</dc:creator>
  <cp:keywords/>
  <dc:description/>
  <cp:lastModifiedBy>chahil italiya</cp:lastModifiedBy>
  <cp:revision>182</cp:revision>
  <dcterms:created xsi:type="dcterms:W3CDTF">2026-08-08T00:42:00Z</dcterms:created>
  <dcterms:modified xsi:type="dcterms:W3CDTF">2026-08-13T01:03:00Z</dcterms:modified>
</cp:coreProperties>
</file>