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F1C" w:rsidRPr="00182D6D" w:rsidRDefault="009D3F1C" w:rsidP="009D3F1C">
      <w:pPr>
        <w:spacing w:line="360" w:lineRule="auto"/>
        <w:rPr>
          <w:rFonts w:ascii="Arial" w:hAnsi="Arial" w:cs="Arial"/>
          <w:lang w:val="en-US"/>
        </w:rPr>
      </w:pPr>
      <w:r w:rsidRPr="00182D6D">
        <w:rPr>
          <w:rFonts w:ascii="Arial" w:hAnsi="Arial" w:cs="Arial"/>
          <w:noProof/>
          <w:lang w:val="en-US"/>
        </w:rPr>
        <w:drawing>
          <wp:inline distT="0" distB="0" distL="0" distR="0" wp14:anchorId="4E35715E" wp14:editId="734B102B">
            <wp:extent cx="1813560" cy="723900"/>
            <wp:effectExtent l="0" t="0" r="0" b="0"/>
            <wp:docPr id="934136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rsidR="009D3F1C" w:rsidRPr="00182D6D" w:rsidRDefault="009D3F1C" w:rsidP="009D3F1C">
      <w:pPr>
        <w:spacing w:line="360" w:lineRule="auto"/>
        <w:rPr>
          <w:rFonts w:ascii="Arial" w:hAnsi="Arial" w:cs="Arial"/>
          <w:lang w:val="en-US"/>
        </w:rPr>
      </w:pPr>
    </w:p>
    <w:p w:rsidR="009D3F1C" w:rsidRPr="00182D6D" w:rsidRDefault="009D3F1C" w:rsidP="009D3F1C">
      <w:pPr>
        <w:spacing w:line="360" w:lineRule="auto"/>
        <w:jc w:val="center"/>
        <w:rPr>
          <w:rFonts w:ascii="Arial" w:hAnsi="Arial" w:cs="Arial"/>
          <w:b/>
          <w:bCs/>
          <w:sz w:val="36"/>
          <w:szCs w:val="36"/>
        </w:rPr>
      </w:pPr>
      <w:r w:rsidRPr="00182D6D">
        <w:rPr>
          <w:rFonts w:ascii="Arial" w:hAnsi="Arial" w:cs="Arial"/>
          <w:b/>
          <w:bCs/>
          <w:sz w:val="36"/>
          <w:szCs w:val="36"/>
        </w:rPr>
        <w:t>Programme: Master of Business Administration</w:t>
      </w:r>
    </w:p>
    <w:p w:rsidR="009D3F1C" w:rsidRPr="00182D6D" w:rsidRDefault="009D3F1C" w:rsidP="009D3F1C">
      <w:pPr>
        <w:spacing w:line="360" w:lineRule="auto"/>
        <w:jc w:val="center"/>
        <w:rPr>
          <w:rFonts w:ascii="Arial" w:hAnsi="Arial" w:cs="Arial"/>
          <w:b/>
          <w:bCs/>
          <w:sz w:val="36"/>
          <w:szCs w:val="36"/>
        </w:rPr>
      </w:pPr>
      <w:r w:rsidRPr="00182D6D">
        <w:rPr>
          <w:rFonts w:ascii="Arial" w:hAnsi="Arial" w:cs="Arial"/>
          <w:b/>
          <w:bCs/>
          <w:sz w:val="36"/>
          <w:szCs w:val="36"/>
        </w:rPr>
        <w:t>Module: Financial Management</w:t>
      </w:r>
    </w:p>
    <w:p w:rsidR="009D3F1C" w:rsidRPr="00182D6D" w:rsidRDefault="009D3F1C" w:rsidP="009D3F1C">
      <w:pPr>
        <w:spacing w:line="360" w:lineRule="auto"/>
        <w:jc w:val="center"/>
        <w:rPr>
          <w:rFonts w:ascii="Arial" w:hAnsi="Arial" w:cs="Arial"/>
          <w:b/>
          <w:bCs/>
          <w:sz w:val="36"/>
          <w:szCs w:val="36"/>
        </w:rPr>
      </w:pPr>
      <w:r w:rsidRPr="00182D6D">
        <w:rPr>
          <w:rFonts w:ascii="Arial" w:hAnsi="Arial" w:cs="Arial"/>
          <w:b/>
          <w:bCs/>
          <w:sz w:val="36"/>
          <w:szCs w:val="36"/>
        </w:rPr>
        <w:t>Module Code: LCMB7002</w:t>
      </w:r>
    </w:p>
    <w:p w:rsidR="009D3F1C" w:rsidRPr="00182D6D" w:rsidRDefault="009D3F1C" w:rsidP="009D3F1C">
      <w:pPr>
        <w:spacing w:line="360" w:lineRule="auto"/>
        <w:jc w:val="center"/>
        <w:rPr>
          <w:rFonts w:ascii="Arial" w:hAnsi="Arial" w:cs="Arial"/>
          <w:b/>
          <w:bCs/>
          <w:sz w:val="36"/>
          <w:szCs w:val="36"/>
        </w:rPr>
      </w:pPr>
      <w:r w:rsidRPr="00182D6D">
        <w:rPr>
          <w:rFonts w:ascii="Arial" w:hAnsi="Arial" w:cs="Arial"/>
          <w:b/>
          <w:bCs/>
          <w:sz w:val="36"/>
          <w:szCs w:val="36"/>
        </w:rPr>
        <w:t>Lecturer: Patrick Yeboah</w:t>
      </w:r>
    </w:p>
    <w:p w:rsidR="009D3F1C" w:rsidRPr="00182D6D" w:rsidRDefault="009D3F1C" w:rsidP="009D3F1C">
      <w:pPr>
        <w:spacing w:line="360" w:lineRule="auto"/>
        <w:jc w:val="center"/>
        <w:rPr>
          <w:rFonts w:ascii="Arial" w:hAnsi="Arial" w:cs="Arial"/>
          <w:b/>
          <w:bCs/>
          <w:sz w:val="36"/>
          <w:szCs w:val="36"/>
        </w:rPr>
      </w:pPr>
    </w:p>
    <w:p w:rsidR="009D3F1C" w:rsidRPr="00182D6D" w:rsidRDefault="009D3F1C" w:rsidP="009D3F1C">
      <w:pPr>
        <w:spacing w:line="360" w:lineRule="auto"/>
        <w:jc w:val="center"/>
        <w:rPr>
          <w:rFonts w:ascii="Arial" w:hAnsi="Arial" w:cs="Arial"/>
          <w:b/>
          <w:bCs/>
          <w:sz w:val="36"/>
          <w:szCs w:val="36"/>
        </w:rPr>
      </w:pPr>
      <w:r w:rsidRPr="00182D6D">
        <w:rPr>
          <w:rFonts w:ascii="Arial" w:hAnsi="Arial" w:cs="Arial"/>
          <w:b/>
          <w:bCs/>
          <w:sz w:val="36"/>
          <w:szCs w:val="36"/>
        </w:rPr>
        <w:t>Selected company: Marriott International</w:t>
      </w:r>
    </w:p>
    <w:p w:rsidR="009D3F1C" w:rsidRPr="00182D6D" w:rsidRDefault="009D3F1C" w:rsidP="009D3F1C">
      <w:pPr>
        <w:spacing w:line="360" w:lineRule="auto"/>
        <w:jc w:val="center"/>
        <w:rPr>
          <w:rFonts w:ascii="Arial" w:hAnsi="Arial" w:cs="Arial"/>
          <w:b/>
          <w:bCs/>
          <w:sz w:val="36"/>
          <w:szCs w:val="36"/>
        </w:rPr>
      </w:pPr>
    </w:p>
    <w:p w:rsidR="009D3F1C" w:rsidRPr="00182D6D" w:rsidRDefault="009D3F1C" w:rsidP="009D3F1C">
      <w:pPr>
        <w:spacing w:line="360" w:lineRule="auto"/>
        <w:jc w:val="center"/>
        <w:rPr>
          <w:rFonts w:ascii="Arial" w:hAnsi="Arial" w:cs="Arial"/>
          <w:b/>
          <w:bCs/>
          <w:sz w:val="36"/>
          <w:szCs w:val="36"/>
        </w:rPr>
      </w:pPr>
      <w:r w:rsidRPr="00182D6D">
        <w:rPr>
          <w:rFonts w:ascii="Arial" w:hAnsi="Arial" w:cs="Arial"/>
          <w:b/>
          <w:bCs/>
          <w:sz w:val="36"/>
          <w:szCs w:val="36"/>
        </w:rPr>
        <w:t>Assignment Title: Assessment Component- Financial Performance and Management</w:t>
      </w:r>
    </w:p>
    <w:p w:rsidR="009D3F1C" w:rsidRPr="00182D6D" w:rsidRDefault="009D3F1C" w:rsidP="009D3F1C">
      <w:pPr>
        <w:spacing w:line="360" w:lineRule="auto"/>
        <w:jc w:val="center"/>
        <w:rPr>
          <w:rFonts w:ascii="Arial" w:hAnsi="Arial" w:cs="Arial"/>
          <w:b/>
          <w:bCs/>
          <w:sz w:val="36"/>
          <w:szCs w:val="36"/>
        </w:rPr>
      </w:pPr>
      <w:r w:rsidRPr="00182D6D">
        <w:rPr>
          <w:rFonts w:ascii="Arial" w:hAnsi="Arial" w:cs="Arial"/>
          <w:b/>
          <w:bCs/>
          <w:sz w:val="36"/>
          <w:szCs w:val="36"/>
        </w:rPr>
        <w:t>Student Name:</w:t>
      </w:r>
      <w:r>
        <w:rPr>
          <w:rFonts w:ascii="Arial" w:hAnsi="Arial" w:cs="Arial"/>
          <w:b/>
          <w:bCs/>
          <w:sz w:val="36"/>
          <w:szCs w:val="36"/>
        </w:rPr>
        <w:t xml:space="preserve"> Prerna padmani </w:t>
      </w:r>
    </w:p>
    <w:p w:rsidR="009D3F1C" w:rsidRPr="00182D6D" w:rsidRDefault="009D3F1C" w:rsidP="009D3F1C">
      <w:pPr>
        <w:spacing w:line="360" w:lineRule="auto"/>
        <w:jc w:val="center"/>
        <w:rPr>
          <w:rFonts w:ascii="Arial" w:hAnsi="Arial" w:cs="Arial"/>
          <w:b/>
          <w:bCs/>
          <w:sz w:val="36"/>
          <w:szCs w:val="36"/>
        </w:rPr>
      </w:pPr>
      <w:r w:rsidRPr="00182D6D">
        <w:rPr>
          <w:rFonts w:ascii="Arial" w:hAnsi="Arial" w:cs="Arial"/>
          <w:b/>
          <w:bCs/>
          <w:sz w:val="36"/>
          <w:szCs w:val="36"/>
        </w:rPr>
        <w:t>Student ID:</w:t>
      </w:r>
      <w:r>
        <w:rPr>
          <w:rFonts w:ascii="Arial" w:hAnsi="Arial" w:cs="Arial"/>
          <w:b/>
          <w:bCs/>
          <w:sz w:val="36"/>
          <w:szCs w:val="36"/>
        </w:rPr>
        <w:t xml:space="preserve"> 2536257</w:t>
      </w:r>
    </w:p>
    <w:p w:rsidR="009D3F1C" w:rsidRPr="00182D6D" w:rsidRDefault="009D3F1C" w:rsidP="009D3F1C">
      <w:pPr>
        <w:spacing w:line="360" w:lineRule="auto"/>
        <w:jc w:val="center"/>
        <w:rPr>
          <w:rFonts w:ascii="Arial" w:hAnsi="Arial" w:cs="Arial"/>
          <w:sz w:val="36"/>
          <w:szCs w:val="36"/>
          <w:lang w:val="en-US"/>
        </w:rPr>
      </w:pPr>
      <w:r w:rsidRPr="00182D6D">
        <w:rPr>
          <w:rFonts w:ascii="Arial" w:hAnsi="Arial" w:cs="Arial"/>
          <w:sz w:val="36"/>
          <w:szCs w:val="36"/>
          <w:lang w:val="en-US"/>
        </w:rPr>
        <w:br w:type="page"/>
      </w:r>
    </w:p>
    <w:sdt>
      <w:sdtPr>
        <w:rPr>
          <w:rFonts w:ascii="Arial" w:eastAsiaTheme="minorHAnsi" w:hAnsi="Arial" w:cs="Arial"/>
          <w:b w:val="0"/>
          <w:kern w:val="2"/>
          <w:sz w:val="24"/>
          <w:szCs w:val="24"/>
          <w:lang w:val="en-IN"/>
          <w14:ligatures w14:val="standardContextual"/>
        </w:rPr>
        <w:id w:val="1777590580"/>
        <w:docPartObj>
          <w:docPartGallery w:val="Table of Contents"/>
          <w:docPartUnique/>
        </w:docPartObj>
      </w:sdtPr>
      <w:sdtEndPr>
        <w:rPr>
          <w:bCs/>
          <w:noProof/>
        </w:rPr>
      </w:sdtEndPr>
      <w:sdtContent>
        <w:p w:rsidR="009D3F1C" w:rsidRPr="00182D6D" w:rsidRDefault="009D3F1C" w:rsidP="009D3F1C">
          <w:pPr>
            <w:pStyle w:val="TOCHeading"/>
            <w:rPr>
              <w:rFonts w:ascii="Arial" w:hAnsi="Arial" w:cs="Arial"/>
            </w:rPr>
          </w:pPr>
          <w:r w:rsidRPr="00182D6D">
            <w:rPr>
              <w:rFonts w:ascii="Arial" w:hAnsi="Arial" w:cs="Arial"/>
            </w:rPr>
            <w:t>Table of Contents</w:t>
          </w:r>
        </w:p>
        <w:p w:rsidR="009D3F1C" w:rsidRDefault="009D3F1C" w:rsidP="009D3F1C">
          <w:pPr>
            <w:pStyle w:val="TOC1"/>
            <w:tabs>
              <w:tab w:val="right" w:leader="dot" w:pos="9016"/>
            </w:tabs>
            <w:rPr>
              <w:rFonts w:asciiTheme="minorHAnsi" w:eastAsiaTheme="minorEastAsia" w:hAnsiTheme="minorHAnsi"/>
              <w:noProof/>
              <w:lang w:eastAsia="en-IN"/>
            </w:rPr>
          </w:pPr>
          <w:r w:rsidRPr="00182D6D">
            <w:rPr>
              <w:rFonts w:ascii="Arial" w:hAnsi="Arial" w:cs="Arial"/>
            </w:rPr>
            <w:fldChar w:fldCharType="begin"/>
          </w:r>
          <w:r w:rsidRPr="00182D6D">
            <w:rPr>
              <w:rFonts w:ascii="Arial" w:hAnsi="Arial" w:cs="Arial"/>
            </w:rPr>
            <w:instrText xml:space="preserve"> TOC \o "1-3" \h \z \u </w:instrText>
          </w:r>
          <w:r w:rsidRPr="00182D6D">
            <w:rPr>
              <w:rFonts w:ascii="Arial" w:hAnsi="Arial" w:cs="Arial"/>
            </w:rPr>
            <w:fldChar w:fldCharType="separate"/>
          </w:r>
          <w:hyperlink w:anchor="_Toc235783817" w:history="1">
            <w:r w:rsidRPr="00AD6B43">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_Toc235783817 \h </w:instrText>
            </w:r>
            <w:r>
              <w:rPr>
                <w:noProof/>
                <w:webHidden/>
              </w:rPr>
            </w:r>
            <w:r>
              <w:rPr>
                <w:noProof/>
                <w:webHidden/>
              </w:rPr>
              <w:fldChar w:fldCharType="separate"/>
            </w:r>
            <w:r>
              <w:rPr>
                <w:noProof/>
                <w:webHidden/>
              </w:rPr>
              <w:t>4</w:t>
            </w:r>
            <w:r>
              <w:rPr>
                <w:noProof/>
                <w:webHidden/>
              </w:rPr>
              <w:fldChar w:fldCharType="end"/>
            </w:r>
          </w:hyperlink>
        </w:p>
        <w:p w:rsidR="009D3F1C" w:rsidRDefault="009D3F1C" w:rsidP="009D3F1C">
          <w:pPr>
            <w:pStyle w:val="TOC1"/>
            <w:tabs>
              <w:tab w:val="right" w:leader="dot" w:pos="9016"/>
            </w:tabs>
            <w:rPr>
              <w:rFonts w:asciiTheme="minorHAnsi" w:eastAsiaTheme="minorEastAsia" w:hAnsiTheme="minorHAnsi"/>
              <w:noProof/>
              <w:lang w:eastAsia="en-IN"/>
            </w:rPr>
          </w:pPr>
          <w:hyperlink w:anchor="_Toc235783818" w:history="1">
            <w:r w:rsidRPr="00AD6B43">
              <w:rPr>
                <w:rStyle w:val="Hyperlink"/>
                <w:rFonts w:ascii="Arial" w:hAnsi="Arial" w:cs="Arial"/>
                <w:noProof/>
              </w:rPr>
              <w:t>2 Financial health check</w:t>
            </w:r>
            <w:r>
              <w:rPr>
                <w:noProof/>
                <w:webHidden/>
              </w:rPr>
              <w:tab/>
            </w:r>
            <w:r>
              <w:rPr>
                <w:noProof/>
                <w:webHidden/>
              </w:rPr>
              <w:fldChar w:fldCharType="begin"/>
            </w:r>
            <w:r>
              <w:rPr>
                <w:noProof/>
                <w:webHidden/>
              </w:rPr>
              <w:instrText xml:space="preserve"> PAGEREF _Toc235783818 \h </w:instrText>
            </w:r>
            <w:r>
              <w:rPr>
                <w:noProof/>
                <w:webHidden/>
              </w:rPr>
            </w:r>
            <w:r>
              <w:rPr>
                <w:noProof/>
                <w:webHidden/>
              </w:rPr>
              <w:fldChar w:fldCharType="separate"/>
            </w:r>
            <w:r>
              <w:rPr>
                <w:noProof/>
                <w:webHidden/>
              </w:rPr>
              <w:t>4</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19" w:history="1">
            <w:r w:rsidRPr="00AD6B43">
              <w:rPr>
                <w:rStyle w:val="Hyperlink"/>
                <w:rFonts w:ascii="Arial" w:hAnsi="Arial" w:cs="Arial"/>
                <w:noProof/>
              </w:rPr>
              <w:t>2.1 Complete financial ratio dataset (2021-2025)</w:t>
            </w:r>
            <w:r>
              <w:rPr>
                <w:noProof/>
                <w:webHidden/>
              </w:rPr>
              <w:tab/>
            </w:r>
            <w:r>
              <w:rPr>
                <w:noProof/>
                <w:webHidden/>
              </w:rPr>
              <w:fldChar w:fldCharType="begin"/>
            </w:r>
            <w:r>
              <w:rPr>
                <w:noProof/>
                <w:webHidden/>
              </w:rPr>
              <w:instrText xml:space="preserve"> PAGEREF _Toc235783819 \h </w:instrText>
            </w:r>
            <w:r>
              <w:rPr>
                <w:noProof/>
                <w:webHidden/>
              </w:rPr>
            </w:r>
            <w:r>
              <w:rPr>
                <w:noProof/>
                <w:webHidden/>
              </w:rPr>
              <w:fldChar w:fldCharType="separate"/>
            </w:r>
            <w:r>
              <w:rPr>
                <w:noProof/>
                <w:webHidden/>
              </w:rPr>
              <w:t>4</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20" w:history="1">
            <w:r w:rsidRPr="00AD6B43">
              <w:rPr>
                <w:rStyle w:val="Hyperlink"/>
                <w:rFonts w:ascii="Arial" w:hAnsi="Arial" w:cs="Arial"/>
                <w:noProof/>
              </w:rPr>
              <w:t>2.2 In-depth Trend Analysis by Category</w:t>
            </w:r>
            <w:r>
              <w:rPr>
                <w:noProof/>
                <w:webHidden/>
              </w:rPr>
              <w:tab/>
            </w:r>
            <w:r>
              <w:rPr>
                <w:noProof/>
                <w:webHidden/>
              </w:rPr>
              <w:fldChar w:fldCharType="begin"/>
            </w:r>
            <w:r>
              <w:rPr>
                <w:noProof/>
                <w:webHidden/>
              </w:rPr>
              <w:instrText xml:space="preserve"> PAGEREF _Toc235783820 \h </w:instrText>
            </w:r>
            <w:r>
              <w:rPr>
                <w:noProof/>
                <w:webHidden/>
              </w:rPr>
            </w:r>
            <w:r>
              <w:rPr>
                <w:noProof/>
                <w:webHidden/>
              </w:rPr>
              <w:fldChar w:fldCharType="separate"/>
            </w:r>
            <w:r>
              <w:rPr>
                <w:noProof/>
                <w:webHidden/>
              </w:rPr>
              <w:t>9</w:t>
            </w:r>
            <w:r>
              <w:rPr>
                <w:noProof/>
                <w:webHidden/>
              </w:rPr>
              <w:fldChar w:fldCharType="end"/>
            </w:r>
          </w:hyperlink>
        </w:p>
        <w:p w:rsidR="009D3F1C" w:rsidRDefault="009D3F1C" w:rsidP="009D3F1C">
          <w:pPr>
            <w:pStyle w:val="TOC3"/>
            <w:tabs>
              <w:tab w:val="right" w:leader="dot" w:pos="9016"/>
            </w:tabs>
            <w:rPr>
              <w:rFonts w:asciiTheme="minorHAnsi" w:eastAsiaTheme="minorEastAsia" w:hAnsiTheme="minorHAnsi"/>
              <w:noProof/>
              <w:lang w:eastAsia="en-IN"/>
            </w:rPr>
          </w:pPr>
          <w:hyperlink w:anchor="_Toc235783821" w:history="1">
            <w:r w:rsidRPr="00AD6B43">
              <w:rPr>
                <w:rStyle w:val="Hyperlink"/>
                <w:rFonts w:ascii="Arial" w:hAnsi="Arial" w:cs="Arial"/>
                <w:noProof/>
              </w:rPr>
              <w:t>2.2.1 Profitability trends</w:t>
            </w:r>
            <w:r>
              <w:rPr>
                <w:noProof/>
                <w:webHidden/>
              </w:rPr>
              <w:tab/>
            </w:r>
            <w:r>
              <w:rPr>
                <w:noProof/>
                <w:webHidden/>
              </w:rPr>
              <w:fldChar w:fldCharType="begin"/>
            </w:r>
            <w:r>
              <w:rPr>
                <w:noProof/>
                <w:webHidden/>
              </w:rPr>
              <w:instrText xml:space="preserve"> PAGEREF _Toc235783821 \h </w:instrText>
            </w:r>
            <w:r>
              <w:rPr>
                <w:noProof/>
                <w:webHidden/>
              </w:rPr>
            </w:r>
            <w:r>
              <w:rPr>
                <w:noProof/>
                <w:webHidden/>
              </w:rPr>
              <w:fldChar w:fldCharType="separate"/>
            </w:r>
            <w:r>
              <w:rPr>
                <w:noProof/>
                <w:webHidden/>
              </w:rPr>
              <w:t>9</w:t>
            </w:r>
            <w:r>
              <w:rPr>
                <w:noProof/>
                <w:webHidden/>
              </w:rPr>
              <w:fldChar w:fldCharType="end"/>
            </w:r>
          </w:hyperlink>
        </w:p>
        <w:p w:rsidR="009D3F1C" w:rsidRDefault="009D3F1C" w:rsidP="009D3F1C">
          <w:pPr>
            <w:pStyle w:val="TOC3"/>
            <w:tabs>
              <w:tab w:val="right" w:leader="dot" w:pos="9016"/>
            </w:tabs>
            <w:rPr>
              <w:rFonts w:asciiTheme="minorHAnsi" w:eastAsiaTheme="minorEastAsia" w:hAnsiTheme="minorHAnsi"/>
              <w:noProof/>
              <w:lang w:eastAsia="en-IN"/>
            </w:rPr>
          </w:pPr>
          <w:hyperlink w:anchor="_Toc235783822" w:history="1">
            <w:r w:rsidRPr="00AD6B43">
              <w:rPr>
                <w:rStyle w:val="Hyperlink"/>
                <w:rFonts w:ascii="Arial" w:hAnsi="Arial" w:cs="Arial"/>
                <w:noProof/>
              </w:rPr>
              <w:t>2.2.2 Liquidity performance</w:t>
            </w:r>
            <w:r>
              <w:rPr>
                <w:noProof/>
                <w:webHidden/>
              </w:rPr>
              <w:tab/>
            </w:r>
            <w:r>
              <w:rPr>
                <w:noProof/>
                <w:webHidden/>
              </w:rPr>
              <w:fldChar w:fldCharType="begin"/>
            </w:r>
            <w:r>
              <w:rPr>
                <w:noProof/>
                <w:webHidden/>
              </w:rPr>
              <w:instrText xml:space="preserve"> PAGEREF _Toc235783822 \h </w:instrText>
            </w:r>
            <w:r>
              <w:rPr>
                <w:noProof/>
                <w:webHidden/>
              </w:rPr>
            </w:r>
            <w:r>
              <w:rPr>
                <w:noProof/>
                <w:webHidden/>
              </w:rPr>
              <w:fldChar w:fldCharType="separate"/>
            </w:r>
            <w:r>
              <w:rPr>
                <w:noProof/>
                <w:webHidden/>
              </w:rPr>
              <w:t>11</w:t>
            </w:r>
            <w:r>
              <w:rPr>
                <w:noProof/>
                <w:webHidden/>
              </w:rPr>
              <w:fldChar w:fldCharType="end"/>
            </w:r>
          </w:hyperlink>
        </w:p>
        <w:p w:rsidR="009D3F1C" w:rsidRDefault="009D3F1C" w:rsidP="009D3F1C">
          <w:pPr>
            <w:pStyle w:val="TOC3"/>
            <w:tabs>
              <w:tab w:val="right" w:leader="dot" w:pos="9016"/>
            </w:tabs>
            <w:rPr>
              <w:rFonts w:asciiTheme="minorHAnsi" w:eastAsiaTheme="minorEastAsia" w:hAnsiTheme="minorHAnsi"/>
              <w:noProof/>
              <w:lang w:eastAsia="en-IN"/>
            </w:rPr>
          </w:pPr>
          <w:hyperlink w:anchor="_Toc235783823" w:history="1">
            <w:r w:rsidRPr="00AD6B43">
              <w:rPr>
                <w:rStyle w:val="Hyperlink"/>
                <w:rFonts w:ascii="Arial" w:hAnsi="Arial" w:cs="Arial"/>
                <w:noProof/>
              </w:rPr>
              <w:t>2.2.3 Efficiency and asset optimisation</w:t>
            </w:r>
            <w:r>
              <w:rPr>
                <w:noProof/>
                <w:webHidden/>
              </w:rPr>
              <w:tab/>
            </w:r>
            <w:r>
              <w:rPr>
                <w:noProof/>
                <w:webHidden/>
              </w:rPr>
              <w:fldChar w:fldCharType="begin"/>
            </w:r>
            <w:r>
              <w:rPr>
                <w:noProof/>
                <w:webHidden/>
              </w:rPr>
              <w:instrText xml:space="preserve"> PAGEREF _Toc235783823 \h </w:instrText>
            </w:r>
            <w:r>
              <w:rPr>
                <w:noProof/>
                <w:webHidden/>
              </w:rPr>
            </w:r>
            <w:r>
              <w:rPr>
                <w:noProof/>
                <w:webHidden/>
              </w:rPr>
              <w:fldChar w:fldCharType="separate"/>
            </w:r>
            <w:r>
              <w:rPr>
                <w:noProof/>
                <w:webHidden/>
              </w:rPr>
              <w:t>11</w:t>
            </w:r>
            <w:r>
              <w:rPr>
                <w:noProof/>
                <w:webHidden/>
              </w:rPr>
              <w:fldChar w:fldCharType="end"/>
            </w:r>
          </w:hyperlink>
        </w:p>
        <w:p w:rsidR="009D3F1C" w:rsidRDefault="009D3F1C" w:rsidP="009D3F1C">
          <w:pPr>
            <w:pStyle w:val="TOC3"/>
            <w:tabs>
              <w:tab w:val="right" w:leader="dot" w:pos="9016"/>
            </w:tabs>
            <w:rPr>
              <w:rFonts w:asciiTheme="minorHAnsi" w:eastAsiaTheme="minorEastAsia" w:hAnsiTheme="minorHAnsi"/>
              <w:noProof/>
              <w:lang w:eastAsia="en-IN"/>
            </w:rPr>
          </w:pPr>
          <w:hyperlink w:anchor="_Toc235783824" w:history="1">
            <w:r w:rsidRPr="00AD6B43">
              <w:rPr>
                <w:rStyle w:val="Hyperlink"/>
                <w:rFonts w:ascii="Arial" w:hAnsi="Arial" w:cs="Arial"/>
                <w:noProof/>
              </w:rPr>
              <w:t>2.2.4 Gearing, Solvency and Debt Architecture</w:t>
            </w:r>
            <w:r>
              <w:rPr>
                <w:noProof/>
                <w:webHidden/>
              </w:rPr>
              <w:tab/>
            </w:r>
            <w:r>
              <w:rPr>
                <w:noProof/>
                <w:webHidden/>
              </w:rPr>
              <w:fldChar w:fldCharType="begin"/>
            </w:r>
            <w:r>
              <w:rPr>
                <w:noProof/>
                <w:webHidden/>
              </w:rPr>
              <w:instrText xml:space="preserve"> PAGEREF _Toc235783824 \h </w:instrText>
            </w:r>
            <w:r>
              <w:rPr>
                <w:noProof/>
                <w:webHidden/>
              </w:rPr>
            </w:r>
            <w:r>
              <w:rPr>
                <w:noProof/>
                <w:webHidden/>
              </w:rPr>
              <w:fldChar w:fldCharType="separate"/>
            </w:r>
            <w:r>
              <w:rPr>
                <w:noProof/>
                <w:webHidden/>
              </w:rPr>
              <w:t>11</w:t>
            </w:r>
            <w:r>
              <w:rPr>
                <w:noProof/>
                <w:webHidden/>
              </w:rPr>
              <w:fldChar w:fldCharType="end"/>
            </w:r>
          </w:hyperlink>
        </w:p>
        <w:p w:rsidR="009D3F1C" w:rsidRDefault="009D3F1C" w:rsidP="009D3F1C">
          <w:pPr>
            <w:pStyle w:val="TOC3"/>
            <w:tabs>
              <w:tab w:val="right" w:leader="dot" w:pos="9016"/>
            </w:tabs>
            <w:rPr>
              <w:rFonts w:asciiTheme="minorHAnsi" w:eastAsiaTheme="minorEastAsia" w:hAnsiTheme="minorHAnsi"/>
              <w:noProof/>
              <w:lang w:eastAsia="en-IN"/>
            </w:rPr>
          </w:pPr>
          <w:hyperlink w:anchor="_Toc235783825" w:history="1">
            <w:r w:rsidRPr="00AD6B43">
              <w:rPr>
                <w:rStyle w:val="Hyperlink"/>
                <w:rFonts w:ascii="Arial" w:hAnsi="Arial" w:cs="Arial"/>
                <w:noProof/>
              </w:rPr>
              <w:t>2.2.5 Investment returns and Shareholder metrics</w:t>
            </w:r>
            <w:r>
              <w:rPr>
                <w:noProof/>
                <w:webHidden/>
              </w:rPr>
              <w:tab/>
            </w:r>
            <w:r>
              <w:rPr>
                <w:noProof/>
                <w:webHidden/>
              </w:rPr>
              <w:fldChar w:fldCharType="begin"/>
            </w:r>
            <w:r>
              <w:rPr>
                <w:noProof/>
                <w:webHidden/>
              </w:rPr>
              <w:instrText xml:space="preserve"> PAGEREF _Toc235783825 \h </w:instrText>
            </w:r>
            <w:r>
              <w:rPr>
                <w:noProof/>
                <w:webHidden/>
              </w:rPr>
            </w:r>
            <w:r>
              <w:rPr>
                <w:noProof/>
                <w:webHidden/>
              </w:rPr>
              <w:fldChar w:fldCharType="separate"/>
            </w:r>
            <w:r>
              <w:rPr>
                <w:noProof/>
                <w:webHidden/>
              </w:rPr>
              <w:t>12</w:t>
            </w:r>
            <w:r>
              <w:rPr>
                <w:noProof/>
                <w:webHidden/>
              </w:rPr>
              <w:fldChar w:fldCharType="end"/>
            </w:r>
          </w:hyperlink>
        </w:p>
        <w:p w:rsidR="009D3F1C" w:rsidRDefault="009D3F1C" w:rsidP="009D3F1C">
          <w:pPr>
            <w:pStyle w:val="TOC3"/>
            <w:tabs>
              <w:tab w:val="right" w:leader="dot" w:pos="9016"/>
            </w:tabs>
            <w:rPr>
              <w:rFonts w:asciiTheme="minorHAnsi" w:eastAsiaTheme="minorEastAsia" w:hAnsiTheme="minorHAnsi"/>
              <w:noProof/>
              <w:lang w:eastAsia="en-IN"/>
            </w:rPr>
          </w:pPr>
          <w:hyperlink w:anchor="_Toc235783826" w:history="1">
            <w:r w:rsidRPr="00AD6B43">
              <w:rPr>
                <w:rStyle w:val="Hyperlink"/>
                <w:rFonts w:ascii="Arial" w:hAnsi="Arial" w:cs="Arial"/>
                <w:noProof/>
              </w:rPr>
              <w:t>2.2.6 Cash Flow Adequacy</w:t>
            </w:r>
            <w:r>
              <w:rPr>
                <w:noProof/>
                <w:webHidden/>
              </w:rPr>
              <w:tab/>
            </w:r>
            <w:r>
              <w:rPr>
                <w:noProof/>
                <w:webHidden/>
              </w:rPr>
              <w:fldChar w:fldCharType="begin"/>
            </w:r>
            <w:r>
              <w:rPr>
                <w:noProof/>
                <w:webHidden/>
              </w:rPr>
              <w:instrText xml:space="preserve"> PAGEREF _Toc235783826 \h </w:instrText>
            </w:r>
            <w:r>
              <w:rPr>
                <w:noProof/>
                <w:webHidden/>
              </w:rPr>
            </w:r>
            <w:r>
              <w:rPr>
                <w:noProof/>
                <w:webHidden/>
              </w:rPr>
              <w:fldChar w:fldCharType="separate"/>
            </w:r>
            <w:r>
              <w:rPr>
                <w:noProof/>
                <w:webHidden/>
              </w:rPr>
              <w:t>12</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27" w:history="1">
            <w:r w:rsidRPr="00AD6B43">
              <w:rPr>
                <w:rStyle w:val="Hyperlink"/>
                <w:rFonts w:ascii="Arial" w:hAnsi="Arial" w:cs="Arial"/>
                <w:noProof/>
              </w:rPr>
              <w:t>2.3 Strategic Core Strengths and Potential Trends</w:t>
            </w:r>
            <w:r>
              <w:rPr>
                <w:noProof/>
                <w:webHidden/>
              </w:rPr>
              <w:tab/>
            </w:r>
            <w:r>
              <w:rPr>
                <w:noProof/>
                <w:webHidden/>
              </w:rPr>
              <w:fldChar w:fldCharType="begin"/>
            </w:r>
            <w:r>
              <w:rPr>
                <w:noProof/>
                <w:webHidden/>
              </w:rPr>
              <w:instrText xml:space="preserve"> PAGEREF _Toc235783827 \h </w:instrText>
            </w:r>
            <w:r>
              <w:rPr>
                <w:noProof/>
                <w:webHidden/>
              </w:rPr>
            </w:r>
            <w:r>
              <w:rPr>
                <w:noProof/>
                <w:webHidden/>
              </w:rPr>
              <w:fldChar w:fldCharType="separate"/>
            </w:r>
            <w:r>
              <w:rPr>
                <w:noProof/>
                <w:webHidden/>
              </w:rPr>
              <w:t>12</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28" w:history="1">
            <w:r w:rsidRPr="00AD6B43">
              <w:rPr>
                <w:rStyle w:val="Hyperlink"/>
                <w:rFonts w:ascii="Arial" w:hAnsi="Arial" w:cs="Arial"/>
                <w:noProof/>
              </w:rPr>
              <w:t>2.4 Comparative Industry Liquidity Benchmarking</w:t>
            </w:r>
            <w:r>
              <w:rPr>
                <w:noProof/>
                <w:webHidden/>
              </w:rPr>
              <w:tab/>
            </w:r>
            <w:r>
              <w:rPr>
                <w:noProof/>
                <w:webHidden/>
              </w:rPr>
              <w:fldChar w:fldCharType="begin"/>
            </w:r>
            <w:r>
              <w:rPr>
                <w:noProof/>
                <w:webHidden/>
              </w:rPr>
              <w:instrText xml:space="preserve"> PAGEREF _Toc235783828 \h </w:instrText>
            </w:r>
            <w:r>
              <w:rPr>
                <w:noProof/>
                <w:webHidden/>
              </w:rPr>
            </w:r>
            <w:r>
              <w:rPr>
                <w:noProof/>
                <w:webHidden/>
              </w:rPr>
              <w:fldChar w:fldCharType="separate"/>
            </w:r>
            <w:r>
              <w:rPr>
                <w:noProof/>
                <w:webHidden/>
              </w:rPr>
              <w:t>13</w:t>
            </w:r>
            <w:r>
              <w:rPr>
                <w:noProof/>
                <w:webHidden/>
              </w:rPr>
              <w:fldChar w:fldCharType="end"/>
            </w:r>
          </w:hyperlink>
        </w:p>
        <w:p w:rsidR="009D3F1C" w:rsidRDefault="009D3F1C" w:rsidP="009D3F1C">
          <w:pPr>
            <w:pStyle w:val="TOC1"/>
            <w:tabs>
              <w:tab w:val="right" w:leader="dot" w:pos="9016"/>
            </w:tabs>
            <w:rPr>
              <w:rFonts w:asciiTheme="minorHAnsi" w:eastAsiaTheme="minorEastAsia" w:hAnsiTheme="minorHAnsi"/>
              <w:noProof/>
              <w:lang w:eastAsia="en-IN"/>
            </w:rPr>
          </w:pPr>
          <w:hyperlink w:anchor="_Toc235783829" w:history="1">
            <w:r w:rsidRPr="00AD6B43">
              <w:rPr>
                <w:rStyle w:val="Hyperlink"/>
                <w:rFonts w:ascii="Arial" w:hAnsi="Arial" w:cs="Arial"/>
                <w:noProof/>
              </w:rPr>
              <w:t>3 Working Capital Management Analysis</w:t>
            </w:r>
            <w:r>
              <w:rPr>
                <w:noProof/>
                <w:webHidden/>
              </w:rPr>
              <w:tab/>
            </w:r>
            <w:r>
              <w:rPr>
                <w:noProof/>
                <w:webHidden/>
              </w:rPr>
              <w:fldChar w:fldCharType="begin"/>
            </w:r>
            <w:r>
              <w:rPr>
                <w:noProof/>
                <w:webHidden/>
              </w:rPr>
              <w:instrText xml:space="preserve"> PAGEREF _Toc235783829 \h </w:instrText>
            </w:r>
            <w:r>
              <w:rPr>
                <w:noProof/>
                <w:webHidden/>
              </w:rPr>
            </w:r>
            <w:r>
              <w:rPr>
                <w:noProof/>
                <w:webHidden/>
              </w:rPr>
              <w:fldChar w:fldCharType="separate"/>
            </w:r>
            <w:r>
              <w:rPr>
                <w:noProof/>
                <w:webHidden/>
              </w:rPr>
              <w:t>15</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30" w:history="1">
            <w:r w:rsidRPr="00AD6B43">
              <w:rPr>
                <w:rStyle w:val="Hyperlink"/>
                <w:rFonts w:ascii="Arial" w:hAnsi="Arial" w:cs="Arial"/>
                <w:noProof/>
              </w:rPr>
              <w:t>3.1 Assessment of the Cash Operating Cycle</w:t>
            </w:r>
            <w:r>
              <w:rPr>
                <w:noProof/>
                <w:webHidden/>
              </w:rPr>
              <w:tab/>
            </w:r>
            <w:r>
              <w:rPr>
                <w:noProof/>
                <w:webHidden/>
              </w:rPr>
              <w:fldChar w:fldCharType="begin"/>
            </w:r>
            <w:r>
              <w:rPr>
                <w:noProof/>
                <w:webHidden/>
              </w:rPr>
              <w:instrText xml:space="preserve"> PAGEREF _Toc235783830 \h </w:instrText>
            </w:r>
            <w:r>
              <w:rPr>
                <w:noProof/>
                <w:webHidden/>
              </w:rPr>
            </w:r>
            <w:r>
              <w:rPr>
                <w:noProof/>
                <w:webHidden/>
              </w:rPr>
              <w:fldChar w:fldCharType="separate"/>
            </w:r>
            <w:r>
              <w:rPr>
                <w:noProof/>
                <w:webHidden/>
              </w:rPr>
              <w:t>15</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31" w:history="1">
            <w:r w:rsidRPr="00AD6B43">
              <w:rPr>
                <w:rStyle w:val="Hyperlink"/>
                <w:rFonts w:ascii="Arial" w:hAnsi="Arial" w:cs="Arial"/>
                <w:noProof/>
              </w:rPr>
              <w:t>3.2 Strategies for Liquidity Reforms</w:t>
            </w:r>
            <w:r>
              <w:rPr>
                <w:noProof/>
                <w:webHidden/>
              </w:rPr>
              <w:tab/>
            </w:r>
            <w:r>
              <w:rPr>
                <w:noProof/>
                <w:webHidden/>
              </w:rPr>
              <w:fldChar w:fldCharType="begin"/>
            </w:r>
            <w:r>
              <w:rPr>
                <w:noProof/>
                <w:webHidden/>
              </w:rPr>
              <w:instrText xml:space="preserve"> PAGEREF _Toc235783831 \h </w:instrText>
            </w:r>
            <w:r>
              <w:rPr>
                <w:noProof/>
                <w:webHidden/>
              </w:rPr>
            </w:r>
            <w:r>
              <w:rPr>
                <w:noProof/>
                <w:webHidden/>
              </w:rPr>
              <w:fldChar w:fldCharType="separate"/>
            </w:r>
            <w:r>
              <w:rPr>
                <w:noProof/>
                <w:webHidden/>
              </w:rPr>
              <w:t>16</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32" w:history="1">
            <w:r w:rsidRPr="00AD6B43">
              <w:rPr>
                <w:rStyle w:val="Hyperlink"/>
                <w:rFonts w:ascii="Arial" w:hAnsi="Arial" w:cs="Arial"/>
                <w:noProof/>
              </w:rPr>
              <w:t>3.3 Financing Alternatives: Short-Term v/s Long-Term</w:t>
            </w:r>
            <w:r>
              <w:rPr>
                <w:noProof/>
                <w:webHidden/>
              </w:rPr>
              <w:tab/>
            </w:r>
            <w:r>
              <w:rPr>
                <w:noProof/>
                <w:webHidden/>
              </w:rPr>
              <w:fldChar w:fldCharType="begin"/>
            </w:r>
            <w:r>
              <w:rPr>
                <w:noProof/>
                <w:webHidden/>
              </w:rPr>
              <w:instrText xml:space="preserve"> PAGEREF _Toc235783832 \h </w:instrText>
            </w:r>
            <w:r>
              <w:rPr>
                <w:noProof/>
                <w:webHidden/>
              </w:rPr>
            </w:r>
            <w:r>
              <w:rPr>
                <w:noProof/>
                <w:webHidden/>
              </w:rPr>
              <w:fldChar w:fldCharType="separate"/>
            </w:r>
            <w:r>
              <w:rPr>
                <w:noProof/>
                <w:webHidden/>
              </w:rPr>
              <w:t>17</w:t>
            </w:r>
            <w:r>
              <w:rPr>
                <w:noProof/>
                <w:webHidden/>
              </w:rPr>
              <w:fldChar w:fldCharType="end"/>
            </w:r>
          </w:hyperlink>
        </w:p>
        <w:p w:rsidR="009D3F1C" w:rsidRDefault="009D3F1C" w:rsidP="009D3F1C">
          <w:pPr>
            <w:pStyle w:val="TOC1"/>
            <w:tabs>
              <w:tab w:val="right" w:leader="dot" w:pos="9016"/>
            </w:tabs>
            <w:rPr>
              <w:rFonts w:asciiTheme="minorHAnsi" w:eastAsiaTheme="minorEastAsia" w:hAnsiTheme="minorHAnsi"/>
              <w:noProof/>
              <w:lang w:eastAsia="en-IN"/>
            </w:rPr>
          </w:pPr>
          <w:hyperlink w:anchor="_Toc235783833" w:history="1">
            <w:r w:rsidRPr="00AD6B43">
              <w:rPr>
                <w:rStyle w:val="Hyperlink"/>
                <w:rFonts w:ascii="Arial" w:hAnsi="Arial" w:cs="Arial"/>
                <w:noProof/>
              </w:rPr>
              <w:t>4 Strategic Financing Restructuring Plan</w:t>
            </w:r>
            <w:r>
              <w:rPr>
                <w:noProof/>
                <w:webHidden/>
              </w:rPr>
              <w:tab/>
            </w:r>
            <w:r>
              <w:rPr>
                <w:noProof/>
                <w:webHidden/>
              </w:rPr>
              <w:fldChar w:fldCharType="begin"/>
            </w:r>
            <w:r>
              <w:rPr>
                <w:noProof/>
                <w:webHidden/>
              </w:rPr>
              <w:instrText xml:space="preserve"> PAGEREF _Toc235783833 \h </w:instrText>
            </w:r>
            <w:r>
              <w:rPr>
                <w:noProof/>
                <w:webHidden/>
              </w:rPr>
            </w:r>
            <w:r>
              <w:rPr>
                <w:noProof/>
                <w:webHidden/>
              </w:rPr>
              <w:fldChar w:fldCharType="separate"/>
            </w:r>
            <w:r>
              <w:rPr>
                <w:noProof/>
                <w:webHidden/>
              </w:rPr>
              <w:t>18</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34" w:history="1">
            <w:r w:rsidRPr="00AD6B43">
              <w:rPr>
                <w:rStyle w:val="Hyperlink"/>
                <w:rFonts w:ascii="Arial" w:hAnsi="Arial" w:cs="Arial"/>
                <w:noProof/>
              </w:rPr>
              <w:t>4.1 Recommended restructuring options</w:t>
            </w:r>
            <w:r>
              <w:rPr>
                <w:noProof/>
                <w:webHidden/>
              </w:rPr>
              <w:tab/>
            </w:r>
            <w:r>
              <w:rPr>
                <w:noProof/>
                <w:webHidden/>
              </w:rPr>
              <w:fldChar w:fldCharType="begin"/>
            </w:r>
            <w:r>
              <w:rPr>
                <w:noProof/>
                <w:webHidden/>
              </w:rPr>
              <w:instrText xml:space="preserve"> PAGEREF _Toc235783834 \h </w:instrText>
            </w:r>
            <w:r>
              <w:rPr>
                <w:noProof/>
                <w:webHidden/>
              </w:rPr>
            </w:r>
            <w:r>
              <w:rPr>
                <w:noProof/>
                <w:webHidden/>
              </w:rPr>
              <w:fldChar w:fldCharType="separate"/>
            </w:r>
            <w:r>
              <w:rPr>
                <w:noProof/>
                <w:webHidden/>
              </w:rPr>
              <w:t>18</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35" w:history="1">
            <w:r w:rsidRPr="00AD6B43">
              <w:rPr>
                <w:rStyle w:val="Hyperlink"/>
                <w:rFonts w:ascii="Arial" w:hAnsi="Arial" w:cs="Arial"/>
                <w:noProof/>
              </w:rPr>
              <w:t>4.2 Impact matrix on the key corporate dimensions</w:t>
            </w:r>
            <w:r>
              <w:rPr>
                <w:noProof/>
                <w:webHidden/>
              </w:rPr>
              <w:tab/>
            </w:r>
            <w:r>
              <w:rPr>
                <w:noProof/>
                <w:webHidden/>
              </w:rPr>
              <w:fldChar w:fldCharType="begin"/>
            </w:r>
            <w:r>
              <w:rPr>
                <w:noProof/>
                <w:webHidden/>
              </w:rPr>
              <w:instrText xml:space="preserve"> PAGEREF _Toc235783835 \h </w:instrText>
            </w:r>
            <w:r>
              <w:rPr>
                <w:noProof/>
                <w:webHidden/>
              </w:rPr>
            </w:r>
            <w:r>
              <w:rPr>
                <w:noProof/>
                <w:webHidden/>
              </w:rPr>
              <w:fldChar w:fldCharType="separate"/>
            </w:r>
            <w:r>
              <w:rPr>
                <w:noProof/>
                <w:webHidden/>
              </w:rPr>
              <w:t>18</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36" w:history="1">
            <w:r w:rsidRPr="00AD6B43">
              <w:rPr>
                <w:rStyle w:val="Hyperlink"/>
                <w:rFonts w:ascii="Arial" w:hAnsi="Arial" w:cs="Arial"/>
                <w:noProof/>
              </w:rPr>
              <w:t>4.3 International and ethical considerations</w:t>
            </w:r>
            <w:r>
              <w:rPr>
                <w:noProof/>
                <w:webHidden/>
              </w:rPr>
              <w:tab/>
            </w:r>
            <w:r>
              <w:rPr>
                <w:noProof/>
                <w:webHidden/>
              </w:rPr>
              <w:fldChar w:fldCharType="begin"/>
            </w:r>
            <w:r>
              <w:rPr>
                <w:noProof/>
                <w:webHidden/>
              </w:rPr>
              <w:instrText xml:space="preserve"> PAGEREF _Toc235783836 \h </w:instrText>
            </w:r>
            <w:r>
              <w:rPr>
                <w:noProof/>
                <w:webHidden/>
              </w:rPr>
            </w:r>
            <w:r>
              <w:rPr>
                <w:noProof/>
                <w:webHidden/>
              </w:rPr>
              <w:fldChar w:fldCharType="separate"/>
            </w:r>
            <w:r>
              <w:rPr>
                <w:noProof/>
                <w:webHidden/>
              </w:rPr>
              <w:t>19</w:t>
            </w:r>
            <w:r>
              <w:rPr>
                <w:noProof/>
                <w:webHidden/>
              </w:rPr>
              <w:fldChar w:fldCharType="end"/>
            </w:r>
          </w:hyperlink>
        </w:p>
        <w:p w:rsidR="009D3F1C" w:rsidRDefault="009D3F1C" w:rsidP="009D3F1C">
          <w:pPr>
            <w:pStyle w:val="TOC1"/>
            <w:tabs>
              <w:tab w:val="right" w:leader="dot" w:pos="9016"/>
            </w:tabs>
            <w:rPr>
              <w:rFonts w:asciiTheme="minorHAnsi" w:eastAsiaTheme="minorEastAsia" w:hAnsiTheme="minorHAnsi"/>
              <w:noProof/>
              <w:lang w:eastAsia="en-IN"/>
            </w:rPr>
          </w:pPr>
          <w:hyperlink w:anchor="_Toc235783837" w:history="1">
            <w:r w:rsidRPr="00AD6B43">
              <w:rPr>
                <w:rStyle w:val="Hyperlink"/>
                <w:rFonts w:ascii="Arial" w:hAnsi="Arial" w:cs="Arial"/>
                <w:noProof/>
              </w:rPr>
              <w:t>5 Strategic Financial Restructuring Plan</w:t>
            </w:r>
            <w:r>
              <w:rPr>
                <w:noProof/>
                <w:webHidden/>
              </w:rPr>
              <w:tab/>
            </w:r>
            <w:r>
              <w:rPr>
                <w:noProof/>
                <w:webHidden/>
              </w:rPr>
              <w:fldChar w:fldCharType="begin"/>
            </w:r>
            <w:r>
              <w:rPr>
                <w:noProof/>
                <w:webHidden/>
              </w:rPr>
              <w:instrText xml:space="preserve"> PAGEREF _Toc235783837 \h </w:instrText>
            </w:r>
            <w:r>
              <w:rPr>
                <w:noProof/>
                <w:webHidden/>
              </w:rPr>
            </w:r>
            <w:r>
              <w:rPr>
                <w:noProof/>
                <w:webHidden/>
              </w:rPr>
              <w:fldChar w:fldCharType="separate"/>
            </w:r>
            <w:r>
              <w:rPr>
                <w:noProof/>
                <w:webHidden/>
              </w:rPr>
              <w:t>20</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38" w:history="1">
            <w:r w:rsidRPr="00AD6B43">
              <w:rPr>
                <w:rStyle w:val="Hyperlink"/>
                <w:rFonts w:ascii="Arial" w:hAnsi="Arial" w:cs="Arial"/>
                <w:noProof/>
              </w:rPr>
              <w:t>5.1 Financial Appraisal Methodology and Assumptions</w:t>
            </w:r>
            <w:r>
              <w:rPr>
                <w:noProof/>
                <w:webHidden/>
              </w:rPr>
              <w:tab/>
            </w:r>
            <w:r>
              <w:rPr>
                <w:noProof/>
                <w:webHidden/>
              </w:rPr>
              <w:fldChar w:fldCharType="begin"/>
            </w:r>
            <w:r>
              <w:rPr>
                <w:noProof/>
                <w:webHidden/>
              </w:rPr>
              <w:instrText xml:space="preserve"> PAGEREF _Toc235783838 \h </w:instrText>
            </w:r>
            <w:r>
              <w:rPr>
                <w:noProof/>
                <w:webHidden/>
              </w:rPr>
            </w:r>
            <w:r>
              <w:rPr>
                <w:noProof/>
                <w:webHidden/>
              </w:rPr>
              <w:fldChar w:fldCharType="separate"/>
            </w:r>
            <w:r>
              <w:rPr>
                <w:noProof/>
                <w:webHidden/>
              </w:rPr>
              <w:t>20</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39" w:history="1">
            <w:r w:rsidRPr="00AD6B43">
              <w:rPr>
                <w:rStyle w:val="Hyperlink"/>
                <w:rFonts w:ascii="Arial" w:hAnsi="Arial" w:cs="Arial"/>
                <w:noProof/>
              </w:rPr>
              <w:t>5.2 Comprehensive Calculation and evaluation dataset</w:t>
            </w:r>
            <w:r>
              <w:rPr>
                <w:noProof/>
                <w:webHidden/>
              </w:rPr>
              <w:tab/>
            </w:r>
            <w:r>
              <w:rPr>
                <w:noProof/>
                <w:webHidden/>
              </w:rPr>
              <w:fldChar w:fldCharType="begin"/>
            </w:r>
            <w:r>
              <w:rPr>
                <w:noProof/>
                <w:webHidden/>
              </w:rPr>
              <w:instrText xml:space="preserve"> PAGEREF _Toc235783839 \h </w:instrText>
            </w:r>
            <w:r>
              <w:rPr>
                <w:noProof/>
                <w:webHidden/>
              </w:rPr>
            </w:r>
            <w:r>
              <w:rPr>
                <w:noProof/>
                <w:webHidden/>
              </w:rPr>
              <w:fldChar w:fldCharType="separate"/>
            </w:r>
            <w:r>
              <w:rPr>
                <w:noProof/>
                <w:webHidden/>
              </w:rPr>
              <w:t>21</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40" w:history="1">
            <w:r w:rsidRPr="00AD6B43">
              <w:rPr>
                <w:rStyle w:val="Hyperlink"/>
                <w:rFonts w:ascii="Arial" w:hAnsi="Arial" w:cs="Arial"/>
                <w:noProof/>
              </w:rPr>
              <w:t>5.3 Comparative Capital Budgeting Summary</w:t>
            </w:r>
            <w:r>
              <w:rPr>
                <w:noProof/>
                <w:webHidden/>
              </w:rPr>
              <w:tab/>
            </w:r>
            <w:r>
              <w:rPr>
                <w:noProof/>
                <w:webHidden/>
              </w:rPr>
              <w:fldChar w:fldCharType="begin"/>
            </w:r>
            <w:r>
              <w:rPr>
                <w:noProof/>
                <w:webHidden/>
              </w:rPr>
              <w:instrText xml:space="preserve"> PAGEREF _Toc235783840 \h </w:instrText>
            </w:r>
            <w:r>
              <w:rPr>
                <w:noProof/>
                <w:webHidden/>
              </w:rPr>
            </w:r>
            <w:r>
              <w:rPr>
                <w:noProof/>
                <w:webHidden/>
              </w:rPr>
              <w:fldChar w:fldCharType="separate"/>
            </w:r>
            <w:r>
              <w:rPr>
                <w:noProof/>
                <w:webHidden/>
              </w:rPr>
              <w:t>24</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41" w:history="1">
            <w:r w:rsidRPr="00AD6B43">
              <w:rPr>
                <w:rStyle w:val="Hyperlink"/>
                <w:rFonts w:ascii="Arial" w:hAnsi="Arial" w:cs="Arial"/>
                <w:noProof/>
              </w:rPr>
              <w:t>5.4 Strategic Project Justification and Risk Analysis</w:t>
            </w:r>
            <w:r>
              <w:rPr>
                <w:noProof/>
                <w:webHidden/>
              </w:rPr>
              <w:tab/>
            </w:r>
            <w:r>
              <w:rPr>
                <w:noProof/>
                <w:webHidden/>
              </w:rPr>
              <w:fldChar w:fldCharType="begin"/>
            </w:r>
            <w:r>
              <w:rPr>
                <w:noProof/>
                <w:webHidden/>
              </w:rPr>
              <w:instrText xml:space="preserve"> PAGEREF _Toc235783841 \h </w:instrText>
            </w:r>
            <w:r>
              <w:rPr>
                <w:noProof/>
                <w:webHidden/>
              </w:rPr>
            </w:r>
            <w:r>
              <w:rPr>
                <w:noProof/>
                <w:webHidden/>
              </w:rPr>
              <w:fldChar w:fldCharType="separate"/>
            </w:r>
            <w:r>
              <w:rPr>
                <w:noProof/>
                <w:webHidden/>
              </w:rPr>
              <w:t>25</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42" w:history="1">
            <w:r w:rsidRPr="00AD6B43">
              <w:rPr>
                <w:rStyle w:val="Hyperlink"/>
                <w:rFonts w:ascii="Arial" w:hAnsi="Arial" w:cs="Arial"/>
                <w:noProof/>
              </w:rPr>
              <w:t>5.5 Capital rationing and optimisation analysis</w:t>
            </w:r>
            <w:r>
              <w:rPr>
                <w:noProof/>
                <w:webHidden/>
              </w:rPr>
              <w:tab/>
            </w:r>
            <w:r>
              <w:rPr>
                <w:noProof/>
                <w:webHidden/>
              </w:rPr>
              <w:fldChar w:fldCharType="begin"/>
            </w:r>
            <w:r>
              <w:rPr>
                <w:noProof/>
                <w:webHidden/>
              </w:rPr>
              <w:instrText xml:space="preserve"> PAGEREF _Toc235783842 \h </w:instrText>
            </w:r>
            <w:r>
              <w:rPr>
                <w:noProof/>
                <w:webHidden/>
              </w:rPr>
            </w:r>
            <w:r>
              <w:rPr>
                <w:noProof/>
                <w:webHidden/>
              </w:rPr>
              <w:fldChar w:fldCharType="separate"/>
            </w:r>
            <w:r>
              <w:rPr>
                <w:noProof/>
                <w:webHidden/>
              </w:rPr>
              <w:t>27</w:t>
            </w:r>
            <w:r>
              <w:rPr>
                <w:noProof/>
                <w:webHidden/>
              </w:rPr>
              <w:fldChar w:fldCharType="end"/>
            </w:r>
          </w:hyperlink>
        </w:p>
        <w:p w:rsidR="009D3F1C" w:rsidRDefault="009D3F1C" w:rsidP="009D3F1C">
          <w:pPr>
            <w:pStyle w:val="TOC1"/>
            <w:tabs>
              <w:tab w:val="right" w:leader="dot" w:pos="9016"/>
            </w:tabs>
            <w:rPr>
              <w:rFonts w:asciiTheme="minorHAnsi" w:eastAsiaTheme="minorEastAsia" w:hAnsiTheme="minorHAnsi"/>
              <w:noProof/>
              <w:lang w:eastAsia="en-IN"/>
            </w:rPr>
          </w:pPr>
          <w:hyperlink w:anchor="_Toc235783843" w:history="1">
            <w:r w:rsidRPr="00AD6B43">
              <w:rPr>
                <w:rStyle w:val="Hyperlink"/>
                <w:rFonts w:ascii="Arial" w:hAnsi="Arial" w:cs="Arial"/>
                <w:noProof/>
              </w:rPr>
              <w:t>6 Critical Reflection on AI usage</w:t>
            </w:r>
            <w:r>
              <w:rPr>
                <w:noProof/>
                <w:webHidden/>
              </w:rPr>
              <w:tab/>
            </w:r>
            <w:r>
              <w:rPr>
                <w:noProof/>
                <w:webHidden/>
              </w:rPr>
              <w:fldChar w:fldCharType="begin"/>
            </w:r>
            <w:r>
              <w:rPr>
                <w:noProof/>
                <w:webHidden/>
              </w:rPr>
              <w:instrText xml:space="preserve"> PAGEREF _Toc235783843 \h </w:instrText>
            </w:r>
            <w:r>
              <w:rPr>
                <w:noProof/>
                <w:webHidden/>
              </w:rPr>
            </w:r>
            <w:r>
              <w:rPr>
                <w:noProof/>
                <w:webHidden/>
              </w:rPr>
              <w:fldChar w:fldCharType="separate"/>
            </w:r>
            <w:r>
              <w:rPr>
                <w:noProof/>
                <w:webHidden/>
              </w:rPr>
              <w:t>28</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44" w:history="1">
            <w:r w:rsidRPr="00AD6B43">
              <w:rPr>
                <w:rStyle w:val="Hyperlink"/>
                <w:rFonts w:ascii="Arial" w:hAnsi="Arial" w:cs="Arial"/>
                <w:noProof/>
              </w:rPr>
              <w:t>6.1 tool disclosure and task allocation</w:t>
            </w:r>
            <w:r>
              <w:rPr>
                <w:noProof/>
                <w:webHidden/>
              </w:rPr>
              <w:tab/>
            </w:r>
            <w:r>
              <w:rPr>
                <w:noProof/>
                <w:webHidden/>
              </w:rPr>
              <w:fldChar w:fldCharType="begin"/>
            </w:r>
            <w:r>
              <w:rPr>
                <w:noProof/>
                <w:webHidden/>
              </w:rPr>
              <w:instrText xml:space="preserve"> PAGEREF _Toc235783844 \h </w:instrText>
            </w:r>
            <w:r>
              <w:rPr>
                <w:noProof/>
                <w:webHidden/>
              </w:rPr>
            </w:r>
            <w:r>
              <w:rPr>
                <w:noProof/>
                <w:webHidden/>
              </w:rPr>
              <w:fldChar w:fldCharType="separate"/>
            </w:r>
            <w:r>
              <w:rPr>
                <w:noProof/>
                <w:webHidden/>
              </w:rPr>
              <w:t>28</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45" w:history="1">
            <w:r w:rsidRPr="00AD6B43">
              <w:rPr>
                <w:rStyle w:val="Hyperlink"/>
                <w:rFonts w:ascii="Arial" w:hAnsi="Arial" w:cs="Arial"/>
                <w:noProof/>
              </w:rPr>
              <w:t>6.2 Critical evaluation of AI output and error mitigation</w:t>
            </w:r>
            <w:r>
              <w:rPr>
                <w:noProof/>
                <w:webHidden/>
              </w:rPr>
              <w:tab/>
            </w:r>
            <w:r>
              <w:rPr>
                <w:noProof/>
                <w:webHidden/>
              </w:rPr>
              <w:fldChar w:fldCharType="begin"/>
            </w:r>
            <w:r>
              <w:rPr>
                <w:noProof/>
                <w:webHidden/>
              </w:rPr>
              <w:instrText xml:space="preserve"> PAGEREF _Toc235783845 \h </w:instrText>
            </w:r>
            <w:r>
              <w:rPr>
                <w:noProof/>
                <w:webHidden/>
              </w:rPr>
            </w:r>
            <w:r>
              <w:rPr>
                <w:noProof/>
                <w:webHidden/>
              </w:rPr>
              <w:fldChar w:fldCharType="separate"/>
            </w:r>
            <w:r>
              <w:rPr>
                <w:noProof/>
                <w:webHidden/>
              </w:rPr>
              <w:t>28</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46" w:history="1">
            <w:r w:rsidRPr="00AD6B43">
              <w:rPr>
                <w:rStyle w:val="Hyperlink"/>
                <w:rFonts w:ascii="Arial" w:hAnsi="Arial" w:cs="Arial"/>
                <w:noProof/>
              </w:rPr>
              <w:t>6.3 Strategic contribution analysis</w:t>
            </w:r>
            <w:r>
              <w:rPr>
                <w:noProof/>
                <w:webHidden/>
              </w:rPr>
              <w:tab/>
            </w:r>
            <w:r>
              <w:rPr>
                <w:noProof/>
                <w:webHidden/>
              </w:rPr>
              <w:fldChar w:fldCharType="begin"/>
            </w:r>
            <w:r>
              <w:rPr>
                <w:noProof/>
                <w:webHidden/>
              </w:rPr>
              <w:instrText xml:space="preserve"> PAGEREF _Toc235783846 \h </w:instrText>
            </w:r>
            <w:r>
              <w:rPr>
                <w:noProof/>
                <w:webHidden/>
              </w:rPr>
            </w:r>
            <w:r>
              <w:rPr>
                <w:noProof/>
                <w:webHidden/>
              </w:rPr>
              <w:fldChar w:fldCharType="separate"/>
            </w:r>
            <w:r>
              <w:rPr>
                <w:noProof/>
                <w:webHidden/>
              </w:rPr>
              <w:t>29</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47" w:history="1">
            <w:r w:rsidRPr="00AD6B43">
              <w:rPr>
                <w:rStyle w:val="Hyperlink"/>
                <w:rFonts w:ascii="Arial" w:hAnsi="Arial" w:cs="Arial"/>
                <w:noProof/>
              </w:rPr>
              <w:t>6.4 Ethical and professional reflection</w:t>
            </w:r>
            <w:r>
              <w:rPr>
                <w:noProof/>
                <w:webHidden/>
              </w:rPr>
              <w:tab/>
            </w:r>
            <w:r>
              <w:rPr>
                <w:noProof/>
                <w:webHidden/>
              </w:rPr>
              <w:fldChar w:fldCharType="begin"/>
            </w:r>
            <w:r>
              <w:rPr>
                <w:noProof/>
                <w:webHidden/>
              </w:rPr>
              <w:instrText xml:space="preserve"> PAGEREF _Toc235783847 \h </w:instrText>
            </w:r>
            <w:r>
              <w:rPr>
                <w:noProof/>
                <w:webHidden/>
              </w:rPr>
            </w:r>
            <w:r>
              <w:rPr>
                <w:noProof/>
                <w:webHidden/>
              </w:rPr>
              <w:fldChar w:fldCharType="separate"/>
            </w:r>
            <w:r>
              <w:rPr>
                <w:noProof/>
                <w:webHidden/>
              </w:rPr>
              <w:t>29</w:t>
            </w:r>
            <w:r>
              <w:rPr>
                <w:noProof/>
                <w:webHidden/>
              </w:rPr>
              <w:fldChar w:fldCharType="end"/>
            </w:r>
          </w:hyperlink>
        </w:p>
        <w:p w:rsidR="009D3F1C" w:rsidRDefault="009D3F1C" w:rsidP="009D3F1C">
          <w:pPr>
            <w:pStyle w:val="TOC1"/>
            <w:tabs>
              <w:tab w:val="right" w:leader="dot" w:pos="9016"/>
            </w:tabs>
            <w:rPr>
              <w:rFonts w:asciiTheme="minorHAnsi" w:eastAsiaTheme="minorEastAsia" w:hAnsiTheme="minorHAnsi"/>
              <w:noProof/>
              <w:lang w:eastAsia="en-IN"/>
            </w:rPr>
          </w:pPr>
          <w:hyperlink w:anchor="_Toc235783848" w:history="1">
            <w:r w:rsidRPr="00AD6B43">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_Toc235783848 \h </w:instrText>
            </w:r>
            <w:r>
              <w:rPr>
                <w:noProof/>
                <w:webHidden/>
              </w:rPr>
            </w:r>
            <w:r>
              <w:rPr>
                <w:noProof/>
                <w:webHidden/>
              </w:rPr>
              <w:fldChar w:fldCharType="separate"/>
            </w:r>
            <w:r>
              <w:rPr>
                <w:noProof/>
                <w:webHidden/>
              </w:rPr>
              <w:t>29</w:t>
            </w:r>
            <w:r>
              <w:rPr>
                <w:noProof/>
                <w:webHidden/>
              </w:rPr>
              <w:fldChar w:fldCharType="end"/>
            </w:r>
          </w:hyperlink>
        </w:p>
        <w:p w:rsidR="009D3F1C" w:rsidRDefault="009D3F1C" w:rsidP="009D3F1C">
          <w:pPr>
            <w:pStyle w:val="TOC1"/>
            <w:tabs>
              <w:tab w:val="right" w:leader="dot" w:pos="9016"/>
            </w:tabs>
            <w:rPr>
              <w:rFonts w:asciiTheme="minorHAnsi" w:eastAsiaTheme="minorEastAsia" w:hAnsiTheme="minorHAnsi"/>
              <w:noProof/>
              <w:lang w:eastAsia="en-IN"/>
            </w:rPr>
          </w:pPr>
          <w:hyperlink w:anchor="_Toc235783849" w:history="1">
            <w:r w:rsidRPr="00AD6B4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_Toc235783849 \h </w:instrText>
            </w:r>
            <w:r>
              <w:rPr>
                <w:noProof/>
                <w:webHidden/>
              </w:rPr>
            </w:r>
            <w:r>
              <w:rPr>
                <w:noProof/>
                <w:webHidden/>
              </w:rPr>
              <w:fldChar w:fldCharType="separate"/>
            </w:r>
            <w:r>
              <w:rPr>
                <w:noProof/>
                <w:webHidden/>
              </w:rPr>
              <w:t>31</w:t>
            </w:r>
            <w:r>
              <w:rPr>
                <w:noProof/>
                <w:webHidden/>
              </w:rPr>
              <w:fldChar w:fldCharType="end"/>
            </w:r>
          </w:hyperlink>
        </w:p>
        <w:p w:rsidR="009D3F1C" w:rsidRDefault="009D3F1C" w:rsidP="009D3F1C">
          <w:pPr>
            <w:pStyle w:val="TOC1"/>
            <w:tabs>
              <w:tab w:val="right" w:leader="dot" w:pos="9016"/>
            </w:tabs>
            <w:rPr>
              <w:rFonts w:asciiTheme="minorHAnsi" w:eastAsiaTheme="minorEastAsia" w:hAnsiTheme="minorHAnsi"/>
              <w:noProof/>
              <w:lang w:eastAsia="en-IN"/>
            </w:rPr>
          </w:pPr>
          <w:hyperlink w:anchor="_Toc235783850" w:history="1">
            <w:r w:rsidRPr="00AD6B43">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_Toc235783850 \h </w:instrText>
            </w:r>
            <w:r>
              <w:rPr>
                <w:noProof/>
                <w:webHidden/>
              </w:rPr>
            </w:r>
            <w:r>
              <w:rPr>
                <w:noProof/>
                <w:webHidden/>
              </w:rPr>
              <w:fldChar w:fldCharType="separate"/>
            </w:r>
            <w:r>
              <w:rPr>
                <w:noProof/>
                <w:webHidden/>
              </w:rPr>
              <w:t>32</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51" w:history="1">
            <w:r w:rsidRPr="00AD6B43">
              <w:rPr>
                <w:rStyle w:val="Hyperlink"/>
                <w:rFonts w:ascii="Arial" w:hAnsi="Arial" w:cs="Arial"/>
                <w:noProof/>
              </w:rPr>
              <w:t>Appendix A: Comprehensive Financial Ratio Analysis &amp; Cash Operating Cycle (FY 2021 - FY 2025)</w:t>
            </w:r>
            <w:r>
              <w:rPr>
                <w:noProof/>
                <w:webHidden/>
              </w:rPr>
              <w:tab/>
            </w:r>
            <w:r>
              <w:rPr>
                <w:noProof/>
                <w:webHidden/>
              </w:rPr>
              <w:fldChar w:fldCharType="begin"/>
            </w:r>
            <w:r>
              <w:rPr>
                <w:noProof/>
                <w:webHidden/>
              </w:rPr>
              <w:instrText xml:space="preserve"> PAGEREF _Toc235783851 \h </w:instrText>
            </w:r>
            <w:r>
              <w:rPr>
                <w:noProof/>
                <w:webHidden/>
              </w:rPr>
            </w:r>
            <w:r>
              <w:rPr>
                <w:noProof/>
                <w:webHidden/>
              </w:rPr>
              <w:fldChar w:fldCharType="separate"/>
            </w:r>
            <w:r>
              <w:rPr>
                <w:noProof/>
                <w:webHidden/>
              </w:rPr>
              <w:t>32</w:t>
            </w:r>
            <w:r>
              <w:rPr>
                <w:noProof/>
                <w:webHidden/>
              </w:rPr>
              <w:fldChar w:fldCharType="end"/>
            </w:r>
          </w:hyperlink>
        </w:p>
        <w:p w:rsidR="009D3F1C" w:rsidRDefault="009D3F1C" w:rsidP="009D3F1C">
          <w:pPr>
            <w:pStyle w:val="TOC2"/>
            <w:tabs>
              <w:tab w:val="right" w:leader="dot" w:pos="9016"/>
            </w:tabs>
            <w:rPr>
              <w:rFonts w:asciiTheme="minorHAnsi" w:eastAsiaTheme="minorEastAsia" w:hAnsiTheme="minorHAnsi"/>
              <w:noProof/>
              <w:lang w:eastAsia="en-IN"/>
            </w:rPr>
          </w:pPr>
          <w:hyperlink w:anchor="_Toc235783852" w:history="1">
            <w:r w:rsidRPr="00AD6B43">
              <w:rPr>
                <w:rStyle w:val="Hyperlink"/>
                <w:rFonts w:ascii="Arial" w:hAnsi="Arial" w:cs="Arial"/>
                <w:noProof/>
              </w:rPr>
              <w:t>Appendix B: Comprehensive Capital Budgeting &amp; Investment Appraisal Models</w:t>
            </w:r>
            <w:r>
              <w:rPr>
                <w:noProof/>
                <w:webHidden/>
              </w:rPr>
              <w:tab/>
            </w:r>
            <w:r>
              <w:rPr>
                <w:noProof/>
                <w:webHidden/>
              </w:rPr>
              <w:fldChar w:fldCharType="begin"/>
            </w:r>
            <w:r>
              <w:rPr>
                <w:noProof/>
                <w:webHidden/>
              </w:rPr>
              <w:instrText xml:space="preserve"> PAGEREF _Toc235783852 \h </w:instrText>
            </w:r>
            <w:r>
              <w:rPr>
                <w:noProof/>
                <w:webHidden/>
              </w:rPr>
            </w:r>
            <w:r>
              <w:rPr>
                <w:noProof/>
                <w:webHidden/>
              </w:rPr>
              <w:fldChar w:fldCharType="separate"/>
            </w:r>
            <w:r>
              <w:rPr>
                <w:noProof/>
                <w:webHidden/>
              </w:rPr>
              <w:t>34</w:t>
            </w:r>
            <w:r>
              <w:rPr>
                <w:noProof/>
                <w:webHidden/>
              </w:rPr>
              <w:fldChar w:fldCharType="end"/>
            </w:r>
          </w:hyperlink>
        </w:p>
        <w:p w:rsidR="009D3F1C" w:rsidRPr="00182D6D" w:rsidRDefault="009D3F1C" w:rsidP="009D3F1C">
          <w:pPr>
            <w:rPr>
              <w:rFonts w:ascii="Arial" w:hAnsi="Arial" w:cs="Arial"/>
            </w:rPr>
          </w:pPr>
          <w:r w:rsidRPr="00182D6D">
            <w:rPr>
              <w:rFonts w:ascii="Arial" w:hAnsi="Arial" w:cs="Arial"/>
              <w:b/>
              <w:bCs/>
              <w:noProof/>
            </w:rPr>
            <w:fldChar w:fldCharType="end"/>
          </w:r>
        </w:p>
      </w:sdtContent>
    </w:sdt>
    <w:p w:rsidR="009D3F1C" w:rsidRPr="00182D6D" w:rsidRDefault="009D3F1C" w:rsidP="009D3F1C">
      <w:pPr>
        <w:spacing w:line="360" w:lineRule="auto"/>
        <w:rPr>
          <w:rFonts w:ascii="Arial" w:hAnsi="Arial" w:cs="Arial"/>
          <w:lang w:val="en-US"/>
        </w:rPr>
      </w:pPr>
      <w:r w:rsidRPr="00182D6D">
        <w:rPr>
          <w:rFonts w:ascii="Arial" w:hAnsi="Arial" w:cs="Arial"/>
          <w:lang w:val="en-US"/>
        </w:rPr>
        <w:br w:type="page"/>
      </w:r>
    </w:p>
    <w:p w:rsidR="009D3F1C" w:rsidRPr="00182D6D" w:rsidRDefault="009D3F1C" w:rsidP="009D3F1C">
      <w:pPr>
        <w:pStyle w:val="Heading1"/>
        <w:rPr>
          <w:rFonts w:ascii="Arial" w:hAnsi="Arial" w:cs="Arial"/>
        </w:rPr>
      </w:pPr>
      <w:bookmarkStart w:id="0" w:name="_Toc235783817"/>
      <w:r w:rsidRPr="00182D6D">
        <w:rPr>
          <w:rFonts w:ascii="Arial" w:hAnsi="Arial" w:cs="Arial"/>
        </w:rPr>
        <w:lastRenderedPageBreak/>
        <w:t>1 Introduction</w:t>
      </w:r>
      <w:bookmarkEnd w:id="0"/>
      <w:r w:rsidRPr="00182D6D">
        <w:rPr>
          <w:rFonts w:ascii="Arial" w:hAnsi="Arial" w:cs="Arial"/>
        </w:rPr>
        <w:t xml:space="preserve"> </w:t>
      </w:r>
    </w:p>
    <w:p w:rsidR="009D3F1C" w:rsidRDefault="009D3F1C" w:rsidP="009D3F1C">
      <w:pPr>
        <w:spacing w:line="360" w:lineRule="auto"/>
        <w:rPr>
          <w:rFonts w:ascii="Arial" w:hAnsi="Arial" w:cs="Arial"/>
        </w:rPr>
      </w:pPr>
      <w:r w:rsidRPr="00182D6D">
        <w:rPr>
          <w:rFonts w:ascii="Arial" w:hAnsi="Arial" w:cs="Arial"/>
        </w:rPr>
        <w:t xml:space="preserve">Marriott International is found to be the largest hospitality corporation by the number of available rooms across the world, operating a robust, globally diversified portfolio of more than 30 leading hotel brands across more than 130 countries and territories (Fowosere and Dunston, 2025). </w:t>
      </w:r>
      <w:r>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 xml:space="preserve">This corporation report will use the strategic lens of the chief financial officer (CFO) to present the comprehensive and data-driven financial health check of Marriott International for the 5 years from 2021 to 2025. This era will include the pivotal timeline for the global hospitality ecosystem, tracking the starting volatile recovery of the sector from the unprecedented structural shocks of the COVID-19 pandemic up through the high inflation and increasing rates that featured the mid 2020s. By analysing the primary financial disclosures of Marriott, this report will evaluate the efficiency of its asset-light business model, which largely focuses on long-term management and franchise agreements over direct real estate ownership. </w:t>
      </w:r>
    </w:p>
    <w:p w:rsidR="009D3F1C" w:rsidRPr="00182D6D" w:rsidRDefault="009D3F1C" w:rsidP="009D3F1C">
      <w:pPr>
        <w:pStyle w:val="Heading1"/>
        <w:rPr>
          <w:rFonts w:ascii="Arial" w:hAnsi="Arial" w:cs="Arial"/>
        </w:rPr>
      </w:pPr>
      <w:bookmarkStart w:id="1" w:name="_Toc235783818"/>
      <w:r w:rsidRPr="00182D6D">
        <w:rPr>
          <w:rFonts w:ascii="Arial" w:hAnsi="Arial" w:cs="Arial"/>
        </w:rPr>
        <w:t>2 Financial health check</w:t>
      </w:r>
      <w:bookmarkEnd w:id="1"/>
      <w:r w:rsidRPr="00182D6D">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 xml:space="preserve">To present the critical assessment of Marriott’s underlying financial position, this section will include the systematic vertical and trend evaluation of the group's performance from the year 2021 through 2025. By evaluating the fundamental metrics derived from the official consolidated statements of income, statements of cash flows and balance sheets, this analysis will evaluate the post-pandemic recovery, the long-term mechanics of a fee-driven, asset-light operational blueprint and the macroeconomic adaptability of Marriott during the period of increased global inflation. </w:t>
      </w:r>
    </w:p>
    <w:p w:rsidR="009D3F1C" w:rsidRPr="00182D6D" w:rsidRDefault="009D3F1C" w:rsidP="009D3F1C">
      <w:pPr>
        <w:pStyle w:val="Heading2"/>
        <w:rPr>
          <w:rFonts w:ascii="Arial" w:hAnsi="Arial" w:cs="Arial"/>
        </w:rPr>
      </w:pPr>
      <w:bookmarkStart w:id="2" w:name="_Toc235783819"/>
      <w:r w:rsidRPr="00182D6D">
        <w:rPr>
          <w:rFonts w:ascii="Arial" w:hAnsi="Arial" w:cs="Arial"/>
        </w:rPr>
        <w:t>2.1 Complete financial ratio dataset (2021-2025)</w:t>
      </w:r>
      <w:bookmarkEnd w:id="2"/>
      <w:r w:rsidRPr="00182D6D">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 xml:space="preserve">The calculations that are included in Table 1 provide the empirical foundation for this financial evaluation. All the figures are derived strictly from the audited financial disclosures of Marriott. Due to the constant share buyback strategies of the company, its total shareholders’ equity has frequently settled at a negative structural balance; therefore, standard total equity denominators are adjusted or qualified where appropriate. </w:t>
      </w:r>
    </w:p>
    <w:p w:rsidR="009D3F1C" w:rsidRPr="00182D6D" w:rsidRDefault="009D3F1C" w:rsidP="009D3F1C">
      <w:pPr>
        <w:keepNext/>
        <w:spacing w:line="360" w:lineRule="auto"/>
        <w:rPr>
          <w:rFonts w:ascii="Arial" w:hAnsi="Arial" w:cs="Arial"/>
        </w:rPr>
      </w:pPr>
      <w:r w:rsidRPr="00182D6D">
        <w:rPr>
          <w:rFonts w:ascii="Arial" w:hAnsi="Arial" w:cs="Arial"/>
          <w:noProof/>
          <w:lang w:val="en-US"/>
        </w:rPr>
        <w:lastRenderedPageBreak/>
        <w:drawing>
          <wp:inline distT="0" distB="0" distL="0" distR="0" wp14:anchorId="21B8267A" wp14:editId="30A8DCAE">
            <wp:extent cx="5731510" cy="3466465"/>
            <wp:effectExtent l="0" t="0" r="2540" b="635"/>
            <wp:docPr id="1291808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808127" name=""/>
                    <pic:cNvPicPr/>
                  </pic:nvPicPr>
                  <pic:blipFill>
                    <a:blip r:embed="rId6"/>
                    <a:stretch>
                      <a:fillRect/>
                    </a:stretch>
                  </pic:blipFill>
                  <pic:spPr>
                    <a:xfrm>
                      <a:off x="0" y="0"/>
                      <a:ext cx="5731510" cy="3466465"/>
                    </a:xfrm>
                    <a:prstGeom prst="rect">
                      <a:avLst/>
                    </a:prstGeom>
                  </pic:spPr>
                </pic:pic>
              </a:graphicData>
            </a:graphic>
          </wp:inline>
        </w:drawing>
      </w:r>
    </w:p>
    <w:p w:rsidR="009D3F1C" w:rsidRPr="00182D6D" w:rsidRDefault="009D3F1C" w:rsidP="009D3F1C">
      <w:pPr>
        <w:pStyle w:val="Caption"/>
        <w:rPr>
          <w:rFonts w:ascii="Arial" w:hAnsi="Arial" w:cs="Arial"/>
        </w:rPr>
      </w:pPr>
      <w:r w:rsidRPr="00182D6D">
        <w:rPr>
          <w:rFonts w:ascii="Arial" w:hAnsi="Arial" w:cs="Arial"/>
        </w:rPr>
        <w:t xml:space="preserve">Figure </w:t>
      </w:r>
      <w:r w:rsidRPr="00182D6D">
        <w:rPr>
          <w:rFonts w:ascii="Arial" w:hAnsi="Arial" w:cs="Arial"/>
        </w:rPr>
        <w:fldChar w:fldCharType="begin"/>
      </w:r>
      <w:r w:rsidRPr="00182D6D">
        <w:rPr>
          <w:rFonts w:ascii="Arial" w:hAnsi="Arial" w:cs="Arial"/>
        </w:rPr>
        <w:instrText xml:space="preserve"> SEQ Figure \* ARABIC </w:instrText>
      </w:r>
      <w:r w:rsidRPr="00182D6D">
        <w:rPr>
          <w:rFonts w:ascii="Arial" w:hAnsi="Arial" w:cs="Arial"/>
        </w:rPr>
        <w:fldChar w:fldCharType="separate"/>
      </w:r>
      <w:r w:rsidRPr="00182D6D">
        <w:rPr>
          <w:rFonts w:ascii="Arial" w:hAnsi="Arial" w:cs="Arial"/>
          <w:noProof/>
        </w:rPr>
        <w:t>1</w:t>
      </w:r>
      <w:r w:rsidRPr="00182D6D">
        <w:rPr>
          <w:rFonts w:ascii="Arial" w:hAnsi="Arial" w:cs="Arial"/>
        </w:rPr>
        <w:fldChar w:fldCharType="end"/>
      </w:r>
      <w:r w:rsidRPr="00182D6D">
        <w:rPr>
          <w:rFonts w:ascii="Arial" w:hAnsi="Arial" w:cs="Arial"/>
        </w:rPr>
        <w:t>: Total loyalty program members and members per room</w:t>
      </w:r>
    </w:p>
    <w:p w:rsidR="009D3F1C" w:rsidRDefault="009D3F1C" w:rsidP="009D3F1C">
      <w:pPr>
        <w:rPr>
          <w:rFonts w:ascii="Arial" w:hAnsi="Arial" w:cs="Arial"/>
        </w:rPr>
      </w:pPr>
      <w:r w:rsidRPr="00182D6D">
        <w:rPr>
          <w:rFonts w:ascii="Arial" w:hAnsi="Arial" w:cs="Arial"/>
        </w:rPr>
        <w:t>(Source: CBRE, 2025)</w:t>
      </w:r>
    </w:p>
    <w:p w:rsidR="009D3F1C" w:rsidRPr="00182D6D" w:rsidRDefault="009D3F1C" w:rsidP="009D3F1C">
      <w:pPr>
        <w:rPr>
          <w:rFonts w:ascii="Arial" w:hAnsi="Arial" w:cs="Arial"/>
        </w:rPr>
      </w:pPr>
    </w:p>
    <w:p w:rsidR="009D3F1C" w:rsidRPr="00182D6D" w:rsidRDefault="009D3F1C" w:rsidP="009D3F1C">
      <w:pPr>
        <w:pStyle w:val="Caption"/>
        <w:keepNext/>
        <w:spacing w:line="360" w:lineRule="auto"/>
        <w:rPr>
          <w:rFonts w:ascii="Arial" w:hAnsi="Arial" w:cs="Arial"/>
          <w:b/>
          <w:bCs/>
          <w:szCs w:val="24"/>
        </w:rPr>
      </w:pPr>
      <w:r w:rsidRPr="00182D6D">
        <w:rPr>
          <w:rFonts w:ascii="Arial" w:hAnsi="Arial" w:cs="Arial"/>
          <w:b/>
          <w:bCs/>
          <w:szCs w:val="24"/>
        </w:rPr>
        <w:t xml:space="preserve">Table </w:t>
      </w:r>
      <w:r w:rsidRPr="00182D6D">
        <w:rPr>
          <w:rFonts w:ascii="Arial" w:hAnsi="Arial" w:cs="Arial"/>
          <w:b/>
          <w:bCs/>
          <w:szCs w:val="24"/>
        </w:rPr>
        <w:fldChar w:fldCharType="begin"/>
      </w:r>
      <w:r w:rsidRPr="00182D6D">
        <w:rPr>
          <w:rFonts w:ascii="Arial" w:hAnsi="Arial" w:cs="Arial"/>
          <w:b/>
          <w:bCs/>
          <w:szCs w:val="24"/>
        </w:rPr>
        <w:instrText xml:space="preserve"> SEQ Table \* ARABIC </w:instrText>
      </w:r>
      <w:r w:rsidRPr="00182D6D">
        <w:rPr>
          <w:rFonts w:ascii="Arial" w:hAnsi="Arial" w:cs="Arial"/>
          <w:b/>
          <w:bCs/>
          <w:szCs w:val="24"/>
        </w:rPr>
        <w:fldChar w:fldCharType="separate"/>
      </w:r>
      <w:r w:rsidRPr="00182D6D">
        <w:rPr>
          <w:rFonts w:ascii="Arial" w:hAnsi="Arial" w:cs="Arial"/>
          <w:b/>
          <w:bCs/>
          <w:noProof/>
          <w:szCs w:val="24"/>
        </w:rPr>
        <w:t>1</w:t>
      </w:r>
      <w:r w:rsidRPr="00182D6D">
        <w:rPr>
          <w:rFonts w:ascii="Arial" w:hAnsi="Arial" w:cs="Arial"/>
          <w:b/>
          <w:bCs/>
          <w:szCs w:val="24"/>
        </w:rPr>
        <w:fldChar w:fldCharType="end"/>
      </w:r>
      <w:r w:rsidRPr="00182D6D">
        <w:rPr>
          <w:rFonts w:ascii="Arial" w:hAnsi="Arial" w:cs="Arial"/>
          <w:b/>
          <w:bCs/>
          <w:szCs w:val="24"/>
        </w:rPr>
        <w:t>: Comprehensive Ratio Matrix for Marriott International Inc.</w:t>
      </w:r>
    </w:p>
    <w:tbl>
      <w:tblPr>
        <w:tblStyle w:val="TableGrid"/>
        <w:tblW w:w="0" w:type="auto"/>
        <w:tblLook w:val="04A0" w:firstRow="1" w:lastRow="0" w:firstColumn="1" w:lastColumn="0" w:noHBand="0" w:noVBand="1"/>
      </w:tblPr>
      <w:tblGrid>
        <w:gridCol w:w="1789"/>
        <w:gridCol w:w="1887"/>
        <w:gridCol w:w="1068"/>
        <w:gridCol w:w="1068"/>
        <w:gridCol w:w="1068"/>
        <w:gridCol w:w="1068"/>
        <w:gridCol w:w="1068"/>
      </w:tblGrid>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Financial Ratio Category</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Specific Ratio Metric</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FY 2021</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FY 2022</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FY 2023</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FY 2024</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FY 2025</w:t>
            </w:r>
          </w:p>
        </w:tc>
      </w:tr>
      <w:tr w:rsidR="009D3F1C" w:rsidRPr="00182D6D" w:rsidTr="00C94E9F">
        <w:tc>
          <w:tcPr>
            <w:tcW w:w="0" w:type="auto"/>
            <w:vMerge w:val="restart"/>
            <w:hideMark/>
          </w:tcPr>
          <w:p w:rsidR="009D3F1C" w:rsidRPr="00182D6D" w:rsidRDefault="009D3F1C" w:rsidP="00C94E9F">
            <w:pPr>
              <w:spacing w:after="160" w:line="360" w:lineRule="auto"/>
              <w:rPr>
                <w:rFonts w:ascii="Arial" w:hAnsi="Arial" w:cs="Arial"/>
              </w:rPr>
            </w:pPr>
            <w:r w:rsidRPr="00182D6D">
              <w:rPr>
                <w:rFonts w:ascii="Arial" w:hAnsi="Arial" w:cs="Arial"/>
                <w:b/>
                <w:bCs/>
              </w:rPr>
              <w:t>Profitability Ratios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Gross Profit Margin (%)</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17.58%</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18.25%</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19.55%</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20.60%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21.35%</w:t>
            </w:r>
          </w:p>
        </w:tc>
      </w:tr>
      <w:tr w:rsidR="009D3F1C" w:rsidRPr="00182D6D" w:rsidTr="00C94E9F">
        <w:tc>
          <w:tcPr>
            <w:tcW w:w="0" w:type="auto"/>
            <w:vMerge/>
            <w:hideMark/>
          </w:tcPr>
          <w:p w:rsidR="009D3F1C" w:rsidRPr="00182D6D" w:rsidRDefault="009D3F1C" w:rsidP="00C94E9F">
            <w:pPr>
              <w:spacing w:after="160" w:line="360" w:lineRule="auto"/>
              <w:rPr>
                <w:rFonts w:ascii="Arial" w:hAnsi="Arial" w:cs="Arial"/>
              </w:rPr>
            </w:pP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Operating Profit Margin (%)</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10.95%</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13.92%</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15.68%</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15.01%</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15.81%</w:t>
            </w:r>
          </w:p>
        </w:tc>
      </w:tr>
      <w:tr w:rsidR="009D3F1C" w:rsidRPr="00182D6D" w:rsidTr="00C94E9F">
        <w:tc>
          <w:tcPr>
            <w:tcW w:w="0" w:type="auto"/>
            <w:vMerge/>
            <w:hideMark/>
          </w:tcPr>
          <w:p w:rsidR="009D3F1C" w:rsidRPr="00182D6D" w:rsidRDefault="009D3F1C" w:rsidP="00C94E9F">
            <w:pPr>
              <w:spacing w:after="160" w:line="360" w:lineRule="auto"/>
              <w:rPr>
                <w:rFonts w:ascii="Arial" w:hAnsi="Arial" w:cs="Arial"/>
              </w:rPr>
            </w:pP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Net Profit Margin (%)</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7.91%</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11.23%</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13.11%</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9.46%</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9.93%</w:t>
            </w:r>
          </w:p>
        </w:tc>
      </w:tr>
      <w:tr w:rsidR="009D3F1C" w:rsidRPr="00182D6D" w:rsidTr="00C94E9F">
        <w:tc>
          <w:tcPr>
            <w:tcW w:w="0" w:type="auto"/>
            <w:vMerge/>
            <w:hideMark/>
          </w:tcPr>
          <w:p w:rsidR="009D3F1C" w:rsidRPr="00182D6D" w:rsidRDefault="009D3F1C" w:rsidP="00C94E9F">
            <w:pPr>
              <w:spacing w:after="160" w:line="360" w:lineRule="auto"/>
              <w:rPr>
                <w:rFonts w:ascii="Arial" w:hAnsi="Arial" w:cs="Arial"/>
              </w:rPr>
            </w:pP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Return on Assets (ROA) (%)</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4.39%</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9.20%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12.35%</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9.11%</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9.87%</w:t>
            </w:r>
          </w:p>
        </w:tc>
      </w:tr>
      <w:tr w:rsidR="009D3F1C" w:rsidRPr="00182D6D" w:rsidTr="00C94E9F">
        <w:tc>
          <w:tcPr>
            <w:tcW w:w="0" w:type="auto"/>
            <w:vMerge w:val="restart"/>
            <w:hideMark/>
          </w:tcPr>
          <w:p w:rsidR="009D3F1C" w:rsidRPr="00182D6D" w:rsidRDefault="009D3F1C" w:rsidP="00C94E9F">
            <w:pPr>
              <w:spacing w:after="160" w:line="360" w:lineRule="auto"/>
              <w:rPr>
                <w:rFonts w:ascii="Arial" w:hAnsi="Arial" w:cs="Arial"/>
              </w:rPr>
            </w:pPr>
            <w:r w:rsidRPr="00182D6D">
              <w:rPr>
                <w:rFonts w:ascii="Arial" w:hAnsi="Arial" w:cs="Arial"/>
                <w:b/>
                <w:bCs/>
              </w:rPr>
              <w:lastRenderedPageBreak/>
              <w:t>Liquidity Ratios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Current Ratio (x)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0.57x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0.45x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0.43x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0.40x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0.43x</w:t>
            </w:r>
          </w:p>
        </w:tc>
      </w:tr>
      <w:tr w:rsidR="009D3F1C" w:rsidRPr="00182D6D" w:rsidTr="00C94E9F">
        <w:tc>
          <w:tcPr>
            <w:tcW w:w="0" w:type="auto"/>
            <w:vMerge/>
            <w:hideMark/>
          </w:tcPr>
          <w:p w:rsidR="009D3F1C" w:rsidRPr="00182D6D" w:rsidRDefault="009D3F1C" w:rsidP="00C94E9F">
            <w:pPr>
              <w:spacing w:after="160" w:line="360" w:lineRule="auto"/>
              <w:rPr>
                <w:rFonts w:ascii="Arial" w:hAnsi="Arial" w:cs="Arial"/>
              </w:rPr>
            </w:pP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Quick (Acid-Test) Ratio (x)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0.52x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0.41x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0.38x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0.36x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0.39x</w:t>
            </w:r>
          </w:p>
        </w:tc>
      </w:tr>
      <w:tr w:rsidR="009D3F1C" w:rsidRPr="00182D6D" w:rsidTr="00C94E9F">
        <w:tc>
          <w:tcPr>
            <w:tcW w:w="0" w:type="auto"/>
            <w:vMerge w:val="restart"/>
            <w:hideMark/>
          </w:tcPr>
          <w:p w:rsidR="009D3F1C" w:rsidRPr="00182D6D" w:rsidRDefault="009D3F1C" w:rsidP="00C94E9F">
            <w:pPr>
              <w:spacing w:after="160" w:line="360" w:lineRule="auto"/>
              <w:rPr>
                <w:rFonts w:ascii="Arial" w:hAnsi="Arial" w:cs="Arial"/>
              </w:rPr>
            </w:pPr>
            <w:r w:rsidRPr="00182D6D">
              <w:rPr>
                <w:rFonts w:ascii="Arial" w:hAnsi="Arial" w:cs="Arial"/>
                <w:b/>
                <w:bCs/>
              </w:rPr>
              <w:t>Efficiency Ratios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Asset Turnover Ratio (x)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0.55x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0.82x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0.94x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0.96x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0.99x</w:t>
            </w:r>
          </w:p>
        </w:tc>
      </w:tr>
      <w:tr w:rsidR="009D3F1C" w:rsidRPr="00182D6D" w:rsidTr="00C94E9F">
        <w:tc>
          <w:tcPr>
            <w:tcW w:w="0" w:type="auto"/>
            <w:vMerge/>
            <w:hideMark/>
          </w:tcPr>
          <w:p w:rsidR="009D3F1C" w:rsidRPr="00182D6D" w:rsidRDefault="009D3F1C" w:rsidP="00C94E9F">
            <w:pPr>
              <w:spacing w:after="160" w:line="360" w:lineRule="auto"/>
              <w:rPr>
                <w:rFonts w:ascii="Arial" w:hAnsi="Arial" w:cs="Arial"/>
              </w:rPr>
            </w:pP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Receivables Turnover (x)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10.12x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12.34x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13.55x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13.10x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13.45x</w:t>
            </w:r>
          </w:p>
        </w:tc>
      </w:tr>
      <w:tr w:rsidR="009D3F1C" w:rsidRPr="00182D6D" w:rsidTr="00C94E9F">
        <w:tc>
          <w:tcPr>
            <w:tcW w:w="0" w:type="auto"/>
            <w:vMerge/>
            <w:hideMark/>
          </w:tcPr>
          <w:p w:rsidR="009D3F1C" w:rsidRPr="00182D6D" w:rsidRDefault="009D3F1C" w:rsidP="00C94E9F">
            <w:pPr>
              <w:spacing w:after="160" w:line="360" w:lineRule="auto"/>
              <w:rPr>
                <w:rFonts w:ascii="Arial" w:hAnsi="Arial" w:cs="Arial"/>
              </w:rPr>
            </w:pP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Days Sales Outstanding (DSO)</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36.1 days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29.6 days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26.9 days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27.9 days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27.1 days</w:t>
            </w:r>
          </w:p>
        </w:tc>
      </w:tr>
      <w:tr w:rsidR="009D3F1C" w:rsidRPr="00182D6D" w:rsidTr="00C94E9F">
        <w:tc>
          <w:tcPr>
            <w:tcW w:w="0" w:type="auto"/>
            <w:vMerge w:val="restart"/>
            <w:hideMark/>
          </w:tcPr>
          <w:p w:rsidR="009D3F1C" w:rsidRPr="00182D6D" w:rsidRDefault="009D3F1C" w:rsidP="00C94E9F">
            <w:pPr>
              <w:spacing w:after="160" w:line="360" w:lineRule="auto"/>
              <w:rPr>
                <w:rFonts w:ascii="Arial" w:hAnsi="Arial" w:cs="Arial"/>
              </w:rPr>
            </w:pPr>
            <w:r w:rsidRPr="00182D6D">
              <w:rPr>
                <w:rFonts w:ascii="Arial" w:hAnsi="Arial" w:cs="Arial"/>
                <w:b/>
                <w:bCs/>
              </w:rPr>
              <w:t>Gearing Ratios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Debt-to-Assets Ratio (x)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0.58x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0.47x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0.46x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0.40x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0.43x</w:t>
            </w:r>
          </w:p>
        </w:tc>
      </w:tr>
      <w:tr w:rsidR="009D3F1C" w:rsidRPr="00182D6D" w:rsidTr="00C94E9F">
        <w:tc>
          <w:tcPr>
            <w:tcW w:w="0" w:type="auto"/>
            <w:vMerge/>
            <w:hideMark/>
          </w:tcPr>
          <w:p w:rsidR="009D3F1C" w:rsidRPr="00182D6D" w:rsidRDefault="009D3F1C" w:rsidP="00C94E9F">
            <w:pPr>
              <w:spacing w:after="160" w:line="360" w:lineRule="auto"/>
              <w:rPr>
                <w:rFonts w:ascii="Arial" w:hAnsi="Arial" w:cs="Arial"/>
              </w:rPr>
            </w:pP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Interest Coverage Ratio (x)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2.51x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5.34x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6.88x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5.42x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5.12x</w:t>
            </w:r>
          </w:p>
        </w:tc>
      </w:tr>
      <w:tr w:rsidR="009D3F1C" w:rsidRPr="00182D6D" w:rsidTr="00C94E9F">
        <w:tc>
          <w:tcPr>
            <w:tcW w:w="0" w:type="auto"/>
            <w:vMerge w:val="restart"/>
            <w:hideMark/>
          </w:tcPr>
          <w:p w:rsidR="009D3F1C" w:rsidRPr="00182D6D" w:rsidRDefault="009D3F1C" w:rsidP="00C94E9F">
            <w:pPr>
              <w:spacing w:after="160" w:line="360" w:lineRule="auto"/>
              <w:rPr>
                <w:rFonts w:ascii="Arial" w:hAnsi="Arial" w:cs="Arial"/>
              </w:rPr>
            </w:pPr>
            <w:r w:rsidRPr="00182D6D">
              <w:rPr>
                <w:rFonts w:ascii="Arial" w:hAnsi="Arial" w:cs="Arial"/>
                <w:b/>
                <w:bCs/>
              </w:rPr>
              <w:t>Investment Ratios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Diluted Earnings Per Share (£/$)</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$3.32</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$7.24</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$9.95</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$8.33</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$9.51</w:t>
            </w:r>
          </w:p>
        </w:tc>
      </w:tr>
      <w:tr w:rsidR="009D3F1C" w:rsidRPr="00182D6D" w:rsidTr="00C94E9F">
        <w:tc>
          <w:tcPr>
            <w:tcW w:w="0" w:type="auto"/>
            <w:vMerge/>
            <w:hideMark/>
          </w:tcPr>
          <w:p w:rsidR="009D3F1C" w:rsidRPr="00182D6D" w:rsidRDefault="009D3F1C" w:rsidP="00C94E9F">
            <w:pPr>
              <w:spacing w:after="160" w:line="360" w:lineRule="auto"/>
              <w:rPr>
                <w:rFonts w:ascii="Arial" w:hAnsi="Arial" w:cs="Arial"/>
              </w:rPr>
            </w:pP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Dividend Payout Ratio (%)</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15.40%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18.90%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22.10%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27.60%</w:t>
            </w:r>
          </w:p>
        </w:tc>
      </w:tr>
      <w:tr w:rsidR="009D3F1C" w:rsidRPr="00182D6D" w:rsidTr="00C94E9F">
        <w:tc>
          <w:tcPr>
            <w:tcW w:w="0" w:type="auto"/>
            <w:vMerge w:val="restart"/>
            <w:hideMark/>
          </w:tcPr>
          <w:p w:rsidR="009D3F1C" w:rsidRPr="00182D6D" w:rsidRDefault="009D3F1C" w:rsidP="00C94E9F">
            <w:pPr>
              <w:spacing w:after="160" w:line="360" w:lineRule="auto"/>
              <w:rPr>
                <w:rFonts w:ascii="Arial" w:hAnsi="Arial" w:cs="Arial"/>
              </w:rPr>
            </w:pPr>
            <w:r w:rsidRPr="00182D6D">
              <w:rPr>
                <w:rFonts w:ascii="Arial" w:hAnsi="Arial" w:cs="Arial"/>
                <w:b/>
                <w:bCs/>
              </w:rPr>
              <w:t>Cash Flow Ratios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Operating Cash Flow / Debt (x)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0.15x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0.23x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0.27x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0.24x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0.25x</w:t>
            </w:r>
          </w:p>
        </w:tc>
      </w:tr>
      <w:tr w:rsidR="009D3F1C" w:rsidRPr="00182D6D" w:rsidTr="00C94E9F">
        <w:tc>
          <w:tcPr>
            <w:tcW w:w="0" w:type="auto"/>
            <w:vMerge/>
            <w:hideMark/>
          </w:tcPr>
          <w:p w:rsidR="009D3F1C" w:rsidRPr="00182D6D" w:rsidRDefault="009D3F1C" w:rsidP="00C94E9F">
            <w:pPr>
              <w:spacing w:after="160" w:line="360" w:lineRule="auto"/>
              <w:rPr>
                <w:rFonts w:ascii="Arial" w:hAnsi="Arial" w:cs="Arial"/>
              </w:rPr>
            </w:pP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Free Cash Flow Yield (%)</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3.85%</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5.92%</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6.84%</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5.44%</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6.12%</w:t>
            </w:r>
          </w:p>
        </w:tc>
      </w:tr>
    </w:tbl>
    <w:p w:rsidR="009D3F1C" w:rsidRPr="00182D6D" w:rsidRDefault="009D3F1C" w:rsidP="009D3F1C">
      <w:pPr>
        <w:spacing w:line="360" w:lineRule="auto"/>
        <w:rPr>
          <w:rFonts w:ascii="Arial" w:hAnsi="Arial" w:cs="Arial"/>
        </w:rPr>
      </w:pPr>
    </w:p>
    <w:p w:rsidR="009D3F1C" w:rsidRPr="00182D6D" w:rsidRDefault="009D3F1C" w:rsidP="009D3F1C">
      <w:pPr>
        <w:keepNext/>
        <w:spacing w:line="360" w:lineRule="auto"/>
        <w:rPr>
          <w:rFonts w:ascii="Arial" w:hAnsi="Arial" w:cs="Arial"/>
        </w:rPr>
      </w:pPr>
      <w:r w:rsidRPr="00182D6D">
        <w:rPr>
          <w:rFonts w:ascii="Arial" w:hAnsi="Arial" w:cs="Arial"/>
          <w:noProof/>
          <w:lang w:val="en-US"/>
        </w:rPr>
        <w:lastRenderedPageBreak/>
        <w:drawing>
          <wp:inline distT="0" distB="0" distL="0" distR="0" wp14:anchorId="5926C831" wp14:editId="3FDAD67E">
            <wp:extent cx="5502117" cy="3787468"/>
            <wp:effectExtent l="0" t="0" r="3810" b="3810"/>
            <wp:docPr id="1341773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773384" name=""/>
                    <pic:cNvPicPr/>
                  </pic:nvPicPr>
                  <pic:blipFill>
                    <a:blip r:embed="rId7"/>
                    <a:stretch>
                      <a:fillRect/>
                    </a:stretch>
                  </pic:blipFill>
                  <pic:spPr>
                    <a:xfrm>
                      <a:off x="0" y="0"/>
                      <a:ext cx="5502117" cy="3787468"/>
                    </a:xfrm>
                    <a:prstGeom prst="rect">
                      <a:avLst/>
                    </a:prstGeom>
                  </pic:spPr>
                </pic:pic>
              </a:graphicData>
            </a:graphic>
          </wp:inline>
        </w:drawing>
      </w:r>
    </w:p>
    <w:p w:rsidR="009D3F1C" w:rsidRPr="00182D6D" w:rsidRDefault="009D3F1C" w:rsidP="009D3F1C">
      <w:pPr>
        <w:pStyle w:val="Caption"/>
        <w:rPr>
          <w:rFonts w:ascii="Arial" w:hAnsi="Arial" w:cs="Arial"/>
        </w:rPr>
      </w:pPr>
      <w:r w:rsidRPr="00182D6D">
        <w:rPr>
          <w:rFonts w:ascii="Arial" w:hAnsi="Arial" w:cs="Arial"/>
        </w:rPr>
        <w:t xml:space="preserve">Figure </w:t>
      </w:r>
      <w:r w:rsidRPr="00182D6D">
        <w:rPr>
          <w:rFonts w:ascii="Arial" w:hAnsi="Arial" w:cs="Arial"/>
        </w:rPr>
        <w:fldChar w:fldCharType="begin"/>
      </w:r>
      <w:r w:rsidRPr="00182D6D">
        <w:rPr>
          <w:rFonts w:ascii="Arial" w:hAnsi="Arial" w:cs="Arial"/>
        </w:rPr>
        <w:instrText xml:space="preserve"> SEQ Figure \* ARABIC </w:instrText>
      </w:r>
      <w:r w:rsidRPr="00182D6D">
        <w:rPr>
          <w:rFonts w:ascii="Arial" w:hAnsi="Arial" w:cs="Arial"/>
        </w:rPr>
        <w:fldChar w:fldCharType="separate"/>
      </w:r>
      <w:r w:rsidRPr="00182D6D">
        <w:rPr>
          <w:rFonts w:ascii="Arial" w:hAnsi="Arial" w:cs="Arial"/>
          <w:noProof/>
        </w:rPr>
        <w:t>2</w:t>
      </w:r>
      <w:r w:rsidRPr="00182D6D">
        <w:rPr>
          <w:rFonts w:ascii="Arial" w:hAnsi="Arial" w:cs="Arial"/>
        </w:rPr>
        <w:fldChar w:fldCharType="end"/>
      </w:r>
      <w:r w:rsidRPr="00182D6D">
        <w:rPr>
          <w:rFonts w:ascii="Arial" w:hAnsi="Arial" w:cs="Arial"/>
        </w:rPr>
        <w:t>: Gross margin</w:t>
      </w:r>
    </w:p>
    <w:p w:rsidR="009D3F1C" w:rsidRPr="00182D6D" w:rsidRDefault="009D3F1C" w:rsidP="009D3F1C">
      <w:pPr>
        <w:rPr>
          <w:rFonts w:ascii="Arial" w:hAnsi="Arial" w:cs="Arial"/>
        </w:rPr>
      </w:pPr>
      <w:r w:rsidRPr="00182D6D">
        <w:rPr>
          <w:rFonts w:ascii="Arial" w:hAnsi="Arial" w:cs="Arial"/>
        </w:rPr>
        <w:t>(Source: Macrotrends, 2026)</w:t>
      </w:r>
    </w:p>
    <w:p w:rsidR="009D3F1C" w:rsidRPr="00182D6D" w:rsidRDefault="009D3F1C" w:rsidP="009D3F1C">
      <w:pPr>
        <w:keepNext/>
        <w:rPr>
          <w:rFonts w:ascii="Arial" w:hAnsi="Arial" w:cs="Arial"/>
        </w:rPr>
      </w:pPr>
      <w:r w:rsidRPr="00182D6D">
        <w:rPr>
          <w:rFonts w:ascii="Arial" w:hAnsi="Arial" w:cs="Arial"/>
          <w:noProof/>
          <w:lang w:val="en-US"/>
        </w:rPr>
        <w:drawing>
          <wp:inline distT="0" distB="0" distL="0" distR="0" wp14:anchorId="49637FAE" wp14:editId="0926233C">
            <wp:extent cx="5349704" cy="3833192"/>
            <wp:effectExtent l="0" t="0" r="3810" b="0"/>
            <wp:docPr id="409891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91625" name=""/>
                    <pic:cNvPicPr/>
                  </pic:nvPicPr>
                  <pic:blipFill>
                    <a:blip r:embed="rId8"/>
                    <a:stretch>
                      <a:fillRect/>
                    </a:stretch>
                  </pic:blipFill>
                  <pic:spPr>
                    <a:xfrm>
                      <a:off x="0" y="0"/>
                      <a:ext cx="5349704" cy="3833192"/>
                    </a:xfrm>
                    <a:prstGeom prst="rect">
                      <a:avLst/>
                    </a:prstGeom>
                  </pic:spPr>
                </pic:pic>
              </a:graphicData>
            </a:graphic>
          </wp:inline>
        </w:drawing>
      </w:r>
    </w:p>
    <w:p w:rsidR="009D3F1C" w:rsidRPr="00182D6D" w:rsidRDefault="009D3F1C" w:rsidP="009D3F1C">
      <w:pPr>
        <w:pStyle w:val="Caption"/>
        <w:rPr>
          <w:rFonts w:ascii="Arial" w:hAnsi="Arial" w:cs="Arial"/>
        </w:rPr>
      </w:pPr>
      <w:r w:rsidRPr="00182D6D">
        <w:rPr>
          <w:rFonts w:ascii="Arial" w:hAnsi="Arial" w:cs="Arial"/>
        </w:rPr>
        <w:t xml:space="preserve">Figure </w:t>
      </w:r>
      <w:r w:rsidRPr="00182D6D">
        <w:rPr>
          <w:rFonts w:ascii="Arial" w:hAnsi="Arial" w:cs="Arial"/>
        </w:rPr>
        <w:fldChar w:fldCharType="begin"/>
      </w:r>
      <w:r w:rsidRPr="00182D6D">
        <w:rPr>
          <w:rFonts w:ascii="Arial" w:hAnsi="Arial" w:cs="Arial"/>
        </w:rPr>
        <w:instrText xml:space="preserve"> SEQ Figure \* ARABIC </w:instrText>
      </w:r>
      <w:r w:rsidRPr="00182D6D">
        <w:rPr>
          <w:rFonts w:ascii="Arial" w:hAnsi="Arial" w:cs="Arial"/>
        </w:rPr>
        <w:fldChar w:fldCharType="separate"/>
      </w:r>
      <w:r w:rsidRPr="00182D6D">
        <w:rPr>
          <w:rFonts w:ascii="Arial" w:hAnsi="Arial" w:cs="Arial"/>
          <w:noProof/>
        </w:rPr>
        <w:t>3</w:t>
      </w:r>
      <w:r w:rsidRPr="00182D6D">
        <w:rPr>
          <w:rFonts w:ascii="Arial" w:hAnsi="Arial" w:cs="Arial"/>
        </w:rPr>
        <w:fldChar w:fldCharType="end"/>
      </w:r>
      <w:r w:rsidRPr="00182D6D">
        <w:rPr>
          <w:rFonts w:ascii="Arial" w:hAnsi="Arial" w:cs="Arial"/>
        </w:rPr>
        <w:t>: Operating margin</w:t>
      </w:r>
    </w:p>
    <w:p w:rsidR="009D3F1C" w:rsidRPr="00182D6D" w:rsidRDefault="009D3F1C" w:rsidP="009D3F1C">
      <w:pPr>
        <w:rPr>
          <w:rFonts w:ascii="Arial" w:hAnsi="Arial" w:cs="Arial"/>
        </w:rPr>
      </w:pPr>
      <w:r w:rsidRPr="00182D6D">
        <w:rPr>
          <w:rFonts w:ascii="Arial" w:hAnsi="Arial" w:cs="Arial"/>
        </w:rPr>
        <w:lastRenderedPageBreak/>
        <w:t>(Source: Macrotrends, 2026)</w:t>
      </w:r>
    </w:p>
    <w:p w:rsidR="009D3F1C" w:rsidRPr="00182D6D" w:rsidRDefault="009D3F1C" w:rsidP="009D3F1C">
      <w:pPr>
        <w:keepNext/>
        <w:rPr>
          <w:rFonts w:ascii="Arial" w:hAnsi="Arial" w:cs="Arial"/>
        </w:rPr>
      </w:pPr>
      <w:r w:rsidRPr="00182D6D">
        <w:rPr>
          <w:rFonts w:ascii="Arial" w:hAnsi="Arial" w:cs="Arial"/>
          <w:noProof/>
          <w:lang w:val="en-US"/>
        </w:rPr>
        <w:drawing>
          <wp:inline distT="0" distB="0" distL="0" distR="0" wp14:anchorId="1722734A" wp14:editId="1FADA418">
            <wp:extent cx="5425910" cy="3863675"/>
            <wp:effectExtent l="0" t="0" r="3810" b="3810"/>
            <wp:docPr id="1667207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07179" name=""/>
                    <pic:cNvPicPr/>
                  </pic:nvPicPr>
                  <pic:blipFill>
                    <a:blip r:embed="rId9"/>
                    <a:stretch>
                      <a:fillRect/>
                    </a:stretch>
                  </pic:blipFill>
                  <pic:spPr>
                    <a:xfrm>
                      <a:off x="0" y="0"/>
                      <a:ext cx="5425910" cy="3863675"/>
                    </a:xfrm>
                    <a:prstGeom prst="rect">
                      <a:avLst/>
                    </a:prstGeom>
                  </pic:spPr>
                </pic:pic>
              </a:graphicData>
            </a:graphic>
          </wp:inline>
        </w:drawing>
      </w:r>
    </w:p>
    <w:p w:rsidR="009D3F1C" w:rsidRPr="00182D6D" w:rsidRDefault="009D3F1C" w:rsidP="009D3F1C">
      <w:pPr>
        <w:pStyle w:val="Caption"/>
        <w:rPr>
          <w:rFonts w:ascii="Arial" w:hAnsi="Arial" w:cs="Arial"/>
        </w:rPr>
      </w:pPr>
      <w:r w:rsidRPr="00182D6D">
        <w:rPr>
          <w:rFonts w:ascii="Arial" w:hAnsi="Arial" w:cs="Arial"/>
        </w:rPr>
        <w:t xml:space="preserve">Figure </w:t>
      </w:r>
      <w:r w:rsidRPr="00182D6D">
        <w:rPr>
          <w:rFonts w:ascii="Arial" w:hAnsi="Arial" w:cs="Arial"/>
        </w:rPr>
        <w:fldChar w:fldCharType="begin"/>
      </w:r>
      <w:r w:rsidRPr="00182D6D">
        <w:rPr>
          <w:rFonts w:ascii="Arial" w:hAnsi="Arial" w:cs="Arial"/>
        </w:rPr>
        <w:instrText xml:space="preserve"> SEQ Figure \* ARABIC </w:instrText>
      </w:r>
      <w:r w:rsidRPr="00182D6D">
        <w:rPr>
          <w:rFonts w:ascii="Arial" w:hAnsi="Arial" w:cs="Arial"/>
        </w:rPr>
        <w:fldChar w:fldCharType="separate"/>
      </w:r>
      <w:r w:rsidRPr="00182D6D">
        <w:rPr>
          <w:rFonts w:ascii="Arial" w:hAnsi="Arial" w:cs="Arial"/>
          <w:noProof/>
        </w:rPr>
        <w:t>4</w:t>
      </w:r>
      <w:r w:rsidRPr="00182D6D">
        <w:rPr>
          <w:rFonts w:ascii="Arial" w:hAnsi="Arial" w:cs="Arial"/>
        </w:rPr>
        <w:fldChar w:fldCharType="end"/>
      </w:r>
      <w:r w:rsidRPr="00182D6D">
        <w:rPr>
          <w:rFonts w:ascii="Arial" w:hAnsi="Arial" w:cs="Arial"/>
        </w:rPr>
        <w:t>: Asset turnover</w:t>
      </w:r>
    </w:p>
    <w:p w:rsidR="009D3F1C" w:rsidRPr="00182D6D" w:rsidRDefault="009D3F1C" w:rsidP="009D3F1C">
      <w:pPr>
        <w:rPr>
          <w:rFonts w:ascii="Arial" w:hAnsi="Arial" w:cs="Arial"/>
        </w:rPr>
      </w:pPr>
      <w:r w:rsidRPr="00182D6D">
        <w:rPr>
          <w:rFonts w:ascii="Arial" w:hAnsi="Arial" w:cs="Arial"/>
        </w:rPr>
        <w:t>(Source: Macrotrends, 2026)</w:t>
      </w:r>
    </w:p>
    <w:p w:rsidR="009D3F1C" w:rsidRPr="00182D6D" w:rsidRDefault="009D3F1C" w:rsidP="009D3F1C">
      <w:pPr>
        <w:keepNext/>
        <w:rPr>
          <w:rFonts w:ascii="Arial" w:hAnsi="Arial" w:cs="Arial"/>
        </w:rPr>
      </w:pPr>
      <w:r w:rsidRPr="00182D6D">
        <w:rPr>
          <w:rFonts w:ascii="Arial" w:hAnsi="Arial" w:cs="Arial"/>
          <w:noProof/>
          <w:lang w:val="en-US"/>
        </w:rPr>
        <w:lastRenderedPageBreak/>
        <w:drawing>
          <wp:inline distT="0" distB="0" distL="0" distR="0" wp14:anchorId="637CE7C3" wp14:editId="49D402C6">
            <wp:extent cx="5502117" cy="3825572"/>
            <wp:effectExtent l="0" t="0" r="3810" b="3810"/>
            <wp:docPr id="1593217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17704" name=""/>
                    <pic:cNvPicPr/>
                  </pic:nvPicPr>
                  <pic:blipFill>
                    <a:blip r:embed="rId10"/>
                    <a:stretch>
                      <a:fillRect/>
                    </a:stretch>
                  </pic:blipFill>
                  <pic:spPr>
                    <a:xfrm>
                      <a:off x="0" y="0"/>
                      <a:ext cx="5502117" cy="3825572"/>
                    </a:xfrm>
                    <a:prstGeom prst="rect">
                      <a:avLst/>
                    </a:prstGeom>
                  </pic:spPr>
                </pic:pic>
              </a:graphicData>
            </a:graphic>
          </wp:inline>
        </w:drawing>
      </w:r>
    </w:p>
    <w:p w:rsidR="009D3F1C" w:rsidRPr="00182D6D" w:rsidRDefault="009D3F1C" w:rsidP="009D3F1C">
      <w:pPr>
        <w:pStyle w:val="Caption"/>
        <w:rPr>
          <w:rFonts w:ascii="Arial" w:hAnsi="Arial" w:cs="Arial"/>
        </w:rPr>
      </w:pPr>
      <w:r w:rsidRPr="00182D6D">
        <w:rPr>
          <w:rFonts w:ascii="Arial" w:hAnsi="Arial" w:cs="Arial"/>
        </w:rPr>
        <w:t xml:space="preserve">Figure </w:t>
      </w:r>
      <w:r w:rsidRPr="00182D6D">
        <w:rPr>
          <w:rFonts w:ascii="Arial" w:hAnsi="Arial" w:cs="Arial"/>
        </w:rPr>
        <w:fldChar w:fldCharType="begin"/>
      </w:r>
      <w:r w:rsidRPr="00182D6D">
        <w:rPr>
          <w:rFonts w:ascii="Arial" w:hAnsi="Arial" w:cs="Arial"/>
        </w:rPr>
        <w:instrText xml:space="preserve"> SEQ Figure \* ARABIC </w:instrText>
      </w:r>
      <w:r w:rsidRPr="00182D6D">
        <w:rPr>
          <w:rFonts w:ascii="Arial" w:hAnsi="Arial" w:cs="Arial"/>
        </w:rPr>
        <w:fldChar w:fldCharType="separate"/>
      </w:r>
      <w:r w:rsidRPr="00182D6D">
        <w:rPr>
          <w:rFonts w:ascii="Arial" w:hAnsi="Arial" w:cs="Arial"/>
          <w:noProof/>
        </w:rPr>
        <w:t>5</w:t>
      </w:r>
      <w:r w:rsidRPr="00182D6D">
        <w:rPr>
          <w:rFonts w:ascii="Arial" w:hAnsi="Arial" w:cs="Arial"/>
        </w:rPr>
        <w:fldChar w:fldCharType="end"/>
      </w:r>
      <w:r w:rsidRPr="00182D6D">
        <w:rPr>
          <w:rFonts w:ascii="Arial" w:hAnsi="Arial" w:cs="Arial"/>
        </w:rPr>
        <w:t>: Operating cash flow per share</w:t>
      </w:r>
    </w:p>
    <w:p w:rsidR="009D3F1C" w:rsidRPr="00182D6D" w:rsidRDefault="009D3F1C" w:rsidP="009D3F1C">
      <w:pPr>
        <w:rPr>
          <w:rFonts w:ascii="Arial" w:hAnsi="Arial" w:cs="Arial"/>
        </w:rPr>
      </w:pPr>
      <w:r w:rsidRPr="00182D6D">
        <w:rPr>
          <w:rFonts w:ascii="Arial" w:hAnsi="Arial" w:cs="Arial"/>
        </w:rPr>
        <w:t xml:space="preserve">(Source: Macrotrends, 2026) </w:t>
      </w:r>
    </w:p>
    <w:p w:rsidR="009D3F1C" w:rsidRPr="00182D6D" w:rsidRDefault="009D3F1C" w:rsidP="009D3F1C">
      <w:pPr>
        <w:pStyle w:val="Heading2"/>
        <w:rPr>
          <w:rFonts w:ascii="Arial" w:hAnsi="Arial" w:cs="Arial"/>
        </w:rPr>
      </w:pPr>
      <w:bookmarkStart w:id="3" w:name="_Toc235783820"/>
      <w:r w:rsidRPr="00182D6D">
        <w:rPr>
          <w:rFonts w:ascii="Arial" w:hAnsi="Arial" w:cs="Arial"/>
        </w:rPr>
        <w:t>2.2 In-depth Trend Analysis by Category</w:t>
      </w:r>
      <w:bookmarkEnd w:id="3"/>
      <w:r w:rsidRPr="00182D6D">
        <w:rPr>
          <w:rFonts w:ascii="Arial" w:hAnsi="Arial" w:cs="Arial"/>
        </w:rPr>
        <w:t xml:space="preserve"> </w:t>
      </w:r>
    </w:p>
    <w:p w:rsidR="009D3F1C" w:rsidRPr="00182D6D" w:rsidRDefault="009D3F1C" w:rsidP="009D3F1C">
      <w:pPr>
        <w:pStyle w:val="Heading3"/>
        <w:rPr>
          <w:rFonts w:ascii="Arial" w:hAnsi="Arial" w:cs="Arial"/>
        </w:rPr>
      </w:pPr>
      <w:bookmarkStart w:id="4" w:name="_Toc235783821"/>
      <w:r w:rsidRPr="00182D6D">
        <w:rPr>
          <w:rFonts w:ascii="Arial" w:hAnsi="Arial" w:cs="Arial"/>
        </w:rPr>
        <w:t>2.2.1 Profitability trends</w:t>
      </w:r>
      <w:bookmarkEnd w:id="4"/>
    </w:p>
    <w:p w:rsidR="009D3F1C" w:rsidRPr="00182D6D" w:rsidRDefault="009D3F1C" w:rsidP="009D3F1C">
      <w:pPr>
        <w:spacing w:line="360" w:lineRule="auto"/>
        <w:rPr>
          <w:rFonts w:ascii="Arial" w:hAnsi="Arial" w:cs="Arial"/>
        </w:rPr>
      </w:pPr>
      <w:r w:rsidRPr="00182D6D">
        <w:rPr>
          <w:rFonts w:ascii="Arial" w:hAnsi="Arial" w:cs="Arial"/>
        </w:rPr>
        <w:t xml:space="preserve">The profitability profile of Marriott International over the past 5 years presents a structural expansion. In the year 2021, the organisation was emerging from the widespread operational lockdown, earning a modest Net Profit Margin of 7.91% on the net income of $1,099 million. As the travel restrictions eased on a global scale, the margins expanded rapidly, with the Gross Profit Margin increasing consistently from 17.58% in 2021 to 21.35% by the year-end 2025. </w:t>
      </w:r>
    </w:p>
    <w:p w:rsidR="009D3F1C" w:rsidRPr="00182D6D" w:rsidRDefault="009D3F1C" w:rsidP="009D3F1C">
      <w:pPr>
        <w:keepNext/>
        <w:spacing w:line="360" w:lineRule="auto"/>
        <w:rPr>
          <w:rFonts w:ascii="Arial" w:hAnsi="Arial" w:cs="Arial"/>
        </w:rPr>
      </w:pPr>
      <w:r w:rsidRPr="00182D6D">
        <w:rPr>
          <w:rFonts w:ascii="Arial" w:hAnsi="Arial" w:cs="Arial"/>
          <w:noProof/>
          <w:lang w:val="en-US"/>
        </w:rPr>
        <w:lastRenderedPageBreak/>
        <w:drawing>
          <wp:inline distT="0" distB="0" distL="0" distR="0" wp14:anchorId="657B4516" wp14:editId="4516510E">
            <wp:extent cx="5433531" cy="3787468"/>
            <wp:effectExtent l="0" t="0" r="0" b="3810"/>
            <wp:docPr id="917332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332667" name=""/>
                    <pic:cNvPicPr/>
                  </pic:nvPicPr>
                  <pic:blipFill>
                    <a:blip r:embed="rId11"/>
                    <a:stretch>
                      <a:fillRect/>
                    </a:stretch>
                  </pic:blipFill>
                  <pic:spPr>
                    <a:xfrm>
                      <a:off x="0" y="0"/>
                      <a:ext cx="5433531" cy="3787468"/>
                    </a:xfrm>
                    <a:prstGeom prst="rect">
                      <a:avLst/>
                    </a:prstGeom>
                  </pic:spPr>
                </pic:pic>
              </a:graphicData>
            </a:graphic>
          </wp:inline>
        </w:drawing>
      </w:r>
    </w:p>
    <w:p w:rsidR="009D3F1C" w:rsidRPr="00182D6D" w:rsidRDefault="009D3F1C" w:rsidP="009D3F1C">
      <w:pPr>
        <w:pStyle w:val="Caption"/>
        <w:rPr>
          <w:rFonts w:ascii="Arial" w:hAnsi="Arial" w:cs="Arial"/>
        </w:rPr>
      </w:pPr>
      <w:r w:rsidRPr="00182D6D">
        <w:rPr>
          <w:rFonts w:ascii="Arial" w:hAnsi="Arial" w:cs="Arial"/>
        </w:rPr>
        <w:t xml:space="preserve">Figure </w:t>
      </w:r>
      <w:r w:rsidRPr="00182D6D">
        <w:rPr>
          <w:rFonts w:ascii="Arial" w:hAnsi="Arial" w:cs="Arial"/>
        </w:rPr>
        <w:fldChar w:fldCharType="begin"/>
      </w:r>
      <w:r w:rsidRPr="00182D6D">
        <w:rPr>
          <w:rFonts w:ascii="Arial" w:hAnsi="Arial" w:cs="Arial"/>
        </w:rPr>
        <w:instrText xml:space="preserve"> SEQ Figure \* ARABIC </w:instrText>
      </w:r>
      <w:r w:rsidRPr="00182D6D">
        <w:rPr>
          <w:rFonts w:ascii="Arial" w:hAnsi="Arial" w:cs="Arial"/>
        </w:rPr>
        <w:fldChar w:fldCharType="separate"/>
      </w:r>
      <w:r w:rsidRPr="00182D6D">
        <w:rPr>
          <w:rFonts w:ascii="Arial" w:hAnsi="Arial" w:cs="Arial"/>
          <w:noProof/>
        </w:rPr>
        <w:t>6</w:t>
      </w:r>
      <w:r w:rsidRPr="00182D6D">
        <w:rPr>
          <w:rFonts w:ascii="Arial" w:hAnsi="Arial" w:cs="Arial"/>
        </w:rPr>
        <w:fldChar w:fldCharType="end"/>
      </w:r>
      <w:r w:rsidRPr="00182D6D">
        <w:rPr>
          <w:rFonts w:ascii="Arial" w:hAnsi="Arial" w:cs="Arial"/>
        </w:rPr>
        <w:t>: Net profit margin</w:t>
      </w:r>
    </w:p>
    <w:p w:rsidR="009D3F1C" w:rsidRPr="00182D6D" w:rsidRDefault="009D3F1C" w:rsidP="009D3F1C">
      <w:pPr>
        <w:rPr>
          <w:rFonts w:ascii="Arial" w:hAnsi="Arial" w:cs="Arial"/>
        </w:rPr>
      </w:pPr>
      <w:r w:rsidRPr="00182D6D">
        <w:rPr>
          <w:rFonts w:ascii="Arial" w:hAnsi="Arial" w:cs="Arial"/>
        </w:rPr>
        <w:t>(Source: Macrotrends, 2026)</w:t>
      </w:r>
    </w:p>
    <w:p w:rsidR="009D3F1C" w:rsidRDefault="009D3F1C" w:rsidP="009D3F1C">
      <w:pPr>
        <w:spacing w:line="360" w:lineRule="auto"/>
        <w:rPr>
          <w:rFonts w:ascii="Arial" w:hAnsi="Arial" w:cs="Arial"/>
        </w:rPr>
      </w:pPr>
      <w:r w:rsidRPr="00182D6D">
        <w:rPr>
          <w:rFonts w:ascii="Arial" w:hAnsi="Arial" w:cs="Arial"/>
        </w:rPr>
        <w:t xml:space="preserve">This constant upward movement shows the pricing power inherent in the premium brand tiering of Marriott (like St. Regis, Ritz-Carlton, and JW Marriott). </w:t>
      </w:r>
      <w:r>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 xml:space="preserve">As Marriott depends mainly on the fee-based architecture instead of direct real estate management, its top-line performance directly captures the inflation-driven increases in Average Daily Rate (ADR) and the Revenue per Available Room (RevPAR) across the managed properties without absorbing the increasing underlying utility or the property-level labour expenses. </w:t>
      </w:r>
    </w:p>
    <w:p w:rsidR="009D3F1C" w:rsidRPr="00182D6D" w:rsidRDefault="009D3F1C" w:rsidP="009D3F1C">
      <w:pPr>
        <w:spacing w:line="360" w:lineRule="auto"/>
        <w:rPr>
          <w:rFonts w:ascii="Arial" w:hAnsi="Arial" w:cs="Arial"/>
        </w:rPr>
      </w:pPr>
      <w:r w:rsidRPr="00182D6D">
        <w:rPr>
          <w:rFonts w:ascii="Arial" w:hAnsi="Arial" w:cs="Arial"/>
        </w:rPr>
        <w:t>Operating margins increased dynamically in the year 2023, adding 15.68%, before levelling off slightly in 2024 due to legal settlements and corporate wage growth, but rebounded cleanly to 15.81% in 2025 alongside a 9.5% surge in the overall net income to $2,601 million. Return on Assets (ROA) follows a parallel Trajectory, increasing from 4.39% in 2021 to peak at 12.35% in 2023, which confirmed that the management generated higher net fee conversions per dollar of systemwide capital deployed.</w:t>
      </w:r>
    </w:p>
    <w:p w:rsidR="009D3F1C" w:rsidRPr="00182D6D" w:rsidRDefault="009D3F1C" w:rsidP="009D3F1C">
      <w:pPr>
        <w:pStyle w:val="Heading3"/>
        <w:rPr>
          <w:rFonts w:ascii="Arial" w:hAnsi="Arial" w:cs="Arial"/>
        </w:rPr>
      </w:pPr>
      <w:bookmarkStart w:id="5" w:name="_Toc235783822"/>
      <w:r w:rsidRPr="00182D6D">
        <w:rPr>
          <w:rFonts w:ascii="Arial" w:hAnsi="Arial" w:cs="Arial"/>
        </w:rPr>
        <w:lastRenderedPageBreak/>
        <w:t>2.2.2 Liquidity performance</w:t>
      </w:r>
      <w:bookmarkEnd w:id="5"/>
    </w:p>
    <w:p w:rsidR="009D3F1C" w:rsidRDefault="009D3F1C" w:rsidP="009D3F1C">
      <w:pPr>
        <w:spacing w:line="360" w:lineRule="auto"/>
        <w:rPr>
          <w:rFonts w:ascii="Arial" w:hAnsi="Arial" w:cs="Arial"/>
        </w:rPr>
      </w:pPr>
      <w:r w:rsidRPr="00182D6D">
        <w:rPr>
          <w:rFonts w:ascii="Arial" w:hAnsi="Arial" w:cs="Arial"/>
        </w:rPr>
        <w:t xml:space="preserve">In contrast to the traditional industrial corporations in which a current ratio below 1.0x shows structural insolvency risk, Marriott works with a constantly compressed working capital footprint. </w:t>
      </w:r>
    </w:p>
    <w:p w:rsidR="009D3F1C" w:rsidRPr="00182D6D" w:rsidRDefault="009D3F1C" w:rsidP="009D3F1C">
      <w:pPr>
        <w:spacing w:line="360" w:lineRule="auto"/>
        <w:rPr>
          <w:rFonts w:ascii="Arial" w:hAnsi="Arial" w:cs="Arial"/>
        </w:rPr>
      </w:pPr>
      <w:r w:rsidRPr="00182D6D">
        <w:rPr>
          <w:rFonts w:ascii="Arial" w:hAnsi="Arial" w:cs="Arial"/>
        </w:rPr>
        <w:t xml:space="preserve">Its current ratio peaked at 0.57x in the year 2021, which was driven by the post-pandemic emergency cash retention, before adjusting downward to a stable hovering between 0.40x and 0.45x from 2022 through 2025. </w:t>
      </w:r>
    </w:p>
    <w:p w:rsidR="009D3F1C" w:rsidRPr="00182D6D" w:rsidRDefault="009D3F1C" w:rsidP="009D3F1C">
      <w:pPr>
        <w:spacing w:line="360" w:lineRule="auto"/>
        <w:rPr>
          <w:rFonts w:ascii="Arial" w:hAnsi="Arial" w:cs="Arial"/>
        </w:rPr>
      </w:pPr>
      <w:r w:rsidRPr="00182D6D">
        <w:rPr>
          <w:rFonts w:ascii="Arial" w:hAnsi="Arial" w:cs="Arial"/>
        </w:rPr>
        <w:t xml:space="preserve">The quick ratio shows this trend closely, tracking between 0.36x and 0.52x, as the structural liquid assets of Marriott are optimised around the active guest lifecycle rather than physical stockpiles. Instead of tying up the underproductive capital in the low-yield liquid accounts, Marriott leverages its highly predictable management fee inflows, sustained by continuous global business and leisure travel flows, to fund its multi-billion-dollar share buyback programs ($3.3 billion repurchased in 2025 alone) and dividend distribution adjustments ($718 million paid out). </w:t>
      </w:r>
    </w:p>
    <w:p w:rsidR="009D3F1C" w:rsidRPr="00182D6D" w:rsidRDefault="009D3F1C" w:rsidP="009D3F1C">
      <w:pPr>
        <w:pStyle w:val="Heading3"/>
        <w:rPr>
          <w:rFonts w:ascii="Arial" w:hAnsi="Arial" w:cs="Arial"/>
        </w:rPr>
      </w:pPr>
      <w:bookmarkStart w:id="6" w:name="_Toc235783823"/>
      <w:r w:rsidRPr="00182D6D">
        <w:rPr>
          <w:rFonts w:ascii="Arial" w:hAnsi="Arial" w:cs="Arial"/>
        </w:rPr>
        <w:t>2.2.3 Efficiency and asset optimisation</w:t>
      </w:r>
      <w:bookmarkEnd w:id="6"/>
      <w:r w:rsidRPr="00182D6D">
        <w:rPr>
          <w:rFonts w:ascii="Arial" w:hAnsi="Arial" w:cs="Arial"/>
        </w:rPr>
        <w:t xml:space="preserve"> </w:t>
      </w:r>
    </w:p>
    <w:p w:rsidR="009D3F1C" w:rsidRDefault="009D3F1C" w:rsidP="009D3F1C">
      <w:pPr>
        <w:spacing w:line="360" w:lineRule="auto"/>
        <w:rPr>
          <w:rFonts w:ascii="Arial" w:hAnsi="Arial" w:cs="Arial"/>
        </w:rPr>
      </w:pPr>
      <w:r w:rsidRPr="00182D6D">
        <w:rPr>
          <w:rFonts w:ascii="Arial" w:hAnsi="Arial" w:cs="Arial"/>
        </w:rPr>
        <w:t>The strategic focus of Marriott is captured by its Asset Turnover Ratio, which increased from 0.55x in 2021 to 0.99x by 2025. This progression shows the optimisation of the ‘asset-light’ operational model for the group.</w:t>
      </w:r>
    </w:p>
    <w:p w:rsidR="009D3F1C" w:rsidRPr="00182D6D" w:rsidRDefault="009D3F1C" w:rsidP="009D3F1C">
      <w:pPr>
        <w:spacing w:line="360" w:lineRule="auto"/>
        <w:rPr>
          <w:rFonts w:ascii="Arial" w:hAnsi="Arial" w:cs="Arial"/>
        </w:rPr>
      </w:pPr>
      <w:r w:rsidRPr="00182D6D">
        <w:rPr>
          <w:rFonts w:ascii="Arial" w:hAnsi="Arial" w:cs="Arial"/>
        </w:rPr>
        <w:t xml:space="preserve"> By moving the property ownership risks towards third-party real estate developers while securing the long-term franchise rights, Marriott expanded its room footprint to about 1.78 million rooms across 9,805 global properties by late 2025 without carrying the capital-heavy balance sheet debt associated with physical property acquisition. </w:t>
      </w:r>
    </w:p>
    <w:p w:rsidR="009D3F1C" w:rsidRPr="00182D6D" w:rsidRDefault="009D3F1C" w:rsidP="009D3F1C">
      <w:pPr>
        <w:spacing w:line="360" w:lineRule="auto"/>
        <w:rPr>
          <w:rFonts w:ascii="Arial" w:hAnsi="Arial" w:cs="Arial"/>
        </w:rPr>
      </w:pPr>
      <w:r w:rsidRPr="00182D6D">
        <w:rPr>
          <w:rFonts w:ascii="Arial" w:hAnsi="Arial" w:cs="Arial"/>
        </w:rPr>
        <w:t xml:space="preserve">The receivables turnover remained high throughout the timeline, increasing from 10.12x in 2021 to 13.45x by 2025, which decreased the Days Sales Outstanding (DSO) from 36.1 days down to a tight 27.1 days. This shows automated clearing networks and strong institutional credit terms with the corporate travel accounts, regional franchise partners and global distribution channels. </w:t>
      </w:r>
    </w:p>
    <w:p w:rsidR="009D3F1C" w:rsidRPr="00182D6D" w:rsidRDefault="009D3F1C" w:rsidP="009D3F1C">
      <w:pPr>
        <w:spacing w:line="360" w:lineRule="auto"/>
        <w:rPr>
          <w:rFonts w:ascii="Arial" w:hAnsi="Arial" w:cs="Arial"/>
        </w:rPr>
      </w:pPr>
      <w:r w:rsidRPr="00182D6D">
        <w:rPr>
          <w:rFonts w:ascii="Arial" w:hAnsi="Arial" w:cs="Arial"/>
        </w:rPr>
        <w:t xml:space="preserve">This allows the company to generate high asset efficiency wholly from the fundamental accommodation experiences, guest hospitality services and room bookings, without the burden of property upkeep. </w:t>
      </w:r>
    </w:p>
    <w:p w:rsidR="009D3F1C" w:rsidRPr="00182D6D" w:rsidRDefault="009D3F1C" w:rsidP="009D3F1C">
      <w:pPr>
        <w:pStyle w:val="Heading3"/>
        <w:rPr>
          <w:rFonts w:ascii="Arial" w:hAnsi="Arial" w:cs="Arial"/>
        </w:rPr>
      </w:pPr>
      <w:bookmarkStart w:id="7" w:name="_Toc235783824"/>
      <w:r w:rsidRPr="00182D6D">
        <w:rPr>
          <w:rFonts w:ascii="Arial" w:hAnsi="Arial" w:cs="Arial"/>
        </w:rPr>
        <w:lastRenderedPageBreak/>
        <w:t>2.2.4 Gearing, Solvency and Debt Architecture</w:t>
      </w:r>
      <w:bookmarkEnd w:id="7"/>
      <w:r w:rsidRPr="00182D6D">
        <w:rPr>
          <w:rFonts w:ascii="Arial" w:hAnsi="Arial" w:cs="Arial"/>
        </w:rPr>
        <w:t xml:space="preserve"> </w:t>
      </w:r>
    </w:p>
    <w:p w:rsidR="009D3F1C" w:rsidRDefault="009D3F1C" w:rsidP="009D3F1C">
      <w:pPr>
        <w:spacing w:line="360" w:lineRule="auto"/>
        <w:rPr>
          <w:rFonts w:ascii="Arial" w:hAnsi="Arial" w:cs="Arial"/>
        </w:rPr>
      </w:pPr>
      <w:r w:rsidRPr="00182D6D">
        <w:rPr>
          <w:rFonts w:ascii="Arial" w:hAnsi="Arial" w:cs="Arial"/>
        </w:rPr>
        <w:t>Marriott retains a highly leveraged capital structure. The total corporate debt increased to $14.4 billion at the close of 2024, to assist in the aggressive capital return programs and strategic system additions, such as the citizen property acquisition.</w:t>
      </w:r>
    </w:p>
    <w:p w:rsidR="009D3F1C" w:rsidRPr="00182D6D" w:rsidRDefault="009D3F1C" w:rsidP="009D3F1C">
      <w:pPr>
        <w:spacing w:line="360" w:lineRule="auto"/>
        <w:rPr>
          <w:rFonts w:ascii="Arial" w:hAnsi="Arial" w:cs="Arial"/>
        </w:rPr>
      </w:pPr>
      <w:r w:rsidRPr="00182D6D">
        <w:rPr>
          <w:rFonts w:ascii="Arial" w:hAnsi="Arial" w:cs="Arial"/>
        </w:rPr>
        <w:t xml:space="preserve"> Despite these heavy nominal obligations, the long-term solvency threat has remained controlled. The Interest Coverage Ratio rose sharply from a precarious 2.51x in 2021 to a strong peak at 6.88x in 2023, before settling at 5.12x in 2025 amid the broader high-interest rate borrowing environment.</w:t>
      </w:r>
    </w:p>
    <w:p w:rsidR="009D3F1C" w:rsidRPr="00182D6D" w:rsidRDefault="009D3F1C" w:rsidP="009D3F1C">
      <w:pPr>
        <w:spacing w:line="360" w:lineRule="auto"/>
        <w:rPr>
          <w:rFonts w:ascii="Arial" w:hAnsi="Arial" w:cs="Arial"/>
        </w:rPr>
      </w:pPr>
      <w:r w:rsidRPr="00182D6D">
        <w:rPr>
          <w:rFonts w:ascii="Arial" w:hAnsi="Arial" w:cs="Arial"/>
        </w:rPr>
        <w:t>As the operating income ($4,141 million in 2025) covers the gross annual contractual interest expenses ($809 million) more than five times over, the organisation maintains a structural financial cushion and preserves continuous accessibility to the investment-grade commercial paper markets.</w:t>
      </w:r>
    </w:p>
    <w:p w:rsidR="009D3F1C" w:rsidRPr="00182D6D" w:rsidRDefault="009D3F1C" w:rsidP="009D3F1C">
      <w:pPr>
        <w:pStyle w:val="Heading3"/>
        <w:rPr>
          <w:rFonts w:ascii="Arial" w:hAnsi="Arial" w:cs="Arial"/>
        </w:rPr>
      </w:pPr>
      <w:bookmarkStart w:id="8" w:name="_Toc235783825"/>
      <w:r w:rsidRPr="00182D6D">
        <w:rPr>
          <w:rFonts w:ascii="Arial" w:hAnsi="Arial" w:cs="Arial"/>
        </w:rPr>
        <w:t>2.2.5 Investment returns and Shareholder metrics</w:t>
      </w:r>
      <w:bookmarkEnd w:id="8"/>
    </w:p>
    <w:p w:rsidR="009D3F1C" w:rsidRDefault="009D3F1C" w:rsidP="009D3F1C">
      <w:pPr>
        <w:spacing w:line="360" w:lineRule="auto"/>
        <w:rPr>
          <w:rFonts w:ascii="Arial" w:hAnsi="Arial" w:cs="Arial"/>
        </w:rPr>
      </w:pPr>
      <w:r w:rsidRPr="00182D6D">
        <w:rPr>
          <w:rFonts w:ascii="Arial" w:hAnsi="Arial" w:cs="Arial"/>
        </w:rPr>
        <w:t xml:space="preserve">From the investor point of view, the capital allocation strategy of the management generated substantial value during the period. Diluted Earnings Per Share (EPS) experienced a sharp upward trajectory, increasing from $3.32 in 2021 to $9.95 in 2023, before settling at a strong $9.51 per share in 2025. </w:t>
      </w:r>
    </w:p>
    <w:p w:rsidR="009D3F1C" w:rsidRPr="00182D6D" w:rsidRDefault="009D3F1C" w:rsidP="009D3F1C">
      <w:pPr>
        <w:spacing w:line="360" w:lineRule="auto"/>
        <w:rPr>
          <w:rFonts w:ascii="Arial" w:hAnsi="Arial" w:cs="Arial"/>
        </w:rPr>
      </w:pPr>
      <w:r w:rsidRPr="00182D6D">
        <w:rPr>
          <w:rFonts w:ascii="Arial" w:hAnsi="Arial" w:cs="Arial"/>
        </w:rPr>
        <w:t xml:space="preserve">This growth was led by the combination of the increasing nominal net income and the shrinking total share base resulting from the consistent share buybacks. As the financial stabilisation took hold, the organisation reinstated and progressively enhanced its Dividend Payout Ratio from 0.00% in 2021 to 27.60% in 2025, realigning its capital distribution strategy with the mature and institutional market expectations. </w:t>
      </w:r>
    </w:p>
    <w:p w:rsidR="009D3F1C" w:rsidRPr="00182D6D" w:rsidRDefault="009D3F1C" w:rsidP="009D3F1C">
      <w:pPr>
        <w:pStyle w:val="Heading3"/>
        <w:rPr>
          <w:rFonts w:ascii="Arial" w:hAnsi="Arial" w:cs="Arial"/>
        </w:rPr>
      </w:pPr>
      <w:bookmarkStart w:id="9" w:name="_Toc235783826"/>
      <w:r w:rsidRPr="00182D6D">
        <w:rPr>
          <w:rFonts w:ascii="Arial" w:hAnsi="Arial" w:cs="Arial"/>
        </w:rPr>
        <w:t>2.2.6 Cash Flow Adequacy</w:t>
      </w:r>
      <w:bookmarkEnd w:id="9"/>
      <w:r w:rsidRPr="00182D6D">
        <w:rPr>
          <w:rFonts w:ascii="Arial" w:hAnsi="Arial" w:cs="Arial"/>
        </w:rPr>
        <w:t xml:space="preserve"> </w:t>
      </w:r>
    </w:p>
    <w:p w:rsidR="009D3F1C" w:rsidRDefault="009D3F1C" w:rsidP="009D3F1C">
      <w:pPr>
        <w:spacing w:line="360" w:lineRule="auto"/>
        <w:rPr>
          <w:rFonts w:ascii="Arial" w:hAnsi="Arial" w:cs="Arial"/>
        </w:rPr>
      </w:pPr>
      <w:r w:rsidRPr="00182D6D">
        <w:rPr>
          <w:rFonts w:ascii="Arial" w:hAnsi="Arial" w:cs="Arial"/>
        </w:rPr>
        <w:t xml:space="preserve">The major strength supporting the leveraged capital framework of Marriott is its cash conversion potential. The operating cash flow to total debt ratio improved from 0.15x in 2021 to a steady baseline of 0.25x by 2025. </w:t>
      </w:r>
    </w:p>
    <w:p w:rsidR="009D3F1C" w:rsidRPr="00182D6D" w:rsidRDefault="009D3F1C" w:rsidP="009D3F1C">
      <w:pPr>
        <w:spacing w:line="360" w:lineRule="auto"/>
        <w:rPr>
          <w:rFonts w:ascii="Arial" w:hAnsi="Arial" w:cs="Arial"/>
        </w:rPr>
      </w:pPr>
      <w:r w:rsidRPr="00182D6D">
        <w:rPr>
          <w:rFonts w:ascii="Arial" w:hAnsi="Arial" w:cs="Arial"/>
        </w:rPr>
        <w:t xml:space="preserve">This shows that the organisation generated enough operational cash every four years to theoretically settle its whole outstanding debt balance. Similarly, the Free Cash Flow Yield stayed resilient, ranging between 5.44% and 6.84%, offering the financial stability required to execute the opportunistic brand expansions and absorb cyclical downturns without facing liquidity crises. </w:t>
      </w:r>
    </w:p>
    <w:p w:rsidR="009D3F1C" w:rsidRPr="00182D6D" w:rsidRDefault="009D3F1C" w:rsidP="009D3F1C">
      <w:pPr>
        <w:pStyle w:val="Heading2"/>
        <w:rPr>
          <w:rFonts w:ascii="Arial" w:hAnsi="Arial" w:cs="Arial"/>
        </w:rPr>
      </w:pPr>
      <w:bookmarkStart w:id="10" w:name="_Toc235783827"/>
      <w:r w:rsidRPr="00182D6D">
        <w:rPr>
          <w:rFonts w:ascii="Arial" w:hAnsi="Arial" w:cs="Arial"/>
        </w:rPr>
        <w:lastRenderedPageBreak/>
        <w:t>2.3 Strategic Core Strengths and Potential Trends</w:t>
      </w:r>
      <w:bookmarkEnd w:id="10"/>
    </w:p>
    <w:p w:rsidR="009D3F1C" w:rsidRPr="00182D6D" w:rsidRDefault="009D3F1C" w:rsidP="009D3F1C">
      <w:pPr>
        <w:spacing w:line="360" w:lineRule="auto"/>
        <w:rPr>
          <w:rFonts w:ascii="Arial" w:hAnsi="Arial" w:cs="Arial"/>
          <w:b/>
          <w:bCs/>
          <w:i/>
          <w:iCs/>
        </w:rPr>
      </w:pPr>
      <w:r w:rsidRPr="00182D6D">
        <w:rPr>
          <w:rFonts w:ascii="Arial" w:hAnsi="Arial" w:cs="Arial"/>
          <w:b/>
          <w:bCs/>
          <w:i/>
          <w:iCs/>
        </w:rPr>
        <w:t xml:space="preserve">Strategic core strengths </w:t>
      </w:r>
    </w:p>
    <w:p w:rsidR="009D3F1C" w:rsidRPr="00182D6D" w:rsidRDefault="009D3F1C" w:rsidP="009D3F1C">
      <w:pPr>
        <w:pStyle w:val="ListParagraph"/>
        <w:numPr>
          <w:ilvl w:val="0"/>
          <w:numId w:val="2"/>
        </w:numPr>
        <w:spacing w:line="360" w:lineRule="auto"/>
        <w:rPr>
          <w:rFonts w:ascii="Arial" w:hAnsi="Arial" w:cs="Arial"/>
        </w:rPr>
      </w:pPr>
      <w:r w:rsidRPr="00182D6D">
        <w:rPr>
          <w:rFonts w:ascii="Arial" w:hAnsi="Arial" w:cs="Arial"/>
        </w:rPr>
        <w:t>The Marriott Bonvoy Loyalty Platform: Increasing to nearly 271 million members by late 2025, the loyalty program drives direct bookings, accounting for 75% of the room nights in Canada and the US (</w:t>
      </w:r>
      <w:r w:rsidRPr="00182D6D">
        <w:rPr>
          <w:rFonts w:ascii="Arial" w:hAnsi="Arial" w:cs="Arial"/>
          <w:lang w:val="en-US"/>
        </w:rPr>
        <w:t>Marriott International, 2026</w:t>
      </w:r>
      <w:r w:rsidRPr="00182D6D">
        <w:rPr>
          <w:rFonts w:ascii="Arial" w:hAnsi="Arial" w:cs="Arial"/>
        </w:rPr>
        <w:t xml:space="preserve">). This substantial base decreases the dependence on Online Travel Agencies (OTAs), decreasing customer acquisition costs. </w:t>
      </w:r>
    </w:p>
    <w:p w:rsidR="009D3F1C" w:rsidRPr="00182D6D" w:rsidRDefault="009D3F1C" w:rsidP="009D3F1C">
      <w:pPr>
        <w:pStyle w:val="ListParagraph"/>
        <w:numPr>
          <w:ilvl w:val="0"/>
          <w:numId w:val="2"/>
        </w:numPr>
        <w:spacing w:line="360" w:lineRule="auto"/>
        <w:rPr>
          <w:rFonts w:ascii="Arial" w:hAnsi="Arial" w:cs="Arial"/>
        </w:rPr>
      </w:pPr>
      <w:r w:rsidRPr="00182D6D">
        <w:rPr>
          <w:rFonts w:ascii="Arial" w:hAnsi="Arial" w:cs="Arial"/>
        </w:rPr>
        <w:t xml:space="preserve">Scalable Fee-Driven Business Model: By deriving the vast majority of its revenues from the base and incentive management fees (totalling $5,438 million in 2025), Marriott shifts the property inflation, property-level operational costs overruns onto individual property owners and rising construction costs. </w:t>
      </w:r>
    </w:p>
    <w:p w:rsidR="009D3F1C" w:rsidRPr="00182D6D" w:rsidRDefault="009D3F1C" w:rsidP="009D3F1C">
      <w:pPr>
        <w:pStyle w:val="ListParagraph"/>
        <w:numPr>
          <w:ilvl w:val="0"/>
          <w:numId w:val="2"/>
        </w:numPr>
        <w:spacing w:line="360" w:lineRule="auto"/>
        <w:rPr>
          <w:rFonts w:ascii="Arial" w:hAnsi="Arial" w:cs="Arial"/>
        </w:rPr>
      </w:pPr>
      <w:r w:rsidRPr="00182D6D">
        <w:rPr>
          <w:rFonts w:ascii="Arial" w:hAnsi="Arial" w:cs="Arial"/>
        </w:rPr>
        <w:t xml:space="preserve">High Co-Branded Credit Card Monetisation: Fees from co-branded financial credit cards rose by more than 8% in 2025, offering a highly insulated, recurring cash flow stream independent of seasonal occupancy changes. </w:t>
      </w:r>
    </w:p>
    <w:p w:rsidR="009D3F1C" w:rsidRPr="00182D6D" w:rsidRDefault="009D3F1C" w:rsidP="009D3F1C">
      <w:pPr>
        <w:spacing w:line="360" w:lineRule="auto"/>
        <w:rPr>
          <w:rFonts w:ascii="Arial" w:hAnsi="Arial" w:cs="Arial"/>
          <w:b/>
          <w:bCs/>
          <w:i/>
          <w:iCs/>
        </w:rPr>
      </w:pPr>
      <w:r w:rsidRPr="00182D6D">
        <w:rPr>
          <w:rFonts w:ascii="Arial" w:hAnsi="Arial" w:cs="Arial"/>
          <w:b/>
          <w:bCs/>
          <w:i/>
          <w:iCs/>
        </w:rPr>
        <w:t xml:space="preserve">Potential operational threats </w:t>
      </w:r>
    </w:p>
    <w:p w:rsidR="009D3F1C" w:rsidRPr="00182D6D" w:rsidRDefault="009D3F1C" w:rsidP="009D3F1C">
      <w:pPr>
        <w:pStyle w:val="ListParagraph"/>
        <w:numPr>
          <w:ilvl w:val="0"/>
          <w:numId w:val="3"/>
        </w:numPr>
        <w:spacing w:line="360" w:lineRule="auto"/>
        <w:rPr>
          <w:rFonts w:ascii="Arial" w:hAnsi="Arial" w:cs="Arial"/>
        </w:rPr>
      </w:pPr>
      <w:r w:rsidRPr="00182D6D">
        <w:rPr>
          <w:rFonts w:ascii="Arial" w:hAnsi="Arial" w:cs="Arial"/>
        </w:rPr>
        <w:t xml:space="preserve">Macroeconomic margin pressures: Although the corporate fee model presents the structural insulation, prolonged wage growth for the hotel staff and higher property insurance premiums can erode property-level profit margins, potentially decreasing Marriott's incentive management fee collections of the Marriott. </w:t>
      </w:r>
    </w:p>
    <w:p w:rsidR="009D3F1C" w:rsidRPr="00182D6D" w:rsidRDefault="009D3F1C" w:rsidP="009D3F1C">
      <w:pPr>
        <w:pStyle w:val="ListParagraph"/>
        <w:numPr>
          <w:ilvl w:val="0"/>
          <w:numId w:val="3"/>
        </w:numPr>
        <w:spacing w:line="360" w:lineRule="auto"/>
        <w:rPr>
          <w:rFonts w:ascii="Arial" w:hAnsi="Arial" w:cs="Arial"/>
        </w:rPr>
      </w:pPr>
      <w:r w:rsidRPr="00182D6D">
        <w:rPr>
          <w:rFonts w:ascii="Arial" w:hAnsi="Arial" w:cs="Arial"/>
        </w:rPr>
        <w:t xml:space="preserve">Geographic concentration risks: While the global fee segments are growing, the organisation still depends heavily on the North America domestic travel corridor. This concentration exposes Marriott to regional consumer downturns or changes in the domestic corporate travel policies (Yahoo Finance, 2024). </w:t>
      </w:r>
    </w:p>
    <w:p w:rsidR="009D3F1C" w:rsidRPr="00182D6D" w:rsidRDefault="009D3F1C" w:rsidP="009D3F1C">
      <w:pPr>
        <w:pStyle w:val="Heading2"/>
        <w:rPr>
          <w:rFonts w:ascii="Arial" w:hAnsi="Arial" w:cs="Arial"/>
        </w:rPr>
      </w:pPr>
      <w:bookmarkStart w:id="11" w:name="_Toc235783828"/>
      <w:r w:rsidRPr="00182D6D">
        <w:rPr>
          <w:rFonts w:ascii="Arial" w:hAnsi="Arial" w:cs="Arial"/>
        </w:rPr>
        <w:t>2.4 Comparative Industry Liquidity Benchmarking</w:t>
      </w:r>
      <w:bookmarkEnd w:id="11"/>
      <w:r w:rsidRPr="00182D6D">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 xml:space="preserve">To contextualise the aggressive liquidity posture of Marriott, the table provided below compares its liquidity metrics against the direct global lodging rivals and the wider consumer discretionary sector. </w:t>
      </w:r>
    </w:p>
    <w:p w:rsidR="009D3F1C" w:rsidRPr="00182D6D" w:rsidRDefault="009D3F1C" w:rsidP="009D3F1C">
      <w:pPr>
        <w:pStyle w:val="Caption"/>
        <w:keepNext/>
        <w:spacing w:line="360" w:lineRule="auto"/>
        <w:rPr>
          <w:rFonts w:ascii="Arial" w:hAnsi="Arial" w:cs="Arial"/>
          <w:szCs w:val="24"/>
        </w:rPr>
      </w:pPr>
      <w:r w:rsidRPr="00182D6D">
        <w:rPr>
          <w:rFonts w:ascii="Arial" w:hAnsi="Arial" w:cs="Arial"/>
          <w:szCs w:val="24"/>
        </w:rPr>
        <w:lastRenderedPageBreak/>
        <w:t xml:space="preserve">Table </w:t>
      </w:r>
      <w:r w:rsidRPr="00182D6D">
        <w:rPr>
          <w:rFonts w:ascii="Arial" w:hAnsi="Arial" w:cs="Arial"/>
          <w:szCs w:val="24"/>
        </w:rPr>
        <w:fldChar w:fldCharType="begin"/>
      </w:r>
      <w:r w:rsidRPr="00182D6D">
        <w:rPr>
          <w:rFonts w:ascii="Arial" w:hAnsi="Arial" w:cs="Arial"/>
          <w:szCs w:val="24"/>
        </w:rPr>
        <w:instrText xml:space="preserve"> SEQ Table \* ARABIC </w:instrText>
      </w:r>
      <w:r w:rsidRPr="00182D6D">
        <w:rPr>
          <w:rFonts w:ascii="Arial" w:hAnsi="Arial" w:cs="Arial"/>
          <w:szCs w:val="24"/>
        </w:rPr>
        <w:fldChar w:fldCharType="separate"/>
      </w:r>
      <w:r w:rsidRPr="00182D6D">
        <w:rPr>
          <w:rFonts w:ascii="Arial" w:hAnsi="Arial" w:cs="Arial"/>
          <w:noProof/>
          <w:szCs w:val="24"/>
        </w:rPr>
        <w:t>2</w:t>
      </w:r>
      <w:r w:rsidRPr="00182D6D">
        <w:rPr>
          <w:rFonts w:ascii="Arial" w:hAnsi="Arial" w:cs="Arial"/>
          <w:szCs w:val="24"/>
        </w:rPr>
        <w:fldChar w:fldCharType="end"/>
      </w:r>
      <w:r w:rsidRPr="00182D6D">
        <w:rPr>
          <w:rFonts w:ascii="Arial" w:hAnsi="Arial" w:cs="Arial"/>
          <w:szCs w:val="24"/>
        </w:rPr>
        <w:t>: Sector competitor liquidity benchmark matrix (2025)</w:t>
      </w:r>
    </w:p>
    <w:tbl>
      <w:tblPr>
        <w:tblStyle w:val="TableGrid"/>
        <w:tblW w:w="0" w:type="auto"/>
        <w:tblLook w:val="04A0" w:firstRow="1" w:lastRow="0" w:firstColumn="1" w:lastColumn="0" w:noHBand="0" w:noVBand="1"/>
      </w:tblPr>
      <w:tblGrid>
        <w:gridCol w:w="1549"/>
        <w:gridCol w:w="1742"/>
        <w:gridCol w:w="1490"/>
        <w:gridCol w:w="1008"/>
        <w:gridCol w:w="2113"/>
        <w:gridCol w:w="1114"/>
      </w:tblGrid>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Metric / Peer Enterprise</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Marriott International</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Hilton Worldwide</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Hyatt Hotels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InterContinental (IHG)</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Sector Median</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Current Ratio (x)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0.43x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0.60x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0.60x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1.00x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1.50x</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Quick Ratio (x)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0.39x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0.54x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0.52x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0.92x</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1.10x</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Working Capital Position</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Deficit</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Deficit</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Deficit</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Balanced</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Surplus</w:t>
            </w:r>
          </w:p>
        </w:tc>
      </w:tr>
    </w:tbl>
    <w:p w:rsidR="009D3F1C" w:rsidRPr="00182D6D" w:rsidRDefault="009D3F1C" w:rsidP="009D3F1C">
      <w:pPr>
        <w:spacing w:line="360" w:lineRule="auto"/>
        <w:rPr>
          <w:rFonts w:ascii="Arial" w:hAnsi="Arial" w:cs="Arial"/>
        </w:rPr>
      </w:pPr>
    </w:p>
    <w:p w:rsidR="009D3F1C" w:rsidRPr="00182D6D" w:rsidRDefault="009D3F1C" w:rsidP="009D3F1C">
      <w:pPr>
        <w:keepNext/>
        <w:spacing w:line="360" w:lineRule="auto"/>
        <w:rPr>
          <w:rFonts w:ascii="Arial" w:hAnsi="Arial" w:cs="Arial"/>
        </w:rPr>
      </w:pPr>
      <w:r w:rsidRPr="00182D6D">
        <w:rPr>
          <w:rFonts w:ascii="Arial" w:hAnsi="Arial" w:cs="Arial"/>
          <w:noProof/>
          <w:lang w:val="en-US"/>
        </w:rPr>
        <w:drawing>
          <wp:inline distT="0" distB="0" distL="0" distR="0" wp14:anchorId="04306DCA" wp14:editId="50F0A0D8">
            <wp:extent cx="5273497" cy="3825572"/>
            <wp:effectExtent l="0" t="0" r="3810" b="3810"/>
            <wp:docPr id="2100646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646722" name=""/>
                    <pic:cNvPicPr/>
                  </pic:nvPicPr>
                  <pic:blipFill>
                    <a:blip r:embed="rId12"/>
                    <a:stretch>
                      <a:fillRect/>
                    </a:stretch>
                  </pic:blipFill>
                  <pic:spPr>
                    <a:xfrm>
                      <a:off x="0" y="0"/>
                      <a:ext cx="5273497" cy="3825572"/>
                    </a:xfrm>
                    <a:prstGeom prst="rect">
                      <a:avLst/>
                    </a:prstGeom>
                  </pic:spPr>
                </pic:pic>
              </a:graphicData>
            </a:graphic>
          </wp:inline>
        </w:drawing>
      </w:r>
    </w:p>
    <w:p w:rsidR="009D3F1C" w:rsidRPr="00182D6D" w:rsidRDefault="009D3F1C" w:rsidP="009D3F1C">
      <w:pPr>
        <w:pStyle w:val="Caption"/>
        <w:rPr>
          <w:rFonts w:ascii="Arial" w:hAnsi="Arial" w:cs="Arial"/>
        </w:rPr>
      </w:pPr>
      <w:r w:rsidRPr="00182D6D">
        <w:rPr>
          <w:rFonts w:ascii="Arial" w:hAnsi="Arial" w:cs="Arial"/>
        </w:rPr>
        <w:t xml:space="preserve">Figure </w:t>
      </w:r>
      <w:r w:rsidRPr="00182D6D">
        <w:rPr>
          <w:rFonts w:ascii="Arial" w:hAnsi="Arial" w:cs="Arial"/>
        </w:rPr>
        <w:fldChar w:fldCharType="begin"/>
      </w:r>
      <w:r w:rsidRPr="00182D6D">
        <w:rPr>
          <w:rFonts w:ascii="Arial" w:hAnsi="Arial" w:cs="Arial"/>
        </w:rPr>
        <w:instrText xml:space="preserve"> SEQ Figure \* ARABIC </w:instrText>
      </w:r>
      <w:r w:rsidRPr="00182D6D">
        <w:rPr>
          <w:rFonts w:ascii="Arial" w:hAnsi="Arial" w:cs="Arial"/>
        </w:rPr>
        <w:fldChar w:fldCharType="separate"/>
      </w:r>
      <w:r w:rsidRPr="00182D6D">
        <w:rPr>
          <w:rFonts w:ascii="Arial" w:hAnsi="Arial" w:cs="Arial"/>
          <w:noProof/>
        </w:rPr>
        <w:t>7</w:t>
      </w:r>
      <w:r w:rsidRPr="00182D6D">
        <w:rPr>
          <w:rFonts w:ascii="Arial" w:hAnsi="Arial" w:cs="Arial"/>
        </w:rPr>
        <w:fldChar w:fldCharType="end"/>
      </w:r>
      <w:r w:rsidRPr="00182D6D">
        <w:rPr>
          <w:rFonts w:ascii="Arial" w:hAnsi="Arial" w:cs="Arial"/>
        </w:rPr>
        <w:t>: Current ratio</w:t>
      </w:r>
    </w:p>
    <w:p w:rsidR="009D3F1C" w:rsidRPr="00182D6D" w:rsidRDefault="009D3F1C" w:rsidP="009D3F1C">
      <w:pPr>
        <w:rPr>
          <w:rFonts w:ascii="Arial" w:hAnsi="Arial" w:cs="Arial"/>
        </w:rPr>
      </w:pPr>
      <w:r w:rsidRPr="00182D6D">
        <w:rPr>
          <w:rFonts w:ascii="Arial" w:hAnsi="Arial" w:cs="Arial"/>
        </w:rPr>
        <w:t>(Source: Macrotrends, 2026)</w:t>
      </w:r>
    </w:p>
    <w:p w:rsidR="009D3F1C" w:rsidRPr="00182D6D" w:rsidRDefault="009D3F1C" w:rsidP="009D3F1C">
      <w:pPr>
        <w:spacing w:line="360" w:lineRule="auto"/>
        <w:rPr>
          <w:rFonts w:ascii="Arial" w:hAnsi="Arial" w:cs="Arial"/>
        </w:rPr>
      </w:pPr>
      <w:r w:rsidRPr="00182D6D">
        <w:rPr>
          <w:rFonts w:ascii="Arial" w:hAnsi="Arial" w:cs="Arial"/>
        </w:rPr>
        <w:t xml:space="preserve">This peer comparison shows that working capital deficits are common across the asset-light lodging industry, though Marriott manages its liquidity positions more </w:t>
      </w:r>
      <w:r w:rsidRPr="00182D6D">
        <w:rPr>
          <w:rFonts w:ascii="Arial" w:hAnsi="Arial" w:cs="Arial"/>
        </w:rPr>
        <w:lastRenderedPageBreak/>
        <w:t xml:space="preserve">aggressively in comparison to its immediate rivals. Hilton Worldwide and Hyatt Hotels maintain slightly higher current ratios at 0.60x, while the InterContinental Hotels Group (IHG) runs a balanced position at 1.00x. </w:t>
      </w:r>
    </w:p>
    <w:p w:rsidR="009D3F1C" w:rsidRDefault="009D3F1C" w:rsidP="009D3F1C">
      <w:pPr>
        <w:spacing w:line="360" w:lineRule="auto"/>
        <w:rPr>
          <w:rFonts w:ascii="Arial" w:hAnsi="Arial" w:cs="Arial"/>
        </w:rPr>
      </w:pPr>
      <w:r w:rsidRPr="00182D6D">
        <w:rPr>
          <w:rFonts w:ascii="Arial" w:hAnsi="Arial" w:cs="Arial"/>
        </w:rPr>
        <w:t>All the major lodging players work well below the broader Consumer Discretionary sector median of 1.50x. This deviation is structurally sound, unlike the traditional retailers' need to hold large inventories; Marriott generates rapid and short-term cash collections from the online guest check-outs while delaying payments to corporate trade accounts payable.</w:t>
      </w:r>
    </w:p>
    <w:p w:rsidR="009D3F1C" w:rsidRPr="00182D6D" w:rsidRDefault="009D3F1C" w:rsidP="009D3F1C">
      <w:pPr>
        <w:spacing w:line="360" w:lineRule="auto"/>
        <w:rPr>
          <w:rFonts w:ascii="Arial" w:hAnsi="Arial" w:cs="Arial"/>
        </w:rPr>
      </w:pPr>
      <w:r w:rsidRPr="00182D6D">
        <w:rPr>
          <w:rFonts w:ascii="Arial" w:hAnsi="Arial" w:cs="Arial"/>
        </w:rPr>
        <w:t xml:space="preserve"> Consequently, its structural working capital deficit functions as the interest-free source of operating capital, which allows the company to allocate resources towards expanding its global rooms pipeline instead of holding uninsurable idle cash. </w:t>
      </w:r>
    </w:p>
    <w:p w:rsidR="009D3F1C" w:rsidRPr="00182D6D" w:rsidRDefault="009D3F1C" w:rsidP="009D3F1C">
      <w:pPr>
        <w:pStyle w:val="Heading1"/>
        <w:rPr>
          <w:rFonts w:ascii="Arial" w:hAnsi="Arial" w:cs="Arial"/>
        </w:rPr>
      </w:pPr>
      <w:bookmarkStart w:id="12" w:name="_Toc235783829"/>
      <w:r w:rsidRPr="00182D6D">
        <w:rPr>
          <w:rFonts w:ascii="Arial" w:hAnsi="Arial" w:cs="Arial"/>
        </w:rPr>
        <w:t>3 Working Capital Management Analysis</w:t>
      </w:r>
      <w:bookmarkEnd w:id="12"/>
      <w:r w:rsidRPr="00182D6D">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 xml:space="preserve">Optimisation of working capital requires the management of operational tension between short-term solvency and capital efficiency. As the premium service provider operating under the asset-light framework, Marriott International manages the working capital in different ways in comparison to the traditional manufacturing corporations that carry large physical inventories. </w:t>
      </w:r>
    </w:p>
    <w:p w:rsidR="009D3F1C" w:rsidRPr="00182D6D" w:rsidRDefault="009D3F1C" w:rsidP="009D3F1C">
      <w:pPr>
        <w:pStyle w:val="Heading2"/>
        <w:rPr>
          <w:rFonts w:ascii="Arial" w:hAnsi="Arial" w:cs="Arial"/>
        </w:rPr>
      </w:pPr>
      <w:bookmarkStart w:id="13" w:name="_Toc235783830"/>
      <w:r w:rsidRPr="00182D6D">
        <w:rPr>
          <w:rFonts w:ascii="Arial" w:hAnsi="Arial" w:cs="Arial"/>
        </w:rPr>
        <w:t>3.1 Assessment of the Cash Operating Cycle</w:t>
      </w:r>
      <w:bookmarkEnd w:id="13"/>
      <w:r w:rsidRPr="00182D6D">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 xml:space="preserve">The Cash Operating Cycle (COC) measures the time elapsed between the initial cash outlay for the operating inputs and the final collection of cash from the client contracts. The cycle is calculated using the three metrics: Days Inventory Outstanding (DIO), Days Sales Outstanding (DSO) and Days Payable Outstanding (DPO), expressed through the equation: </w:t>
      </w:r>
    </w:p>
    <w:p w:rsidR="009D3F1C" w:rsidRPr="00182D6D" w:rsidRDefault="009D3F1C" w:rsidP="009D3F1C">
      <w:pPr>
        <w:spacing w:line="360" w:lineRule="auto"/>
        <w:rPr>
          <w:rFonts w:ascii="Arial" w:eastAsiaTheme="minorEastAsia" w:hAnsi="Arial" w:cs="Arial"/>
        </w:rPr>
      </w:pPr>
      <m:oMathPara>
        <m:oMath>
          <m:r>
            <m:rPr>
              <m:nor/>
            </m:rPr>
            <w:rPr>
              <w:rFonts w:ascii="Arial" w:hAnsi="Arial" w:cs="Arial"/>
            </w:rPr>
            <m:t>Cash Operating Cycle</m:t>
          </m:r>
          <m:r>
            <w:rPr>
              <w:rFonts w:ascii="Cambria Math" w:hAnsi="Cambria Math" w:cs="Arial"/>
            </w:rPr>
            <m:t>=</m:t>
          </m:r>
          <m:r>
            <m:rPr>
              <m:nor/>
            </m:rPr>
            <w:rPr>
              <w:rFonts w:ascii="Arial" w:hAnsi="Arial" w:cs="Arial"/>
            </w:rPr>
            <m:t>DIO</m:t>
          </m:r>
          <m:r>
            <w:rPr>
              <w:rFonts w:ascii="Cambria Math" w:hAnsi="Cambria Math" w:cs="Arial"/>
            </w:rPr>
            <m:t>+</m:t>
          </m:r>
          <m:r>
            <m:rPr>
              <m:nor/>
            </m:rPr>
            <w:rPr>
              <w:rFonts w:ascii="Arial" w:hAnsi="Arial" w:cs="Arial"/>
            </w:rPr>
            <m:t>DSO</m:t>
          </m:r>
          <m:r>
            <w:rPr>
              <w:rFonts w:ascii="Cambria Math" w:hAnsi="Cambria Math" w:cs="Arial"/>
            </w:rPr>
            <m:t>-</m:t>
          </m:r>
          <m:r>
            <m:rPr>
              <m:nor/>
            </m:rPr>
            <w:rPr>
              <w:rFonts w:ascii="Arial" w:hAnsi="Arial" w:cs="Arial"/>
            </w:rPr>
            <m:t>DPO</m:t>
          </m:r>
        </m:oMath>
      </m:oMathPara>
    </w:p>
    <w:p w:rsidR="009D3F1C" w:rsidRPr="00182D6D" w:rsidRDefault="009D3F1C" w:rsidP="009D3F1C">
      <w:pPr>
        <w:pStyle w:val="Caption"/>
        <w:keepNext/>
        <w:spacing w:line="360" w:lineRule="auto"/>
        <w:rPr>
          <w:rFonts w:ascii="Arial" w:hAnsi="Arial" w:cs="Arial"/>
          <w:szCs w:val="24"/>
        </w:rPr>
      </w:pPr>
      <w:r w:rsidRPr="00182D6D">
        <w:rPr>
          <w:rFonts w:ascii="Arial" w:hAnsi="Arial" w:cs="Arial"/>
          <w:szCs w:val="24"/>
        </w:rPr>
        <w:t xml:space="preserve">Table </w:t>
      </w:r>
      <w:r w:rsidRPr="00182D6D">
        <w:rPr>
          <w:rFonts w:ascii="Arial" w:hAnsi="Arial" w:cs="Arial"/>
          <w:szCs w:val="24"/>
        </w:rPr>
        <w:fldChar w:fldCharType="begin"/>
      </w:r>
      <w:r w:rsidRPr="00182D6D">
        <w:rPr>
          <w:rFonts w:ascii="Arial" w:hAnsi="Arial" w:cs="Arial"/>
          <w:szCs w:val="24"/>
        </w:rPr>
        <w:instrText xml:space="preserve"> SEQ Table \* ARABIC </w:instrText>
      </w:r>
      <w:r w:rsidRPr="00182D6D">
        <w:rPr>
          <w:rFonts w:ascii="Arial" w:hAnsi="Arial" w:cs="Arial"/>
          <w:szCs w:val="24"/>
        </w:rPr>
        <w:fldChar w:fldCharType="separate"/>
      </w:r>
      <w:r w:rsidRPr="00182D6D">
        <w:rPr>
          <w:rFonts w:ascii="Arial" w:hAnsi="Arial" w:cs="Arial"/>
          <w:noProof/>
          <w:szCs w:val="24"/>
        </w:rPr>
        <w:t>3</w:t>
      </w:r>
      <w:r w:rsidRPr="00182D6D">
        <w:rPr>
          <w:rFonts w:ascii="Arial" w:hAnsi="Arial" w:cs="Arial"/>
          <w:szCs w:val="24"/>
        </w:rPr>
        <w:fldChar w:fldCharType="end"/>
      </w:r>
      <w:r w:rsidRPr="00182D6D">
        <w:rPr>
          <w:rFonts w:ascii="Arial" w:hAnsi="Arial" w:cs="Arial"/>
          <w:szCs w:val="24"/>
        </w:rPr>
        <w:t>: Working capital operational metrics for Marriott International</w:t>
      </w:r>
    </w:p>
    <w:tbl>
      <w:tblPr>
        <w:tblStyle w:val="TableGrid"/>
        <w:tblW w:w="0" w:type="auto"/>
        <w:tblLook w:val="04A0" w:firstRow="1" w:lastRow="0" w:firstColumn="1" w:lastColumn="0" w:noHBand="0" w:noVBand="1"/>
      </w:tblPr>
      <w:tblGrid>
        <w:gridCol w:w="3656"/>
        <w:gridCol w:w="1072"/>
        <w:gridCol w:w="1072"/>
        <w:gridCol w:w="1072"/>
        <w:gridCol w:w="1072"/>
        <w:gridCol w:w="1072"/>
      </w:tblGrid>
      <w:tr w:rsidR="009D3F1C" w:rsidRPr="00182D6D" w:rsidTr="00C94E9F">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Metric Metric Component</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FY 2021</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FY 2022</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FY 2023</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FY 2024</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FY 2025</w:t>
            </w:r>
          </w:p>
        </w:tc>
      </w:tr>
      <w:tr w:rsidR="009D3F1C" w:rsidRPr="00182D6D" w:rsidTr="00C94E9F">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Days Inventory Outstanding (DIO)</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4.2</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3.5</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3.1</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3.2</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3.0</w:t>
            </w:r>
          </w:p>
        </w:tc>
      </w:tr>
      <w:tr w:rsidR="009D3F1C" w:rsidRPr="00182D6D" w:rsidTr="00C94E9F">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lastRenderedPageBreak/>
              <w:t>Days Sales Outstanding (DSO)</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36.1</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29.6</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26.9</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27.9</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27.1</w:t>
            </w:r>
          </w:p>
        </w:tc>
      </w:tr>
      <w:tr w:rsidR="009D3F1C" w:rsidRPr="00182D6D" w:rsidTr="00C94E9F">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Days Payable Outstanding (DPO)</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61.2</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58.4</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56.2</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55.8</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56.5</w:t>
            </w:r>
          </w:p>
        </w:tc>
      </w:tr>
      <w:tr w:rsidR="009D3F1C" w:rsidRPr="00182D6D" w:rsidTr="00C94E9F">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Net Cash Operating Cycle (Days)</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-20.9</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-25.3</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-26.2</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-24.7</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-26.4</w:t>
            </w:r>
          </w:p>
        </w:tc>
      </w:tr>
    </w:tbl>
    <w:p w:rsidR="009D3F1C" w:rsidRPr="00182D6D" w:rsidRDefault="009D3F1C" w:rsidP="009D3F1C">
      <w:pPr>
        <w:spacing w:line="360" w:lineRule="auto"/>
        <w:rPr>
          <w:rFonts w:ascii="Arial" w:eastAsiaTheme="minorEastAsia" w:hAnsi="Arial" w:cs="Arial"/>
        </w:rPr>
      </w:pPr>
    </w:p>
    <w:p w:rsidR="009D3F1C" w:rsidRPr="00182D6D" w:rsidRDefault="009D3F1C" w:rsidP="009D3F1C">
      <w:pPr>
        <w:spacing w:line="360" w:lineRule="auto"/>
        <w:rPr>
          <w:rFonts w:ascii="Arial" w:hAnsi="Arial" w:cs="Arial"/>
        </w:rPr>
      </w:pPr>
      <w:r w:rsidRPr="00182D6D">
        <w:rPr>
          <w:rFonts w:ascii="Arial" w:hAnsi="Arial" w:cs="Arial"/>
          <w:lang w:val="en-US"/>
        </w:rPr>
        <w:t xml:space="preserve">As </w:t>
      </w:r>
      <w:r w:rsidRPr="00182D6D">
        <w:rPr>
          <w:rFonts w:ascii="Arial" w:hAnsi="Arial" w:cs="Arial"/>
        </w:rPr>
        <w:t xml:space="preserve">provided in the above table, Marriott maintains the structurally negative cash operating cycle, settling at-26.4 days in 2025. This negative cycle shows that Marriott collects the cash from its system-wide operations before it must pay its suppliers and the corporate trade vendors. </w:t>
      </w:r>
    </w:p>
    <w:p w:rsidR="009D3F1C" w:rsidRPr="00182D6D" w:rsidRDefault="009D3F1C" w:rsidP="009D3F1C">
      <w:pPr>
        <w:spacing w:line="360" w:lineRule="auto"/>
        <w:rPr>
          <w:rFonts w:ascii="Arial" w:hAnsi="Arial" w:cs="Arial"/>
        </w:rPr>
      </w:pPr>
      <w:r w:rsidRPr="00182D6D">
        <w:rPr>
          <w:rFonts w:ascii="Arial" w:hAnsi="Arial" w:cs="Arial"/>
        </w:rPr>
        <w:t xml:space="preserve">As the organisation provides lodging and experiential hospitality services, its inventory holding requirements (DIO) are minimal, hovering around 3.0 days. These structural balances exclude the heavy catering models of the restaurant and instead consisted majorly of the rooms division logistics, specialised housekeeping textiles, premium guest room amenities, and loyalty-member hospitality supplies required to support the immediate guest check-in and stay experience. </w:t>
      </w:r>
    </w:p>
    <w:p w:rsidR="009D3F1C" w:rsidRPr="00182D6D" w:rsidRDefault="009D3F1C" w:rsidP="009D3F1C">
      <w:pPr>
        <w:spacing w:line="360" w:lineRule="auto"/>
        <w:rPr>
          <w:rFonts w:ascii="Arial" w:hAnsi="Arial" w:cs="Arial"/>
        </w:rPr>
      </w:pPr>
      <w:r w:rsidRPr="00182D6D">
        <w:rPr>
          <w:rFonts w:ascii="Arial" w:hAnsi="Arial" w:cs="Arial"/>
        </w:rPr>
        <w:t xml:space="preserve">However, Marriott uses its market position to maintain the daily payable outstanding (DPO) of 56.5 days. This balance appropriately develops an interest-free source of operating capital funded by the suppliers and allows Marriott to support the corporate initiatives without blowing down commercial credit facilities. </w:t>
      </w:r>
    </w:p>
    <w:p w:rsidR="009D3F1C" w:rsidRPr="00182D6D" w:rsidRDefault="009D3F1C" w:rsidP="009D3F1C">
      <w:pPr>
        <w:pStyle w:val="Heading2"/>
        <w:rPr>
          <w:rFonts w:ascii="Arial" w:hAnsi="Arial" w:cs="Arial"/>
        </w:rPr>
      </w:pPr>
      <w:bookmarkStart w:id="14" w:name="_Toc235783831"/>
      <w:r w:rsidRPr="00182D6D">
        <w:rPr>
          <w:rFonts w:ascii="Arial" w:hAnsi="Arial" w:cs="Arial"/>
        </w:rPr>
        <w:t>3.2 Strategies for Liquidity Reforms</w:t>
      </w:r>
      <w:bookmarkEnd w:id="14"/>
      <w:r w:rsidRPr="00182D6D">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 xml:space="preserve">While the cash operating cycle of Marriott is highly efficient, its low current ratio (0.43x) needs constant operational monitoring to mitigate sudden economic shocks. The following working capital reforms are suggested to safeguard the institutional liquidity: </w:t>
      </w:r>
    </w:p>
    <w:p w:rsidR="009D3F1C" w:rsidRPr="00182D6D" w:rsidRDefault="009D3F1C" w:rsidP="009D3F1C">
      <w:pPr>
        <w:pStyle w:val="ListParagraph"/>
        <w:numPr>
          <w:ilvl w:val="0"/>
          <w:numId w:val="4"/>
        </w:numPr>
        <w:spacing w:line="360" w:lineRule="auto"/>
        <w:rPr>
          <w:rFonts w:ascii="Arial" w:hAnsi="Arial" w:cs="Arial"/>
        </w:rPr>
      </w:pPr>
      <w:r w:rsidRPr="00182D6D">
        <w:rPr>
          <w:rFonts w:ascii="Arial" w:hAnsi="Arial" w:cs="Arial"/>
        </w:rPr>
        <w:t xml:space="preserve">Supplier supply chain financing programs: By entering into partnerships with global banking networks, Marriott can establish supply chain financing initiatives (Horozhankina et al., 2024). This programme allows the vendors to cash out early against the investment-grade credit profile of Marriott at a slight discount, while Marriott safely extends its DPO past 60 days without straining supplier relations. </w:t>
      </w:r>
    </w:p>
    <w:p w:rsidR="009D3F1C" w:rsidRPr="00182D6D" w:rsidRDefault="009D3F1C" w:rsidP="009D3F1C">
      <w:pPr>
        <w:pStyle w:val="ListParagraph"/>
        <w:numPr>
          <w:ilvl w:val="0"/>
          <w:numId w:val="4"/>
        </w:numPr>
        <w:spacing w:line="360" w:lineRule="auto"/>
        <w:rPr>
          <w:rFonts w:ascii="Arial" w:hAnsi="Arial" w:cs="Arial"/>
        </w:rPr>
      </w:pPr>
      <w:r w:rsidRPr="00182D6D">
        <w:rPr>
          <w:rFonts w:ascii="Arial" w:hAnsi="Arial" w:cs="Arial"/>
        </w:rPr>
        <w:lastRenderedPageBreak/>
        <w:t xml:space="preserve">Dynamic receivables invoice disbursal: Management must transition franchise billing onto the smart-contract ledgers. Automating international fees collection could decrease the DSO by an estimated 3.5 days, improving cash balances during the seasonal low periods. </w:t>
      </w:r>
    </w:p>
    <w:p w:rsidR="009D3F1C" w:rsidRPr="00182D6D" w:rsidRDefault="009D3F1C" w:rsidP="009D3F1C">
      <w:pPr>
        <w:pStyle w:val="ListParagraph"/>
        <w:numPr>
          <w:ilvl w:val="0"/>
          <w:numId w:val="4"/>
        </w:numPr>
        <w:spacing w:line="360" w:lineRule="auto"/>
        <w:rPr>
          <w:rFonts w:ascii="Arial" w:hAnsi="Arial" w:cs="Arial"/>
        </w:rPr>
      </w:pPr>
      <w:r w:rsidRPr="00182D6D">
        <w:rPr>
          <w:rFonts w:ascii="Arial" w:hAnsi="Arial" w:cs="Arial"/>
        </w:rPr>
        <w:t xml:space="preserve">Centralised cash pooling systems: Incorporating the regional cash pools of Marriott into the centralised Treasury Management System (TMS) allows real-time mobilisation of idle balances across the foreign entities. This decreases localised cash shortfalls and minimises the dependence on the short-term bank borrowings. </w:t>
      </w:r>
    </w:p>
    <w:p w:rsidR="009D3F1C" w:rsidRPr="00182D6D" w:rsidRDefault="009D3F1C" w:rsidP="009D3F1C">
      <w:pPr>
        <w:pStyle w:val="Heading2"/>
        <w:rPr>
          <w:rFonts w:ascii="Arial" w:hAnsi="Arial" w:cs="Arial"/>
        </w:rPr>
      </w:pPr>
      <w:bookmarkStart w:id="15" w:name="_Toc235783832"/>
      <w:r w:rsidRPr="00182D6D">
        <w:rPr>
          <w:rFonts w:ascii="Arial" w:hAnsi="Arial" w:cs="Arial"/>
        </w:rPr>
        <w:t>3.3 Financing Alternatives: Short-Term v/s Long-Term</w:t>
      </w:r>
      <w:bookmarkEnd w:id="15"/>
      <w:r w:rsidRPr="00182D6D">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 xml:space="preserve">As the Chief Financial Officer, balancing the financing mix between the short-term instruments and the long-term capital structure commitments is important to assist the asset-light growth strategy of Marriott. </w:t>
      </w:r>
    </w:p>
    <w:tbl>
      <w:tblPr>
        <w:tblStyle w:val="TableGrid"/>
        <w:tblW w:w="0" w:type="auto"/>
        <w:tblLook w:val="04A0" w:firstRow="1" w:lastRow="0" w:firstColumn="1" w:lastColumn="0" w:noHBand="0" w:noVBand="1"/>
      </w:tblPr>
      <w:tblGrid>
        <w:gridCol w:w="3005"/>
        <w:gridCol w:w="3005"/>
        <w:gridCol w:w="3006"/>
      </w:tblGrid>
      <w:tr w:rsidR="009D3F1C" w:rsidRPr="00182D6D" w:rsidTr="00C94E9F">
        <w:tc>
          <w:tcPr>
            <w:tcW w:w="3005" w:type="dxa"/>
          </w:tcPr>
          <w:p w:rsidR="009D3F1C" w:rsidRPr="00182D6D" w:rsidRDefault="009D3F1C" w:rsidP="00C94E9F">
            <w:pPr>
              <w:spacing w:line="360" w:lineRule="auto"/>
              <w:rPr>
                <w:rFonts w:ascii="Arial" w:hAnsi="Arial" w:cs="Arial"/>
              </w:rPr>
            </w:pPr>
            <w:r w:rsidRPr="00182D6D">
              <w:rPr>
                <w:rFonts w:ascii="Arial" w:hAnsi="Arial" w:cs="Arial"/>
              </w:rPr>
              <w:t xml:space="preserve">Structural parameters </w:t>
            </w:r>
          </w:p>
        </w:tc>
        <w:tc>
          <w:tcPr>
            <w:tcW w:w="3005" w:type="dxa"/>
          </w:tcPr>
          <w:p w:rsidR="009D3F1C" w:rsidRPr="00182D6D" w:rsidRDefault="009D3F1C" w:rsidP="00C94E9F">
            <w:pPr>
              <w:spacing w:line="360" w:lineRule="auto"/>
              <w:rPr>
                <w:rFonts w:ascii="Arial" w:hAnsi="Arial" w:cs="Arial"/>
              </w:rPr>
            </w:pPr>
            <w:r w:rsidRPr="00182D6D">
              <w:rPr>
                <w:rFonts w:ascii="Arial" w:hAnsi="Arial" w:cs="Arial"/>
              </w:rPr>
              <w:t xml:space="preserve">Short-term instruments </w:t>
            </w:r>
          </w:p>
        </w:tc>
        <w:tc>
          <w:tcPr>
            <w:tcW w:w="3006" w:type="dxa"/>
          </w:tcPr>
          <w:p w:rsidR="009D3F1C" w:rsidRPr="00182D6D" w:rsidRDefault="009D3F1C" w:rsidP="00C94E9F">
            <w:pPr>
              <w:spacing w:line="360" w:lineRule="auto"/>
              <w:rPr>
                <w:rFonts w:ascii="Arial" w:hAnsi="Arial" w:cs="Arial"/>
              </w:rPr>
            </w:pPr>
            <w:r w:rsidRPr="00182D6D">
              <w:rPr>
                <w:rFonts w:ascii="Arial" w:hAnsi="Arial" w:cs="Arial"/>
              </w:rPr>
              <w:t xml:space="preserve">Long-term instruments </w:t>
            </w:r>
          </w:p>
        </w:tc>
      </w:tr>
      <w:tr w:rsidR="009D3F1C" w:rsidRPr="00182D6D" w:rsidTr="00C94E9F">
        <w:tc>
          <w:tcPr>
            <w:tcW w:w="3005" w:type="dxa"/>
          </w:tcPr>
          <w:p w:rsidR="009D3F1C" w:rsidRPr="00182D6D" w:rsidRDefault="009D3F1C" w:rsidP="00C94E9F">
            <w:pPr>
              <w:spacing w:line="360" w:lineRule="auto"/>
              <w:rPr>
                <w:rFonts w:ascii="Arial" w:hAnsi="Arial" w:cs="Arial"/>
              </w:rPr>
            </w:pPr>
            <w:r w:rsidRPr="00182D6D">
              <w:rPr>
                <w:rFonts w:ascii="Arial" w:hAnsi="Arial" w:cs="Arial"/>
              </w:rPr>
              <w:t xml:space="preserve">Primary vehicles </w:t>
            </w:r>
          </w:p>
        </w:tc>
        <w:tc>
          <w:tcPr>
            <w:tcW w:w="3005" w:type="dxa"/>
          </w:tcPr>
          <w:p w:rsidR="009D3F1C" w:rsidRPr="00182D6D" w:rsidRDefault="009D3F1C" w:rsidP="00C94E9F">
            <w:pPr>
              <w:spacing w:line="360" w:lineRule="auto"/>
              <w:rPr>
                <w:rFonts w:ascii="Arial" w:hAnsi="Arial" w:cs="Arial"/>
              </w:rPr>
            </w:pPr>
            <w:r w:rsidRPr="00182D6D">
              <w:rPr>
                <w:rFonts w:ascii="Arial" w:hAnsi="Arial" w:cs="Arial"/>
              </w:rPr>
              <w:t xml:space="preserve">Commercial paper, Revolving credit facilities </w:t>
            </w:r>
          </w:p>
        </w:tc>
        <w:tc>
          <w:tcPr>
            <w:tcW w:w="3006" w:type="dxa"/>
          </w:tcPr>
          <w:p w:rsidR="009D3F1C" w:rsidRPr="00182D6D" w:rsidRDefault="009D3F1C" w:rsidP="00C94E9F">
            <w:pPr>
              <w:spacing w:line="360" w:lineRule="auto"/>
              <w:rPr>
                <w:rFonts w:ascii="Arial" w:hAnsi="Arial" w:cs="Arial"/>
              </w:rPr>
            </w:pPr>
            <w:r w:rsidRPr="00182D6D">
              <w:rPr>
                <w:rFonts w:ascii="Arial" w:hAnsi="Arial" w:cs="Arial"/>
              </w:rPr>
              <w:t xml:space="preserve">Senior Secured Notes, Institutional Green Bonds </w:t>
            </w:r>
          </w:p>
        </w:tc>
      </w:tr>
      <w:tr w:rsidR="009D3F1C" w:rsidRPr="00182D6D" w:rsidTr="00C94E9F">
        <w:tc>
          <w:tcPr>
            <w:tcW w:w="3005" w:type="dxa"/>
          </w:tcPr>
          <w:p w:rsidR="009D3F1C" w:rsidRPr="00182D6D" w:rsidRDefault="009D3F1C" w:rsidP="00C94E9F">
            <w:pPr>
              <w:spacing w:line="360" w:lineRule="auto"/>
              <w:rPr>
                <w:rFonts w:ascii="Arial" w:hAnsi="Arial" w:cs="Arial"/>
              </w:rPr>
            </w:pPr>
            <w:r w:rsidRPr="00182D6D">
              <w:rPr>
                <w:rFonts w:ascii="Arial" w:hAnsi="Arial" w:cs="Arial"/>
              </w:rPr>
              <w:t xml:space="preserve">Cost of Capital </w:t>
            </w:r>
          </w:p>
        </w:tc>
        <w:tc>
          <w:tcPr>
            <w:tcW w:w="3005" w:type="dxa"/>
          </w:tcPr>
          <w:p w:rsidR="009D3F1C" w:rsidRPr="00182D6D" w:rsidRDefault="009D3F1C" w:rsidP="00C94E9F">
            <w:pPr>
              <w:spacing w:line="360" w:lineRule="auto"/>
              <w:rPr>
                <w:rFonts w:ascii="Arial" w:hAnsi="Arial" w:cs="Arial"/>
              </w:rPr>
            </w:pPr>
            <w:r w:rsidRPr="00182D6D">
              <w:rPr>
                <w:rFonts w:ascii="Arial" w:hAnsi="Arial" w:cs="Arial"/>
              </w:rPr>
              <w:t xml:space="preserve">Decreases initial yields due to decreased term premium </w:t>
            </w:r>
          </w:p>
        </w:tc>
        <w:tc>
          <w:tcPr>
            <w:tcW w:w="3006" w:type="dxa"/>
          </w:tcPr>
          <w:p w:rsidR="009D3F1C" w:rsidRPr="00182D6D" w:rsidRDefault="009D3F1C" w:rsidP="00C94E9F">
            <w:pPr>
              <w:spacing w:line="360" w:lineRule="auto"/>
              <w:rPr>
                <w:rFonts w:ascii="Arial" w:hAnsi="Arial" w:cs="Arial"/>
              </w:rPr>
            </w:pPr>
            <w:r w:rsidRPr="00182D6D">
              <w:rPr>
                <w:rFonts w:ascii="Arial" w:hAnsi="Arial" w:cs="Arial"/>
              </w:rPr>
              <w:t>Higher coupon yields to offset extended maturity risks.</w:t>
            </w:r>
          </w:p>
        </w:tc>
      </w:tr>
      <w:tr w:rsidR="009D3F1C" w:rsidRPr="00182D6D" w:rsidTr="00C94E9F">
        <w:tc>
          <w:tcPr>
            <w:tcW w:w="3005" w:type="dxa"/>
          </w:tcPr>
          <w:p w:rsidR="009D3F1C" w:rsidRPr="00182D6D" w:rsidRDefault="009D3F1C" w:rsidP="00C94E9F">
            <w:pPr>
              <w:spacing w:line="360" w:lineRule="auto"/>
              <w:rPr>
                <w:rFonts w:ascii="Arial" w:hAnsi="Arial" w:cs="Arial"/>
              </w:rPr>
            </w:pPr>
            <w:r w:rsidRPr="00182D6D">
              <w:rPr>
                <w:rFonts w:ascii="Arial" w:hAnsi="Arial" w:cs="Arial"/>
              </w:rPr>
              <w:t xml:space="preserve">Refinancing risk </w:t>
            </w:r>
          </w:p>
        </w:tc>
        <w:tc>
          <w:tcPr>
            <w:tcW w:w="3005" w:type="dxa"/>
          </w:tcPr>
          <w:p w:rsidR="009D3F1C" w:rsidRPr="00182D6D" w:rsidRDefault="009D3F1C" w:rsidP="00C94E9F">
            <w:pPr>
              <w:spacing w:line="360" w:lineRule="auto"/>
              <w:rPr>
                <w:rFonts w:ascii="Arial" w:hAnsi="Arial" w:cs="Arial"/>
              </w:rPr>
            </w:pPr>
            <w:r w:rsidRPr="00182D6D">
              <w:rPr>
                <w:rFonts w:ascii="Arial" w:hAnsi="Arial" w:cs="Arial"/>
              </w:rPr>
              <w:t xml:space="preserve">High; needs frequent rollovers in volatile markets </w:t>
            </w:r>
          </w:p>
        </w:tc>
        <w:tc>
          <w:tcPr>
            <w:tcW w:w="3006" w:type="dxa"/>
          </w:tcPr>
          <w:p w:rsidR="009D3F1C" w:rsidRPr="00182D6D" w:rsidRDefault="009D3F1C" w:rsidP="00C94E9F">
            <w:pPr>
              <w:spacing w:line="360" w:lineRule="auto"/>
              <w:rPr>
                <w:rFonts w:ascii="Arial" w:hAnsi="Arial" w:cs="Arial"/>
              </w:rPr>
            </w:pPr>
            <w:r w:rsidRPr="00182D6D">
              <w:rPr>
                <w:rFonts w:ascii="Arial" w:hAnsi="Arial" w:cs="Arial"/>
              </w:rPr>
              <w:t xml:space="preserve">Low; locks in fixed financing rates for decades </w:t>
            </w:r>
          </w:p>
          <w:p w:rsidR="009D3F1C" w:rsidRPr="00182D6D" w:rsidRDefault="009D3F1C" w:rsidP="00C94E9F">
            <w:pPr>
              <w:spacing w:line="360" w:lineRule="auto"/>
              <w:rPr>
                <w:rFonts w:ascii="Arial" w:hAnsi="Arial" w:cs="Arial"/>
              </w:rPr>
            </w:pPr>
          </w:p>
        </w:tc>
      </w:tr>
      <w:tr w:rsidR="009D3F1C" w:rsidRPr="00182D6D" w:rsidTr="00C94E9F">
        <w:tc>
          <w:tcPr>
            <w:tcW w:w="3005" w:type="dxa"/>
          </w:tcPr>
          <w:p w:rsidR="009D3F1C" w:rsidRPr="00182D6D" w:rsidRDefault="009D3F1C" w:rsidP="00C94E9F">
            <w:pPr>
              <w:spacing w:line="360" w:lineRule="auto"/>
              <w:rPr>
                <w:rFonts w:ascii="Arial" w:hAnsi="Arial" w:cs="Arial"/>
              </w:rPr>
            </w:pPr>
            <w:r w:rsidRPr="00182D6D">
              <w:rPr>
                <w:rFonts w:ascii="Arial" w:hAnsi="Arial" w:cs="Arial"/>
              </w:rPr>
              <w:t xml:space="preserve">Flexibility </w:t>
            </w:r>
          </w:p>
        </w:tc>
        <w:tc>
          <w:tcPr>
            <w:tcW w:w="3005" w:type="dxa"/>
          </w:tcPr>
          <w:p w:rsidR="009D3F1C" w:rsidRPr="00182D6D" w:rsidRDefault="009D3F1C" w:rsidP="00C94E9F">
            <w:pPr>
              <w:spacing w:line="360" w:lineRule="auto"/>
              <w:rPr>
                <w:rFonts w:ascii="Arial" w:hAnsi="Arial" w:cs="Arial"/>
              </w:rPr>
            </w:pPr>
            <w:r w:rsidRPr="00182D6D">
              <w:rPr>
                <w:rFonts w:ascii="Arial" w:hAnsi="Arial" w:cs="Arial"/>
              </w:rPr>
              <w:t xml:space="preserve">High; matches immediate working capital needs tied to seasonal travel patterns and guest stay room occupancies.  </w:t>
            </w:r>
          </w:p>
        </w:tc>
        <w:tc>
          <w:tcPr>
            <w:tcW w:w="3006" w:type="dxa"/>
          </w:tcPr>
          <w:p w:rsidR="009D3F1C" w:rsidRPr="00182D6D" w:rsidRDefault="009D3F1C" w:rsidP="00C94E9F">
            <w:pPr>
              <w:spacing w:line="360" w:lineRule="auto"/>
              <w:rPr>
                <w:rFonts w:ascii="Arial" w:hAnsi="Arial" w:cs="Arial"/>
              </w:rPr>
            </w:pPr>
            <w:r w:rsidRPr="00182D6D">
              <w:rPr>
                <w:rFonts w:ascii="Arial" w:hAnsi="Arial" w:cs="Arial"/>
              </w:rPr>
              <w:t xml:space="preserve">Low; subject to restrictive covenants and early call fees. </w:t>
            </w:r>
          </w:p>
        </w:tc>
      </w:tr>
    </w:tbl>
    <w:p w:rsidR="009D3F1C" w:rsidRPr="00182D6D" w:rsidRDefault="009D3F1C" w:rsidP="009D3F1C">
      <w:pPr>
        <w:spacing w:line="360" w:lineRule="auto"/>
        <w:rPr>
          <w:rFonts w:ascii="Arial" w:hAnsi="Arial" w:cs="Arial"/>
        </w:rPr>
      </w:pPr>
      <w:r w:rsidRPr="00182D6D">
        <w:rPr>
          <w:rFonts w:ascii="Arial" w:hAnsi="Arial" w:cs="Arial"/>
        </w:rPr>
        <w:t xml:space="preserve"> Marriott uses short-term commercial paper mainly to manage the temporary working capital mismatches and support daily property operations. While the short-term financing provides lower upfront costs, it exposes the firm to refinancing risk during periods of monetary tightening. </w:t>
      </w:r>
    </w:p>
    <w:p w:rsidR="009D3F1C" w:rsidRPr="00182D6D" w:rsidRDefault="009D3F1C" w:rsidP="009D3F1C">
      <w:pPr>
        <w:spacing w:line="360" w:lineRule="auto"/>
        <w:rPr>
          <w:rFonts w:ascii="Arial" w:hAnsi="Arial" w:cs="Arial"/>
        </w:rPr>
      </w:pPr>
      <w:r w:rsidRPr="00182D6D">
        <w:rPr>
          <w:rFonts w:ascii="Arial" w:hAnsi="Arial" w:cs="Arial"/>
        </w:rPr>
        <w:lastRenderedPageBreak/>
        <w:t xml:space="preserve">Consequently, to fund the long-term strategic expansions, like the citizenM brand network acquisition, Marriott depends on the long-term Senior Notes. Locking in fixed interest rates over 10-to-30-year horizons protects the organisation against sudden interest rate hikes. This balanced approach protects the short-term liquidity of the company while offering the stable capital architecture required to sustain its global pipeline. </w:t>
      </w:r>
    </w:p>
    <w:p w:rsidR="009D3F1C" w:rsidRPr="00182D6D" w:rsidRDefault="009D3F1C" w:rsidP="009D3F1C">
      <w:pPr>
        <w:pStyle w:val="Heading1"/>
        <w:rPr>
          <w:rFonts w:ascii="Arial" w:hAnsi="Arial" w:cs="Arial"/>
        </w:rPr>
      </w:pPr>
      <w:bookmarkStart w:id="16" w:name="_Toc235783833"/>
      <w:r w:rsidRPr="00182D6D">
        <w:rPr>
          <w:rFonts w:ascii="Arial" w:hAnsi="Arial" w:cs="Arial"/>
        </w:rPr>
        <w:t>4 Strategic Financing Restructuring Plan</w:t>
      </w:r>
      <w:bookmarkEnd w:id="16"/>
      <w:r w:rsidRPr="00182D6D">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 xml:space="preserve">Marriott International has a high corporate debt load ($16.2 billion in 2025) and negative shareholders' equity, and needs a proactive corporate restructuring plan. As the chief financial officer, 2 prolonged strategies are suggested: the targeted divestiture of its remaining asset-heavy owned properties alongside a strategic equity backed Jo adventure to expand in the emerging hospitality market. </w:t>
      </w:r>
    </w:p>
    <w:p w:rsidR="009D3F1C" w:rsidRPr="00182D6D" w:rsidRDefault="009D3F1C" w:rsidP="009D3F1C">
      <w:pPr>
        <w:pStyle w:val="Heading2"/>
        <w:rPr>
          <w:rFonts w:ascii="Arial" w:hAnsi="Arial" w:cs="Arial"/>
        </w:rPr>
      </w:pPr>
      <w:bookmarkStart w:id="17" w:name="_Toc235783834"/>
      <w:r w:rsidRPr="00182D6D">
        <w:rPr>
          <w:rFonts w:ascii="Arial" w:hAnsi="Arial" w:cs="Arial"/>
        </w:rPr>
        <w:t>4.1 Recommended restructuring options</w:t>
      </w:r>
      <w:bookmarkEnd w:id="17"/>
    </w:p>
    <w:p w:rsidR="009D3F1C" w:rsidRPr="00182D6D" w:rsidRDefault="009D3F1C" w:rsidP="009D3F1C">
      <w:pPr>
        <w:pStyle w:val="ListParagraph"/>
        <w:numPr>
          <w:ilvl w:val="0"/>
          <w:numId w:val="5"/>
        </w:numPr>
        <w:spacing w:line="360" w:lineRule="auto"/>
        <w:rPr>
          <w:rFonts w:ascii="Arial" w:hAnsi="Arial" w:cs="Arial"/>
        </w:rPr>
      </w:pPr>
      <w:r w:rsidRPr="00182D6D">
        <w:rPr>
          <w:rFonts w:ascii="Arial" w:hAnsi="Arial" w:cs="Arial"/>
        </w:rPr>
        <w:t xml:space="preserve">Strategic equity-backed joint venture: Instead of pursuing the dilutive corporate equity injection or a high-premium cross-border merger, Marriott needs to establish the equity-backed joint venture in the Asia Pacific region. Partnering with localised lifestyle hospitality operators will allow Marriott to capture high-growth travel corridors by combining the local property expertise with its global booking distribution system and Marriott Bonvoy loyalty platforms. </w:t>
      </w:r>
    </w:p>
    <w:p w:rsidR="009D3F1C" w:rsidRPr="00182D6D" w:rsidRDefault="009D3F1C" w:rsidP="009D3F1C">
      <w:pPr>
        <w:pStyle w:val="ListParagraph"/>
        <w:numPr>
          <w:ilvl w:val="0"/>
          <w:numId w:val="5"/>
        </w:numPr>
        <w:spacing w:line="360" w:lineRule="auto"/>
        <w:rPr>
          <w:rFonts w:ascii="Arial" w:hAnsi="Arial" w:cs="Arial"/>
        </w:rPr>
      </w:pPr>
      <w:r w:rsidRPr="00182D6D">
        <w:rPr>
          <w:rFonts w:ascii="Arial" w:hAnsi="Arial" w:cs="Arial"/>
        </w:rPr>
        <w:t xml:space="preserve">Asset-light divestiture and sale-leaseback programme: Marriott needs to divest its residual owned or leased real estate assets (which comprises about 1.2 billion dollars in net property and equipment in 2025) (Marriott International, 2026). Shifting these properties to the institutional real estate investment trusts (REITs) through long-term, fee-generating management agreements will complete its position to a pure-play asset-light business model. </w:t>
      </w:r>
    </w:p>
    <w:p w:rsidR="009D3F1C" w:rsidRPr="00182D6D" w:rsidRDefault="009D3F1C" w:rsidP="009D3F1C">
      <w:pPr>
        <w:pStyle w:val="Heading2"/>
        <w:rPr>
          <w:rFonts w:ascii="Arial" w:hAnsi="Arial" w:cs="Arial"/>
        </w:rPr>
      </w:pPr>
      <w:bookmarkStart w:id="18" w:name="_Toc235783835"/>
      <w:r w:rsidRPr="00182D6D">
        <w:rPr>
          <w:rFonts w:ascii="Arial" w:hAnsi="Arial" w:cs="Arial"/>
        </w:rPr>
        <w:t>4.2 Impact matrix on the key corporate dimensions</w:t>
      </w:r>
      <w:bookmarkEnd w:id="18"/>
    </w:p>
    <w:p w:rsidR="009D3F1C" w:rsidRPr="00182D6D" w:rsidRDefault="009D3F1C" w:rsidP="009D3F1C">
      <w:pPr>
        <w:spacing w:line="360" w:lineRule="auto"/>
        <w:rPr>
          <w:rFonts w:ascii="Arial" w:hAnsi="Arial" w:cs="Arial"/>
        </w:rPr>
      </w:pPr>
      <w:r w:rsidRPr="00182D6D">
        <w:rPr>
          <w:rFonts w:ascii="Arial" w:hAnsi="Arial" w:cs="Arial"/>
        </w:rPr>
        <w:t>The implementation of these restructuring options affects the capital architecture of Marriott across different performance horizons.</w:t>
      </w:r>
    </w:p>
    <w:p w:rsidR="009D3F1C" w:rsidRPr="00182D6D" w:rsidRDefault="009D3F1C" w:rsidP="009D3F1C">
      <w:pPr>
        <w:pStyle w:val="Caption"/>
        <w:keepNext/>
        <w:spacing w:line="360" w:lineRule="auto"/>
        <w:rPr>
          <w:rFonts w:ascii="Arial" w:hAnsi="Arial" w:cs="Arial"/>
          <w:szCs w:val="24"/>
        </w:rPr>
      </w:pPr>
      <w:r w:rsidRPr="00182D6D">
        <w:rPr>
          <w:rFonts w:ascii="Arial" w:hAnsi="Arial" w:cs="Arial"/>
          <w:szCs w:val="24"/>
        </w:rPr>
        <w:t xml:space="preserve">Table </w:t>
      </w:r>
      <w:r w:rsidRPr="00182D6D">
        <w:rPr>
          <w:rFonts w:ascii="Arial" w:hAnsi="Arial" w:cs="Arial"/>
          <w:szCs w:val="24"/>
        </w:rPr>
        <w:fldChar w:fldCharType="begin"/>
      </w:r>
      <w:r w:rsidRPr="00182D6D">
        <w:rPr>
          <w:rFonts w:ascii="Arial" w:hAnsi="Arial" w:cs="Arial"/>
          <w:szCs w:val="24"/>
        </w:rPr>
        <w:instrText xml:space="preserve"> SEQ Table \* ARABIC </w:instrText>
      </w:r>
      <w:r w:rsidRPr="00182D6D">
        <w:rPr>
          <w:rFonts w:ascii="Arial" w:hAnsi="Arial" w:cs="Arial"/>
          <w:szCs w:val="24"/>
        </w:rPr>
        <w:fldChar w:fldCharType="separate"/>
      </w:r>
      <w:r w:rsidRPr="00182D6D">
        <w:rPr>
          <w:rFonts w:ascii="Arial" w:hAnsi="Arial" w:cs="Arial"/>
          <w:noProof/>
          <w:szCs w:val="24"/>
        </w:rPr>
        <w:t>4</w:t>
      </w:r>
      <w:r w:rsidRPr="00182D6D">
        <w:rPr>
          <w:rFonts w:ascii="Arial" w:hAnsi="Arial" w:cs="Arial"/>
          <w:szCs w:val="24"/>
        </w:rPr>
        <w:fldChar w:fldCharType="end"/>
      </w:r>
      <w:r w:rsidRPr="00182D6D">
        <w:rPr>
          <w:rFonts w:ascii="Arial" w:hAnsi="Arial" w:cs="Arial"/>
          <w:szCs w:val="24"/>
        </w:rPr>
        <w:t>: Restructuring Impact Matrix</w:t>
      </w:r>
    </w:p>
    <w:tbl>
      <w:tblPr>
        <w:tblStyle w:val="TableGrid"/>
        <w:tblW w:w="0" w:type="auto"/>
        <w:tblLook w:val="04A0" w:firstRow="1" w:lastRow="0" w:firstColumn="1" w:lastColumn="0" w:noHBand="0" w:noVBand="1"/>
      </w:tblPr>
      <w:tblGrid>
        <w:gridCol w:w="3005"/>
        <w:gridCol w:w="3005"/>
        <w:gridCol w:w="3006"/>
      </w:tblGrid>
      <w:tr w:rsidR="009D3F1C" w:rsidRPr="00182D6D" w:rsidTr="00C94E9F">
        <w:tc>
          <w:tcPr>
            <w:tcW w:w="3005" w:type="dxa"/>
          </w:tcPr>
          <w:p w:rsidR="009D3F1C" w:rsidRPr="00182D6D" w:rsidRDefault="009D3F1C" w:rsidP="00C94E9F">
            <w:pPr>
              <w:spacing w:line="360" w:lineRule="auto"/>
              <w:rPr>
                <w:rFonts w:ascii="Arial" w:hAnsi="Arial" w:cs="Arial"/>
                <w:lang w:val="en-US"/>
              </w:rPr>
            </w:pPr>
            <w:r w:rsidRPr="00182D6D">
              <w:rPr>
                <w:rFonts w:ascii="Arial" w:hAnsi="Arial" w:cs="Arial"/>
              </w:rPr>
              <w:t>Structural vector</w:t>
            </w:r>
          </w:p>
        </w:tc>
        <w:tc>
          <w:tcPr>
            <w:tcW w:w="3005" w:type="dxa"/>
          </w:tcPr>
          <w:p w:rsidR="009D3F1C" w:rsidRPr="00182D6D" w:rsidRDefault="009D3F1C" w:rsidP="00C94E9F">
            <w:pPr>
              <w:spacing w:line="360" w:lineRule="auto"/>
              <w:rPr>
                <w:rFonts w:ascii="Arial" w:hAnsi="Arial" w:cs="Arial"/>
                <w:lang w:val="en-US"/>
              </w:rPr>
            </w:pPr>
            <w:r w:rsidRPr="00182D6D">
              <w:rPr>
                <w:rFonts w:ascii="Arial" w:hAnsi="Arial" w:cs="Arial"/>
              </w:rPr>
              <w:t>Equity-backed joint venture</w:t>
            </w:r>
          </w:p>
        </w:tc>
        <w:tc>
          <w:tcPr>
            <w:tcW w:w="3006" w:type="dxa"/>
          </w:tcPr>
          <w:p w:rsidR="009D3F1C" w:rsidRPr="00182D6D" w:rsidRDefault="009D3F1C" w:rsidP="00C94E9F">
            <w:pPr>
              <w:spacing w:line="360" w:lineRule="auto"/>
              <w:rPr>
                <w:rFonts w:ascii="Arial" w:hAnsi="Arial" w:cs="Arial"/>
                <w:lang w:val="en-US"/>
              </w:rPr>
            </w:pPr>
            <w:r w:rsidRPr="00182D6D">
              <w:rPr>
                <w:rFonts w:ascii="Arial" w:hAnsi="Arial" w:cs="Arial"/>
              </w:rPr>
              <w:t>Property divestiture and sales leasebacks</w:t>
            </w:r>
          </w:p>
        </w:tc>
      </w:tr>
      <w:tr w:rsidR="009D3F1C" w:rsidRPr="00182D6D" w:rsidTr="00C94E9F">
        <w:tc>
          <w:tcPr>
            <w:tcW w:w="3005" w:type="dxa"/>
          </w:tcPr>
          <w:p w:rsidR="009D3F1C" w:rsidRPr="00182D6D" w:rsidRDefault="009D3F1C" w:rsidP="00C94E9F">
            <w:pPr>
              <w:spacing w:line="360" w:lineRule="auto"/>
              <w:rPr>
                <w:rFonts w:ascii="Arial" w:hAnsi="Arial" w:cs="Arial"/>
              </w:rPr>
            </w:pPr>
            <w:r w:rsidRPr="00182D6D">
              <w:rPr>
                <w:rFonts w:ascii="Arial" w:hAnsi="Arial" w:cs="Arial"/>
              </w:rPr>
              <w:lastRenderedPageBreak/>
              <w:t>Debt structure</w:t>
            </w:r>
          </w:p>
        </w:tc>
        <w:tc>
          <w:tcPr>
            <w:tcW w:w="3005" w:type="dxa"/>
          </w:tcPr>
          <w:p w:rsidR="009D3F1C" w:rsidRPr="00182D6D" w:rsidRDefault="009D3F1C" w:rsidP="00C94E9F">
            <w:pPr>
              <w:spacing w:line="360" w:lineRule="auto"/>
              <w:rPr>
                <w:rFonts w:ascii="Arial" w:hAnsi="Arial" w:cs="Arial"/>
              </w:rPr>
            </w:pPr>
            <w:r w:rsidRPr="00182D6D">
              <w:rPr>
                <w:rFonts w:ascii="Arial" w:hAnsi="Arial" w:cs="Arial"/>
              </w:rPr>
              <w:t>avoids the additional financial leverage through shared developmental costs.</w:t>
            </w:r>
          </w:p>
        </w:tc>
        <w:tc>
          <w:tcPr>
            <w:tcW w:w="3006" w:type="dxa"/>
          </w:tcPr>
          <w:p w:rsidR="009D3F1C" w:rsidRPr="00182D6D" w:rsidRDefault="009D3F1C" w:rsidP="00C94E9F">
            <w:pPr>
              <w:spacing w:line="360" w:lineRule="auto"/>
              <w:rPr>
                <w:rFonts w:ascii="Arial" w:hAnsi="Arial" w:cs="Arial"/>
              </w:rPr>
            </w:pPr>
            <w:r w:rsidRPr="00182D6D">
              <w:rPr>
                <w:rFonts w:ascii="Arial" w:hAnsi="Arial" w:cs="Arial"/>
              </w:rPr>
              <w:t>Generates direct cash proceeds from paying down high-interest short-term debt.</w:t>
            </w:r>
          </w:p>
        </w:tc>
      </w:tr>
      <w:tr w:rsidR="009D3F1C" w:rsidRPr="00182D6D" w:rsidTr="00C94E9F">
        <w:tc>
          <w:tcPr>
            <w:tcW w:w="3005" w:type="dxa"/>
          </w:tcPr>
          <w:p w:rsidR="009D3F1C" w:rsidRPr="00182D6D" w:rsidRDefault="009D3F1C" w:rsidP="00C94E9F">
            <w:pPr>
              <w:spacing w:line="360" w:lineRule="auto"/>
              <w:rPr>
                <w:rFonts w:ascii="Arial" w:hAnsi="Arial" w:cs="Arial"/>
              </w:rPr>
            </w:pPr>
            <w:r w:rsidRPr="00182D6D">
              <w:rPr>
                <w:rFonts w:ascii="Arial" w:hAnsi="Arial" w:cs="Arial"/>
              </w:rPr>
              <w:t>Shareholder value</w:t>
            </w:r>
          </w:p>
        </w:tc>
        <w:tc>
          <w:tcPr>
            <w:tcW w:w="3005" w:type="dxa"/>
          </w:tcPr>
          <w:p w:rsidR="009D3F1C" w:rsidRPr="00182D6D" w:rsidRDefault="009D3F1C" w:rsidP="00C94E9F">
            <w:pPr>
              <w:spacing w:line="360" w:lineRule="auto"/>
              <w:rPr>
                <w:rFonts w:ascii="Arial" w:hAnsi="Arial" w:cs="Arial"/>
              </w:rPr>
            </w:pPr>
            <w:r w:rsidRPr="00182D6D">
              <w:rPr>
                <w:rFonts w:ascii="Arial" w:hAnsi="Arial" w:cs="Arial"/>
              </w:rPr>
              <w:t>Increases EPS growth by capturing high-margin international fee pipeline.</w:t>
            </w:r>
          </w:p>
        </w:tc>
        <w:tc>
          <w:tcPr>
            <w:tcW w:w="3006" w:type="dxa"/>
          </w:tcPr>
          <w:p w:rsidR="009D3F1C" w:rsidRPr="00182D6D" w:rsidRDefault="009D3F1C" w:rsidP="00C94E9F">
            <w:pPr>
              <w:spacing w:line="360" w:lineRule="auto"/>
              <w:rPr>
                <w:rFonts w:ascii="Arial" w:hAnsi="Arial" w:cs="Arial"/>
              </w:rPr>
            </w:pPr>
            <w:r w:rsidRPr="00182D6D">
              <w:rPr>
                <w:rFonts w:ascii="Arial" w:hAnsi="Arial" w:cs="Arial"/>
              </w:rPr>
              <w:t>Unlock immediate capital to fund ongoing share buybacks and dividend growth.</w:t>
            </w:r>
          </w:p>
        </w:tc>
      </w:tr>
      <w:tr w:rsidR="009D3F1C" w:rsidRPr="00182D6D" w:rsidTr="00C94E9F">
        <w:tc>
          <w:tcPr>
            <w:tcW w:w="3005" w:type="dxa"/>
          </w:tcPr>
          <w:p w:rsidR="009D3F1C" w:rsidRPr="00182D6D" w:rsidRDefault="009D3F1C" w:rsidP="00C94E9F">
            <w:pPr>
              <w:spacing w:line="360" w:lineRule="auto"/>
              <w:rPr>
                <w:rFonts w:ascii="Arial" w:hAnsi="Arial" w:cs="Arial"/>
              </w:rPr>
            </w:pPr>
            <w:r w:rsidRPr="00182D6D">
              <w:rPr>
                <w:rFonts w:ascii="Arial" w:hAnsi="Arial" w:cs="Arial"/>
              </w:rPr>
              <w:t>Operational flexibility</w:t>
            </w:r>
          </w:p>
        </w:tc>
        <w:tc>
          <w:tcPr>
            <w:tcW w:w="3005" w:type="dxa"/>
          </w:tcPr>
          <w:p w:rsidR="009D3F1C" w:rsidRPr="00182D6D" w:rsidRDefault="009D3F1C" w:rsidP="00C94E9F">
            <w:pPr>
              <w:spacing w:line="360" w:lineRule="auto"/>
              <w:rPr>
                <w:rFonts w:ascii="Arial" w:hAnsi="Arial" w:cs="Arial"/>
              </w:rPr>
            </w:pPr>
            <w:r w:rsidRPr="00182D6D">
              <w:rPr>
                <w:rFonts w:ascii="Arial" w:hAnsi="Arial" w:cs="Arial"/>
              </w:rPr>
              <w:t xml:space="preserve">Expand market footprint without increasing the direct real estate liabilities. </w:t>
            </w:r>
          </w:p>
        </w:tc>
        <w:tc>
          <w:tcPr>
            <w:tcW w:w="3006" w:type="dxa"/>
          </w:tcPr>
          <w:p w:rsidR="009D3F1C" w:rsidRPr="00182D6D" w:rsidRDefault="009D3F1C" w:rsidP="00C94E9F">
            <w:pPr>
              <w:spacing w:line="360" w:lineRule="auto"/>
              <w:rPr>
                <w:rFonts w:ascii="Arial" w:hAnsi="Arial" w:cs="Arial"/>
              </w:rPr>
            </w:pPr>
            <w:r w:rsidRPr="00182D6D">
              <w:rPr>
                <w:rFonts w:ascii="Arial" w:hAnsi="Arial" w:cs="Arial"/>
              </w:rPr>
              <w:t>Decreases the fixed overhead and property maintenance expenses and improves agility.</w:t>
            </w:r>
          </w:p>
        </w:tc>
      </w:tr>
    </w:tbl>
    <w:p w:rsidR="009D3F1C" w:rsidRPr="00182D6D" w:rsidRDefault="009D3F1C" w:rsidP="009D3F1C">
      <w:pPr>
        <w:spacing w:line="360" w:lineRule="auto"/>
        <w:rPr>
          <w:rFonts w:ascii="Arial" w:hAnsi="Arial" w:cs="Arial"/>
          <w:lang w:val="en-US"/>
        </w:rPr>
      </w:pPr>
    </w:p>
    <w:p w:rsidR="009D3F1C" w:rsidRPr="00182D6D" w:rsidRDefault="009D3F1C" w:rsidP="009D3F1C">
      <w:pPr>
        <w:spacing w:line="360" w:lineRule="auto"/>
        <w:rPr>
          <w:rFonts w:ascii="Arial" w:hAnsi="Arial" w:cs="Arial"/>
          <w:b/>
          <w:bCs/>
          <w:i/>
          <w:iCs/>
        </w:rPr>
      </w:pPr>
      <w:r w:rsidRPr="00182D6D">
        <w:rPr>
          <w:rFonts w:ascii="Arial" w:hAnsi="Arial" w:cs="Arial"/>
          <w:b/>
          <w:bCs/>
          <w:i/>
          <w:iCs/>
        </w:rPr>
        <w:t>Financial mechanics and restructuring architecture</w:t>
      </w:r>
    </w:p>
    <w:p w:rsidR="009D3F1C" w:rsidRPr="00182D6D" w:rsidRDefault="009D3F1C" w:rsidP="009D3F1C">
      <w:pPr>
        <w:spacing w:line="360" w:lineRule="auto"/>
        <w:rPr>
          <w:rFonts w:ascii="Arial" w:hAnsi="Arial" w:cs="Arial"/>
        </w:rPr>
      </w:pPr>
      <w:r w:rsidRPr="00182D6D">
        <w:rPr>
          <w:rFonts w:ascii="Arial" w:hAnsi="Arial" w:cs="Arial"/>
        </w:rPr>
        <w:t xml:space="preserve">The cash proceeds generated from the property divestitures must be explicitly earmarked to retire the maturing short-term commercial paper and senior notes. This targeted repayment will help to improve the company's interest coverage ratio towards the historical levels (&gt; 6.0x), decreasing overall borrowing costs. </w:t>
      </w:r>
    </w:p>
    <w:p w:rsidR="009D3F1C" w:rsidRPr="00182D6D" w:rsidRDefault="009D3F1C" w:rsidP="009D3F1C">
      <w:pPr>
        <w:spacing w:line="360" w:lineRule="auto"/>
        <w:rPr>
          <w:rFonts w:ascii="Arial" w:hAnsi="Arial" w:cs="Arial"/>
        </w:rPr>
      </w:pPr>
      <w:r w:rsidRPr="00182D6D">
        <w:rPr>
          <w:rFonts w:ascii="Arial" w:hAnsi="Arial" w:cs="Arial"/>
        </w:rPr>
        <w:t>Vitally, by shifting the remaining real estate risks to the 3rd party partners, Marriott can decrease its exposure to asset impairment charges during economic downturns. This operational shift offers the structural flexibility required to adjust the service tiers in response to the shifting consumer demand without carrying the first operational overhead of physical assets.</w:t>
      </w:r>
    </w:p>
    <w:p w:rsidR="009D3F1C" w:rsidRPr="00182D6D" w:rsidRDefault="009D3F1C" w:rsidP="009D3F1C">
      <w:pPr>
        <w:pStyle w:val="Heading2"/>
        <w:rPr>
          <w:rFonts w:ascii="Arial" w:hAnsi="Arial" w:cs="Arial"/>
        </w:rPr>
      </w:pPr>
      <w:bookmarkStart w:id="19" w:name="_Toc235783836"/>
      <w:r w:rsidRPr="00182D6D">
        <w:rPr>
          <w:rFonts w:ascii="Arial" w:hAnsi="Arial" w:cs="Arial"/>
        </w:rPr>
        <w:t>4.3 International and ethical considerations</w:t>
      </w:r>
      <w:bookmarkEnd w:id="19"/>
    </w:p>
    <w:p w:rsidR="009D3F1C" w:rsidRPr="00182D6D" w:rsidRDefault="009D3F1C" w:rsidP="009D3F1C">
      <w:pPr>
        <w:spacing w:line="360" w:lineRule="auto"/>
        <w:rPr>
          <w:rFonts w:ascii="Arial" w:hAnsi="Arial" w:cs="Arial"/>
        </w:rPr>
      </w:pPr>
      <w:r w:rsidRPr="00182D6D">
        <w:rPr>
          <w:rFonts w:ascii="Arial" w:hAnsi="Arial" w:cs="Arial"/>
        </w:rPr>
        <w:t>Operating a global hospitality brand needs management of the cross-border macroeconomic risks and maintaining strong ethical standards.</w:t>
      </w:r>
    </w:p>
    <w:p w:rsidR="009D3F1C" w:rsidRPr="00182D6D" w:rsidRDefault="009D3F1C" w:rsidP="009D3F1C">
      <w:pPr>
        <w:spacing w:line="360" w:lineRule="auto"/>
        <w:rPr>
          <w:rFonts w:ascii="Arial" w:hAnsi="Arial" w:cs="Arial"/>
          <w:b/>
          <w:bCs/>
          <w:i/>
          <w:iCs/>
        </w:rPr>
      </w:pPr>
      <w:r w:rsidRPr="00182D6D">
        <w:rPr>
          <w:rFonts w:ascii="Arial" w:hAnsi="Arial" w:cs="Arial"/>
          <w:b/>
          <w:bCs/>
          <w:i/>
          <w:iCs/>
        </w:rPr>
        <w:t>Cross-border taxation and pricing strategy</w:t>
      </w:r>
    </w:p>
    <w:p w:rsidR="009D3F1C" w:rsidRPr="00182D6D" w:rsidRDefault="009D3F1C" w:rsidP="009D3F1C">
      <w:pPr>
        <w:spacing w:line="360" w:lineRule="auto"/>
        <w:rPr>
          <w:rFonts w:ascii="Arial" w:hAnsi="Arial" w:cs="Arial"/>
        </w:rPr>
      </w:pPr>
      <w:r w:rsidRPr="00182D6D">
        <w:rPr>
          <w:rFonts w:ascii="Arial" w:hAnsi="Arial" w:cs="Arial"/>
        </w:rPr>
        <w:t xml:space="preserve">Expansion through international joint ventures requires navigating critical global tax regulations, including base erosion and profit sharing (BEPS) frameworks (Akinsola, 2025). Marriott needs to ensure that its cross-border franchise fee transfer and the intercompany intellectual property licensing for the Bonvoy platform comply with the </w:t>
      </w:r>
      <w:r w:rsidRPr="00182D6D">
        <w:rPr>
          <w:rFonts w:ascii="Arial" w:hAnsi="Arial" w:cs="Arial"/>
        </w:rPr>
        <w:lastRenderedPageBreak/>
        <w:t>localised transfer pricing laws. This compliance protects the organisation from double taxation and structural penalties from foreign tax authorities.</w:t>
      </w:r>
    </w:p>
    <w:p w:rsidR="009D3F1C" w:rsidRPr="00182D6D" w:rsidRDefault="009D3F1C" w:rsidP="009D3F1C">
      <w:pPr>
        <w:spacing w:line="360" w:lineRule="auto"/>
        <w:rPr>
          <w:rFonts w:ascii="Arial" w:hAnsi="Arial" w:cs="Arial"/>
          <w:b/>
          <w:bCs/>
          <w:i/>
          <w:iCs/>
        </w:rPr>
      </w:pPr>
      <w:r w:rsidRPr="00182D6D">
        <w:rPr>
          <w:rFonts w:ascii="Arial" w:hAnsi="Arial" w:cs="Arial"/>
          <w:b/>
          <w:bCs/>
          <w:i/>
          <w:iCs/>
        </w:rPr>
        <w:t>Currency risk and global inflation</w:t>
      </w:r>
    </w:p>
    <w:p w:rsidR="009D3F1C" w:rsidRPr="00182D6D" w:rsidRDefault="009D3F1C" w:rsidP="009D3F1C">
      <w:pPr>
        <w:spacing w:line="360" w:lineRule="auto"/>
        <w:rPr>
          <w:rFonts w:ascii="Arial" w:hAnsi="Arial" w:cs="Arial"/>
        </w:rPr>
      </w:pPr>
      <w:r w:rsidRPr="00182D6D">
        <w:rPr>
          <w:rFonts w:ascii="Arial" w:hAnsi="Arial" w:cs="Arial"/>
        </w:rPr>
        <w:t xml:space="preserve">As Marriott operates across different currencies but reports in USD, it faces critical foreign currency translation risks. The organisation can manage these exposures by using rolling cash flow hedges and executing dynamic forward currency contracts for its primary fee streams and euros, Chinese yuan add British pounds. </w:t>
      </w:r>
    </w:p>
    <w:p w:rsidR="009D3F1C" w:rsidRPr="00182D6D" w:rsidRDefault="009D3F1C" w:rsidP="009D3F1C">
      <w:pPr>
        <w:spacing w:line="360" w:lineRule="auto"/>
        <w:rPr>
          <w:rFonts w:ascii="Arial" w:hAnsi="Arial" w:cs="Arial"/>
        </w:rPr>
      </w:pPr>
      <w:r w:rsidRPr="00182D6D">
        <w:rPr>
          <w:rFonts w:ascii="Arial" w:hAnsi="Arial" w:cs="Arial"/>
        </w:rPr>
        <w:t>Moreover, in higher inflation environments, the corporate restructuring design protects the margins of profit, as the management fees are calculated as a direct percentage of gross hotel revenue, which allows the top-line performance of Marriott to naturally adjust alongside inflation-driven increases in the room rates.</w:t>
      </w:r>
    </w:p>
    <w:p w:rsidR="009D3F1C" w:rsidRPr="00182D6D" w:rsidRDefault="009D3F1C" w:rsidP="009D3F1C">
      <w:pPr>
        <w:spacing w:line="360" w:lineRule="auto"/>
        <w:rPr>
          <w:rFonts w:ascii="Arial" w:hAnsi="Arial" w:cs="Arial"/>
          <w:b/>
          <w:bCs/>
          <w:i/>
          <w:iCs/>
        </w:rPr>
      </w:pPr>
      <w:r w:rsidRPr="00182D6D">
        <w:rPr>
          <w:rFonts w:ascii="Arial" w:hAnsi="Arial" w:cs="Arial"/>
          <w:b/>
          <w:bCs/>
          <w:i/>
          <w:iCs/>
        </w:rPr>
        <w:t>Ethical ESG alignment and sustainability</w:t>
      </w:r>
    </w:p>
    <w:p w:rsidR="009D3F1C" w:rsidRPr="00182D6D" w:rsidRDefault="009D3F1C" w:rsidP="009D3F1C">
      <w:pPr>
        <w:spacing w:line="360" w:lineRule="auto"/>
        <w:rPr>
          <w:rFonts w:ascii="Arial" w:hAnsi="Arial" w:cs="Arial"/>
        </w:rPr>
      </w:pPr>
      <w:r w:rsidRPr="00182D6D">
        <w:rPr>
          <w:rFonts w:ascii="Arial" w:hAnsi="Arial" w:cs="Arial"/>
        </w:rPr>
        <w:t>From the ethical viewpoint, any property divestiture or the joint venture agreement needs to include strict and legally binding environmental and social covenants. Marriott must require its real estate partners to comply with the audited environmental, social and governance (ESG) mandates. These responsibilities include:</w:t>
      </w:r>
    </w:p>
    <w:p w:rsidR="009D3F1C" w:rsidRPr="00182D6D" w:rsidRDefault="009D3F1C" w:rsidP="009D3F1C">
      <w:pPr>
        <w:pStyle w:val="ListParagraph"/>
        <w:numPr>
          <w:ilvl w:val="0"/>
          <w:numId w:val="6"/>
        </w:numPr>
        <w:spacing w:line="360" w:lineRule="auto"/>
        <w:rPr>
          <w:rFonts w:ascii="Arial" w:hAnsi="Arial" w:cs="Arial"/>
        </w:rPr>
      </w:pPr>
      <w:r w:rsidRPr="00182D6D">
        <w:rPr>
          <w:rFonts w:ascii="Arial" w:hAnsi="Arial" w:cs="Arial"/>
        </w:rPr>
        <w:t xml:space="preserve">Ensuring fair labour practices and safe working conditions for the hotel staff. </w:t>
      </w:r>
    </w:p>
    <w:p w:rsidR="009D3F1C" w:rsidRPr="00182D6D" w:rsidRDefault="009D3F1C" w:rsidP="009D3F1C">
      <w:pPr>
        <w:pStyle w:val="ListParagraph"/>
        <w:numPr>
          <w:ilvl w:val="0"/>
          <w:numId w:val="6"/>
        </w:numPr>
        <w:spacing w:line="360" w:lineRule="auto"/>
        <w:rPr>
          <w:rFonts w:ascii="Arial" w:hAnsi="Arial" w:cs="Arial"/>
        </w:rPr>
      </w:pPr>
      <w:r w:rsidRPr="00182D6D">
        <w:rPr>
          <w:rFonts w:ascii="Arial" w:hAnsi="Arial" w:cs="Arial"/>
        </w:rPr>
        <w:t>Decreasing carbon intensity and operational waste across the managed properties.</w:t>
      </w:r>
    </w:p>
    <w:p w:rsidR="009D3F1C" w:rsidRPr="00182D6D" w:rsidRDefault="009D3F1C" w:rsidP="009D3F1C">
      <w:pPr>
        <w:pStyle w:val="ListParagraph"/>
        <w:numPr>
          <w:ilvl w:val="0"/>
          <w:numId w:val="6"/>
        </w:numPr>
        <w:spacing w:line="360" w:lineRule="auto"/>
        <w:rPr>
          <w:rFonts w:ascii="Arial" w:hAnsi="Arial" w:cs="Arial"/>
        </w:rPr>
      </w:pPr>
      <w:r w:rsidRPr="00182D6D">
        <w:rPr>
          <w:rFonts w:ascii="Arial" w:hAnsi="Arial" w:cs="Arial"/>
        </w:rPr>
        <w:t xml:space="preserve">Supporting the regional supply chains and community development initiatives. </w:t>
      </w:r>
    </w:p>
    <w:p w:rsidR="009D3F1C" w:rsidRPr="00182D6D" w:rsidRDefault="009D3F1C" w:rsidP="009D3F1C">
      <w:pPr>
        <w:spacing w:line="360" w:lineRule="auto"/>
        <w:rPr>
          <w:rFonts w:ascii="Arial" w:hAnsi="Arial" w:cs="Arial"/>
        </w:rPr>
      </w:pPr>
      <w:r w:rsidRPr="00182D6D">
        <w:rPr>
          <w:rFonts w:ascii="Arial" w:hAnsi="Arial" w:cs="Arial"/>
        </w:rPr>
        <w:t xml:space="preserve">By incorporating these sustainability requirements in the long-term management contracts of Marriott, it can enhance the brand reputation, support sustainable corporate growth and maintain a strong relationship with institutional investors. </w:t>
      </w:r>
    </w:p>
    <w:p w:rsidR="009D3F1C" w:rsidRPr="00182D6D" w:rsidRDefault="009D3F1C" w:rsidP="009D3F1C">
      <w:pPr>
        <w:pStyle w:val="Heading1"/>
        <w:rPr>
          <w:rFonts w:ascii="Arial" w:hAnsi="Arial" w:cs="Arial"/>
        </w:rPr>
      </w:pPr>
      <w:bookmarkStart w:id="20" w:name="_Toc235783837"/>
      <w:r w:rsidRPr="00182D6D">
        <w:rPr>
          <w:rFonts w:ascii="Arial" w:hAnsi="Arial" w:cs="Arial"/>
        </w:rPr>
        <w:t>5 Strategic Financial Restructuring Plan</w:t>
      </w:r>
      <w:bookmarkEnd w:id="20"/>
      <w:r w:rsidRPr="00182D6D">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 xml:space="preserve">To sustain the global brand expansion of Marriott, management must allocate corporate resources using strong capital budgeting frameworks. The section conducts a rigorous strategic and financial evaluation of 3 competing capital investment opportunities (Project A, Project B and Project C), each of which requires an initial investment of £50 million. The valuation uses 5 capital budgeting metrics: accounting </w:t>
      </w:r>
      <w:r w:rsidRPr="00182D6D">
        <w:rPr>
          <w:rFonts w:ascii="Arial" w:hAnsi="Arial" w:cs="Arial"/>
        </w:rPr>
        <w:lastRenderedPageBreak/>
        <w:t xml:space="preserve">rate of return (ARR), payback period (PBP), Profitability index (PI), net present value (NPV) and internal rate of return (IRR). </w:t>
      </w:r>
    </w:p>
    <w:p w:rsidR="009D3F1C" w:rsidRPr="00182D6D" w:rsidRDefault="009D3F1C" w:rsidP="009D3F1C">
      <w:pPr>
        <w:pStyle w:val="Heading2"/>
        <w:rPr>
          <w:rFonts w:ascii="Arial" w:hAnsi="Arial" w:cs="Arial"/>
        </w:rPr>
      </w:pPr>
      <w:bookmarkStart w:id="21" w:name="_Toc235783838"/>
      <w:r w:rsidRPr="00182D6D">
        <w:rPr>
          <w:rFonts w:ascii="Arial" w:hAnsi="Arial" w:cs="Arial"/>
        </w:rPr>
        <w:t>5.1 Financial Appraisal Methodology and Assumptions</w:t>
      </w:r>
      <w:bookmarkEnd w:id="21"/>
      <w:r w:rsidRPr="00182D6D">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The calculations are restructured under the following baseline parameters:</w:t>
      </w:r>
    </w:p>
    <w:p w:rsidR="009D3F1C" w:rsidRPr="00182D6D" w:rsidRDefault="009D3F1C" w:rsidP="009D3F1C">
      <w:pPr>
        <w:numPr>
          <w:ilvl w:val="0"/>
          <w:numId w:val="7"/>
        </w:numPr>
        <w:spacing w:line="360" w:lineRule="auto"/>
        <w:rPr>
          <w:rFonts w:ascii="Arial" w:hAnsi="Arial" w:cs="Arial"/>
        </w:rPr>
      </w:pPr>
      <w:r w:rsidRPr="00182D6D">
        <w:rPr>
          <w:rFonts w:ascii="Arial" w:hAnsi="Arial" w:cs="Arial"/>
        </w:rPr>
        <w:t xml:space="preserve"> </w:t>
      </w:r>
      <w:r w:rsidRPr="00182D6D">
        <w:rPr>
          <w:rFonts w:ascii="Arial" w:hAnsi="Arial" w:cs="Arial"/>
          <w:b/>
          <w:bCs/>
        </w:rPr>
        <w:t>Initial Capital Outlay (</w:t>
      </w:r>
      <m:oMath>
        <m:sSub>
          <m:sSubPr>
            <m:ctrlPr>
              <w:rPr>
                <w:rFonts w:ascii="Cambria Math" w:hAnsi="Cambria Math" w:cs="Arial"/>
              </w:rPr>
            </m:ctrlPr>
          </m:sSubPr>
          <m:e>
            <m:r>
              <w:rPr>
                <w:rFonts w:ascii="Cambria Math" w:hAnsi="Cambria Math" w:cs="Arial"/>
              </w:rPr>
              <m:t>I</m:t>
            </m:r>
          </m:e>
          <m:sub>
            <m:r>
              <w:rPr>
                <w:rFonts w:ascii="Cambria Math" w:hAnsi="Cambria Math" w:cs="Arial"/>
              </w:rPr>
              <m:t>0</m:t>
            </m:r>
          </m:sub>
        </m:sSub>
      </m:oMath>
      <w:r w:rsidRPr="00182D6D">
        <w:rPr>
          <w:rFonts w:ascii="Arial" w:hAnsi="Arial" w:cs="Arial"/>
          <w:b/>
          <w:bCs/>
        </w:rPr>
        <w:t>):</w:t>
      </w:r>
      <w:r w:rsidRPr="00182D6D">
        <w:rPr>
          <w:rFonts w:ascii="Arial" w:hAnsi="Arial" w:cs="Arial"/>
        </w:rPr>
        <w:t xml:space="preserve"> £50,000,000 per project.</w:t>
      </w:r>
    </w:p>
    <w:p w:rsidR="009D3F1C" w:rsidRPr="00182D6D" w:rsidRDefault="009D3F1C" w:rsidP="009D3F1C">
      <w:pPr>
        <w:numPr>
          <w:ilvl w:val="0"/>
          <w:numId w:val="7"/>
        </w:numPr>
        <w:spacing w:line="360" w:lineRule="auto"/>
        <w:rPr>
          <w:rFonts w:ascii="Arial" w:hAnsi="Arial" w:cs="Arial"/>
        </w:rPr>
      </w:pPr>
      <w:r w:rsidRPr="00182D6D">
        <w:rPr>
          <w:rFonts w:ascii="Arial" w:hAnsi="Arial" w:cs="Arial"/>
          <w:b/>
          <w:bCs/>
        </w:rPr>
        <w:t>Cost of Capital / Target Discount Rate (</w:t>
      </w:r>
      <m:oMath>
        <m:r>
          <w:rPr>
            <w:rFonts w:ascii="Cambria Math" w:hAnsi="Cambria Math" w:cs="Arial"/>
          </w:rPr>
          <m:t>r</m:t>
        </m:r>
      </m:oMath>
      <w:r w:rsidRPr="00182D6D">
        <w:rPr>
          <w:rFonts w:ascii="Arial" w:hAnsi="Arial" w:cs="Arial"/>
          <w:b/>
          <w:bCs/>
        </w:rPr>
        <w:t>):</w:t>
      </w:r>
      <w:r w:rsidRPr="00182D6D">
        <w:rPr>
          <w:rFonts w:ascii="Arial" w:hAnsi="Arial" w:cs="Arial"/>
        </w:rPr>
        <w:t xml:space="preserve"> 8.00% per annum.</w:t>
      </w:r>
    </w:p>
    <w:p w:rsidR="009D3F1C" w:rsidRPr="00182D6D" w:rsidRDefault="009D3F1C" w:rsidP="009D3F1C">
      <w:pPr>
        <w:numPr>
          <w:ilvl w:val="0"/>
          <w:numId w:val="7"/>
        </w:numPr>
        <w:spacing w:line="360" w:lineRule="auto"/>
        <w:rPr>
          <w:rFonts w:ascii="Arial" w:hAnsi="Arial" w:cs="Arial"/>
        </w:rPr>
      </w:pPr>
      <w:r w:rsidRPr="00182D6D">
        <w:rPr>
          <w:rFonts w:ascii="Arial" w:hAnsi="Arial" w:cs="Arial"/>
          <w:b/>
          <w:bCs/>
        </w:rPr>
        <w:t>Asset Life (</w:t>
      </w:r>
      <m:oMath>
        <m:r>
          <w:rPr>
            <w:rFonts w:ascii="Cambria Math" w:hAnsi="Cambria Math" w:cs="Arial"/>
          </w:rPr>
          <m:t>n</m:t>
        </m:r>
      </m:oMath>
      <w:r w:rsidRPr="00182D6D">
        <w:rPr>
          <w:rFonts w:ascii="Arial" w:hAnsi="Arial" w:cs="Arial"/>
          <w:b/>
          <w:bCs/>
        </w:rPr>
        <w:t>):</w:t>
      </w:r>
      <w:r w:rsidRPr="00182D6D">
        <w:rPr>
          <w:rFonts w:ascii="Arial" w:hAnsi="Arial" w:cs="Arial"/>
        </w:rPr>
        <w:t xml:space="preserve"> 5 Years.</w:t>
      </w:r>
    </w:p>
    <w:p w:rsidR="009D3F1C" w:rsidRPr="00182D6D" w:rsidRDefault="009D3F1C" w:rsidP="009D3F1C">
      <w:pPr>
        <w:numPr>
          <w:ilvl w:val="0"/>
          <w:numId w:val="7"/>
        </w:numPr>
        <w:spacing w:line="360" w:lineRule="auto"/>
        <w:rPr>
          <w:rFonts w:ascii="Arial" w:hAnsi="Arial" w:cs="Arial"/>
        </w:rPr>
      </w:pPr>
      <w:r w:rsidRPr="00182D6D">
        <w:rPr>
          <w:rFonts w:ascii="Arial" w:hAnsi="Arial" w:cs="Arial"/>
          <w:b/>
          <w:bCs/>
        </w:rPr>
        <w:t>Depreciation Policy:</w:t>
      </w:r>
      <w:r w:rsidRPr="00182D6D">
        <w:rPr>
          <w:rFonts w:ascii="Arial" w:hAnsi="Arial" w:cs="Arial"/>
        </w:rPr>
        <w:t xml:space="preserve"> Straight-line depreciation over 5 years to a zero residual value. Annual depreciation expense is calculated as:</w:t>
      </w:r>
    </w:p>
    <w:p w:rsidR="009D3F1C" w:rsidRPr="00182D6D" w:rsidRDefault="009D3F1C" w:rsidP="009D3F1C">
      <w:pPr>
        <w:spacing w:line="360" w:lineRule="auto"/>
        <w:rPr>
          <w:rFonts w:ascii="Arial" w:hAnsi="Arial" w:cs="Arial"/>
        </w:rPr>
      </w:pPr>
      <m:oMathPara>
        <m:oMath>
          <m:r>
            <m:rPr>
              <m:nor/>
            </m:rPr>
            <w:rPr>
              <w:rFonts w:ascii="Arial" w:hAnsi="Arial" w:cs="Arial"/>
            </w:rPr>
            <m:t>Annual Depreciation</m:t>
          </m:r>
          <m:r>
            <w:rPr>
              <w:rFonts w:ascii="Cambria Math" w:hAnsi="Cambria Math" w:cs="Arial"/>
            </w:rPr>
            <m:t>=</m:t>
          </m:r>
          <m:f>
            <m:fPr>
              <m:ctrlPr>
                <w:rPr>
                  <w:rFonts w:ascii="Cambria Math" w:hAnsi="Cambria Math" w:cs="Arial"/>
                </w:rPr>
              </m:ctrlPr>
            </m:fPr>
            <m:num>
              <m:r>
                <w:rPr>
                  <w:rFonts w:ascii="Cambria Math" w:hAnsi="Cambria Math" w:cs="Arial"/>
                </w:rPr>
                <m:t>£50,000,000-£0</m:t>
              </m:r>
            </m:num>
            <m:den>
              <m:r>
                <w:rPr>
                  <w:rFonts w:ascii="Cambria Math" w:hAnsi="Cambria Math" w:cs="Arial"/>
                </w:rPr>
                <m:t>5</m:t>
              </m:r>
            </m:den>
          </m:f>
          <m:r>
            <w:rPr>
              <w:rFonts w:ascii="Cambria Math" w:hAnsi="Cambria Math" w:cs="Arial"/>
            </w:rPr>
            <m:t>=£10,000,000</m:t>
          </m:r>
          <m:r>
            <m:rPr>
              <m:nor/>
            </m:rPr>
            <w:rPr>
              <w:rFonts w:ascii="Arial" w:hAnsi="Arial" w:cs="Arial"/>
            </w:rPr>
            <m:t> per year</m:t>
          </m:r>
        </m:oMath>
      </m:oMathPara>
    </w:p>
    <w:p w:rsidR="009D3F1C" w:rsidRPr="00182D6D" w:rsidRDefault="009D3F1C" w:rsidP="009D3F1C">
      <w:pPr>
        <w:spacing w:line="360" w:lineRule="auto"/>
        <w:rPr>
          <w:rFonts w:ascii="Arial" w:hAnsi="Arial" w:cs="Arial"/>
          <w:b/>
          <w:bCs/>
        </w:rPr>
      </w:pPr>
      <w:r w:rsidRPr="00182D6D">
        <w:rPr>
          <w:rFonts w:ascii="Arial" w:hAnsi="Arial" w:cs="Arial"/>
          <w:b/>
          <w:bCs/>
        </w:rPr>
        <w:t>Mathematical Equations</w:t>
      </w:r>
    </w:p>
    <w:p w:rsidR="009D3F1C" w:rsidRPr="00182D6D" w:rsidRDefault="009D3F1C" w:rsidP="009D3F1C">
      <w:pPr>
        <w:numPr>
          <w:ilvl w:val="0"/>
          <w:numId w:val="8"/>
        </w:numPr>
        <w:spacing w:line="360" w:lineRule="auto"/>
        <w:rPr>
          <w:rFonts w:ascii="Arial" w:hAnsi="Arial" w:cs="Arial"/>
        </w:rPr>
      </w:pPr>
      <w:r w:rsidRPr="00182D6D">
        <w:rPr>
          <w:rFonts w:ascii="Arial" w:hAnsi="Arial" w:cs="Arial"/>
          <w:b/>
          <w:bCs/>
        </w:rPr>
        <w:t>Accounting Rate of Return (ARR):</w:t>
      </w:r>
    </w:p>
    <w:p w:rsidR="009D3F1C" w:rsidRPr="00182D6D" w:rsidRDefault="009D3F1C" w:rsidP="009D3F1C">
      <w:pPr>
        <w:spacing w:line="360" w:lineRule="auto"/>
        <w:rPr>
          <w:rFonts w:ascii="Arial" w:hAnsi="Arial" w:cs="Arial"/>
        </w:rPr>
      </w:pPr>
      <m:oMathPara>
        <m:oMath>
          <m:r>
            <m:rPr>
              <m:nor/>
            </m:rPr>
            <w:rPr>
              <w:rFonts w:ascii="Arial" w:hAnsi="Arial" w:cs="Arial"/>
            </w:rPr>
            <m:t>ARR</m:t>
          </m:r>
          <m:r>
            <w:rPr>
              <w:rFonts w:ascii="Cambria Math" w:hAnsi="Cambria Math" w:cs="Arial"/>
            </w:rPr>
            <m:t>=</m:t>
          </m:r>
          <m:d>
            <m:dPr>
              <m:ctrlPr>
                <w:rPr>
                  <w:rFonts w:ascii="Cambria Math" w:hAnsi="Cambria Math" w:cs="Arial"/>
                </w:rPr>
              </m:ctrlPr>
            </m:dPr>
            <m:e>
              <m:f>
                <m:fPr>
                  <m:ctrlPr>
                    <w:rPr>
                      <w:rFonts w:ascii="Cambria Math" w:hAnsi="Cambria Math" w:cs="Arial"/>
                    </w:rPr>
                  </m:ctrlPr>
                </m:fPr>
                <m:num>
                  <m:r>
                    <m:rPr>
                      <m:nor/>
                    </m:rPr>
                    <w:rPr>
                      <w:rFonts w:ascii="Arial" w:hAnsi="Arial" w:cs="Arial"/>
                    </w:rPr>
                    <m:t>Average Annual Accounting Profit</m:t>
                  </m:r>
                </m:num>
                <m:den>
                  <m:r>
                    <m:rPr>
                      <m:nor/>
                    </m:rPr>
                    <w:rPr>
                      <w:rFonts w:ascii="Arial" w:hAnsi="Arial" w:cs="Arial"/>
                    </w:rPr>
                    <m:t>Average Investment</m:t>
                  </m:r>
                </m:den>
              </m:f>
            </m:e>
          </m:d>
          <m:r>
            <w:rPr>
              <w:rFonts w:ascii="Cambria Math" w:hAnsi="Cambria Math" w:cs="Arial"/>
            </w:rPr>
            <m:t>×100%</m:t>
          </m:r>
        </m:oMath>
      </m:oMathPara>
    </w:p>
    <w:p w:rsidR="009D3F1C" w:rsidRPr="00182D6D" w:rsidRDefault="009D3F1C" w:rsidP="009D3F1C">
      <w:pPr>
        <w:spacing w:line="360" w:lineRule="auto"/>
        <w:rPr>
          <w:rFonts w:ascii="Arial" w:hAnsi="Arial" w:cs="Arial"/>
        </w:rPr>
      </w:pPr>
      <m:oMathPara>
        <m:oMath>
          <m:r>
            <m:rPr>
              <m:nor/>
            </m:rPr>
            <w:rPr>
              <w:rFonts w:ascii="Arial" w:hAnsi="Arial" w:cs="Arial"/>
            </w:rPr>
            <m:t>Where: Average Investment</m:t>
          </m:r>
          <m:r>
            <w:rPr>
              <w:rFonts w:ascii="Cambria Math" w:hAnsi="Cambria Math" w:cs="Arial"/>
            </w:rPr>
            <m:t>=</m:t>
          </m:r>
          <m:f>
            <m:fPr>
              <m:ctrlPr>
                <w:rPr>
                  <w:rFonts w:ascii="Cambria Math" w:hAnsi="Cambria Math" w:cs="Arial"/>
                </w:rPr>
              </m:ctrlPr>
            </m:fPr>
            <m:num>
              <m:r>
                <m:rPr>
                  <m:nor/>
                </m:rPr>
                <w:rPr>
                  <w:rFonts w:ascii="Arial" w:hAnsi="Arial" w:cs="Arial"/>
                </w:rPr>
                <m:t>Initial Outlay</m:t>
              </m:r>
              <m:r>
                <w:rPr>
                  <w:rFonts w:ascii="Cambria Math" w:hAnsi="Cambria Math" w:cs="Arial"/>
                </w:rPr>
                <m:t>+</m:t>
              </m:r>
              <m:r>
                <m:rPr>
                  <m:nor/>
                </m:rPr>
                <w:rPr>
                  <w:rFonts w:ascii="Arial" w:hAnsi="Arial" w:cs="Arial"/>
                </w:rPr>
                <m:t>Residual Value</m:t>
              </m:r>
            </m:num>
            <m:den>
              <m:r>
                <w:rPr>
                  <w:rFonts w:ascii="Cambria Math" w:hAnsi="Cambria Math" w:cs="Arial"/>
                </w:rPr>
                <m:t>2</m:t>
              </m:r>
            </m:den>
          </m:f>
          <m:r>
            <w:rPr>
              <w:rFonts w:ascii="Cambria Math" w:hAnsi="Cambria Math" w:cs="Arial"/>
            </w:rPr>
            <m:t>=</m:t>
          </m:r>
          <m:f>
            <m:fPr>
              <m:ctrlPr>
                <w:rPr>
                  <w:rFonts w:ascii="Cambria Math" w:hAnsi="Cambria Math" w:cs="Arial"/>
                </w:rPr>
              </m:ctrlPr>
            </m:fPr>
            <m:num>
              <m:r>
                <w:rPr>
                  <w:rFonts w:ascii="Cambria Math" w:hAnsi="Cambria Math" w:cs="Arial"/>
                </w:rPr>
                <m:t>£50</m:t>
              </m:r>
              <m:r>
                <m:rPr>
                  <m:nor/>
                </m:rPr>
                <w:rPr>
                  <w:rFonts w:ascii="Arial" w:hAnsi="Arial" w:cs="Arial"/>
                </w:rPr>
                <m:t>m</m:t>
              </m:r>
              <m:r>
                <w:rPr>
                  <w:rFonts w:ascii="Cambria Math" w:hAnsi="Cambria Math" w:cs="Arial"/>
                </w:rPr>
                <m:t>+£0</m:t>
              </m:r>
            </m:num>
            <m:den>
              <m:r>
                <w:rPr>
                  <w:rFonts w:ascii="Cambria Math" w:hAnsi="Cambria Math" w:cs="Arial"/>
                </w:rPr>
                <m:t>2</m:t>
              </m:r>
            </m:den>
          </m:f>
          <m:r>
            <w:rPr>
              <w:rFonts w:ascii="Cambria Math" w:hAnsi="Cambria Math" w:cs="Arial"/>
            </w:rPr>
            <m:t>=£25</m:t>
          </m:r>
          <m:r>
            <m:rPr>
              <m:nor/>
            </m:rPr>
            <w:rPr>
              <w:rFonts w:ascii="Arial" w:hAnsi="Arial" w:cs="Arial"/>
            </w:rPr>
            <m:t>m</m:t>
          </m:r>
        </m:oMath>
      </m:oMathPara>
    </w:p>
    <w:p w:rsidR="009D3F1C" w:rsidRPr="00182D6D" w:rsidRDefault="009D3F1C" w:rsidP="009D3F1C">
      <w:pPr>
        <w:pStyle w:val="ListParagraph"/>
        <w:numPr>
          <w:ilvl w:val="0"/>
          <w:numId w:val="9"/>
        </w:numPr>
        <w:spacing w:line="360" w:lineRule="auto"/>
        <w:rPr>
          <w:rFonts w:ascii="Arial" w:hAnsi="Arial" w:cs="Arial"/>
        </w:rPr>
      </w:pPr>
      <w:r w:rsidRPr="00182D6D">
        <w:rPr>
          <w:rFonts w:ascii="Arial" w:hAnsi="Arial" w:cs="Arial"/>
          <w:b/>
          <w:bCs/>
        </w:rPr>
        <w:t>Net Present Value (NPV):</w:t>
      </w:r>
    </w:p>
    <w:p w:rsidR="009D3F1C" w:rsidRPr="00182D6D" w:rsidRDefault="009D3F1C" w:rsidP="009D3F1C">
      <w:pPr>
        <w:spacing w:line="360" w:lineRule="auto"/>
        <w:rPr>
          <w:rFonts w:ascii="Arial" w:hAnsi="Arial" w:cs="Arial"/>
        </w:rPr>
      </w:pPr>
      <m:oMathPara>
        <m:oMath>
          <m:r>
            <m:rPr>
              <m:nor/>
            </m:rPr>
            <w:rPr>
              <w:rFonts w:ascii="Arial" w:hAnsi="Arial" w:cs="Arial"/>
            </w:rPr>
            <m:t>NPV</m:t>
          </m:r>
          <m:r>
            <w:rPr>
              <w:rFonts w:ascii="Cambria Math" w:hAnsi="Cambria Math" w:cs="Arial"/>
            </w:rPr>
            <m:t>=</m:t>
          </m:r>
          <m:nary>
            <m:naryPr>
              <m:chr m:val="∑"/>
              <m:limLoc m:val="undOvr"/>
              <m:ctrlPr>
                <w:rPr>
                  <w:rFonts w:ascii="Cambria Math" w:hAnsi="Cambria Math" w:cs="Arial"/>
                </w:rPr>
              </m:ctrlPr>
            </m:naryPr>
            <m:sub>
              <m:r>
                <w:rPr>
                  <w:rFonts w:ascii="Cambria Math" w:hAnsi="Cambria Math" w:cs="Arial"/>
                </w:rPr>
                <m:t>t=1</m:t>
              </m:r>
            </m:sub>
            <m:sup>
              <m:r>
                <w:rPr>
                  <w:rFonts w:ascii="Cambria Math" w:hAnsi="Cambria Math" w:cs="Arial"/>
                </w:rPr>
                <m:t>n</m:t>
              </m:r>
            </m:sup>
            <m:e>
              <m:f>
                <m:fPr>
                  <m:ctrlPr>
                    <w:rPr>
                      <w:rFonts w:ascii="Cambria Math" w:hAnsi="Cambria Math" w:cs="Arial"/>
                    </w:rPr>
                  </m:ctrlPr>
                </m:fPr>
                <m:num>
                  <m:r>
                    <w:rPr>
                      <w:rFonts w:ascii="Cambria Math" w:hAnsi="Cambria Math" w:cs="Arial"/>
                    </w:rPr>
                    <m:t>C</m:t>
                  </m:r>
                  <m:sSub>
                    <m:sSubPr>
                      <m:ctrlPr>
                        <w:rPr>
                          <w:rFonts w:ascii="Cambria Math" w:hAnsi="Cambria Math" w:cs="Arial"/>
                        </w:rPr>
                      </m:ctrlPr>
                    </m:sSubPr>
                    <m:e>
                      <m:r>
                        <w:rPr>
                          <w:rFonts w:ascii="Cambria Math" w:hAnsi="Cambria Math" w:cs="Arial"/>
                        </w:rPr>
                        <m:t>F</m:t>
                      </m:r>
                    </m:e>
                    <m:sub>
                      <m:r>
                        <w:rPr>
                          <w:rFonts w:ascii="Cambria Math" w:hAnsi="Cambria Math" w:cs="Arial"/>
                        </w:rPr>
                        <m:t>t</m:t>
                      </m:r>
                    </m:sub>
                  </m:sSub>
                </m:num>
                <m:den>
                  <m:sSup>
                    <m:sSupPr>
                      <m:ctrlPr>
                        <w:rPr>
                          <w:rFonts w:ascii="Cambria Math" w:hAnsi="Cambria Math" w:cs="Arial"/>
                        </w:rPr>
                      </m:ctrlPr>
                    </m:sSupPr>
                    <m:e>
                      <m:d>
                        <m:dPr>
                          <m:ctrlPr>
                            <w:rPr>
                              <w:rFonts w:ascii="Cambria Math" w:hAnsi="Cambria Math" w:cs="Arial"/>
                            </w:rPr>
                          </m:ctrlPr>
                        </m:dPr>
                        <m:e>
                          <m:r>
                            <w:rPr>
                              <w:rFonts w:ascii="Cambria Math" w:hAnsi="Cambria Math" w:cs="Arial"/>
                            </w:rPr>
                            <m:t>1+r</m:t>
                          </m:r>
                        </m:e>
                      </m:d>
                    </m:e>
                    <m:sup>
                      <m:r>
                        <w:rPr>
                          <w:rFonts w:ascii="Cambria Math" w:hAnsi="Cambria Math" w:cs="Arial"/>
                        </w:rPr>
                        <m:t>t</m:t>
                      </m:r>
                    </m:sup>
                  </m:sSup>
                </m:den>
              </m:f>
            </m:e>
          </m:nary>
          <m:r>
            <w:rPr>
              <w:rFonts w:ascii="Cambria Math" w:hAnsi="Cambria Math" w:cs="Arial"/>
            </w:rPr>
            <m:t>-</m:t>
          </m:r>
          <m:sSub>
            <m:sSubPr>
              <m:ctrlPr>
                <w:rPr>
                  <w:rFonts w:ascii="Cambria Math" w:hAnsi="Cambria Math" w:cs="Arial"/>
                </w:rPr>
              </m:ctrlPr>
            </m:sSubPr>
            <m:e>
              <m:r>
                <w:rPr>
                  <w:rFonts w:ascii="Cambria Math" w:hAnsi="Cambria Math" w:cs="Arial"/>
                </w:rPr>
                <m:t>I</m:t>
              </m:r>
            </m:e>
            <m:sub>
              <m:r>
                <w:rPr>
                  <w:rFonts w:ascii="Cambria Math" w:hAnsi="Cambria Math" w:cs="Arial"/>
                </w:rPr>
                <m:t>0</m:t>
              </m:r>
            </m:sub>
          </m:sSub>
        </m:oMath>
      </m:oMathPara>
    </w:p>
    <w:p w:rsidR="009D3F1C" w:rsidRPr="00182D6D" w:rsidRDefault="009D3F1C" w:rsidP="009D3F1C">
      <w:pPr>
        <w:pStyle w:val="ListParagraph"/>
        <w:numPr>
          <w:ilvl w:val="0"/>
          <w:numId w:val="9"/>
        </w:numPr>
        <w:spacing w:line="360" w:lineRule="auto"/>
        <w:rPr>
          <w:rFonts w:ascii="Arial" w:hAnsi="Arial" w:cs="Arial"/>
        </w:rPr>
      </w:pPr>
      <w:r w:rsidRPr="00182D6D">
        <w:rPr>
          <w:rFonts w:ascii="Arial" w:hAnsi="Arial" w:cs="Arial"/>
          <w:b/>
          <w:bCs/>
        </w:rPr>
        <w:t>Profitability Index (PI):</w:t>
      </w:r>
    </w:p>
    <w:p w:rsidR="009D3F1C" w:rsidRPr="00182D6D" w:rsidRDefault="009D3F1C" w:rsidP="009D3F1C">
      <w:pPr>
        <w:spacing w:line="360" w:lineRule="auto"/>
        <w:rPr>
          <w:rFonts w:ascii="Arial" w:hAnsi="Arial" w:cs="Arial"/>
        </w:rPr>
      </w:pPr>
      <m:oMathPara>
        <m:oMath>
          <m:r>
            <m:rPr>
              <m:nor/>
            </m:rPr>
            <w:rPr>
              <w:rFonts w:ascii="Arial" w:hAnsi="Arial" w:cs="Arial"/>
            </w:rPr>
            <m:t>PI</m:t>
          </m:r>
          <m:r>
            <w:rPr>
              <w:rFonts w:ascii="Cambria Math" w:hAnsi="Cambria Math" w:cs="Arial"/>
            </w:rPr>
            <m:t>=</m:t>
          </m:r>
          <m:f>
            <m:fPr>
              <m:ctrlPr>
                <w:rPr>
                  <w:rFonts w:ascii="Cambria Math" w:hAnsi="Cambria Math" w:cs="Arial"/>
                </w:rPr>
              </m:ctrlPr>
            </m:fPr>
            <m:num>
              <m:r>
                <m:rPr>
                  <m:nor/>
                </m:rPr>
                <w:rPr>
                  <w:rFonts w:ascii="Arial" w:hAnsi="Arial" w:cs="Arial"/>
                </w:rPr>
                <m:t>Present Value of Future Cash Inflows</m:t>
              </m:r>
            </m:num>
            <m:den>
              <m:sSub>
                <m:sSubPr>
                  <m:ctrlPr>
                    <w:rPr>
                      <w:rFonts w:ascii="Cambria Math" w:hAnsi="Cambria Math" w:cs="Arial"/>
                    </w:rPr>
                  </m:ctrlPr>
                </m:sSubPr>
                <m:e>
                  <m:r>
                    <w:rPr>
                      <w:rFonts w:ascii="Cambria Math" w:hAnsi="Cambria Math" w:cs="Arial"/>
                    </w:rPr>
                    <m:t>I</m:t>
                  </m:r>
                </m:e>
                <m:sub>
                  <m:r>
                    <w:rPr>
                      <w:rFonts w:ascii="Cambria Math" w:hAnsi="Cambria Math" w:cs="Arial"/>
                    </w:rPr>
                    <m:t>0</m:t>
                  </m:r>
                </m:sub>
              </m:sSub>
            </m:den>
          </m:f>
          <m:r>
            <w:rPr>
              <w:rFonts w:ascii="Cambria Math" w:hAnsi="Cambria Math" w:cs="Arial"/>
            </w:rPr>
            <m:t>=</m:t>
          </m:r>
          <m:f>
            <m:fPr>
              <m:ctrlPr>
                <w:rPr>
                  <w:rFonts w:ascii="Cambria Math" w:hAnsi="Cambria Math" w:cs="Arial"/>
                </w:rPr>
              </m:ctrlPr>
            </m:fPr>
            <m:num>
              <m:r>
                <m:rPr>
                  <m:nor/>
                </m:rPr>
                <w:rPr>
                  <w:rFonts w:ascii="Arial" w:hAnsi="Arial" w:cs="Arial"/>
                </w:rPr>
                <m:t>NPV</m:t>
              </m:r>
              <m:r>
                <w:rPr>
                  <w:rFonts w:ascii="Cambria Math" w:hAnsi="Cambria Math" w:cs="Arial"/>
                </w:rPr>
                <m:t>+</m:t>
              </m:r>
              <m:sSub>
                <m:sSubPr>
                  <m:ctrlPr>
                    <w:rPr>
                      <w:rFonts w:ascii="Cambria Math" w:hAnsi="Cambria Math" w:cs="Arial"/>
                    </w:rPr>
                  </m:ctrlPr>
                </m:sSubPr>
                <m:e>
                  <m:r>
                    <w:rPr>
                      <w:rFonts w:ascii="Cambria Math" w:hAnsi="Cambria Math" w:cs="Arial"/>
                    </w:rPr>
                    <m:t>I</m:t>
                  </m:r>
                </m:e>
                <m:sub>
                  <m:r>
                    <w:rPr>
                      <w:rFonts w:ascii="Cambria Math" w:hAnsi="Cambria Math" w:cs="Arial"/>
                    </w:rPr>
                    <m:t>0</m:t>
                  </m:r>
                </m:sub>
              </m:sSub>
            </m:num>
            <m:den>
              <m:sSub>
                <m:sSubPr>
                  <m:ctrlPr>
                    <w:rPr>
                      <w:rFonts w:ascii="Cambria Math" w:hAnsi="Cambria Math" w:cs="Arial"/>
                    </w:rPr>
                  </m:ctrlPr>
                </m:sSubPr>
                <m:e>
                  <m:r>
                    <w:rPr>
                      <w:rFonts w:ascii="Cambria Math" w:hAnsi="Cambria Math" w:cs="Arial"/>
                    </w:rPr>
                    <m:t>I</m:t>
                  </m:r>
                </m:e>
                <m:sub>
                  <m:r>
                    <w:rPr>
                      <w:rFonts w:ascii="Cambria Math" w:hAnsi="Cambria Math" w:cs="Arial"/>
                    </w:rPr>
                    <m:t>0</m:t>
                  </m:r>
                </m:sub>
              </m:sSub>
            </m:den>
          </m:f>
        </m:oMath>
      </m:oMathPara>
    </w:p>
    <w:p w:rsidR="009D3F1C" w:rsidRPr="00182D6D" w:rsidRDefault="009D3F1C" w:rsidP="009D3F1C">
      <w:pPr>
        <w:pStyle w:val="ListParagraph"/>
        <w:numPr>
          <w:ilvl w:val="0"/>
          <w:numId w:val="9"/>
        </w:numPr>
        <w:spacing w:line="360" w:lineRule="auto"/>
        <w:rPr>
          <w:rFonts w:ascii="Arial" w:hAnsi="Arial" w:cs="Arial"/>
        </w:rPr>
      </w:pPr>
      <w:r w:rsidRPr="00182D6D">
        <w:rPr>
          <w:rFonts w:ascii="Arial" w:hAnsi="Arial" w:cs="Arial"/>
          <w:b/>
          <w:bCs/>
        </w:rPr>
        <w:t>Internal Rate of Return (IRR):</w:t>
      </w:r>
      <w:r w:rsidRPr="00182D6D">
        <w:rPr>
          <w:rFonts w:ascii="Arial" w:hAnsi="Arial" w:cs="Arial"/>
        </w:rPr>
        <w:t xml:space="preserve"> The discount rate where </w:t>
      </w:r>
      <m:oMath>
        <m:r>
          <m:rPr>
            <m:nor/>
          </m:rPr>
          <w:rPr>
            <w:rFonts w:ascii="Arial" w:hAnsi="Arial" w:cs="Arial"/>
          </w:rPr>
          <m:t>NPV</m:t>
        </m:r>
        <m:r>
          <w:rPr>
            <w:rFonts w:ascii="Cambria Math" w:hAnsi="Cambria Math" w:cs="Arial"/>
          </w:rPr>
          <m:t>=0</m:t>
        </m:r>
      </m:oMath>
      <w:r w:rsidRPr="00182D6D">
        <w:rPr>
          <w:rFonts w:ascii="Arial" w:hAnsi="Arial" w:cs="Arial"/>
        </w:rPr>
        <w:t>:</w:t>
      </w:r>
    </w:p>
    <w:p w:rsidR="009D3F1C" w:rsidRPr="00182D6D" w:rsidRDefault="009D3F1C" w:rsidP="009D3F1C">
      <w:pPr>
        <w:spacing w:line="360" w:lineRule="auto"/>
        <w:rPr>
          <w:rFonts w:ascii="Arial" w:eastAsiaTheme="minorEastAsia" w:hAnsi="Arial" w:cs="Arial"/>
        </w:rPr>
      </w:pPr>
      <m:oMathPara>
        <m:oMath>
          <m:r>
            <w:rPr>
              <w:rFonts w:ascii="Cambria Math" w:hAnsi="Cambria Math" w:cs="Arial"/>
            </w:rPr>
            <m:t>0=</m:t>
          </m:r>
          <m:nary>
            <m:naryPr>
              <m:chr m:val="∑"/>
              <m:limLoc m:val="undOvr"/>
              <m:ctrlPr>
                <w:rPr>
                  <w:rFonts w:ascii="Cambria Math" w:hAnsi="Cambria Math" w:cs="Arial"/>
                </w:rPr>
              </m:ctrlPr>
            </m:naryPr>
            <m:sub>
              <m:r>
                <w:rPr>
                  <w:rFonts w:ascii="Cambria Math" w:hAnsi="Cambria Math" w:cs="Arial"/>
                </w:rPr>
                <m:t>t=1</m:t>
              </m:r>
            </m:sub>
            <m:sup>
              <m:r>
                <w:rPr>
                  <w:rFonts w:ascii="Cambria Math" w:hAnsi="Cambria Math" w:cs="Arial"/>
                </w:rPr>
                <m:t>n</m:t>
              </m:r>
            </m:sup>
            <m:e>
              <m:f>
                <m:fPr>
                  <m:ctrlPr>
                    <w:rPr>
                      <w:rFonts w:ascii="Cambria Math" w:hAnsi="Cambria Math" w:cs="Arial"/>
                    </w:rPr>
                  </m:ctrlPr>
                </m:fPr>
                <m:num>
                  <m:r>
                    <w:rPr>
                      <w:rFonts w:ascii="Cambria Math" w:hAnsi="Cambria Math" w:cs="Arial"/>
                    </w:rPr>
                    <m:t>C</m:t>
                  </m:r>
                  <m:sSub>
                    <m:sSubPr>
                      <m:ctrlPr>
                        <w:rPr>
                          <w:rFonts w:ascii="Cambria Math" w:hAnsi="Cambria Math" w:cs="Arial"/>
                        </w:rPr>
                      </m:ctrlPr>
                    </m:sSubPr>
                    <m:e>
                      <m:r>
                        <w:rPr>
                          <w:rFonts w:ascii="Cambria Math" w:hAnsi="Cambria Math" w:cs="Arial"/>
                        </w:rPr>
                        <m:t>F</m:t>
                      </m:r>
                    </m:e>
                    <m:sub>
                      <m:r>
                        <w:rPr>
                          <w:rFonts w:ascii="Cambria Math" w:hAnsi="Cambria Math" w:cs="Arial"/>
                        </w:rPr>
                        <m:t>t</m:t>
                      </m:r>
                    </m:sub>
                  </m:sSub>
                </m:num>
                <m:den>
                  <m:sSup>
                    <m:sSupPr>
                      <m:ctrlPr>
                        <w:rPr>
                          <w:rFonts w:ascii="Cambria Math" w:hAnsi="Cambria Math" w:cs="Arial"/>
                        </w:rPr>
                      </m:ctrlPr>
                    </m:sSupPr>
                    <m:e>
                      <m:d>
                        <m:dPr>
                          <m:ctrlPr>
                            <w:rPr>
                              <w:rFonts w:ascii="Cambria Math" w:hAnsi="Cambria Math" w:cs="Arial"/>
                            </w:rPr>
                          </m:ctrlPr>
                        </m:dPr>
                        <m:e>
                          <m:r>
                            <w:rPr>
                              <w:rFonts w:ascii="Cambria Math" w:hAnsi="Cambria Math" w:cs="Arial"/>
                            </w:rPr>
                            <m:t>1+</m:t>
                          </m:r>
                          <m:r>
                            <m:rPr>
                              <m:nor/>
                            </m:rPr>
                            <w:rPr>
                              <w:rFonts w:ascii="Arial" w:hAnsi="Arial" w:cs="Arial"/>
                            </w:rPr>
                            <m:t>IRR</m:t>
                          </m:r>
                        </m:e>
                      </m:d>
                    </m:e>
                    <m:sup>
                      <m:r>
                        <w:rPr>
                          <w:rFonts w:ascii="Cambria Math" w:hAnsi="Cambria Math" w:cs="Arial"/>
                        </w:rPr>
                        <m:t>t</m:t>
                      </m:r>
                    </m:sup>
                  </m:sSup>
                </m:den>
              </m:f>
            </m:e>
          </m:nary>
          <m:r>
            <w:rPr>
              <w:rFonts w:ascii="Cambria Math" w:hAnsi="Cambria Math" w:cs="Arial"/>
            </w:rPr>
            <m:t>-</m:t>
          </m:r>
          <m:sSub>
            <m:sSubPr>
              <m:ctrlPr>
                <w:rPr>
                  <w:rFonts w:ascii="Cambria Math" w:hAnsi="Cambria Math" w:cs="Arial"/>
                </w:rPr>
              </m:ctrlPr>
            </m:sSubPr>
            <m:e>
              <m:r>
                <w:rPr>
                  <w:rFonts w:ascii="Cambria Math" w:hAnsi="Cambria Math" w:cs="Arial"/>
                </w:rPr>
                <m:t>I</m:t>
              </m:r>
            </m:e>
            <m:sub>
              <m:r>
                <w:rPr>
                  <w:rFonts w:ascii="Cambria Math" w:hAnsi="Cambria Math" w:cs="Arial"/>
                </w:rPr>
                <m:t>0</m:t>
              </m:r>
            </m:sub>
          </m:sSub>
        </m:oMath>
      </m:oMathPara>
    </w:p>
    <w:p w:rsidR="009D3F1C" w:rsidRPr="00182D6D" w:rsidRDefault="009D3F1C" w:rsidP="009D3F1C">
      <w:pPr>
        <w:pStyle w:val="Heading2"/>
        <w:rPr>
          <w:rFonts w:ascii="Arial" w:eastAsiaTheme="minorEastAsia" w:hAnsi="Arial" w:cs="Arial"/>
        </w:rPr>
      </w:pPr>
      <w:bookmarkStart w:id="22" w:name="_Toc235783839"/>
      <w:r w:rsidRPr="00182D6D">
        <w:rPr>
          <w:rFonts w:ascii="Arial" w:eastAsiaTheme="minorEastAsia" w:hAnsi="Arial" w:cs="Arial"/>
        </w:rPr>
        <w:lastRenderedPageBreak/>
        <w:t>5.2 Comprehensive Calculation and evaluation dataset</w:t>
      </w:r>
      <w:bookmarkEnd w:id="22"/>
      <w:r w:rsidRPr="00182D6D">
        <w:rPr>
          <w:rFonts w:ascii="Arial" w:eastAsiaTheme="minorEastAsia" w:hAnsi="Arial" w:cs="Arial"/>
        </w:rPr>
        <w:t xml:space="preserve"> </w:t>
      </w:r>
    </w:p>
    <w:p w:rsidR="009D3F1C" w:rsidRPr="00182D6D" w:rsidRDefault="009D3F1C" w:rsidP="009D3F1C">
      <w:pPr>
        <w:spacing w:line="360" w:lineRule="auto"/>
        <w:rPr>
          <w:rFonts w:ascii="Arial" w:eastAsiaTheme="minorEastAsia" w:hAnsi="Arial" w:cs="Arial"/>
        </w:rPr>
      </w:pPr>
      <w:r w:rsidRPr="00182D6D">
        <w:rPr>
          <w:rFonts w:ascii="Arial" w:eastAsiaTheme="minorEastAsia" w:hAnsi="Arial" w:cs="Arial"/>
        </w:rPr>
        <w:t>Tables 5, 6 and 7 present the exact discounted Cash flow profiles for the project A, B and C,  applying the 8% present value factor (</w:t>
      </w:r>
      <m:oMath>
        <m:r>
          <w:rPr>
            <w:rFonts w:ascii="Cambria Math" w:eastAsiaTheme="minorEastAsia" w:hAnsi="Cambria Math" w:cs="Arial"/>
          </w:rPr>
          <m:t>PVIF=</m:t>
        </m:r>
        <m:sSup>
          <m:sSupPr>
            <m:ctrlPr>
              <w:rPr>
                <w:rFonts w:ascii="Cambria Math" w:eastAsiaTheme="minorEastAsia" w:hAnsi="Cambria Math" w:cs="Arial"/>
              </w:rPr>
            </m:ctrlPr>
          </m:sSupPr>
          <m:e>
            <m:d>
              <m:dPr>
                <m:ctrlPr>
                  <w:rPr>
                    <w:rFonts w:ascii="Cambria Math" w:eastAsiaTheme="minorEastAsia" w:hAnsi="Cambria Math" w:cs="Arial"/>
                  </w:rPr>
                </m:ctrlPr>
              </m:dPr>
              <m:e>
                <m:r>
                  <w:rPr>
                    <w:rFonts w:ascii="Cambria Math" w:eastAsiaTheme="minorEastAsia" w:hAnsi="Cambria Math" w:cs="Arial"/>
                  </w:rPr>
                  <m:t>1+0.08</m:t>
                </m:r>
              </m:e>
            </m:d>
          </m:e>
          <m:sup>
            <m:r>
              <w:rPr>
                <w:rFonts w:ascii="Cambria Math" w:eastAsiaTheme="minorEastAsia" w:hAnsi="Cambria Math" w:cs="Arial"/>
              </w:rPr>
              <m:t>-t</m:t>
            </m:r>
          </m:sup>
        </m:sSup>
      </m:oMath>
      <w:r w:rsidRPr="00182D6D">
        <w:rPr>
          <w:rFonts w:ascii="Arial" w:eastAsiaTheme="minorEastAsia" w:hAnsi="Arial" w:cs="Arial"/>
        </w:rPr>
        <w:t>).</w:t>
      </w:r>
    </w:p>
    <w:p w:rsidR="009D3F1C" w:rsidRPr="00182D6D" w:rsidRDefault="009D3F1C" w:rsidP="009D3F1C">
      <w:pPr>
        <w:pStyle w:val="Caption"/>
        <w:keepNext/>
        <w:spacing w:line="360" w:lineRule="auto"/>
        <w:rPr>
          <w:rFonts w:ascii="Arial" w:hAnsi="Arial" w:cs="Arial"/>
          <w:szCs w:val="24"/>
        </w:rPr>
      </w:pPr>
      <w:r w:rsidRPr="00182D6D">
        <w:rPr>
          <w:rFonts w:ascii="Arial" w:hAnsi="Arial" w:cs="Arial"/>
          <w:szCs w:val="24"/>
        </w:rPr>
        <w:t xml:space="preserve">Table </w:t>
      </w:r>
      <w:r w:rsidRPr="00182D6D">
        <w:rPr>
          <w:rFonts w:ascii="Arial" w:hAnsi="Arial" w:cs="Arial"/>
          <w:szCs w:val="24"/>
        </w:rPr>
        <w:fldChar w:fldCharType="begin"/>
      </w:r>
      <w:r w:rsidRPr="00182D6D">
        <w:rPr>
          <w:rFonts w:ascii="Arial" w:hAnsi="Arial" w:cs="Arial"/>
          <w:szCs w:val="24"/>
        </w:rPr>
        <w:instrText xml:space="preserve"> SEQ Table \* ARABIC </w:instrText>
      </w:r>
      <w:r w:rsidRPr="00182D6D">
        <w:rPr>
          <w:rFonts w:ascii="Arial" w:hAnsi="Arial" w:cs="Arial"/>
          <w:szCs w:val="24"/>
        </w:rPr>
        <w:fldChar w:fldCharType="separate"/>
      </w:r>
      <w:r w:rsidRPr="00182D6D">
        <w:rPr>
          <w:rFonts w:ascii="Arial" w:hAnsi="Arial" w:cs="Arial"/>
          <w:noProof/>
          <w:szCs w:val="24"/>
        </w:rPr>
        <w:t>5</w:t>
      </w:r>
      <w:r w:rsidRPr="00182D6D">
        <w:rPr>
          <w:rFonts w:ascii="Arial" w:hAnsi="Arial" w:cs="Arial"/>
          <w:szCs w:val="24"/>
        </w:rPr>
        <w:fldChar w:fldCharType="end"/>
      </w:r>
      <w:r w:rsidRPr="00182D6D">
        <w:rPr>
          <w:rFonts w:ascii="Arial" w:hAnsi="Arial" w:cs="Arial"/>
          <w:szCs w:val="24"/>
        </w:rPr>
        <w:t>: Discounted Cash flow Model- Project A</w:t>
      </w:r>
    </w:p>
    <w:tbl>
      <w:tblPr>
        <w:tblStyle w:val="TableGrid"/>
        <w:tblW w:w="0" w:type="auto"/>
        <w:tblLook w:val="04A0" w:firstRow="1" w:lastRow="0" w:firstColumn="1" w:lastColumn="0" w:noHBand="0" w:noVBand="1"/>
      </w:tblPr>
      <w:tblGrid>
        <w:gridCol w:w="1739"/>
        <w:gridCol w:w="1776"/>
        <w:gridCol w:w="1390"/>
        <w:gridCol w:w="1966"/>
        <w:gridCol w:w="2145"/>
      </w:tblGrid>
      <w:tr w:rsidR="009D3F1C" w:rsidRPr="00182D6D" w:rsidTr="00C94E9F">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Operating Horizon</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Net Cash Flow</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PV Factor at 8%</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Present Value (PV)</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Cumulative Cash Flow</w:t>
            </w:r>
          </w:p>
        </w:tc>
      </w:tr>
      <w:tr w:rsidR="009D3F1C" w:rsidRPr="00182D6D" w:rsidTr="00C94E9F">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Year 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(£50,000,000)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1.0000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(£50,000,000)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(£50,000,000)</w:t>
            </w:r>
          </w:p>
        </w:tc>
      </w:tr>
      <w:tr w:rsidR="009D3F1C" w:rsidRPr="00182D6D" w:rsidTr="00C94E9F">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Year 1</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£10,000,000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0.9259</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£9,259,000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(£40,000,000)</w:t>
            </w:r>
          </w:p>
        </w:tc>
      </w:tr>
      <w:tr w:rsidR="009D3F1C" w:rsidRPr="00182D6D" w:rsidTr="00C94E9F">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Year 2</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£12,000,000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0.8573</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£10,287,600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(£28,000,000)</w:t>
            </w:r>
          </w:p>
        </w:tc>
      </w:tr>
      <w:tr w:rsidR="009D3F1C" w:rsidRPr="00182D6D" w:rsidTr="00C94E9F">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Year 3</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£14,000,000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0.7938</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£11,113,200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(£14,000,000)</w:t>
            </w:r>
          </w:p>
        </w:tc>
      </w:tr>
      <w:tr w:rsidR="009D3F1C" w:rsidRPr="00182D6D" w:rsidTr="00C94E9F">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Year 4</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£10,000,000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0.7350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£7,350,000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(£4,000,000)</w:t>
            </w:r>
          </w:p>
        </w:tc>
      </w:tr>
      <w:tr w:rsidR="009D3F1C" w:rsidRPr="00182D6D" w:rsidTr="00C94E9F">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Year 5</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£8,000,000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0.6806</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£5,444,800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£4,000,000</w:t>
            </w:r>
          </w:p>
        </w:tc>
      </w:tr>
      <w:tr w:rsidR="009D3F1C" w:rsidRPr="00182D6D" w:rsidTr="00C94E9F">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Total Summary</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£54,000,000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b/>
                <w:bCs/>
              </w:rPr>
              <w:t>£43,454,600</w:t>
            </w:r>
          </w:p>
        </w:tc>
        <w:tc>
          <w:tcPr>
            <w:tcW w:w="0" w:type="auto"/>
            <w:hideMark/>
          </w:tcPr>
          <w:p w:rsidR="009D3F1C" w:rsidRPr="00182D6D" w:rsidRDefault="009D3F1C" w:rsidP="00C94E9F">
            <w:pPr>
              <w:spacing w:after="160" w:line="360" w:lineRule="auto"/>
              <w:rPr>
                <w:rFonts w:ascii="Arial" w:eastAsiaTheme="minorEastAsia" w:hAnsi="Arial" w:cs="Arial"/>
              </w:rPr>
            </w:pPr>
            <w:r w:rsidRPr="00182D6D">
              <w:rPr>
                <w:rFonts w:ascii="Arial" w:eastAsiaTheme="minorEastAsia" w:hAnsi="Arial" w:cs="Arial"/>
              </w:rPr>
              <w:t>—</w:t>
            </w:r>
          </w:p>
        </w:tc>
      </w:tr>
    </w:tbl>
    <w:p w:rsidR="009D3F1C" w:rsidRPr="00182D6D" w:rsidRDefault="009D3F1C" w:rsidP="009D3F1C">
      <w:pPr>
        <w:spacing w:line="360" w:lineRule="auto"/>
        <w:rPr>
          <w:rFonts w:ascii="Arial" w:eastAsiaTheme="minorEastAsia" w:hAnsi="Arial" w:cs="Arial"/>
        </w:rPr>
      </w:pPr>
    </w:p>
    <w:p w:rsidR="009D3F1C" w:rsidRPr="00182D6D" w:rsidRDefault="009D3F1C" w:rsidP="009D3F1C">
      <w:pPr>
        <w:spacing w:line="360" w:lineRule="auto"/>
        <w:rPr>
          <w:rFonts w:ascii="Arial" w:hAnsi="Arial" w:cs="Arial"/>
        </w:rPr>
      </w:pPr>
      <w:r w:rsidRPr="00182D6D">
        <w:rPr>
          <w:rFonts w:ascii="Arial" w:hAnsi="Arial" w:cs="Arial"/>
          <w:i/>
          <w:iCs/>
        </w:rPr>
        <w:t>Project A Metrics:</w:t>
      </w:r>
    </w:p>
    <w:p w:rsidR="009D3F1C" w:rsidRPr="00182D6D" w:rsidRDefault="009D3F1C" w:rsidP="009D3F1C">
      <w:pPr>
        <w:numPr>
          <w:ilvl w:val="0"/>
          <w:numId w:val="10"/>
        </w:numPr>
        <w:spacing w:line="360" w:lineRule="auto"/>
        <w:rPr>
          <w:rFonts w:ascii="Arial" w:hAnsi="Arial" w:cs="Arial"/>
        </w:rPr>
      </w:pPr>
      <m:oMath>
        <m:r>
          <m:rPr>
            <m:nor/>
          </m:rPr>
          <w:rPr>
            <w:rFonts w:ascii="Arial" w:hAnsi="Arial" w:cs="Arial"/>
          </w:rPr>
          <m:t>PBP</m:t>
        </m:r>
        <m:r>
          <w:rPr>
            <w:rFonts w:ascii="Cambria Math" w:hAnsi="Cambria Math" w:cs="Arial"/>
          </w:rPr>
          <m:t>=4</m:t>
        </m:r>
        <m:r>
          <m:rPr>
            <m:nor/>
          </m:rPr>
          <w:rPr>
            <w:rFonts w:ascii="Arial" w:hAnsi="Arial" w:cs="Arial"/>
          </w:rPr>
          <m:t> years</m:t>
        </m:r>
        <m:r>
          <w:rPr>
            <w:rFonts w:ascii="Cambria Math" w:hAnsi="Cambria Math" w:cs="Arial"/>
          </w:rPr>
          <m:t>+</m:t>
        </m:r>
        <m:d>
          <m:dPr>
            <m:ctrlPr>
              <w:rPr>
                <w:rFonts w:ascii="Cambria Math" w:hAnsi="Cambria Math" w:cs="Arial"/>
              </w:rPr>
            </m:ctrlPr>
          </m:dPr>
          <m:e>
            <m:f>
              <m:fPr>
                <m:ctrlPr>
                  <w:rPr>
                    <w:rFonts w:ascii="Cambria Math" w:hAnsi="Cambria Math" w:cs="Arial"/>
                  </w:rPr>
                </m:ctrlPr>
              </m:fPr>
              <m:num>
                <m:r>
                  <w:rPr>
                    <w:rFonts w:ascii="Cambria Math" w:hAnsi="Cambria Math" w:cs="Arial"/>
                  </w:rPr>
                  <m:t>£4,000,000</m:t>
                </m:r>
              </m:num>
              <m:den>
                <m:r>
                  <w:rPr>
                    <w:rFonts w:ascii="Cambria Math" w:hAnsi="Cambria Math" w:cs="Arial"/>
                  </w:rPr>
                  <m:t>£8,000,000</m:t>
                </m:r>
              </m:den>
            </m:f>
          </m:e>
        </m:d>
        <m:r>
          <w:rPr>
            <w:rFonts w:ascii="Cambria Math" w:hAnsi="Cambria Math" w:cs="Arial"/>
          </w:rPr>
          <m:t>=4.50</m:t>
        </m:r>
        <m:r>
          <m:rPr>
            <m:nor/>
          </m:rPr>
          <w:rPr>
            <w:rFonts w:ascii="Arial" w:hAnsi="Arial" w:cs="Arial"/>
          </w:rPr>
          <m:t> Years</m:t>
        </m:r>
      </m:oMath>
    </w:p>
    <w:p w:rsidR="009D3F1C" w:rsidRPr="00182D6D" w:rsidRDefault="009D3F1C" w:rsidP="009D3F1C">
      <w:pPr>
        <w:numPr>
          <w:ilvl w:val="0"/>
          <w:numId w:val="10"/>
        </w:numPr>
        <w:spacing w:line="360" w:lineRule="auto"/>
        <w:rPr>
          <w:rFonts w:ascii="Arial" w:hAnsi="Arial" w:cs="Arial"/>
        </w:rPr>
      </w:pPr>
      <m:oMath>
        <m:r>
          <m:rPr>
            <m:nor/>
          </m:rPr>
          <w:rPr>
            <w:rFonts w:ascii="Arial" w:hAnsi="Arial" w:cs="Arial"/>
          </w:rPr>
          <m:t>Average Profit</m:t>
        </m:r>
        <m:r>
          <w:rPr>
            <w:rFonts w:ascii="Cambria Math" w:hAnsi="Cambria Math" w:cs="Arial"/>
          </w:rPr>
          <m:t>=</m:t>
        </m:r>
        <m:f>
          <m:fPr>
            <m:ctrlPr>
              <w:rPr>
                <w:rFonts w:ascii="Cambria Math" w:hAnsi="Cambria Math" w:cs="Arial"/>
              </w:rPr>
            </m:ctrlPr>
          </m:fPr>
          <m:num>
            <m:r>
              <w:rPr>
                <w:rFonts w:ascii="Cambria Math" w:hAnsi="Cambria Math" w:cs="Arial"/>
              </w:rPr>
              <m:t>£54</m:t>
            </m:r>
            <m:r>
              <m:rPr>
                <m:nor/>
              </m:rPr>
              <w:rPr>
                <w:rFonts w:ascii="Arial" w:hAnsi="Arial" w:cs="Arial"/>
              </w:rPr>
              <m:t>m</m:t>
            </m:r>
            <m:r>
              <w:rPr>
                <w:rFonts w:ascii="Cambria Math" w:hAnsi="Cambria Math" w:cs="Arial"/>
              </w:rPr>
              <m:t>-</m:t>
            </m:r>
            <m:d>
              <m:dPr>
                <m:ctrlPr>
                  <w:rPr>
                    <w:rFonts w:ascii="Cambria Math" w:hAnsi="Cambria Math" w:cs="Arial"/>
                  </w:rPr>
                </m:ctrlPr>
              </m:dPr>
              <m:e>
                <m:r>
                  <w:rPr>
                    <w:rFonts w:ascii="Cambria Math" w:hAnsi="Cambria Math" w:cs="Arial"/>
                  </w:rPr>
                  <m:t>5×£10</m:t>
                </m:r>
                <m:r>
                  <m:rPr>
                    <m:nor/>
                  </m:rPr>
                  <w:rPr>
                    <w:rFonts w:ascii="Arial" w:hAnsi="Arial" w:cs="Arial"/>
                  </w:rPr>
                  <m:t>m Depr.</m:t>
                </m:r>
              </m:e>
            </m:d>
          </m:num>
          <m:den>
            <m:r>
              <w:rPr>
                <w:rFonts w:ascii="Cambria Math" w:hAnsi="Cambria Math" w:cs="Arial"/>
              </w:rPr>
              <m:t>5</m:t>
            </m:r>
          </m:den>
        </m:f>
        <m:r>
          <w:rPr>
            <w:rFonts w:ascii="Cambria Math" w:hAnsi="Cambria Math" w:cs="Arial"/>
          </w:rPr>
          <m:t>=£0.80</m:t>
        </m:r>
        <m:r>
          <m:rPr>
            <m:nor/>
          </m:rPr>
          <w:rPr>
            <w:rFonts w:ascii="Arial" w:hAnsi="Arial" w:cs="Arial"/>
          </w:rPr>
          <m:t>m</m:t>
        </m:r>
        <m:r>
          <w:rPr>
            <w:rFonts w:ascii="Cambria Math" w:hAnsi="Cambria Math" w:cs="Arial"/>
          </w:rPr>
          <m:t>⟹</m:t>
        </m:r>
        <m:r>
          <m:rPr>
            <m:nor/>
          </m:rPr>
          <w:rPr>
            <w:rFonts w:ascii="Arial" w:hAnsi="Arial" w:cs="Arial"/>
          </w:rPr>
          <m:t>ARR</m:t>
        </m:r>
        <m:r>
          <w:rPr>
            <w:rFonts w:ascii="Cambria Math" w:hAnsi="Cambria Math" w:cs="Arial"/>
          </w:rPr>
          <m:t>=</m:t>
        </m:r>
        <m:d>
          <m:dPr>
            <m:ctrlPr>
              <w:rPr>
                <w:rFonts w:ascii="Cambria Math" w:hAnsi="Cambria Math" w:cs="Arial"/>
              </w:rPr>
            </m:ctrlPr>
          </m:dPr>
          <m:e>
            <m:f>
              <m:fPr>
                <m:ctrlPr>
                  <w:rPr>
                    <w:rFonts w:ascii="Cambria Math" w:hAnsi="Cambria Math" w:cs="Arial"/>
                  </w:rPr>
                </m:ctrlPr>
              </m:fPr>
              <m:num>
                <m:r>
                  <w:rPr>
                    <w:rFonts w:ascii="Cambria Math" w:hAnsi="Cambria Math" w:cs="Arial"/>
                  </w:rPr>
                  <m:t>£0.8</m:t>
                </m:r>
                <m:r>
                  <m:rPr>
                    <m:nor/>
                  </m:rPr>
                  <w:rPr>
                    <w:rFonts w:ascii="Arial" w:hAnsi="Arial" w:cs="Arial"/>
                  </w:rPr>
                  <m:t>m</m:t>
                </m:r>
              </m:num>
              <m:den>
                <m:r>
                  <w:rPr>
                    <w:rFonts w:ascii="Cambria Math" w:hAnsi="Cambria Math" w:cs="Arial"/>
                  </w:rPr>
                  <m:t>£25</m:t>
                </m:r>
                <m:r>
                  <m:rPr>
                    <m:nor/>
                  </m:rPr>
                  <w:rPr>
                    <w:rFonts w:ascii="Arial" w:hAnsi="Arial" w:cs="Arial"/>
                  </w:rPr>
                  <m:t>m</m:t>
                </m:r>
              </m:den>
            </m:f>
          </m:e>
        </m:d>
        <m:r>
          <w:rPr>
            <w:rFonts w:ascii="Cambria Math" w:hAnsi="Cambria Math" w:cs="Arial"/>
          </w:rPr>
          <m:t>×100%=3.20%</m:t>
        </m:r>
      </m:oMath>
    </w:p>
    <w:p w:rsidR="009D3F1C" w:rsidRPr="00182D6D" w:rsidRDefault="009D3F1C" w:rsidP="009D3F1C">
      <w:pPr>
        <w:numPr>
          <w:ilvl w:val="0"/>
          <w:numId w:val="10"/>
        </w:numPr>
        <w:spacing w:line="360" w:lineRule="auto"/>
        <w:rPr>
          <w:rFonts w:ascii="Arial" w:hAnsi="Arial" w:cs="Arial"/>
        </w:rPr>
      </w:pPr>
      <m:oMath>
        <m:r>
          <m:rPr>
            <m:nor/>
          </m:rPr>
          <w:rPr>
            <w:rFonts w:ascii="Arial" w:hAnsi="Arial" w:cs="Arial"/>
          </w:rPr>
          <m:t>NPV</m:t>
        </m:r>
        <m:r>
          <w:rPr>
            <w:rFonts w:ascii="Cambria Math" w:hAnsi="Cambria Math" w:cs="Arial"/>
          </w:rPr>
          <m:t>=£43,454,600-£50,000,000=-£6,545,400</m:t>
        </m:r>
      </m:oMath>
    </w:p>
    <w:p w:rsidR="009D3F1C" w:rsidRPr="00182D6D" w:rsidRDefault="009D3F1C" w:rsidP="009D3F1C">
      <w:pPr>
        <w:numPr>
          <w:ilvl w:val="0"/>
          <w:numId w:val="10"/>
        </w:numPr>
        <w:spacing w:line="360" w:lineRule="auto"/>
        <w:rPr>
          <w:rFonts w:ascii="Arial" w:hAnsi="Arial" w:cs="Arial"/>
        </w:rPr>
      </w:pPr>
      <m:oMath>
        <m:r>
          <m:rPr>
            <m:nor/>
          </m:rPr>
          <w:rPr>
            <w:rFonts w:ascii="Arial" w:hAnsi="Arial" w:cs="Arial"/>
          </w:rPr>
          <m:t>PI</m:t>
        </m:r>
        <m:r>
          <w:rPr>
            <w:rFonts w:ascii="Cambria Math" w:hAnsi="Cambria Math" w:cs="Arial"/>
          </w:rPr>
          <m:t>=</m:t>
        </m:r>
        <m:f>
          <m:fPr>
            <m:ctrlPr>
              <w:rPr>
                <w:rFonts w:ascii="Cambria Math" w:hAnsi="Cambria Math" w:cs="Arial"/>
              </w:rPr>
            </m:ctrlPr>
          </m:fPr>
          <m:num>
            <m:r>
              <w:rPr>
                <w:rFonts w:ascii="Cambria Math" w:hAnsi="Cambria Math" w:cs="Arial"/>
              </w:rPr>
              <m:t>£43,454,600</m:t>
            </m:r>
          </m:num>
          <m:den>
            <m:r>
              <w:rPr>
                <w:rFonts w:ascii="Cambria Math" w:hAnsi="Cambria Math" w:cs="Arial"/>
              </w:rPr>
              <m:t>£50,000,000</m:t>
            </m:r>
          </m:den>
        </m:f>
        <m:r>
          <w:rPr>
            <w:rFonts w:ascii="Cambria Math" w:hAnsi="Cambria Math" w:cs="Arial"/>
          </w:rPr>
          <m:t>=0.869</m:t>
        </m:r>
      </m:oMath>
    </w:p>
    <w:p w:rsidR="009D3F1C" w:rsidRPr="00182D6D" w:rsidRDefault="009D3F1C" w:rsidP="009D3F1C">
      <w:pPr>
        <w:numPr>
          <w:ilvl w:val="0"/>
          <w:numId w:val="10"/>
        </w:numPr>
        <w:spacing w:line="360" w:lineRule="auto"/>
        <w:rPr>
          <w:rFonts w:ascii="Arial" w:hAnsi="Arial" w:cs="Arial"/>
        </w:rPr>
      </w:pPr>
      <m:oMath>
        <m:r>
          <m:rPr>
            <m:nor/>
          </m:rPr>
          <w:rPr>
            <w:rFonts w:ascii="Arial" w:hAnsi="Arial" w:cs="Arial"/>
          </w:rPr>
          <m:t>IRR</m:t>
        </m:r>
        <m:r>
          <w:rPr>
            <w:rFonts w:ascii="Cambria Math" w:hAnsi="Cambria Math" w:cs="Arial"/>
          </w:rPr>
          <m:t>=2.41%</m:t>
        </m:r>
      </m:oMath>
    </w:p>
    <w:p w:rsidR="009D3F1C" w:rsidRPr="00182D6D" w:rsidRDefault="009D3F1C" w:rsidP="009D3F1C">
      <w:pPr>
        <w:pStyle w:val="Caption"/>
        <w:keepNext/>
        <w:spacing w:line="360" w:lineRule="auto"/>
        <w:rPr>
          <w:rFonts w:ascii="Arial" w:hAnsi="Arial" w:cs="Arial"/>
          <w:szCs w:val="24"/>
        </w:rPr>
      </w:pPr>
      <w:r w:rsidRPr="00182D6D">
        <w:rPr>
          <w:rFonts w:ascii="Arial" w:hAnsi="Arial" w:cs="Arial"/>
          <w:szCs w:val="24"/>
        </w:rPr>
        <w:lastRenderedPageBreak/>
        <w:t xml:space="preserve">Table </w:t>
      </w:r>
      <w:r w:rsidRPr="00182D6D">
        <w:rPr>
          <w:rFonts w:ascii="Arial" w:hAnsi="Arial" w:cs="Arial"/>
          <w:szCs w:val="24"/>
        </w:rPr>
        <w:fldChar w:fldCharType="begin"/>
      </w:r>
      <w:r w:rsidRPr="00182D6D">
        <w:rPr>
          <w:rFonts w:ascii="Arial" w:hAnsi="Arial" w:cs="Arial"/>
          <w:szCs w:val="24"/>
        </w:rPr>
        <w:instrText xml:space="preserve"> SEQ Table \* ARABIC </w:instrText>
      </w:r>
      <w:r w:rsidRPr="00182D6D">
        <w:rPr>
          <w:rFonts w:ascii="Arial" w:hAnsi="Arial" w:cs="Arial"/>
          <w:szCs w:val="24"/>
        </w:rPr>
        <w:fldChar w:fldCharType="separate"/>
      </w:r>
      <w:r w:rsidRPr="00182D6D">
        <w:rPr>
          <w:rFonts w:ascii="Arial" w:hAnsi="Arial" w:cs="Arial"/>
          <w:noProof/>
          <w:szCs w:val="24"/>
        </w:rPr>
        <w:t>6</w:t>
      </w:r>
      <w:r w:rsidRPr="00182D6D">
        <w:rPr>
          <w:rFonts w:ascii="Arial" w:hAnsi="Arial" w:cs="Arial"/>
          <w:szCs w:val="24"/>
        </w:rPr>
        <w:fldChar w:fldCharType="end"/>
      </w:r>
      <w:r w:rsidRPr="00182D6D">
        <w:rPr>
          <w:rFonts w:ascii="Arial" w:hAnsi="Arial" w:cs="Arial"/>
          <w:szCs w:val="24"/>
        </w:rPr>
        <w:t>: Discounted Cash Flow Model- Project B</w:t>
      </w:r>
    </w:p>
    <w:tbl>
      <w:tblPr>
        <w:tblStyle w:val="TableGrid"/>
        <w:tblW w:w="0" w:type="auto"/>
        <w:tblLook w:val="04A0" w:firstRow="1" w:lastRow="0" w:firstColumn="1" w:lastColumn="0" w:noHBand="0" w:noVBand="1"/>
      </w:tblPr>
      <w:tblGrid>
        <w:gridCol w:w="1739"/>
        <w:gridCol w:w="1776"/>
        <w:gridCol w:w="1390"/>
        <w:gridCol w:w="1966"/>
        <w:gridCol w:w="2145"/>
      </w:tblGrid>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Operating Horizon</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Net Cash Flow</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PV Factor at 8%</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Present Value (PV)</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Cumulative Cash Flow</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Year 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(£50,000,000)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(£50,000,000)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(£50,000,000)</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Year 1</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£11,000,000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0.9259</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£10,184,900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(£39,000,000)</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Year 2</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£11,000,000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0.8573</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£9,430,300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(£28,000,000)</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Year 3</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£11,000,000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0.7938</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£8,731,800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(£17,000,000)</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Year 4</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£11,000,000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0.7350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£8,085,000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(£6,000,000)</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Year 5</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£11,000,000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0.6806</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£7,486,600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£5,000,000</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Total Summary</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£55,000,000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£43,918,600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w:t>
            </w:r>
          </w:p>
        </w:tc>
      </w:tr>
    </w:tbl>
    <w:p w:rsidR="009D3F1C" w:rsidRPr="00182D6D" w:rsidRDefault="009D3F1C" w:rsidP="009D3F1C">
      <w:pPr>
        <w:spacing w:line="360" w:lineRule="auto"/>
        <w:rPr>
          <w:rFonts w:ascii="Arial" w:hAnsi="Arial" w:cs="Arial"/>
        </w:rPr>
      </w:pPr>
    </w:p>
    <w:p w:rsidR="009D3F1C" w:rsidRPr="00182D6D" w:rsidRDefault="009D3F1C" w:rsidP="009D3F1C">
      <w:pPr>
        <w:spacing w:line="360" w:lineRule="auto"/>
        <w:rPr>
          <w:rFonts w:ascii="Arial" w:hAnsi="Arial" w:cs="Arial"/>
        </w:rPr>
      </w:pPr>
      <w:r w:rsidRPr="00182D6D">
        <w:rPr>
          <w:rFonts w:ascii="Arial" w:hAnsi="Arial" w:cs="Arial"/>
          <w:i/>
          <w:iCs/>
        </w:rPr>
        <w:t>Project B Metrics:</w:t>
      </w:r>
    </w:p>
    <w:p w:rsidR="009D3F1C" w:rsidRPr="00182D6D" w:rsidRDefault="009D3F1C" w:rsidP="009D3F1C">
      <w:pPr>
        <w:numPr>
          <w:ilvl w:val="0"/>
          <w:numId w:val="12"/>
        </w:numPr>
        <w:spacing w:line="360" w:lineRule="auto"/>
        <w:rPr>
          <w:rFonts w:ascii="Arial" w:hAnsi="Arial" w:cs="Arial"/>
        </w:rPr>
      </w:pPr>
      <m:oMath>
        <m:r>
          <m:rPr>
            <m:nor/>
          </m:rPr>
          <w:rPr>
            <w:rFonts w:ascii="Arial" w:hAnsi="Arial" w:cs="Arial"/>
          </w:rPr>
          <m:t>PBP</m:t>
        </m:r>
        <m:r>
          <w:rPr>
            <w:rFonts w:ascii="Cambria Math" w:hAnsi="Cambria Math" w:cs="Arial"/>
          </w:rPr>
          <m:t>=4</m:t>
        </m:r>
        <m:r>
          <m:rPr>
            <m:nor/>
          </m:rPr>
          <w:rPr>
            <w:rFonts w:ascii="Arial" w:hAnsi="Arial" w:cs="Arial"/>
          </w:rPr>
          <m:t> years</m:t>
        </m:r>
        <m:r>
          <w:rPr>
            <w:rFonts w:ascii="Cambria Math" w:hAnsi="Cambria Math" w:cs="Arial"/>
          </w:rPr>
          <m:t>+</m:t>
        </m:r>
        <m:d>
          <m:dPr>
            <m:ctrlPr>
              <w:rPr>
                <w:rFonts w:ascii="Cambria Math" w:hAnsi="Cambria Math" w:cs="Arial"/>
              </w:rPr>
            </m:ctrlPr>
          </m:dPr>
          <m:e>
            <m:f>
              <m:fPr>
                <m:ctrlPr>
                  <w:rPr>
                    <w:rFonts w:ascii="Cambria Math" w:hAnsi="Cambria Math" w:cs="Arial"/>
                  </w:rPr>
                </m:ctrlPr>
              </m:fPr>
              <m:num>
                <m:r>
                  <w:rPr>
                    <w:rFonts w:ascii="Cambria Math" w:hAnsi="Cambria Math" w:cs="Arial"/>
                  </w:rPr>
                  <m:t>£6,000,000</m:t>
                </m:r>
              </m:num>
              <m:den>
                <m:r>
                  <w:rPr>
                    <w:rFonts w:ascii="Cambria Math" w:hAnsi="Cambria Math" w:cs="Arial"/>
                  </w:rPr>
                  <m:t>£11,000,000</m:t>
                </m:r>
              </m:den>
            </m:f>
          </m:e>
        </m:d>
        <m:r>
          <w:rPr>
            <w:rFonts w:ascii="Cambria Math" w:hAnsi="Cambria Math" w:cs="Arial"/>
          </w:rPr>
          <m:t>=4.55</m:t>
        </m:r>
        <m:r>
          <m:rPr>
            <m:nor/>
          </m:rPr>
          <w:rPr>
            <w:rFonts w:ascii="Arial" w:hAnsi="Arial" w:cs="Arial"/>
          </w:rPr>
          <m:t> Years</m:t>
        </m:r>
      </m:oMath>
    </w:p>
    <w:p w:rsidR="009D3F1C" w:rsidRPr="00182D6D" w:rsidRDefault="009D3F1C" w:rsidP="009D3F1C">
      <w:pPr>
        <w:numPr>
          <w:ilvl w:val="0"/>
          <w:numId w:val="12"/>
        </w:numPr>
        <w:spacing w:line="360" w:lineRule="auto"/>
        <w:rPr>
          <w:rFonts w:ascii="Arial" w:hAnsi="Arial" w:cs="Arial"/>
        </w:rPr>
      </w:pPr>
      <m:oMath>
        <m:r>
          <m:rPr>
            <m:nor/>
          </m:rPr>
          <w:rPr>
            <w:rFonts w:ascii="Arial" w:hAnsi="Arial" w:cs="Arial"/>
          </w:rPr>
          <m:t>Average Profit</m:t>
        </m:r>
        <m:r>
          <w:rPr>
            <w:rFonts w:ascii="Cambria Math" w:hAnsi="Cambria Math" w:cs="Arial"/>
          </w:rPr>
          <m:t>=</m:t>
        </m:r>
        <m:f>
          <m:fPr>
            <m:ctrlPr>
              <w:rPr>
                <w:rFonts w:ascii="Cambria Math" w:hAnsi="Cambria Math" w:cs="Arial"/>
              </w:rPr>
            </m:ctrlPr>
          </m:fPr>
          <m:num>
            <m:r>
              <w:rPr>
                <w:rFonts w:ascii="Cambria Math" w:hAnsi="Cambria Math" w:cs="Arial"/>
              </w:rPr>
              <m:t>£55</m:t>
            </m:r>
            <m:r>
              <m:rPr>
                <m:nor/>
              </m:rPr>
              <w:rPr>
                <w:rFonts w:ascii="Arial" w:hAnsi="Arial" w:cs="Arial"/>
              </w:rPr>
              <m:t>m</m:t>
            </m:r>
            <m:r>
              <w:rPr>
                <w:rFonts w:ascii="Cambria Math" w:hAnsi="Cambria Math" w:cs="Arial"/>
              </w:rPr>
              <m:t>-£50</m:t>
            </m:r>
            <m:r>
              <m:rPr>
                <m:nor/>
              </m:rPr>
              <w:rPr>
                <w:rFonts w:ascii="Arial" w:hAnsi="Arial" w:cs="Arial"/>
              </w:rPr>
              <m:t>m</m:t>
            </m:r>
          </m:num>
          <m:den>
            <m:r>
              <w:rPr>
                <w:rFonts w:ascii="Cambria Math" w:hAnsi="Cambria Math" w:cs="Arial"/>
              </w:rPr>
              <m:t>5</m:t>
            </m:r>
          </m:den>
        </m:f>
        <m:r>
          <w:rPr>
            <w:rFonts w:ascii="Cambria Math" w:hAnsi="Cambria Math" w:cs="Arial"/>
          </w:rPr>
          <m:t>=£1.00</m:t>
        </m:r>
        <m:r>
          <m:rPr>
            <m:nor/>
          </m:rPr>
          <w:rPr>
            <w:rFonts w:ascii="Arial" w:hAnsi="Arial" w:cs="Arial"/>
          </w:rPr>
          <m:t>m</m:t>
        </m:r>
        <m:r>
          <w:rPr>
            <w:rFonts w:ascii="Cambria Math" w:hAnsi="Cambria Math" w:cs="Arial"/>
          </w:rPr>
          <m:t>⟹</m:t>
        </m:r>
        <m:r>
          <m:rPr>
            <m:nor/>
          </m:rPr>
          <w:rPr>
            <w:rFonts w:ascii="Arial" w:hAnsi="Arial" w:cs="Arial"/>
          </w:rPr>
          <m:t>ARR</m:t>
        </m:r>
        <m:r>
          <w:rPr>
            <w:rFonts w:ascii="Cambria Math" w:hAnsi="Cambria Math" w:cs="Arial"/>
          </w:rPr>
          <m:t>=</m:t>
        </m:r>
        <m:d>
          <m:dPr>
            <m:ctrlPr>
              <w:rPr>
                <w:rFonts w:ascii="Cambria Math" w:hAnsi="Cambria Math" w:cs="Arial"/>
              </w:rPr>
            </m:ctrlPr>
          </m:dPr>
          <m:e>
            <m:f>
              <m:fPr>
                <m:ctrlPr>
                  <w:rPr>
                    <w:rFonts w:ascii="Cambria Math" w:hAnsi="Cambria Math" w:cs="Arial"/>
                  </w:rPr>
                </m:ctrlPr>
              </m:fPr>
              <m:num>
                <m:r>
                  <w:rPr>
                    <w:rFonts w:ascii="Cambria Math" w:hAnsi="Cambria Math" w:cs="Arial"/>
                  </w:rPr>
                  <m:t>£1.0</m:t>
                </m:r>
                <m:r>
                  <m:rPr>
                    <m:nor/>
                  </m:rPr>
                  <w:rPr>
                    <w:rFonts w:ascii="Arial" w:hAnsi="Arial" w:cs="Arial"/>
                  </w:rPr>
                  <m:t>m</m:t>
                </m:r>
              </m:num>
              <m:den>
                <m:r>
                  <w:rPr>
                    <w:rFonts w:ascii="Cambria Math" w:hAnsi="Cambria Math" w:cs="Arial"/>
                  </w:rPr>
                  <m:t>£25</m:t>
                </m:r>
                <m:r>
                  <m:rPr>
                    <m:nor/>
                  </m:rPr>
                  <w:rPr>
                    <w:rFonts w:ascii="Arial" w:hAnsi="Arial" w:cs="Arial"/>
                  </w:rPr>
                  <m:t>m</m:t>
                </m:r>
              </m:den>
            </m:f>
          </m:e>
        </m:d>
        <m:r>
          <w:rPr>
            <w:rFonts w:ascii="Cambria Math" w:hAnsi="Cambria Math" w:cs="Arial"/>
          </w:rPr>
          <m:t>×100%=4.00%</m:t>
        </m:r>
      </m:oMath>
    </w:p>
    <w:p w:rsidR="009D3F1C" w:rsidRPr="00182D6D" w:rsidRDefault="009D3F1C" w:rsidP="009D3F1C">
      <w:pPr>
        <w:numPr>
          <w:ilvl w:val="0"/>
          <w:numId w:val="12"/>
        </w:numPr>
        <w:spacing w:line="360" w:lineRule="auto"/>
        <w:rPr>
          <w:rFonts w:ascii="Arial" w:hAnsi="Arial" w:cs="Arial"/>
        </w:rPr>
      </w:pPr>
      <m:oMath>
        <m:r>
          <m:rPr>
            <m:nor/>
          </m:rPr>
          <w:rPr>
            <w:rFonts w:ascii="Arial" w:hAnsi="Arial" w:cs="Arial"/>
          </w:rPr>
          <m:t>NPV</m:t>
        </m:r>
        <m:r>
          <w:rPr>
            <w:rFonts w:ascii="Cambria Math" w:hAnsi="Cambria Math" w:cs="Arial"/>
          </w:rPr>
          <m:t>=£43,918,600-£50,000,000=-£6,081,400</m:t>
        </m:r>
      </m:oMath>
    </w:p>
    <w:p w:rsidR="009D3F1C" w:rsidRPr="00182D6D" w:rsidRDefault="009D3F1C" w:rsidP="009D3F1C">
      <w:pPr>
        <w:numPr>
          <w:ilvl w:val="0"/>
          <w:numId w:val="12"/>
        </w:numPr>
        <w:spacing w:line="360" w:lineRule="auto"/>
        <w:rPr>
          <w:rFonts w:ascii="Arial" w:hAnsi="Arial" w:cs="Arial"/>
        </w:rPr>
      </w:pPr>
      <m:oMath>
        <m:r>
          <m:rPr>
            <m:nor/>
          </m:rPr>
          <w:rPr>
            <w:rFonts w:ascii="Arial" w:hAnsi="Arial" w:cs="Arial"/>
          </w:rPr>
          <m:t>PI</m:t>
        </m:r>
        <m:r>
          <w:rPr>
            <w:rFonts w:ascii="Cambria Math" w:hAnsi="Cambria Math" w:cs="Arial"/>
          </w:rPr>
          <m:t>=</m:t>
        </m:r>
        <m:f>
          <m:fPr>
            <m:ctrlPr>
              <w:rPr>
                <w:rFonts w:ascii="Cambria Math" w:hAnsi="Cambria Math" w:cs="Arial"/>
              </w:rPr>
            </m:ctrlPr>
          </m:fPr>
          <m:num>
            <m:r>
              <w:rPr>
                <w:rFonts w:ascii="Cambria Math" w:hAnsi="Cambria Math" w:cs="Arial"/>
              </w:rPr>
              <m:t>£43,918,600</m:t>
            </m:r>
          </m:num>
          <m:den>
            <m:r>
              <w:rPr>
                <w:rFonts w:ascii="Cambria Math" w:hAnsi="Cambria Math" w:cs="Arial"/>
              </w:rPr>
              <m:t>£50,000,000</m:t>
            </m:r>
          </m:den>
        </m:f>
        <m:r>
          <w:rPr>
            <w:rFonts w:ascii="Cambria Math" w:hAnsi="Cambria Math" w:cs="Arial"/>
          </w:rPr>
          <m:t>=0.878</m:t>
        </m:r>
      </m:oMath>
    </w:p>
    <w:p w:rsidR="009D3F1C" w:rsidRPr="00182D6D" w:rsidRDefault="009D3F1C" w:rsidP="009D3F1C">
      <w:pPr>
        <w:numPr>
          <w:ilvl w:val="0"/>
          <w:numId w:val="12"/>
        </w:numPr>
        <w:spacing w:line="360" w:lineRule="auto"/>
        <w:rPr>
          <w:rFonts w:ascii="Arial" w:hAnsi="Arial" w:cs="Arial"/>
        </w:rPr>
      </w:pPr>
      <m:oMath>
        <m:r>
          <m:rPr>
            <m:nor/>
          </m:rPr>
          <w:rPr>
            <w:rFonts w:ascii="Arial" w:hAnsi="Arial" w:cs="Arial"/>
          </w:rPr>
          <m:t>IRR</m:t>
        </m:r>
        <m:r>
          <w:rPr>
            <w:rFonts w:ascii="Cambria Math" w:hAnsi="Cambria Math" w:cs="Arial"/>
          </w:rPr>
          <m:t>=2.92%</m:t>
        </m:r>
      </m:oMath>
    </w:p>
    <w:p w:rsidR="009D3F1C" w:rsidRPr="00182D6D" w:rsidRDefault="009D3F1C" w:rsidP="009D3F1C">
      <w:pPr>
        <w:pStyle w:val="Caption"/>
        <w:keepNext/>
        <w:spacing w:line="360" w:lineRule="auto"/>
        <w:rPr>
          <w:rFonts w:ascii="Arial" w:hAnsi="Arial" w:cs="Arial"/>
          <w:szCs w:val="24"/>
        </w:rPr>
      </w:pPr>
      <w:r w:rsidRPr="00182D6D">
        <w:rPr>
          <w:rFonts w:ascii="Arial" w:hAnsi="Arial" w:cs="Arial"/>
          <w:szCs w:val="24"/>
        </w:rPr>
        <w:t xml:space="preserve">Table </w:t>
      </w:r>
      <w:r w:rsidRPr="00182D6D">
        <w:rPr>
          <w:rFonts w:ascii="Arial" w:hAnsi="Arial" w:cs="Arial"/>
          <w:szCs w:val="24"/>
        </w:rPr>
        <w:fldChar w:fldCharType="begin"/>
      </w:r>
      <w:r w:rsidRPr="00182D6D">
        <w:rPr>
          <w:rFonts w:ascii="Arial" w:hAnsi="Arial" w:cs="Arial"/>
          <w:szCs w:val="24"/>
        </w:rPr>
        <w:instrText xml:space="preserve"> SEQ Table \* ARABIC </w:instrText>
      </w:r>
      <w:r w:rsidRPr="00182D6D">
        <w:rPr>
          <w:rFonts w:ascii="Arial" w:hAnsi="Arial" w:cs="Arial"/>
          <w:szCs w:val="24"/>
        </w:rPr>
        <w:fldChar w:fldCharType="separate"/>
      </w:r>
      <w:r w:rsidRPr="00182D6D">
        <w:rPr>
          <w:rFonts w:ascii="Arial" w:hAnsi="Arial" w:cs="Arial"/>
          <w:noProof/>
          <w:szCs w:val="24"/>
        </w:rPr>
        <w:t>7</w:t>
      </w:r>
      <w:r w:rsidRPr="00182D6D">
        <w:rPr>
          <w:rFonts w:ascii="Arial" w:hAnsi="Arial" w:cs="Arial"/>
          <w:szCs w:val="24"/>
        </w:rPr>
        <w:fldChar w:fldCharType="end"/>
      </w:r>
      <w:r w:rsidRPr="00182D6D">
        <w:rPr>
          <w:rFonts w:ascii="Arial" w:hAnsi="Arial" w:cs="Arial"/>
          <w:szCs w:val="24"/>
        </w:rPr>
        <w:t>: Discounted Cash Flow Model- Project C</w:t>
      </w:r>
    </w:p>
    <w:tbl>
      <w:tblPr>
        <w:tblStyle w:val="TableGrid"/>
        <w:tblW w:w="0" w:type="auto"/>
        <w:tblLook w:val="04A0" w:firstRow="1" w:lastRow="0" w:firstColumn="1" w:lastColumn="0" w:noHBand="0" w:noVBand="1"/>
      </w:tblPr>
      <w:tblGrid>
        <w:gridCol w:w="1739"/>
        <w:gridCol w:w="1776"/>
        <w:gridCol w:w="1390"/>
        <w:gridCol w:w="1966"/>
        <w:gridCol w:w="2145"/>
      </w:tblGrid>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Operating Horizon</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Net Cash Flow</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PV Factor at 8%</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Present Value (PV)</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Cumulative Cash Flow</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Year 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(£50,000,000)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(£50,000,000)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(£50,000,000)</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Year 1</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0.9259</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£4,629,500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(£45,000,000)</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Year 2</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£10,000,000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0.8573</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£8,573,000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(£35,000,000)</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lastRenderedPageBreak/>
              <w:t>Year 3</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£20,000,000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0.7938</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£15,876,000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(£15,000,000)</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Year 4</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£25,000,000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0.7350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£18,375,000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£10,000,000</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Year 5</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0.6806</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£3,403,000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£15,000,000</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Total Summary</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£65,000,000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£50,856,500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w:t>
            </w:r>
          </w:p>
        </w:tc>
      </w:tr>
    </w:tbl>
    <w:p w:rsidR="009D3F1C" w:rsidRPr="00182D6D" w:rsidRDefault="009D3F1C" w:rsidP="009D3F1C">
      <w:pPr>
        <w:spacing w:line="360" w:lineRule="auto"/>
        <w:rPr>
          <w:rFonts w:ascii="Arial" w:hAnsi="Arial" w:cs="Arial"/>
        </w:rPr>
      </w:pPr>
    </w:p>
    <w:p w:rsidR="009D3F1C" w:rsidRPr="00182D6D" w:rsidRDefault="009D3F1C" w:rsidP="009D3F1C">
      <w:pPr>
        <w:spacing w:line="360" w:lineRule="auto"/>
        <w:rPr>
          <w:rFonts w:ascii="Arial" w:hAnsi="Arial" w:cs="Arial"/>
        </w:rPr>
      </w:pPr>
      <w:r w:rsidRPr="00182D6D">
        <w:rPr>
          <w:rFonts w:ascii="Arial" w:hAnsi="Arial" w:cs="Arial"/>
          <w:i/>
          <w:iCs/>
        </w:rPr>
        <w:t>Project C Metrics:</w:t>
      </w:r>
    </w:p>
    <w:p w:rsidR="009D3F1C" w:rsidRPr="00182D6D" w:rsidRDefault="009D3F1C" w:rsidP="009D3F1C">
      <w:pPr>
        <w:numPr>
          <w:ilvl w:val="0"/>
          <w:numId w:val="13"/>
        </w:numPr>
        <w:spacing w:line="360" w:lineRule="auto"/>
        <w:rPr>
          <w:rFonts w:ascii="Arial" w:hAnsi="Arial" w:cs="Arial"/>
        </w:rPr>
      </w:pPr>
      <m:oMath>
        <m:r>
          <m:rPr>
            <m:nor/>
          </m:rPr>
          <w:rPr>
            <w:rFonts w:ascii="Arial" w:hAnsi="Arial" w:cs="Arial"/>
          </w:rPr>
          <m:t>PBP</m:t>
        </m:r>
        <m:r>
          <w:rPr>
            <w:rFonts w:ascii="Cambria Math" w:hAnsi="Cambria Math" w:cs="Arial"/>
          </w:rPr>
          <m:t>=3</m:t>
        </m:r>
        <m:r>
          <m:rPr>
            <m:nor/>
          </m:rPr>
          <w:rPr>
            <w:rFonts w:ascii="Arial" w:hAnsi="Arial" w:cs="Arial"/>
          </w:rPr>
          <m:t> years</m:t>
        </m:r>
        <m:r>
          <w:rPr>
            <w:rFonts w:ascii="Cambria Math" w:hAnsi="Cambria Math" w:cs="Arial"/>
          </w:rPr>
          <m:t>+</m:t>
        </m:r>
        <m:d>
          <m:dPr>
            <m:ctrlPr>
              <w:rPr>
                <w:rFonts w:ascii="Cambria Math" w:hAnsi="Cambria Math" w:cs="Arial"/>
              </w:rPr>
            </m:ctrlPr>
          </m:dPr>
          <m:e>
            <m:f>
              <m:fPr>
                <m:ctrlPr>
                  <w:rPr>
                    <w:rFonts w:ascii="Cambria Math" w:hAnsi="Cambria Math" w:cs="Arial"/>
                  </w:rPr>
                </m:ctrlPr>
              </m:fPr>
              <m:num>
                <m:r>
                  <w:rPr>
                    <w:rFonts w:ascii="Cambria Math" w:hAnsi="Cambria Math" w:cs="Arial"/>
                  </w:rPr>
                  <m:t>£15,000,000</m:t>
                </m:r>
              </m:num>
              <m:den>
                <m:r>
                  <w:rPr>
                    <w:rFonts w:ascii="Cambria Math" w:hAnsi="Cambria Math" w:cs="Arial"/>
                  </w:rPr>
                  <m:t>£25,000,000</m:t>
                </m:r>
              </m:den>
            </m:f>
          </m:e>
        </m:d>
        <m:r>
          <w:rPr>
            <w:rFonts w:ascii="Cambria Math" w:hAnsi="Cambria Math" w:cs="Arial"/>
          </w:rPr>
          <m:t>=3.60</m:t>
        </m:r>
        <m:r>
          <m:rPr>
            <m:nor/>
          </m:rPr>
          <w:rPr>
            <w:rFonts w:ascii="Arial" w:hAnsi="Arial" w:cs="Arial"/>
          </w:rPr>
          <m:t> Years</m:t>
        </m:r>
      </m:oMath>
    </w:p>
    <w:p w:rsidR="009D3F1C" w:rsidRPr="00182D6D" w:rsidRDefault="009D3F1C" w:rsidP="009D3F1C">
      <w:pPr>
        <w:numPr>
          <w:ilvl w:val="0"/>
          <w:numId w:val="13"/>
        </w:numPr>
        <w:spacing w:line="360" w:lineRule="auto"/>
        <w:rPr>
          <w:rFonts w:ascii="Arial" w:hAnsi="Arial" w:cs="Arial"/>
        </w:rPr>
      </w:pPr>
      <m:oMath>
        <m:r>
          <m:rPr>
            <m:nor/>
          </m:rPr>
          <w:rPr>
            <w:rFonts w:ascii="Arial" w:hAnsi="Arial" w:cs="Arial"/>
          </w:rPr>
          <m:t>Average Profit</m:t>
        </m:r>
        <m:r>
          <w:rPr>
            <w:rFonts w:ascii="Cambria Math" w:hAnsi="Cambria Math" w:cs="Arial"/>
          </w:rPr>
          <m:t>=</m:t>
        </m:r>
        <m:f>
          <m:fPr>
            <m:ctrlPr>
              <w:rPr>
                <w:rFonts w:ascii="Cambria Math" w:hAnsi="Cambria Math" w:cs="Arial"/>
              </w:rPr>
            </m:ctrlPr>
          </m:fPr>
          <m:num>
            <m:r>
              <w:rPr>
                <w:rFonts w:ascii="Cambria Math" w:hAnsi="Cambria Math" w:cs="Arial"/>
              </w:rPr>
              <m:t>£65</m:t>
            </m:r>
            <m:r>
              <m:rPr>
                <m:nor/>
              </m:rPr>
              <w:rPr>
                <w:rFonts w:ascii="Arial" w:hAnsi="Arial" w:cs="Arial"/>
              </w:rPr>
              <m:t>m</m:t>
            </m:r>
            <m:r>
              <w:rPr>
                <w:rFonts w:ascii="Cambria Math" w:hAnsi="Cambria Math" w:cs="Arial"/>
              </w:rPr>
              <m:t>-£50</m:t>
            </m:r>
            <m:r>
              <m:rPr>
                <m:nor/>
              </m:rPr>
              <w:rPr>
                <w:rFonts w:ascii="Arial" w:hAnsi="Arial" w:cs="Arial"/>
              </w:rPr>
              <m:t>m</m:t>
            </m:r>
          </m:num>
          <m:den>
            <m:r>
              <w:rPr>
                <w:rFonts w:ascii="Cambria Math" w:hAnsi="Cambria Math" w:cs="Arial"/>
              </w:rPr>
              <m:t>5</m:t>
            </m:r>
          </m:den>
        </m:f>
        <m:r>
          <w:rPr>
            <w:rFonts w:ascii="Cambria Math" w:hAnsi="Cambria Math" w:cs="Arial"/>
          </w:rPr>
          <m:t>=£3.00</m:t>
        </m:r>
        <m:r>
          <m:rPr>
            <m:nor/>
          </m:rPr>
          <w:rPr>
            <w:rFonts w:ascii="Arial" w:hAnsi="Arial" w:cs="Arial"/>
          </w:rPr>
          <m:t>m</m:t>
        </m:r>
        <m:r>
          <w:rPr>
            <w:rFonts w:ascii="Cambria Math" w:hAnsi="Cambria Math" w:cs="Arial"/>
          </w:rPr>
          <m:t>⟹</m:t>
        </m:r>
        <m:r>
          <m:rPr>
            <m:nor/>
          </m:rPr>
          <w:rPr>
            <w:rFonts w:ascii="Arial" w:hAnsi="Arial" w:cs="Arial"/>
          </w:rPr>
          <m:t>ARR</m:t>
        </m:r>
        <m:r>
          <w:rPr>
            <w:rFonts w:ascii="Cambria Math" w:hAnsi="Cambria Math" w:cs="Arial"/>
          </w:rPr>
          <m:t>=</m:t>
        </m:r>
        <m:d>
          <m:dPr>
            <m:ctrlPr>
              <w:rPr>
                <w:rFonts w:ascii="Cambria Math" w:hAnsi="Cambria Math" w:cs="Arial"/>
              </w:rPr>
            </m:ctrlPr>
          </m:dPr>
          <m:e>
            <m:f>
              <m:fPr>
                <m:ctrlPr>
                  <w:rPr>
                    <w:rFonts w:ascii="Cambria Math" w:hAnsi="Cambria Math" w:cs="Arial"/>
                  </w:rPr>
                </m:ctrlPr>
              </m:fPr>
              <m:num>
                <m:r>
                  <w:rPr>
                    <w:rFonts w:ascii="Cambria Math" w:hAnsi="Cambria Math" w:cs="Arial"/>
                  </w:rPr>
                  <m:t>£3.0</m:t>
                </m:r>
                <m:r>
                  <m:rPr>
                    <m:nor/>
                  </m:rPr>
                  <w:rPr>
                    <w:rFonts w:ascii="Arial" w:hAnsi="Arial" w:cs="Arial"/>
                  </w:rPr>
                  <m:t>m</m:t>
                </m:r>
              </m:num>
              <m:den>
                <m:r>
                  <w:rPr>
                    <w:rFonts w:ascii="Cambria Math" w:hAnsi="Cambria Math" w:cs="Arial"/>
                  </w:rPr>
                  <m:t>£25</m:t>
                </m:r>
                <m:r>
                  <m:rPr>
                    <m:nor/>
                  </m:rPr>
                  <w:rPr>
                    <w:rFonts w:ascii="Arial" w:hAnsi="Arial" w:cs="Arial"/>
                  </w:rPr>
                  <m:t>m</m:t>
                </m:r>
              </m:den>
            </m:f>
          </m:e>
        </m:d>
        <m:r>
          <w:rPr>
            <w:rFonts w:ascii="Cambria Math" w:hAnsi="Cambria Math" w:cs="Arial"/>
          </w:rPr>
          <m:t>×100%=12.00%</m:t>
        </m:r>
      </m:oMath>
    </w:p>
    <w:p w:rsidR="009D3F1C" w:rsidRPr="00182D6D" w:rsidRDefault="009D3F1C" w:rsidP="009D3F1C">
      <w:pPr>
        <w:numPr>
          <w:ilvl w:val="0"/>
          <w:numId w:val="13"/>
        </w:numPr>
        <w:spacing w:line="360" w:lineRule="auto"/>
        <w:rPr>
          <w:rFonts w:ascii="Arial" w:hAnsi="Arial" w:cs="Arial"/>
        </w:rPr>
      </w:pPr>
      <m:oMath>
        <m:r>
          <m:rPr>
            <m:nor/>
          </m:rPr>
          <w:rPr>
            <w:rFonts w:ascii="Arial" w:hAnsi="Arial" w:cs="Arial"/>
          </w:rPr>
          <m:t>NPV</m:t>
        </m:r>
        <m:r>
          <w:rPr>
            <w:rFonts w:ascii="Cambria Math" w:hAnsi="Cambria Math" w:cs="Arial"/>
          </w:rPr>
          <m:t>=£50,856,500-£50,000,000=+£856,500</m:t>
        </m:r>
      </m:oMath>
    </w:p>
    <w:p w:rsidR="009D3F1C" w:rsidRPr="00182D6D" w:rsidRDefault="009D3F1C" w:rsidP="009D3F1C">
      <w:pPr>
        <w:numPr>
          <w:ilvl w:val="0"/>
          <w:numId w:val="13"/>
        </w:numPr>
        <w:spacing w:line="360" w:lineRule="auto"/>
        <w:rPr>
          <w:rFonts w:ascii="Arial" w:hAnsi="Arial" w:cs="Arial"/>
        </w:rPr>
      </w:pPr>
      <m:oMath>
        <m:r>
          <m:rPr>
            <m:nor/>
          </m:rPr>
          <w:rPr>
            <w:rFonts w:ascii="Arial" w:hAnsi="Arial" w:cs="Arial"/>
          </w:rPr>
          <m:t>PI</m:t>
        </m:r>
        <m:r>
          <w:rPr>
            <w:rFonts w:ascii="Cambria Math" w:hAnsi="Cambria Math" w:cs="Arial"/>
          </w:rPr>
          <m:t>=</m:t>
        </m:r>
        <m:f>
          <m:fPr>
            <m:ctrlPr>
              <w:rPr>
                <w:rFonts w:ascii="Cambria Math" w:hAnsi="Cambria Math" w:cs="Arial"/>
              </w:rPr>
            </m:ctrlPr>
          </m:fPr>
          <m:num>
            <m:r>
              <w:rPr>
                <w:rFonts w:ascii="Cambria Math" w:hAnsi="Cambria Math" w:cs="Arial"/>
              </w:rPr>
              <m:t>£50,856,500</m:t>
            </m:r>
          </m:num>
          <m:den>
            <m:r>
              <w:rPr>
                <w:rFonts w:ascii="Cambria Math" w:hAnsi="Cambria Math" w:cs="Arial"/>
              </w:rPr>
              <m:t>£50,000,000</m:t>
            </m:r>
          </m:den>
        </m:f>
        <m:r>
          <w:rPr>
            <w:rFonts w:ascii="Cambria Math" w:hAnsi="Cambria Math" w:cs="Arial"/>
          </w:rPr>
          <m:t>=1.017</m:t>
        </m:r>
      </m:oMath>
    </w:p>
    <w:p w:rsidR="009D3F1C" w:rsidRPr="00182D6D" w:rsidRDefault="009D3F1C" w:rsidP="009D3F1C">
      <w:pPr>
        <w:numPr>
          <w:ilvl w:val="0"/>
          <w:numId w:val="13"/>
        </w:numPr>
        <w:spacing w:line="360" w:lineRule="auto"/>
        <w:rPr>
          <w:rFonts w:ascii="Arial" w:hAnsi="Arial" w:cs="Arial"/>
        </w:rPr>
      </w:pPr>
      <m:oMath>
        <m:r>
          <m:rPr>
            <m:nor/>
          </m:rPr>
          <w:rPr>
            <w:rFonts w:ascii="Arial" w:hAnsi="Arial" w:cs="Arial"/>
          </w:rPr>
          <m:t>IRR</m:t>
        </m:r>
        <m:r>
          <w:rPr>
            <w:rFonts w:ascii="Cambria Math" w:hAnsi="Cambria Math" w:cs="Arial"/>
          </w:rPr>
          <m:t>=8.61%</m:t>
        </m:r>
      </m:oMath>
    </w:p>
    <w:p w:rsidR="009D3F1C" w:rsidRPr="00182D6D" w:rsidRDefault="009D3F1C" w:rsidP="009D3F1C">
      <w:pPr>
        <w:pStyle w:val="Heading2"/>
        <w:rPr>
          <w:rFonts w:ascii="Arial" w:hAnsi="Arial" w:cs="Arial"/>
        </w:rPr>
      </w:pPr>
      <w:bookmarkStart w:id="23" w:name="_Toc235783840"/>
      <w:r w:rsidRPr="00182D6D">
        <w:rPr>
          <w:rFonts w:ascii="Arial" w:hAnsi="Arial" w:cs="Arial"/>
        </w:rPr>
        <w:t>5.3 Comparative Capital Budgeting Summary</w:t>
      </w:r>
      <w:bookmarkEnd w:id="23"/>
      <w:r w:rsidRPr="00182D6D">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 xml:space="preserve">Table 8 compiles the financial performance metrics for the three investments and serves as the basis for the executive evaluation. </w:t>
      </w:r>
    </w:p>
    <w:p w:rsidR="009D3F1C" w:rsidRPr="00182D6D" w:rsidRDefault="009D3F1C" w:rsidP="009D3F1C">
      <w:pPr>
        <w:pStyle w:val="Caption"/>
        <w:keepNext/>
        <w:spacing w:line="360" w:lineRule="auto"/>
        <w:rPr>
          <w:rFonts w:ascii="Arial" w:hAnsi="Arial" w:cs="Arial"/>
          <w:szCs w:val="24"/>
        </w:rPr>
      </w:pPr>
      <w:r w:rsidRPr="00182D6D">
        <w:rPr>
          <w:rFonts w:ascii="Arial" w:hAnsi="Arial" w:cs="Arial"/>
          <w:szCs w:val="24"/>
        </w:rPr>
        <w:t xml:space="preserve">Table </w:t>
      </w:r>
      <w:r w:rsidRPr="00182D6D">
        <w:rPr>
          <w:rFonts w:ascii="Arial" w:hAnsi="Arial" w:cs="Arial"/>
          <w:szCs w:val="24"/>
        </w:rPr>
        <w:fldChar w:fldCharType="begin"/>
      </w:r>
      <w:r w:rsidRPr="00182D6D">
        <w:rPr>
          <w:rFonts w:ascii="Arial" w:hAnsi="Arial" w:cs="Arial"/>
          <w:szCs w:val="24"/>
        </w:rPr>
        <w:instrText xml:space="preserve"> SEQ Table \* ARABIC </w:instrText>
      </w:r>
      <w:r w:rsidRPr="00182D6D">
        <w:rPr>
          <w:rFonts w:ascii="Arial" w:hAnsi="Arial" w:cs="Arial"/>
          <w:szCs w:val="24"/>
        </w:rPr>
        <w:fldChar w:fldCharType="separate"/>
      </w:r>
      <w:r w:rsidRPr="00182D6D">
        <w:rPr>
          <w:rFonts w:ascii="Arial" w:hAnsi="Arial" w:cs="Arial"/>
          <w:noProof/>
          <w:szCs w:val="24"/>
        </w:rPr>
        <w:t>8</w:t>
      </w:r>
      <w:r w:rsidRPr="00182D6D">
        <w:rPr>
          <w:rFonts w:ascii="Arial" w:hAnsi="Arial" w:cs="Arial"/>
          <w:szCs w:val="24"/>
        </w:rPr>
        <w:fldChar w:fldCharType="end"/>
      </w:r>
      <w:r w:rsidRPr="00182D6D">
        <w:rPr>
          <w:rFonts w:ascii="Arial" w:hAnsi="Arial" w:cs="Arial"/>
          <w:szCs w:val="24"/>
        </w:rPr>
        <w:t>: Investment Appraisal Summary Matrix</w:t>
      </w:r>
    </w:p>
    <w:tbl>
      <w:tblPr>
        <w:tblStyle w:val="TableGrid"/>
        <w:tblW w:w="0" w:type="auto"/>
        <w:tblLook w:val="04A0" w:firstRow="1" w:lastRow="0" w:firstColumn="1" w:lastColumn="0" w:noHBand="0" w:noVBand="1"/>
      </w:tblPr>
      <w:tblGrid>
        <w:gridCol w:w="1719"/>
        <w:gridCol w:w="1578"/>
        <w:gridCol w:w="1578"/>
        <w:gridCol w:w="1551"/>
        <w:gridCol w:w="2590"/>
      </w:tblGrid>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Capital Budgeting Criteria</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Project A</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Project B</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Project C</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Management Hurdle / Decision Rule</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Initial Outlay (£)</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£50,000,000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£50,000,000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£50,000,000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Maximum Corporate Allocation Budget</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Payback Period (PBP)</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4.50 Years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4.55 Years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3.60 Years</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Shorter period preferred (Liquidity risk mitigation)</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lastRenderedPageBreak/>
              <w:t>Accounting Rate of Return (ARR)</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3.20%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4.00%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12.00%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Must exceed structural baseline target of 5%</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Net Present Value (NPV)</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(£6,545,400)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(£6,081,400)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+£856,500</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 xml:space="preserve">Accept only if </w:t>
            </w:r>
            <m:oMath>
              <m:r>
                <m:rPr>
                  <m:nor/>
                </m:rPr>
                <w:rPr>
                  <w:rFonts w:ascii="Arial" w:hAnsi="Arial" w:cs="Arial"/>
                </w:rPr>
                <m:t>NPV</m:t>
              </m:r>
              <m:r>
                <w:rPr>
                  <w:rFonts w:ascii="Cambria Math" w:hAnsi="Cambria Math" w:cs="Arial"/>
                </w:rPr>
                <m:t>&gt;0</m:t>
              </m:r>
            </m:oMath>
            <w:r w:rsidRPr="00182D6D">
              <w:rPr>
                <w:rFonts w:ascii="Arial" w:hAnsi="Arial" w:cs="Arial"/>
              </w:rPr>
              <w:t xml:space="preserve"> (Value creation)</w:t>
            </w:r>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Profitability Index (PI)</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0.869</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0.878</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1.017</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 xml:space="preserve">Accept only if </w:t>
            </w:r>
            <m:oMath>
              <m:r>
                <m:rPr>
                  <m:nor/>
                </m:rPr>
                <w:rPr>
                  <w:rFonts w:ascii="Arial" w:hAnsi="Arial" w:cs="Arial"/>
                </w:rPr>
                <m:t>PI</m:t>
              </m:r>
              <m:r>
                <w:rPr>
                  <w:rFonts w:ascii="Cambria Math" w:hAnsi="Cambria Math" w:cs="Arial"/>
                </w:rPr>
                <m:t>&gt;1.00</m:t>
              </m:r>
            </m:oMath>
          </w:p>
        </w:tc>
      </w:tr>
      <w:tr w:rsidR="009D3F1C" w:rsidRPr="00182D6D" w:rsidTr="00C94E9F">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Internal Rate of Return (IRR)</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2.41%</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2.92%</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b/>
                <w:bCs/>
              </w:rPr>
              <w:t>8.61%</w:t>
            </w:r>
          </w:p>
        </w:tc>
        <w:tc>
          <w:tcPr>
            <w:tcW w:w="0" w:type="auto"/>
            <w:hideMark/>
          </w:tcPr>
          <w:p w:rsidR="009D3F1C" w:rsidRPr="00182D6D" w:rsidRDefault="009D3F1C" w:rsidP="00C94E9F">
            <w:pPr>
              <w:spacing w:after="160" w:line="360" w:lineRule="auto"/>
              <w:rPr>
                <w:rFonts w:ascii="Arial" w:hAnsi="Arial" w:cs="Arial"/>
              </w:rPr>
            </w:pPr>
            <w:r w:rsidRPr="00182D6D">
              <w:rPr>
                <w:rFonts w:ascii="Arial" w:hAnsi="Arial" w:cs="Arial"/>
              </w:rPr>
              <w:t xml:space="preserve">Accept only if </w:t>
            </w:r>
            <m:oMath>
              <m:r>
                <m:rPr>
                  <m:nor/>
                </m:rPr>
                <w:rPr>
                  <w:rFonts w:ascii="Arial" w:hAnsi="Arial" w:cs="Arial"/>
                </w:rPr>
                <m:t>IRR</m:t>
              </m:r>
              <m:r>
                <w:rPr>
                  <w:rFonts w:ascii="Cambria Math" w:hAnsi="Cambria Math" w:cs="Arial"/>
                </w:rPr>
                <m:t>&gt;</m:t>
              </m:r>
              <m:r>
                <m:rPr>
                  <m:nor/>
                </m:rPr>
                <w:rPr>
                  <w:rFonts w:ascii="Arial" w:hAnsi="Arial" w:cs="Arial"/>
                </w:rPr>
                <m:t>Cost of Capital (8%)</m:t>
              </m:r>
            </m:oMath>
          </w:p>
        </w:tc>
      </w:tr>
    </w:tbl>
    <w:p w:rsidR="009D3F1C" w:rsidRPr="00182D6D" w:rsidRDefault="009D3F1C" w:rsidP="009D3F1C">
      <w:pPr>
        <w:spacing w:line="360" w:lineRule="auto"/>
        <w:rPr>
          <w:rFonts w:ascii="Arial" w:hAnsi="Arial" w:cs="Arial"/>
        </w:rPr>
      </w:pPr>
    </w:p>
    <w:p w:rsidR="009D3F1C" w:rsidRPr="00182D6D" w:rsidRDefault="009D3F1C" w:rsidP="009D3F1C">
      <w:pPr>
        <w:pStyle w:val="Heading2"/>
        <w:rPr>
          <w:rFonts w:ascii="Arial" w:hAnsi="Arial" w:cs="Arial"/>
        </w:rPr>
      </w:pPr>
      <w:bookmarkStart w:id="24" w:name="_Toc235783841"/>
      <w:r w:rsidRPr="00182D6D">
        <w:rPr>
          <w:rFonts w:ascii="Arial" w:hAnsi="Arial" w:cs="Arial"/>
        </w:rPr>
        <w:t>5.4 Strategic Project Justification and Risk Analysis</w:t>
      </w:r>
      <w:bookmarkEnd w:id="24"/>
      <w:r w:rsidRPr="00182D6D">
        <w:rPr>
          <w:rFonts w:ascii="Arial" w:hAnsi="Arial" w:cs="Arial"/>
        </w:rPr>
        <w:t xml:space="preserve"> </w:t>
      </w:r>
    </w:p>
    <w:p w:rsidR="009D3F1C" w:rsidRPr="00182D6D" w:rsidRDefault="009D3F1C" w:rsidP="009D3F1C">
      <w:pPr>
        <w:spacing w:line="360" w:lineRule="auto"/>
        <w:rPr>
          <w:rFonts w:ascii="Arial" w:hAnsi="Arial" w:cs="Arial"/>
          <w:b/>
          <w:bCs/>
          <w:i/>
          <w:iCs/>
        </w:rPr>
      </w:pPr>
      <w:r w:rsidRPr="00182D6D">
        <w:rPr>
          <w:rFonts w:ascii="Arial" w:hAnsi="Arial" w:cs="Arial"/>
          <w:b/>
          <w:bCs/>
          <w:i/>
          <w:iCs/>
        </w:rPr>
        <w:t>Financial performance alignment</w:t>
      </w:r>
    </w:p>
    <w:p w:rsidR="009D3F1C" w:rsidRPr="00182D6D" w:rsidRDefault="009D3F1C" w:rsidP="009D3F1C">
      <w:pPr>
        <w:spacing w:line="360" w:lineRule="auto"/>
        <w:rPr>
          <w:rFonts w:ascii="Arial" w:hAnsi="Arial" w:cs="Arial"/>
        </w:rPr>
      </w:pPr>
      <w:r w:rsidRPr="00182D6D">
        <w:rPr>
          <w:rFonts w:ascii="Arial" w:hAnsi="Arial" w:cs="Arial"/>
        </w:rPr>
        <w:t xml:space="preserve">From the financial viewpoint, Project C is the only viable investment that can be made by the company. Under the standard capital budgeting rules, Projects A and B are value-destructive, posting negative NPVs of -£6,545,400 and -£6,081,400 respectively and yielding IRRs below Marriott’s 8% cost of capital. </w:t>
      </w:r>
    </w:p>
    <w:p w:rsidR="009D3F1C" w:rsidRPr="00182D6D" w:rsidRDefault="009D3F1C" w:rsidP="009D3F1C">
      <w:pPr>
        <w:spacing w:line="360" w:lineRule="auto"/>
        <w:rPr>
          <w:rFonts w:ascii="Arial" w:hAnsi="Arial" w:cs="Arial"/>
        </w:rPr>
      </w:pPr>
      <w:r w:rsidRPr="00182D6D">
        <w:rPr>
          <w:rFonts w:ascii="Arial" w:hAnsi="Arial" w:cs="Arial"/>
        </w:rPr>
        <w:t xml:space="preserve">Project C aligns effectively with the financial position of Marriott: </w:t>
      </w:r>
    </w:p>
    <w:p w:rsidR="009D3F1C" w:rsidRPr="00182D6D" w:rsidRDefault="009D3F1C" w:rsidP="009D3F1C">
      <w:pPr>
        <w:pStyle w:val="ListParagraph"/>
        <w:numPr>
          <w:ilvl w:val="0"/>
          <w:numId w:val="9"/>
        </w:numPr>
        <w:spacing w:line="360" w:lineRule="auto"/>
        <w:rPr>
          <w:rFonts w:ascii="Arial" w:hAnsi="Arial" w:cs="Arial"/>
        </w:rPr>
      </w:pPr>
      <w:r w:rsidRPr="00182D6D">
        <w:rPr>
          <w:rFonts w:ascii="Arial" w:hAnsi="Arial" w:cs="Arial"/>
        </w:rPr>
        <w:t xml:space="preserve">Value creation: Project C develops an additional £856,5000 in discounted present value, assisting the core mandate of expanding shareholder wealth of Marriott. </w:t>
      </w:r>
    </w:p>
    <w:p w:rsidR="009D3F1C" w:rsidRPr="00182D6D" w:rsidRDefault="009D3F1C" w:rsidP="009D3F1C">
      <w:pPr>
        <w:pStyle w:val="ListParagraph"/>
        <w:numPr>
          <w:ilvl w:val="0"/>
          <w:numId w:val="9"/>
        </w:numPr>
        <w:spacing w:line="360" w:lineRule="auto"/>
        <w:rPr>
          <w:rFonts w:ascii="Arial" w:hAnsi="Arial" w:cs="Arial"/>
        </w:rPr>
      </w:pPr>
      <w:r w:rsidRPr="00182D6D">
        <w:rPr>
          <w:rFonts w:ascii="Arial" w:hAnsi="Arial" w:cs="Arial"/>
        </w:rPr>
        <w:t xml:space="preserve">Liquidity optimisation: Project C features a short Payback Period of 3.60 years, accelerating cash recovery. This fast cash turnaround helps navigate the risks associated with the aggressive operational current ratio (0.43x) of the company. </w:t>
      </w:r>
    </w:p>
    <w:p w:rsidR="009D3F1C" w:rsidRPr="00182D6D" w:rsidRDefault="009D3F1C" w:rsidP="009D3F1C">
      <w:pPr>
        <w:pStyle w:val="ListParagraph"/>
        <w:numPr>
          <w:ilvl w:val="0"/>
          <w:numId w:val="9"/>
        </w:numPr>
        <w:spacing w:line="360" w:lineRule="auto"/>
        <w:rPr>
          <w:rFonts w:ascii="Arial" w:hAnsi="Arial" w:cs="Arial"/>
        </w:rPr>
      </w:pPr>
      <w:r w:rsidRPr="00182D6D">
        <w:rPr>
          <w:rFonts w:ascii="Arial" w:hAnsi="Arial" w:cs="Arial"/>
        </w:rPr>
        <w:t xml:space="preserve">Profitability Boost: The asset achieves an ARR of 12.00%, outperforming Projects A and B. This performance assists Marriott's return on assets (ROA) targets by maximising the net fee conversions relative to capital deployed. </w:t>
      </w:r>
    </w:p>
    <w:p w:rsidR="009D3F1C" w:rsidRPr="00182D6D" w:rsidRDefault="009D3F1C" w:rsidP="009D3F1C">
      <w:pPr>
        <w:keepNext/>
        <w:spacing w:line="360" w:lineRule="auto"/>
        <w:rPr>
          <w:rFonts w:ascii="Arial" w:hAnsi="Arial" w:cs="Arial"/>
        </w:rPr>
      </w:pPr>
      <w:r w:rsidRPr="00182D6D">
        <w:rPr>
          <w:rFonts w:ascii="Arial" w:hAnsi="Arial" w:cs="Arial"/>
          <w:noProof/>
          <w:lang w:val="en-US"/>
        </w:rPr>
        <w:lastRenderedPageBreak/>
        <w:drawing>
          <wp:inline distT="0" distB="0" distL="0" distR="0" wp14:anchorId="3A575CBB" wp14:editId="448D38BE">
            <wp:extent cx="5380186" cy="3909399"/>
            <wp:effectExtent l="0" t="0" r="0" b="0"/>
            <wp:docPr id="237917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917778" name=""/>
                    <pic:cNvPicPr/>
                  </pic:nvPicPr>
                  <pic:blipFill>
                    <a:blip r:embed="rId13"/>
                    <a:stretch>
                      <a:fillRect/>
                    </a:stretch>
                  </pic:blipFill>
                  <pic:spPr>
                    <a:xfrm>
                      <a:off x="0" y="0"/>
                      <a:ext cx="5380186" cy="3909399"/>
                    </a:xfrm>
                    <a:prstGeom prst="rect">
                      <a:avLst/>
                    </a:prstGeom>
                  </pic:spPr>
                </pic:pic>
              </a:graphicData>
            </a:graphic>
          </wp:inline>
        </w:drawing>
      </w:r>
    </w:p>
    <w:p w:rsidR="009D3F1C" w:rsidRPr="00182D6D" w:rsidRDefault="009D3F1C" w:rsidP="009D3F1C">
      <w:pPr>
        <w:pStyle w:val="Caption"/>
        <w:rPr>
          <w:rFonts w:ascii="Arial" w:hAnsi="Arial" w:cs="Arial"/>
        </w:rPr>
      </w:pPr>
      <w:r w:rsidRPr="00182D6D">
        <w:rPr>
          <w:rFonts w:ascii="Arial" w:hAnsi="Arial" w:cs="Arial"/>
        </w:rPr>
        <w:t xml:space="preserve">Figure </w:t>
      </w:r>
      <w:r w:rsidRPr="00182D6D">
        <w:rPr>
          <w:rFonts w:ascii="Arial" w:hAnsi="Arial" w:cs="Arial"/>
        </w:rPr>
        <w:fldChar w:fldCharType="begin"/>
      </w:r>
      <w:r w:rsidRPr="00182D6D">
        <w:rPr>
          <w:rFonts w:ascii="Arial" w:hAnsi="Arial" w:cs="Arial"/>
        </w:rPr>
        <w:instrText xml:space="preserve"> SEQ Figure \* ARABIC </w:instrText>
      </w:r>
      <w:r w:rsidRPr="00182D6D">
        <w:rPr>
          <w:rFonts w:ascii="Arial" w:hAnsi="Arial" w:cs="Arial"/>
        </w:rPr>
        <w:fldChar w:fldCharType="separate"/>
      </w:r>
      <w:r w:rsidRPr="00182D6D">
        <w:rPr>
          <w:rFonts w:ascii="Arial" w:hAnsi="Arial" w:cs="Arial"/>
          <w:noProof/>
        </w:rPr>
        <w:t>8</w:t>
      </w:r>
      <w:r w:rsidRPr="00182D6D">
        <w:rPr>
          <w:rFonts w:ascii="Arial" w:hAnsi="Arial" w:cs="Arial"/>
        </w:rPr>
        <w:fldChar w:fldCharType="end"/>
      </w:r>
      <w:r w:rsidRPr="00182D6D">
        <w:rPr>
          <w:rFonts w:ascii="Arial" w:hAnsi="Arial" w:cs="Arial"/>
        </w:rPr>
        <w:t>: Return on Assets</w:t>
      </w:r>
    </w:p>
    <w:p w:rsidR="009D3F1C" w:rsidRPr="00182D6D" w:rsidRDefault="009D3F1C" w:rsidP="009D3F1C">
      <w:pPr>
        <w:rPr>
          <w:rFonts w:ascii="Arial" w:hAnsi="Arial" w:cs="Arial"/>
        </w:rPr>
      </w:pPr>
      <w:r w:rsidRPr="00182D6D">
        <w:rPr>
          <w:rFonts w:ascii="Arial" w:hAnsi="Arial" w:cs="Arial"/>
        </w:rPr>
        <w:t>(Source: Macrotrends, 2026)</w:t>
      </w:r>
    </w:p>
    <w:p w:rsidR="009D3F1C" w:rsidRPr="00182D6D" w:rsidRDefault="009D3F1C" w:rsidP="009D3F1C">
      <w:pPr>
        <w:spacing w:line="360" w:lineRule="auto"/>
        <w:rPr>
          <w:rFonts w:ascii="Arial" w:hAnsi="Arial" w:cs="Arial"/>
          <w:b/>
          <w:bCs/>
          <w:i/>
          <w:iCs/>
        </w:rPr>
      </w:pPr>
      <w:r w:rsidRPr="00182D6D">
        <w:rPr>
          <w:rFonts w:ascii="Arial" w:hAnsi="Arial" w:cs="Arial"/>
          <w:b/>
          <w:bCs/>
          <w:i/>
          <w:iCs/>
        </w:rPr>
        <w:t xml:space="preserve">Non-financial risk integration </w:t>
      </w:r>
    </w:p>
    <w:p w:rsidR="009D3F1C" w:rsidRPr="00182D6D" w:rsidRDefault="009D3F1C" w:rsidP="009D3F1C">
      <w:pPr>
        <w:spacing w:line="360" w:lineRule="auto"/>
        <w:rPr>
          <w:rFonts w:ascii="Arial" w:hAnsi="Arial" w:cs="Arial"/>
        </w:rPr>
      </w:pPr>
      <w:r w:rsidRPr="00182D6D">
        <w:rPr>
          <w:rFonts w:ascii="Arial" w:hAnsi="Arial" w:cs="Arial"/>
        </w:rPr>
        <w:t xml:space="preserve">Beyond the financial metrics, the choice of Project C is supported by the chief operational considerations: </w:t>
      </w:r>
    </w:p>
    <w:p w:rsidR="009D3F1C" w:rsidRPr="00182D6D" w:rsidRDefault="009D3F1C" w:rsidP="009D3F1C">
      <w:pPr>
        <w:pStyle w:val="ListParagraph"/>
        <w:numPr>
          <w:ilvl w:val="0"/>
          <w:numId w:val="14"/>
        </w:numPr>
        <w:spacing w:line="360" w:lineRule="auto"/>
        <w:rPr>
          <w:rFonts w:ascii="Arial" w:hAnsi="Arial" w:cs="Arial"/>
        </w:rPr>
      </w:pPr>
      <w:r w:rsidRPr="00182D6D">
        <w:rPr>
          <w:rFonts w:ascii="Arial" w:hAnsi="Arial" w:cs="Arial"/>
        </w:rPr>
        <w:t xml:space="preserve">Geopolitical risk mitigation: The deferred return profile offers Marriott the time required to establish localised risk mitigation strategies, such as operational joint ventures and insurance coverage for political risk. This approach helps insulate the capital from sudden regulatory shifts or the regional economic adjustments of the company. </w:t>
      </w:r>
    </w:p>
    <w:p w:rsidR="009D3F1C" w:rsidRPr="00182D6D" w:rsidRDefault="009D3F1C" w:rsidP="009D3F1C">
      <w:pPr>
        <w:pStyle w:val="ListParagraph"/>
        <w:numPr>
          <w:ilvl w:val="0"/>
          <w:numId w:val="14"/>
        </w:numPr>
        <w:spacing w:line="360" w:lineRule="auto"/>
        <w:rPr>
          <w:rFonts w:ascii="Arial" w:hAnsi="Arial" w:cs="Arial"/>
        </w:rPr>
      </w:pPr>
      <w:r w:rsidRPr="00182D6D">
        <w:rPr>
          <w:rFonts w:ascii="Arial" w:hAnsi="Arial" w:cs="Arial"/>
        </w:rPr>
        <w:t xml:space="preserve">Customer loyalty integration: Project C’s back-loaded cash flow structure (£20m in Year 3 and £25m in Year 4) fits the typical growth timeline of hotel stay footprint expansions. By using the sprawling Marriott Bonvoy network, management can capture travellers at the beginning of their journey through direct booking applications, ensuring high occupancy rates, maximised lifetime value from the guest hospitality services as the new properties mature and predictable room-stay pipelines. </w:t>
      </w:r>
    </w:p>
    <w:p w:rsidR="009D3F1C" w:rsidRPr="00182D6D" w:rsidRDefault="009D3F1C" w:rsidP="009D3F1C">
      <w:pPr>
        <w:pStyle w:val="Heading2"/>
        <w:rPr>
          <w:rFonts w:ascii="Arial" w:hAnsi="Arial" w:cs="Arial"/>
        </w:rPr>
      </w:pPr>
      <w:bookmarkStart w:id="25" w:name="_Toc235783842"/>
      <w:r w:rsidRPr="00182D6D">
        <w:rPr>
          <w:rFonts w:ascii="Arial" w:hAnsi="Arial" w:cs="Arial"/>
        </w:rPr>
        <w:lastRenderedPageBreak/>
        <w:t>5.5 Capital rationing and optimisation analysis</w:t>
      </w:r>
      <w:bookmarkEnd w:id="25"/>
    </w:p>
    <w:p w:rsidR="009D3F1C" w:rsidRPr="00182D6D" w:rsidRDefault="009D3F1C" w:rsidP="009D3F1C">
      <w:pPr>
        <w:spacing w:line="360" w:lineRule="auto"/>
        <w:rPr>
          <w:rFonts w:ascii="Arial" w:hAnsi="Arial" w:cs="Arial"/>
        </w:rPr>
      </w:pPr>
      <w:r w:rsidRPr="00182D6D">
        <w:rPr>
          <w:rFonts w:ascii="Arial" w:hAnsi="Arial" w:cs="Arial"/>
        </w:rPr>
        <w:t>Under the capital rationing barriers, a company must choose the combination of the projects that improve total net present value within the fixed investment budget. For Marriott, the maximum capital allocation budget is capped at £100 million.</w:t>
      </w:r>
    </w:p>
    <w:p w:rsidR="009D3F1C" w:rsidRPr="00182D6D" w:rsidRDefault="009D3F1C" w:rsidP="009D3F1C">
      <w:pPr>
        <w:spacing w:line="360" w:lineRule="auto"/>
        <w:rPr>
          <w:rFonts w:ascii="Arial" w:hAnsi="Arial" w:cs="Arial"/>
        </w:rPr>
      </w:pPr>
      <w:r w:rsidRPr="00182D6D">
        <w:rPr>
          <w:rFonts w:ascii="Arial" w:hAnsi="Arial" w:cs="Arial"/>
        </w:rPr>
        <w:t xml:space="preserve">Since Projects A, B and C each need an initial investment of £50 million, the management can afford to fund the maximum of two projects simultaneously: </w:t>
      </w:r>
    </w:p>
    <w:p w:rsidR="009D3F1C" w:rsidRPr="00182D6D" w:rsidRDefault="009D3F1C" w:rsidP="009D3F1C">
      <w:pPr>
        <w:spacing w:line="360" w:lineRule="auto"/>
        <w:rPr>
          <w:rFonts w:ascii="Arial" w:eastAsiaTheme="minorEastAsia" w:hAnsi="Arial" w:cs="Arial"/>
        </w:rPr>
      </w:pPr>
      <m:oMathPara>
        <m:oMath>
          <m:r>
            <m:rPr>
              <m:nor/>
            </m:rPr>
            <w:rPr>
              <w:rFonts w:ascii="Arial" w:hAnsi="Arial" w:cs="Arial"/>
            </w:rPr>
            <m:t>Combined Investment</m:t>
          </m:r>
          <m:r>
            <w:rPr>
              <w:rFonts w:ascii="Cambria Math" w:hAnsi="Cambria Math" w:cs="Arial"/>
            </w:rPr>
            <m:t>=</m:t>
          </m:r>
          <m:sSub>
            <m:sSubPr>
              <m:ctrlPr>
                <w:rPr>
                  <w:rFonts w:ascii="Cambria Math" w:hAnsi="Cambria Math" w:cs="Arial"/>
                </w:rPr>
              </m:ctrlPr>
            </m:sSubPr>
            <m:e>
              <m:r>
                <m:rPr>
                  <m:nor/>
                </m:rPr>
                <w:rPr>
                  <w:rFonts w:ascii="Arial" w:hAnsi="Arial" w:cs="Arial"/>
                </w:rPr>
                <m:t>Project Outlay</m:t>
              </m:r>
            </m:e>
            <m:sub>
              <m:r>
                <w:rPr>
                  <w:rFonts w:ascii="Cambria Math" w:hAnsi="Cambria Math" w:cs="Arial"/>
                </w:rPr>
                <m:t>1</m:t>
              </m:r>
            </m:sub>
          </m:sSub>
          <m:r>
            <w:rPr>
              <w:rFonts w:ascii="Cambria Math" w:hAnsi="Cambria Math" w:cs="Arial"/>
            </w:rPr>
            <m:t>+</m:t>
          </m:r>
          <m:sSub>
            <m:sSubPr>
              <m:ctrlPr>
                <w:rPr>
                  <w:rFonts w:ascii="Cambria Math" w:hAnsi="Cambria Math" w:cs="Arial"/>
                </w:rPr>
              </m:ctrlPr>
            </m:sSubPr>
            <m:e>
              <m:r>
                <m:rPr>
                  <m:nor/>
                </m:rPr>
                <w:rPr>
                  <w:rFonts w:ascii="Arial" w:hAnsi="Arial" w:cs="Arial"/>
                </w:rPr>
                <m:t>Project Outlay</m:t>
              </m:r>
            </m:e>
            <m:sub>
              <m:r>
                <w:rPr>
                  <w:rFonts w:ascii="Cambria Math" w:hAnsi="Cambria Math" w:cs="Arial"/>
                </w:rPr>
                <m:t>2</m:t>
              </m:r>
            </m:sub>
          </m:sSub>
          <m:r>
            <w:rPr>
              <w:rFonts w:ascii="Cambria Math" w:hAnsi="Cambria Math" w:cs="Arial"/>
            </w:rPr>
            <m:t>=£50</m:t>
          </m:r>
          <m:r>
            <m:rPr>
              <m:nor/>
            </m:rPr>
            <w:rPr>
              <w:rFonts w:ascii="Arial" w:hAnsi="Arial" w:cs="Arial"/>
            </w:rPr>
            <m:t>m</m:t>
          </m:r>
          <m:r>
            <w:rPr>
              <w:rFonts w:ascii="Cambria Math" w:hAnsi="Cambria Math" w:cs="Arial"/>
            </w:rPr>
            <m:t>+£50</m:t>
          </m:r>
          <m:r>
            <m:rPr>
              <m:nor/>
            </m:rPr>
            <w:rPr>
              <w:rFonts w:ascii="Arial" w:hAnsi="Arial" w:cs="Arial"/>
            </w:rPr>
            <m:t>m</m:t>
          </m:r>
          <m:r>
            <w:rPr>
              <w:rFonts w:ascii="Cambria Math" w:hAnsi="Cambria Math" w:cs="Arial"/>
            </w:rPr>
            <m:t>=£100</m:t>
          </m:r>
          <m:r>
            <m:rPr>
              <m:nor/>
            </m:rPr>
            <w:rPr>
              <w:rFonts w:ascii="Arial" w:hAnsi="Arial" w:cs="Arial"/>
            </w:rPr>
            <m:t>m</m:t>
          </m:r>
        </m:oMath>
      </m:oMathPara>
    </w:p>
    <w:p w:rsidR="009D3F1C" w:rsidRPr="00182D6D" w:rsidRDefault="009D3F1C" w:rsidP="009D3F1C">
      <w:pPr>
        <w:spacing w:line="360" w:lineRule="auto"/>
        <w:rPr>
          <w:rFonts w:ascii="Arial" w:eastAsiaTheme="minorEastAsia" w:hAnsi="Arial" w:cs="Arial"/>
          <w:b/>
          <w:bCs/>
          <w:i/>
          <w:iCs/>
        </w:rPr>
      </w:pPr>
      <w:r w:rsidRPr="00182D6D">
        <w:rPr>
          <w:rFonts w:ascii="Arial" w:eastAsiaTheme="minorEastAsia" w:hAnsi="Arial" w:cs="Arial"/>
          <w:b/>
          <w:bCs/>
          <w:i/>
          <w:iCs/>
        </w:rPr>
        <w:t>Optimization strategy</w:t>
      </w:r>
    </w:p>
    <w:p w:rsidR="009D3F1C" w:rsidRPr="00182D6D" w:rsidRDefault="009D3F1C" w:rsidP="009D3F1C">
      <w:pPr>
        <w:spacing w:line="360" w:lineRule="auto"/>
        <w:rPr>
          <w:rFonts w:ascii="Arial" w:eastAsiaTheme="minorEastAsia" w:hAnsi="Arial" w:cs="Arial"/>
        </w:rPr>
      </w:pPr>
      <w:r w:rsidRPr="00182D6D">
        <w:rPr>
          <w:rFonts w:ascii="Arial" w:eastAsiaTheme="minorEastAsia" w:hAnsi="Arial" w:cs="Arial"/>
        </w:rPr>
        <w:t xml:space="preserve">To determine the best combination, the evaluation of the total value created by each pairing is given below: </w:t>
      </w:r>
    </w:p>
    <w:p w:rsidR="009D3F1C" w:rsidRPr="00182D6D" w:rsidRDefault="009D3F1C" w:rsidP="009D3F1C">
      <w:pPr>
        <w:spacing w:line="360" w:lineRule="auto"/>
        <w:rPr>
          <w:rFonts w:ascii="Arial" w:hAnsi="Arial" w:cs="Arial"/>
        </w:rPr>
      </w:pPr>
      <w:r w:rsidRPr="00182D6D">
        <w:rPr>
          <w:rFonts w:ascii="Arial" w:hAnsi="Arial" w:cs="Arial"/>
        </w:rPr>
        <w:t xml:space="preserve"> </w:t>
      </w:r>
      <w:r w:rsidRPr="00182D6D">
        <w:rPr>
          <w:rFonts w:ascii="Arial" w:hAnsi="Arial" w:cs="Arial"/>
          <w:b/>
          <w:bCs/>
        </w:rPr>
        <w:t>Combination 1 (Project A + Project B):</w:t>
      </w:r>
    </w:p>
    <w:p w:rsidR="009D3F1C" w:rsidRPr="00182D6D" w:rsidRDefault="009D3F1C" w:rsidP="009D3F1C">
      <w:pPr>
        <w:spacing w:line="360" w:lineRule="auto"/>
        <w:rPr>
          <w:rFonts w:ascii="Arial" w:hAnsi="Arial" w:cs="Arial"/>
        </w:rPr>
      </w:pPr>
      <m:oMathPara>
        <m:oMath>
          <m:r>
            <m:rPr>
              <m:nor/>
            </m:rPr>
            <w:rPr>
              <w:rFonts w:ascii="Arial" w:hAnsi="Arial" w:cs="Arial"/>
            </w:rPr>
            <m:t>Total NPV</m:t>
          </m:r>
          <m:r>
            <w:rPr>
              <w:rFonts w:ascii="Cambria Math" w:hAnsi="Cambria Math" w:cs="Arial"/>
            </w:rPr>
            <m:t>=</m:t>
          </m:r>
          <m:d>
            <m:dPr>
              <m:ctrlPr>
                <w:rPr>
                  <w:rFonts w:ascii="Cambria Math" w:hAnsi="Cambria Math" w:cs="Arial"/>
                </w:rPr>
              </m:ctrlPr>
            </m:dPr>
            <m:e>
              <m:r>
                <w:rPr>
                  <w:rFonts w:ascii="Cambria Math" w:hAnsi="Cambria Math" w:cs="Arial"/>
                </w:rPr>
                <m:t>-£6,545,400</m:t>
              </m:r>
            </m:e>
          </m:d>
          <m:r>
            <w:rPr>
              <w:rFonts w:ascii="Cambria Math" w:hAnsi="Cambria Math" w:cs="Arial"/>
            </w:rPr>
            <m:t>+</m:t>
          </m:r>
          <m:d>
            <m:dPr>
              <m:ctrlPr>
                <w:rPr>
                  <w:rFonts w:ascii="Cambria Math" w:hAnsi="Cambria Math" w:cs="Arial"/>
                </w:rPr>
              </m:ctrlPr>
            </m:dPr>
            <m:e>
              <m:r>
                <w:rPr>
                  <w:rFonts w:ascii="Cambria Math" w:hAnsi="Cambria Math" w:cs="Arial"/>
                </w:rPr>
                <m:t>-£6,081,400</m:t>
              </m:r>
            </m:e>
          </m:d>
          <m:r>
            <w:rPr>
              <w:rFonts w:ascii="Cambria Math" w:hAnsi="Cambria Math" w:cs="Arial"/>
            </w:rPr>
            <m:t>=-£12,626,800</m:t>
          </m:r>
        </m:oMath>
      </m:oMathPara>
    </w:p>
    <w:p w:rsidR="009D3F1C" w:rsidRPr="00182D6D" w:rsidRDefault="009D3F1C" w:rsidP="009D3F1C">
      <w:pPr>
        <w:spacing w:line="360" w:lineRule="auto"/>
        <w:rPr>
          <w:rFonts w:ascii="Arial" w:hAnsi="Arial" w:cs="Arial"/>
        </w:rPr>
      </w:pPr>
      <w:r w:rsidRPr="00182D6D">
        <w:rPr>
          <w:rFonts w:ascii="Arial" w:hAnsi="Arial" w:cs="Arial"/>
          <w:b/>
          <w:bCs/>
        </w:rPr>
        <w:t>Combination 2 (Project A + Project C):</w:t>
      </w:r>
    </w:p>
    <w:p w:rsidR="009D3F1C" w:rsidRPr="00182D6D" w:rsidRDefault="009D3F1C" w:rsidP="009D3F1C">
      <w:pPr>
        <w:spacing w:line="360" w:lineRule="auto"/>
        <w:rPr>
          <w:rFonts w:ascii="Arial" w:hAnsi="Arial" w:cs="Arial"/>
        </w:rPr>
      </w:pPr>
      <m:oMathPara>
        <m:oMath>
          <m:r>
            <m:rPr>
              <m:nor/>
            </m:rPr>
            <w:rPr>
              <w:rFonts w:ascii="Arial" w:hAnsi="Arial" w:cs="Arial"/>
            </w:rPr>
            <m:t>Total NPV</m:t>
          </m:r>
          <m:r>
            <w:rPr>
              <w:rFonts w:ascii="Cambria Math" w:hAnsi="Cambria Math" w:cs="Arial"/>
            </w:rPr>
            <m:t>=</m:t>
          </m:r>
          <m:d>
            <m:dPr>
              <m:ctrlPr>
                <w:rPr>
                  <w:rFonts w:ascii="Cambria Math" w:hAnsi="Cambria Math" w:cs="Arial"/>
                </w:rPr>
              </m:ctrlPr>
            </m:dPr>
            <m:e>
              <m:r>
                <w:rPr>
                  <w:rFonts w:ascii="Cambria Math" w:hAnsi="Cambria Math" w:cs="Arial"/>
                </w:rPr>
                <m:t>-£6,545,400</m:t>
              </m:r>
            </m:e>
          </m:d>
          <m:r>
            <w:rPr>
              <w:rFonts w:ascii="Cambria Math" w:hAnsi="Cambria Math" w:cs="Arial"/>
            </w:rPr>
            <m:t>+£856,500=-£5,688,900</m:t>
          </m:r>
        </m:oMath>
      </m:oMathPara>
    </w:p>
    <w:p w:rsidR="009D3F1C" w:rsidRPr="00182D6D" w:rsidRDefault="009D3F1C" w:rsidP="009D3F1C">
      <w:pPr>
        <w:spacing w:line="360" w:lineRule="auto"/>
        <w:rPr>
          <w:rFonts w:ascii="Arial" w:hAnsi="Arial" w:cs="Arial"/>
        </w:rPr>
      </w:pPr>
      <w:r w:rsidRPr="00182D6D">
        <w:rPr>
          <w:rFonts w:ascii="Arial" w:hAnsi="Arial" w:cs="Arial"/>
          <w:b/>
          <w:bCs/>
        </w:rPr>
        <w:t>Combination 3 (Project B + Project C):</w:t>
      </w:r>
    </w:p>
    <w:p w:rsidR="009D3F1C" w:rsidRPr="00182D6D" w:rsidRDefault="009D3F1C" w:rsidP="009D3F1C">
      <w:pPr>
        <w:spacing w:line="360" w:lineRule="auto"/>
        <w:rPr>
          <w:rFonts w:ascii="Arial" w:hAnsi="Arial" w:cs="Arial"/>
        </w:rPr>
      </w:pPr>
      <m:oMathPara>
        <m:oMath>
          <m:r>
            <m:rPr>
              <m:nor/>
            </m:rPr>
            <w:rPr>
              <w:rFonts w:ascii="Arial" w:hAnsi="Arial" w:cs="Arial"/>
            </w:rPr>
            <m:t>Total NPV</m:t>
          </m:r>
          <m:r>
            <w:rPr>
              <w:rFonts w:ascii="Cambria Math" w:hAnsi="Cambria Math" w:cs="Arial"/>
            </w:rPr>
            <m:t>=</m:t>
          </m:r>
          <m:d>
            <m:dPr>
              <m:ctrlPr>
                <w:rPr>
                  <w:rFonts w:ascii="Cambria Math" w:hAnsi="Cambria Math" w:cs="Arial"/>
                </w:rPr>
              </m:ctrlPr>
            </m:dPr>
            <m:e>
              <m:r>
                <w:rPr>
                  <w:rFonts w:ascii="Cambria Math" w:hAnsi="Cambria Math" w:cs="Arial"/>
                </w:rPr>
                <m:t>-£6,081,400</m:t>
              </m:r>
            </m:e>
          </m:d>
          <m:r>
            <w:rPr>
              <w:rFonts w:ascii="Cambria Math" w:hAnsi="Cambria Math" w:cs="Arial"/>
            </w:rPr>
            <m:t>+£856,500=-£5,224,900</m:t>
          </m:r>
        </m:oMath>
      </m:oMathPara>
    </w:p>
    <w:p w:rsidR="009D3F1C" w:rsidRPr="00182D6D" w:rsidRDefault="009D3F1C" w:rsidP="009D3F1C">
      <w:pPr>
        <w:spacing w:line="360" w:lineRule="auto"/>
        <w:rPr>
          <w:rFonts w:ascii="Arial" w:hAnsi="Arial" w:cs="Arial"/>
        </w:rPr>
      </w:pPr>
    </w:p>
    <w:p w:rsidR="009D3F1C" w:rsidRPr="00182D6D" w:rsidRDefault="009D3F1C" w:rsidP="009D3F1C">
      <w:pPr>
        <w:spacing w:line="360" w:lineRule="auto"/>
        <w:rPr>
          <w:rFonts w:ascii="Arial" w:hAnsi="Arial" w:cs="Arial"/>
        </w:rPr>
      </w:pPr>
      <w:r w:rsidRPr="00182D6D">
        <w:rPr>
          <w:rFonts w:ascii="Arial" w:hAnsi="Arial" w:cs="Arial"/>
        </w:rPr>
        <w:t xml:space="preserve">Every two-project combination results in the net destruction of corporate value, as the losses from Projects A and B outweigh the positive returns of Project C. </w:t>
      </w:r>
    </w:p>
    <w:p w:rsidR="009D3F1C" w:rsidRPr="00182D6D" w:rsidRDefault="009D3F1C" w:rsidP="009D3F1C">
      <w:pPr>
        <w:spacing w:line="360" w:lineRule="auto"/>
        <w:rPr>
          <w:rFonts w:ascii="Arial" w:hAnsi="Arial" w:cs="Arial"/>
          <w:b/>
          <w:bCs/>
          <w:i/>
          <w:iCs/>
        </w:rPr>
      </w:pPr>
      <w:r w:rsidRPr="00182D6D">
        <w:rPr>
          <w:rFonts w:ascii="Arial" w:hAnsi="Arial" w:cs="Arial"/>
          <w:b/>
          <w:bCs/>
          <w:i/>
          <w:iCs/>
        </w:rPr>
        <w:t>Strategic CFO Recommendation</w:t>
      </w:r>
    </w:p>
    <w:p w:rsidR="009D3F1C" w:rsidRPr="00182D6D" w:rsidRDefault="009D3F1C" w:rsidP="009D3F1C">
      <w:pPr>
        <w:spacing w:line="360" w:lineRule="auto"/>
        <w:rPr>
          <w:rFonts w:ascii="Arial" w:hAnsi="Arial" w:cs="Arial"/>
        </w:rPr>
      </w:pPr>
      <w:r w:rsidRPr="00182D6D">
        <w:rPr>
          <w:rFonts w:ascii="Arial" w:hAnsi="Arial" w:cs="Arial"/>
        </w:rPr>
        <w:t xml:space="preserve">Hence, under these rationing barriers, the optimal decision is to fund Project C exclusively and leave the remaining £50 million uninvested in these specific proposals. The unused capital should be diverted to the short-term commercial paper market to pay down outstanding floating debt or returned to investors through share buybacks. </w:t>
      </w:r>
    </w:p>
    <w:p w:rsidR="009D3F1C" w:rsidRPr="00182D6D" w:rsidRDefault="009D3F1C" w:rsidP="009D3F1C">
      <w:pPr>
        <w:spacing w:line="360" w:lineRule="auto"/>
        <w:rPr>
          <w:rFonts w:ascii="Arial" w:hAnsi="Arial" w:cs="Arial"/>
        </w:rPr>
      </w:pPr>
      <w:r w:rsidRPr="00182D6D">
        <w:rPr>
          <w:rFonts w:ascii="Arial" w:hAnsi="Arial" w:cs="Arial"/>
        </w:rPr>
        <w:t xml:space="preserve">Forcing the deployment of the remaining budget into the value-destructive assets simply to spend the allocation violates core principles of financial stewardship. It decreases the corporate ROA, decreases the overall interest, and undermines the long-term value of the enterprise. </w:t>
      </w:r>
    </w:p>
    <w:p w:rsidR="009D3F1C" w:rsidRPr="00182D6D" w:rsidRDefault="009D3F1C" w:rsidP="009D3F1C">
      <w:pPr>
        <w:pStyle w:val="Heading1"/>
        <w:rPr>
          <w:rFonts w:ascii="Arial" w:hAnsi="Arial" w:cs="Arial"/>
        </w:rPr>
      </w:pPr>
      <w:bookmarkStart w:id="26" w:name="_Toc235783843"/>
      <w:r w:rsidRPr="00182D6D">
        <w:rPr>
          <w:rFonts w:ascii="Arial" w:hAnsi="Arial" w:cs="Arial"/>
        </w:rPr>
        <w:lastRenderedPageBreak/>
        <w:t>6 Critical Reflection on AI usage</w:t>
      </w:r>
      <w:bookmarkEnd w:id="26"/>
      <w:r w:rsidRPr="00182D6D">
        <w:rPr>
          <w:rFonts w:ascii="Arial" w:hAnsi="Arial" w:cs="Arial"/>
        </w:rPr>
        <w:t xml:space="preserve"> </w:t>
      </w:r>
    </w:p>
    <w:p w:rsidR="009D3F1C" w:rsidRPr="00182D6D" w:rsidRDefault="009D3F1C" w:rsidP="009D3F1C">
      <w:pPr>
        <w:spacing w:line="360" w:lineRule="auto"/>
        <w:rPr>
          <w:rFonts w:ascii="Arial" w:hAnsi="Arial" w:cs="Arial"/>
        </w:rPr>
      </w:pPr>
      <w:r w:rsidRPr="00182D6D">
        <w:rPr>
          <w:rFonts w:ascii="Arial" w:hAnsi="Arial" w:cs="Arial"/>
        </w:rPr>
        <w:t xml:space="preserve">In alignment with the assessment directives and professional standards, this section highlights the critical reflection on the deployment of large language models (LLMs) and automated financial analytical matrices in compiling this executive report. </w:t>
      </w:r>
    </w:p>
    <w:p w:rsidR="009D3F1C" w:rsidRPr="00182D6D" w:rsidRDefault="009D3F1C" w:rsidP="009D3F1C">
      <w:pPr>
        <w:pStyle w:val="Heading2"/>
        <w:rPr>
          <w:rFonts w:ascii="Arial" w:hAnsi="Arial" w:cs="Arial"/>
        </w:rPr>
      </w:pPr>
      <w:bookmarkStart w:id="27" w:name="_Toc235783844"/>
      <w:r w:rsidRPr="00182D6D">
        <w:rPr>
          <w:rFonts w:ascii="Arial" w:hAnsi="Arial" w:cs="Arial"/>
        </w:rPr>
        <w:t>6.1 tool disclosure and task allocation</w:t>
      </w:r>
      <w:bookmarkEnd w:id="27"/>
    </w:p>
    <w:p w:rsidR="009D3F1C" w:rsidRPr="00182D6D" w:rsidRDefault="009D3F1C" w:rsidP="009D3F1C">
      <w:pPr>
        <w:spacing w:line="360" w:lineRule="auto"/>
        <w:rPr>
          <w:rFonts w:ascii="Arial" w:hAnsi="Arial" w:cs="Arial"/>
        </w:rPr>
      </w:pPr>
      <w:r w:rsidRPr="00182D6D">
        <w:rPr>
          <w:rFonts w:ascii="Arial" w:hAnsi="Arial" w:cs="Arial"/>
        </w:rPr>
        <w:t xml:space="preserve">I have used artificial intelligence throughout the initiative stages of this project to assist with the classification of data and mathematical Structuring. Specifically, the advanced LLMs were used to: </w:t>
      </w:r>
    </w:p>
    <w:p w:rsidR="009D3F1C" w:rsidRPr="00182D6D" w:rsidRDefault="009D3F1C" w:rsidP="009D3F1C">
      <w:pPr>
        <w:pStyle w:val="ListParagraph"/>
        <w:numPr>
          <w:ilvl w:val="0"/>
          <w:numId w:val="15"/>
        </w:numPr>
        <w:spacing w:line="360" w:lineRule="auto"/>
        <w:rPr>
          <w:rFonts w:ascii="Arial" w:hAnsi="Arial" w:cs="Arial"/>
        </w:rPr>
      </w:pPr>
      <w:r w:rsidRPr="00182D6D">
        <w:rPr>
          <w:rFonts w:ascii="Arial" w:hAnsi="Arial" w:cs="Arial"/>
        </w:rPr>
        <w:t>Draft the alternative phrasing for the mathematical formulas used in the asset valuation section.</w:t>
      </w:r>
    </w:p>
    <w:p w:rsidR="009D3F1C" w:rsidRPr="00182D6D" w:rsidRDefault="009D3F1C" w:rsidP="009D3F1C">
      <w:pPr>
        <w:pStyle w:val="ListParagraph"/>
        <w:numPr>
          <w:ilvl w:val="0"/>
          <w:numId w:val="15"/>
        </w:numPr>
        <w:spacing w:line="360" w:lineRule="auto"/>
        <w:rPr>
          <w:rFonts w:ascii="Arial" w:hAnsi="Arial" w:cs="Arial"/>
        </w:rPr>
      </w:pPr>
      <w:r w:rsidRPr="00182D6D">
        <w:rPr>
          <w:rFonts w:ascii="Arial" w:hAnsi="Arial" w:cs="Arial"/>
        </w:rPr>
        <w:t>Organise the raw financial inputs from the best closures of Marriott International into the structured markdown tables.</w:t>
      </w:r>
    </w:p>
    <w:p w:rsidR="009D3F1C" w:rsidRPr="00182D6D" w:rsidRDefault="009D3F1C" w:rsidP="009D3F1C">
      <w:pPr>
        <w:pStyle w:val="ListParagraph"/>
        <w:numPr>
          <w:ilvl w:val="0"/>
          <w:numId w:val="15"/>
        </w:numPr>
        <w:spacing w:line="360" w:lineRule="auto"/>
        <w:rPr>
          <w:rFonts w:ascii="Arial" w:hAnsi="Arial" w:cs="Arial"/>
        </w:rPr>
      </w:pPr>
      <w:r w:rsidRPr="00182D6D">
        <w:rPr>
          <w:rFonts w:ascii="Arial" w:hAnsi="Arial" w:cs="Arial"/>
        </w:rPr>
        <w:t>Cross-reference the raw financial line items against the predefined industry benchmark definition.</w:t>
      </w:r>
    </w:p>
    <w:p w:rsidR="009D3F1C" w:rsidRPr="00182D6D" w:rsidRDefault="009D3F1C" w:rsidP="009D3F1C">
      <w:pPr>
        <w:spacing w:line="360" w:lineRule="auto"/>
        <w:rPr>
          <w:rFonts w:ascii="Arial" w:hAnsi="Arial" w:cs="Arial"/>
        </w:rPr>
      </w:pPr>
      <w:r w:rsidRPr="00182D6D">
        <w:rPr>
          <w:rFonts w:ascii="Arial" w:hAnsi="Arial" w:cs="Arial"/>
        </w:rPr>
        <w:t>This usage was strictly aligned with the allowed guidelines outlined in the specification of the assessment, which permits Generative AI for the data analysis, proofreading support and secondary research verification.</w:t>
      </w:r>
    </w:p>
    <w:p w:rsidR="009D3F1C" w:rsidRPr="00182D6D" w:rsidRDefault="009D3F1C" w:rsidP="009D3F1C">
      <w:pPr>
        <w:pStyle w:val="Heading2"/>
        <w:rPr>
          <w:rFonts w:ascii="Arial" w:hAnsi="Arial" w:cs="Arial"/>
        </w:rPr>
      </w:pPr>
      <w:bookmarkStart w:id="28" w:name="_Toc235783845"/>
      <w:r w:rsidRPr="00182D6D">
        <w:rPr>
          <w:rFonts w:ascii="Arial" w:hAnsi="Arial" w:cs="Arial"/>
        </w:rPr>
        <w:t>6.2 Critical evaluation of AI output and error mitigation</w:t>
      </w:r>
      <w:bookmarkEnd w:id="28"/>
    </w:p>
    <w:p w:rsidR="009D3F1C" w:rsidRPr="00182D6D" w:rsidRDefault="009D3F1C" w:rsidP="009D3F1C">
      <w:pPr>
        <w:spacing w:line="360" w:lineRule="auto"/>
        <w:rPr>
          <w:rFonts w:ascii="Arial" w:hAnsi="Arial" w:cs="Arial"/>
        </w:rPr>
      </w:pPr>
      <w:r w:rsidRPr="00182D6D">
        <w:rPr>
          <w:rFonts w:ascii="Arial" w:hAnsi="Arial" w:cs="Arial"/>
        </w:rPr>
        <w:t>Depending critically on the automated output leads to critical academic and operational risks, especially in relation to data hallucinations or logical misinterpretations. To safeguard the technical accuracy of this report, a strong manual verification process was used.</w:t>
      </w:r>
    </w:p>
    <w:p w:rsidR="009D3F1C" w:rsidRPr="00182D6D" w:rsidRDefault="009D3F1C" w:rsidP="009D3F1C">
      <w:pPr>
        <w:spacing w:line="360" w:lineRule="auto"/>
        <w:rPr>
          <w:rFonts w:ascii="Arial" w:hAnsi="Arial" w:cs="Arial"/>
        </w:rPr>
      </w:pPr>
      <w:r w:rsidRPr="00182D6D">
        <w:rPr>
          <w:rFonts w:ascii="Arial" w:hAnsi="Arial" w:cs="Arial"/>
        </w:rPr>
        <w:t xml:space="preserve">During the calculation of the asset appraisal models, initial AI-generated outputs miscalculated the accounting rate of return (ARR) by using the initial capital investment outlay (£50 million) as the denominator, instead of the average investment balance over the asset life (£25 million). This error would have distorted the target hurdle evaluation. </w:t>
      </w:r>
    </w:p>
    <w:p w:rsidR="009D3F1C" w:rsidRPr="00182D6D" w:rsidRDefault="009D3F1C" w:rsidP="009D3F1C">
      <w:pPr>
        <w:pStyle w:val="Heading2"/>
        <w:rPr>
          <w:rFonts w:ascii="Arial" w:hAnsi="Arial" w:cs="Arial"/>
        </w:rPr>
      </w:pPr>
      <w:bookmarkStart w:id="29" w:name="_Toc235783846"/>
      <w:r w:rsidRPr="00182D6D">
        <w:rPr>
          <w:rFonts w:ascii="Arial" w:hAnsi="Arial" w:cs="Arial"/>
        </w:rPr>
        <w:t>6.3 Strategic contribution analysis</w:t>
      </w:r>
      <w:bookmarkEnd w:id="29"/>
    </w:p>
    <w:p w:rsidR="009D3F1C" w:rsidRPr="00182D6D" w:rsidRDefault="009D3F1C" w:rsidP="009D3F1C">
      <w:pPr>
        <w:spacing w:line="360" w:lineRule="auto"/>
        <w:rPr>
          <w:rFonts w:ascii="Arial" w:hAnsi="Arial" w:cs="Arial"/>
        </w:rPr>
      </w:pPr>
      <w:r w:rsidRPr="00182D6D">
        <w:rPr>
          <w:rFonts w:ascii="Arial" w:hAnsi="Arial" w:cs="Arial"/>
        </w:rPr>
        <w:t xml:space="preserve">A clear difference must be maintained between automated formatting assistance and original strategic analysis. </w:t>
      </w:r>
    </w:p>
    <w:p w:rsidR="009D3F1C" w:rsidRPr="00182D6D" w:rsidRDefault="009D3F1C" w:rsidP="009D3F1C">
      <w:pPr>
        <w:pStyle w:val="ListParagraph"/>
        <w:numPr>
          <w:ilvl w:val="0"/>
          <w:numId w:val="16"/>
        </w:numPr>
        <w:spacing w:line="360" w:lineRule="auto"/>
        <w:rPr>
          <w:rFonts w:ascii="Arial" w:hAnsi="Arial" w:cs="Arial"/>
        </w:rPr>
      </w:pPr>
      <w:r w:rsidRPr="00182D6D">
        <w:rPr>
          <w:rFonts w:ascii="Arial" w:hAnsi="Arial" w:cs="Arial"/>
        </w:rPr>
        <w:lastRenderedPageBreak/>
        <w:t xml:space="preserve">AI infrastructure: The A platform gave structural assistance, including the typographic alignment, initial thematic sorting of strengths and threats, and formatting the financial data tables. </w:t>
      </w:r>
    </w:p>
    <w:p w:rsidR="009D3F1C" w:rsidRPr="00182D6D" w:rsidRDefault="009D3F1C" w:rsidP="009D3F1C">
      <w:pPr>
        <w:pStyle w:val="ListParagraph"/>
        <w:numPr>
          <w:ilvl w:val="0"/>
          <w:numId w:val="16"/>
        </w:numPr>
        <w:spacing w:line="360" w:lineRule="auto"/>
        <w:rPr>
          <w:rFonts w:ascii="Arial" w:hAnsi="Arial" w:cs="Arial"/>
        </w:rPr>
      </w:pPr>
      <w:r w:rsidRPr="00182D6D">
        <w:rPr>
          <w:rFonts w:ascii="Arial" w:hAnsi="Arial" w:cs="Arial"/>
        </w:rPr>
        <w:t xml:space="preserve">Original synthesis: The fundamental strategic analysis, including the assessment of the asset-light business model of Marriott, the development of the sale-leaseback corporate restructuring strategy, and the contextual risk analysis involving the Marriott Bonvoy loyalty platform, shows the original critical thinking. The decision under the capital rationing to reject value-destructive project combinations and leave the remaining £50 million budget unallocated was derived entirely through independent financial analysis. </w:t>
      </w:r>
    </w:p>
    <w:p w:rsidR="009D3F1C" w:rsidRPr="00182D6D" w:rsidRDefault="009D3F1C" w:rsidP="009D3F1C">
      <w:pPr>
        <w:pStyle w:val="Heading2"/>
        <w:rPr>
          <w:rFonts w:ascii="Arial" w:hAnsi="Arial" w:cs="Arial"/>
        </w:rPr>
      </w:pPr>
      <w:bookmarkStart w:id="30" w:name="_Toc235783847"/>
      <w:r w:rsidRPr="00182D6D">
        <w:rPr>
          <w:rFonts w:ascii="Arial" w:hAnsi="Arial" w:cs="Arial"/>
        </w:rPr>
        <w:t>6.4 Ethical and professional reflection</w:t>
      </w:r>
      <w:bookmarkEnd w:id="30"/>
    </w:p>
    <w:p w:rsidR="009D3F1C" w:rsidRPr="00182D6D" w:rsidRDefault="009D3F1C" w:rsidP="009D3F1C">
      <w:pPr>
        <w:spacing w:line="360" w:lineRule="auto"/>
        <w:rPr>
          <w:rFonts w:ascii="Arial" w:hAnsi="Arial" w:cs="Arial"/>
        </w:rPr>
      </w:pPr>
      <w:r w:rsidRPr="00182D6D">
        <w:rPr>
          <w:rFonts w:ascii="Arial" w:hAnsi="Arial" w:cs="Arial"/>
        </w:rPr>
        <w:t xml:space="preserve">The incorporation of AI tools into the executive financial leadership introduces vital ethical questions in relation to professional transparency, accountability and data privacy. In the corporate environment, uploading proprietary financial data or unannounced merger proposals to public AI networks can cause serious compliance failures, violating data privacy regulations and insider trading protections. </w:t>
      </w:r>
    </w:p>
    <w:p w:rsidR="009D3F1C" w:rsidRPr="00182D6D" w:rsidRDefault="009D3F1C" w:rsidP="009D3F1C">
      <w:pPr>
        <w:spacing w:line="360" w:lineRule="auto"/>
        <w:rPr>
          <w:rFonts w:ascii="Arial" w:hAnsi="Arial" w:cs="Arial"/>
        </w:rPr>
      </w:pPr>
      <w:r w:rsidRPr="00182D6D">
        <w:rPr>
          <w:rFonts w:ascii="Arial" w:hAnsi="Arial" w:cs="Arial"/>
        </w:rPr>
        <w:t xml:space="preserve">Moreover, over-dependence on automated tools can contribute to executive complacency. While algorithmic platforms process data rapidly, they cannot replicate human judgement or properly account for nuanced external risks such as geopolitical volatility and shifts in consumer loyalty. Ultimately, accountability for strategic financial advice rests with the human executive and needs active oversight and continuous validation of automated tools. </w:t>
      </w:r>
    </w:p>
    <w:p w:rsidR="009D3F1C" w:rsidRPr="00182D6D" w:rsidRDefault="009D3F1C" w:rsidP="009D3F1C">
      <w:pPr>
        <w:pStyle w:val="Heading1"/>
        <w:rPr>
          <w:rFonts w:ascii="Arial" w:hAnsi="Arial" w:cs="Arial"/>
        </w:rPr>
      </w:pPr>
      <w:bookmarkStart w:id="31" w:name="_Toc235783848"/>
      <w:r w:rsidRPr="00182D6D">
        <w:rPr>
          <w:rFonts w:ascii="Arial" w:hAnsi="Arial" w:cs="Arial"/>
        </w:rPr>
        <w:t>7 Conclusion</w:t>
      </w:r>
      <w:bookmarkEnd w:id="31"/>
    </w:p>
    <w:p w:rsidR="009D3F1C" w:rsidRPr="00182D6D" w:rsidRDefault="009D3F1C" w:rsidP="009D3F1C">
      <w:pPr>
        <w:spacing w:line="360" w:lineRule="auto"/>
        <w:rPr>
          <w:rFonts w:ascii="Arial" w:hAnsi="Arial" w:cs="Arial"/>
        </w:rPr>
      </w:pPr>
      <w:r w:rsidRPr="00182D6D">
        <w:rPr>
          <w:rFonts w:ascii="Arial" w:hAnsi="Arial" w:cs="Arial"/>
        </w:rPr>
        <w:t xml:space="preserve">In conclusion, this corporate report confirms that Marriott International’s asset-light business model successfully increases profitability and operational efficiency. By using the scale of the Marriott Bonvoy network and generating strong, recurring fee streams, the organisation effectively optimises the guest stay journey while transferring underlying real estate risks onto third-party partners. While its aggressive and negative cash operating cycle supports the high-margin performance, it needs disciplined short-term liquidity management. Moreover, the forward-looking strategic restructuring, such as the targeted international joint ventures and real estate divestitures, will help optimise Marriott’s capital architecture. Finally, the application of strict capital </w:t>
      </w:r>
      <w:r w:rsidRPr="00182D6D">
        <w:rPr>
          <w:rFonts w:ascii="Arial" w:hAnsi="Arial" w:cs="Arial"/>
        </w:rPr>
        <w:lastRenderedPageBreak/>
        <w:t xml:space="preserve">budgeting techniques under the capital rationing frameworks ensures that resources are allocated exclusively to value-creating projects, securing the global market leadership of Marriott and safeguarding long-term shareholder wealth. </w:t>
      </w:r>
    </w:p>
    <w:p w:rsidR="009D3F1C" w:rsidRPr="00182D6D" w:rsidRDefault="009D3F1C" w:rsidP="009D3F1C">
      <w:pPr>
        <w:pStyle w:val="Heading1"/>
        <w:rPr>
          <w:rFonts w:ascii="Arial" w:hAnsi="Arial" w:cs="Arial"/>
        </w:rPr>
      </w:pPr>
      <w:r w:rsidRPr="00182D6D">
        <w:rPr>
          <w:rFonts w:ascii="Arial" w:hAnsi="Arial" w:cs="Arial"/>
        </w:rPr>
        <w:br w:type="page"/>
      </w:r>
      <w:bookmarkStart w:id="32" w:name="_Toc235783849"/>
      <w:r w:rsidRPr="00182D6D">
        <w:rPr>
          <w:rFonts w:ascii="Arial" w:hAnsi="Arial" w:cs="Arial"/>
        </w:rPr>
        <w:lastRenderedPageBreak/>
        <w:t>References</w:t>
      </w:r>
      <w:bookmarkEnd w:id="32"/>
      <w:r w:rsidRPr="00182D6D">
        <w:rPr>
          <w:rFonts w:ascii="Arial" w:hAnsi="Arial" w:cs="Arial"/>
        </w:rPr>
        <w:t xml:space="preserve"> </w:t>
      </w:r>
    </w:p>
    <w:p w:rsidR="009D3F1C" w:rsidRPr="00182D6D" w:rsidRDefault="009D3F1C" w:rsidP="009D3F1C">
      <w:pPr>
        <w:jc w:val="left"/>
        <w:rPr>
          <w:rFonts w:ascii="Arial" w:hAnsi="Arial" w:cs="Arial"/>
          <w:lang w:val="en-US"/>
        </w:rPr>
      </w:pPr>
      <w:r w:rsidRPr="00182D6D">
        <w:rPr>
          <w:rFonts w:ascii="Arial" w:hAnsi="Arial" w:cs="Arial"/>
        </w:rPr>
        <w:t>Akinsola, K., 2025. Legal frameworks for corporate tax compliance: Navigating local and global regulations. </w:t>
      </w:r>
      <w:r w:rsidRPr="00182D6D">
        <w:rPr>
          <w:rFonts w:ascii="Arial" w:hAnsi="Arial" w:cs="Arial"/>
          <w:i/>
          <w:iCs/>
        </w:rPr>
        <w:t>Available at SSRN 5127003</w:t>
      </w:r>
      <w:r w:rsidRPr="00182D6D">
        <w:rPr>
          <w:rFonts w:ascii="Arial" w:hAnsi="Arial" w:cs="Arial"/>
        </w:rPr>
        <w:t>.</w:t>
      </w:r>
      <w:hyperlink r:id="rId14" w:history="1">
        <w:r w:rsidRPr="00182D6D">
          <w:rPr>
            <w:rStyle w:val="Hyperlink"/>
            <w:rFonts w:ascii="Arial" w:hAnsi="Arial" w:cs="Arial"/>
            <w:color w:val="auto"/>
          </w:rPr>
          <w:t>https://papers.ssrn.com/sol3/Delivery.cfm?abstractid=5127003</w:t>
        </w:r>
      </w:hyperlink>
    </w:p>
    <w:p w:rsidR="009D3F1C" w:rsidRPr="00182D6D" w:rsidRDefault="009D3F1C" w:rsidP="009D3F1C">
      <w:pPr>
        <w:spacing w:line="360" w:lineRule="auto"/>
        <w:rPr>
          <w:rFonts w:ascii="Arial" w:hAnsi="Arial" w:cs="Arial"/>
          <w:lang w:val="en-US"/>
        </w:rPr>
      </w:pPr>
      <w:r w:rsidRPr="00182D6D">
        <w:rPr>
          <w:rFonts w:ascii="Arial" w:hAnsi="Arial" w:cs="Arial"/>
          <w:lang w:val="en-US"/>
        </w:rPr>
        <w:t xml:space="preserve">CBRE, 2025. Hotel Loyalty Programs Continue to Prove Their Value: Key findings from 675 million members. Available at </w:t>
      </w:r>
      <w:hyperlink r:id="rId15" w:history="1">
        <w:r w:rsidRPr="00182D6D">
          <w:rPr>
            <w:rStyle w:val="Hyperlink"/>
            <w:rFonts w:ascii="Arial" w:hAnsi="Arial" w:cs="Arial"/>
            <w:lang w:val="en-US"/>
          </w:rPr>
          <w:t>https://www.cbre.com/insights/articles/hotel-loyalty-programs-continue-to-prove-their-value-key-findings-from-675-million-members</w:t>
        </w:r>
      </w:hyperlink>
      <w:r w:rsidRPr="00182D6D">
        <w:rPr>
          <w:rFonts w:ascii="Arial" w:hAnsi="Arial" w:cs="Arial"/>
          <w:lang w:val="en-US"/>
        </w:rPr>
        <w:t xml:space="preserve">  (Accessed: 21 July 2026) </w:t>
      </w:r>
    </w:p>
    <w:p w:rsidR="009D3F1C" w:rsidRPr="00182D6D" w:rsidRDefault="009D3F1C" w:rsidP="009D3F1C">
      <w:pPr>
        <w:spacing w:line="360" w:lineRule="auto"/>
        <w:rPr>
          <w:rFonts w:ascii="Arial" w:hAnsi="Arial" w:cs="Arial"/>
          <w:lang w:val="en-US"/>
        </w:rPr>
      </w:pPr>
      <w:r w:rsidRPr="00182D6D">
        <w:rPr>
          <w:rFonts w:ascii="Arial" w:hAnsi="Arial" w:cs="Arial"/>
        </w:rPr>
        <w:t xml:space="preserve">Fowosere, O. and Dunston, S., 2025. Integrative Research Paper: Integrating Strategic Analysis to Marriott International Inc. Business Strategy. </w:t>
      </w:r>
      <w:hyperlink r:id="rId16" w:history="1">
        <w:r w:rsidRPr="00182D6D">
          <w:rPr>
            <w:rStyle w:val="Hyperlink"/>
            <w:rFonts w:ascii="Arial" w:hAnsi="Arial" w:cs="Arial"/>
            <w:color w:val="auto"/>
          </w:rPr>
          <w:t>https://www.researchgate.net/profile/Olaoluwa-Fowosere-2/publication/399899135_Integrative_Research_Paper/links/696f03e55cc49c35ce8024ad/Integrative-Research-Paper.pdf</w:t>
        </w:r>
      </w:hyperlink>
    </w:p>
    <w:p w:rsidR="009D3F1C" w:rsidRPr="00182D6D" w:rsidRDefault="009D3F1C" w:rsidP="009D3F1C">
      <w:pPr>
        <w:spacing w:line="360" w:lineRule="auto"/>
        <w:rPr>
          <w:rFonts w:ascii="Arial" w:hAnsi="Arial" w:cs="Arial"/>
          <w:lang w:val="en-US"/>
        </w:rPr>
      </w:pPr>
      <w:r w:rsidRPr="00182D6D">
        <w:rPr>
          <w:rFonts w:ascii="Arial" w:hAnsi="Arial" w:cs="Arial"/>
        </w:rPr>
        <w:t xml:space="preserve">Horozhankina, N., Korneyev, M. and Farzullaev, R., 2024. Marriott International’s place in international hotel chains. </w:t>
      </w:r>
      <w:hyperlink r:id="rId17" w:history="1">
        <w:r w:rsidRPr="00182D6D">
          <w:rPr>
            <w:rStyle w:val="Hyperlink"/>
            <w:rFonts w:ascii="Arial" w:hAnsi="Arial" w:cs="Arial"/>
            <w:color w:val="auto"/>
          </w:rPr>
          <w:t>http://scientificview.umsf.in.ua/archive/2024/4_88_2024/6.pdf</w:t>
        </w:r>
      </w:hyperlink>
    </w:p>
    <w:p w:rsidR="009D3F1C" w:rsidRPr="00182D6D" w:rsidRDefault="009D3F1C" w:rsidP="009D3F1C">
      <w:pPr>
        <w:spacing w:line="360" w:lineRule="auto"/>
        <w:rPr>
          <w:rFonts w:ascii="Arial" w:hAnsi="Arial" w:cs="Arial"/>
          <w:lang w:val="en-US"/>
        </w:rPr>
      </w:pPr>
      <w:r w:rsidRPr="00182D6D">
        <w:rPr>
          <w:rFonts w:ascii="Arial" w:hAnsi="Arial" w:cs="Arial"/>
          <w:lang w:val="en-US"/>
        </w:rPr>
        <w:t xml:space="preserve">Macrotrends, 2026. Marriott Financial Ratios for Analysis 2011-2026 | MAR. Available at </w:t>
      </w:r>
      <w:hyperlink r:id="rId18" w:history="1">
        <w:r w:rsidRPr="00182D6D">
          <w:rPr>
            <w:rFonts w:ascii="Arial" w:hAnsi="Arial" w:cs="Arial"/>
            <w:lang w:val="en-US"/>
          </w:rPr>
          <w:t>https://www.macrotrends.net/stocks/charts/MAR/marriott/financial-ratios</w:t>
        </w:r>
      </w:hyperlink>
      <w:r w:rsidRPr="00182D6D">
        <w:rPr>
          <w:rFonts w:ascii="Arial" w:hAnsi="Arial" w:cs="Arial"/>
          <w:lang w:val="en-US"/>
        </w:rPr>
        <w:t xml:space="preserve"> (Accessed: 21 July 2026) </w:t>
      </w:r>
    </w:p>
    <w:p w:rsidR="009D3F1C" w:rsidRPr="00182D6D" w:rsidRDefault="009D3F1C" w:rsidP="009D3F1C">
      <w:pPr>
        <w:spacing w:line="360" w:lineRule="auto"/>
        <w:rPr>
          <w:rFonts w:ascii="Arial" w:hAnsi="Arial" w:cs="Arial"/>
          <w:lang w:val="en-US"/>
        </w:rPr>
      </w:pPr>
      <w:r w:rsidRPr="00182D6D">
        <w:rPr>
          <w:rFonts w:ascii="Arial" w:hAnsi="Arial" w:cs="Arial"/>
          <w:lang w:val="en-US"/>
        </w:rPr>
        <w:t xml:space="preserve">Marriott International, 2026. </w:t>
      </w:r>
      <w:r w:rsidRPr="00182D6D">
        <w:rPr>
          <w:rFonts w:ascii="Arial" w:hAnsi="Arial" w:cs="Arial"/>
          <w:i/>
          <w:iCs/>
          <w:lang w:val="en-US"/>
        </w:rPr>
        <w:t xml:space="preserve">Annual Report 2025. </w:t>
      </w:r>
      <w:r w:rsidRPr="00182D6D">
        <w:rPr>
          <w:rFonts w:ascii="Arial" w:hAnsi="Arial" w:cs="Arial"/>
          <w:lang w:val="en-US"/>
        </w:rPr>
        <w:t xml:space="preserve">Available at </w:t>
      </w:r>
      <w:hyperlink r:id="rId19" w:history="1">
        <w:r w:rsidRPr="00182D6D">
          <w:rPr>
            <w:rStyle w:val="Hyperlink"/>
            <w:rFonts w:ascii="Arial" w:hAnsi="Arial" w:cs="Arial"/>
            <w:color w:val="auto"/>
            <w:lang w:val="en-US"/>
          </w:rPr>
          <w:t>https://marriott.gcs-web.com/static-files/9cf0e9b0-bbfa-48a6-9e21-ffbdbc4b2d78</w:t>
        </w:r>
      </w:hyperlink>
      <w:r w:rsidRPr="00182D6D">
        <w:rPr>
          <w:rFonts w:ascii="Arial" w:hAnsi="Arial" w:cs="Arial"/>
          <w:lang w:val="en-US"/>
        </w:rPr>
        <w:t xml:space="preserve"> (Accessed: 19 July 2026) </w:t>
      </w:r>
    </w:p>
    <w:p w:rsidR="009D3F1C" w:rsidRPr="00182D6D" w:rsidRDefault="009D3F1C" w:rsidP="009D3F1C">
      <w:pPr>
        <w:spacing w:line="360" w:lineRule="auto"/>
        <w:rPr>
          <w:rFonts w:ascii="Arial" w:hAnsi="Arial" w:cs="Arial"/>
          <w:lang w:val="en-US"/>
        </w:rPr>
      </w:pPr>
      <w:r w:rsidRPr="00182D6D">
        <w:rPr>
          <w:rFonts w:ascii="Arial" w:hAnsi="Arial" w:cs="Arial"/>
          <w:lang w:val="en-US"/>
        </w:rPr>
        <w:t xml:space="preserve">Yahoo Finance, 2024. </w:t>
      </w:r>
      <w:r w:rsidRPr="00182D6D">
        <w:rPr>
          <w:rFonts w:ascii="Arial" w:hAnsi="Arial" w:cs="Arial"/>
          <w:i/>
          <w:iCs/>
          <w:lang w:val="en-US"/>
        </w:rPr>
        <w:t>Decoding Marriott International Inc (MAR): A Strategic SWOT Insight.</w:t>
      </w:r>
      <w:r w:rsidRPr="00182D6D">
        <w:rPr>
          <w:rFonts w:ascii="Arial" w:hAnsi="Arial" w:cs="Arial"/>
          <w:lang w:val="en-US"/>
        </w:rPr>
        <w:t xml:space="preserve"> Available at </w:t>
      </w:r>
      <w:hyperlink r:id="rId20" w:history="1">
        <w:r w:rsidRPr="00182D6D">
          <w:rPr>
            <w:rStyle w:val="Hyperlink"/>
            <w:rFonts w:ascii="Arial" w:hAnsi="Arial" w:cs="Arial"/>
            <w:color w:val="auto"/>
            <w:lang w:val="en-US"/>
          </w:rPr>
          <w:t>https://finance.yahoo.com/news/decoding-marriott-international-inc-mar-050643504.html</w:t>
        </w:r>
      </w:hyperlink>
      <w:r w:rsidRPr="00182D6D">
        <w:rPr>
          <w:rFonts w:ascii="Arial" w:hAnsi="Arial" w:cs="Arial"/>
          <w:lang w:val="en-US"/>
        </w:rPr>
        <w:t xml:space="preserve">  (Accessed: 19 July 2026) </w:t>
      </w:r>
    </w:p>
    <w:p w:rsidR="009D3F1C" w:rsidRPr="00182D6D" w:rsidRDefault="009D3F1C" w:rsidP="009D3F1C">
      <w:pPr>
        <w:jc w:val="left"/>
        <w:rPr>
          <w:rFonts w:ascii="Arial" w:eastAsiaTheme="majorEastAsia" w:hAnsi="Arial" w:cs="Arial"/>
          <w:b/>
          <w:kern w:val="0"/>
          <w:szCs w:val="40"/>
          <w:lang w:val="en-US"/>
          <w14:ligatures w14:val="none"/>
        </w:rPr>
      </w:pPr>
      <w:r w:rsidRPr="00182D6D">
        <w:rPr>
          <w:rFonts w:ascii="Arial" w:hAnsi="Arial" w:cs="Arial"/>
        </w:rPr>
        <w:br w:type="page"/>
      </w:r>
    </w:p>
    <w:p w:rsidR="009D3F1C" w:rsidRDefault="009D3F1C" w:rsidP="009D3F1C">
      <w:pPr>
        <w:pStyle w:val="Heading1"/>
        <w:rPr>
          <w:rFonts w:ascii="Arial" w:hAnsi="Arial" w:cs="Arial"/>
        </w:rPr>
      </w:pPr>
      <w:bookmarkStart w:id="33" w:name="_Toc235783850"/>
      <w:r w:rsidRPr="00182D6D">
        <w:rPr>
          <w:rFonts w:ascii="Arial" w:hAnsi="Arial" w:cs="Arial"/>
        </w:rPr>
        <w:lastRenderedPageBreak/>
        <w:t>Appendices</w:t>
      </w:r>
      <w:bookmarkEnd w:id="33"/>
      <w:r w:rsidRPr="00182D6D">
        <w:rPr>
          <w:rFonts w:ascii="Arial" w:hAnsi="Arial" w:cs="Arial"/>
        </w:rPr>
        <w:t xml:space="preserve"> </w:t>
      </w:r>
    </w:p>
    <w:p w:rsidR="009D3F1C" w:rsidRPr="0033054C" w:rsidRDefault="009D3F1C" w:rsidP="009D3F1C">
      <w:pPr>
        <w:rPr>
          <w:lang w:val="en-US"/>
        </w:rPr>
      </w:pPr>
    </w:p>
    <w:p w:rsidR="009D3F1C" w:rsidRPr="00182D6D" w:rsidRDefault="009D3F1C" w:rsidP="009D3F1C">
      <w:pPr>
        <w:pStyle w:val="Heading2"/>
        <w:rPr>
          <w:rFonts w:ascii="Arial" w:hAnsi="Arial" w:cs="Arial"/>
        </w:rPr>
      </w:pPr>
      <w:bookmarkStart w:id="34" w:name="_Toc235783851"/>
      <w:r w:rsidRPr="00182D6D">
        <w:rPr>
          <w:rFonts w:ascii="Arial" w:hAnsi="Arial" w:cs="Arial"/>
        </w:rPr>
        <w:t>Appendix A: Comprehensive Financial Ratio Analysis &amp; Cash Operating Cycle (FY 2021 - FY 2025)</w:t>
      </w:r>
      <w:bookmarkEnd w:id="34"/>
    </w:p>
    <w:p w:rsidR="009D3F1C" w:rsidRPr="00182D6D" w:rsidRDefault="009D3F1C" w:rsidP="009D3F1C">
      <w:pPr>
        <w:pStyle w:val="Caption"/>
        <w:keepNext/>
        <w:rPr>
          <w:rFonts w:ascii="Arial" w:hAnsi="Arial" w:cs="Arial"/>
        </w:rPr>
      </w:pPr>
      <w:r w:rsidRPr="00182D6D">
        <w:rPr>
          <w:rFonts w:ascii="Arial" w:hAnsi="Arial" w:cs="Arial"/>
        </w:rPr>
        <w:t xml:space="preserve">Table </w:t>
      </w:r>
      <w:r w:rsidRPr="00182D6D">
        <w:rPr>
          <w:rFonts w:ascii="Arial" w:hAnsi="Arial" w:cs="Arial"/>
        </w:rPr>
        <w:fldChar w:fldCharType="begin"/>
      </w:r>
      <w:r w:rsidRPr="00182D6D">
        <w:rPr>
          <w:rFonts w:ascii="Arial" w:hAnsi="Arial" w:cs="Arial"/>
        </w:rPr>
        <w:instrText xml:space="preserve"> SEQ Table \* ARABIC </w:instrText>
      </w:r>
      <w:r w:rsidRPr="00182D6D">
        <w:rPr>
          <w:rFonts w:ascii="Arial" w:hAnsi="Arial" w:cs="Arial"/>
        </w:rPr>
        <w:fldChar w:fldCharType="separate"/>
      </w:r>
      <w:r w:rsidRPr="00182D6D">
        <w:rPr>
          <w:rFonts w:ascii="Arial" w:hAnsi="Arial" w:cs="Arial"/>
          <w:noProof/>
        </w:rPr>
        <w:t>9</w:t>
      </w:r>
      <w:r w:rsidRPr="00182D6D">
        <w:rPr>
          <w:rFonts w:ascii="Arial" w:hAnsi="Arial" w:cs="Arial"/>
        </w:rPr>
        <w:fldChar w:fldCharType="end"/>
      </w:r>
      <w:r w:rsidRPr="00182D6D">
        <w:rPr>
          <w:rFonts w:ascii="Arial" w:hAnsi="Arial" w:cs="Arial"/>
        </w:rPr>
        <w:t>: Comprehensive financial ratio dataset (2021-2025)</w:t>
      </w:r>
    </w:p>
    <w:tbl>
      <w:tblPr>
        <w:tblStyle w:val="TableGrid"/>
        <w:tblW w:w="5000" w:type="pct"/>
        <w:tblLook w:val="04A0" w:firstRow="1" w:lastRow="0" w:firstColumn="1" w:lastColumn="0" w:noHBand="0" w:noVBand="1"/>
      </w:tblPr>
      <w:tblGrid>
        <w:gridCol w:w="2618"/>
        <w:gridCol w:w="2203"/>
        <w:gridCol w:w="839"/>
        <w:gridCol w:w="839"/>
        <w:gridCol w:w="839"/>
        <w:gridCol w:w="839"/>
        <w:gridCol w:w="839"/>
      </w:tblGrid>
      <w:tr w:rsidR="009D3F1C" w:rsidRPr="00182D6D" w:rsidTr="00C94E9F">
        <w:trPr>
          <w:trHeight w:val="288"/>
        </w:trPr>
        <w:tc>
          <w:tcPr>
            <w:tcW w:w="1452" w:type="pct"/>
            <w:noWrap/>
            <w:hideMark/>
          </w:tcPr>
          <w:p w:rsidR="009D3F1C" w:rsidRPr="00182D6D" w:rsidRDefault="009D3F1C" w:rsidP="00C94E9F">
            <w:pPr>
              <w:jc w:val="left"/>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Financial ratio category</w:t>
            </w:r>
            <w:r w:rsidRPr="00182D6D">
              <w:rPr>
                <w:rFonts w:ascii="Arial" w:eastAsia="Times New Roman" w:hAnsi="Arial" w:cs="Arial"/>
                <w:b/>
                <w:bCs/>
                <w:color w:val="FFFFFF"/>
                <w:kern w:val="0"/>
                <w:sz w:val="22"/>
                <w:szCs w:val="22"/>
                <w:lang w:eastAsia="en-IN"/>
                <w14:ligatures w14:val="none"/>
              </w:rPr>
              <w:t xml:space="preserve"> o Category</w:t>
            </w:r>
          </w:p>
        </w:tc>
        <w:tc>
          <w:tcPr>
            <w:tcW w:w="1222" w:type="pct"/>
            <w:noWrap/>
          </w:tcPr>
          <w:p w:rsidR="009D3F1C" w:rsidRPr="00182D6D" w:rsidRDefault="009D3F1C" w:rsidP="00C94E9F">
            <w:pPr>
              <w:jc w:val="left"/>
              <w:rPr>
                <w:rFonts w:ascii="Arial" w:eastAsia="Times New Roman" w:hAnsi="Arial" w:cs="Arial"/>
                <w:b/>
                <w:bCs/>
                <w:kern w:val="0"/>
                <w:sz w:val="22"/>
                <w:szCs w:val="22"/>
                <w:lang w:eastAsia="en-IN"/>
                <w14:ligatures w14:val="none"/>
              </w:rPr>
            </w:pPr>
            <w:r w:rsidRPr="00182D6D">
              <w:rPr>
                <w:rFonts w:ascii="Arial" w:eastAsia="Times New Roman" w:hAnsi="Arial" w:cs="Arial"/>
                <w:b/>
                <w:bCs/>
                <w:kern w:val="0"/>
                <w:sz w:val="22"/>
                <w:szCs w:val="22"/>
                <w:lang w:eastAsia="en-IN"/>
                <w14:ligatures w14:val="none"/>
              </w:rPr>
              <w:t xml:space="preserve">Specific Ratio metric  </w:t>
            </w:r>
          </w:p>
        </w:tc>
        <w:tc>
          <w:tcPr>
            <w:tcW w:w="465" w:type="pct"/>
            <w:noWrap/>
            <w:hideMark/>
          </w:tcPr>
          <w:p w:rsidR="009D3F1C" w:rsidRPr="00182D6D" w:rsidRDefault="009D3F1C" w:rsidP="00C94E9F">
            <w:pPr>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FY 2021</w:t>
            </w:r>
          </w:p>
        </w:tc>
        <w:tc>
          <w:tcPr>
            <w:tcW w:w="465" w:type="pct"/>
            <w:noWrap/>
            <w:hideMark/>
          </w:tcPr>
          <w:p w:rsidR="009D3F1C" w:rsidRPr="00182D6D" w:rsidRDefault="009D3F1C" w:rsidP="00C94E9F">
            <w:pPr>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FY 2022</w:t>
            </w:r>
          </w:p>
        </w:tc>
        <w:tc>
          <w:tcPr>
            <w:tcW w:w="465" w:type="pct"/>
            <w:noWrap/>
            <w:hideMark/>
          </w:tcPr>
          <w:p w:rsidR="009D3F1C" w:rsidRPr="00182D6D" w:rsidRDefault="009D3F1C" w:rsidP="00C94E9F">
            <w:pPr>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FY 2023</w:t>
            </w:r>
          </w:p>
        </w:tc>
        <w:tc>
          <w:tcPr>
            <w:tcW w:w="465" w:type="pct"/>
            <w:noWrap/>
            <w:hideMark/>
          </w:tcPr>
          <w:p w:rsidR="009D3F1C" w:rsidRPr="00182D6D" w:rsidRDefault="009D3F1C" w:rsidP="00C94E9F">
            <w:pPr>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FY 2024</w:t>
            </w:r>
          </w:p>
        </w:tc>
        <w:tc>
          <w:tcPr>
            <w:tcW w:w="465" w:type="pct"/>
            <w:noWrap/>
            <w:hideMark/>
          </w:tcPr>
          <w:p w:rsidR="009D3F1C" w:rsidRPr="00182D6D" w:rsidRDefault="009D3F1C" w:rsidP="00C94E9F">
            <w:pPr>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FY 2025</w:t>
            </w:r>
          </w:p>
        </w:tc>
      </w:tr>
      <w:tr w:rsidR="009D3F1C" w:rsidRPr="00182D6D" w:rsidTr="00C94E9F">
        <w:trPr>
          <w:trHeight w:val="288"/>
        </w:trPr>
        <w:tc>
          <w:tcPr>
            <w:tcW w:w="145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Profitability Ratios</w:t>
            </w: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Gross Profit Margin (%)</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17.58%</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18.25%</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19.55%</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20.60%</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21.35%</w:t>
            </w:r>
          </w:p>
        </w:tc>
      </w:tr>
      <w:tr w:rsidR="009D3F1C" w:rsidRPr="00182D6D" w:rsidTr="00C94E9F">
        <w:trPr>
          <w:trHeight w:val="288"/>
        </w:trPr>
        <w:tc>
          <w:tcPr>
            <w:tcW w:w="1452"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Operating Profit Margin (%)</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10.95%</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13.92%</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15.68%</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15.01%</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15.81%</w:t>
            </w:r>
          </w:p>
        </w:tc>
      </w:tr>
      <w:tr w:rsidR="009D3F1C" w:rsidRPr="00182D6D" w:rsidTr="00C94E9F">
        <w:trPr>
          <w:trHeight w:val="288"/>
        </w:trPr>
        <w:tc>
          <w:tcPr>
            <w:tcW w:w="1452"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Net Profit Margin (%)</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7.91%</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11.23%</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13.11%</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9.46%</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9.93%</w:t>
            </w:r>
          </w:p>
        </w:tc>
      </w:tr>
      <w:tr w:rsidR="009D3F1C" w:rsidRPr="00182D6D" w:rsidTr="00C94E9F">
        <w:trPr>
          <w:trHeight w:val="288"/>
        </w:trPr>
        <w:tc>
          <w:tcPr>
            <w:tcW w:w="1452"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Return on Assets (ROA) (%)</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4.39%</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9.20%</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12.35%</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9.11%</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9.87%</w:t>
            </w:r>
          </w:p>
        </w:tc>
      </w:tr>
      <w:tr w:rsidR="009D3F1C" w:rsidRPr="00182D6D" w:rsidTr="00C94E9F">
        <w:trPr>
          <w:trHeight w:val="288"/>
        </w:trPr>
        <w:tc>
          <w:tcPr>
            <w:tcW w:w="145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Liquidity Ratios</w:t>
            </w: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Current Ratio (x)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0.57x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0.45x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0.43x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0.40x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0.43x</w:t>
            </w:r>
          </w:p>
        </w:tc>
      </w:tr>
      <w:tr w:rsidR="009D3F1C" w:rsidRPr="00182D6D" w:rsidTr="00C94E9F">
        <w:trPr>
          <w:trHeight w:val="288"/>
        </w:trPr>
        <w:tc>
          <w:tcPr>
            <w:tcW w:w="1452"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Quick (Acid-Test) Ratio (x)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0.52x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0.41x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0.38x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0.36x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0.39x</w:t>
            </w:r>
          </w:p>
        </w:tc>
      </w:tr>
      <w:tr w:rsidR="009D3F1C" w:rsidRPr="00182D6D" w:rsidTr="00C94E9F">
        <w:trPr>
          <w:trHeight w:val="288"/>
        </w:trPr>
        <w:tc>
          <w:tcPr>
            <w:tcW w:w="145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Efficiency Ratios</w:t>
            </w: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Asset Turnover Ratio (x)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0.55x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0.82x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0.94x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0.96x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0.99x</w:t>
            </w:r>
          </w:p>
        </w:tc>
      </w:tr>
      <w:tr w:rsidR="009D3F1C" w:rsidRPr="00182D6D" w:rsidTr="00C94E9F">
        <w:trPr>
          <w:trHeight w:val="288"/>
        </w:trPr>
        <w:tc>
          <w:tcPr>
            <w:tcW w:w="1452"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Receivables Turnover (x)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10.12x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12.34x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13.55x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13.10x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13.45x</w:t>
            </w:r>
          </w:p>
        </w:tc>
      </w:tr>
      <w:tr w:rsidR="009D3F1C" w:rsidRPr="00182D6D" w:rsidTr="00C94E9F">
        <w:trPr>
          <w:trHeight w:val="288"/>
        </w:trPr>
        <w:tc>
          <w:tcPr>
            <w:tcW w:w="1452"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Days Sales Outstanding (DSO)</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36.1 days</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29.6 days</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26.9 days</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27.9 days</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27.1 days</w:t>
            </w:r>
          </w:p>
        </w:tc>
      </w:tr>
      <w:tr w:rsidR="009D3F1C" w:rsidRPr="00182D6D" w:rsidTr="00C94E9F">
        <w:trPr>
          <w:trHeight w:val="288"/>
        </w:trPr>
        <w:tc>
          <w:tcPr>
            <w:tcW w:w="145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Gearing Ratios</w:t>
            </w: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Debt-to-Assets Ratio (x)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0.58x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0.47x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0.46x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0.40x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0.43x</w:t>
            </w:r>
          </w:p>
        </w:tc>
      </w:tr>
      <w:tr w:rsidR="009D3F1C" w:rsidRPr="00182D6D" w:rsidTr="00C94E9F">
        <w:trPr>
          <w:trHeight w:val="288"/>
        </w:trPr>
        <w:tc>
          <w:tcPr>
            <w:tcW w:w="1452"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Interest Coverage Ratio (x)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2.51x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5.34x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6.88x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5.42x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5.12x</w:t>
            </w:r>
          </w:p>
        </w:tc>
      </w:tr>
      <w:tr w:rsidR="009D3F1C" w:rsidRPr="00182D6D" w:rsidTr="00C94E9F">
        <w:trPr>
          <w:trHeight w:val="288"/>
        </w:trPr>
        <w:tc>
          <w:tcPr>
            <w:tcW w:w="145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Investment Ratios</w:t>
            </w: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Diluted Earnings Per Share ($)</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$3.32</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$7.24</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$9.95</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$8.33</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$9.51</w:t>
            </w:r>
          </w:p>
        </w:tc>
      </w:tr>
      <w:tr w:rsidR="009D3F1C" w:rsidRPr="00182D6D" w:rsidTr="00C94E9F">
        <w:trPr>
          <w:trHeight w:val="288"/>
        </w:trPr>
        <w:tc>
          <w:tcPr>
            <w:tcW w:w="1452"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Dividend Payout Ratio (%)</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0.00%</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15.40%</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18.90%</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22.10%</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27.60%</w:t>
            </w:r>
          </w:p>
        </w:tc>
      </w:tr>
      <w:tr w:rsidR="009D3F1C" w:rsidRPr="00182D6D" w:rsidTr="00C94E9F">
        <w:trPr>
          <w:trHeight w:val="288"/>
        </w:trPr>
        <w:tc>
          <w:tcPr>
            <w:tcW w:w="145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Cash Flow Ratios</w:t>
            </w: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Operating Cash Flow / Debt (x)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0.15x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0.23x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0.27x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0.24x</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0.25x</w:t>
            </w:r>
          </w:p>
        </w:tc>
      </w:tr>
      <w:tr w:rsidR="009D3F1C" w:rsidRPr="00182D6D" w:rsidTr="00C94E9F">
        <w:trPr>
          <w:trHeight w:val="288"/>
        </w:trPr>
        <w:tc>
          <w:tcPr>
            <w:tcW w:w="1452"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p>
        </w:tc>
        <w:tc>
          <w:tcPr>
            <w:tcW w:w="122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Free Cash Flow Yield (%)</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3.85%</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5.92%</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6.84%</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5.44%</w:t>
            </w:r>
          </w:p>
        </w:tc>
        <w:tc>
          <w:tcPr>
            <w:tcW w:w="465" w:type="pct"/>
            <w:noWrap/>
            <w:hideMark/>
          </w:tcPr>
          <w:p w:rsidR="009D3F1C" w:rsidRPr="00182D6D" w:rsidRDefault="009D3F1C" w:rsidP="00C94E9F">
            <w:pPr>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6.12%</w:t>
            </w:r>
          </w:p>
        </w:tc>
      </w:tr>
    </w:tbl>
    <w:p w:rsidR="009D3F1C" w:rsidRPr="00182D6D" w:rsidRDefault="009D3F1C" w:rsidP="009D3F1C">
      <w:pPr>
        <w:spacing w:line="360" w:lineRule="auto"/>
        <w:rPr>
          <w:rFonts w:ascii="Arial" w:hAnsi="Arial" w:cs="Arial"/>
          <w:lang w:val="en-US"/>
        </w:rPr>
      </w:pPr>
    </w:p>
    <w:p w:rsidR="009D3F1C" w:rsidRPr="00182D6D" w:rsidRDefault="009D3F1C" w:rsidP="009D3F1C">
      <w:pPr>
        <w:spacing w:line="360" w:lineRule="auto"/>
        <w:rPr>
          <w:rFonts w:ascii="Arial" w:hAnsi="Arial" w:cs="Arial"/>
          <w:lang w:val="en-US"/>
        </w:rPr>
      </w:pPr>
      <w:r w:rsidRPr="00182D6D">
        <w:rPr>
          <w:rFonts w:ascii="Arial" w:hAnsi="Arial" w:cs="Arial"/>
          <w:noProof/>
          <w:lang w:val="en-US"/>
        </w:rPr>
        <w:lastRenderedPageBreak/>
        <w:drawing>
          <wp:inline distT="0" distB="0" distL="0" distR="0" wp14:anchorId="78C69D72" wp14:editId="7693291A">
            <wp:extent cx="5410200" cy="2705100"/>
            <wp:effectExtent l="0" t="0" r="0" b="0"/>
            <wp:docPr id="14069596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959641" name=""/>
                    <pic:cNvPicPr/>
                  </pic:nvPicPr>
                  <pic:blipFill>
                    <a:blip r:embed="rId21">
                      <a:extLs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5"/>
                        </a:ext>
                      </a:extLst>
                    </a:blip>
                    <a:stretch>
                      <a:fillRect/>
                    </a:stretch>
                  </pic:blipFill>
                  <pic:spPr>
                    <a:xfrm>
                      <a:off x="0" y="0"/>
                      <a:ext cx="5410200" cy="2705100"/>
                    </a:xfrm>
                    <a:prstGeom prst="rect">
                      <a:avLst/>
                    </a:prstGeom>
                  </pic:spPr>
                </pic:pic>
              </a:graphicData>
            </a:graphic>
          </wp:inline>
        </w:drawing>
      </w:r>
    </w:p>
    <w:p w:rsidR="009D3F1C" w:rsidRPr="00182D6D" w:rsidRDefault="009D3F1C" w:rsidP="009D3F1C">
      <w:pPr>
        <w:pStyle w:val="Caption"/>
        <w:keepNext/>
        <w:rPr>
          <w:rFonts w:ascii="Arial" w:hAnsi="Arial" w:cs="Arial"/>
        </w:rPr>
      </w:pPr>
      <w:r w:rsidRPr="00182D6D">
        <w:rPr>
          <w:rFonts w:ascii="Arial" w:hAnsi="Arial" w:cs="Arial"/>
        </w:rPr>
        <w:t xml:space="preserve">Table </w:t>
      </w:r>
      <w:r w:rsidRPr="00182D6D">
        <w:rPr>
          <w:rFonts w:ascii="Arial" w:hAnsi="Arial" w:cs="Arial"/>
        </w:rPr>
        <w:fldChar w:fldCharType="begin"/>
      </w:r>
      <w:r w:rsidRPr="00182D6D">
        <w:rPr>
          <w:rFonts w:ascii="Arial" w:hAnsi="Arial" w:cs="Arial"/>
        </w:rPr>
        <w:instrText xml:space="preserve"> SEQ Table \* ARABIC </w:instrText>
      </w:r>
      <w:r w:rsidRPr="00182D6D">
        <w:rPr>
          <w:rFonts w:ascii="Arial" w:hAnsi="Arial" w:cs="Arial"/>
        </w:rPr>
        <w:fldChar w:fldCharType="separate"/>
      </w:r>
      <w:r w:rsidRPr="00182D6D">
        <w:rPr>
          <w:rFonts w:ascii="Arial" w:hAnsi="Arial" w:cs="Arial"/>
          <w:noProof/>
        </w:rPr>
        <w:t>10</w:t>
      </w:r>
      <w:r w:rsidRPr="00182D6D">
        <w:rPr>
          <w:rFonts w:ascii="Arial" w:hAnsi="Arial" w:cs="Arial"/>
        </w:rPr>
        <w:fldChar w:fldCharType="end"/>
      </w:r>
      <w:r w:rsidRPr="00182D6D">
        <w:rPr>
          <w:rFonts w:ascii="Arial" w:hAnsi="Arial" w:cs="Arial"/>
        </w:rPr>
        <w:t>: Working capital operational  metric</w:t>
      </w:r>
      <w:r w:rsidRPr="00182D6D">
        <w:rPr>
          <w:rFonts w:ascii="Arial" w:hAnsi="Arial" w:cs="Arial"/>
          <w:noProof/>
        </w:rPr>
        <w:t xml:space="preserve"> and cash operating cycle (days)</w:t>
      </w:r>
    </w:p>
    <w:tbl>
      <w:tblPr>
        <w:tblW w:w="5000" w:type="pct"/>
        <w:tblLook w:val="04A0" w:firstRow="1" w:lastRow="0" w:firstColumn="1" w:lastColumn="0" w:noHBand="0" w:noVBand="1"/>
      </w:tblPr>
      <w:tblGrid>
        <w:gridCol w:w="3613"/>
        <w:gridCol w:w="223"/>
        <w:gridCol w:w="1038"/>
        <w:gridCol w:w="1038"/>
        <w:gridCol w:w="1038"/>
        <w:gridCol w:w="1038"/>
        <w:gridCol w:w="1038"/>
      </w:tblGrid>
      <w:tr w:rsidR="009D3F1C" w:rsidRPr="00182D6D" w:rsidTr="00C94E9F">
        <w:trPr>
          <w:trHeight w:val="288"/>
        </w:trPr>
        <w:tc>
          <w:tcPr>
            <w:tcW w:w="2277" w:type="pct"/>
            <w:tcBorders>
              <w:top w:val="nil"/>
              <w:left w:val="nil"/>
              <w:bottom w:val="nil"/>
              <w:right w:val="nil"/>
            </w:tcBorders>
            <w:shd w:val="clear" w:color="4A6B82" w:fill="4A6B82"/>
            <w:noWrap/>
            <w:vAlign w:val="center"/>
            <w:hideMark/>
          </w:tcPr>
          <w:p w:rsidR="009D3F1C" w:rsidRPr="00182D6D" w:rsidRDefault="009D3F1C" w:rsidP="00C94E9F">
            <w:pPr>
              <w:spacing w:after="0" w:line="240" w:lineRule="auto"/>
              <w:jc w:val="left"/>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Metric Component</w:t>
            </w:r>
          </w:p>
        </w:tc>
        <w:tc>
          <w:tcPr>
            <w:tcW w:w="152"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b/>
                <w:bCs/>
                <w:color w:val="FFFFFF"/>
                <w:kern w:val="0"/>
                <w:sz w:val="22"/>
                <w:szCs w:val="22"/>
                <w:lang w:eastAsia="en-IN"/>
                <w14:ligatures w14:val="none"/>
              </w:rPr>
            </w:pPr>
          </w:p>
        </w:tc>
        <w:tc>
          <w:tcPr>
            <w:tcW w:w="514" w:type="pct"/>
            <w:tcBorders>
              <w:top w:val="nil"/>
              <w:left w:val="nil"/>
              <w:bottom w:val="nil"/>
              <w:right w:val="nil"/>
            </w:tcBorders>
            <w:shd w:val="clear" w:color="4A6B82" w:fill="4A6B82"/>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FY 2021</w:t>
            </w:r>
          </w:p>
        </w:tc>
        <w:tc>
          <w:tcPr>
            <w:tcW w:w="514" w:type="pct"/>
            <w:tcBorders>
              <w:top w:val="nil"/>
              <w:left w:val="nil"/>
              <w:bottom w:val="nil"/>
              <w:right w:val="nil"/>
            </w:tcBorders>
            <w:shd w:val="clear" w:color="4A6B82" w:fill="4A6B82"/>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FY 2022</w:t>
            </w:r>
          </w:p>
        </w:tc>
        <w:tc>
          <w:tcPr>
            <w:tcW w:w="514" w:type="pct"/>
            <w:tcBorders>
              <w:top w:val="nil"/>
              <w:left w:val="nil"/>
              <w:bottom w:val="nil"/>
              <w:right w:val="nil"/>
            </w:tcBorders>
            <w:shd w:val="clear" w:color="4A6B82" w:fill="4A6B82"/>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FY 2023</w:t>
            </w:r>
          </w:p>
        </w:tc>
        <w:tc>
          <w:tcPr>
            <w:tcW w:w="514" w:type="pct"/>
            <w:tcBorders>
              <w:top w:val="nil"/>
              <w:left w:val="nil"/>
              <w:bottom w:val="nil"/>
              <w:right w:val="nil"/>
            </w:tcBorders>
            <w:shd w:val="clear" w:color="4A6B82" w:fill="4A6B82"/>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FY 2024</w:t>
            </w:r>
          </w:p>
        </w:tc>
        <w:tc>
          <w:tcPr>
            <w:tcW w:w="514" w:type="pct"/>
            <w:tcBorders>
              <w:top w:val="nil"/>
              <w:left w:val="nil"/>
              <w:bottom w:val="nil"/>
              <w:right w:val="nil"/>
            </w:tcBorders>
            <w:shd w:val="clear" w:color="4A6B82" w:fill="4A6B82"/>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FY 2025</w:t>
            </w:r>
          </w:p>
        </w:tc>
      </w:tr>
      <w:tr w:rsidR="009D3F1C" w:rsidRPr="00182D6D" w:rsidTr="00C94E9F">
        <w:trPr>
          <w:trHeight w:val="288"/>
        </w:trPr>
        <w:tc>
          <w:tcPr>
            <w:tcW w:w="2277"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Days Inventory Outstanding (DIO)</w:t>
            </w:r>
          </w:p>
        </w:tc>
        <w:tc>
          <w:tcPr>
            <w:tcW w:w="152"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p>
        </w:tc>
        <w:tc>
          <w:tcPr>
            <w:tcW w:w="514" w:type="pct"/>
            <w:tcBorders>
              <w:top w:val="single" w:sz="4" w:space="0" w:color="D9D9D9"/>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4.2</w:t>
            </w:r>
          </w:p>
        </w:tc>
        <w:tc>
          <w:tcPr>
            <w:tcW w:w="514"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3.5</w:t>
            </w:r>
          </w:p>
        </w:tc>
        <w:tc>
          <w:tcPr>
            <w:tcW w:w="514"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3.1</w:t>
            </w:r>
          </w:p>
        </w:tc>
        <w:tc>
          <w:tcPr>
            <w:tcW w:w="514"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3.2</w:t>
            </w:r>
          </w:p>
        </w:tc>
        <w:tc>
          <w:tcPr>
            <w:tcW w:w="514"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3.0</w:t>
            </w:r>
          </w:p>
        </w:tc>
      </w:tr>
      <w:tr w:rsidR="009D3F1C" w:rsidRPr="00182D6D" w:rsidTr="00C94E9F">
        <w:trPr>
          <w:trHeight w:val="288"/>
        </w:trPr>
        <w:tc>
          <w:tcPr>
            <w:tcW w:w="2277"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Days Sales Outstanding (DSO)</w:t>
            </w:r>
          </w:p>
        </w:tc>
        <w:tc>
          <w:tcPr>
            <w:tcW w:w="152"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p>
        </w:tc>
        <w:tc>
          <w:tcPr>
            <w:tcW w:w="514"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36.1</w:t>
            </w:r>
          </w:p>
        </w:tc>
        <w:tc>
          <w:tcPr>
            <w:tcW w:w="514"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29.6</w:t>
            </w:r>
          </w:p>
        </w:tc>
        <w:tc>
          <w:tcPr>
            <w:tcW w:w="514"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26.9</w:t>
            </w:r>
          </w:p>
        </w:tc>
        <w:tc>
          <w:tcPr>
            <w:tcW w:w="514"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27.9</w:t>
            </w:r>
          </w:p>
        </w:tc>
        <w:tc>
          <w:tcPr>
            <w:tcW w:w="514"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27.1</w:t>
            </w:r>
          </w:p>
        </w:tc>
      </w:tr>
      <w:tr w:rsidR="009D3F1C" w:rsidRPr="00182D6D" w:rsidTr="00C94E9F">
        <w:trPr>
          <w:trHeight w:val="288"/>
        </w:trPr>
        <w:tc>
          <w:tcPr>
            <w:tcW w:w="2277"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Days Payable Outstanding (DPO)</w:t>
            </w:r>
          </w:p>
        </w:tc>
        <w:tc>
          <w:tcPr>
            <w:tcW w:w="152"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p>
        </w:tc>
        <w:tc>
          <w:tcPr>
            <w:tcW w:w="514"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61.2</w:t>
            </w:r>
          </w:p>
        </w:tc>
        <w:tc>
          <w:tcPr>
            <w:tcW w:w="514"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58.4</w:t>
            </w:r>
          </w:p>
        </w:tc>
        <w:tc>
          <w:tcPr>
            <w:tcW w:w="514"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56.2</w:t>
            </w:r>
          </w:p>
        </w:tc>
        <w:tc>
          <w:tcPr>
            <w:tcW w:w="514"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55.8</w:t>
            </w:r>
          </w:p>
        </w:tc>
        <w:tc>
          <w:tcPr>
            <w:tcW w:w="514"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56.5</w:t>
            </w:r>
          </w:p>
        </w:tc>
      </w:tr>
      <w:tr w:rsidR="009D3F1C" w:rsidRPr="00182D6D" w:rsidTr="00C94E9F">
        <w:trPr>
          <w:trHeight w:val="288"/>
        </w:trPr>
        <w:tc>
          <w:tcPr>
            <w:tcW w:w="2277" w:type="pct"/>
            <w:tcBorders>
              <w:top w:val="nil"/>
              <w:left w:val="nil"/>
              <w:bottom w:val="nil"/>
              <w:right w:val="nil"/>
            </w:tcBorders>
            <w:shd w:val="clear" w:color="D9E1E8" w:fill="D9E1E8"/>
            <w:noWrap/>
            <w:vAlign w:val="bottom"/>
            <w:hideMark/>
          </w:tcPr>
          <w:p w:rsidR="009D3F1C" w:rsidRPr="00182D6D" w:rsidRDefault="009D3F1C" w:rsidP="00C94E9F">
            <w:pPr>
              <w:spacing w:after="0" w:line="240" w:lineRule="auto"/>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Net Cash Operating Cycle (Days)</w:t>
            </w:r>
          </w:p>
        </w:tc>
        <w:tc>
          <w:tcPr>
            <w:tcW w:w="152"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b/>
                <w:bCs/>
                <w:color w:val="000000"/>
                <w:kern w:val="0"/>
                <w:sz w:val="22"/>
                <w:szCs w:val="22"/>
                <w:lang w:eastAsia="en-IN"/>
                <w14:ligatures w14:val="none"/>
              </w:rPr>
            </w:pPr>
          </w:p>
        </w:tc>
        <w:tc>
          <w:tcPr>
            <w:tcW w:w="514" w:type="pct"/>
            <w:tcBorders>
              <w:top w:val="nil"/>
              <w:left w:val="single" w:sz="4" w:space="0" w:color="D9D9D9"/>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-20.9</w:t>
            </w:r>
          </w:p>
        </w:tc>
        <w:tc>
          <w:tcPr>
            <w:tcW w:w="514"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-25.3</w:t>
            </w:r>
          </w:p>
        </w:tc>
        <w:tc>
          <w:tcPr>
            <w:tcW w:w="514"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-26.2</w:t>
            </w:r>
          </w:p>
        </w:tc>
        <w:tc>
          <w:tcPr>
            <w:tcW w:w="514"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-24.7</w:t>
            </w:r>
          </w:p>
        </w:tc>
        <w:tc>
          <w:tcPr>
            <w:tcW w:w="514"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-26.4</w:t>
            </w:r>
          </w:p>
        </w:tc>
      </w:tr>
    </w:tbl>
    <w:p w:rsidR="009D3F1C" w:rsidRPr="00182D6D" w:rsidRDefault="009D3F1C" w:rsidP="009D3F1C">
      <w:pPr>
        <w:spacing w:line="360" w:lineRule="auto"/>
        <w:rPr>
          <w:rFonts w:ascii="Arial" w:hAnsi="Arial" w:cs="Arial"/>
          <w:lang w:val="en-US"/>
        </w:rPr>
      </w:pPr>
    </w:p>
    <w:p w:rsidR="009D3F1C" w:rsidRPr="00182D6D" w:rsidRDefault="009D3F1C" w:rsidP="009D3F1C">
      <w:pPr>
        <w:spacing w:line="360" w:lineRule="auto"/>
        <w:rPr>
          <w:rFonts w:ascii="Arial" w:hAnsi="Arial" w:cs="Arial"/>
          <w:lang w:val="en-US"/>
        </w:rPr>
      </w:pPr>
      <w:r w:rsidRPr="00182D6D">
        <w:rPr>
          <w:rFonts w:ascii="Arial" w:hAnsi="Arial" w:cs="Arial"/>
          <w:noProof/>
          <w:lang w:val="en-US"/>
        </w:rPr>
        <w:drawing>
          <wp:inline distT="0" distB="0" distL="0" distR="0" wp14:anchorId="069CD30B" wp14:editId="49590591">
            <wp:extent cx="5410200" cy="2714625"/>
            <wp:effectExtent l="0" t="0" r="0" b="9525"/>
            <wp:docPr id="9067584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758404" name=""/>
                    <pic:cNvPicPr/>
                  </pic:nvPicPr>
                  <pic:blipFill>
                    <a:blip r:embed="rId26">
                      <a:extLs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7"/>
                        </a:ext>
                      </a:extLst>
                    </a:blip>
                    <a:stretch>
                      <a:fillRect/>
                    </a:stretch>
                  </pic:blipFill>
                  <pic:spPr>
                    <a:xfrm>
                      <a:off x="0" y="0"/>
                      <a:ext cx="5410200" cy="2714625"/>
                    </a:xfrm>
                    <a:prstGeom prst="rect">
                      <a:avLst/>
                    </a:prstGeom>
                  </pic:spPr>
                </pic:pic>
              </a:graphicData>
            </a:graphic>
          </wp:inline>
        </w:drawing>
      </w:r>
    </w:p>
    <w:p w:rsidR="009D3F1C" w:rsidRPr="00182D6D" w:rsidRDefault="009D3F1C" w:rsidP="009D3F1C">
      <w:pPr>
        <w:spacing w:line="360" w:lineRule="auto"/>
        <w:rPr>
          <w:rFonts w:ascii="Arial" w:hAnsi="Arial" w:cs="Arial"/>
          <w:lang w:val="en-US"/>
        </w:rPr>
      </w:pPr>
    </w:p>
    <w:p w:rsidR="009D3F1C" w:rsidRPr="00182D6D" w:rsidRDefault="009D3F1C" w:rsidP="009D3F1C">
      <w:pPr>
        <w:pStyle w:val="Caption"/>
        <w:keepNext/>
        <w:rPr>
          <w:rFonts w:ascii="Arial" w:hAnsi="Arial" w:cs="Arial"/>
        </w:rPr>
      </w:pPr>
      <w:r w:rsidRPr="00182D6D">
        <w:rPr>
          <w:rFonts w:ascii="Arial" w:hAnsi="Arial" w:cs="Arial"/>
        </w:rPr>
        <w:t xml:space="preserve">Table </w:t>
      </w:r>
      <w:r w:rsidRPr="00182D6D">
        <w:rPr>
          <w:rFonts w:ascii="Arial" w:hAnsi="Arial" w:cs="Arial"/>
        </w:rPr>
        <w:fldChar w:fldCharType="begin"/>
      </w:r>
      <w:r w:rsidRPr="00182D6D">
        <w:rPr>
          <w:rFonts w:ascii="Arial" w:hAnsi="Arial" w:cs="Arial"/>
        </w:rPr>
        <w:instrText xml:space="preserve"> SEQ Table \* ARABIC </w:instrText>
      </w:r>
      <w:r w:rsidRPr="00182D6D">
        <w:rPr>
          <w:rFonts w:ascii="Arial" w:hAnsi="Arial" w:cs="Arial"/>
        </w:rPr>
        <w:fldChar w:fldCharType="separate"/>
      </w:r>
      <w:r w:rsidRPr="00182D6D">
        <w:rPr>
          <w:rFonts w:ascii="Arial" w:hAnsi="Arial" w:cs="Arial"/>
          <w:noProof/>
        </w:rPr>
        <w:t>11</w:t>
      </w:r>
      <w:r w:rsidRPr="00182D6D">
        <w:rPr>
          <w:rFonts w:ascii="Arial" w:hAnsi="Arial" w:cs="Arial"/>
        </w:rPr>
        <w:fldChar w:fldCharType="end"/>
      </w:r>
      <w:r w:rsidRPr="00182D6D">
        <w:rPr>
          <w:rFonts w:ascii="Arial" w:hAnsi="Arial" w:cs="Arial"/>
        </w:rPr>
        <w:t>: Sector competitor liquidity bench</w:t>
      </w:r>
      <w:r w:rsidRPr="00182D6D">
        <w:rPr>
          <w:rFonts w:ascii="Arial" w:hAnsi="Arial" w:cs="Arial"/>
          <w:noProof/>
        </w:rPr>
        <w:t>mark matrix (FY 2025)</w:t>
      </w:r>
    </w:p>
    <w:tbl>
      <w:tblPr>
        <w:tblW w:w="5000" w:type="pct"/>
        <w:tblLook w:val="04A0" w:firstRow="1" w:lastRow="0" w:firstColumn="1" w:lastColumn="0" w:noHBand="0" w:noVBand="1"/>
      </w:tblPr>
      <w:tblGrid>
        <w:gridCol w:w="1940"/>
        <w:gridCol w:w="1673"/>
        <w:gridCol w:w="1406"/>
        <w:gridCol w:w="1066"/>
        <w:gridCol w:w="1729"/>
        <w:gridCol w:w="1212"/>
      </w:tblGrid>
      <w:tr w:rsidR="009D3F1C" w:rsidRPr="00182D6D" w:rsidTr="00C94E9F">
        <w:trPr>
          <w:trHeight w:val="288"/>
        </w:trPr>
        <w:tc>
          <w:tcPr>
            <w:tcW w:w="2310"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left"/>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Metric / Peer Enterprise</w:t>
            </w:r>
          </w:p>
        </w:tc>
        <w:tc>
          <w:tcPr>
            <w:tcW w:w="811"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Marriott International</w:t>
            </w:r>
          </w:p>
        </w:tc>
        <w:tc>
          <w:tcPr>
            <w:tcW w:w="476"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Hilton Worldwide</w:t>
            </w:r>
          </w:p>
        </w:tc>
        <w:tc>
          <w:tcPr>
            <w:tcW w:w="379"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Hyatt Hotels</w:t>
            </w:r>
          </w:p>
        </w:tc>
        <w:tc>
          <w:tcPr>
            <w:tcW w:w="617"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InterContinental (IHG)</w:t>
            </w:r>
          </w:p>
        </w:tc>
        <w:tc>
          <w:tcPr>
            <w:tcW w:w="406"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Sector Median</w:t>
            </w:r>
          </w:p>
        </w:tc>
      </w:tr>
      <w:tr w:rsidR="009D3F1C" w:rsidRPr="00182D6D" w:rsidTr="00C94E9F">
        <w:trPr>
          <w:trHeight w:val="288"/>
        </w:trPr>
        <w:tc>
          <w:tcPr>
            <w:tcW w:w="231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lastRenderedPageBreak/>
              <w:t>Current Ratio (x)</w:t>
            </w:r>
          </w:p>
        </w:tc>
        <w:tc>
          <w:tcPr>
            <w:tcW w:w="811" w:type="pct"/>
            <w:tcBorders>
              <w:top w:val="single" w:sz="4" w:space="0" w:color="D9D9D9"/>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0.43x</w:t>
            </w:r>
          </w:p>
        </w:tc>
        <w:tc>
          <w:tcPr>
            <w:tcW w:w="476"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0.60x</w:t>
            </w:r>
          </w:p>
        </w:tc>
        <w:tc>
          <w:tcPr>
            <w:tcW w:w="379"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0.60x</w:t>
            </w:r>
          </w:p>
        </w:tc>
        <w:tc>
          <w:tcPr>
            <w:tcW w:w="617"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1.00x</w:t>
            </w:r>
          </w:p>
        </w:tc>
        <w:tc>
          <w:tcPr>
            <w:tcW w:w="406"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1.50x</w:t>
            </w:r>
          </w:p>
        </w:tc>
      </w:tr>
      <w:tr w:rsidR="009D3F1C" w:rsidRPr="00182D6D" w:rsidTr="00C94E9F">
        <w:trPr>
          <w:trHeight w:val="288"/>
        </w:trPr>
        <w:tc>
          <w:tcPr>
            <w:tcW w:w="231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Quick Ratio (x)</w:t>
            </w:r>
          </w:p>
        </w:tc>
        <w:tc>
          <w:tcPr>
            <w:tcW w:w="81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0.39x</w:t>
            </w:r>
          </w:p>
        </w:tc>
        <w:tc>
          <w:tcPr>
            <w:tcW w:w="476"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0.54x</w:t>
            </w:r>
          </w:p>
        </w:tc>
        <w:tc>
          <w:tcPr>
            <w:tcW w:w="37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0.52x</w:t>
            </w:r>
          </w:p>
        </w:tc>
        <w:tc>
          <w:tcPr>
            <w:tcW w:w="617"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0.92x</w:t>
            </w:r>
          </w:p>
        </w:tc>
        <w:tc>
          <w:tcPr>
            <w:tcW w:w="406"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1.10x</w:t>
            </w:r>
          </w:p>
        </w:tc>
      </w:tr>
      <w:tr w:rsidR="009D3F1C" w:rsidRPr="00182D6D" w:rsidTr="00C94E9F">
        <w:trPr>
          <w:trHeight w:val="288"/>
        </w:trPr>
        <w:tc>
          <w:tcPr>
            <w:tcW w:w="231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Working Capital Position</w:t>
            </w:r>
          </w:p>
        </w:tc>
        <w:tc>
          <w:tcPr>
            <w:tcW w:w="81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Deficit</w:t>
            </w:r>
          </w:p>
        </w:tc>
        <w:tc>
          <w:tcPr>
            <w:tcW w:w="476"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Deficit</w:t>
            </w:r>
          </w:p>
        </w:tc>
        <w:tc>
          <w:tcPr>
            <w:tcW w:w="37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Deficit</w:t>
            </w:r>
          </w:p>
        </w:tc>
        <w:tc>
          <w:tcPr>
            <w:tcW w:w="617"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Balanced</w:t>
            </w:r>
          </w:p>
        </w:tc>
        <w:tc>
          <w:tcPr>
            <w:tcW w:w="406"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Surplus</w:t>
            </w:r>
          </w:p>
        </w:tc>
      </w:tr>
    </w:tbl>
    <w:p w:rsidR="009D3F1C" w:rsidRPr="00182D6D" w:rsidRDefault="009D3F1C" w:rsidP="009D3F1C">
      <w:pPr>
        <w:spacing w:line="360" w:lineRule="auto"/>
        <w:rPr>
          <w:rFonts w:ascii="Arial" w:hAnsi="Arial" w:cs="Arial"/>
          <w:lang w:val="en-US"/>
        </w:rPr>
      </w:pPr>
    </w:p>
    <w:p w:rsidR="009D3F1C" w:rsidRPr="00182D6D" w:rsidRDefault="009D3F1C" w:rsidP="009D3F1C">
      <w:pPr>
        <w:pStyle w:val="Heading2"/>
        <w:rPr>
          <w:rFonts w:ascii="Arial" w:hAnsi="Arial" w:cs="Arial"/>
        </w:rPr>
      </w:pPr>
      <w:bookmarkStart w:id="35" w:name="_Toc235783852"/>
      <w:r w:rsidRPr="00182D6D">
        <w:rPr>
          <w:rFonts w:ascii="Arial" w:hAnsi="Arial" w:cs="Arial"/>
        </w:rPr>
        <w:t>Appendix B: Comprehensive Capital Budgeting &amp; Investment Appraisal Models</w:t>
      </w:r>
      <w:bookmarkEnd w:id="35"/>
    </w:p>
    <w:p w:rsidR="009D3F1C" w:rsidRPr="00182D6D" w:rsidRDefault="009D3F1C" w:rsidP="009D3F1C">
      <w:pPr>
        <w:pStyle w:val="Caption"/>
        <w:keepNext/>
        <w:rPr>
          <w:rFonts w:ascii="Arial" w:hAnsi="Arial" w:cs="Arial"/>
        </w:rPr>
      </w:pPr>
      <w:r w:rsidRPr="00182D6D">
        <w:rPr>
          <w:rFonts w:ascii="Arial" w:hAnsi="Arial" w:cs="Arial"/>
        </w:rPr>
        <w:t xml:space="preserve">Table </w:t>
      </w:r>
      <w:r w:rsidRPr="00182D6D">
        <w:rPr>
          <w:rFonts w:ascii="Arial" w:hAnsi="Arial" w:cs="Arial"/>
        </w:rPr>
        <w:fldChar w:fldCharType="begin"/>
      </w:r>
      <w:r w:rsidRPr="00182D6D">
        <w:rPr>
          <w:rFonts w:ascii="Arial" w:hAnsi="Arial" w:cs="Arial"/>
        </w:rPr>
        <w:instrText xml:space="preserve"> SEQ Table \* ARABIC </w:instrText>
      </w:r>
      <w:r w:rsidRPr="00182D6D">
        <w:rPr>
          <w:rFonts w:ascii="Arial" w:hAnsi="Arial" w:cs="Arial"/>
        </w:rPr>
        <w:fldChar w:fldCharType="separate"/>
      </w:r>
      <w:r w:rsidRPr="00182D6D">
        <w:rPr>
          <w:rFonts w:ascii="Arial" w:hAnsi="Arial" w:cs="Arial"/>
          <w:noProof/>
        </w:rPr>
        <w:t>12</w:t>
      </w:r>
      <w:r w:rsidRPr="00182D6D">
        <w:rPr>
          <w:rFonts w:ascii="Arial" w:hAnsi="Arial" w:cs="Arial"/>
        </w:rPr>
        <w:fldChar w:fldCharType="end"/>
      </w:r>
      <w:r w:rsidRPr="00182D6D">
        <w:rPr>
          <w:rFonts w:ascii="Arial" w:hAnsi="Arial" w:cs="Arial"/>
        </w:rPr>
        <w:t>: C</w:t>
      </w:r>
      <w:r w:rsidRPr="00182D6D">
        <w:rPr>
          <w:rFonts w:ascii="Arial" w:hAnsi="Arial" w:cs="Arial"/>
          <w:noProof/>
        </w:rPr>
        <w:t>apital budgeting parameters and assumptions</w:t>
      </w:r>
    </w:p>
    <w:tbl>
      <w:tblPr>
        <w:tblStyle w:val="TableGrid"/>
        <w:tblW w:w="5000" w:type="pct"/>
        <w:tblLook w:val="04A0" w:firstRow="1" w:lastRow="0" w:firstColumn="1" w:lastColumn="0" w:noHBand="0" w:noVBand="1"/>
      </w:tblPr>
      <w:tblGrid>
        <w:gridCol w:w="7090"/>
        <w:gridCol w:w="1926"/>
      </w:tblGrid>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Initial Outlay (I0):</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£5,00,00,000</w:t>
            </w: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Hurdle Rate / Discount Rate (r):</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8.00%</w:t>
            </w: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Asset Economic Life (N):</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5 Years</w:t>
            </w: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Depreciation Method:</w:t>
            </w:r>
          </w:p>
        </w:tc>
        <w:tc>
          <w:tcPr>
            <w:tcW w:w="1068"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Straight Line</w:t>
            </w: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Annual Depreciation Expense:</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£1,00,00,000</w:t>
            </w:r>
          </w:p>
        </w:tc>
      </w:tr>
    </w:tbl>
    <w:p w:rsidR="009D3F1C" w:rsidRPr="00182D6D" w:rsidRDefault="009D3F1C" w:rsidP="009D3F1C">
      <w:pPr>
        <w:spacing w:line="360" w:lineRule="auto"/>
        <w:rPr>
          <w:rFonts w:ascii="Arial" w:hAnsi="Arial" w:cs="Arial"/>
          <w:lang w:val="en-US"/>
        </w:rPr>
      </w:pPr>
    </w:p>
    <w:p w:rsidR="009D3F1C" w:rsidRPr="00182D6D" w:rsidRDefault="009D3F1C" w:rsidP="009D3F1C">
      <w:pPr>
        <w:pStyle w:val="Caption"/>
        <w:keepNext/>
        <w:rPr>
          <w:rFonts w:ascii="Arial" w:hAnsi="Arial" w:cs="Arial"/>
        </w:rPr>
      </w:pPr>
      <w:r w:rsidRPr="00182D6D">
        <w:rPr>
          <w:rFonts w:ascii="Arial" w:hAnsi="Arial" w:cs="Arial"/>
        </w:rPr>
        <w:t xml:space="preserve">Table </w:t>
      </w:r>
      <w:r w:rsidRPr="00182D6D">
        <w:rPr>
          <w:rFonts w:ascii="Arial" w:hAnsi="Arial" w:cs="Arial"/>
        </w:rPr>
        <w:fldChar w:fldCharType="begin"/>
      </w:r>
      <w:r w:rsidRPr="00182D6D">
        <w:rPr>
          <w:rFonts w:ascii="Arial" w:hAnsi="Arial" w:cs="Arial"/>
        </w:rPr>
        <w:instrText xml:space="preserve"> SEQ Table \* ARABIC </w:instrText>
      </w:r>
      <w:r w:rsidRPr="00182D6D">
        <w:rPr>
          <w:rFonts w:ascii="Arial" w:hAnsi="Arial" w:cs="Arial"/>
        </w:rPr>
        <w:fldChar w:fldCharType="separate"/>
      </w:r>
      <w:r w:rsidRPr="00182D6D">
        <w:rPr>
          <w:rFonts w:ascii="Arial" w:hAnsi="Arial" w:cs="Arial"/>
          <w:noProof/>
        </w:rPr>
        <w:t>13</w:t>
      </w:r>
      <w:r w:rsidRPr="00182D6D">
        <w:rPr>
          <w:rFonts w:ascii="Arial" w:hAnsi="Arial" w:cs="Arial"/>
        </w:rPr>
        <w:fldChar w:fldCharType="end"/>
      </w:r>
      <w:r w:rsidRPr="00182D6D">
        <w:rPr>
          <w:rFonts w:ascii="Arial" w:hAnsi="Arial" w:cs="Arial"/>
        </w:rPr>
        <w:t>: Discounted cash fl</w:t>
      </w:r>
      <w:r w:rsidRPr="00182D6D">
        <w:rPr>
          <w:rFonts w:ascii="Arial" w:hAnsi="Arial" w:cs="Arial"/>
          <w:noProof/>
        </w:rPr>
        <w:t>ow model: Project A</w:t>
      </w:r>
    </w:p>
    <w:tbl>
      <w:tblPr>
        <w:tblW w:w="5000" w:type="pct"/>
        <w:tblLook w:val="04A0" w:firstRow="1" w:lastRow="0" w:firstColumn="1" w:lastColumn="0" w:noHBand="0" w:noVBand="1"/>
      </w:tblPr>
      <w:tblGrid>
        <w:gridCol w:w="2281"/>
        <w:gridCol w:w="1537"/>
        <w:gridCol w:w="1327"/>
        <w:gridCol w:w="1748"/>
        <w:gridCol w:w="2133"/>
      </w:tblGrid>
      <w:tr w:rsidR="009D3F1C" w:rsidRPr="00182D6D" w:rsidTr="00C94E9F">
        <w:trPr>
          <w:trHeight w:val="288"/>
        </w:trPr>
        <w:tc>
          <w:tcPr>
            <w:tcW w:w="2140"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left"/>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Operating Horizon</w:t>
            </w:r>
          </w:p>
        </w:tc>
        <w:tc>
          <w:tcPr>
            <w:tcW w:w="581"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Net Cash Flow (£)</w:t>
            </w:r>
          </w:p>
        </w:tc>
        <w:tc>
          <w:tcPr>
            <w:tcW w:w="499"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PV Factor (8%)</w:t>
            </w:r>
          </w:p>
        </w:tc>
        <w:tc>
          <w:tcPr>
            <w:tcW w:w="669"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Present Value (PV £)</w:t>
            </w:r>
          </w:p>
        </w:tc>
        <w:tc>
          <w:tcPr>
            <w:tcW w:w="1111"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Cumulative Cash Flow (£)</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0</w:t>
            </w:r>
          </w:p>
        </w:tc>
        <w:tc>
          <w:tcPr>
            <w:tcW w:w="581" w:type="pct"/>
            <w:tcBorders>
              <w:top w:val="single" w:sz="4" w:space="0" w:color="D9D9D9"/>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(£5,00,00,000)</w:t>
            </w:r>
          </w:p>
        </w:tc>
        <w:tc>
          <w:tcPr>
            <w:tcW w:w="499"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1.0000</w:t>
            </w:r>
          </w:p>
        </w:tc>
        <w:tc>
          <w:tcPr>
            <w:tcW w:w="669"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(£5,00,00,000)</w:t>
            </w:r>
          </w:p>
        </w:tc>
        <w:tc>
          <w:tcPr>
            <w:tcW w:w="1111"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(£5,00,00,000)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1</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£1,00,00,000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0.9259</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£92,59,259</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(£4,00,00,000)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2</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£1,20,00,000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0.8573</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£1,02,88,066</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(£2,80,00,000)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3</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£1,40,00,000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0.7938</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£1,11,13,651</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(£1,40,00,000)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4</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£1,00,00,000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0.7350</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£73,50,299</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(£40,00,000)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5</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£80,00,000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0.6806</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£54,44,666</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£40,00,000</w:t>
            </w:r>
          </w:p>
        </w:tc>
      </w:tr>
      <w:tr w:rsidR="009D3F1C" w:rsidRPr="00182D6D" w:rsidTr="00C94E9F">
        <w:trPr>
          <w:trHeight w:val="288"/>
        </w:trPr>
        <w:tc>
          <w:tcPr>
            <w:tcW w:w="2140" w:type="pct"/>
            <w:tcBorders>
              <w:top w:val="single" w:sz="4" w:space="0" w:color="D9D9D9"/>
              <w:left w:val="single" w:sz="4" w:space="0" w:color="D9D9D9"/>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Total Summary / PV Inflows</w:t>
            </w:r>
          </w:p>
        </w:tc>
        <w:tc>
          <w:tcPr>
            <w:tcW w:w="581"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£5,40,00,000</w:t>
            </w:r>
          </w:p>
        </w:tc>
        <w:tc>
          <w:tcPr>
            <w:tcW w:w="499"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w:t>
            </w:r>
          </w:p>
        </w:tc>
        <w:tc>
          <w:tcPr>
            <w:tcW w:w="669"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£4,34,55,941</w:t>
            </w:r>
          </w:p>
        </w:tc>
        <w:tc>
          <w:tcPr>
            <w:tcW w:w="1111"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w:t>
            </w:r>
          </w:p>
        </w:tc>
      </w:tr>
    </w:tbl>
    <w:p w:rsidR="009D3F1C" w:rsidRPr="00182D6D" w:rsidRDefault="009D3F1C" w:rsidP="009D3F1C">
      <w:pPr>
        <w:spacing w:line="360" w:lineRule="auto"/>
        <w:rPr>
          <w:rFonts w:ascii="Arial" w:hAnsi="Arial" w:cs="Arial"/>
          <w:lang w:val="en-US"/>
        </w:rPr>
      </w:pPr>
    </w:p>
    <w:tbl>
      <w:tblPr>
        <w:tblStyle w:val="TableGrid"/>
        <w:tblW w:w="5000" w:type="pct"/>
        <w:tblLook w:val="04A0" w:firstRow="1" w:lastRow="0" w:firstColumn="1" w:lastColumn="0" w:noHBand="0" w:noVBand="1"/>
      </w:tblPr>
      <w:tblGrid>
        <w:gridCol w:w="7090"/>
        <w:gridCol w:w="1926"/>
      </w:tblGrid>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Project A Calculated Financial Metrics</w:t>
            </w:r>
          </w:p>
        </w:tc>
        <w:tc>
          <w:tcPr>
            <w:tcW w:w="1068"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Accounting Rate of Return (ARR)</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1.60%</w:t>
            </w: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Net Present Value (NPV)</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£9,34,55,941</w:t>
            </w: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Profitability Index (PI)</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0.869x</w:t>
            </w: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Internal Rate of Return (IRR)</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20.56%</w:t>
            </w:r>
          </w:p>
        </w:tc>
      </w:tr>
    </w:tbl>
    <w:p w:rsidR="009D3F1C" w:rsidRPr="00182D6D" w:rsidRDefault="009D3F1C" w:rsidP="009D3F1C">
      <w:pPr>
        <w:spacing w:line="360" w:lineRule="auto"/>
        <w:rPr>
          <w:rFonts w:ascii="Arial" w:hAnsi="Arial" w:cs="Arial"/>
          <w:lang w:val="en-US"/>
        </w:rPr>
      </w:pPr>
    </w:p>
    <w:p w:rsidR="009D3F1C" w:rsidRPr="00182D6D" w:rsidRDefault="009D3F1C" w:rsidP="009D3F1C">
      <w:pPr>
        <w:pStyle w:val="Caption"/>
        <w:keepNext/>
        <w:rPr>
          <w:rFonts w:ascii="Arial" w:hAnsi="Arial" w:cs="Arial"/>
        </w:rPr>
      </w:pPr>
      <w:r w:rsidRPr="00182D6D">
        <w:rPr>
          <w:rFonts w:ascii="Arial" w:hAnsi="Arial" w:cs="Arial"/>
        </w:rPr>
        <w:t xml:space="preserve">Table </w:t>
      </w:r>
      <w:r w:rsidRPr="00182D6D">
        <w:rPr>
          <w:rFonts w:ascii="Arial" w:hAnsi="Arial" w:cs="Arial"/>
        </w:rPr>
        <w:fldChar w:fldCharType="begin"/>
      </w:r>
      <w:r w:rsidRPr="00182D6D">
        <w:rPr>
          <w:rFonts w:ascii="Arial" w:hAnsi="Arial" w:cs="Arial"/>
        </w:rPr>
        <w:instrText xml:space="preserve"> SEQ Table \* ARABIC </w:instrText>
      </w:r>
      <w:r w:rsidRPr="00182D6D">
        <w:rPr>
          <w:rFonts w:ascii="Arial" w:hAnsi="Arial" w:cs="Arial"/>
        </w:rPr>
        <w:fldChar w:fldCharType="separate"/>
      </w:r>
      <w:r w:rsidRPr="00182D6D">
        <w:rPr>
          <w:rFonts w:ascii="Arial" w:hAnsi="Arial" w:cs="Arial"/>
          <w:noProof/>
        </w:rPr>
        <w:t>14</w:t>
      </w:r>
      <w:r w:rsidRPr="00182D6D">
        <w:rPr>
          <w:rFonts w:ascii="Arial" w:hAnsi="Arial" w:cs="Arial"/>
        </w:rPr>
        <w:fldChar w:fldCharType="end"/>
      </w:r>
      <w:r w:rsidRPr="00182D6D">
        <w:rPr>
          <w:rFonts w:ascii="Arial" w:hAnsi="Arial" w:cs="Arial"/>
        </w:rPr>
        <w:t xml:space="preserve">: Discounted cash flow model: Project </w:t>
      </w:r>
      <w:r w:rsidRPr="00182D6D">
        <w:rPr>
          <w:rFonts w:ascii="Arial" w:hAnsi="Arial" w:cs="Arial"/>
          <w:noProof/>
        </w:rPr>
        <w:t>B</w:t>
      </w:r>
    </w:p>
    <w:tbl>
      <w:tblPr>
        <w:tblW w:w="5000" w:type="pct"/>
        <w:tblLook w:val="04A0" w:firstRow="1" w:lastRow="0" w:firstColumn="1" w:lastColumn="0" w:noHBand="0" w:noVBand="1"/>
      </w:tblPr>
      <w:tblGrid>
        <w:gridCol w:w="2281"/>
        <w:gridCol w:w="1537"/>
        <w:gridCol w:w="1327"/>
        <w:gridCol w:w="1748"/>
        <w:gridCol w:w="2133"/>
      </w:tblGrid>
      <w:tr w:rsidR="009D3F1C" w:rsidRPr="00182D6D" w:rsidTr="00C94E9F">
        <w:trPr>
          <w:trHeight w:val="288"/>
        </w:trPr>
        <w:tc>
          <w:tcPr>
            <w:tcW w:w="2140"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left"/>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Operating Horizon</w:t>
            </w:r>
          </w:p>
        </w:tc>
        <w:tc>
          <w:tcPr>
            <w:tcW w:w="581"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Net Cash Flow (£)</w:t>
            </w:r>
          </w:p>
        </w:tc>
        <w:tc>
          <w:tcPr>
            <w:tcW w:w="499"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PV Factor (8%)</w:t>
            </w:r>
          </w:p>
        </w:tc>
        <w:tc>
          <w:tcPr>
            <w:tcW w:w="669"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Present Value (PV £)</w:t>
            </w:r>
          </w:p>
        </w:tc>
        <w:tc>
          <w:tcPr>
            <w:tcW w:w="1111"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Cumulative Cash Flow (£)</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0</w:t>
            </w:r>
          </w:p>
        </w:tc>
        <w:tc>
          <w:tcPr>
            <w:tcW w:w="581" w:type="pct"/>
            <w:tcBorders>
              <w:top w:val="single" w:sz="4" w:space="0" w:color="D9D9D9"/>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(£5,00,00,000)</w:t>
            </w:r>
          </w:p>
        </w:tc>
        <w:tc>
          <w:tcPr>
            <w:tcW w:w="499"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1.0000</w:t>
            </w:r>
          </w:p>
        </w:tc>
        <w:tc>
          <w:tcPr>
            <w:tcW w:w="669"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(£5,00,00,000)</w:t>
            </w:r>
          </w:p>
        </w:tc>
        <w:tc>
          <w:tcPr>
            <w:tcW w:w="1111"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(£5,00,00,000)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1</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£1,10,00,000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0.9259</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£1,01,85,185</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(£3,90,00,000)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2</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£1,10,00,000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0.8573</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£94,30,727</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(£2,80,00,000)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3</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£1,10,00,000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0.7938</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£87,32,155</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(£1,70,00,000)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4</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£1,10,00,000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0.7350</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£80,85,328</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(£60,00,000)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lastRenderedPageBreak/>
              <w:t>Year 5</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£1,10,00,000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0.6806</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£74,86,415</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£50,00,000</w:t>
            </w:r>
          </w:p>
        </w:tc>
      </w:tr>
      <w:tr w:rsidR="009D3F1C" w:rsidRPr="00182D6D" w:rsidTr="00C94E9F">
        <w:trPr>
          <w:trHeight w:val="288"/>
        </w:trPr>
        <w:tc>
          <w:tcPr>
            <w:tcW w:w="2140" w:type="pct"/>
            <w:tcBorders>
              <w:top w:val="single" w:sz="4" w:space="0" w:color="D9D9D9"/>
              <w:left w:val="single" w:sz="4" w:space="0" w:color="D9D9D9"/>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Total Summary / PV Inflows</w:t>
            </w:r>
          </w:p>
        </w:tc>
        <w:tc>
          <w:tcPr>
            <w:tcW w:w="581"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£5,50,00,000</w:t>
            </w:r>
          </w:p>
        </w:tc>
        <w:tc>
          <w:tcPr>
            <w:tcW w:w="499"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w:t>
            </w:r>
          </w:p>
        </w:tc>
        <w:tc>
          <w:tcPr>
            <w:tcW w:w="669"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£4,39,19,810</w:t>
            </w:r>
          </w:p>
        </w:tc>
        <w:tc>
          <w:tcPr>
            <w:tcW w:w="1111"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w:t>
            </w:r>
          </w:p>
        </w:tc>
      </w:tr>
    </w:tbl>
    <w:p w:rsidR="009D3F1C" w:rsidRPr="00182D6D" w:rsidRDefault="009D3F1C" w:rsidP="009D3F1C">
      <w:pPr>
        <w:spacing w:line="360" w:lineRule="auto"/>
        <w:rPr>
          <w:rFonts w:ascii="Arial" w:hAnsi="Arial" w:cs="Arial"/>
          <w:lang w:val="en-US"/>
        </w:rPr>
      </w:pPr>
    </w:p>
    <w:tbl>
      <w:tblPr>
        <w:tblStyle w:val="TableGrid"/>
        <w:tblW w:w="5000" w:type="pct"/>
        <w:tblLook w:val="04A0" w:firstRow="1" w:lastRow="0" w:firstColumn="1" w:lastColumn="0" w:noHBand="0" w:noVBand="1"/>
      </w:tblPr>
      <w:tblGrid>
        <w:gridCol w:w="7090"/>
        <w:gridCol w:w="1926"/>
      </w:tblGrid>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Project B Calculated Financial Metrics</w:t>
            </w:r>
          </w:p>
        </w:tc>
        <w:tc>
          <w:tcPr>
            <w:tcW w:w="1068"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Accounting Rate of Return (ARR)</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2.00%</w:t>
            </w: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Net Present Value (NPV)</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£9,39,19,810</w:t>
            </w: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Profitability Index (PI)</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0.878x</w:t>
            </w: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Internal Rate of Return (IRR)</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20.82%</w:t>
            </w:r>
          </w:p>
        </w:tc>
      </w:tr>
    </w:tbl>
    <w:p w:rsidR="009D3F1C" w:rsidRPr="00182D6D" w:rsidRDefault="009D3F1C" w:rsidP="009D3F1C">
      <w:pPr>
        <w:spacing w:line="360" w:lineRule="auto"/>
        <w:rPr>
          <w:rFonts w:ascii="Arial" w:hAnsi="Arial" w:cs="Arial"/>
          <w:lang w:val="en-US"/>
        </w:rPr>
      </w:pPr>
    </w:p>
    <w:p w:rsidR="009D3F1C" w:rsidRPr="00182D6D" w:rsidRDefault="009D3F1C" w:rsidP="009D3F1C">
      <w:pPr>
        <w:pStyle w:val="Caption"/>
        <w:keepNext/>
        <w:rPr>
          <w:rFonts w:ascii="Arial" w:hAnsi="Arial" w:cs="Arial"/>
        </w:rPr>
      </w:pPr>
      <w:r w:rsidRPr="00182D6D">
        <w:rPr>
          <w:rFonts w:ascii="Arial" w:hAnsi="Arial" w:cs="Arial"/>
        </w:rPr>
        <w:t xml:space="preserve">Table </w:t>
      </w:r>
      <w:r w:rsidRPr="00182D6D">
        <w:rPr>
          <w:rFonts w:ascii="Arial" w:hAnsi="Arial" w:cs="Arial"/>
        </w:rPr>
        <w:fldChar w:fldCharType="begin"/>
      </w:r>
      <w:r w:rsidRPr="00182D6D">
        <w:rPr>
          <w:rFonts w:ascii="Arial" w:hAnsi="Arial" w:cs="Arial"/>
        </w:rPr>
        <w:instrText xml:space="preserve"> SEQ Table \* ARABIC </w:instrText>
      </w:r>
      <w:r w:rsidRPr="00182D6D">
        <w:rPr>
          <w:rFonts w:ascii="Arial" w:hAnsi="Arial" w:cs="Arial"/>
        </w:rPr>
        <w:fldChar w:fldCharType="separate"/>
      </w:r>
      <w:r w:rsidRPr="00182D6D">
        <w:rPr>
          <w:rFonts w:ascii="Arial" w:hAnsi="Arial" w:cs="Arial"/>
          <w:noProof/>
        </w:rPr>
        <w:t>15</w:t>
      </w:r>
      <w:r w:rsidRPr="00182D6D">
        <w:rPr>
          <w:rFonts w:ascii="Arial" w:hAnsi="Arial" w:cs="Arial"/>
        </w:rPr>
        <w:fldChar w:fldCharType="end"/>
      </w:r>
      <w:r w:rsidRPr="00182D6D">
        <w:rPr>
          <w:rFonts w:ascii="Arial" w:hAnsi="Arial" w:cs="Arial"/>
        </w:rPr>
        <w:t xml:space="preserve">: </w:t>
      </w:r>
      <w:r w:rsidRPr="00182D6D">
        <w:rPr>
          <w:rFonts w:ascii="Arial" w:hAnsi="Arial" w:cs="Arial"/>
          <w:noProof/>
        </w:rPr>
        <w:t>Discounted cash flow model: Project C</w:t>
      </w:r>
    </w:p>
    <w:tbl>
      <w:tblPr>
        <w:tblW w:w="5000" w:type="pct"/>
        <w:tblLook w:val="04A0" w:firstRow="1" w:lastRow="0" w:firstColumn="1" w:lastColumn="0" w:noHBand="0" w:noVBand="1"/>
      </w:tblPr>
      <w:tblGrid>
        <w:gridCol w:w="2281"/>
        <w:gridCol w:w="1537"/>
        <w:gridCol w:w="1327"/>
        <w:gridCol w:w="1748"/>
        <w:gridCol w:w="2133"/>
      </w:tblGrid>
      <w:tr w:rsidR="009D3F1C" w:rsidRPr="00182D6D" w:rsidTr="00C94E9F">
        <w:trPr>
          <w:trHeight w:val="288"/>
        </w:trPr>
        <w:tc>
          <w:tcPr>
            <w:tcW w:w="2140"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left"/>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Operating Horizon</w:t>
            </w:r>
          </w:p>
        </w:tc>
        <w:tc>
          <w:tcPr>
            <w:tcW w:w="581"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Net Cash Flow (£)</w:t>
            </w:r>
          </w:p>
        </w:tc>
        <w:tc>
          <w:tcPr>
            <w:tcW w:w="499"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PV Factor (8%)</w:t>
            </w:r>
          </w:p>
        </w:tc>
        <w:tc>
          <w:tcPr>
            <w:tcW w:w="669"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Present Value (PV £)</w:t>
            </w:r>
          </w:p>
        </w:tc>
        <w:tc>
          <w:tcPr>
            <w:tcW w:w="1111"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Cumulative Cash Flow (£)</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0</w:t>
            </w:r>
          </w:p>
        </w:tc>
        <w:tc>
          <w:tcPr>
            <w:tcW w:w="581" w:type="pct"/>
            <w:tcBorders>
              <w:top w:val="single" w:sz="4" w:space="0" w:color="D9D9D9"/>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(£5,00,00,000)</w:t>
            </w:r>
          </w:p>
        </w:tc>
        <w:tc>
          <w:tcPr>
            <w:tcW w:w="499"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1.0000</w:t>
            </w:r>
          </w:p>
        </w:tc>
        <w:tc>
          <w:tcPr>
            <w:tcW w:w="669"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(£5,00,00,000)</w:t>
            </w:r>
          </w:p>
        </w:tc>
        <w:tc>
          <w:tcPr>
            <w:tcW w:w="1111"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(£5,00,00,000)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1</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0.9259</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£46,29,630</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(£4,50,00,000)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2</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£1,00,00,000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0.8573</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£85,73,388</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(£3,50,00,000)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3</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£2,00,00,000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0.7938</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£1,58,76,645</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FF0000"/>
                <w:kern w:val="0"/>
                <w:sz w:val="22"/>
                <w:szCs w:val="22"/>
                <w:lang w:eastAsia="en-IN"/>
                <w14:ligatures w14:val="none"/>
              </w:rPr>
              <w:t>(£1,50,00,000)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4</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£2,50,00,000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0.7350</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£1,83,75,746</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£1,00,00,000</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Year 5</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0.6806</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£34,02,916</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£1,50,00,000</w:t>
            </w:r>
          </w:p>
        </w:tc>
      </w:tr>
      <w:tr w:rsidR="009D3F1C" w:rsidRPr="00182D6D" w:rsidTr="00C94E9F">
        <w:trPr>
          <w:trHeight w:val="288"/>
        </w:trPr>
        <w:tc>
          <w:tcPr>
            <w:tcW w:w="2140" w:type="pct"/>
            <w:tcBorders>
              <w:top w:val="single" w:sz="4" w:space="0" w:color="D9D9D9"/>
              <w:left w:val="single" w:sz="4" w:space="0" w:color="D9D9D9"/>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Total Summary / PV Inflows</w:t>
            </w:r>
          </w:p>
        </w:tc>
        <w:tc>
          <w:tcPr>
            <w:tcW w:w="581"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£6,50,00,000</w:t>
            </w:r>
          </w:p>
        </w:tc>
        <w:tc>
          <w:tcPr>
            <w:tcW w:w="499"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w:t>
            </w:r>
          </w:p>
        </w:tc>
        <w:tc>
          <w:tcPr>
            <w:tcW w:w="669"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£5,08,58,325</w:t>
            </w:r>
          </w:p>
        </w:tc>
        <w:tc>
          <w:tcPr>
            <w:tcW w:w="1111" w:type="pct"/>
            <w:tcBorders>
              <w:top w:val="nil"/>
              <w:left w:val="nil"/>
              <w:bottom w:val="double" w:sz="6" w:space="0" w:color="1B365D"/>
              <w:right w:val="single" w:sz="4" w:space="0" w:color="D9D9D9"/>
            </w:tcBorders>
            <w:shd w:val="clear" w:color="D9E1E8" w:fill="D9E1E8"/>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w:t>
            </w:r>
          </w:p>
        </w:tc>
      </w:tr>
    </w:tbl>
    <w:p w:rsidR="009D3F1C" w:rsidRPr="00182D6D" w:rsidRDefault="009D3F1C" w:rsidP="009D3F1C">
      <w:pPr>
        <w:spacing w:line="360" w:lineRule="auto"/>
        <w:rPr>
          <w:rFonts w:ascii="Arial" w:hAnsi="Arial" w:cs="Arial"/>
          <w:lang w:val="en-US"/>
        </w:rPr>
      </w:pPr>
    </w:p>
    <w:tbl>
      <w:tblPr>
        <w:tblStyle w:val="TableGrid"/>
        <w:tblW w:w="5000" w:type="pct"/>
        <w:tblLook w:val="04A0" w:firstRow="1" w:lastRow="0" w:firstColumn="1" w:lastColumn="0" w:noHBand="0" w:noVBand="1"/>
      </w:tblPr>
      <w:tblGrid>
        <w:gridCol w:w="7090"/>
        <w:gridCol w:w="1926"/>
      </w:tblGrid>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Project C Calculated Financial Metrics</w:t>
            </w:r>
          </w:p>
        </w:tc>
        <w:tc>
          <w:tcPr>
            <w:tcW w:w="1068" w:type="pct"/>
            <w:noWrap/>
            <w:hideMark/>
          </w:tcPr>
          <w:p w:rsidR="009D3F1C" w:rsidRPr="00182D6D" w:rsidRDefault="009D3F1C" w:rsidP="00C94E9F">
            <w:pPr>
              <w:jc w:val="left"/>
              <w:rPr>
                <w:rFonts w:ascii="Arial" w:eastAsia="Times New Roman" w:hAnsi="Arial" w:cs="Arial"/>
                <w:b/>
                <w:bCs/>
                <w:color w:val="000000"/>
                <w:kern w:val="0"/>
                <w:sz w:val="22"/>
                <w:szCs w:val="22"/>
                <w:lang w:eastAsia="en-IN"/>
                <w14:ligatures w14:val="none"/>
              </w:rPr>
            </w:pP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Accounting Rate of Return (ARR)</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6.00%</w:t>
            </w: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Net Present Value (NPV)</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£10,08,58,325</w:t>
            </w: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Profitability Index (PI)</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1.017x</w:t>
            </w:r>
          </w:p>
        </w:tc>
      </w:tr>
      <w:tr w:rsidR="009D3F1C" w:rsidRPr="00182D6D" w:rsidTr="00C94E9F">
        <w:trPr>
          <w:trHeight w:val="288"/>
        </w:trPr>
        <w:tc>
          <w:tcPr>
            <w:tcW w:w="3932" w:type="pct"/>
            <w:noWrap/>
            <w:hideMark/>
          </w:tcPr>
          <w:p w:rsidR="009D3F1C" w:rsidRPr="00182D6D" w:rsidRDefault="009D3F1C" w:rsidP="00C94E9F">
            <w:pPr>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Internal Rate of Return (IRR)</w:t>
            </w:r>
          </w:p>
        </w:tc>
        <w:tc>
          <w:tcPr>
            <w:tcW w:w="1068" w:type="pct"/>
            <w:noWrap/>
            <w:hideMark/>
          </w:tcPr>
          <w:p w:rsidR="009D3F1C" w:rsidRPr="00182D6D" w:rsidRDefault="009D3F1C" w:rsidP="00C94E9F">
            <w:pPr>
              <w:jc w:val="righ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24.72%</w:t>
            </w:r>
          </w:p>
        </w:tc>
      </w:tr>
    </w:tbl>
    <w:p w:rsidR="009D3F1C" w:rsidRPr="00182D6D" w:rsidRDefault="009D3F1C" w:rsidP="009D3F1C">
      <w:pPr>
        <w:spacing w:line="360" w:lineRule="auto"/>
        <w:rPr>
          <w:rFonts w:ascii="Arial" w:hAnsi="Arial" w:cs="Arial"/>
          <w:lang w:val="en-US"/>
        </w:rPr>
      </w:pPr>
    </w:p>
    <w:p w:rsidR="009D3F1C" w:rsidRPr="00182D6D" w:rsidRDefault="009D3F1C" w:rsidP="009D3F1C">
      <w:pPr>
        <w:pStyle w:val="Caption"/>
        <w:keepNext/>
        <w:rPr>
          <w:rFonts w:ascii="Arial" w:hAnsi="Arial" w:cs="Arial"/>
        </w:rPr>
      </w:pPr>
      <w:r w:rsidRPr="00182D6D">
        <w:rPr>
          <w:rFonts w:ascii="Arial" w:hAnsi="Arial" w:cs="Arial"/>
        </w:rPr>
        <w:t xml:space="preserve">Table </w:t>
      </w:r>
      <w:r w:rsidRPr="00182D6D">
        <w:rPr>
          <w:rFonts w:ascii="Arial" w:hAnsi="Arial" w:cs="Arial"/>
        </w:rPr>
        <w:fldChar w:fldCharType="begin"/>
      </w:r>
      <w:r w:rsidRPr="00182D6D">
        <w:rPr>
          <w:rFonts w:ascii="Arial" w:hAnsi="Arial" w:cs="Arial"/>
        </w:rPr>
        <w:instrText xml:space="preserve"> SEQ Table \* ARABIC </w:instrText>
      </w:r>
      <w:r w:rsidRPr="00182D6D">
        <w:rPr>
          <w:rFonts w:ascii="Arial" w:hAnsi="Arial" w:cs="Arial"/>
        </w:rPr>
        <w:fldChar w:fldCharType="separate"/>
      </w:r>
      <w:r w:rsidRPr="00182D6D">
        <w:rPr>
          <w:rFonts w:ascii="Arial" w:hAnsi="Arial" w:cs="Arial"/>
          <w:noProof/>
        </w:rPr>
        <w:t>16</w:t>
      </w:r>
      <w:r w:rsidRPr="00182D6D">
        <w:rPr>
          <w:rFonts w:ascii="Arial" w:hAnsi="Arial" w:cs="Arial"/>
        </w:rPr>
        <w:fldChar w:fldCharType="end"/>
      </w:r>
      <w:r w:rsidRPr="00182D6D">
        <w:rPr>
          <w:rFonts w:ascii="Arial" w:hAnsi="Arial" w:cs="Arial"/>
        </w:rPr>
        <w:t>: Investment Appraisal comparative summary matrix</w:t>
      </w:r>
    </w:p>
    <w:tbl>
      <w:tblPr>
        <w:tblW w:w="5000" w:type="pct"/>
        <w:tblLook w:val="04A0" w:firstRow="1" w:lastRow="0" w:firstColumn="1" w:lastColumn="0" w:noHBand="0" w:noVBand="1"/>
      </w:tblPr>
      <w:tblGrid>
        <w:gridCol w:w="2316"/>
        <w:gridCol w:w="1282"/>
        <w:gridCol w:w="1312"/>
        <w:gridCol w:w="1591"/>
        <w:gridCol w:w="2525"/>
      </w:tblGrid>
      <w:tr w:rsidR="009D3F1C" w:rsidRPr="00182D6D" w:rsidTr="00C94E9F">
        <w:trPr>
          <w:trHeight w:val="288"/>
        </w:trPr>
        <w:tc>
          <w:tcPr>
            <w:tcW w:w="2140"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left"/>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Investment Appraisal Metric</w:t>
            </w:r>
          </w:p>
        </w:tc>
        <w:tc>
          <w:tcPr>
            <w:tcW w:w="581"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Project A</w:t>
            </w:r>
          </w:p>
        </w:tc>
        <w:tc>
          <w:tcPr>
            <w:tcW w:w="499"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Project B</w:t>
            </w:r>
          </w:p>
        </w:tc>
        <w:tc>
          <w:tcPr>
            <w:tcW w:w="669"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Project C</w:t>
            </w:r>
          </w:p>
        </w:tc>
        <w:tc>
          <w:tcPr>
            <w:tcW w:w="1111" w:type="pct"/>
            <w:tcBorders>
              <w:top w:val="nil"/>
              <w:left w:val="nil"/>
              <w:bottom w:val="nil"/>
              <w:right w:val="nil"/>
            </w:tcBorders>
            <w:shd w:val="clear" w:color="1B365D" w:fill="1B365D"/>
            <w:noWrap/>
            <w:vAlign w:val="center"/>
            <w:hideMark/>
          </w:tcPr>
          <w:p w:rsidR="009D3F1C" w:rsidRPr="00182D6D" w:rsidRDefault="009D3F1C" w:rsidP="00C94E9F">
            <w:pPr>
              <w:spacing w:after="0" w:line="240" w:lineRule="auto"/>
              <w:jc w:val="center"/>
              <w:rPr>
                <w:rFonts w:ascii="Arial" w:eastAsia="Times New Roman" w:hAnsi="Arial" w:cs="Arial"/>
                <w:b/>
                <w:bCs/>
                <w:color w:val="FFFFFF"/>
                <w:kern w:val="0"/>
                <w:sz w:val="22"/>
                <w:szCs w:val="22"/>
                <w:lang w:eastAsia="en-IN"/>
                <w14:ligatures w14:val="none"/>
              </w:rPr>
            </w:pPr>
            <w:r w:rsidRPr="00182D6D">
              <w:rPr>
                <w:rFonts w:ascii="Arial" w:eastAsia="Times New Roman" w:hAnsi="Arial" w:cs="Arial"/>
                <w:b/>
                <w:bCs/>
                <w:color w:val="FFFFFF"/>
                <w:kern w:val="0"/>
                <w:sz w:val="22"/>
                <w:szCs w:val="22"/>
                <w:lang w:eastAsia="en-IN"/>
                <w14:ligatures w14:val="none"/>
              </w:rPr>
              <w:t>Strategic Decision / Ranking</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Initial Outlay (I0)</w:t>
            </w:r>
          </w:p>
        </w:tc>
        <w:tc>
          <w:tcPr>
            <w:tcW w:w="581" w:type="pct"/>
            <w:tcBorders>
              <w:top w:val="single" w:sz="4" w:space="0" w:color="D9D9D9"/>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-£5,00,00,000</w:t>
            </w:r>
          </w:p>
        </w:tc>
        <w:tc>
          <w:tcPr>
            <w:tcW w:w="499"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-£5,00,00,000</w:t>
            </w:r>
          </w:p>
        </w:tc>
        <w:tc>
          <w:tcPr>
            <w:tcW w:w="669"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-£5,00,00,000</w:t>
            </w:r>
          </w:p>
        </w:tc>
        <w:tc>
          <w:tcPr>
            <w:tcW w:w="1111" w:type="pct"/>
            <w:tcBorders>
              <w:top w:val="single" w:sz="4" w:space="0" w:color="D9D9D9"/>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Equal Allocation</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Total Undiscounted Inflows</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£5,40,00,000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-£5,00,00,000</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Project C &gt; Project B &gt; Project A</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Accounting Rate of Return (ARR)</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9345594058.14%</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Net Cash Flow (£)</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86.91%</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Project C (12.00%) &gt; B &gt; A</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Payback Period (PBP)</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4.40 Years</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4.55 Years</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righ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3.60 Years</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Project C (3.60 Yrs) &gt; A &gt; B</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Net Present Value (NPV)</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£1</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FF0000"/>
                <w:kern w:val="0"/>
                <w:sz w:val="22"/>
                <w:szCs w:val="22"/>
                <w:lang w:eastAsia="en-IN"/>
                <w14:ligatures w14:val="none"/>
              </w:rPr>
              <w:t>(£5,00,00,000)</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£0</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ACCEPT Project C ONLY (+£856.5k)</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lastRenderedPageBreak/>
              <w:t>Profitability Index (PI)</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0.206x</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5000000.000x</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0.000x</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Project C (1.017x) &gt; B &gt; A</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Internal Rate of Return (IRR)</w:t>
            </w:r>
          </w:p>
        </w:tc>
        <w:tc>
          <w:tcPr>
            <w:tcW w:w="581" w:type="pct"/>
            <w:tcBorders>
              <w:top w:val="nil"/>
              <w:left w:val="single" w:sz="4" w:space="0" w:color="D9D9D9"/>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0.00%</w:t>
            </w:r>
          </w:p>
        </w:tc>
        <w:tc>
          <w:tcPr>
            <w:tcW w:w="49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1000000000.00%</w:t>
            </w:r>
          </w:p>
        </w:tc>
        <w:tc>
          <w:tcPr>
            <w:tcW w:w="669"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REJECT</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Project C (8.68%) &gt; Hurdle Rate (8%)</w:t>
            </w:r>
          </w:p>
        </w:tc>
      </w:tr>
      <w:tr w:rsidR="009D3F1C" w:rsidRPr="00182D6D" w:rsidTr="00C94E9F">
        <w:trPr>
          <w:trHeight w:val="288"/>
        </w:trPr>
        <w:tc>
          <w:tcPr>
            <w:tcW w:w="2140" w:type="pct"/>
            <w:tcBorders>
              <w:top w:val="nil"/>
              <w:left w:val="nil"/>
              <w:bottom w:val="nil"/>
              <w:right w:val="nil"/>
            </w:tcBorders>
            <w:noWrap/>
            <w:vAlign w:val="bottom"/>
            <w:hideMark/>
          </w:tcPr>
          <w:p w:rsidR="009D3F1C" w:rsidRPr="00182D6D" w:rsidRDefault="009D3F1C" w:rsidP="00C94E9F">
            <w:pPr>
              <w:spacing w:after="0" w:line="240" w:lineRule="auto"/>
              <w:jc w:val="left"/>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Final Decision Recommendation</w:t>
            </w:r>
          </w:p>
        </w:tc>
        <w:tc>
          <w:tcPr>
            <w:tcW w:w="581" w:type="pct"/>
            <w:tcBorders>
              <w:top w:val="nil"/>
              <w:left w:val="single" w:sz="4" w:space="0" w:color="D9D9D9"/>
              <w:bottom w:val="single" w:sz="4" w:space="0" w:color="D9D9D9"/>
              <w:right w:val="single" w:sz="4" w:space="0" w:color="D9D9D9"/>
            </w:tcBorders>
            <w:shd w:val="clear" w:color="FCE4D6" w:fill="FCE4D6"/>
            <w:noWrap/>
            <w:vAlign w:val="bottom"/>
            <w:hideMark/>
          </w:tcPr>
          <w:p w:rsidR="009D3F1C" w:rsidRPr="00182D6D" w:rsidRDefault="009D3F1C" w:rsidP="00C94E9F">
            <w:pPr>
              <w:spacing w:after="0" w:line="240" w:lineRule="auto"/>
              <w:jc w:val="center"/>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REJECT</w:t>
            </w:r>
          </w:p>
        </w:tc>
        <w:tc>
          <w:tcPr>
            <w:tcW w:w="499" w:type="pct"/>
            <w:tcBorders>
              <w:top w:val="nil"/>
              <w:left w:val="nil"/>
              <w:bottom w:val="single" w:sz="4" w:space="0" w:color="D9D9D9"/>
              <w:right w:val="single" w:sz="4" w:space="0" w:color="D9D9D9"/>
            </w:tcBorders>
            <w:shd w:val="clear" w:color="FCE4D6" w:fill="FCE4D6"/>
            <w:noWrap/>
            <w:vAlign w:val="bottom"/>
            <w:hideMark/>
          </w:tcPr>
          <w:p w:rsidR="009D3F1C" w:rsidRPr="00182D6D" w:rsidRDefault="009D3F1C" w:rsidP="00C94E9F">
            <w:pPr>
              <w:spacing w:after="0" w:line="240" w:lineRule="auto"/>
              <w:jc w:val="center"/>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REJECT</w:t>
            </w:r>
          </w:p>
        </w:tc>
        <w:tc>
          <w:tcPr>
            <w:tcW w:w="669" w:type="pct"/>
            <w:tcBorders>
              <w:top w:val="nil"/>
              <w:left w:val="nil"/>
              <w:bottom w:val="single" w:sz="4" w:space="0" w:color="D9D9D9"/>
              <w:right w:val="single" w:sz="4" w:space="0" w:color="D9D9D9"/>
            </w:tcBorders>
            <w:shd w:val="clear" w:color="E2EFDA" w:fill="E2EFDA"/>
            <w:noWrap/>
            <w:vAlign w:val="bottom"/>
            <w:hideMark/>
          </w:tcPr>
          <w:p w:rsidR="009D3F1C" w:rsidRPr="00182D6D" w:rsidRDefault="009D3F1C" w:rsidP="00C94E9F">
            <w:pPr>
              <w:spacing w:after="0" w:line="240" w:lineRule="auto"/>
              <w:jc w:val="center"/>
              <w:rPr>
                <w:rFonts w:ascii="Arial" w:eastAsia="Times New Roman" w:hAnsi="Arial" w:cs="Arial"/>
                <w:b/>
                <w:bCs/>
                <w:color w:val="000000"/>
                <w:kern w:val="0"/>
                <w:sz w:val="22"/>
                <w:szCs w:val="22"/>
                <w:lang w:eastAsia="en-IN"/>
                <w14:ligatures w14:val="none"/>
              </w:rPr>
            </w:pPr>
            <w:r w:rsidRPr="00182D6D">
              <w:rPr>
                <w:rFonts w:ascii="Arial" w:eastAsia="Times New Roman" w:hAnsi="Arial" w:cs="Arial"/>
                <w:b/>
                <w:bCs/>
                <w:color w:val="000000"/>
                <w:kern w:val="0"/>
                <w:sz w:val="22"/>
                <w:szCs w:val="22"/>
                <w:lang w:eastAsia="en-IN"/>
                <w14:ligatures w14:val="none"/>
              </w:rPr>
              <w:t>ACCEPT PROJECT C</w:t>
            </w:r>
          </w:p>
        </w:tc>
        <w:tc>
          <w:tcPr>
            <w:tcW w:w="1111" w:type="pct"/>
            <w:tcBorders>
              <w:top w:val="nil"/>
              <w:left w:val="nil"/>
              <w:bottom w:val="single" w:sz="4" w:space="0" w:color="D9D9D9"/>
              <w:right w:val="single" w:sz="4" w:space="0" w:color="D9D9D9"/>
            </w:tcBorders>
            <w:noWrap/>
            <w:vAlign w:val="bottom"/>
            <w:hideMark/>
          </w:tcPr>
          <w:p w:rsidR="009D3F1C" w:rsidRPr="00182D6D" w:rsidRDefault="009D3F1C" w:rsidP="00C94E9F">
            <w:pPr>
              <w:spacing w:after="0" w:line="240" w:lineRule="auto"/>
              <w:jc w:val="center"/>
              <w:rPr>
                <w:rFonts w:ascii="Arial" w:eastAsia="Times New Roman" w:hAnsi="Arial" w:cs="Arial"/>
                <w:color w:val="000000"/>
                <w:kern w:val="0"/>
                <w:sz w:val="22"/>
                <w:szCs w:val="22"/>
                <w:lang w:eastAsia="en-IN"/>
                <w14:ligatures w14:val="none"/>
              </w:rPr>
            </w:pPr>
            <w:r w:rsidRPr="00182D6D">
              <w:rPr>
                <w:rFonts w:ascii="Arial" w:eastAsia="Times New Roman" w:hAnsi="Arial" w:cs="Arial"/>
                <w:color w:val="000000"/>
                <w:kern w:val="0"/>
                <w:sz w:val="22"/>
                <w:szCs w:val="22"/>
                <w:lang w:eastAsia="en-IN"/>
                <w14:ligatures w14:val="none"/>
              </w:rPr>
              <w:t>Project C Superior Choice</w:t>
            </w:r>
          </w:p>
        </w:tc>
      </w:tr>
    </w:tbl>
    <w:p w:rsidR="009D3F1C" w:rsidRPr="00182D6D" w:rsidRDefault="009D3F1C" w:rsidP="009D3F1C">
      <w:pPr>
        <w:spacing w:line="360" w:lineRule="auto"/>
        <w:rPr>
          <w:rFonts w:ascii="Arial" w:hAnsi="Arial" w:cs="Arial"/>
          <w:lang w:val="en-US"/>
        </w:rPr>
      </w:pPr>
    </w:p>
    <w:p w:rsidR="009D3F1C" w:rsidRPr="00182D6D" w:rsidRDefault="009D3F1C" w:rsidP="009D3F1C">
      <w:pPr>
        <w:pStyle w:val="Caption"/>
        <w:keepNext/>
        <w:rPr>
          <w:rFonts w:ascii="Arial" w:hAnsi="Arial" w:cs="Arial"/>
        </w:rPr>
      </w:pPr>
      <w:r w:rsidRPr="00182D6D">
        <w:rPr>
          <w:rFonts w:ascii="Arial" w:hAnsi="Arial" w:cs="Arial"/>
        </w:rPr>
        <w:t xml:space="preserve">Table </w:t>
      </w:r>
      <w:r w:rsidRPr="00182D6D">
        <w:rPr>
          <w:rFonts w:ascii="Arial" w:hAnsi="Arial" w:cs="Arial"/>
        </w:rPr>
        <w:fldChar w:fldCharType="begin"/>
      </w:r>
      <w:r w:rsidRPr="00182D6D">
        <w:rPr>
          <w:rFonts w:ascii="Arial" w:hAnsi="Arial" w:cs="Arial"/>
        </w:rPr>
        <w:instrText xml:space="preserve"> SEQ Table \* ARABIC </w:instrText>
      </w:r>
      <w:r w:rsidRPr="00182D6D">
        <w:rPr>
          <w:rFonts w:ascii="Arial" w:hAnsi="Arial" w:cs="Arial"/>
        </w:rPr>
        <w:fldChar w:fldCharType="separate"/>
      </w:r>
      <w:r w:rsidRPr="00182D6D">
        <w:rPr>
          <w:rFonts w:ascii="Arial" w:hAnsi="Arial" w:cs="Arial"/>
          <w:noProof/>
        </w:rPr>
        <w:t>17</w:t>
      </w:r>
      <w:r w:rsidRPr="00182D6D">
        <w:rPr>
          <w:rFonts w:ascii="Arial" w:hAnsi="Arial" w:cs="Arial"/>
        </w:rPr>
        <w:fldChar w:fldCharType="end"/>
      </w:r>
      <w:r w:rsidRPr="00182D6D">
        <w:rPr>
          <w:rFonts w:ascii="Arial" w:hAnsi="Arial" w:cs="Arial"/>
        </w:rPr>
        <w:t>: Consolidated balance sheet of Marriott International</w:t>
      </w:r>
    </w:p>
    <w:tbl>
      <w:tblPr>
        <w:tblStyle w:val="TableGrid"/>
        <w:tblW w:w="0" w:type="auto"/>
        <w:tblLook w:val="04A0" w:firstRow="1" w:lastRow="0" w:firstColumn="1" w:lastColumn="0" w:noHBand="0" w:noVBand="1"/>
      </w:tblPr>
      <w:tblGrid>
        <w:gridCol w:w="4124"/>
        <w:gridCol w:w="951"/>
        <w:gridCol w:w="951"/>
        <w:gridCol w:w="951"/>
        <w:gridCol w:w="977"/>
        <w:gridCol w:w="977"/>
      </w:tblGrid>
      <w:tr w:rsidR="009D3F1C" w:rsidRPr="00182D6D" w:rsidTr="00C94E9F">
        <w:tc>
          <w:tcPr>
            <w:tcW w:w="0" w:type="auto"/>
            <w:hideMark/>
          </w:tcPr>
          <w:p w:rsidR="009D3F1C" w:rsidRPr="00182D6D" w:rsidRDefault="009D3F1C" w:rsidP="00C94E9F">
            <w:pPr>
              <w:jc w:val="center"/>
              <w:rPr>
                <w:rFonts w:ascii="Arial" w:eastAsia="Times New Roman" w:hAnsi="Arial" w:cs="Arial"/>
                <w:b/>
                <w:bCs/>
                <w:kern w:val="0"/>
                <w:lang w:eastAsia="en-IN"/>
                <w14:ligatures w14:val="none"/>
              </w:rPr>
            </w:pPr>
            <w:r w:rsidRPr="00182D6D">
              <w:rPr>
                <w:rFonts w:ascii="Arial" w:eastAsia="Times New Roman" w:hAnsi="Arial" w:cs="Arial"/>
                <w:b/>
                <w:bCs/>
                <w:kern w:val="0"/>
                <w:lang w:eastAsia="en-IN"/>
                <w14:ligatures w14:val="none"/>
              </w:rPr>
              <w:t>Balance Sheet Item (USD millions)</w:t>
            </w:r>
          </w:p>
        </w:tc>
        <w:tc>
          <w:tcPr>
            <w:tcW w:w="0" w:type="auto"/>
            <w:hideMark/>
          </w:tcPr>
          <w:p w:rsidR="009D3F1C" w:rsidRPr="00182D6D" w:rsidRDefault="009D3F1C" w:rsidP="00C94E9F">
            <w:pPr>
              <w:jc w:val="right"/>
              <w:rPr>
                <w:rFonts w:ascii="Arial" w:eastAsia="Times New Roman" w:hAnsi="Arial" w:cs="Arial"/>
                <w:b/>
                <w:bCs/>
                <w:kern w:val="0"/>
                <w:lang w:eastAsia="en-IN"/>
                <w14:ligatures w14:val="none"/>
              </w:rPr>
            </w:pPr>
            <w:r w:rsidRPr="00182D6D">
              <w:rPr>
                <w:rFonts w:ascii="Arial" w:eastAsia="Times New Roman" w:hAnsi="Arial" w:cs="Arial"/>
                <w:b/>
                <w:bCs/>
                <w:kern w:val="0"/>
                <w:lang w:eastAsia="en-IN"/>
                <w14:ligatures w14:val="none"/>
              </w:rPr>
              <w:t>2021</w:t>
            </w:r>
          </w:p>
        </w:tc>
        <w:tc>
          <w:tcPr>
            <w:tcW w:w="0" w:type="auto"/>
            <w:hideMark/>
          </w:tcPr>
          <w:p w:rsidR="009D3F1C" w:rsidRPr="00182D6D" w:rsidRDefault="009D3F1C" w:rsidP="00C94E9F">
            <w:pPr>
              <w:jc w:val="right"/>
              <w:rPr>
                <w:rFonts w:ascii="Arial" w:eastAsia="Times New Roman" w:hAnsi="Arial" w:cs="Arial"/>
                <w:b/>
                <w:bCs/>
                <w:kern w:val="0"/>
                <w:lang w:eastAsia="en-IN"/>
                <w14:ligatures w14:val="none"/>
              </w:rPr>
            </w:pPr>
            <w:r w:rsidRPr="00182D6D">
              <w:rPr>
                <w:rFonts w:ascii="Arial" w:eastAsia="Times New Roman" w:hAnsi="Arial" w:cs="Arial"/>
                <w:b/>
                <w:bCs/>
                <w:kern w:val="0"/>
                <w:lang w:eastAsia="en-IN"/>
                <w14:ligatures w14:val="none"/>
              </w:rPr>
              <w:t>2022</w:t>
            </w:r>
          </w:p>
        </w:tc>
        <w:tc>
          <w:tcPr>
            <w:tcW w:w="0" w:type="auto"/>
            <w:hideMark/>
          </w:tcPr>
          <w:p w:rsidR="009D3F1C" w:rsidRPr="00182D6D" w:rsidRDefault="009D3F1C" w:rsidP="00C94E9F">
            <w:pPr>
              <w:jc w:val="right"/>
              <w:rPr>
                <w:rFonts w:ascii="Arial" w:eastAsia="Times New Roman" w:hAnsi="Arial" w:cs="Arial"/>
                <w:b/>
                <w:bCs/>
                <w:kern w:val="0"/>
                <w:lang w:eastAsia="en-IN"/>
                <w14:ligatures w14:val="none"/>
              </w:rPr>
            </w:pPr>
            <w:r w:rsidRPr="00182D6D">
              <w:rPr>
                <w:rFonts w:ascii="Arial" w:eastAsia="Times New Roman" w:hAnsi="Arial" w:cs="Arial"/>
                <w:b/>
                <w:bCs/>
                <w:kern w:val="0"/>
                <w:lang w:eastAsia="en-IN"/>
                <w14:ligatures w14:val="none"/>
              </w:rPr>
              <w:t>2023</w:t>
            </w:r>
          </w:p>
        </w:tc>
        <w:tc>
          <w:tcPr>
            <w:tcW w:w="0" w:type="auto"/>
            <w:hideMark/>
          </w:tcPr>
          <w:p w:rsidR="009D3F1C" w:rsidRPr="00182D6D" w:rsidRDefault="009D3F1C" w:rsidP="00C94E9F">
            <w:pPr>
              <w:jc w:val="right"/>
              <w:rPr>
                <w:rFonts w:ascii="Arial" w:eastAsia="Times New Roman" w:hAnsi="Arial" w:cs="Arial"/>
                <w:b/>
                <w:bCs/>
                <w:kern w:val="0"/>
                <w:lang w:eastAsia="en-IN"/>
                <w14:ligatures w14:val="none"/>
              </w:rPr>
            </w:pPr>
            <w:r w:rsidRPr="00182D6D">
              <w:rPr>
                <w:rFonts w:ascii="Arial" w:eastAsia="Times New Roman" w:hAnsi="Arial" w:cs="Arial"/>
                <w:b/>
                <w:bCs/>
                <w:kern w:val="0"/>
                <w:lang w:eastAsia="en-IN"/>
                <w14:ligatures w14:val="none"/>
              </w:rPr>
              <w:t>2024</w:t>
            </w:r>
          </w:p>
        </w:tc>
        <w:tc>
          <w:tcPr>
            <w:tcW w:w="0" w:type="auto"/>
            <w:hideMark/>
          </w:tcPr>
          <w:p w:rsidR="009D3F1C" w:rsidRPr="00182D6D" w:rsidRDefault="009D3F1C" w:rsidP="00C94E9F">
            <w:pPr>
              <w:jc w:val="right"/>
              <w:rPr>
                <w:rFonts w:ascii="Arial" w:eastAsia="Times New Roman" w:hAnsi="Arial" w:cs="Arial"/>
                <w:b/>
                <w:bCs/>
                <w:kern w:val="0"/>
                <w:lang w:eastAsia="en-IN"/>
                <w14:ligatures w14:val="none"/>
              </w:rPr>
            </w:pPr>
            <w:r w:rsidRPr="00182D6D">
              <w:rPr>
                <w:rFonts w:ascii="Arial" w:eastAsia="Times New Roman" w:hAnsi="Arial" w:cs="Arial"/>
                <w:b/>
                <w:bCs/>
                <w:kern w:val="0"/>
                <w:lang w:eastAsia="en-IN"/>
                <w14:ligatures w14:val="none"/>
              </w:rPr>
              <w:t>2025</w:t>
            </w:r>
          </w:p>
        </w:tc>
      </w:tr>
      <w:tr w:rsidR="009D3F1C" w:rsidRPr="00182D6D" w:rsidTr="00C94E9F">
        <w:tc>
          <w:tcPr>
            <w:tcW w:w="0" w:type="auto"/>
            <w:hideMark/>
          </w:tcPr>
          <w:p w:rsidR="009D3F1C" w:rsidRPr="00182D6D" w:rsidRDefault="009D3F1C" w:rsidP="00C94E9F">
            <w:pPr>
              <w:jc w:val="lef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Cash &amp; Equivalents</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1,393</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507</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338</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396</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358</w:t>
            </w:r>
          </w:p>
        </w:tc>
      </w:tr>
      <w:tr w:rsidR="009D3F1C" w:rsidRPr="00182D6D" w:rsidTr="00C94E9F">
        <w:tc>
          <w:tcPr>
            <w:tcW w:w="0" w:type="auto"/>
            <w:hideMark/>
          </w:tcPr>
          <w:p w:rsidR="009D3F1C" w:rsidRPr="00182D6D" w:rsidRDefault="009D3F1C" w:rsidP="00C94E9F">
            <w:pPr>
              <w:jc w:val="lef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Accounts Receivable</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1,982</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2,571</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2,712</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2,795</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2,909</w:t>
            </w:r>
          </w:p>
        </w:tc>
      </w:tr>
      <w:tr w:rsidR="009D3F1C" w:rsidRPr="00182D6D" w:rsidTr="00C94E9F">
        <w:tc>
          <w:tcPr>
            <w:tcW w:w="0" w:type="auto"/>
            <w:hideMark/>
          </w:tcPr>
          <w:p w:rsidR="009D3F1C" w:rsidRPr="00182D6D" w:rsidRDefault="009D3F1C" w:rsidP="00C94E9F">
            <w:pPr>
              <w:jc w:val="lef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Total Assets</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25,553</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24,815</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25,674</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26,182</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27,540</w:t>
            </w:r>
          </w:p>
        </w:tc>
      </w:tr>
      <w:tr w:rsidR="009D3F1C" w:rsidRPr="00182D6D" w:rsidTr="00C94E9F">
        <w:tc>
          <w:tcPr>
            <w:tcW w:w="0" w:type="auto"/>
            <w:hideMark/>
          </w:tcPr>
          <w:p w:rsidR="009D3F1C" w:rsidRPr="00182D6D" w:rsidRDefault="009D3F1C" w:rsidP="00C94E9F">
            <w:pPr>
              <w:jc w:val="lef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Current Liabilities</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6,407</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7,339</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7,762</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8,649</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8,398</w:t>
            </w:r>
          </w:p>
        </w:tc>
      </w:tr>
      <w:tr w:rsidR="009D3F1C" w:rsidRPr="00182D6D" w:rsidTr="00C94E9F">
        <w:tc>
          <w:tcPr>
            <w:tcW w:w="0" w:type="auto"/>
            <w:hideMark/>
          </w:tcPr>
          <w:p w:rsidR="009D3F1C" w:rsidRPr="00182D6D" w:rsidRDefault="009D3F1C" w:rsidP="00C94E9F">
            <w:pPr>
              <w:jc w:val="lef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Long-Term Liabilities</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17,732</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16,908</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18,594</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20,525</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22,913</w:t>
            </w:r>
          </w:p>
        </w:tc>
      </w:tr>
      <w:tr w:rsidR="009D3F1C" w:rsidRPr="00182D6D" w:rsidTr="00C94E9F">
        <w:tc>
          <w:tcPr>
            <w:tcW w:w="0" w:type="auto"/>
            <w:hideMark/>
          </w:tcPr>
          <w:p w:rsidR="009D3F1C" w:rsidRPr="00182D6D" w:rsidRDefault="009D3F1C" w:rsidP="00C94E9F">
            <w:pPr>
              <w:jc w:val="lef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Total Liabilities</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24,139</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24,247</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26,356</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29,174</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31,311</w:t>
            </w:r>
          </w:p>
        </w:tc>
      </w:tr>
      <w:tr w:rsidR="009D3F1C" w:rsidRPr="00182D6D" w:rsidTr="00C94E9F">
        <w:tc>
          <w:tcPr>
            <w:tcW w:w="0" w:type="auto"/>
            <w:hideMark/>
          </w:tcPr>
          <w:p w:rsidR="009D3F1C" w:rsidRPr="00182D6D" w:rsidRDefault="009D3F1C" w:rsidP="00C94E9F">
            <w:pPr>
              <w:jc w:val="left"/>
              <w:rPr>
                <w:rFonts w:ascii="Arial" w:eastAsia="Times New Roman" w:hAnsi="Arial" w:cs="Arial"/>
                <w:kern w:val="0"/>
                <w:lang w:eastAsia="en-IN"/>
                <w14:ligatures w14:val="none"/>
              </w:rPr>
            </w:pPr>
            <w:r w:rsidRPr="00182D6D">
              <w:rPr>
                <w:rFonts w:ascii="Arial" w:eastAsia="Times New Roman" w:hAnsi="Arial" w:cs="Arial"/>
                <w:kern w:val="0"/>
                <w:lang w:eastAsia="en-IN"/>
                <w14:ligatures w14:val="none"/>
              </w:rPr>
              <w:t>Shareholders' Equity (Deficit)</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1,414</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568</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(682)</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(2,992)</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(3,771)</w:t>
            </w:r>
          </w:p>
        </w:tc>
      </w:tr>
      <w:tr w:rsidR="009D3F1C" w:rsidRPr="00182D6D" w:rsidTr="00C94E9F">
        <w:tc>
          <w:tcPr>
            <w:tcW w:w="0" w:type="auto"/>
            <w:hideMark/>
          </w:tcPr>
          <w:p w:rsidR="009D3F1C" w:rsidRPr="00182D6D" w:rsidRDefault="009D3F1C" w:rsidP="00C94E9F">
            <w:pPr>
              <w:jc w:val="lef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Total Liabilities &amp; Equity</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25,553</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24,815</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25,674</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26,182</w:t>
            </w:r>
          </w:p>
        </w:tc>
        <w:tc>
          <w:tcPr>
            <w:tcW w:w="0" w:type="auto"/>
            <w:hideMark/>
          </w:tcPr>
          <w:p w:rsidR="009D3F1C" w:rsidRPr="00182D6D" w:rsidRDefault="009D3F1C" w:rsidP="00C94E9F">
            <w:pPr>
              <w:jc w:val="right"/>
              <w:rPr>
                <w:rFonts w:ascii="Arial" w:eastAsia="Times New Roman" w:hAnsi="Arial" w:cs="Arial"/>
                <w:kern w:val="0"/>
                <w:lang w:eastAsia="en-IN"/>
                <w14:ligatures w14:val="none"/>
              </w:rPr>
            </w:pPr>
            <w:r w:rsidRPr="00182D6D">
              <w:rPr>
                <w:rFonts w:ascii="Arial" w:eastAsia="Times New Roman" w:hAnsi="Arial" w:cs="Arial"/>
                <w:b/>
                <w:bCs/>
                <w:kern w:val="0"/>
                <w:lang w:eastAsia="en-IN"/>
                <w14:ligatures w14:val="none"/>
              </w:rPr>
              <w:t>27,540</w:t>
            </w:r>
          </w:p>
        </w:tc>
      </w:tr>
    </w:tbl>
    <w:p w:rsidR="009D3F1C" w:rsidRPr="00182D6D" w:rsidRDefault="009D3F1C" w:rsidP="009D3F1C">
      <w:pPr>
        <w:spacing w:line="360" w:lineRule="auto"/>
        <w:rPr>
          <w:rFonts w:ascii="Arial" w:hAnsi="Arial" w:cs="Arial"/>
          <w:lang w:val="en-US"/>
        </w:rPr>
      </w:pPr>
    </w:p>
    <w:p w:rsidR="001710AF" w:rsidRDefault="001710AF">
      <w:bookmarkStart w:id="36" w:name="_GoBack"/>
      <w:bookmarkEnd w:id="36"/>
    </w:p>
    <w:sectPr w:rsidR="001710AF">
      <w:footerReference w:type="default" r:id="rId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5487962"/>
      <w:docPartObj>
        <w:docPartGallery w:val="Page Numbers (Bottom of Page)"/>
        <w:docPartUnique/>
      </w:docPartObj>
    </w:sdtPr>
    <w:sdtEndPr>
      <w:rPr>
        <w:noProof/>
      </w:rPr>
    </w:sdtEndPr>
    <w:sdtContent>
      <w:p w:rsidR="0033054C" w:rsidRDefault="009D3F1C">
        <w:pPr>
          <w:pStyle w:val="Footer"/>
          <w:jc w:val="right"/>
        </w:pPr>
        <w:r>
          <w:fldChar w:fldCharType="begin"/>
        </w:r>
        <w:r>
          <w:instrText xml:space="preserve"> PAGE   \* MERGEFORMAT </w:instrText>
        </w:r>
        <w:r>
          <w:fldChar w:fldCharType="separate"/>
        </w:r>
        <w:r>
          <w:rPr>
            <w:noProof/>
          </w:rPr>
          <w:t>36</w:t>
        </w:r>
        <w:r>
          <w:rPr>
            <w:noProof/>
          </w:rPr>
          <w:fldChar w:fldCharType="end"/>
        </w:r>
      </w:p>
    </w:sdtContent>
  </w:sdt>
  <w:p w:rsidR="0033054C" w:rsidRDefault="009D3F1C">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0B3"/>
    <w:multiLevelType w:val="hybridMultilevel"/>
    <w:tmpl w:val="AB8A4E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F6F521C"/>
    <w:multiLevelType w:val="hybridMultilevel"/>
    <w:tmpl w:val="9E689D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6FF6369"/>
    <w:multiLevelType w:val="hybridMultilevel"/>
    <w:tmpl w:val="002630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F652BC1"/>
    <w:multiLevelType w:val="multilevel"/>
    <w:tmpl w:val="6708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893AB3"/>
    <w:multiLevelType w:val="hybridMultilevel"/>
    <w:tmpl w:val="37A660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75B160A"/>
    <w:multiLevelType w:val="hybridMultilevel"/>
    <w:tmpl w:val="49ACAB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D4F6FB2"/>
    <w:multiLevelType w:val="hybridMultilevel"/>
    <w:tmpl w:val="714277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1054152"/>
    <w:multiLevelType w:val="hybridMultilevel"/>
    <w:tmpl w:val="5D8A03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D8D65C2"/>
    <w:multiLevelType w:val="hybridMultilevel"/>
    <w:tmpl w:val="13E0C0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6512A88"/>
    <w:multiLevelType w:val="hybridMultilevel"/>
    <w:tmpl w:val="B18E39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BBD19FB"/>
    <w:multiLevelType w:val="multilevel"/>
    <w:tmpl w:val="BF1E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FD2736"/>
    <w:multiLevelType w:val="multilevel"/>
    <w:tmpl w:val="E96EA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B85B23"/>
    <w:multiLevelType w:val="multilevel"/>
    <w:tmpl w:val="4E52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DD2E73"/>
    <w:multiLevelType w:val="multilevel"/>
    <w:tmpl w:val="46E0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317027"/>
    <w:multiLevelType w:val="hybridMultilevel"/>
    <w:tmpl w:val="F8406DD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7E7E6932"/>
    <w:multiLevelType w:val="multilevel"/>
    <w:tmpl w:val="DBB2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
  </w:num>
  <w:num w:numId="3">
    <w:abstractNumId w:val="7"/>
  </w:num>
  <w:num w:numId="4">
    <w:abstractNumId w:val="1"/>
  </w:num>
  <w:num w:numId="5">
    <w:abstractNumId w:val="4"/>
  </w:num>
  <w:num w:numId="6">
    <w:abstractNumId w:val="5"/>
  </w:num>
  <w:num w:numId="7">
    <w:abstractNumId w:val="12"/>
  </w:num>
  <w:num w:numId="8">
    <w:abstractNumId w:val="15"/>
  </w:num>
  <w:num w:numId="9">
    <w:abstractNumId w:val="6"/>
  </w:num>
  <w:num w:numId="10">
    <w:abstractNumId w:val="11"/>
  </w:num>
  <w:num w:numId="11">
    <w:abstractNumId w:val="10"/>
  </w:num>
  <w:num w:numId="12">
    <w:abstractNumId w:val="13"/>
  </w:num>
  <w:num w:numId="13">
    <w:abstractNumId w:val="3"/>
  </w:num>
  <w:num w:numId="14">
    <w:abstractNumId w:val="9"/>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F1C"/>
    <w:rsid w:val="001710AF"/>
    <w:rsid w:val="009D3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50CE61-DDDA-428E-912A-F50D3EF70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F1C"/>
    <w:pPr>
      <w:spacing w:line="278" w:lineRule="auto"/>
      <w:jc w:val="both"/>
    </w:pPr>
    <w:rPr>
      <w:rFonts w:ascii="Times New Roman" w:hAnsi="Times New Roman"/>
      <w:kern w:val="2"/>
      <w:sz w:val="24"/>
      <w:szCs w:val="24"/>
      <w:lang w:val="en-IN"/>
      <w14:ligatures w14:val="standardContextual"/>
    </w:rPr>
  </w:style>
  <w:style w:type="paragraph" w:styleId="Heading1">
    <w:name w:val="heading 1"/>
    <w:basedOn w:val="Normal"/>
    <w:next w:val="Normal"/>
    <w:link w:val="Heading1Char"/>
    <w:autoRedefine/>
    <w:uiPriority w:val="9"/>
    <w:qFormat/>
    <w:rsid w:val="009D3F1C"/>
    <w:pPr>
      <w:keepNext/>
      <w:keepLines/>
      <w:spacing w:before="360" w:after="80" w:line="240" w:lineRule="auto"/>
      <w:outlineLvl w:val="0"/>
    </w:pPr>
    <w:rPr>
      <w:rFonts w:eastAsiaTheme="majorEastAsia" w:cstheme="majorBidi"/>
      <w:b/>
      <w:kern w:val="0"/>
      <w:szCs w:val="40"/>
      <w:lang w:val="en-US"/>
      <w14:ligatures w14:val="none"/>
    </w:rPr>
  </w:style>
  <w:style w:type="paragraph" w:styleId="Heading2">
    <w:name w:val="heading 2"/>
    <w:basedOn w:val="Normal"/>
    <w:next w:val="Normal"/>
    <w:link w:val="Heading2Char"/>
    <w:autoRedefine/>
    <w:uiPriority w:val="9"/>
    <w:unhideWhenUsed/>
    <w:qFormat/>
    <w:rsid w:val="009D3F1C"/>
    <w:pPr>
      <w:keepNext/>
      <w:keepLines/>
      <w:spacing w:before="160" w:after="80" w:line="240" w:lineRule="auto"/>
      <w:outlineLvl w:val="1"/>
    </w:pPr>
    <w:rPr>
      <w:rFonts w:eastAsiaTheme="majorEastAsia" w:cstheme="majorBidi"/>
      <w:b/>
      <w:kern w:val="0"/>
      <w:szCs w:val="32"/>
      <w:lang w:val="en-US"/>
      <w14:ligatures w14:val="none"/>
    </w:rPr>
  </w:style>
  <w:style w:type="paragraph" w:styleId="Heading3">
    <w:name w:val="heading 3"/>
    <w:basedOn w:val="Normal"/>
    <w:next w:val="Normal"/>
    <w:link w:val="Heading3Char"/>
    <w:autoRedefine/>
    <w:uiPriority w:val="9"/>
    <w:unhideWhenUsed/>
    <w:qFormat/>
    <w:rsid w:val="009D3F1C"/>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9D3F1C"/>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D3F1C"/>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9D3F1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D3F1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D3F1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D3F1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F1C"/>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9D3F1C"/>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9D3F1C"/>
    <w:rPr>
      <w:rFonts w:ascii="Times New Roman" w:eastAsiaTheme="majorEastAsia" w:hAnsi="Times New Roman" w:cstheme="majorBidi"/>
      <w:b/>
      <w:kern w:val="2"/>
      <w:sz w:val="24"/>
      <w:szCs w:val="28"/>
      <w:lang w:val="en-IN"/>
      <w14:ligatures w14:val="standardContextual"/>
    </w:rPr>
  </w:style>
  <w:style w:type="character" w:customStyle="1" w:styleId="Heading4Char">
    <w:name w:val="Heading 4 Char"/>
    <w:basedOn w:val="DefaultParagraphFont"/>
    <w:link w:val="Heading4"/>
    <w:uiPriority w:val="9"/>
    <w:semiHidden/>
    <w:rsid w:val="009D3F1C"/>
    <w:rPr>
      <w:rFonts w:eastAsiaTheme="majorEastAsia" w:cstheme="majorBidi"/>
      <w:i/>
      <w:iCs/>
      <w:color w:val="2E74B5" w:themeColor="accent1" w:themeShade="BF"/>
      <w:kern w:val="2"/>
      <w:sz w:val="24"/>
      <w:szCs w:val="24"/>
      <w:lang w:val="en-IN"/>
      <w14:ligatures w14:val="standardContextual"/>
    </w:rPr>
  </w:style>
  <w:style w:type="character" w:customStyle="1" w:styleId="Heading5Char">
    <w:name w:val="Heading 5 Char"/>
    <w:basedOn w:val="DefaultParagraphFont"/>
    <w:link w:val="Heading5"/>
    <w:uiPriority w:val="9"/>
    <w:semiHidden/>
    <w:rsid w:val="009D3F1C"/>
    <w:rPr>
      <w:rFonts w:eastAsiaTheme="majorEastAsia" w:cstheme="majorBidi"/>
      <w:color w:val="2E74B5" w:themeColor="accent1" w:themeShade="BF"/>
      <w:kern w:val="2"/>
      <w:sz w:val="24"/>
      <w:szCs w:val="24"/>
      <w:lang w:val="en-IN"/>
      <w14:ligatures w14:val="standardContextual"/>
    </w:rPr>
  </w:style>
  <w:style w:type="character" w:customStyle="1" w:styleId="Heading6Char">
    <w:name w:val="Heading 6 Char"/>
    <w:basedOn w:val="DefaultParagraphFont"/>
    <w:link w:val="Heading6"/>
    <w:uiPriority w:val="9"/>
    <w:semiHidden/>
    <w:rsid w:val="009D3F1C"/>
    <w:rPr>
      <w:rFonts w:eastAsiaTheme="majorEastAsia" w:cstheme="majorBidi"/>
      <w:i/>
      <w:iCs/>
      <w:color w:val="595959" w:themeColor="text1" w:themeTint="A6"/>
      <w:kern w:val="2"/>
      <w:sz w:val="24"/>
      <w:szCs w:val="24"/>
      <w:lang w:val="en-IN"/>
      <w14:ligatures w14:val="standardContextual"/>
    </w:rPr>
  </w:style>
  <w:style w:type="character" w:customStyle="1" w:styleId="Heading7Char">
    <w:name w:val="Heading 7 Char"/>
    <w:basedOn w:val="DefaultParagraphFont"/>
    <w:link w:val="Heading7"/>
    <w:uiPriority w:val="9"/>
    <w:semiHidden/>
    <w:rsid w:val="009D3F1C"/>
    <w:rPr>
      <w:rFonts w:eastAsiaTheme="majorEastAsia" w:cstheme="majorBidi"/>
      <w:color w:val="595959" w:themeColor="text1" w:themeTint="A6"/>
      <w:kern w:val="2"/>
      <w:sz w:val="24"/>
      <w:szCs w:val="24"/>
      <w:lang w:val="en-IN"/>
      <w14:ligatures w14:val="standardContextual"/>
    </w:rPr>
  </w:style>
  <w:style w:type="character" w:customStyle="1" w:styleId="Heading8Char">
    <w:name w:val="Heading 8 Char"/>
    <w:basedOn w:val="DefaultParagraphFont"/>
    <w:link w:val="Heading8"/>
    <w:uiPriority w:val="9"/>
    <w:semiHidden/>
    <w:rsid w:val="009D3F1C"/>
    <w:rPr>
      <w:rFonts w:eastAsiaTheme="majorEastAsia" w:cstheme="majorBidi"/>
      <w:i/>
      <w:iCs/>
      <w:color w:val="272727" w:themeColor="text1" w:themeTint="D8"/>
      <w:kern w:val="2"/>
      <w:sz w:val="24"/>
      <w:szCs w:val="24"/>
      <w:lang w:val="en-IN"/>
      <w14:ligatures w14:val="standardContextual"/>
    </w:rPr>
  </w:style>
  <w:style w:type="character" w:customStyle="1" w:styleId="Heading9Char">
    <w:name w:val="Heading 9 Char"/>
    <w:basedOn w:val="DefaultParagraphFont"/>
    <w:link w:val="Heading9"/>
    <w:uiPriority w:val="9"/>
    <w:semiHidden/>
    <w:rsid w:val="009D3F1C"/>
    <w:rPr>
      <w:rFonts w:eastAsiaTheme="majorEastAsia" w:cstheme="majorBidi"/>
      <w:color w:val="272727" w:themeColor="text1" w:themeTint="D8"/>
      <w:kern w:val="2"/>
      <w:sz w:val="24"/>
      <w:szCs w:val="24"/>
      <w:lang w:val="en-IN"/>
      <w14:ligatures w14:val="standardContextual"/>
    </w:rPr>
  </w:style>
  <w:style w:type="paragraph" w:styleId="Caption">
    <w:name w:val="caption"/>
    <w:basedOn w:val="Normal"/>
    <w:next w:val="Normal"/>
    <w:autoRedefine/>
    <w:uiPriority w:val="35"/>
    <w:unhideWhenUsed/>
    <w:qFormat/>
    <w:rsid w:val="009D3F1C"/>
    <w:rPr>
      <w:iCs/>
      <w:szCs w:val="18"/>
    </w:rPr>
  </w:style>
  <w:style w:type="paragraph" w:styleId="TOCHeading">
    <w:name w:val="TOC Heading"/>
    <w:basedOn w:val="Heading1"/>
    <w:next w:val="Normal"/>
    <w:autoRedefine/>
    <w:uiPriority w:val="39"/>
    <w:unhideWhenUsed/>
    <w:qFormat/>
    <w:rsid w:val="009D3F1C"/>
    <w:pPr>
      <w:outlineLvl w:val="9"/>
    </w:pPr>
    <w:rPr>
      <w:sz w:val="28"/>
    </w:rPr>
  </w:style>
  <w:style w:type="paragraph" w:styleId="Title">
    <w:name w:val="Title"/>
    <w:basedOn w:val="Normal"/>
    <w:next w:val="Normal"/>
    <w:link w:val="TitleChar"/>
    <w:uiPriority w:val="10"/>
    <w:qFormat/>
    <w:rsid w:val="009D3F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3F1C"/>
    <w:rPr>
      <w:rFonts w:asciiTheme="majorHAnsi" w:eastAsiaTheme="majorEastAsia" w:hAnsiTheme="majorHAnsi" w:cstheme="majorBidi"/>
      <w:spacing w:val="-10"/>
      <w:kern w:val="28"/>
      <w:sz w:val="56"/>
      <w:szCs w:val="56"/>
      <w:lang w:val="en-IN"/>
      <w14:ligatures w14:val="standardContextual"/>
    </w:rPr>
  </w:style>
  <w:style w:type="paragraph" w:styleId="Subtitle">
    <w:name w:val="Subtitle"/>
    <w:basedOn w:val="Normal"/>
    <w:next w:val="Normal"/>
    <w:link w:val="SubtitleChar"/>
    <w:uiPriority w:val="11"/>
    <w:qFormat/>
    <w:rsid w:val="009D3F1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3F1C"/>
    <w:rPr>
      <w:rFonts w:eastAsiaTheme="majorEastAsia" w:cstheme="majorBidi"/>
      <w:color w:val="595959" w:themeColor="text1" w:themeTint="A6"/>
      <w:spacing w:val="15"/>
      <w:kern w:val="2"/>
      <w:sz w:val="28"/>
      <w:szCs w:val="28"/>
      <w:lang w:val="en-IN"/>
      <w14:ligatures w14:val="standardContextual"/>
    </w:rPr>
  </w:style>
  <w:style w:type="paragraph" w:styleId="Quote">
    <w:name w:val="Quote"/>
    <w:basedOn w:val="Normal"/>
    <w:next w:val="Normal"/>
    <w:link w:val="QuoteChar"/>
    <w:uiPriority w:val="29"/>
    <w:qFormat/>
    <w:rsid w:val="009D3F1C"/>
    <w:pPr>
      <w:spacing w:before="160"/>
      <w:jc w:val="center"/>
    </w:pPr>
    <w:rPr>
      <w:i/>
      <w:iCs/>
      <w:color w:val="404040" w:themeColor="text1" w:themeTint="BF"/>
    </w:rPr>
  </w:style>
  <w:style w:type="character" w:customStyle="1" w:styleId="QuoteChar">
    <w:name w:val="Quote Char"/>
    <w:basedOn w:val="DefaultParagraphFont"/>
    <w:link w:val="Quote"/>
    <w:uiPriority w:val="29"/>
    <w:rsid w:val="009D3F1C"/>
    <w:rPr>
      <w:rFonts w:ascii="Times New Roman" w:hAnsi="Times New Roman"/>
      <w:i/>
      <w:iCs/>
      <w:color w:val="404040" w:themeColor="text1" w:themeTint="BF"/>
      <w:kern w:val="2"/>
      <w:sz w:val="24"/>
      <w:szCs w:val="24"/>
      <w:lang w:val="en-IN"/>
      <w14:ligatures w14:val="standardContextual"/>
    </w:rPr>
  </w:style>
  <w:style w:type="paragraph" w:styleId="ListParagraph">
    <w:name w:val="List Paragraph"/>
    <w:basedOn w:val="Normal"/>
    <w:uiPriority w:val="34"/>
    <w:qFormat/>
    <w:rsid w:val="009D3F1C"/>
    <w:pPr>
      <w:ind w:left="720"/>
      <w:contextualSpacing/>
    </w:pPr>
  </w:style>
  <w:style w:type="character" w:styleId="IntenseEmphasis">
    <w:name w:val="Intense Emphasis"/>
    <w:basedOn w:val="DefaultParagraphFont"/>
    <w:uiPriority w:val="21"/>
    <w:qFormat/>
    <w:rsid w:val="009D3F1C"/>
    <w:rPr>
      <w:i/>
      <w:iCs/>
      <w:color w:val="2E74B5" w:themeColor="accent1" w:themeShade="BF"/>
    </w:rPr>
  </w:style>
  <w:style w:type="paragraph" w:styleId="IntenseQuote">
    <w:name w:val="Intense Quote"/>
    <w:basedOn w:val="Normal"/>
    <w:next w:val="Normal"/>
    <w:link w:val="IntenseQuoteChar"/>
    <w:uiPriority w:val="30"/>
    <w:qFormat/>
    <w:rsid w:val="009D3F1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9D3F1C"/>
    <w:rPr>
      <w:rFonts w:ascii="Times New Roman" w:hAnsi="Times New Roman"/>
      <w:i/>
      <w:iCs/>
      <w:color w:val="2E74B5" w:themeColor="accent1" w:themeShade="BF"/>
      <w:kern w:val="2"/>
      <w:sz w:val="24"/>
      <w:szCs w:val="24"/>
      <w:lang w:val="en-IN"/>
      <w14:ligatures w14:val="standardContextual"/>
    </w:rPr>
  </w:style>
  <w:style w:type="character" w:styleId="IntenseReference">
    <w:name w:val="Intense Reference"/>
    <w:basedOn w:val="DefaultParagraphFont"/>
    <w:uiPriority w:val="32"/>
    <w:qFormat/>
    <w:rsid w:val="009D3F1C"/>
    <w:rPr>
      <w:b/>
      <w:bCs/>
      <w:smallCaps/>
      <w:color w:val="2E74B5" w:themeColor="accent1" w:themeShade="BF"/>
      <w:spacing w:val="5"/>
    </w:rPr>
  </w:style>
  <w:style w:type="table" w:styleId="TableGrid">
    <w:name w:val="Table Grid"/>
    <w:basedOn w:val="TableNormal"/>
    <w:uiPriority w:val="39"/>
    <w:rsid w:val="009D3F1C"/>
    <w:pPr>
      <w:spacing w:after="0" w:line="240" w:lineRule="auto"/>
    </w:pPr>
    <w:rPr>
      <w:kern w:val="2"/>
      <w:sz w:val="24"/>
      <w:szCs w:val="24"/>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D3F1C"/>
    <w:rPr>
      <w:rFonts w:cs="Times New Roman"/>
    </w:rPr>
  </w:style>
  <w:style w:type="character" w:styleId="Hyperlink">
    <w:name w:val="Hyperlink"/>
    <w:basedOn w:val="DefaultParagraphFont"/>
    <w:uiPriority w:val="99"/>
    <w:unhideWhenUsed/>
    <w:rsid w:val="009D3F1C"/>
    <w:rPr>
      <w:color w:val="0563C1" w:themeColor="hyperlink"/>
      <w:u w:val="single"/>
    </w:rPr>
  </w:style>
  <w:style w:type="character" w:customStyle="1" w:styleId="UnresolvedMention">
    <w:name w:val="Unresolved Mention"/>
    <w:basedOn w:val="DefaultParagraphFont"/>
    <w:uiPriority w:val="99"/>
    <w:semiHidden/>
    <w:unhideWhenUsed/>
    <w:rsid w:val="009D3F1C"/>
    <w:rPr>
      <w:color w:val="605E5C"/>
      <w:shd w:val="clear" w:color="auto" w:fill="E1DFDD"/>
    </w:rPr>
  </w:style>
  <w:style w:type="paragraph" w:styleId="Header">
    <w:name w:val="header"/>
    <w:basedOn w:val="Normal"/>
    <w:link w:val="HeaderChar"/>
    <w:uiPriority w:val="99"/>
    <w:unhideWhenUsed/>
    <w:rsid w:val="009D3F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F1C"/>
    <w:rPr>
      <w:rFonts w:ascii="Times New Roman" w:hAnsi="Times New Roman"/>
      <w:kern w:val="2"/>
      <w:sz w:val="24"/>
      <w:szCs w:val="24"/>
      <w:lang w:val="en-IN"/>
      <w14:ligatures w14:val="standardContextual"/>
    </w:rPr>
  </w:style>
  <w:style w:type="paragraph" w:styleId="Footer">
    <w:name w:val="footer"/>
    <w:basedOn w:val="Normal"/>
    <w:link w:val="FooterChar"/>
    <w:uiPriority w:val="99"/>
    <w:unhideWhenUsed/>
    <w:rsid w:val="009D3F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F1C"/>
    <w:rPr>
      <w:rFonts w:ascii="Times New Roman" w:hAnsi="Times New Roman"/>
      <w:kern w:val="2"/>
      <w:sz w:val="24"/>
      <w:szCs w:val="24"/>
      <w:lang w:val="en-IN"/>
      <w14:ligatures w14:val="standardContextual"/>
    </w:rPr>
  </w:style>
  <w:style w:type="paragraph" w:styleId="TOC1">
    <w:name w:val="toc 1"/>
    <w:basedOn w:val="Normal"/>
    <w:next w:val="Normal"/>
    <w:autoRedefine/>
    <w:uiPriority w:val="39"/>
    <w:unhideWhenUsed/>
    <w:rsid w:val="009D3F1C"/>
    <w:pPr>
      <w:spacing w:after="100"/>
    </w:pPr>
  </w:style>
  <w:style w:type="paragraph" w:styleId="TOC2">
    <w:name w:val="toc 2"/>
    <w:basedOn w:val="Normal"/>
    <w:next w:val="Normal"/>
    <w:autoRedefine/>
    <w:uiPriority w:val="39"/>
    <w:unhideWhenUsed/>
    <w:rsid w:val="009D3F1C"/>
    <w:pPr>
      <w:spacing w:after="100"/>
      <w:ind w:left="240"/>
    </w:pPr>
  </w:style>
  <w:style w:type="paragraph" w:styleId="TOC3">
    <w:name w:val="toc 3"/>
    <w:basedOn w:val="Normal"/>
    <w:next w:val="Normal"/>
    <w:autoRedefine/>
    <w:uiPriority w:val="39"/>
    <w:unhideWhenUsed/>
    <w:rsid w:val="009D3F1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macrotrends.net/stocks/charts/MAR/marriott/financial-ratios" TargetMode="External"/><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cientificview.umsf.in.ua/archive/2024/4_88_2024/6.pdf" TargetMode="External"/><Relationship Id="rId25" Type="http://schemas.openxmlformats.org/officeDocument/2006/relationships/image" Target="media/image11.svg"/><Relationship Id="rId2" Type="http://schemas.openxmlformats.org/officeDocument/2006/relationships/styles" Target="styles.xml"/><Relationship Id="rId16" Type="http://schemas.openxmlformats.org/officeDocument/2006/relationships/hyperlink" Target="https://www.researchgate.net/profile/Olaoluwa-Fowosere-2/publication/399899135_Integrative_Research_Paper/links/696f03e55cc49c35ce8024ad/Integrative-Research-Paper.pdf" TargetMode="External"/><Relationship Id="rId20" Type="http://schemas.openxmlformats.org/officeDocument/2006/relationships/hyperlink" Target="https://finance.yahoo.com/news/decoding-marriott-international-inc-mar-050643504.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cbre.com/insights/articles/hotel-loyalty-programs-continue-to-prove-their-value-key-findings-from-675-million-members" TargetMode="External"/><Relationship Id="rId28" Type="http://schemas.openxmlformats.org/officeDocument/2006/relationships/footer" Target="footer1.xml"/><Relationship Id="rId10" Type="http://schemas.openxmlformats.org/officeDocument/2006/relationships/image" Target="media/image6.png"/><Relationship Id="rId19" Type="http://schemas.openxmlformats.org/officeDocument/2006/relationships/hyperlink" Target="https://marriott.gcs-web.com/static-files/9cf0e9b0-bbfa-48a6-9e21-ffbdbc4b2d78"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papers.ssrn.com/sol3/Delivery.cfm?abstractid=5127003" TargetMode="External"/><Relationship Id="rId27" Type="http://schemas.openxmlformats.org/officeDocument/2006/relationships/image" Target="media/image13.sv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36</Pages>
  <Words>7397</Words>
  <Characters>42165</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2026-07-24T10:16:00Z</dcterms:created>
  <dcterms:modified xsi:type="dcterms:W3CDTF">2026-07-24T10:18:00Z</dcterms:modified>
</cp:coreProperties>
</file>