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213189B">
      <w:pPr>
        <w:spacing w:after="0" w:line="480" w:lineRule="auto"/>
      </w:pPr>
    </w:p>
    <w:p w14:paraId="61A3D49D">
      <w:pPr>
        <w:spacing w:after="0" w:line="480" w:lineRule="auto"/>
        <w:rPr>
          <w:rFonts w:ascii="Arial" w:hAnsi="Arial" w:cs="Arial"/>
          <w:b/>
          <w:bCs/>
          <w:sz w:val="24"/>
          <w:szCs w:val="24"/>
          <w:u w:val="single"/>
        </w:rPr>
      </w:pPr>
    </w:p>
    <w:p w14:paraId="15223E90">
      <w:pPr>
        <w:spacing w:after="0" w:line="480" w:lineRule="auto"/>
        <w:jc w:val="center"/>
        <w:rPr>
          <w:rFonts w:ascii="Arial" w:hAnsi="Arial" w:cs="Arial"/>
          <w:b/>
          <w:bCs/>
          <w:sz w:val="24"/>
          <w:szCs w:val="24"/>
          <w:u w:val="single"/>
        </w:rPr>
      </w:pPr>
      <w:r>
        <w:drawing>
          <wp:inline distT="0" distB="0" distL="0" distR="0">
            <wp:extent cx="2742565" cy="998220"/>
            <wp:effectExtent l="0" t="0" r="635" b="7620"/>
            <wp:docPr id="8" name="Picture 8"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l="9187" t="13196" r="8800" b="15294"/>
                    <a:stretch>
                      <a:fillRect/>
                    </a:stretch>
                  </pic:blipFill>
                  <pic:spPr>
                    <a:xfrm>
                      <a:off x="0" y="0"/>
                      <a:ext cx="2755406" cy="1003478"/>
                    </a:xfrm>
                    <a:prstGeom prst="rect">
                      <a:avLst/>
                    </a:prstGeom>
                    <a:noFill/>
                    <a:ln>
                      <a:noFill/>
                    </a:ln>
                  </pic:spPr>
                </pic:pic>
              </a:graphicData>
            </a:graphic>
          </wp:inline>
        </w:drawing>
      </w:r>
    </w:p>
    <w:p w14:paraId="3CCD12DA">
      <w:pPr>
        <w:spacing w:before="240" w:after="240" w:line="360" w:lineRule="auto"/>
        <w:jc w:val="center"/>
        <w:rPr>
          <w:rFonts w:ascii="Times New Roman" w:hAnsi="Times New Roman" w:eastAsia="Times New Roman" w:cs="Times New Roman"/>
          <w:b/>
          <w:bCs/>
          <w:sz w:val="32"/>
          <w:szCs w:val="24"/>
        </w:rPr>
      </w:pPr>
      <w:r>
        <w:rPr>
          <w:rFonts w:ascii="Times New Roman" w:hAnsi="Times New Roman" w:eastAsia="Times New Roman" w:cs="Times New Roman"/>
          <w:b/>
          <w:bCs/>
          <w:sz w:val="32"/>
          <w:szCs w:val="24"/>
        </w:rPr>
        <w:t>Programme: Master of Business Administration</w:t>
      </w:r>
    </w:p>
    <w:p w14:paraId="6F3E43A2">
      <w:pPr>
        <w:spacing w:before="240" w:after="240" w:line="360" w:lineRule="auto"/>
        <w:jc w:val="center"/>
        <w:rPr>
          <w:rFonts w:ascii="Times New Roman" w:hAnsi="Times New Roman" w:eastAsia="Times New Roman" w:cs="Times New Roman"/>
          <w:b/>
          <w:bCs/>
          <w:sz w:val="32"/>
          <w:szCs w:val="24"/>
        </w:rPr>
      </w:pPr>
      <w:r>
        <w:rPr>
          <w:rFonts w:ascii="Times New Roman" w:hAnsi="Times New Roman" w:eastAsia="Times New Roman" w:cs="Times New Roman"/>
          <w:b/>
          <w:bCs/>
          <w:sz w:val="32"/>
          <w:szCs w:val="24"/>
        </w:rPr>
        <w:t>Module Name: Marketing Management</w:t>
      </w:r>
    </w:p>
    <w:p w14:paraId="6E5D01AE">
      <w:pPr>
        <w:spacing w:before="240" w:after="240" w:line="360" w:lineRule="auto"/>
        <w:jc w:val="center"/>
        <w:rPr>
          <w:rFonts w:ascii="Times New Roman" w:hAnsi="Times New Roman" w:eastAsia="Times New Roman" w:cs="Times New Roman"/>
          <w:b/>
          <w:bCs/>
          <w:sz w:val="32"/>
          <w:szCs w:val="24"/>
        </w:rPr>
      </w:pPr>
      <w:r>
        <w:rPr>
          <w:rFonts w:ascii="Times New Roman" w:hAnsi="Times New Roman" w:eastAsia="Times New Roman" w:cs="Times New Roman"/>
          <w:b/>
          <w:bCs/>
          <w:sz w:val="32"/>
          <w:szCs w:val="24"/>
        </w:rPr>
        <w:t>Module code: LCMB7024</w:t>
      </w:r>
    </w:p>
    <w:p w14:paraId="53960F3C">
      <w:pPr>
        <w:spacing w:before="240" w:after="240" w:line="360" w:lineRule="auto"/>
        <w:jc w:val="center"/>
        <w:rPr>
          <w:rFonts w:hint="default" w:ascii="Times New Roman" w:hAnsi="Times New Roman" w:eastAsia="Times New Roman" w:cs="Times New Roman"/>
          <w:b/>
          <w:bCs/>
          <w:sz w:val="32"/>
          <w:szCs w:val="24"/>
          <w:lang w:val="en-US"/>
        </w:rPr>
      </w:pPr>
      <w:r>
        <w:rPr>
          <w:rFonts w:hint="default" w:ascii="Times New Roman" w:hAnsi="Times New Roman" w:eastAsia="Times New Roman" w:cs="Times New Roman"/>
          <w:b/>
          <w:bCs/>
          <w:sz w:val="32"/>
          <w:szCs w:val="24"/>
          <w:lang w:val="en-US"/>
        </w:rPr>
        <w:t xml:space="preserve">Module </w:t>
      </w:r>
      <w:r>
        <w:rPr>
          <w:rFonts w:hint="default" w:ascii="Times New Roman" w:hAnsi="Times New Roman" w:cs="Times New Roman"/>
          <w:b/>
          <w:bCs/>
          <w:sz w:val="32"/>
          <w:szCs w:val="24"/>
          <w:lang w:val="en-US"/>
        </w:rPr>
        <w:t>Lecturer: Taonga Kaonga Sobere-Snithers</w:t>
      </w:r>
    </w:p>
    <w:p w14:paraId="6B6266E7">
      <w:pPr>
        <w:spacing w:before="240" w:after="240" w:line="360" w:lineRule="auto"/>
        <w:jc w:val="center"/>
        <w:rPr>
          <w:rFonts w:ascii="Times New Roman" w:hAnsi="Times New Roman" w:eastAsia="Times New Roman" w:cs="Times New Roman"/>
          <w:b/>
          <w:bCs/>
          <w:i/>
          <w:sz w:val="32"/>
          <w:szCs w:val="24"/>
        </w:rPr>
      </w:pPr>
      <w:r>
        <w:rPr>
          <w:rFonts w:ascii="Times New Roman" w:hAnsi="Times New Roman" w:eastAsia="Times New Roman" w:cs="Times New Roman"/>
          <w:b/>
          <w:bCs/>
          <w:i/>
          <w:sz w:val="32"/>
          <w:szCs w:val="24"/>
        </w:rPr>
        <w:t>“Title:  A Marketing Environment Analysis of BHP”</w:t>
      </w:r>
    </w:p>
    <w:p w14:paraId="63C0C23C">
      <w:pPr>
        <w:spacing w:before="240" w:after="240" w:line="360" w:lineRule="auto"/>
        <w:jc w:val="center"/>
        <w:rPr>
          <w:rFonts w:hint="default" w:ascii="Times New Roman" w:hAnsi="Times New Roman" w:eastAsia="Times New Roman" w:cs="Times New Roman"/>
          <w:b/>
          <w:bCs/>
          <w:i/>
          <w:sz w:val="32"/>
          <w:szCs w:val="24"/>
          <w:lang w:val="en-US"/>
        </w:rPr>
      </w:pPr>
      <w:r>
        <w:rPr>
          <w:rFonts w:ascii="Times New Roman" w:hAnsi="Times New Roman" w:eastAsia="Times New Roman" w:cs="Times New Roman"/>
          <w:b/>
          <w:bCs/>
          <w:sz w:val="32"/>
          <w:szCs w:val="24"/>
        </w:rPr>
        <w:t>Student Name:</w:t>
      </w:r>
      <w:r>
        <w:rPr>
          <w:rFonts w:hint="default" w:ascii="Times New Roman" w:hAnsi="Times New Roman" w:eastAsia="Times New Roman" w:cs="Times New Roman"/>
          <w:b/>
          <w:bCs/>
          <w:sz w:val="32"/>
          <w:szCs w:val="24"/>
          <w:lang w:val="en-US"/>
        </w:rPr>
        <w:t xml:space="preserve"> Nirmal Trivedi</w:t>
      </w:r>
    </w:p>
    <w:p w14:paraId="1F027895">
      <w:pPr>
        <w:spacing w:before="240" w:after="240" w:line="360" w:lineRule="auto"/>
        <w:jc w:val="center"/>
        <w:rPr>
          <w:rFonts w:hint="default" w:ascii="Times New Roman" w:hAnsi="Times New Roman" w:eastAsia="Times New Roman" w:cs="Times New Roman"/>
          <w:b/>
          <w:bCs/>
          <w:sz w:val="32"/>
          <w:szCs w:val="24"/>
          <w:lang w:val="en-US"/>
        </w:rPr>
      </w:pPr>
      <w:r>
        <w:rPr>
          <w:rFonts w:ascii="Times New Roman" w:hAnsi="Times New Roman" w:eastAsia="Times New Roman" w:cs="Times New Roman"/>
          <w:b/>
          <w:bCs/>
          <w:sz w:val="32"/>
          <w:szCs w:val="24"/>
        </w:rPr>
        <w:t xml:space="preserve">Student ID: </w:t>
      </w:r>
      <w:r>
        <w:rPr>
          <w:rFonts w:hint="default" w:ascii="Times New Roman" w:hAnsi="Times New Roman" w:eastAsia="Times New Roman" w:cs="Times New Roman"/>
          <w:b/>
          <w:bCs/>
          <w:sz w:val="32"/>
          <w:szCs w:val="24"/>
          <w:lang w:val="en-US"/>
        </w:rPr>
        <w:t>2543890</w:t>
      </w:r>
    </w:p>
    <w:p w14:paraId="435C259A">
      <w:pPr>
        <w:spacing w:after="0" w:line="480" w:lineRule="auto"/>
        <w:rPr>
          <w:rFonts w:ascii="Arial" w:hAnsi="Arial" w:cs="Arial"/>
          <w:b/>
          <w:bCs/>
          <w:sz w:val="24"/>
          <w:szCs w:val="24"/>
          <w:u w:val="single"/>
        </w:rPr>
      </w:pPr>
    </w:p>
    <w:p w14:paraId="2E30974C">
      <w:pPr>
        <w:spacing w:after="0" w:line="480" w:lineRule="auto"/>
        <w:rPr>
          <w:rFonts w:ascii="Arial" w:hAnsi="Arial" w:cs="Arial"/>
          <w:b/>
          <w:bCs/>
          <w:sz w:val="24"/>
          <w:szCs w:val="24"/>
          <w:u w:val="single"/>
        </w:rPr>
      </w:pPr>
    </w:p>
    <w:p w14:paraId="1929189A">
      <w:pPr>
        <w:spacing w:after="0" w:line="480" w:lineRule="auto"/>
        <w:rPr>
          <w:rFonts w:ascii="Arial" w:hAnsi="Arial" w:cs="Arial"/>
          <w:b/>
          <w:bCs/>
          <w:sz w:val="24"/>
          <w:szCs w:val="24"/>
          <w:u w:val="single"/>
        </w:rPr>
      </w:pPr>
    </w:p>
    <w:p w14:paraId="58A18530">
      <w:pPr>
        <w:spacing w:after="0" w:line="480" w:lineRule="auto"/>
        <w:rPr>
          <w:rFonts w:ascii="Arial" w:hAnsi="Arial" w:cs="Arial"/>
          <w:b/>
          <w:bCs/>
          <w:sz w:val="24"/>
          <w:szCs w:val="24"/>
          <w:u w:val="single"/>
        </w:rPr>
      </w:pPr>
    </w:p>
    <w:p w14:paraId="477F79F3">
      <w:pPr>
        <w:spacing w:after="0" w:line="480" w:lineRule="auto"/>
        <w:rPr>
          <w:rFonts w:ascii="Arial" w:hAnsi="Arial" w:cs="Arial"/>
          <w:b/>
          <w:bCs/>
          <w:sz w:val="24"/>
          <w:szCs w:val="24"/>
          <w:u w:val="single"/>
        </w:rPr>
      </w:pPr>
    </w:p>
    <w:p w14:paraId="00762E42">
      <w:pPr>
        <w:spacing w:after="0" w:line="480" w:lineRule="auto"/>
        <w:rPr>
          <w:rFonts w:ascii="Arial" w:hAnsi="Arial" w:cs="Arial"/>
          <w:b/>
          <w:bCs/>
          <w:sz w:val="24"/>
          <w:szCs w:val="24"/>
          <w:u w:val="single"/>
        </w:rPr>
      </w:pPr>
    </w:p>
    <w:p w14:paraId="50D93852">
      <w:pPr>
        <w:spacing w:after="0" w:line="480" w:lineRule="auto"/>
        <w:rPr>
          <w:rFonts w:ascii="Arial" w:hAnsi="Arial" w:cs="Arial"/>
          <w:b/>
          <w:bCs/>
          <w:sz w:val="24"/>
          <w:szCs w:val="24"/>
          <w:u w:val="single"/>
        </w:rPr>
      </w:pPr>
    </w:p>
    <w:p w14:paraId="38529149">
      <w:pPr>
        <w:spacing w:after="0" w:line="480" w:lineRule="auto"/>
        <w:rPr>
          <w:rFonts w:ascii="Arial" w:hAnsi="Arial" w:cs="Arial"/>
          <w:b/>
          <w:bCs/>
          <w:sz w:val="24"/>
          <w:szCs w:val="24"/>
          <w:u w:val="single"/>
        </w:rPr>
      </w:pPr>
    </w:p>
    <w:p w14:paraId="529C6740">
      <w:pPr>
        <w:spacing w:after="0" w:line="480" w:lineRule="auto"/>
        <w:rPr>
          <w:rFonts w:ascii="Arial" w:hAnsi="Arial" w:cs="Arial"/>
          <w:b/>
          <w:bCs/>
          <w:sz w:val="24"/>
          <w:szCs w:val="24"/>
          <w:u w:val="single"/>
        </w:rPr>
      </w:pPr>
    </w:p>
    <w:p w14:paraId="5531D1E6">
      <w:pPr>
        <w:spacing w:after="0" w:line="480" w:lineRule="auto"/>
        <w:rPr>
          <w:rFonts w:ascii="Arial" w:hAnsi="Arial" w:cs="Arial"/>
          <w:b/>
          <w:bCs/>
          <w:sz w:val="24"/>
          <w:szCs w:val="24"/>
          <w:u w:val="single"/>
        </w:rPr>
      </w:pPr>
    </w:p>
    <w:p w14:paraId="734E419D">
      <w:pPr>
        <w:spacing w:after="0" w:line="480" w:lineRule="auto"/>
        <w:rPr>
          <w:rFonts w:ascii="Arial" w:hAnsi="Arial" w:cs="Arial"/>
          <w:b/>
          <w:bCs/>
          <w:sz w:val="24"/>
          <w:szCs w:val="24"/>
          <w:u w:val="single"/>
        </w:rPr>
      </w:pPr>
    </w:p>
    <w:p w14:paraId="1C3814CE">
      <w:pPr>
        <w:spacing w:after="0" w:line="480" w:lineRule="auto"/>
        <w:rPr>
          <w:rFonts w:ascii="Arial" w:hAnsi="Arial" w:cs="Arial"/>
          <w:b/>
          <w:bCs/>
          <w:sz w:val="24"/>
          <w:szCs w:val="24"/>
          <w:u w:val="single"/>
        </w:rPr>
      </w:pPr>
    </w:p>
    <w:p w14:paraId="2E82E48D">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Table of Contents</w:t>
      </w:r>
    </w:p>
    <w:p w14:paraId="6E86B429">
      <w:pPr>
        <w:pStyle w:val="7"/>
        <w:numPr>
          <w:ilvl w:val="0"/>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Task 1: Marketing Environment Analysis – BHP Group ............. 3</w:t>
      </w:r>
    </w:p>
    <w:p w14:paraId="40BA78EA">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1.1 The Natural Environment .................................................... 4</w:t>
      </w:r>
    </w:p>
    <w:p w14:paraId="4CBD71C3">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0.1 Climate Change and Structural Demand Shifts ............ 4</w:t>
      </w:r>
    </w:p>
    <w:p w14:paraId="1AC22DFE">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0.2 Water Scarcity and Resource Constraints .................... 6</w:t>
      </w:r>
    </w:p>
    <w:p w14:paraId="266B2F2F">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0.3 Resource Depletion and Decarbonisation Challenges ...6-7</w:t>
      </w:r>
    </w:p>
    <w:p w14:paraId="78FDE39B">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2.1 Political and Government Environment ............................... 7-8</w:t>
      </w:r>
    </w:p>
    <w:p w14:paraId="3F11A0BA">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2.2 Conclusion .......................................................................... 9</w:t>
      </w:r>
    </w:p>
    <w:p w14:paraId="224FDD4F">
      <w:pPr>
        <w:numPr>
          <w:ilvl w:val="0"/>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Task 2: Strategic Growth and Competitive Positioning ............. 9</w:t>
      </w:r>
    </w:p>
    <w:p w14:paraId="6CE9DC17">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3.1 Introduction to Strategic Framework .................................. 10-11</w:t>
      </w:r>
    </w:p>
    <w:p w14:paraId="62AD47A1">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 Ansoff Matrix Analysis ........................................................ 12</w:t>
      </w:r>
    </w:p>
    <w:p w14:paraId="2CA1CD45">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3.2.1 Market Penetration ....................................................... 12</w:t>
      </w:r>
    </w:p>
    <w:p w14:paraId="564CAB7A">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3.2.2 Market Development .................................................... 13</w:t>
      </w:r>
    </w:p>
    <w:p w14:paraId="565B583C">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3.2.3 Product Development .................................................15</w:t>
      </w:r>
    </w:p>
    <w:p w14:paraId="0954EBBD">
      <w:pPr>
        <w:numPr>
          <w:ilvl w:val="2"/>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3.2.4 Diversification .............................................................. 15</w:t>
      </w:r>
    </w:p>
    <w:p w14:paraId="19E46164">
      <w:pPr>
        <w:numPr>
          <w:ilvl w:val="1"/>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 xml:space="preserve">3.3 Competitive Positioning Through Porter's Generic Strategies ..................................................................................... </w:t>
      </w:r>
      <w:r>
        <w:rPr>
          <w:rFonts w:hint="default" w:ascii="Times New Roman" w:hAnsi="Times New Roman" w:cs="Times New Roman"/>
          <w:b/>
          <w:bCs/>
          <w:sz w:val="24"/>
          <w:szCs w:val="24"/>
          <w:u w:val="single"/>
        </w:rPr>
        <w:tab/>
      </w:r>
      <w:r>
        <w:rPr>
          <w:rFonts w:hint="default" w:ascii="Times New Roman" w:hAnsi="Times New Roman" w:cs="Times New Roman"/>
          <w:b/>
          <w:bCs/>
          <w:sz w:val="24"/>
          <w:szCs w:val="24"/>
          <w:u w:val="single"/>
        </w:rPr>
        <w:t>16-17</w:t>
      </w:r>
    </w:p>
    <w:p w14:paraId="697907DA">
      <w:pPr>
        <w:numPr>
          <w:ilvl w:val="0"/>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Task 3: Critical Reflection on Artificial Intelligence Usage ....... 1</w:t>
      </w:r>
      <w:r>
        <w:rPr>
          <w:rFonts w:hint="default" w:ascii="Times New Roman" w:hAnsi="Times New Roman" w:cs="Times New Roman"/>
          <w:b/>
          <w:bCs/>
          <w:sz w:val="24"/>
          <w:szCs w:val="24"/>
          <w:u w:val="single"/>
          <w:lang w:val="en-US"/>
        </w:rPr>
        <w:t>7</w:t>
      </w:r>
      <w:r>
        <w:rPr>
          <w:rFonts w:hint="default" w:ascii="Times New Roman" w:hAnsi="Times New Roman" w:cs="Times New Roman"/>
          <w:b/>
          <w:bCs/>
          <w:sz w:val="24"/>
          <w:szCs w:val="24"/>
          <w:u w:val="single"/>
        </w:rPr>
        <w:t>-1</w:t>
      </w:r>
      <w:r>
        <w:rPr>
          <w:rFonts w:hint="default" w:ascii="Times New Roman" w:hAnsi="Times New Roman" w:cs="Times New Roman"/>
          <w:b/>
          <w:bCs/>
          <w:sz w:val="24"/>
          <w:szCs w:val="24"/>
          <w:u w:val="single"/>
          <w:lang w:val="en-US"/>
        </w:rPr>
        <w:t>8</w:t>
      </w:r>
    </w:p>
    <w:p w14:paraId="632F1DD2">
      <w:pPr>
        <w:numPr>
          <w:ilvl w:val="0"/>
          <w:numId w:val="1"/>
        </w:num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 xml:space="preserve">Reference List ........................................................................ </w:t>
      </w:r>
      <w:r>
        <w:rPr>
          <w:rFonts w:hint="default" w:ascii="Times New Roman" w:hAnsi="Times New Roman" w:cs="Times New Roman"/>
          <w:b/>
          <w:bCs/>
          <w:sz w:val="24"/>
          <w:szCs w:val="24"/>
          <w:u w:val="single"/>
          <w:lang w:val="en-US"/>
        </w:rPr>
        <w:t>19-20</w:t>
      </w:r>
    </w:p>
    <w:p w14:paraId="2197E326">
      <w:pPr>
        <w:spacing w:after="0" w:line="480" w:lineRule="auto"/>
        <w:jc w:val="left"/>
        <w:rPr>
          <w:rFonts w:hint="default" w:ascii="Times New Roman" w:hAnsi="Times New Roman" w:cs="Times New Roman"/>
          <w:b/>
          <w:bCs/>
          <w:sz w:val="24"/>
          <w:szCs w:val="24"/>
          <w:u w:val="single"/>
        </w:rPr>
      </w:pPr>
    </w:p>
    <w:p w14:paraId="5AF1E4D2">
      <w:pPr>
        <w:spacing w:after="0" w:line="480" w:lineRule="auto"/>
        <w:jc w:val="left"/>
        <w:rPr>
          <w:rFonts w:hint="default" w:ascii="Times New Roman" w:hAnsi="Times New Roman" w:cs="Times New Roman"/>
          <w:b/>
          <w:bCs/>
          <w:sz w:val="24"/>
          <w:szCs w:val="24"/>
          <w:u w:val="single"/>
        </w:rPr>
      </w:pPr>
    </w:p>
    <w:p w14:paraId="0CE43917">
      <w:pPr>
        <w:spacing w:after="0" w:line="480" w:lineRule="auto"/>
        <w:jc w:val="left"/>
        <w:rPr>
          <w:rFonts w:hint="default" w:ascii="Times New Roman" w:hAnsi="Times New Roman" w:cs="Times New Roman"/>
          <w:b/>
          <w:bCs/>
          <w:sz w:val="24"/>
          <w:szCs w:val="24"/>
          <w:u w:val="single"/>
        </w:rPr>
      </w:pPr>
    </w:p>
    <w:p w14:paraId="2A6ED0F1">
      <w:pPr>
        <w:spacing w:after="0" w:line="480" w:lineRule="auto"/>
        <w:jc w:val="left"/>
        <w:rPr>
          <w:rFonts w:hint="default" w:ascii="Times New Roman" w:hAnsi="Times New Roman" w:cs="Times New Roman"/>
          <w:b/>
          <w:bCs/>
          <w:sz w:val="24"/>
          <w:szCs w:val="24"/>
          <w:u w:val="single"/>
        </w:rPr>
      </w:pPr>
    </w:p>
    <w:p w14:paraId="7852801E">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Task 1: Marketing Environment Analysis – BHP Group</w:t>
      </w:r>
    </w:p>
    <w:p w14:paraId="100A058C">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Introduction</w:t>
      </w:r>
    </w:p>
    <w:p w14:paraId="6B838F11">
      <w:pPr>
        <w:spacing w:after="0" w:line="480" w:lineRule="auto"/>
        <w:jc w:val="left"/>
        <w:rPr>
          <w:rFonts w:hint="default" w:ascii="Times New Roman" w:hAnsi="Times New Roman" w:cs="Times New Roman"/>
          <w:sz w:val="24"/>
          <w:szCs w:val="24"/>
        </w:rPr>
      </w:pPr>
    </w:p>
    <w:p w14:paraId="31147CC2">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Group is a hard rock mining company and one of the world's largest diversified mining companies, with a copper and iron ore production mostly sold to global markets and also the world's first mining company to produce metallurgical coal for export. It exists in an external marketing context that is transformative because of climate change, decarbonisation policies and shortage of resources. Organisations need to make continual adjustments to factors such as competition, regulatory and positioning, according to Kotler et al. (2024).</w:t>
      </w:r>
    </w:p>
    <w:p w14:paraId="7A02E26F">
      <w:pPr>
        <w:spacing w:after="0" w:line="480" w:lineRule="auto"/>
        <w:jc w:val="both"/>
        <w:rPr>
          <w:rFonts w:hint="default" w:ascii="Times New Roman" w:hAnsi="Times New Roman" w:cs="Times New Roman"/>
          <w:sz w:val="24"/>
          <w:szCs w:val="24"/>
        </w:rPr>
      </w:pPr>
    </w:p>
    <w:p w14:paraId="5BB5B2DC">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Because environmental pressures are the main motivator for the shift to low carbon products, the mining sector is a good example where this is the pressing driver, and political and regulatory systems are helping to support this. This analysis is critical of the natural/political context's crucial role in BHP's shift to lower carbon products, focusing on how environmental pressures are the most important influencing factor on BHP's strategic shift.</w:t>
      </w:r>
    </w:p>
    <w:p w14:paraId="649B898C">
      <w:pPr>
        <w:spacing w:after="0" w:line="480" w:lineRule="auto"/>
        <w:jc w:val="both"/>
        <w:rPr>
          <w:rFonts w:hint="default" w:ascii="Times New Roman" w:hAnsi="Times New Roman" w:cs="Times New Roman"/>
          <w:sz w:val="24"/>
          <w:szCs w:val="24"/>
        </w:rPr>
      </w:pPr>
    </w:p>
    <w:p w14:paraId="04FB0ED5">
      <w:pPr>
        <w:spacing w:after="0" w:line="480" w:lineRule="auto"/>
        <w:jc w:val="center"/>
        <w:rPr>
          <w:rStyle w:val="6"/>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731510" cy="3878580"/>
            <wp:effectExtent l="0" t="0" r="13970" b="7620"/>
            <wp:docPr id="1856355556" name="Picture 1"/>
            <wp:cNvGraphicFramePr/>
            <a:graphic xmlns:a="http://schemas.openxmlformats.org/drawingml/2006/main">
              <a:graphicData uri="http://schemas.openxmlformats.org/drawingml/2006/picture">
                <pic:pic xmlns:pic="http://schemas.openxmlformats.org/drawingml/2006/picture">
                  <pic:nvPicPr>
                    <pic:cNvPr id="1856355556" name="Picture 1"/>
                    <pic:cNvPicPr/>
                  </pic:nvPicPr>
                  <pic:blipFill>
                    <a:blip r:embed="rId9"/>
                    <a:stretch>
                      <a:fillRect/>
                    </a:stretch>
                  </pic:blipFill>
                  <pic:spPr>
                    <a:xfrm>
                      <a:off x="0" y="0"/>
                      <a:ext cx="5731514" cy="3879213"/>
                    </a:xfrm>
                    <a:prstGeom prst="rect">
                      <a:avLst/>
                    </a:prstGeom>
                    <a:noFill/>
                    <a:ln>
                      <a:noFill/>
                      <a:prstDash val="solid"/>
                    </a:ln>
                  </pic:spPr>
                </pic:pic>
              </a:graphicData>
            </a:graphic>
          </wp:inline>
        </w:drawing>
      </w:r>
      <w:r>
        <w:rPr>
          <w:rFonts w:hint="default" w:ascii="Times New Roman" w:hAnsi="Times New Roman" w:cs="Times New Roman"/>
          <w:sz w:val="24"/>
          <w:szCs w:val="24"/>
        </w:rPr>
        <w:t xml:space="preserve">Source: Adapted from </w:t>
      </w:r>
      <w:r>
        <w:rPr>
          <w:rFonts w:hint="default" w:ascii="Times New Roman" w:hAnsi="Times New Roman" w:cs="Times New Roman"/>
        </w:rPr>
        <w:fldChar w:fldCharType="begin"/>
      </w:r>
      <w:r>
        <w:rPr>
          <w:rFonts w:hint="default" w:ascii="Times New Roman" w:hAnsi="Times New Roman" w:cs="Times New Roman"/>
        </w:rPr>
        <w:instrText xml:space="preserve"> HYPERLINK "https://www.bhp.com/sustainability?utm_source=chatgpt.com" </w:instrText>
      </w:r>
      <w:r>
        <w:rPr>
          <w:rFonts w:hint="default" w:ascii="Times New Roman" w:hAnsi="Times New Roman" w:cs="Times New Roman"/>
        </w:rPr>
        <w:fldChar w:fldCharType="separate"/>
      </w:r>
      <w:r>
        <w:rPr>
          <w:rStyle w:val="6"/>
          <w:rFonts w:hint="default" w:ascii="Times New Roman" w:hAnsi="Times New Roman" w:cs="Times New Roman"/>
          <w:sz w:val="24"/>
          <w:szCs w:val="24"/>
        </w:rPr>
        <w:t>BHP Group Sustainability Reporting</w:t>
      </w:r>
      <w:r>
        <w:rPr>
          <w:rStyle w:val="6"/>
          <w:rFonts w:hint="default" w:ascii="Times New Roman" w:hAnsi="Times New Roman" w:cs="Times New Roman"/>
          <w:sz w:val="24"/>
          <w:szCs w:val="24"/>
        </w:rPr>
        <w:fldChar w:fldCharType="end"/>
      </w:r>
    </w:p>
    <w:p w14:paraId="57418F02">
      <w:pPr>
        <w:spacing w:after="0"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t>The BHP Commodity Portfolio and Low-Carbon Transition Pathway are shown in Figure 1.</w:t>
      </w:r>
    </w:p>
    <w:p w14:paraId="0911E2F6">
      <w:pPr>
        <w:spacing w:after="0" w:line="480" w:lineRule="auto"/>
        <w:jc w:val="center"/>
        <w:rPr>
          <w:rStyle w:val="6"/>
          <w:rFonts w:hint="default" w:ascii="Times New Roman" w:hAnsi="Times New Roman" w:cs="Times New Roman"/>
          <w:sz w:val="24"/>
          <w:szCs w:val="24"/>
        </w:rPr>
      </w:pPr>
      <w:r>
        <w:rPr>
          <w:rFonts w:hint="default" w:ascii="Times New Roman" w:hAnsi="Times New Roman" w:cs="Times New Roman"/>
          <w:sz w:val="24"/>
          <w:szCs w:val="24"/>
        </w:rPr>
        <w:t xml:space="preserve"> </w:t>
      </w:r>
    </w:p>
    <w:p w14:paraId="0660CBDD">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The natural environment (Primary focus).</w:t>
      </w:r>
    </w:p>
    <w:p w14:paraId="5649328E">
      <w:pPr>
        <w:spacing w:after="0" w:line="480" w:lineRule="auto"/>
        <w:jc w:val="left"/>
        <w:rPr>
          <w:rFonts w:hint="default" w:ascii="Times New Roman" w:hAnsi="Times New Roman" w:cs="Times New Roman"/>
          <w:b/>
          <w:bCs/>
          <w:sz w:val="24"/>
          <w:szCs w:val="24"/>
          <w:u w:val="single"/>
        </w:rPr>
      </w:pPr>
    </w:p>
    <w:p w14:paraId="4A79A3B8">
      <w:pPr>
        <w:spacing w:after="0" w:line="48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0.1 Climate Change and Structural Demand Shifts</w:t>
      </w:r>
    </w:p>
    <w:p w14:paraId="378A99CB">
      <w:pPr>
        <w:spacing w:after="0" w:line="480" w:lineRule="auto"/>
        <w:jc w:val="both"/>
        <w:rPr>
          <w:rFonts w:hint="default" w:ascii="Times New Roman" w:hAnsi="Times New Roman" w:cs="Times New Roman"/>
          <w:sz w:val="24"/>
          <w:szCs w:val="24"/>
        </w:rPr>
      </w:pPr>
    </w:p>
    <w:p w14:paraId="5B3AD35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BHP's external most significant influence on the natural environment is the operation and for the long term demand for the services. Likely rising exposure to flooding, drought and extreme heat from climate change affecting production, asset risk and rising operating costs. The Intergovernmental Panel on Climate Change (2021) points to these risks as growing in resource-intensive sectors.</w:t>
      </w:r>
    </w:p>
    <w:p w14:paraId="7AC9AAB5">
      <w:pPr>
        <w:spacing w:after="0" w:line="480" w:lineRule="auto"/>
        <w:jc w:val="both"/>
        <w:rPr>
          <w:rFonts w:hint="default" w:ascii="Times New Roman" w:hAnsi="Times New Roman" w:cs="Times New Roman"/>
          <w:sz w:val="24"/>
          <w:szCs w:val="24"/>
        </w:rPr>
      </w:pPr>
    </w:p>
    <w:p w14:paraId="25A6CB4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Meanwhile, climate change is changing the demand for commodities. This is expected by the International Energy Agency (2024) as copper is essential in the manufacturing of electric vehicles, renewable energy systems and the grid expansion. BHP is one of the most prominent copper producers, and is well positioned to take advantage of this structural change.</w:t>
      </w:r>
    </w:p>
    <w:p w14:paraId="0AD04CDD">
      <w:pPr>
        <w:spacing w:after="0" w:line="480" w:lineRule="auto"/>
        <w:jc w:val="left"/>
        <w:rPr>
          <w:rFonts w:hint="default" w:ascii="Times New Roman" w:hAnsi="Times New Roman" w:cs="Times New Roman"/>
          <w:sz w:val="24"/>
          <w:szCs w:val="24"/>
        </w:rPr>
      </w:pPr>
    </w:p>
    <w:p w14:paraId="7421825D">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However, for the time being the demand conditions are uncertain. The authors of Born and Çiftçi (2024) state that developments in the recycling and systems of utilizing the circular economy may lead to higher amount of secondary copper, which diminishes reliance on primary extraction. Recycling can never replace the entire amount of output from mining, but can add uncertainty to investment planning in the long term. Hence, BHP is being challenged not just with the growth in its demand for transition minerals, but also the heightened demand for them to operate sustainably and efficiently.</w:t>
      </w:r>
    </w:p>
    <w:p w14:paraId="44931FF2">
      <w:pPr>
        <w:spacing w:after="0" w:line="480" w:lineRule="auto"/>
        <w:jc w:val="left"/>
        <w:rPr>
          <w:rFonts w:hint="default" w:ascii="Times New Roman" w:hAnsi="Times New Roman" w:cs="Times New Roman"/>
          <w:sz w:val="24"/>
          <w:szCs w:val="24"/>
        </w:rPr>
      </w:pPr>
    </w:p>
    <w:p w14:paraId="5F4AC00A">
      <w:pPr>
        <w:spacing w:after="0" w:line="480" w:lineRule="auto"/>
        <w:jc w:val="left"/>
        <w:rPr>
          <w:rFonts w:hint="default" w:ascii="Times New Roman" w:hAnsi="Times New Roman" w:cs="Times New Roman"/>
        </w:rPr>
      </w:pPr>
      <w:r>
        <w:rPr>
          <w:rFonts w:hint="default" w:ascii="Times New Roman" w:hAnsi="Times New Roman" w:cs="Times New Roman"/>
          <w:sz w:val="24"/>
          <w:szCs w:val="24"/>
        </w:rPr>
        <w:drawing>
          <wp:inline distT="0" distB="0" distL="0" distR="0">
            <wp:extent cx="5731510" cy="3830320"/>
            <wp:effectExtent l="0" t="0" r="13970" b="10160"/>
            <wp:docPr id="2079707041" name="Picture 1"/>
            <wp:cNvGraphicFramePr/>
            <a:graphic xmlns:a="http://schemas.openxmlformats.org/drawingml/2006/main">
              <a:graphicData uri="http://schemas.openxmlformats.org/drawingml/2006/picture">
                <pic:pic xmlns:pic="http://schemas.openxmlformats.org/drawingml/2006/picture">
                  <pic:nvPicPr>
                    <pic:cNvPr id="2079707041" name="Picture 1"/>
                    <pic:cNvPicPr/>
                  </pic:nvPicPr>
                  <pic:blipFill>
                    <a:blip r:embed="rId10"/>
                    <a:stretch>
                      <a:fillRect/>
                    </a:stretch>
                  </pic:blipFill>
                  <pic:spPr>
                    <a:xfrm>
                      <a:off x="0" y="0"/>
                      <a:ext cx="5731514" cy="3830951"/>
                    </a:xfrm>
                    <a:prstGeom prst="rect">
                      <a:avLst/>
                    </a:prstGeom>
                    <a:noFill/>
                    <a:ln>
                      <a:noFill/>
                      <a:prstDash val="solid"/>
                    </a:ln>
                  </pic:spPr>
                </pic:pic>
              </a:graphicData>
            </a:graphic>
          </wp:inline>
        </w:drawing>
      </w:r>
    </w:p>
    <w:p w14:paraId="51B62443">
      <w:pPr>
        <w:spacing w:after="0"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t xml:space="preserve">(Adapted from </w:t>
      </w:r>
      <w:r>
        <w:rPr>
          <w:rFonts w:hint="default" w:ascii="Times New Roman" w:hAnsi="Times New Roman" w:cs="Times New Roman"/>
        </w:rPr>
        <w:fldChar w:fldCharType="begin"/>
      </w:r>
      <w:r>
        <w:rPr>
          <w:rFonts w:hint="default" w:ascii="Times New Roman" w:hAnsi="Times New Roman" w:cs="Times New Roman"/>
        </w:rPr>
        <w:instrText xml:space="preserve"> HYPERLINK "https://www.iea.org/reports/global-critical-minerals-outlook-2024?utm_source=chatgpt.com" </w:instrText>
      </w:r>
      <w:r>
        <w:rPr>
          <w:rFonts w:hint="default" w:ascii="Times New Roman" w:hAnsi="Times New Roman" w:cs="Times New Roman"/>
        </w:rPr>
        <w:fldChar w:fldCharType="separate"/>
      </w:r>
      <w:r>
        <w:rPr>
          <w:rStyle w:val="6"/>
          <w:rFonts w:hint="default" w:ascii="Times New Roman" w:hAnsi="Times New Roman" w:cs="Times New Roman"/>
          <w:sz w:val="24"/>
          <w:szCs w:val="24"/>
        </w:rPr>
        <w:t>IEA Global Critical Minerals Outlook 2024</w:t>
      </w:r>
      <w:r>
        <w:rPr>
          <w:rStyle w:val="6"/>
          <w:rFonts w:hint="default" w:ascii="Times New Roman" w:hAnsi="Times New Roman" w:cs="Times New Roman"/>
          <w:sz w:val="24"/>
          <w:szCs w:val="24"/>
        </w:rPr>
        <w:fldChar w:fldCharType="end"/>
      </w:r>
      <w:r>
        <w:rPr>
          <w:rFonts w:hint="default" w:ascii="Times New Roman" w:hAnsi="Times New Roman" w:cs="Times New Roman"/>
          <w:sz w:val="24"/>
          <w:szCs w:val="24"/>
        </w:rPr>
        <w:t>)</w:t>
      </w:r>
    </w:p>
    <w:p w14:paraId="435D5182">
      <w:pPr>
        <w:spacing w:after="0" w:line="480" w:lineRule="auto"/>
        <w:jc w:val="left"/>
        <w:rPr>
          <w:rFonts w:hint="default" w:ascii="Times New Roman" w:hAnsi="Times New Roman" w:cs="Times New Roman"/>
          <w:sz w:val="24"/>
          <w:szCs w:val="24"/>
        </w:rPr>
      </w:pPr>
      <w:r>
        <w:rPr>
          <w:rFonts w:hint="default" w:ascii="Times New Roman" w:hAnsi="Times New Roman" w:cs="Times New Roman"/>
          <w:sz w:val="24"/>
          <w:szCs w:val="24"/>
        </w:rPr>
        <w:t>Figure 2: Copper demand growth and coal demand decline (2020-2050)</w:t>
      </w:r>
    </w:p>
    <w:p w14:paraId="5A0028AA">
      <w:pPr>
        <w:spacing w:after="0" w:line="480" w:lineRule="auto"/>
        <w:jc w:val="center"/>
        <w:rPr>
          <w:rFonts w:hint="default" w:ascii="Times New Roman" w:hAnsi="Times New Roman" w:cs="Times New Roman"/>
          <w:sz w:val="24"/>
          <w:szCs w:val="24"/>
        </w:rPr>
      </w:pPr>
    </w:p>
    <w:p w14:paraId="5399F601">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 xml:space="preserve">0.2 Water Scarcity and Resource Constraints </w:t>
      </w:r>
    </w:p>
    <w:p w14:paraId="547F7222">
      <w:pPr>
        <w:spacing w:after="0" w:line="480" w:lineRule="auto"/>
        <w:jc w:val="left"/>
        <w:rPr>
          <w:rFonts w:hint="default" w:ascii="Times New Roman" w:hAnsi="Times New Roman" w:cs="Times New Roman"/>
          <w:sz w:val="24"/>
          <w:szCs w:val="24"/>
          <w:u w:val="single"/>
        </w:rPr>
      </w:pPr>
    </w:p>
    <w:p w14:paraId="384A602A">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Limited access to water is among the key environmental challenges – especially in water-stressed areas like Chile and Australia, where many of BHP's businesses are sited. Lèbre et al. (2020) emphasise the greater threat of competition driving a shrinking of the available freshwater sources between the mining industry, agriculture, and local people.</w:t>
      </w:r>
    </w:p>
    <w:p w14:paraId="1857EE9F">
      <w:pPr>
        <w:spacing w:after="0" w:line="480" w:lineRule="auto"/>
        <w:jc w:val="both"/>
        <w:rPr>
          <w:rFonts w:hint="default" w:ascii="Times New Roman" w:hAnsi="Times New Roman" w:cs="Times New Roman"/>
          <w:sz w:val="24"/>
          <w:szCs w:val="24"/>
        </w:rPr>
      </w:pPr>
    </w:p>
    <w:p w14:paraId="006A088E">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BHP's desalination investment at the Escondida mine is an example of their “adaptability.” There are disadvantages to this solution though. Desalination requires significant energy consumption, higher capital cost and operations cost, which may lead water production to higher indirect carbon emissions.</w:t>
      </w:r>
    </w:p>
    <w:p w14:paraId="7ED6EB4D">
      <w:pPr>
        <w:spacing w:after="0" w:line="480" w:lineRule="auto"/>
        <w:jc w:val="both"/>
        <w:rPr>
          <w:rFonts w:hint="default" w:ascii="Times New Roman" w:hAnsi="Times New Roman" w:cs="Times New Roman"/>
          <w:sz w:val="24"/>
          <w:szCs w:val="24"/>
        </w:rPr>
      </w:pPr>
    </w:p>
    <w:p w14:paraId="160DE043">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is one of the important lessons to be learned from mining sustainability: the responses to the environment do not reverse effects, they transform them. This means BHP needs to constantly strive to impact its operations in a manner that is both environmentally responsible and operationally efficient and competitive.</w:t>
      </w:r>
    </w:p>
    <w:p w14:paraId="2D6132CC">
      <w:pPr>
        <w:spacing w:after="0" w:line="480" w:lineRule="auto"/>
        <w:jc w:val="both"/>
        <w:rPr>
          <w:rFonts w:hint="default" w:ascii="Times New Roman" w:hAnsi="Times New Roman" w:cs="Times New Roman"/>
          <w:sz w:val="24"/>
          <w:szCs w:val="24"/>
        </w:rPr>
      </w:pPr>
    </w:p>
    <w:p w14:paraId="04E68864">
      <w:pPr>
        <w:spacing w:after="0" w:line="480" w:lineRule="auto"/>
        <w:jc w:val="both"/>
        <w:rPr>
          <w:rFonts w:hint="default" w:ascii="Times New Roman" w:hAnsi="Times New Roman" w:cs="Times New Roman"/>
          <w:b/>
          <w:bCs/>
          <w:sz w:val="24"/>
          <w:szCs w:val="24"/>
        </w:rPr>
      </w:pPr>
      <w:r>
        <w:rPr>
          <w:rFonts w:hint="default" w:ascii="Times New Roman" w:hAnsi="Times New Roman" w:cs="Times New Roman"/>
          <w:b/>
          <w:bCs/>
          <w:sz w:val="24"/>
          <w:szCs w:val="24"/>
        </w:rPr>
        <w:t>0.3 Resource Depletion and Decarbonisation Challenges</w:t>
      </w:r>
    </w:p>
    <w:p w14:paraId="1B0B145C">
      <w:pPr>
        <w:spacing w:after="0" w:line="480" w:lineRule="auto"/>
        <w:jc w:val="both"/>
        <w:rPr>
          <w:rFonts w:hint="default" w:ascii="Times New Roman" w:hAnsi="Times New Roman" w:cs="Times New Roman"/>
          <w:sz w:val="24"/>
          <w:szCs w:val="24"/>
        </w:rPr>
      </w:pPr>
    </w:p>
    <w:p w14:paraId="1318D176">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ore grades have also been declining, making it even more expensive and energy-intensive to extract a ton of iron from the ground, which pushes up the cost and emissions intensity (Mudd, 2022). This structural issue will cut efficiency and push pressure for decarbonization further in the mining industry.</w:t>
      </w:r>
    </w:p>
    <w:p w14:paraId="3A284CA5">
      <w:pPr>
        <w:spacing w:after="0" w:line="480" w:lineRule="auto"/>
        <w:jc w:val="left"/>
        <w:rPr>
          <w:rFonts w:hint="default" w:ascii="Times New Roman" w:hAnsi="Times New Roman" w:cs="Times New Roman"/>
          <w:sz w:val="24"/>
          <w:szCs w:val="24"/>
        </w:rPr>
      </w:pPr>
    </w:p>
    <w:p w14:paraId="3711394C">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has responded by joining forces with POSCO and BlueScope Steel to investigate hydrogen steelmaking (steel made with hydrogen) technology that could help lower emissions in steelmaking. These projects put BHP at the forefront of developing low carbon industrial value chains.</w:t>
      </w:r>
    </w:p>
    <w:p w14:paraId="2ACFECE8">
      <w:pPr>
        <w:spacing w:after="0" w:line="480" w:lineRule="auto"/>
        <w:jc w:val="both"/>
        <w:rPr>
          <w:rFonts w:hint="default" w:ascii="Times New Roman" w:hAnsi="Times New Roman" w:cs="Times New Roman"/>
          <w:sz w:val="24"/>
          <w:szCs w:val="24"/>
        </w:rPr>
      </w:pPr>
    </w:p>
    <w:p w14:paraId="05C04106">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But hydrogen-based steelmaking is still commercially underdeveloped, and dependent on the renewable energy infrastructure. Metallurgical coal is also a source of revenue for BHP, which poses a strategic challenge to its ambitions of decarbonisation efforts. This leaves one wondering whether BHP is opting for the transformational "transition" or "process of adaption" moves in order to safeguard the value of its shareholders.</w:t>
      </w:r>
    </w:p>
    <w:p w14:paraId="3B8B3442">
      <w:pPr>
        <w:spacing w:after="0" w:line="480" w:lineRule="auto"/>
        <w:jc w:val="both"/>
        <w:rPr>
          <w:rFonts w:hint="default" w:ascii="Times New Roman" w:hAnsi="Times New Roman" w:cs="Times New Roman"/>
          <w:sz w:val="24"/>
          <w:szCs w:val="24"/>
        </w:rPr>
      </w:pPr>
    </w:p>
    <w:p w14:paraId="6660A0D7">
      <w:pPr>
        <w:spacing w:after="0" w:line="480" w:lineRule="auto"/>
        <w:jc w:val="both"/>
        <w:rPr>
          <w:rFonts w:hint="default" w:ascii="Times New Roman" w:hAnsi="Times New Roman" w:cs="Times New Roman"/>
        </w:rPr>
      </w:pPr>
      <w:r>
        <w:rPr>
          <w:rFonts w:hint="default" w:ascii="Times New Roman" w:hAnsi="Times New Roman" w:cs="Times New Roman"/>
          <w:sz w:val="24"/>
          <w:szCs w:val="24"/>
        </w:rPr>
        <w:t>In the case of incumbent resource firms, Geels et al. (2021) have expressed that balancing profitability with sustainability obligations can result in structural issues. If left unaddressed, such tensions can limit stakeholders' trust in corporate decarbonisation stories.</w:t>
      </w:r>
    </w:p>
    <w:p w14:paraId="24074248">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2.1 Political Environment</w:t>
      </w:r>
    </w:p>
    <w:p w14:paraId="45868665">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political landscape supports environ</w:t>
      </w:r>
      <w:bookmarkStart w:id="0" w:name="_GoBack"/>
      <w:bookmarkEnd w:id="0"/>
      <w:r>
        <w:rPr>
          <w:rFonts w:hint="default" w:ascii="Times New Roman" w:hAnsi="Times New Roman" w:cs="Times New Roman"/>
          <w:sz w:val="24"/>
          <w:szCs w:val="24"/>
        </w:rPr>
        <w:t>mental pressures through the formalisation of the requirement to look after the environment into a political and regulatory momentum, or economic opportunities. The increasing role of government in setting aspects of corporate strategy includes emissions regulations, carbon pricing systems and industrial policies aimed at reducing carbon emissions, and driving this decarbonisation in high-impact industries like mining.</w:t>
      </w:r>
    </w:p>
    <w:p w14:paraId="54DE9A0C">
      <w:pPr>
        <w:spacing w:after="0" w:line="480" w:lineRule="auto"/>
        <w:jc w:val="left"/>
        <w:rPr>
          <w:rFonts w:hint="default" w:ascii="Times New Roman" w:hAnsi="Times New Roman" w:cs="Times New Roman"/>
          <w:sz w:val="24"/>
          <w:szCs w:val="24"/>
        </w:rPr>
      </w:pPr>
    </w:p>
    <w:p w14:paraId="7AC89187">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Under the Climate Change Act and Safeguard Mechanism, for example, the large industrial emitters in Australia are obliged to step up and steadily cut down their operational emissions. Likewise, indirect pressure is put on carbon-intensive companies by the European Union Carbon Border Adjustment Mechanism (CBAM) which raises the price of carbon-intensive imports. Together, these result in a balance between environmental approach and pressure to comply, and influence capital investment and operating decisions throughout the industry.</w:t>
      </w:r>
    </w:p>
    <w:p w14:paraId="7C0E03D9">
      <w:pPr>
        <w:spacing w:after="0" w:line="480" w:lineRule="auto"/>
        <w:jc w:val="both"/>
        <w:rPr>
          <w:rFonts w:hint="default" w:ascii="Times New Roman" w:hAnsi="Times New Roman" w:cs="Times New Roman"/>
          <w:sz w:val="24"/>
          <w:szCs w:val="24"/>
        </w:rPr>
      </w:pPr>
    </w:p>
    <w:p w14:paraId="7B83D9B5">
      <w:pPr>
        <w:spacing w:after="0" w:line="480" w:lineRule="auto"/>
        <w:jc w:val="left"/>
        <w:rPr>
          <w:rFonts w:hint="default" w:ascii="Times New Roman" w:hAnsi="Times New Roman" w:cs="Times New Roman"/>
        </w:rPr>
      </w:pPr>
      <w:r>
        <w:rPr>
          <w:rFonts w:hint="default" w:ascii="Times New Roman" w:hAnsi="Times New Roman" w:cs="Times New Roman"/>
          <w:sz w:val="24"/>
          <w:szCs w:val="24"/>
        </w:rPr>
        <w:drawing>
          <wp:inline distT="0" distB="0" distL="0" distR="0">
            <wp:extent cx="5731510" cy="3683000"/>
            <wp:effectExtent l="0" t="0" r="13970" b="5080"/>
            <wp:docPr id="333596104" name="Picture 1"/>
            <wp:cNvGraphicFramePr/>
            <a:graphic xmlns:a="http://schemas.openxmlformats.org/drawingml/2006/main">
              <a:graphicData uri="http://schemas.openxmlformats.org/drawingml/2006/picture">
                <pic:pic xmlns:pic="http://schemas.openxmlformats.org/drawingml/2006/picture">
                  <pic:nvPicPr>
                    <pic:cNvPr id="333596104" name="Picture 1"/>
                    <pic:cNvPicPr/>
                  </pic:nvPicPr>
                  <pic:blipFill>
                    <a:blip r:embed="rId11"/>
                    <a:stretch>
                      <a:fillRect/>
                    </a:stretch>
                  </pic:blipFill>
                  <pic:spPr>
                    <a:xfrm>
                      <a:off x="0" y="0"/>
                      <a:ext cx="5731514" cy="3683632"/>
                    </a:xfrm>
                    <a:prstGeom prst="rect">
                      <a:avLst/>
                    </a:prstGeom>
                    <a:noFill/>
                    <a:ln>
                      <a:noFill/>
                      <a:prstDash val="solid"/>
                    </a:ln>
                  </pic:spPr>
                </pic:pic>
              </a:graphicData>
            </a:graphic>
          </wp:inline>
        </w:drawing>
      </w:r>
    </w:p>
    <w:p w14:paraId="0C43E3BA">
      <w:pPr>
        <w:spacing w:after="0" w:line="480" w:lineRule="auto"/>
        <w:jc w:val="center"/>
        <w:rPr>
          <w:rFonts w:hint="default" w:ascii="Times New Roman" w:hAnsi="Times New Roman" w:cs="Times New Roman"/>
        </w:rPr>
      </w:pPr>
      <w:r>
        <w:rPr>
          <w:rFonts w:hint="default" w:ascii="Times New Roman" w:hAnsi="Times New Roman" w:cs="Times New Roman"/>
          <w:sz w:val="24"/>
          <w:szCs w:val="24"/>
        </w:rPr>
        <w:t xml:space="preserve">(Source: Author's adaptation based on Australian Government Safeguard Mechanism and </w:t>
      </w:r>
      <w:r>
        <w:rPr>
          <w:rFonts w:hint="default" w:ascii="Times New Roman" w:hAnsi="Times New Roman" w:cs="Times New Roman"/>
        </w:rPr>
        <w:fldChar w:fldCharType="begin"/>
      </w:r>
      <w:r>
        <w:rPr>
          <w:rFonts w:hint="default" w:ascii="Times New Roman" w:hAnsi="Times New Roman" w:cs="Times New Roman"/>
        </w:rPr>
        <w:instrText xml:space="preserve"> HYPERLINK "https://taxation-customs.ec.europa.eu/carbon-border-adjustment-mechanism_en?utm_source=chatgpt.com" </w:instrText>
      </w:r>
      <w:r>
        <w:rPr>
          <w:rFonts w:hint="default" w:ascii="Times New Roman" w:hAnsi="Times New Roman" w:cs="Times New Roman"/>
        </w:rPr>
        <w:fldChar w:fldCharType="separate"/>
      </w:r>
      <w:r>
        <w:rPr>
          <w:rStyle w:val="6"/>
          <w:rFonts w:hint="default" w:ascii="Times New Roman" w:hAnsi="Times New Roman" w:cs="Times New Roman"/>
          <w:sz w:val="24"/>
          <w:szCs w:val="24"/>
        </w:rPr>
        <w:t>European Commission CBAM</w:t>
      </w:r>
      <w:r>
        <w:rPr>
          <w:rStyle w:val="6"/>
          <w:rFonts w:hint="default" w:ascii="Times New Roman" w:hAnsi="Times New Roman" w:cs="Times New Roman"/>
          <w:sz w:val="24"/>
          <w:szCs w:val="24"/>
        </w:rPr>
        <w:fldChar w:fldCharType="end"/>
      </w:r>
      <w:r>
        <w:rPr>
          <w:rFonts w:hint="default" w:ascii="Times New Roman" w:hAnsi="Times New Roman" w:cs="Times New Roman"/>
          <w:sz w:val="24"/>
          <w:szCs w:val="24"/>
        </w:rPr>
        <w:t>)</w:t>
      </w:r>
    </w:p>
    <w:p w14:paraId="23840A7F">
      <w:pPr>
        <w:spacing w:after="0" w:line="480" w:lineRule="auto"/>
        <w:jc w:val="left"/>
        <w:rPr>
          <w:rFonts w:hint="default" w:ascii="Times New Roman" w:hAnsi="Times New Roman" w:cs="Times New Roman"/>
          <w:sz w:val="24"/>
          <w:szCs w:val="24"/>
        </w:rPr>
      </w:pPr>
      <w:r>
        <w:rPr>
          <w:rFonts w:hint="default" w:ascii="Times New Roman" w:hAnsi="Times New Roman" w:cs="Times New Roman"/>
          <w:sz w:val="24"/>
          <w:szCs w:val="24"/>
        </w:rPr>
        <w:t>As pictured in Figure 3, the following regulatory and political drivers have the potential to influence the pathway of mining decarbonisation.</w:t>
      </w:r>
    </w:p>
    <w:p w14:paraId="1B937F42">
      <w:pPr>
        <w:spacing w:after="0" w:line="480" w:lineRule="auto"/>
        <w:jc w:val="left"/>
        <w:rPr>
          <w:rFonts w:hint="default" w:ascii="Times New Roman" w:hAnsi="Times New Roman" w:cs="Times New Roman"/>
          <w:sz w:val="24"/>
          <w:szCs w:val="24"/>
        </w:rPr>
      </w:pPr>
    </w:p>
    <w:p w14:paraId="0485C7A5">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In addition to this, governments help transition by implementing green finance measures, and offering subsidies and policy measures to scale up the production of new, low carbon technologies like hydrogen. Such changes minimize investment risks and contribute to better commercial prospects of new technologies for decarbonization.</w:t>
      </w:r>
    </w:p>
    <w:p w14:paraId="1B48AF0E">
      <w:pPr>
        <w:spacing w:after="0" w:line="480" w:lineRule="auto"/>
        <w:jc w:val="both"/>
        <w:rPr>
          <w:rFonts w:hint="default" w:ascii="Times New Roman" w:hAnsi="Times New Roman" w:cs="Times New Roman"/>
          <w:sz w:val="24"/>
          <w:szCs w:val="24"/>
        </w:rPr>
      </w:pPr>
    </w:p>
    <w:p w14:paraId="4E7062B5">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But political power is not even. There are vast differences in regulatory structures between different jurisdictions which leave international companies like BHP with mixed signals. The majority of policies also focus on Scope 1 and Scope 2 emissions while Scope 3 emissions in mining value chains remain less well policed, with these being the largest part of the supply chain's emissions. This serves to reduce the general effectiveness of climate governance and undermines global-market coherence.</w:t>
      </w:r>
    </w:p>
    <w:p w14:paraId="4887A38D">
      <w:pPr>
        <w:spacing w:after="0" w:line="480" w:lineRule="auto"/>
        <w:jc w:val="both"/>
        <w:rPr>
          <w:rFonts w:hint="default" w:ascii="Times New Roman" w:hAnsi="Times New Roman" w:cs="Times New Roman"/>
          <w:sz w:val="24"/>
          <w:szCs w:val="24"/>
        </w:rPr>
      </w:pPr>
    </w:p>
    <w:p w14:paraId="169A4459">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Importantly, the involvement of the political and natural environment cannot be separated from each other. Governments are requiring actions on climate change, triggering policy and regulation measures that include the implementation of carbon pricing, emissions standards and industrial transition policies. Political action serves as a second-order reaction mechanism: when used, it generates a greater environmental reaction.</w:t>
      </w:r>
    </w:p>
    <w:p w14:paraId="373CC1EE">
      <w:pPr>
        <w:spacing w:after="0" w:line="480" w:lineRule="auto"/>
        <w:jc w:val="both"/>
        <w:rPr>
          <w:rFonts w:hint="default" w:ascii="Times New Roman" w:hAnsi="Times New Roman" w:cs="Times New Roman"/>
          <w:sz w:val="24"/>
          <w:szCs w:val="24"/>
        </w:rPr>
      </w:pPr>
    </w:p>
    <w:p w14:paraId="30E898C2">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interaction generates a reinforcement loop for BHP: environmental impact leads to tighter regulations, which pushes for increased demand of commodities with a low carbon footprint including copper. This phenomenon contributes to the strategic value of transition minerals and an operational compliance challenge for BHP.</w:t>
      </w:r>
    </w:p>
    <w:p w14:paraId="66392763">
      <w:pPr>
        <w:spacing w:after="0" w:line="480" w:lineRule="auto"/>
        <w:jc w:val="left"/>
        <w:rPr>
          <w:rFonts w:hint="default" w:ascii="Times New Roman" w:hAnsi="Times New Roman" w:cs="Times New Roman"/>
          <w:sz w:val="24"/>
          <w:szCs w:val="24"/>
        </w:rPr>
      </w:pPr>
    </w:p>
    <w:p w14:paraId="39A8E3CC">
      <w:pPr>
        <w:spacing w:after="0" w:line="480" w:lineRule="auto"/>
        <w:jc w:val="left"/>
        <w:rPr>
          <w:rFonts w:hint="default" w:ascii="Times New Roman" w:hAnsi="Times New Roman" w:cs="Times New Roman"/>
          <w:b/>
          <w:bCs/>
          <w:sz w:val="24"/>
          <w:szCs w:val="24"/>
        </w:rPr>
      </w:pPr>
      <w:r>
        <w:rPr>
          <w:rFonts w:hint="default" w:ascii="Times New Roman" w:hAnsi="Times New Roman" w:cs="Times New Roman"/>
          <w:b/>
          <w:bCs/>
          <w:sz w:val="24"/>
          <w:szCs w:val="24"/>
        </w:rPr>
        <w:t>2.2 Conclusion :</w:t>
      </w:r>
    </w:p>
    <w:p w14:paraId="1F37D2FE">
      <w:pPr>
        <w:spacing w:after="0" w:line="480" w:lineRule="auto"/>
        <w:jc w:val="both"/>
        <w:rPr>
          <w:rFonts w:hint="default" w:ascii="Times New Roman" w:hAnsi="Times New Roman" w:cs="Times New Roman"/>
          <w:sz w:val="24"/>
          <w:szCs w:val="24"/>
        </w:rPr>
      </w:pPr>
    </w:p>
    <w:p w14:paraId="3BA6117F">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Transition to lower-carbon products is largely being driven by the natural environment as it is directly impacting BHP's operational risk, commodity availability and long-term commodity demand. Both opportunities and constraints for these operations arise with climate change, water scarcity, and diminishing ore grades, especially as the market for transition metals like copper grows.</w:t>
      </w:r>
    </w:p>
    <w:p w14:paraId="6CFA09F4">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transfer (transmission) however, is still structurally unclear. The change in recycling technologies and circular economy systems and the reductions in ore quality create a long-term supply-side uncertainty that is difficult to plan and forecast. It shows that decarbonisation is a process that is not straightforward but is ongoing and thus contested.</w:t>
      </w:r>
    </w:p>
    <w:p w14:paraId="4F5CC728">
      <w:pPr>
        <w:spacing w:after="0" w:line="480" w:lineRule="auto"/>
        <w:jc w:val="both"/>
        <w:rPr>
          <w:rFonts w:hint="default" w:ascii="Times New Roman" w:hAnsi="Times New Roman" w:cs="Times New Roman"/>
          <w:sz w:val="24"/>
          <w:szCs w:val="24"/>
        </w:rPr>
      </w:pPr>
    </w:p>
    <w:p w14:paraId="35512A90">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These natural pressures are supported by the political context, which reinforces the integration of decarbonisation in regulatory frameworks, the trade system and industrial policies. Policy inconsistencies across jurisdictions and weak Scope 3 implementation detract from the effectiveness of the global policy, while policy instruments like CBAM and emissions regulations help to drive industrial transition.</w:t>
      </w:r>
    </w:p>
    <w:p w14:paraId="05DAB8C6">
      <w:pPr>
        <w:spacing w:after="0" w:line="480" w:lineRule="auto"/>
        <w:jc w:val="both"/>
        <w:rPr>
          <w:rFonts w:hint="default" w:ascii="Times New Roman" w:hAnsi="Times New Roman" w:cs="Times New Roman"/>
          <w:sz w:val="24"/>
          <w:szCs w:val="24"/>
        </w:rPr>
      </w:pPr>
    </w:p>
    <w:p w14:paraId="32EF2AF8">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In sum, BHP will have to manage in a low-carbon world and will rely on its long-term competitiveness in this new environment. It's not just about providing the transition minerals; it's about navigating overlapping structural and transitional tensions between the income streams generated by historic fossil fuel activity and new sustainability demands.</w:t>
      </w:r>
    </w:p>
    <w:p w14:paraId="1C5037EC">
      <w:pPr>
        <w:spacing w:after="0" w:line="480" w:lineRule="auto"/>
        <w:jc w:val="left"/>
        <w:rPr>
          <w:rFonts w:hint="default" w:ascii="Times New Roman" w:hAnsi="Times New Roman" w:cs="Times New Roman"/>
          <w:b/>
          <w:bCs/>
          <w:sz w:val="24"/>
          <w:szCs w:val="24"/>
        </w:rPr>
      </w:pPr>
      <w:r>
        <w:rPr>
          <w:rFonts w:hint="default" w:ascii="Times New Roman" w:hAnsi="Times New Roman" w:cs="Times New Roman"/>
          <w:b/>
          <w:bCs/>
          <w:sz w:val="24"/>
          <w:szCs w:val="24"/>
        </w:rPr>
        <w:t>Task 2: Strategic Growth and Competitive Positioning</w:t>
      </w:r>
    </w:p>
    <w:p w14:paraId="4C7E2BAE">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3.1Introduction to Strategic Framework</w:t>
      </w:r>
    </w:p>
    <w:p w14:paraId="1F5E8EF9">
      <w:pPr>
        <w:spacing w:after="0" w:line="480" w:lineRule="auto"/>
        <w:jc w:val="both"/>
        <w:rPr>
          <w:rFonts w:hint="default" w:ascii="Times New Roman" w:hAnsi="Times New Roman" w:cs="Times New Roman"/>
          <w:sz w:val="24"/>
          <w:szCs w:val="24"/>
        </w:rPr>
      </w:pPr>
    </w:p>
    <w:p w14:paraId="099FBB5B">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environmental analysis in Task 1 revealed that climate change, resource scarcity, stakeholder pressure and government control are key drivers influencing BHP's future strategic direction. A number of these pressures point to an absence of traditional growth models by volume in a decarbonising global economy. Consequently, BHP needs to invest in more sustainable and profitable business strategies to align the bottom line with its commitment to the environment.</w:t>
      </w:r>
    </w:p>
    <w:p w14:paraId="4FE33DD1">
      <w:pPr>
        <w:spacing w:after="0" w:line="480" w:lineRule="auto"/>
        <w:jc w:val="both"/>
        <w:rPr>
          <w:rFonts w:hint="default" w:ascii="Times New Roman" w:hAnsi="Times New Roman" w:cs="Times New Roman"/>
          <w:sz w:val="24"/>
          <w:szCs w:val="24"/>
        </w:rPr>
      </w:pPr>
    </w:p>
    <w:p w14:paraId="5BC757C3">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There are structured tools to analyze growth options, call strategic frameworks. The Ansoff Matrix has importance because it defines growth strategies for product and market; Porter's Generic Strategies has importance because they provide the explanations of how competitive advantage can be achieved. These frameworks can collectively be used to evaluate the potential for BHP to better position itself in the market and benefit the global transition to lower carbon commodities.</w:t>
      </w:r>
    </w:p>
    <w:p w14:paraId="097EAFB5">
      <w:pPr>
        <w:spacing w:after="0" w:line="480" w:lineRule="auto"/>
        <w:jc w:val="both"/>
        <w:rPr>
          <w:rFonts w:hint="default" w:ascii="Times New Roman" w:hAnsi="Times New Roman" w:cs="Times New Roman"/>
          <w:sz w:val="24"/>
          <w:szCs w:val="24"/>
        </w:rPr>
      </w:pPr>
    </w:p>
    <w:p w14:paraId="14BB2F1F">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With the Ansoff matrix in mind, figure out a few strategic growth options that BHP could pursue.With the Ansoff matrix in mind, consider a few strategic growth options that BHP could pursue.</w:t>
      </w:r>
    </w:p>
    <w:p w14:paraId="24CD057A">
      <w:pPr>
        <w:spacing w:after="0" w:line="480" w:lineRule="auto"/>
        <w:jc w:val="center"/>
        <w:rPr>
          <w:rFonts w:hint="default" w:ascii="Times New Roman" w:hAnsi="Times New Roman" w:cs="Times New Roman"/>
          <w:sz w:val="24"/>
          <w:szCs w:val="24"/>
        </w:rPr>
      </w:pPr>
    </w:p>
    <w:p w14:paraId="6857D2CA">
      <w:pPr>
        <w:spacing w:after="0" w:line="480" w:lineRule="auto"/>
        <w:jc w:val="left"/>
        <w:rPr>
          <w:rFonts w:hint="default" w:ascii="Times New Roman" w:hAnsi="Times New Roman" w:cs="Times New Roman"/>
        </w:rPr>
      </w:pPr>
      <w:r>
        <w:rPr>
          <w:rFonts w:hint="default" w:ascii="Times New Roman" w:hAnsi="Times New Roman" w:eastAsia="Times New Roman" w:cs="Times New Roman"/>
          <w:kern w:val="0"/>
          <w:lang w:eastAsia="en-IN"/>
        </w:rPr>
        <w:drawing>
          <wp:inline distT="0" distB="0" distL="0" distR="0">
            <wp:extent cx="5731510" cy="3663315"/>
            <wp:effectExtent l="0" t="0" r="13970" b="9525"/>
            <wp:docPr id="376580287" name="Picture 1"/>
            <wp:cNvGraphicFramePr/>
            <a:graphic xmlns:a="http://schemas.openxmlformats.org/drawingml/2006/main">
              <a:graphicData uri="http://schemas.openxmlformats.org/drawingml/2006/picture">
                <pic:pic xmlns:pic="http://schemas.openxmlformats.org/drawingml/2006/picture">
                  <pic:nvPicPr>
                    <pic:cNvPr id="376580287" name="Picture 1"/>
                    <pic:cNvPicPr/>
                  </pic:nvPicPr>
                  <pic:blipFill>
                    <a:blip r:embed="rId12"/>
                    <a:stretch>
                      <a:fillRect/>
                    </a:stretch>
                  </pic:blipFill>
                  <pic:spPr>
                    <a:xfrm>
                      <a:off x="0" y="0"/>
                      <a:ext cx="5731514" cy="3663945"/>
                    </a:xfrm>
                    <a:prstGeom prst="rect">
                      <a:avLst/>
                    </a:prstGeom>
                    <a:noFill/>
                    <a:ln>
                      <a:noFill/>
                      <a:prstDash val="solid"/>
                    </a:ln>
                  </pic:spPr>
                </pic:pic>
              </a:graphicData>
            </a:graphic>
          </wp:inline>
        </w:drawing>
      </w:r>
    </w:p>
    <w:p w14:paraId="039EC7C3">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Figure 4.</w:t>
      </w:r>
    </w:p>
    <w:p w14:paraId="15A215B5">
      <w:pPr>
        <w:spacing w:after="0" w:line="480" w:lineRule="auto"/>
        <w:jc w:val="both"/>
        <w:rPr>
          <w:rFonts w:hint="default" w:ascii="Times New Roman" w:hAnsi="Times New Roman" w:cs="Times New Roman"/>
          <w:sz w:val="24"/>
          <w:szCs w:val="24"/>
        </w:rPr>
      </w:pPr>
    </w:p>
    <w:p w14:paraId="640912B2">
      <w:pPr>
        <w:spacing w:after="0"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t>(Source: made by myself)</w:t>
      </w:r>
    </w:p>
    <w:p w14:paraId="0C3E7570">
      <w:pPr>
        <w:spacing w:after="0" w:line="480" w:lineRule="auto"/>
        <w:jc w:val="center"/>
        <w:rPr>
          <w:rFonts w:hint="default" w:ascii="Times New Roman" w:hAnsi="Times New Roman" w:cs="Times New Roman"/>
          <w:sz w:val="24"/>
          <w:szCs w:val="24"/>
          <w:u w:val="single"/>
        </w:rPr>
      </w:pPr>
      <w:r>
        <w:rPr>
          <w:rFonts w:hint="default" w:ascii="Times New Roman" w:hAnsi="Times New Roman" w:cs="Times New Roman"/>
          <w:sz w:val="24"/>
          <w:szCs w:val="24"/>
          <w:u w:val="single"/>
        </w:rPr>
        <w:t>Ansoff Matrix</w:t>
      </w:r>
    </w:p>
    <w:p w14:paraId="532C0C4C">
      <w:pPr>
        <w:spacing w:after="0" w:line="480" w:lineRule="auto"/>
        <w:jc w:val="both"/>
        <w:rPr>
          <w:rFonts w:hint="default" w:ascii="Times New Roman" w:hAnsi="Times New Roman" w:cs="Times New Roman"/>
          <w:sz w:val="24"/>
          <w:szCs w:val="24"/>
          <w:u w:val="single"/>
        </w:rPr>
      </w:pPr>
    </w:p>
    <w:p w14:paraId="5BE0ABCE">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Ansoff Matrix (Ansoff, 1957) lists four growth strategies marketed penetration, product development, diversification and market development. It is commonly employed to gauge growth risk and growth strategic direction and therefore is relevant for analysing BHP's transition context.</w:t>
      </w:r>
    </w:p>
    <w:p w14:paraId="552BE2C3">
      <w:pPr>
        <w:spacing w:after="0" w:line="480" w:lineRule="auto"/>
        <w:jc w:val="both"/>
        <w:rPr>
          <w:rFonts w:hint="default" w:ascii="Times New Roman" w:hAnsi="Times New Roman" w:cs="Times New Roman"/>
          <w:b/>
          <w:bCs/>
          <w:sz w:val="24"/>
          <w:szCs w:val="24"/>
        </w:rPr>
      </w:pPr>
    </w:p>
    <w:p w14:paraId="0FA74662">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Market Penetration</w:t>
      </w:r>
    </w:p>
    <w:p w14:paraId="1F43D487">
      <w:pPr>
        <w:spacing w:after="0" w:line="480" w:lineRule="auto"/>
        <w:jc w:val="both"/>
        <w:rPr>
          <w:rFonts w:hint="default" w:ascii="Times New Roman" w:hAnsi="Times New Roman" w:cs="Times New Roman"/>
          <w:sz w:val="24"/>
          <w:szCs w:val="24"/>
          <w:u w:val="single"/>
        </w:rPr>
      </w:pPr>
    </w:p>
    <w:p w14:paraId="083CF7FE">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Market penetration is targeted on sales growth of the firm's current products in its established markets. The strategy for BHP is to build its activities in the iron ore and copper business in existing markets, namely China, Japan and South Korea. The high grade of its Pilbara iron ores provide a competitive edge as higher quality ores will make iron ores less polluting for steel making purposes (World Steel Association, 2024).</w:t>
      </w:r>
    </w:p>
    <w:p w14:paraId="2602808D">
      <w:pPr>
        <w:spacing w:after="0" w:line="480" w:lineRule="auto"/>
        <w:jc w:val="left"/>
        <w:rPr>
          <w:rFonts w:hint="default" w:ascii="Times New Roman" w:hAnsi="Times New Roman" w:cs="Times New Roman"/>
          <w:sz w:val="24"/>
          <w:szCs w:val="24"/>
        </w:rPr>
      </w:pPr>
    </w:p>
    <w:p w14:paraId="490A5A5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A marketing approach also is to position BHP commodities as enablers of industrial decarbonisation in order to strengthen customer relationships. However, market penetration is limited due to the fairly developed conditions of demand, price fluctuation and high competitive offering. It can induce short-term stability but cannot encompass structural changes brought through the global energy transition.</w:t>
      </w:r>
    </w:p>
    <w:p w14:paraId="2D37BF00">
      <w:pPr>
        <w:spacing w:after="0" w:line="480" w:lineRule="auto"/>
        <w:jc w:val="both"/>
        <w:rPr>
          <w:rFonts w:hint="default" w:ascii="Times New Roman" w:hAnsi="Times New Roman" w:cs="Times New Roman"/>
          <w:sz w:val="24"/>
          <w:szCs w:val="24"/>
        </w:rPr>
      </w:pPr>
    </w:p>
    <w:p w14:paraId="4EA73A37">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Market Development</w:t>
      </w:r>
    </w:p>
    <w:p w14:paraId="00713A4F">
      <w:pPr>
        <w:spacing w:after="0" w:line="480" w:lineRule="auto"/>
        <w:jc w:val="both"/>
        <w:rPr>
          <w:rFonts w:hint="default" w:ascii="Times New Roman" w:hAnsi="Times New Roman" w:cs="Times New Roman"/>
          <w:sz w:val="24"/>
          <w:szCs w:val="24"/>
        </w:rPr>
      </w:pPr>
    </w:p>
    <w:p w14:paraId="12D69283">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Market development is a strategy that entails selling a product in new markets. The import-and-export demand for steel and copper is particularly strong in emerging countries like India and South East Asian countries like Indonesia, where industrialisation and urbanisation are uplifting the need for steel.</w:t>
      </w:r>
    </w:p>
    <w:p w14:paraId="4CBF6CB4">
      <w:pPr>
        <w:spacing w:after="0" w:line="480" w:lineRule="auto"/>
        <w:jc w:val="both"/>
        <w:rPr>
          <w:rFonts w:hint="default" w:ascii="Times New Roman" w:hAnsi="Times New Roman" w:cs="Times New Roman"/>
          <w:sz w:val="24"/>
          <w:szCs w:val="24"/>
        </w:rPr>
      </w:pPr>
    </w:p>
    <w:p w14:paraId="66BA14CF">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Based on the projections by International Energy Agency (2024), significant growth of copper demand is forecasted driven by electrification, renewable energy infrastructure and electric vehicles. The growth opportunities here include expanding supply relationships to regions that agree with such changing trends.</w:t>
      </w:r>
    </w:p>
    <w:p w14:paraId="0BBD4270">
      <w:pPr>
        <w:spacing w:after="0" w:line="480" w:lineRule="auto"/>
        <w:jc w:val="both"/>
        <w:rPr>
          <w:rFonts w:hint="default" w:ascii="Times New Roman" w:hAnsi="Times New Roman" w:cs="Times New Roman"/>
          <w:sz w:val="24"/>
          <w:szCs w:val="24"/>
        </w:rPr>
      </w:pPr>
    </w:p>
    <w:p w14:paraId="76AA721D">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This approach has its share of pitfalls, though, such as the quandary of geopolitical uncertainty, regulatory differences, and infrastructure restrictions. This means that, as an enabler of growth, market development is very subject to external conditions that are beyond the firm's control.</w:t>
      </w:r>
    </w:p>
    <w:p w14:paraId="1363FFC2">
      <w:pPr>
        <w:spacing w:after="0" w:line="480" w:lineRule="auto"/>
        <w:jc w:val="center"/>
        <w:rPr>
          <w:rFonts w:hint="default" w:ascii="Times New Roman" w:hAnsi="Times New Roman" w:cs="Times New Roman"/>
          <w:sz w:val="24"/>
          <w:szCs w:val="24"/>
          <w:u w:val="single"/>
        </w:rPr>
      </w:pPr>
    </w:p>
    <w:p w14:paraId="7E576F78">
      <w:pPr>
        <w:spacing w:after="0" w:line="480" w:lineRule="auto"/>
        <w:jc w:val="left"/>
        <w:rPr>
          <w:rFonts w:hint="default" w:ascii="Times New Roman" w:hAnsi="Times New Roman" w:cs="Times New Roman"/>
        </w:rPr>
      </w:pPr>
      <w:r>
        <w:rPr>
          <w:rFonts w:hint="default" w:ascii="Times New Roman" w:hAnsi="Times New Roman" w:eastAsia="Times New Roman" w:cs="Times New Roman"/>
          <w:kern w:val="0"/>
          <w:sz w:val="24"/>
          <w:szCs w:val="24"/>
          <w:lang w:eastAsia="en-IN"/>
        </w:rPr>
        <w:drawing>
          <wp:inline distT="0" distB="0" distL="0" distR="0">
            <wp:extent cx="5731510" cy="3850005"/>
            <wp:effectExtent l="0" t="0" r="13970" b="5715"/>
            <wp:docPr id="939519732" name="Picture 1"/>
            <wp:cNvGraphicFramePr/>
            <a:graphic xmlns:a="http://schemas.openxmlformats.org/drawingml/2006/main">
              <a:graphicData uri="http://schemas.openxmlformats.org/drawingml/2006/picture">
                <pic:pic xmlns:pic="http://schemas.openxmlformats.org/drawingml/2006/picture">
                  <pic:nvPicPr>
                    <pic:cNvPr id="939519732" name="Picture 1"/>
                    <pic:cNvPicPr/>
                  </pic:nvPicPr>
                  <pic:blipFill>
                    <a:blip r:embed="rId13"/>
                    <a:stretch>
                      <a:fillRect/>
                    </a:stretch>
                  </pic:blipFill>
                  <pic:spPr>
                    <a:xfrm>
                      <a:off x="0" y="0"/>
                      <a:ext cx="5731514" cy="3850008"/>
                    </a:xfrm>
                    <a:prstGeom prst="rect">
                      <a:avLst/>
                    </a:prstGeom>
                    <a:noFill/>
                    <a:ln>
                      <a:noFill/>
                      <a:prstDash val="solid"/>
                    </a:ln>
                  </pic:spPr>
                </pic:pic>
              </a:graphicData>
            </a:graphic>
          </wp:inline>
        </w:drawing>
      </w:r>
    </w:p>
    <w:p w14:paraId="7B5C3F0F">
      <w:pPr>
        <w:spacing w:after="0"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t xml:space="preserve">(Source: Adapted from </w:t>
      </w:r>
      <w:r>
        <w:rPr>
          <w:rFonts w:hint="default" w:ascii="Times New Roman" w:hAnsi="Times New Roman" w:cs="Times New Roman"/>
        </w:rPr>
        <w:fldChar w:fldCharType="begin"/>
      </w:r>
      <w:r>
        <w:rPr>
          <w:rFonts w:hint="default" w:ascii="Times New Roman" w:hAnsi="Times New Roman" w:cs="Times New Roman"/>
        </w:rPr>
        <w:instrText xml:space="preserve"> HYPERLINK "https://www.iea.org/reports/global-critical-minerals-outlook-2024?utm_source=chatgpt.com" </w:instrText>
      </w:r>
      <w:r>
        <w:rPr>
          <w:rFonts w:hint="default" w:ascii="Times New Roman" w:hAnsi="Times New Roman" w:cs="Times New Roman"/>
        </w:rPr>
        <w:fldChar w:fldCharType="separate"/>
      </w:r>
      <w:r>
        <w:rPr>
          <w:rStyle w:val="6"/>
          <w:rFonts w:hint="default" w:ascii="Times New Roman" w:hAnsi="Times New Roman" w:cs="Times New Roman"/>
          <w:sz w:val="24"/>
          <w:szCs w:val="24"/>
        </w:rPr>
        <w:t>IEA Global Critical Minerals Outlook 2024</w:t>
      </w:r>
      <w:r>
        <w:rPr>
          <w:rStyle w:val="6"/>
          <w:rFonts w:hint="default" w:ascii="Times New Roman" w:hAnsi="Times New Roman" w:cs="Times New Roman"/>
          <w:sz w:val="24"/>
          <w:szCs w:val="24"/>
        </w:rPr>
        <w:fldChar w:fldCharType="end"/>
      </w:r>
      <w:r>
        <w:rPr>
          <w:rFonts w:hint="default" w:ascii="Times New Roman" w:hAnsi="Times New Roman" w:cs="Times New Roman"/>
          <w:sz w:val="24"/>
          <w:szCs w:val="24"/>
        </w:rPr>
        <w:t>)</w:t>
      </w:r>
    </w:p>
    <w:p w14:paraId="71BFA605">
      <w:pPr>
        <w:spacing w:after="0" w:line="480" w:lineRule="auto"/>
        <w:jc w:val="center"/>
        <w:rPr>
          <w:rFonts w:hint="default" w:ascii="Times New Roman" w:hAnsi="Times New Roman" w:eastAsia="Times New Roman" w:cs="Times New Roman"/>
          <w:kern w:val="0"/>
          <w:sz w:val="24"/>
          <w:szCs w:val="24"/>
          <w:u w:val="single"/>
          <w:lang w:eastAsia="en-IN"/>
        </w:rPr>
      </w:pPr>
      <w:r>
        <w:rPr>
          <w:rFonts w:hint="default" w:ascii="Times New Roman" w:hAnsi="Times New Roman" w:eastAsia="Times New Roman" w:cs="Times New Roman"/>
          <w:kern w:val="0"/>
          <w:sz w:val="24"/>
          <w:szCs w:val="24"/>
          <w:u w:val="single"/>
          <w:lang w:eastAsia="en-IN"/>
        </w:rPr>
        <w:t>Figure 5: Growth in Copper Demand Across Emerging Markets</w:t>
      </w:r>
    </w:p>
    <w:p w14:paraId="6A89A73F">
      <w:pPr>
        <w:spacing w:after="0" w:line="480" w:lineRule="auto"/>
        <w:jc w:val="center"/>
        <w:rPr>
          <w:rFonts w:hint="default" w:ascii="Times New Roman" w:hAnsi="Times New Roman" w:cs="Times New Roman"/>
          <w:sz w:val="24"/>
          <w:szCs w:val="24"/>
        </w:rPr>
      </w:pPr>
    </w:p>
    <w:p w14:paraId="5CF8B714">
      <w:pPr>
        <w:spacing w:after="0" w:line="480" w:lineRule="auto"/>
        <w:jc w:val="center"/>
        <w:rPr>
          <w:rFonts w:hint="default" w:ascii="Times New Roman" w:hAnsi="Times New Roman" w:cs="Times New Roman"/>
          <w:b/>
          <w:bCs/>
          <w:sz w:val="24"/>
          <w:szCs w:val="24"/>
        </w:rPr>
      </w:pPr>
    </w:p>
    <w:p w14:paraId="1CEC1504">
      <w:pPr>
        <w:spacing w:after="0" w:line="480" w:lineRule="auto"/>
        <w:jc w:val="left"/>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Product development:</w:t>
      </w:r>
    </w:p>
    <w:p w14:paraId="27EF09F4">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Product development is the highest degree of potential for long-term growth. This includes the development of new products tailored to existing markets, and is similar to the decarbonisation pressures found in Task 1.</w:t>
      </w:r>
    </w:p>
    <w:p w14:paraId="185DA4C5">
      <w:pPr>
        <w:spacing w:after="0" w:line="480" w:lineRule="auto"/>
        <w:jc w:val="both"/>
        <w:rPr>
          <w:rFonts w:hint="default" w:ascii="Times New Roman" w:hAnsi="Times New Roman" w:cs="Times New Roman"/>
          <w:sz w:val="24"/>
          <w:szCs w:val="24"/>
        </w:rPr>
      </w:pPr>
    </w:p>
    <w:p w14:paraId="5B86C5D9">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Global emissions demands for materials and products - particularly for industrial customers - are increasingly driving a focus on low-carbon materials. It provides opportunities for BHP to evolve from commodity supply towards being a partner to industrial decarbonisation. Partnerships with POSCO and BlueScope Steel signalled initiatives towards using green steel technology and hydrogen production systems, among its investments in steel production technologies (BHP Group, 2024).</w:t>
      </w:r>
    </w:p>
    <w:p w14:paraId="5C60FD15">
      <w:pPr>
        <w:spacing w:after="0" w:line="480" w:lineRule="auto"/>
        <w:jc w:val="both"/>
        <w:rPr>
          <w:rFonts w:hint="default" w:ascii="Times New Roman" w:hAnsi="Times New Roman" w:cs="Times New Roman"/>
          <w:sz w:val="24"/>
          <w:szCs w:val="24"/>
        </w:rPr>
      </w:pPr>
    </w:p>
    <w:p w14:paraId="0FD9F403">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Product development also helps to further differentiate this usually price-sensitive business. Low-carbon certified minerals and green steel input positioning provide value for customers who have a focus on ESG metrics and move away from a volume-based competition to a value-based one. Johnson et al. (2023) state that companies that can map their innovations to the trends in sustainability are more likely to gain a long-term competitive advantage.</w:t>
      </w:r>
    </w:p>
    <w:p w14:paraId="3772C15A">
      <w:pPr>
        <w:spacing w:after="0" w:line="480" w:lineRule="auto"/>
        <w:jc w:val="both"/>
        <w:rPr>
          <w:rFonts w:hint="default" w:ascii="Times New Roman" w:hAnsi="Times New Roman" w:cs="Times New Roman"/>
          <w:sz w:val="24"/>
          <w:szCs w:val="24"/>
        </w:rPr>
      </w:pPr>
    </w:p>
    <w:p w14:paraId="48705E4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Most importantly, in product development there's a balance between opportunity and risk. Unlike diversification, it takes advantage of the situation where the business has new opportunities in the current markets but has not started new businesses. It also divides up the share of the market at the same time reducing the constraints of market entry, which are based on weak commodity demand. Thus, product development is a more sustainable growth channel, adapted to the longer-term changes in the market and environment.</w:t>
      </w:r>
    </w:p>
    <w:p w14:paraId="19DCC52C">
      <w:pPr>
        <w:spacing w:after="0" w:line="480" w:lineRule="auto"/>
        <w:jc w:val="both"/>
        <w:rPr>
          <w:rFonts w:hint="default" w:ascii="Times New Roman" w:hAnsi="Times New Roman" w:cs="Times New Roman"/>
          <w:sz w:val="24"/>
          <w:szCs w:val="24"/>
        </w:rPr>
      </w:pPr>
    </w:p>
    <w:p w14:paraId="4584EF7E">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Strategic Recommendation</w:t>
      </w:r>
    </w:p>
    <w:p w14:paraId="17E48BB1">
      <w:pPr>
        <w:spacing w:after="0" w:line="480" w:lineRule="auto"/>
        <w:jc w:val="both"/>
        <w:rPr>
          <w:rFonts w:hint="default" w:ascii="Times New Roman" w:hAnsi="Times New Roman" w:cs="Times New Roman"/>
          <w:sz w:val="24"/>
          <w:szCs w:val="24"/>
          <w:u w:val="single"/>
        </w:rPr>
      </w:pPr>
    </w:p>
    <w:p w14:paraId="35CFD3C0">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needs to introduce a specialised unit – the Low-Carbon Minerals and Solutions team – to focus on developing low emissions-certified iron ore, boost green steel relationships and speed up the low-emission investment process. Such a process could facilitate the market entry of sustainability activities, as well as the improvement of customers' relationships and lead to innovation in revenue generating streams, thereby helping to achieve climate goals.</w:t>
      </w:r>
    </w:p>
    <w:p w14:paraId="00FB4D69">
      <w:pPr>
        <w:spacing w:after="0" w:line="480" w:lineRule="auto"/>
        <w:jc w:val="both"/>
        <w:rPr>
          <w:rFonts w:hint="default" w:ascii="Times New Roman" w:hAnsi="Times New Roman" w:cs="Times New Roman"/>
          <w:sz w:val="24"/>
          <w:szCs w:val="24"/>
        </w:rPr>
      </w:pPr>
    </w:p>
    <w:p w14:paraId="43D574C2">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Diversification</w:t>
      </w:r>
    </w:p>
    <w:p w14:paraId="6EED187B">
      <w:pPr>
        <w:spacing w:after="0" w:line="480" w:lineRule="auto"/>
        <w:jc w:val="both"/>
        <w:rPr>
          <w:rFonts w:hint="default" w:ascii="Times New Roman" w:hAnsi="Times New Roman" w:cs="Times New Roman"/>
          <w:sz w:val="24"/>
          <w:szCs w:val="24"/>
        </w:rPr>
      </w:pPr>
    </w:p>
    <w:p w14:paraId="18D12278">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most riskiest growth strategy is diversification which is related to entering the new market with new products. The investment BHP is making in the potash project at Jansen is an example of some of the investments being made in long-term food security by the diversification of assets away from coke and steel into agricultural commodities.</w:t>
      </w:r>
    </w:p>
    <w:p w14:paraId="2A240BC5">
      <w:pPr>
        <w:spacing w:after="0" w:line="480" w:lineRule="auto"/>
        <w:jc w:val="both"/>
        <w:rPr>
          <w:rFonts w:hint="default" w:ascii="Times New Roman" w:hAnsi="Times New Roman" w:cs="Times New Roman"/>
          <w:sz w:val="24"/>
          <w:szCs w:val="24"/>
        </w:rPr>
      </w:pPr>
    </w:p>
    <w:p w14:paraId="43E4448E">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Diversification takes increased risk off commodity cycles and widens income lines. It is, however, requires a lot of investment and brings unexpected market dynamics to the business (Grant, 2022). It could boost future resilience, but there is uncertainty about return, which reduces its appeal during times of transition when products are developed.</w:t>
      </w:r>
    </w:p>
    <w:p w14:paraId="2726DA13">
      <w:pPr>
        <w:spacing w:after="0" w:line="480" w:lineRule="auto"/>
        <w:jc w:val="both"/>
        <w:rPr>
          <w:rFonts w:hint="default" w:ascii="Times New Roman" w:hAnsi="Times New Roman" w:cs="Times New Roman"/>
          <w:sz w:val="24"/>
          <w:szCs w:val="24"/>
        </w:rPr>
      </w:pPr>
    </w:p>
    <w:p w14:paraId="1888C04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marketplace penetration and growth development are largely associated with exterior marketplace requirements; diversification presents high strategic risk, while product development takes care of a balance between growth and implementation risk manageability. This is where it will be the most appropriate for BHP's.</w:t>
      </w:r>
    </w:p>
    <w:p w14:paraId="51443DAD">
      <w:pPr>
        <w:spacing w:after="0" w:line="480" w:lineRule="auto"/>
        <w:jc w:val="both"/>
        <w:rPr>
          <w:rFonts w:hint="default" w:ascii="Times New Roman" w:hAnsi="Times New Roman" w:cs="Times New Roman"/>
          <w:b/>
          <w:bCs/>
          <w:sz w:val="24"/>
          <w:szCs w:val="24"/>
        </w:rPr>
      </w:pPr>
    </w:p>
    <w:p w14:paraId="41FEFB4D">
      <w:pPr>
        <w:spacing w:after="0" w:line="480" w:lineRule="auto"/>
        <w:jc w:val="both"/>
        <w:rPr>
          <w:rFonts w:hint="default" w:ascii="Times New Roman" w:hAnsi="Times New Roman" w:cs="Times New Roman"/>
          <w:b/>
          <w:bCs/>
          <w:sz w:val="24"/>
          <w:szCs w:val="24"/>
          <w:u w:val="single"/>
        </w:rPr>
      </w:pPr>
      <w:r>
        <w:rPr>
          <w:rFonts w:hint="default" w:ascii="Times New Roman" w:hAnsi="Times New Roman" w:cs="Times New Roman"/>
          <w:b/>
          <w:bCs/>
          <w:sz w:val="24"/>
          <w:szCs w:val="24"/>
          <w:u w:val="single"/>
        </w:rPr>
        <w:t>Competitive Positioning through Porter's Generic Strategies</w:t>
      </w:r>
    </w:p>
    <w:p w14:paraId="6DFB9090">
      <w:pPr>
        <w:spacing w:after="0" w:line="480" w:lineRule="auto"/>
        <w:jc w:val="both"/>
        <w:rPr>
          <w:rFonts w:hint="default" w:ascii="Times New Roman" w:hAnsi="Times New Roman" w:cs="Times New Roman"/>
          <w:sz w:val="24"/>
          <w:szCs w:val="24"/>
        </w:rPr>
      </w:pPr>
    </w:p>
    <w:p w14:paraId="66E5CB1D">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For Porter (1985) the two possible strategies through which firms can realize competitive advantage are cost leadership, and differentiation and focus strategies. Differentiation is BHP's best course of action since sustainable purchasing and investment is becoming more popular.</w:t>
      </w:r>
    </w:p>
    <w:p w14:paraId="18ADF978">
      <w:pPr>
        <w:spacing w:after="0" w:line="480" w:lineRule="auto"/>
        <w:jc w:val="both"/>
        <w:rPr>
          <w:rFonts w:hint="default" w:ascii="Times New Roman" w:hAnsi="Times New Roman" w:cs="Times New Roman"/>
          <w:sz w:val="24"/>
          <w:szCs w:val="24"/>
        </w:rPr>
      </w:pPr>
    </w:p>
    <w:p w14:paraId="65483394">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has characteristics and capabilities that enable it to differentiate it positively, such as its quality resources, global scale, financial capability, and sustainability commitments. But sustainable advantage can only be achieved through capabilities that are not easy to imitate, Porter states.</w:t>
      </w:r>
    </w:p>
    <w:p w14:paraId="1DEF9D71">
      <w:pPr>
        <w:spacing w:after="0" w:line="480" w:lineRule="auto"/>
        <w:jc w:val="left"/>
        <w:rPr>
          <w:rFonts w:hint="default" w:ascii="Times New Roman" w:hAnsi="Times New Roman" w:cs="Times New Roman"/>
          <w:sz w:val="24"/>
          <w:szCs w:val="24"/>
        </w:rPr>
      </w:pPr>
    </w:p>
    <w:p w14:paraId="0C77C861">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BHP investments in renewable energy integration, green steel collaborations and low-carbon mineral innovation provide additional product advantages and/or capabilities that are becoming difficult for competitors to replicate. These capabilities become more valuable when shaken by stricter environmental regulations and growing stakeholder demands. This builds a loyal customer base, ensures environmental, social, and governmental investments and improves long-term competitiveness.</w:t>
      </w:r>
    </w:p>
    <w:p w14:paraId="6A4ED9EC">
      <w:pPr>
        <w:spacing w:after="0" w:line="480" w:lineRule="auto"/>
        <w:jc w:val="both"/>
        <w:rPr>
          <w:rFonts w:hint="default" w:ascii="Times New Roman" w:hAnsi="Times New Roman" w:eastAsia="Times New Roman" w:cs="Times New Roman"/>
          <w:kern w:val="0"/>
          <w:sz w:val="24"/>
          <w:szCs w:val="24"/>
          <w:u w:val="single"/>
          <w:lang w:eastAsia="en-IN"/>
        </w:rPr>
      </w:pPr>
    </w:p>
    <w:p w14:paraId="6E0B24C6">
      <w:pPr>
        <w:spacing w:after="0" w:line="480" w:lineRule="auto"/>
        <w:jc w:val="left"/>
        <w:rPr>
          <w:rFonts w:hint="default" w:ascii="Times New Roman" w:hAnsi="Times New Roman" w:cs="Times New Roman"/>
        </w:rPr>
      </w:pPr>
      <w:r>
        <w:rPr>
          <w:rFonts w:hint="default" w:ascii="Times New Roman" w:hAnsi="Times New Roman" w:cs="Times New Roman"/>
          <w:lang w:eastAsia="en-IN"/>
        </w:rPr>
        <w:drawing>
          <wp:inline distT="0" distB="0" distL="0" distR="0">
            <wp:extent cx="5731510" cy="3745865"/>
            <wp:effectExtent l="0" t="0" r="13970" b="3175"/>
            <wp:docPr id="140810074" name="Picture 1"/>
            <wp:cNvGraphicFramePr/>
            <a:graphic xmlns:a="http://schemas.openxmlformats.org/drawingml/2006/main">
              <a:graphicData uri="http://schemas.openxmlformats.org/drawingml/2006/picture">
                <pic:pic xmlns:pic="http://schemas.openxmlformats.org/drawingml/2006/picture">
                  <pic:nvPicPr>
                    <pic:cNvPr id="140810074" name="Picture 1"/>
                    <pic:cNvPicPr/>
                  </pic:nvPicPr>
                  <pic:blipFill>
                    <a:blip r:embed="rId14"/>
                    <a:stretch>
                      <a:fillRect/>
                    </a:stretch>
                  </pic:blipFill>
                  <pic:spPr>
                    <a:xfrm>
                      <a:off x="0" y="0"/>
                      <a:ext cx="5731514" cy="3746497"/>
                    </a:xfrm>
                    <a:prstGeom prst="rect">
                      <a:avLst/>
                    </a:prstGeom>
                    <a:noFill/>
                    <a:ln>
                      <a:noFill/>
                      <a:prstDash val="solid"/>
                    </a:ln>
                  </pic:spPr>
                </pic:pic>
              </a:graphicData>
            </a:graphic>
          </wp:inline>
        </w:drawing>
      </w:r>
    </w:p>
    <w:p w14:paraId="3C8EAB4D">
      <w:pPr>
        <w:spacing w:after="0" w:line="480" w:lineRule="auto"/>
        <w:jc w:val="center"/>
        <w:rPr>
          <w:rFonts w:hint="default" w:ascii="Times New Roman" w:hAnsi="Times New Roman" w:cs="Times New Roman"/>
          <w:sz w:val="24"/>
          <w:szCs w:val="24"/>
        </w:rPr>
      </w:pPr>
      <w:r>
        <w:rPr>
          <w:rFonts w:hint="default" w:ascii="Times New Roman" w:hAnsi="Times New Roman" w:cs="Times New Roman"/>
          <w:sz w:val="24"/>
          <w:szCs w:val="24"/>
        </w:rPr>
        <w:t>(Source: Author's adaptation based on Porter (1985).</w:t>
      </w:r>
    </w:p>
    <w:p w14:paraId="17507EA3">
      <w:pPr>
        <w:spacing w:after="0" w:line="480" w:lineRule="auto"/>
        <w:jc w:val="center"/>
        <w:rPr>
          <w:rFonts w:hint="default" w:ascii="Times New Roman" w:hAnsi="Times New Roman" w:eastAsia="Times New Roman" w:cs="Times New Roman"/>
          <w:kern w:val="0"/>
          <w:sz w:val="24"/>
          <w:szCs w:val="24"/>
          <w:u w:val="single"/>
          <w:lang w:eastAsia="en-IN"/>
        </w:rPr>
      </w:pPr>
      <w:r>
        <w:rPr>
          <w:rFonts w:hint="default" w:ascii="Times New Roman" w:hAnsi="Times New Roman" w:eastAsia="Times New Roman" w:cs="Times New Roman"/>
          <w:kern w:val="0"/>
          <w:sz w:val="24"/>
          <w:szCs w:val="24"/>
          <w:u w:val="single"/>
          <w:lang w:eastAsia="en-IN"/>
        </w:rPr>
        <w:t>Figure 6: Porter's Differentiation Strategy Applied to BHP's Low-Carbon Transition</w:t>
      </w:r>
    </w:p>
    <w:p w14:paraId="1BFAB4EC">
      <w:pPr>
        <w:spacing w:after="0" w:line="480" w:lineRule="auto"/>
        <w:jc w:val="center"/>
        <w:rPr>
          <w:rFonts w:hint="default" w:ascii="Times New Roman" w:hAnsi="Times New Roman" w:eastAsia="Times New Roman" w:cs="Times New Roman"/>
          <w:kern w:val="0"/>
          <w:sz w:val="24"/>
          <w:szCs w:val="24"/>
          <w:u w:val="single"/>
          <w:lang w:eastAsia="en-IN"/>
        </w:rPr>
      </w:pPr>
    </w:p>
    <w:p w14:paraId="1CD55C7F">
      <w:pPr>
        <w:spacing w:after="0" w:line="480" w:lineRule="auto"/>
        <w:jc w:val="center"/>
        <w:rPr>
          <w:rFonts w:hint="default" w:ascii="Times New Roman" w:hAnsi="Times New Roman" w:eastAsia="Times New Roman" w:cs="Times New Roman"/>
          <w:kern w:val="0"/>
          <w:sz w:val="24"/>
          <w:szCs w:val="24"/>
          <w:u w:val="single"/>
          <w:lang w:eastAsia="en-IN"/>
        </w:rPr>
      </w:pPr>
    </w:p>
    <w:p w14:paraId="484E8E0D">
      <w:pPr>
        <w:spacing w:after="0" w:line="480" w:lineRule="auto"/>
        <w:jc w:val="left"/>
        <w:rPr>
          <w:rFonts w:hint="default" w:ascii="Times New Roman" w:hAnsi="Times New Roman" w:cs="Times New Roman"/>
        </w:rPr>
      </w:pPr>
      <w:r>
        <w:rPr>
          <w:rFonts w:hint="default" w:ascii="Times New Roman" w:hAnsi="Times New Roman" w:cs="Times New Roman"/>
          <w:b/>
          <w:bCs/>
          <w:sz w:val="24"/>
          <w:szCs w:val="24"/>
          <w:u w:val="single"/>
        </w:rPr>
        <w:t>Task3: Critical reflection on Artificial Intelligence Usage</w:t>
      </w:r>
      <w:r>
        <w:rPr>
          <w:rFonts w:hint="default" w:ascii="Times New Roman" w:hAnsi="Times New Roman" w:cs="Times New Roman"/>
          <w:sz w:val="24"/>
          <w:szCs w:val="24"/>
          <w:u w:val="single"/>
        </w:rPr>
        <w:t>.</w:t>
      </w:r>
    </w:p>
    <w:p w14:paraId="08AC63D7">
      <w:pPr>
        <w:spacing w:after="0" w:line="480" w:lineRule="auto"/>
        <w:jc w:val="left"/>
        <w:rPr>
          <w:rFonts w:hint="default" w:ascii="Times New Roman" w:hAnsi="Times New Roman" w:cs="Times New Roman"/>
          <w:sz w:val="24"/>
          <w:szCs w:val="24"/>
        </w:rPr>
      </w:pPr>
    </w:p>
    <w:p w14:paraId="587EDDC9">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 use of Artificial Intelligence (AI), specifically ChatGPT, as an auxiliary tool for generating, organizing, and editing the language was used in this assignment to support idea generation, structuring, and editing of language. It was very helpful in creating strategic frameworks like Ansoff Matrix and Porter's Generic Strategies with respect to BHP. Finally, no use of AI was made for creating final arguments or conclusions, and they were developed and critically evaluated independently.</w:t>
      </w:r>
    </w:p>
    <w:p w14:paraId="160F4815">
      <w:pPr>
        <w:spacing w:after="0" w:line="480" w:lineRule="auto"/>
        <w:jc w:val="both"/>
        <w:rPr>
          <w:rFonts w:hint="default" w:ascii="Times New Roman" w:hAnsi="Times New Roman" w:cs="Times New Roman"/>
          <w:sz w:val="24"/>
          <w:szCs w:val="24"/>
        </w:rPr>
      </w:pPr>
    </w:p>
    <w:p w14:paraId="634CFBDC">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AI enhanced efficiency with the use of drafting and summarizing from academic and industry sources. The Quality Assurance Agency (QAA, 2024) sees that generative AI has the potential to be used in a responsible way to support learning. But there were some challenges reported, such as the ability to produce accurate content, the difficulty of understanding the context, and the tendency to simplify large issues in the industry (as mentioned by UNESCO (2023)).</w:t>
      </w:r>
    </w:p>
    <w:p w14:paraId="1B670389">
      <w:pPr>
        <w:spacing w:after="0" w:line="480" w:lineRule="auto"/>
        <w:jc w:val="both"/>
        <w:rPr>
          <w:rFonts w:hint="default" w:ascii="Times New Roman" w:hAnsi="Times New Roman" w:cs="Times New Roman"/>
          <w:sz w:val="24"/>
          <w:szCs w:val="24"/>
        </w:rPr>
      </w:pPr>
    </w:p>
    <w:p w14:paraId="59FF65BA">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Therefore, it was necessary for all the content that was produced with AI to be checked with academic sources like the BHP reports and the International Energy Agency. This made it clear that AI is not a substitute for critical thinking, source assessment, or strategic decision making.</w:t>
      </w:r>
    </w:p>
    <w:p w14:paraId="35EE6AEF">
      <w:pPr>
        <w:spacing w:after="0" w:line="480" w:lineRule="auto"/>
        <w:jc w:val="both"/>
        <w:rPr>
          <w:rFonts w:hint="default" w:ascii="Times New Roman" w:hAnsi="Times New Roman" w:cs="Times New Roman"/>
          <w:sz w:val="24"/>
          <w:szCs w:val="24"/>
        </w:rPr>
      </w:pPr>
    </w:p>
    <w:p w14:paraId="16892EEA">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Ethically, AI was used correctly and responsibly, and any workloads that were created were reviewed and edited to ensure academic honesty. In general, AI generated increased productivity and clarity, but required careful human oversight to</w:t>
      </w:r>
    </w:p>
    <w:p w14:paraId="27D9838D">
      <w:pPr>
        <w:spacing w:after="0" w:line="480" w:lineRule="auto"/>
        <w:jc w:val="both"/>
        <w:rPr>
          <w:rFonts w:hint="default" w:ascii="Times New Roman" w:hAnsi="Times New Roman" w:cs="Times New Roman"/>
          <w:sz w:val="24"/>
          <w:szCs w:val="24"/>
        </w:rPr>
      </w:pPr>
      <w:r>
        <w:rPr>
          <w:rFonts w:hint="default" w:ascii="Times New Roman" w:hAnsi="Times New Roman" w:cs="Times New Roman"/>
          <w:sz w:val="24"/>
          <w:szCs w:val="24"/>
        </w:rPr>
        <w:t>be successful. This experience serves as an illustration of how AI can be used to assist with academic analysis, but cannot replace it.</w:t>
      </w:r>
    </w:p>
    <w:p w14:paraId="5E988912">
      <w:pPr>
        <w:spacing w:after="0" w:line="480" w:lineRule="auto"/>
        <w:jc w:val="left"/>
        <w:rPr>
          <w:rFonts w:ascii="Arial" w:hAnsi="Arial" w:cs="Arial"/>
          <w:sz w:val="24"/>
          <w:szCs w:val="24"/>
        </w:rPr>
      </w:pPr>
    </w:p>
    <w:p w14:paraId="1CCF5102">
      <w:pPr>
        <w:spacing w:after="0" w:line="480" w:lineRule="auto"/>
        <w:jc w:val="left"/>
        <w:rPr>
          <w:rFonts w:ascii="Arial" w:hAnsi="Arial" w:cs="Arial"/>
          <w:sz w:val="24"/>
          <w:szCs w:val="24"/>
        </w:rPr>
      </w:pPr>
    </w:p>
    <w:p w14:paraId="5863688E">
      <w:pPr>
        <w:spacing w:after="0" w:line="480" w:lineRule="auto"/>
        <w:jc w:val="left"/>
        <w:rPr>
          <w:rFonts w:ascii="Arial" w:hAnsi="Arial" w:cs="Arial"/>
          <w:sz w:val="24"/>
          <w:szCs w:val="24"/>
        </w:rPr>
      </w:pPr>
    </w:p>
    <w:p w14:paraId="78AEFD94">
      <w:pPr>
        <w:spacing w:after="0" w:line="480" w:lineRule="auto"/>
        <w:jc w:val="left"/>
        <w:rPr>
          <w:rFonts w:ascii="Arial" w:hAnsi="Arial" w:cs="Arial"/>
          <w:b/>
          <w:bCs/>
          <w:sz w:val="24"/>
          <w:szCs w:val="24"/>
        </w:rPr>
      </w:pPr>
    </w:p>
    <w:p w14:paraId="6C43097A">
      <w:pPr>
        <w:spacing w:after="0" w:line="480" w:lineRule="auto"/>
        <w:jc w:val="left"/>
        <w:rPr>
          <w:rFonts w:ascii="Arial" w:hAnsi="Arial" w:cs="Arial"/>
          <w:b/>
          <w:bCs/>
          <w:sz w:val="24"/>
          <w:szCs w:val="24"/>
        </w:rPr>
      </w:pPr>
    </w:p>
    <w:p w14:paraId="62CF911E">
      <w:pPr>
        <w:spacing w:after="0" w:line="480" w:lineRule="auto"/>
        <w:jc w:val="left"/>
        <w:rPr>
          <w:rFonts w:ascii="Arial" w:hAnsi="Arial" w:cs="Arial"/>
          <w:b/>
          <w:bCs/>
          <w:sz w:val="24"/>
          <w:szCs w:val="24"/>
        </w:rPr>
      </w:pPr>
    </w:p>
    <w:p w14:paraId="4FFF1938">
      <w:pPr>
        <w:spacing w:after="0" w:line="480" w:lineRule="auto"/>
        <w:jc w:val="left"/>
        <w:rPr>
          <w:rFonts w:ascii="Arial" w:hAnsi="Arial" w:cs="Arial"/>
          <w:b/>
          <w:bCs/>
          <w:sz w:val="24"/>
          <w:szCs w:val="24"/>
        </w:rPr>
      </w:pPr>
    </w:p>
    <w:p w14:paraId="087753B6">
      <w:pPr>
        <w:spacing w:after="0" w:line="480" w:lineRule="auto"/>
        <w:jc w:val="left"/>
        <w:rPr>
          <w:rFonts w:ascii="Arial" w:hAnsi="Arial" w:cs="Arial"/>
          <w:b/>
          <w:bCs/>
          <w:sz w:val="24"/>
          <w:szCs w:val="24"/>
        </w:rPr>
      </w:pPr>
    </w:p>
    <w:p w14:paraId="64D322D7">
      <w:pPr>
        <w:spacing w:after="0" w:line="480" w:lineRule="auto"/>
        <w:jc w:val="left"/>
        <w:rPr>
          <w:rFonts w:ascii="Arial" w:hAnsi="Arial" w:cs="Arial"/>
          <w:b/>
          <w:bCs/>
          <w:sz w:val="24"/>
          <w:szCs w:val="24"/>
        </w:rPr>
      </w:pPr>
    </w:p>
    <w:p w14:paraId="12EC7504">
      <w:pPr>
        <w:spacing w:after="0" w:line="480" w:lineRule="auto"/>
        <w:jc w:val="left"/>
        <w:rPr>
          <w:rFonts w:ascii="Arial" w:hAnsi="Arial" w:cs="Arial"/>
          <w:b/>
          <w:bCs/>
          <w:sz w:val="24"/>
          <w:szCs w:val="24"/>
        </w:rPr>
      </w:pPr>
    </w:p>
    <w:p w14:paraId="1451C4F1">
      <w:pPr>
        <w:spacing w:after="0" w:line="480" w:lineRule="auto"/>
        <w:jc w:val="left"/>
        <w:rPr>
          <w:rFonts w:ascii="Arial" w:hAnsi="Arial" w:cs="Arial"/>
          <w:b/>
          <w:bCs/>
          <w:sz w:val="24"/>
          <w:szCs w:val="24"/>
        </w:rPr>
      </w:pPr>
    </w:p>
    <w:p w14:paraId="59B578B3">
      <w:pPr>
        <w:spacing w:after="0" w:line="480" w:lineRule="auto"/>
        <w:jc w:val="left"/>
        <w:rPr>
          <w:rFonts w:ascii="Arial" w:hAnsi="Arial" w:cs="Arial"/>
          <w:b/>
          <w:bCs/>
          <w:sz w:val="24"/>
          <w:szCs w:val="24"/>
        </w:rPr>
      </w:pPr>
    </w:p>
    <w:p w14:paraId="286F5978">
      <w:pPr>
        <w:spacing w:after="0" w:line="480" w:lineRule="auto"/>
        <w:jc w:val="left"/>
        <w:rPr>
          <w:rFonts w:ascii="Arial" w:hAnsi="Arial" w:cs="Arial"/>
          <w:b/>
          <w:bCs/>
          <w:sz w:val="24"/>
          <w:szCs w:val="24"/>
        </w:rPr>
      </w:pPr>
    </w:p>
    <w:p w14:paraId="7CBB08DB">
      <w:pPr>
        <w:spacing w:after="0" w:line="480" w:lineRule="auto"/>
        <w:jc w:val="left"/>
        <w:rPr>
          <w:rFonts w:ascii="Arial" w:hAnsi="Arial" w:cs="Arial"/>
          <w:b/>
          <w:bCs/>
          <w:sz w:val="24"/>
          <w:szCs w:val="24"/>
        </w:rPr>
      </w:pPr>
    </w:p>
    <w:p w14:paraId="06BF30D2">
      <w:pPr>
        <w:spacing w:after="0" w:line="480" w:lineRule="auto"/>
        <w:jc w:val="left"/>
        <w:rPr>
          <w:rFonts w:ascii="Arial" w:hAnsi="Arial" w:cs="Arial"/>
          <w:b/>
          <w:bCs/>
          <w:sz w:val="24"/>
          <w:szCs w:val="24"/>
        </w:rPr>
      </w:pPr>
    </w:p>
    <w:p w14:paraId="7C575568">
      <w:pPr>
        <w:spacing w:after="0" w:line="480" w:lineRule="auto"/>
        <w:jc w:val="left"/>
        <w:rPr>
          <w:rFonts w:ascii="Arial" w:hAnsi="Arial" w:cs="Arial"/>
          <w:b/>
          <w:bCs/>
          <w:sz w:val="24"/>
          <w:szCs w:val="24"/>
        </w:rPr>
      </w:pPr>
    </w:p>
    <w:p w14:paraId="41647C95">
      <w:pPr>
        <w:spacing w:after="0" w:line="480" w:lineRule="auto"/>
        <w:jc w:val="left"/>
        <w:rPr>
          <w:rFonts w:ascii="Arial" w:hAnsi="Arial" w:cs="Arial"/>
          <w:b/>
          <w:bCs/>
          <w:sz w:val="24"/>
          <w:szCs w:val="24"/>
        </w:rPr>
      </w:pPr>
    </w:p>
    <w:p w14:paraId="23D296C4">
      <w:pPr>
        <w:spacing w:after="0" w:line="480" w:lineRule="auto"/>
        <w:jc w:val="left"/>
        <w:rPr>
          <w:rFonts w:ascii="Arial" w:hAnsi="Arial" w:cs="Arial"/>
          <w:b/>
          <w:bCs/>
          <w:sz w:val="24"/>
          <w:szCs w:val="24"/>
        </w:rPr>
      </w:pPr>
    </w:p>
    <w:p w14:paraId="3605B786">
      <w:pPr>
        <w:spacing w:after="0" w:line="480" w:lineRule="auto"/>
        <w:jc w:val="left"/>
        <w:rPr>
          <w:rFonts w:ascii="Arial" w:hAnsi="Arial" w:cs="Arial"/>
          <w:b/>
          <w:bCs/>
          <w:sz w:val="24"/>
          <w:szCs w:val="24"/>
        </w:rPr>
      </w:pPr>
    </w:p>
    <w:p w14:paraId="728D786B">
      <w:pPr>
        <w:spacing w:after="0" w:line="480" w:lineRule="auto"/>
        <w:jc w:val="left"/>
        <w:rPr>
          <w:rFonts w:ascii="Arial" w:hAnsi="Arial" w:cs="Arial"/>
          <w:b/>
          <w:bCs/>
          <w:sz w:val="24"/>
          <w:szCs w:val="24"/>
        </w:rPr>
      </w:pPr>
    </w:p>
    <w:p w14:paraId="6AB0C57A">
      <w:pPr>
        <w:spacing w:after="0" w:line="480" w:lineRule="auto"/>
        <w:jc w:val="left"/>
        <w:rPr>
          <w:rFonts w:ascii="Arial" w:hAnsi="Arial" w:cs="Arial"/>
          <w:b/>
          <w:bCs/>
          <w:sz w:val="24"/>
          <w:szCs w:val="24"/>
        </w:rPr>
      </w:pPr>
    </w:p>
    <w:p w14:paraId="02E92D2F">
      <w:pPr>
        <w:spacing w:after="0" w:line="480" w:lineRule="auto"/>
        <w:jc w:val="left"/>
        <w:rPr>
          <w:rFonts w:ascii="Arial" w:hAnsi="Arial" w:cs="Arial"/>
          <w:b/>
          <w:bCs/>
          <w:sz w:val="24"/>
          <w:szCs w:val="24"/>
        </w:rPr>
      </w:pPr>
    </w:p>
    <w:p w14:paraId="24255D7E">
      <w:pPr>
        <w:spacing w:after="0" w:line="480" w:lineRule="auto"/>
        <w:jc w:val="left"/>
        <w:rPr>
          <w:rFonts w:ascii="Arial" w:hAnsi="Arial" w:cs="Arial"/>
          <w:b/>
          <w:bCs/>
          <w:sz w:val="24"/>
          <w:szCs w:val="24"/>
        </w:rPr>
      </w:pPr>
    </w:p>
    <w:p w14:paraId="21E44445">
      <w:pPr>
        <w:spacing w:after="0" w:line="480" w:lineRule="auto"/>
        <w:jc w:val="left"/>
        <w:rPr>
          <w:rFonts w:ascii="Arial" w:hAnsi="Arial" w:cs="Arial"/>
          <w:b/>
          <w:bCs/>
          <w:sz w:val="24"/>
          <w:szCs w:val="24"/>
        </w:rPr>
      </w:pPr>
      <w:r>
        <w:rPr>
          <w:rFonts w:ascii="Arial" w:hAnsi="Arial" w:cs="Arial"/>
          <w:b/>
          <w:bCs/>
          <w:sz w:val="24"/>
          <w:szCs w:val="24"/>
        </w:rPr>
        <w:t>Reference :</w:t>
      </w:r>
    </w:p>
    <w:p w14:paraId="4D1BCB5B">
      <w:pPr>
        <w:numPr>
          <w:ilvl w:val="0"/>
          <w:numId w:val="2"/>
        </w:numPr>
        <w:spacing w:after="0" w:line="480" w:lineRule="auto"/>
        <w:jc w:val="left"/>
      </w:pPr>
      <w:r>
        <w:rPr>
          <w:rFonts w:ascii="Arial" w:hAnsi="Arial" w:cs="Arial"/>
          <w:sz w:val="24"/>
          <w:szCs w:val="24"/>
        </w:rPr>
        <w:t xml:space="preserve">Ansoff, H.I. (1957) ‘Strategies for diversification’, </w:t>
      </w:r>
      <w:r>
        <w:rPr>
          <w:rFonts w:ascii="Arial" w:hAnsi="Arial" w:cs="Arial"/>
          <w:i/>
          <w:iCs/>
          <w:sz w:val="24"/>
          <w:szCs w:val="24"/>
        </w:rPr>
        <w:t>Harvard Business Review</w:t>
      </w:r>
      <w:r>
        <w:rPr>
          <w:rFonts w:ascii="Arial" w:hAnsi="Arial" w:cs="Arial"/>
          <w:sz w:val="24"/>
          <w:szCs w:val="24"/>
        </w:rPr>
        <w:t xml:space="preserve">, 35(5), pp. 113–124. </w:t>
      </w:r>
    </w:p>
    <w:p w14:paraId="3E55360E">
      <w:pPr>
        <w:numPr>
          <w:ilvl w:val="0"/>
          <w:numId w:val="2"/>
        </w:numPr>
        <w:spacing w:after="0" w:line="480" w:lineRule="auto"/>
        <w:jc w:val="left"/>
      </w:pPr>
      <w:r>
        <w:fldChar w:fldCharType="begin"/>
      </w:r>
      <w:r>
        <w:instrText xml:space="preserve"> HYPERLINK "https://www.bhp.com/investors/annual-reporting?utm_source=chatgpt.com" </w:instrText>
      </w:r>
      <w:r>
        <w:fldChar w:fldCharType="separate"/>
      </w:r>
      <w:r>
        <w:rPr>
          <w:rStyle w:val="6"/>
          <w:rFonts w:ascii="Arial" w:hAnsi="Arial" w:cs="Arial"/>
          <w:sz w:val="24"/>
          <w:szCs w:val="24"/>
        </w:rPr>
        <w:t>BHP Group Annual Report 2024</w:t>
      </w:r>
      <w:r>
        <w:rPr>
          <w:rStyle w:val="6"/>
          <w:rFonts w:ascii="Arial" w:hAnsi="Arial" w:cs="Arial"/>
          <w:sz w:val="24"/>
          <w:szCs w:val="24"/>
        </w:rPr>
        <w:fldChar w:fldCharType="end"/>
      </w:r>
      <w:r>
        <w:rPr>
          <w:rFonts w:ascii="Arial" w:hAnsi="Arial" w:cs="Arial"/>
          <w:sz w:val="24"/>
          <w:szCs w:val="24"/>
        </w:rPr>
        <w:t xml:space="preserve"> </w:t>
      </w:r>
    </w:p>
    <w:p w14:paraId="66078250">
      <w:pPr>
        <w:numPr>
          <w:ilvl w:val="0"/>
          <w:numId w:val="2"/>
        </w:numPr>
        <w:spacing w:after="0" w:line="480" w:lineRule="auto"/>
        <w:jc w:val="left"/>
      </w:pPr>
      <w:r>
        <w:rPr>
          <w:rFonts w:ascii="Arial" w:hAnsi="Arial" w:cs="Arial"/>
          <w:sz w:val="24"/>
          <w:szCs w:val="24"/>
        </w:rPr>
        <w:t xml:space="preserve">Born, B. and Çiftçi, M. (2024) ‘The role of recycling and circular economy in future copper supply’, </w:t>
      </w:r>
      <w:r>
        <w:rPr>
          <w:rFonts w:ascii="Arial" w:hAnsi="Arial" w:cs="Arial"/>
          <w:i/>
          <w:iCs/>
          <w:sz w:val="24"/>
          <w:szCs w:val="24"/>
        </w:rPr>
        <w:t>Resources Policy</w:t>
      </w:r>
      <w:r>
        <w:rPr>
          <w:rFonts w:ascii="Arial" w:hAnsi="Arial" w:cs="Arial"/>
          <w:sz w:val="24"/>
          <w:szCs w:val="24"/>
        </w:rPr>
        <w:t xml:space="preserve">, 89, Article 104822. </w:t>
      </w:r>
    </w:p>
    <w:p w14:paraId="491F1EFD">
      <w:pPr>
        <w:numPr>
          <w:ilvl w:val="0"/>
          <w:numId w:val="2"/>
        </w:numPr>
        <w:spacing w:after="0" w:line="480" w:lineRule="auto"/>
        <w:jc w:val="left"/>
      </w:pPr>
      <w:r>
        <w:rPr>
          <w:rFonts w:ascii="Arial" w:hAnsi="Arial" w:cs="Arial"/>
          <w:sz w:val="24"/>
          <w:szCs w:val="24"/>
        </w:rPr>
        <w:t xml:space="preserve">Geels, F.W., Sovacool, B.K., Schwanen, T. and Sorrell, S. (2021) ‘The socio-technical dynamics of low-carbon transitions’, </w:t>
      </w:r>
      <w:r>
        <w:rPr>
          <w:rFonts w:ascii="Arial" w:hAnsi="Arial" w:cs="Arial"/>
          <w:i/>
          <w:iCs/>
          <w:sz w:val="24"/>
          <w:szCs w:val="24"/>
        </w:rPr>
        <w:t>Energy Research &amp; Social Science</w:t>
      </w:r>
      <w:r>
        <w:rPr>
          <w:rFonts w:ascii="Arial" w:hAnsi="Arial" w:cs="Arial"/>
          <w:sz w:val="24"/>
          <w:szCs w:val="24"/>
        </w:rPr>
        <w:t xml:space="preserve">, 76, Article 102067. </w:t>
      </w:r>
    </w:p>
    <w:p w14:paraId="49F4A747">
      <w:pPr>
        <w:numPr>
          <w:ilvl w:val="0"/>
          <w:numId w:val="2"/>
        </w:numPr>
        <w:spacing w:after="0" w:line="480" w:lineRule="auto"/>
        <w:jc w:val="left"/>
      </w:pPr>
      <w:r>
        <w:rPr>
          <w:rFonts w:ascii="Arial" w:hAnsi="Arial" w:cs="Arial"/>
          <w:sz w:val="24"/>
          <w:szCs w:val="24"/>
        </w:rPr>
        <w:t xml:space="preserve">Grant, R.M. (2022) </w:t>
      </w:r>
      <w:r>
        <w:rPr>
          <w:rFonts w:ascii="Arial" w:hAnsi="Arial" w:cs="Arial"/>
          <w:i/>
          <w:iCs/>
          <w:sz w:val="24"/>
          <w:szCs w:val="24"/>
        </w:rPr>
        <w:t>Contemporary Strategy Analysis</w:t>
      </w:r>
      <w:r>
        <w:rPr>
          <w:rFonts w:ascii="Arial" w:hAnsi="Arial" w:cs="Arial"/>
          <w:sz w:val="24"/>
          <w:szCs w:val="24"/>
        </w:rPr>
        <w:t xml:space="preserve">. 11th edn. Hoboken, NJ: Wiley. </w:t>
      </w:r>
    </w:p>
    <w:p w14:paraId="49C220B0">
      <w:pPr>
        <w:numPr>
          <w:ilvl w:val="0"/>
          <w:numId w:val="2"/>
        </w:numPr>
        <w:spacing w:after="0" w:line="480" w:lineRule="auto"/>
        <w:jc w:val="left"/>
      </w:pPr>
      <w:r>
        <w:fldChar w:fldCharType="begin"/>
      </w:r>
      <w:r>
        <w:instrText xml:space="preserve"> HYPERLINK "https://www.ipcc.ch/report/ar6/wg1/?utm_source=chatgpt.com" </w:instrText>
      </w:r>
      <w:r>
        <w:fldChar w:fldCharType="separate"/>
      </w:r>
      <w:r>
        <w:rPr>
          <w:rStyle w:val="6"/>
          <w:rFonts w:ascii="Arial" w:hAnsi="Arial" w:cs="Arial"/>
          <w:sz w:val="24"/>
          <w:szCs w:val="24"/>
        </w:rPr>
        <w:t>IPCC Climate Change 2021: The Physical Science Basis</w:t>
      </w:r>
      <w:r>
        <w:rPr>
          <w:rStyle w:val="6"/>
          <w:rFonts w:ascii="Arial" w:hAnsi="Arial" w:cs="Arial"/>
          <w:sz w:val="24"/>
          <w:szCs w:val="24"/>
        </w:rPr>
        <w:fldChar w:fldCharType="end"/>
      </w:r>
      <w:r>
        <w:rPr>
          <w:rFonts w:ascii="Arial" w:hAnsi="Arial" w:cs="Arial"/>
          <w:sz w:val="24"/>
          <w:szCs w:val="24"/>
        </w:rPr>
        <w:t xml:space="preserve"> </w:t>
      </w:r>
    </w:p>
    <w:p w14:paraId="376CEE3C">
      <w:pPr>
        <w:numPr>
          <w:ilvl w:val="0"/>
          <w:numId w:val="2"/>
        </w:numPr>
        <w:spacing w:after="0" w:line="480" w:lineRule="auto"/>
        <w:jc w:val="left"/>
      </w:pPr>
      <w:r>
        <w:fldChar w:fldCharType="begin"/>
      </w:r>
      <w:r>
        <w:instrText xml:space="preserve"> HYPERLINK "https://www.iea.org/reports/global-critical-minerals-outlook-2024?utm_source=chatgpt.com" </w:instrText>
      </w:r>
      <w:r>
        <w:fldChar w:fldCharType="separate"/>
      </w:r>
      <w:r>
        <w:rPr>
          <w:rStyle w:val="6"/>
          <w:rFonts w:ascii="Arial" w:hAnsi="Arial" w:cs="Arial"/>
          <w:sz w:val="24"/>
          <w:szCs w:val="24"/>
        </w:rPr>
        <w:t>IEA Global Critical Minerals Outlook 2024</w:t>
      </w:r>
      <w:r>
        <w:rPr>
          <w:rStyle w:val="6"/>
          <w:rFonts w:ascii="Arial" w:hAnsi="Arial" w:cs="Arial"/>
          <w:sz w:val="24"/>
          <w:szCs w:val="24"/>
        </w:rPr>
        <w:fldChar w:fldCharType="end"/>
      </w:r>
      <w:r>
        <w:rPr>
          <w:rFonts w:ascii="Arial" w:hAnsi="Arial" w:cs="Arial"/>
          <w:sz w:val="24"/>
          <w:szCs w:val="24"/>
        </w:rPr>
        <w:t xml:space="preserve"> </w:t>
      </w:r>
    </w:p>
    <w:p w14:paraId="68FC35A8">
      <w:pPr>
        <w:numPr>
          <w:ilvl w:val="0"/>
          <w:numId w:val="2"/>
        </w:numPr>
        <w:spacing w:after="0" w:line="480" w:lineRule="auto"/>
        <w:jc w:val="left"/>
      </w:pPr>
      <w:r>
        <w:rPr>
          <w:rFonts w:ascii="Arial" w:hAnsi="Arial" w:cs="Arial"/>
          <w:sz w:val="24"/>
          <w:szCs w:val="24"/>
        </w:rPr>
        <w:t xml:space="preserve">Johnson, G., Scholes, K., Whittington, R. and Angwin, D. (2023) </w:t>
      </w:r>
      <w:r>
        <w:rPr>
          <w:rFonts w:ascii="Arial" w:hAnsi="Arial" w:cs="Arial"/>
          <w:i/>
          <w:iCs/>
          <w:sz w:val="24"/>
          <w:szCs w:val="24"/>
        </w:rPr>
        <w:t>Exploring Strategy</w:t>
      </w:r>
      <w:r>
        <w:rPr>
          <w:rFonts w:ascii="Arial" w:hAnsi="Arial" w:cs="Arial"/>
          <w:sz w:val="24"/>
          <w:szCs w:val="24"/>
        </w:rPr>
        <w:t xml:space="preserve">. 13th edn. Harlow: Pearson. </w:t>
      </w:r>
    </w:p>
    <w:p w14:paraId="2EA36146">
      <w:pPr>
        <w:numPr>
          <w:ilvl w:val="0"/>
          <w:numId w:val="2"/>
        </w:numPr>
        <w:spacing w:after="0" w:line="480" w:lineRule="auto"/>
        <w:jc w:val="left"/>
      </w:pPr>
      <w:r>
        <w:rPr>
          <w:rFonts w:ascii="Arial" w:hAnsi="Arial" w:cs="Arial"/>
          <w:sz w:val="24"/>
          <w:szCs w:val="24"/>
        </w:rPr>
        <w:t xml:space="preserve">Kotler, P., Armstrong, G., Harris, L.C. and He, H. (2024) </w:t>
      </w:r>
      <w:r>
        <w:rPr>
          <w:rFonts w:ascii="Arial" w:hAnsi="Arial" w:cs="Arial"/>
          <w:i/>
          <w:iCs/>
          <w:sz w:val="24"/>
          <w:szCs w:val="24"/>
        </w:rPr>
        <w:t>Principles of Marketing</w:t>
      </w:r>
      <w:r>
        <w:rPr>
          <w:rFonts w:ascii="Arial" w:hAnsi="Arial" w:cs="Arial"/>
          <w:sz w:val="24"/>
          <w:szCs w:val="24"/>
        </w:rPr>
        <w:t xml:space="preserve">. 19th edn. Harlow: Pearson. </w:t>
      </w:r>
    </w:p>
    <w:p w14:paraId="4CD77BD7">
      <w:pPr>
        <w:numPr>
          <w:ilvl w:val="0"/>
          <w:numId w:val="2"/>
        </w:numPr>
        <w:spacing w:after="0" w:line="480" w:lineRule="auto"/>
        <w:jc w:val="left"/>
      </w:pPr>
      <w:r>
        <w:rPr>
          <w:rFonts w:ascii="Arial" w:hAnsi="Arial" w:cs="Arial"/>
          <w:sz w:val="24"/>
          <w:szCs w:val="24"/>
        </w:rPr>
        <w:t xml:space="preserve">Lèbre, É., Stringer, M., Svobodova, K., Owen, J.R., Kemp, D., Côte, C., Arratia-Solar, A., Valenta, R.K. and Ali, S.H. (2020) ‘The social and environmental complexities of extracting energy transition metals’, </w:t>
      </w:r>
      <w:r>
        <w:rPr>
          <w:rFonts w:ascii="Arial" w:hAnsi="Arial" w:cs="Arial"/>
          <w:i/>
          <w:iCs/>
          <w:sz w:val="24"/>
          <w:szCs w:val="24"/>
        </w:rPr>
        <w:t>Nature Communications</w:t>
      </w:r>
      <w:r>
        <w:rPr>
          <w:rFonts w:ascii="Arial" w:hAnsi="Arial" w:cs="Arial"/>
          <w:sz w:val="24"/>
          <w:szCs w:val="24"/>
        </w:rPr>
        <w:t xml:space="preserve">, 11(1), pp. 1–8. </w:t>
      </w:r>
    </w:p>
    <w:p w14:paraId="01B6D6E7">
      <w:pPr>
        <w:numPr>
          <w:ilvl w:val="0"/>
          <w:numId w:val="2"/>
        </w:numPr>
        <w:spacing w:after="0" w:line="480" w:lineRule="auto"/>
        <w:jc w:val="left"/>
      </w:pPr>
      <w:r>
        <w:rPr>
          <w:rFonts w:ascii="Arial" w:hAnsi="Arial" w:cs="Arial"/>
          <w:sz w:val="24"/>
          <w:szCs w:val="24"/>
        </w:rPr>
        <w:t xml:space="preserve">Mudd, G.M. (2022) ‘The future of mining and resource depletion in a low-carbon economy’, </w:t>
      </w:r>
      <w:r>
        <w:rPr>
          <w:rFonts w:ascii="Arial" w:hAnsi="Arial" w:cs="Arial"/>
          <w:i/>
          <w:iCs/>
          <w:sz w:val="24"/>
          <w:szCs w:val="24"/>
        </w:rPr>
        <w:t>Minerals Engineering</w:t>
      </w:r>
      <w:r>
        <w:rPr>
          <w:rFonts w:ascii="Arial" w:hAnsi="Arial" w:cs="Arial"/>
          <w:sz w:val="24"/>
          <w:szCs w:val="24"/>
        </w:rPr>
        <w:t xml:space="preserve">, 184, Article 107632. </w:t>
      </w:r>
    </w:p>
    <w:p w14:paraId="5E5F0FB1">
      <w:pPr>
        <w:numPr>
          <w:ilvl w:val="0"/>
          <w:numId w:val="2"/>
        </w:numPr>
        <w:spacing w:after="0" w:line="480" w:lineRule="auto"/>
        <w:jc w:val="left"/>
      </w:pPr>
      <w:r>
        <w:rPr>
          <w:rFonts w:ascii="Arial" w:hAnsi="Arial" w:cs="Arial"/>
          <w:sz w:val="24"/>
          <w:szCs w:val="24"/>
        </w:rPr>
        <w:t xml:space="preserve">Porter, M.E. (1985) </w:t>
      </w:r>
      <w:r>
        <w:rPr>
          <w:rFonts w:ascii="Arial" w:hAnsi="Arial" w:cs="Arial"/>
          <w:i/>
          <w:iCs/>
          <w:sz w:val="24"/>
          <w:szCs w:val="24"/>
        </w:rPr>
        <w:t>Competitive Advantage: Creating and Sustaining Superior Performance</w:t>
      </w:r>
      <w:r>
        <w:rPr>
          <w:rFonts w:ascii="Arial" w:hAnsi="Arial" w:cs="Arial"/>
          <w:sz w:val="24"/>
          <w:szCs w:val="24"/>
        </w:rPr>
        <w:t xml:space="preserve">. New York: Free Press. </w:t>
      </w:r>
    </w:p>
    <w:p w14:paraId="7FE9E6D8">
      <w:pPr>
        <w:numPr>
          <w:ilvl w:val="0"/>
          <w:numId w:val="2"/>
        </w:numPr>
        <w:spacing w:after="0" w:line="480" w:lineRule="auto"/>
        <w:jc w:val="left"/>
        <w:rPr>
          <w:rFonts w:ascii="Arial" w:hAnsi="Arial" w:cs="Arial"/>
          <w:sz w:val="24"/>
          <w:szCs w:val="24"/>
        </w:rPr>
      </w:pPr>
      <w:r>
        <w:rPr>
          <w:rFonts w:ascii="Arial" w:hAnsi="Arial" w:cs="Arial"/>
          <w:sz w:val="24"/>
          <w:szCs w:val="24"/>
        </w:rPr>
        <w:t xml:space="preserve">QAA Generative Artificial Intelligence in Higher Education </w:t>
      </w:r>
    </w:p>
    <w:p w14:paraId="4B49F2BD">
      <w:pPr>
        <w:numPr>
          <w:ilvl w:val="0"/>
          <w:numId w:val="2"/>
        </w:numPr>
        <w:spacing w:after="0" w:line="480" w:lineRule="auto"/>
        <w:jc w:val="left"/>
        <w:rPr>
          <w:rFonts w:ascii="Arial" w:hAnsi="Arial" w:cs="Arial"/>
          <w:sz w:val="24"/>
          <w:szCs w:val="24"/>
        </w:rPr>
      </w:pPr>
      <w:r>
        <w:rPr>
          <w:rFonts w:ascii="Arial" w:hAnsi="Arial" w:cs="Arial"/>
          <w:sz w:val="24"/>
          <w:szCs w:val="24"/>
        </w:rPr>
        <w:t xml:space="preserve">UNESCO Guidance for Generative AI in Education and Research </w:t>
      </w:r>
    </w:p>
    <w:p w14:paraId="6EF229AE">
      <w:pPr>
        <w:numPr>
          <w:ilvl w:val="0"/>
          <w:numId w:val="2"/>
        </w:numPr>
        <w:spacing w:after="0" w:line="480" w:lineRule="auto"/>
        <w:jc w:val="left"/>
      </w:pPr>
      <w:r>
        <w:fldChar w:fldCharType="begin"/>
      </w:r>
      <w:r>
        <w:instrText xml:space="preserve"> HYPERLINK "https://worldsteel.org?utm_source=chatgpt.com" </w:instrText>
      </w:r>
      <w:r>
        <w:fldChar w:fldCharType="separate"/>
      </w:r>
      <w:r>
        <w:rPr>
          <w:rStyle w:val="6"/>
          <w:rFonts w:ascii="Arial" w:hAnsi="Arial" w:cs="Arial"/>
          <w:sz w:val="24"/>
          <w:szCs w:val="24"/>
        </w:rPr>
        <w:t>World Steel Association</w:t>
      </w:r>
      <w:r>
        <w:rPr>
          <w:rStyle w:val="6"/>
          <w:rFonts w:ascii="Arial" w:hAnsi="Arial" w:cs="Arial"/>
          <w:sz w:val="24"/>
          <w:szCs w:val="24"/>
        </w:rPr>
        <w:fldChar w:fldCharType="end"/>
      </w:r>
    </w:p>
    <w:p w14:paraId="5B35DD10">
      <w:pPr>
        <w:spacing w:after="0" w:line="480" w:lineRule="auto"/>
        <w:rPr>
          <w:rFonts w:ascii="Arial" w:hAnsi="Arial" w:cs="Arial"/>
          <w:sz w:val="24"/>
          <w:szCs w:val="24"/>
        </w:rPr>
      </w:pPr>
    </w:p>
    <w:p w14:paraId="02DC6F3C"/>
    <w:sectPr>
      <w:headerReference r:id="rId5" w:type="default"/>
      <w:footerReference r:id="rId6"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0A8E40C">
    <w:pPr>
      <w:pStyle w:val="4"/>
      <w:pBdr>
        <w:top w:val="single" w:color="D9D9D9" w:sz="4" w:space="1"/>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4A418091">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6" w:lineRule="auto"/>
      </w:pPr>
      <w:r>
        <w:separator/>
      </w:r>
    </w:p>
  </w:footnote>
  <w:footnote w:type="continuationSeparator" w:id="1">
    <w:p>
      <w:pPr>
        <w:spacing w:before="0" w:after="0" w:line="25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A8662A4">
    <w:pPr>
      <w:pStyle w:val="5"/>
      <w:tabs>
        <w:tab w:val="left" w:pos="8070"/>
        <w:tab w:val="clear" w:pos="4513"/>
        <w:tab w:val="clear" w:pos="9026"/>
      </w:tabs>
    </w:pPr>
    <w:r>
      <w:t xml:space="preserve">               </w:t>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2061D7A"/>
    <w:multiLevelType w:val="multilevel"/>
    <w:tmpl w:val="12061D7A"/>
    <w:lvl w:ilvl="0" w:tentative="0">
      <w:start w:val="0"/>
      <w:numFmt w:val="bullet"/>
      <w:lvlText w:val=""/>
      <w:lvlJc w:val="left"/>
      <w:pPr>
        <w:ind w:left="720" w:hanging="360"/>
      </w:pPr>
      <w:rPr>
        <w:rFonts w:ascii="Symbol" w:hAnsi="Symbol"/>
        <w:sz w:val="20"/>
      </w:rPr>
    </w:lvl>
    <w:lvl w:ilvl="1" w:tentative="0">
      <w:start w:val="0"/>
      <w:numFmt w:val="bullet"/>
      <w:lvlText w:val="o"/>
      <w:lvlJc w:val="left"/>
      <w:pPr>
        <w:ind w:left="1440" w:hanging="360"/>
      </w:pPr>
      <w:rPr>
        <w:rFonts w:ascii="Courier New" w:hAnsi="Courier New"/>
        <w:sz w:val="20"/>
      </w:rPr>
    </w:lvl>
    <w:lvl w:ilvl="2" w:tentative="0">
      <w:start w:val="0"/>
      <w:numFmt w:val="bullet"/>
      <w:lvlText w:val=""/>
      <w:lvlJc w:val="left"/>
      <w:pPr>
        <w:ind w:left="2160" w:hanging="360"/>
      </w:pPr>
      <w:rPr>
        <w:rFonts w:ascii="Wingdings" w:hAnsi="Wingdings"/>
        <w:sz w:val="20"/>
      </w:rPr>
    </w:lvl>
    <w:lvl w:ilvl="3" w:tentative="0">
      <w:start w:val="0"/>
      <w:numFmt w:val="bullet"/>
      <w:lvlText w:val=""/>
      <w:lvlJc w:val="left"/>
      <w:pPr>
        <w:ind w:left="2880" w:hanging="360"/>
      </w:pPr>
      <w:rPr>
        <w:rFonts w:ascii="Wingdings" w:hAnsi="Wingdings"/>
        <w:sz w:val="20"/>
      </w:rPr>
    </w:lvl>
    <w:lvl w:ilvl="4" w:tentative="0">
      <w:start w:val="0"/>
      <w:numFmt w:val="bullet"/>
      <w:lvlText w:val=""/>
      <w:lvlJc w:val="left"/>
      <w:pPr>
        <w:ind w:left="3600" w:hanging="360"/>
      </w:pPr>
      <w:rPr>
        <w:rFonts w:ascii="Wingdings" w:hAnsi="Wingdings"/>
        <w:sz w:val="20"/>
      </w:rPr>
    </w:lvl>
    <w:lvl w:ilvl="5" w:tentative="0">
      <w:start w:val="0"/>
      <w:numFmt w:val="bullet"/>
      <w:lvlText w:val=""/>
      <w:lvlJc w:val="left"/>
      <w:pPr>
        <w:ind w:left="4320" w:hanging="360"/>
      </w:pPr>
      <w:rPr>
        <w:rFonts w:ascii="Wingdings" w:hAnsi="Wingdings"/>
        <w:sz w:val="20"/>
      </w:rPr>
    </w:lvl>
    <w:lvl w:ilvl="6" w:tentative="0">
      <w:start w:val="0"/>
      <w:numFmt w:val="bullet"/>
      <w:lvlText w:val=""/>
      <w:lvlJc w:val="left"/>
      <w:pPr>
        <w:ind w:left="5040" w:hanging="360"/>
      </w:pPr>
      <w:rPr>
        <w:rFonts w:ascii="Wingdings" w:hAnsi="Wingdings"/>
        <w:sz w:val="20"/>
      </w:rPr>
    </w:lvl>
    <w:lvl w:ilvl="7" w:tentative="0">
      <w:start w:val="0"/>
      <w:numFmt w:val="bullet"/>
      <w:lvlText w:val=""/>
      <w:lvlJc w:val="left"/>
      <w:pPr>
        <w:ind w:left="5760" w:hanging="360"/>
      </w:pPr>
      <w:rPr>
        <w:rFonts w:ascii="Wingdings" w:hAnsi="Wingdings"/>
        <w:sz w:val="20"/>
      </w:rPr>
    </w:lvl>
    <w:lvl w:ilvl="8" w:tentative="0">
      <w:start w:val="0"/>
      <w:numFmt w:val="bullet"/>
      <w:lvlText w:val=""/>
      <w:lvlJc w:val="left"/>
      <w:pPr>
        <w:ind w:left="6480" w:hanging="360"/>
      </w:pPr>
      <w:rPr>
        <w:rFonts w:ascii="Wingdings" w:hAnsi="Wingdings"/>
        <w:sz w:val="20"/>
      </w:rPr>
    </w:lvl>
  </w:abstractNum>
  <w:abstractNum w:abstractNumId="1">
    <w:nsid w:val="4E2E6D9A"/>
    <w:multiLevelType w:val="multilevel"/>
    <w:tmpl w:val="4E2E6D9A"/>
    <w:lvl w:ilvl="0" w:tentative="0">
      <w:start w:val="1"/>
      <w:numFmt w:val="decimal"/>
      <w:lvlText w:val="%1."/>
      <w:lvlJc w:val="left"/>
      <w:pPr>
        <w:ind w:left="720" w:hanging="360"/>
      </w:pPr>
    </w:lvl>
    <w:lvl w:ilvl="1" w:tentative="0">
      <w:start w:val="0"/>
      <w:numFmt w:val="bullet"/>
      <w:lvlText w:val="o"/>
      <w:lvlJc w:val="left"/>
      <w:pPr>
        <w:ind w:left="1440" w:hanging="360"/>
      </w:pPr>
      <w:rPr>
        <w:rFonts w:ascii="Courier New" w:hAnsi="Courier New"/>
        <w:sz w:val="20"/>
      </w:rPr>
    </w:lvl>
    <w:lvl w:ilvl="2" w:tentative="0">
      <w:start w:val="0"/>
      <w:numFmt w:val="bullet"/>
      <w:lvlText w:val=""/>
      <w:lvlJc w:val="left"/>
      <w:pPr>
        <w:ind w:left="2160" w:hanging="360"/>
      </w:pPr>
      <w:rPr>
        <w:rFonts w:ascii="Wingdings" w:hAnsi="Wingdings"/>
        <w:sz w:val="20"/>
      </w:rPr>
    </w:lvl>
    <w:lvl w:ilvl="3" w:tentative="0">
      <w:start w:val="1"/>
      <w:numFmt w:val="decimal"/>
      <w:lvlText w:val="."/>
      <w:lvlJc w:val="left"/>
      <w:pPr>
        <w:ind w:left="2880" w:hanging="360"/>
      </w:pPr>
    </w:lvl>
    <w:lvl w:ilvl="4" w:tentative="0">
      <w:start w:val="1"/>
      <w:numFmt w:val="decimal"/>
      <w:lvlText w:val="."/>
      <w:lvlJc w:val="left"/>
      <w:pPr>
        <w:ind w:left="3600" w:hanging="360"/>
      </w:pPr>
    </w:lvl>
    <w:lvl w:ilvl="5" w:tentative="0">
      <w:start w:val="1"/>
      <w:numFmt w:val="decimal"/>
      <w:lvlText w:val="."/>
      <w:lvlJc w:val="left"/>
      <w:pPr>
        <w:ind w:left="4320" w:hanging="360"/>
      </w:pPr>
    </w:lvl>
    <w:lvl w:ilvl="6" w:tentative="0">
      <w:start w:val="1"/>
      <w:numFmt w:val="decimal"/>
      <w:lvlText w:val="."/>
      <w:lvlJc w:val="left"/>
      <w:pPr>
        <w:ind w:left="5040" w:hanging="360"/>
      </w:pPr>
    </w:lvl>
    <w:lvl w:ilvl="7" w:tentative="0">
      <w:start w:val="1"/>
      <w:numFmt w:val="decimal"/>
      <w:lvlText w:val="."/>
      <w:lvlJc w:val="left"/>
      <w:pPr>
        <w:ind w:left="5760" w:hanging="360"/>
      </w:pPr>
    </w:lvl>
    <w:lvl w:ilvl="8" w:tentative="0">
      <w:start w:val="1"/>
      <w:numFmt w:val="decimal"/>
      <w:lvlText w:val="."/>
      <w:lvlJc w:val="left"/>
      <w:pPr>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7"/>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3823422"/>
    <w:rsid w:val="3FA566C0"/>
    <w:rsid w:val="738234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autoSpaceDN w:val="0"/>
      <w:spacing w:after="160" w:line="256" w:lineRule="auto"/>
    </w:pPr>
    <w:rPr>
      <w:rFonts w:ascii="Calibri" w:hAnsi="Calibri" w:eastAsia="Calibri" w:cs="Times New Roman"/>
      <w:kern w:val="3"/>
      <w:sz w:val="22"/>
      <w:szCs w:val="22"/>
      <w:lang w:val="en-IN" w:eastAsia="en-US"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513"/>
        <w:tab w:val="right" w:pos="9026"/>
      </w:tabs>
      <w:spacing w:after="0" w:line="240" w:lineRule="auto"/>
    </w:pPr>
  </w:style>
  <w:style w:type="paragraph" w:styleId="5">
    <w:name w:val="header"/>
    <w:basedOn w:val="1"/>
    <w:qFormat/>
    <w:uiPriority w:val="0"/>
    <w:pPr>
      <w:tabs>
        <w:tab w:val="center" w:pos="4513"/>
        <w:tab w:val="right" w:pos="9026"/>
      </w:tabs>
      <w:spacing w:after="0" w:line="240" w:lineRule="auto"/>
    </w:pPr>
  </w:style>
  <w:style w:type="character" w:styleId="6">
    <w:name w:val="Hyperlink"/>
    <w:basedOn w:val="2"/>
    <w:qFormat/>
    <w:uiPriority w:val="0"/>
    <w:rPr>
      <w:color w:val="0563C1"/>
      <w:u w:val="single"/>
    </w:rPr>
  </w:style>
  <w:style w:type="paragraph" w:styleId="7">
    <w:name w:val="List Paragraph"/>
    <w:basedOn w:val="1"/>
    <w:qFormat/>
    <w:uiPriority w:val="0"/>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21</Pages>
  <Words>3115</Words>
  <Characters>19203</Characters>
  <Lines>0</Lines>
  <Paragraphs>0</Paragraphs>
  <TotalTime>5</TotalTime>
  <ScaleCrop>false</ScaleCrop>
  <LinksUpToDate>false</LinksUpToDate>
  <CharactersWithSpaces>22218</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2026-06-23T14:29:00Z</dcterms:created>
  <dc:creator>Lenovo</dc:creator>
  <cp:lastModifiedBy>Nirmal Trivedi</cp:lastModifiedBy>
  <dcterms:modified xsi:type="dcterms:W3CDTF">2026-06-26T09:46:02Z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CBAB7FBBAA0E474FA5D72394CA625E45_11</vt:lpwstr>
  </property>
  <property fmtid="{D5CDD505-2E9C-101B-9397-08002B2CF9AE}" pid="4" name="KSOTemplateDocerSaveRecord">
    <vt:lpwstr>eyJoZGlkIjoiYTI5MWExNWMwY2FhMTlkZTJmOTdkOGUzZjUzZjBjNTEiLCJ1c2VySWQiOiI1Njc2MDc2MjgwOTIifQ==</vt:lpwstr>
  </property>
</Properties>
</file>