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E5A34" w14:textId="50B23A05" w:rsidR="0045161A" w:rsidRPr="00EA5553" w:rsidRDefault="00164958" w:rsidP="00A27BFF">
      <w:pPr>
        <w:jc w:val="center"/>
        <w:rPr>
          <w:sz w:val="28"/>
          <w:szCs w:val="28"/>
        </w:rPr>
      </w:pPr>
      <w:r w:rsidRPr="00EA5553">
        <w:rPr>
          <w:sz w:val="28"/>
          <w:szCs w:val="28"/>
        </w:rPr>
        <w:t>Article Review</w:t>
      </w:r>
    </w:p>
    <w:p w14:paraId="29B3E358" w14:textId="42870085" w:rsidR="00164958" w:rsidRPr="00EA5553" w:rsidRDefault="00164958" w:rsidP="0036010F">
      <w:pPr>
        <w:jc w:val="center"/>
        <w:rPr>
          <w:sz w:val="28"/>
          <w:szCs w:val="28"/>
        </w:rPr>
      </w:pPr>
      <w:r w:rsidRPr="00EA5553">
        <w:rPr>
          <w:sz w:val="28"/>
          <w:szCs w:val="28"/>
        </w:rPr>
        <w:t>By Sarah Jones</w:t>
      </w:r>
    </w:p>
    <w:p w14:paraId="71AA3759" w14:textId="77777777" w:rsidR="0036010F" w:rsidRPr="00EA5553" w:rsidRDefault="0036010F" w:rsidP="0036010F">
      <w:pPr>
        <w:jc w:val="center"/>
        <w:rPr>
          <w:sz w:val="28"/>
          <w:szCs w:val="28"/>
        </w:rPr>
      </w:pPr>
    </w:p>
    <w:p w14:paraId="1852B58F" w14:textId="19C006FE" w:rsidR="00164958" w:rsidRPr="00EA5553" w:rsidRDefault="00164958" w:rsidP="0036010F">
      <w:pPr>
        <w:jc w:val="center"/>
        <w:rPr>
          <w:sz w:val="28"/>
          <w:szCs w:val="28"/>
        </w:rPr>
      </w:pPr>
      <w:r w:rsidRPr="00EA5553">
        <w:rPr>
          <w:sz w:val="28"/>
          <w:szCs w:val="28"/>
        </w:rPr>
        <w:t xml:space="preserve">Submission date: </w:t>
      </w:r>
      <w:r w:rsidR="00965D8F">
        <w:rPr>
          <w:sz w:val="28"/>
          <w:szCs w:val="28"/>
        </w:rPr>
        <w:t>3</w:t>
      </w:r>
      <w:r w:rsidR="00965D8F" w:rsidRPr="00965D8F">
        <w:rPr>
          <w:sz w:val="28"/>
          <w:szCs w:val="28"/>
          <w:vertAlign w:val="superscript"/>
        </w:rPr>
        <w:t>rd</w:t>
      </w:r>
      <w:r w:rsidR="00965D8F">
        <w:rPr>
          <w:sz w:val="28"/>
          <w:szCs w:val="28"/>
        </w:rPr>
        <w:t xml:space="preserve"> </w:t>
      </w:r>
      <w:r w:rsidRPr="00EA5553">
        <w:rPr>
          <w:sz w:val="28"/>
          <w:szCs w:val="28"/>
        </w:rPr>
        <w:t>January 2022</w:t>
      </w:r>
    </w:p>
    <w:p w14:paraId="2D477334" w14:textId="77777777" w:rsidR="00305F51" w:rsidRPr="00EA5553" w:rsidRDefault="00305F51" w:rsidP="00EA5553">
      <w:pPr>
        <w:jc w:val="center"/>
        <w:rPr>
          <w:sz w:val="28"/>
          <w:szCs w:val="28"/>
        </w:rPr>
      </w:pPr>
    </w:p>
    <w:p w14:paraId="3A23642A" w14:textId="061CFE91" w:rsidR="00553902" w:rsidRPr="004E32DD" w:rsidRDefault="00A1128F" w:rsidP="004E32DD">
      <w:pPr>
        <w:spacing w:line="480" w:lineRule="auto"/>
        <w:jc w:val="center"/>
        <w:rPr>
          <w:b/>
          <w:bCs/>
          <w:sz w:val="24"/>
          <w:szCs w:val="24"/>
        </w:rPr>
      </w:pPr>
      <w:bookmarkStart w:id="0" w:name="_Hlk88214338"/>
      <w:r>
        <w:rPr>
          <w:b/>
          <w:bCs/>
          <w:sz w:val="24"/>
          <w:szCs w:val="24"/>
        </w:rPr>
        <w:t xml:space="preserve">Article: </w:t>
      </w:r>
      <w:r w:rsidR="00AF61E5" w:rsidRPr="00553902">
        <w:rPr>
          <w:b/>
          <w:bCs/>
          <w:sz w:val="24"/>
          <w:szCs w:val="24"/>
        </w:rPr>
        <w:t xml:space="preserve">The Minimum Age of Criminal Responsibility: The Need for a Holistic Approach </w:t>
      </w:r>
      <w:r>
        <w:rPr>
          <w:b/>
          <w:bCs/>
          <w:sz w:val="24"/>
          <w:szCs w:val="24"/>
        </w:rPr>
        <w:t xml:space="preserve">Aaron Brown and Anthony Charles </w:t>
      </w:r>
      <w:r w:rsidR="00EA5553" w:rsidRPr="00553902">
        <w:rPr>
          <w:b/>
          <w:bCs/>
          <w:sz w:val="24"/>
          <w:szCs w:val="24"/>
        </w:rPr>
        <w:t>(2019)</w:t>
      </w:r>
    </w:p>
    <w:p w14:paraId="6E69F439" w14:textId="4BEF64E8" w:rsidR="005B1FCA" w:rsidRPr="00E10C92" w:rsidRDefault="00601219" w:rsidP="00E10C92">
      <w:pPr>
        <w:spacing w:line="480" w:lineRule="auto"/>
        <w:jc w:val="both"/>
        <w:rPr>
          <w:rFonts w:cstheme="minorHAnsi"/>
          <w:color w:val="000000" w:themeColor="text1"/>
          <w:sz w:val="24"/>
          <w:szCs w:val="24"/>
        </w:rPr>
      </w:pPr>
      <w:r w:rsidRPr="00E10C92">
        <w:rPr>
          <w:rFonts w:cstheme="minorHAnsi"/>
          <w:color w:val="000000" w:themeColor="text1"/>
          <w:sz w:val="24"/>
          <w:szCs w:val="24"/>
        </w:rPr>
        <w:t xml:space="preserve">The </w:t>
      </w:r>
      <w:r w:rsidR="00C7300D" w:rsidRPr="00E10C92">
        <w:rPr>
          <w:rFonts w:cstheme="minorHAnsi"/>
          <w:color w:val="000000" w:themeColor="text1"/>
          <w:sz w:val="24"/>
          <w:szCs w:val="24"/>
        </w:rPr>
        <w:t xml:space="preserve">article </w:t>
      </w:r>
      <w:r w:rsidRPr="00E10C92">
        <w:rPr>
          <w:rFonts w:cstheme="minorHAnsi"/>
          <w:color w:val="000000" w:themeColor="text1"/>
          <w:sz w:val="24"/>
          <w:szCs w:val="24"/>
        </w:rPr>
        <w:t>was</w:t>
      </w:r>
      <w:r w:rsidR="007275E7" w:rsidRPr="00E10C92">
        <w:rPr>
          <w:rFonts w:cstheme="minorHAnsi"/>
          <w:color w:val="000000" w:themeColor="text1"/>
          <w:sz w:val="24"/>
          <w:szCs w:val="24"/>
        </w:rPr>
        <w:t xml:space="preserve"> first published online in December 2019</w:t>
      </w:r>
      <w:r w:rsidR="0099050C" w:rsidRPr="00E10C92">
        <w:rPr>
          <w:rFonts w:cstheme="minorHAnsi"/>
          <w:color w:val="000000" w:themeColor="text1"/>
          <w:sz w:val="24"/>
          <w:szCs w:val="24"/>
        </w:rPr>
        <w:t xml:space="preserve">. </w:t>
      </w:r>
      <w:r w:rsidR="005B1FCA" w:rsidRPr="00E10C92">
        <w:rPr>
          <w:rFonts w:cstheme="minorHAnsi"/>
          <w:color w:val="000000" w:themeColor="text1"/>
          <w:sz w:val="24"/>
          <w:szCs w:val="24"/>
        </w:rPr>
        <w:t>The author Aaron</w:t>
      </w:r>
      <w:r w:rsidR="007275E7" w:rsidRPr="00E10C92">
        <w:rPr>
          <w:rFonts w:cstheme="minorHAnsi"/>
          <w:color w:val="000000" w:themeColor="text1"/>
          <w:sz w:val="24"/>
          <w:szCs w:val="24"/>
        </w:rPr>
        <w:t xml:space="preserve"> Brown </w:t>
      </w:r>
      <w:r w:rsidR="00C7300D" w:rsidRPr="00E10C92">
        <w:rPr>
          <w:rFonts w:cstheme="minorHAnsi"/>
          <w:color w:val="000000" w:themeColor="text1"/>
          <w:sz w:val="24"/>
          <w:szCs w:val="24"/>
        </w:rPr>
        <w:t xml:space="preserve">is a PHD student from Swansea University </w:t>
      </w:r>
      <w:r w:rsidR="00134E3F" w:rsidRPr="00E10C92">
        <w:rPr>
          <w:rFonts w:cstheme="minorHAnsi"/>
          <w:color w:val="000000" w:themeColor="text1"/>
          <w:sz w:val="24"/>
          <w:szCs w:val="24"/>
        </w:rPr>
        <w:t xml:space="preserve">and </w:t>
      </w:r>
      <w:r w:rsidR="007275E7" w:rsidRPr="00E10C92">
        <w:rPr>
          <w:rFonts w:cstheme="minorHAnsi"/>
          <w:color w:val="000000" w:themeColor="text1"/>
          <w:sz w:val="24"/>
          <w:szCs w:val="24"/>
        </w:rPr>
        <w:t xml:space="preserve">Anthony Charles </w:t>
      </w:r>
      <w:r w:rsidR="00C7300D" w:rsidRPr="00E10C92">
        <w:rPr>
          <w:rFonts w:cstheme="minorHAnsi"/>
          <w:color w:val="000000" w:themeColor="text1"/>
          <w:sz w:val="24"/>
          <w:szCs w:val="24"/>
        </w:rPr>
        <w:t xml:space="preserve">is </w:t>
      </w:r>
      <w:r w:rsidR="00666EEB" w:rsidRPr="00E10C92">
        <w:rPr>
          <w:rFonts w:cstheme="minorHAnsi"/>
          <w:color w:val="000000" w:themeColor="text1"/>
          <w:sz w:val="24"/>
          <w:szCs w:val="24"/>
        </w:rPr>
        <w:t xml:space="preserve">a </w:t>
      </w:r>
      <w:r w:rsidR="00A05BD4" w:rsidRPr="00E10C92">
        <w:rPr>
          <w:rFonts w:cstheme="minorHAnsi"/>
          <w:color w:val="000000" w:themeColor="text1"/>
          <w:sz w:val="24"/>
          <w:szCs w:val="24"/>
        </w:rPr>
        <w:t>P</w:t>
      </w:r>
      <w:r w:rsidR="00C7300D" w:rsidRPr="00E10C92">
        <w:rPr>
          <w:rFonts w:cstheme="minorHAnsi"/>
          <w:color w:val="000000" w:themeColor="text1"/>
          <w:sz w:val="24"/>
          <w:szCs w:val="24"/>
        </w:rPr>
        <w:t xml:space="preserve">rofessor </w:t>
      </w:r>
      <w:r w:rsidR="00134E3F" w:rsidRPr="00E10C92">
        <w:rPr>
          <w:rFonts w:cstheme="minorHAnsi"/>
          <w:color w:val="000000" w:themeColor="text1"/>
          <w:sz w:val="24"/>
          <w:szCs w:val="24"/>
        </w:rPr>
        <w:t xml:space="preserve">in </w:t>
      </w:r>
      <w:r w:rsidR="005B1FCA" w:rsidRPr="00E10C92">
        <w:rPr>
          <w:rFonts w:cstheme="minorHAnsi"/>
          <w:color w:val="000000" w:themeColor="text1"/>
          <w:sz w:val="24"/>
          <w:szCs w:val="24"/>
        </w:rPr>
        <w:t xml:space="preserve">Criminology and </w:t>
      </w:r>
      <w:r w:rsidR="00A05BD4" w:rsidRPr="00E10C92">
        <w:rPr>
          <w:rFonts w:cstheme="minorHAnsi"/>
          <w:color w:val="000000" w:themeColor="text1"/>
          <w:sz w:val="24"/>
          <w:szCs w:val="24"/>
        </w:rPr>
        <w:t>S</w:t>
      </w:r>
      <w:r w:rsidR="005B1FCA" w:rsidRPr="00E10C92">
        <w:rPr>
          <w:rFonts w:cstheme="minorHAnsi"/>
          <w:color w:val="000000" w:themeColor="text1"/>
          <w:sz w:val="24"/>
          <w:szCs w:val="24"/>
        </w:rPr>
        <w:t xml:space="preserve">ociology at Swansea University. </w:t>
      </w:r>
      <w:r w:rsidR="00C7300D" w:rsidRPr="00E10C92">
        <w:rPr>
          <w:rFonts w:cstheme="minorHAnsi"/>
          <w:color w:val="000000" w:themeColor="text1"/>
          <w:sz w:val="24"/>
          <w:szCs w:val="24"/>
        </w:rPr>
        <w:t xml:space="preserve">Charles </w:t>
      </w:r>
      <w:r w:rsidR="00A05BD4" w:rsidRPr="00E10C92">
        <w:rPr>
          <w:rFonts w:cstheme="minorHAnsi"/>
          <w:color w:val="000000" w:themeColor="text1"/>
          <w:sz w:val="24"/>
          <w:szCs w:val="24"/>
        </w:rPr>
        <w:t xml:space="preserve">is an expert in the field of Youth Justice, Children’s Rights and Youth Offending. </w:t>
      </w:r>
    </w:p>
    <w:p w14:paraId="12BA1678" w14:textId="456B0714" w:rsidR="004611B6" w:rsidRPr="00E10C92" w:rsidRDefault="00AF61E5" w:rsidP="00E10C92">
      <w:pPr>
        <w:spacing w:line="480" w:lineRule="auto"/>
        <w:jc w:val="both"/>
        <w:rPr>
          <w:rFonts w:cstheme="minorHAnsi"/>
          <w:color w:val="000000" w:themeColor="text1"/>
          <w:sz w:val="24"/>
          <w:szCs w:val="24"/>
        </w:rPr>
      </w:pPr>
      <w:r w:rsidRPr="00E10C92">
        <w:rPr>
          <w:rFonts w:cstheme="minorHAnsi"/>
          <w:color w:val="000000" w:themeColor="text1"/>
          <w:sz w:val="24"/>
          <w:szCs w:val="24"/>
        </w:rPr>
        <w:t xml:space="preserve">The article aims to provide the reader an understanding of what are the principal factors </w:t>
      </w:r>
      <w:r w:rsidR="004611B6" w:rsidRPr="00E10C92">
        <w:rPr>
          <w:rFonts w:cstheme="minorHAnsi"/>
          <w:color w:val="000000" w:themeColor="text1"/>
          <w:sz w:val="24"/>
          <w:szCs w:val="24"/>
        </w:rPr>
        <w:t xml:space="preserve">surrounding the </w:t>
      </w:r>
      <w:r w:rsidR="005E4F5F" w:rsidRPr="00E10C92">
        <w:rPr>
          <w:rFonts w:cstheme="minorHAnsi"/>
          <w:color w:val="000000" w:themeColor="text1"/>
          <w:sz w:val="24"/>
          <w:szCs w:val="24"/>
        </w:rPr>
        <w:t xml:space="preserve">minimum </w:t>
      </w:r>
      <w:r w:rsidR="004611B6" w:rsidRPr="00E10C92">
        <w:rPr>
          <w:rFonts w:cstheme="minorHAnsi"/>
          <w:color w:val="000000" w:themeColor="text1"/>
          <w:sz w:val="24"/>
          <w:szCs w:val="24"/>
        </w:rPr>
        <w:t>age of</w:t>
      </w:r>
      <w:r w:rsidR="005E4F5F" w:rsidRPr="00E10C92">
        <w:rPr>
          <w:rFonts w:cstheme="minorHAnsi"/>
          <w:color w:val="000000" w:themeColor="text1"/>
          <w:sz w:val="24"/>
          <w:szCs w:val="24"/>
        </w:rPr>
        <w:t xml:space="preserve"> criminal</w:t>
      </w:r>
      <w:r w:rsidR="004611B6" w:rsidRPr="00E10C92">
        <w:rPr>
          <w:rFonts w:cstheme="minorHAnsi"/>
          <w:color w:val="000000" w:themeColor="text1"/>
          <w:sz w:val="24"/>
          <w:szCs w:val="24"/>
        </w:rPr>
        <w:t xml:space="preserve"> responsibility </w:t>
      </w:r>
      <w:r w:rsidR="0003715F" w:rsidRPr="00E10C92">
        <w:rPr>
          <w:rFonts w:cstheme="minorHAnsi"/>
          <w:color w:val="000000" w:themeColor="text1"/>
          <w:sz w:val="24"/>
          <w:szCs w:val="24"/>
        </w:rPr>
        <w:t xml:space="preserve">(MACR) </w:t>
      </w:r>
      <w:r w:rsidR="004611B6" w:rsidRPr="00E10C92">
        <w:rPr>
          <w:rFonts w:cstheme="minorHAnsi"/>
          <w:color w:val="000000" w:themeColor="text1"/>
          <w:sz w:val="24"/>
          <w:szCs w:val="24"/>
        </w:rPr>
        <w:t xml:space="preserve">in the UK and explores the ideas surrounding whether there is a need of reform. </w:t>
      </w:r>
      <w:r w:rsidR="00C27760" w:rsidRPr="00E10C92">
        <w:rPr>
          <w:rFonts w:cstheme="minorHAnsi"/>
          <w:color w:val="000000" w:themeColor="text1"/>
          <w:sz w:val="24"/>
          <w:szCs w:val="24"/>
        </w:rPr>
        <w:t>Th</w:t>
      </w:r>
      <w:r w:rsidR="00CE3FF2" w:rsidRPr="00E10C92">
        <w:rPr>
          <w:rFonts w:cstheme="minorHAnsi"/>
          <w:color w:val="000000" w:themeColor="text1"/>
          <w:sz w:val="24"/>
          <w:szCs w:val="24"/>
        </w:rPr>
        <w:t>ere is no requirement for the</w:t>
      </w:r>
      <w:r w:rsidR="00C27760" w:rsidRPr="00E10C92">
        <w:rPr>
          <w:rFonts w:cstheme="minorHAnsi"/>
          <w:color w:val="000000" w:themeColor="text1"/>
          <w:sz w:val="24"/>
          <w:szCs w:val="24"/>
        </w:rPr>
        <w:t xml:space="preserve"> reader to have any</w:t>
      </w:r>
      <w:r w:rsidR="00CE3FF2" w:rsidRPr="00E10C92">
        <w:rPr>
          <w:rFonts w:cstheme="minorHAnsi"/>
          <w:color w:val="000000" w:themeColor="text1"/>
          <w:sz w:val="24"/>
          <w:szCs w:val="24"/>
        </w:rPr>
        <w:t xml:space="preserve"> prior</w:t>
      </w:r>
      <w:r w:rsidR="00C27760" w:rsidRPr="00E10C92">
        <w:rPr>
          <w:rFonts w:cstheme="minorHAnsi"/>
          <w:color w:val="000000" w:themeColor="text1"/>
          <w:sz w:val="24"/>
          <w:szCs w:val="24"/>
        </w:rPr>
        <w:t xml:space="preserve"> </w:t>
      </w:r>
      <w:r w:rsidR="00CE3FF2" w:rsidRPr="00E10C92">
        <w:rPr>
          <w:rFonts w:cstheme="minorHAnsi"/>
          <w:color w:val="000000" w:themeColor="text1"/>
          <w:sz w:val="24"/>
          <w:szCs w:val="24"/>
        </w:rPr>
        <w:t>knowledge</w:t>
      </w:r>
      <w:r w:rsidR="00C27760" w:rsidRPr="00E10C92">
        <w:rPr>
          <w:rFonts w:cstheme="minorHAnsi"/>
          <w:color w:val="000000" w:themeColor="text1"/>
          <w:sz w:val="24"/>
          <w:szCs w:val="24"/>
        </w:rPr>
        <w:t xml:space="preserve"> </w:t>
      </w:r>
      <w:r w:rsidR="005E4F5F" w:rsidRPr="00E10C92">
        <w:rPr>
          <w:rFonts w:cstheme="minorHAnsi"/>
          <w:color w:val="000000" w:themeColor="text1"/>
          <w:sz w:val="24"/>
          <w:szCs w:val="24"/>
        </w:rPr>
        <w:t xml:space="preserve">of MACR </w:t>
      </w:r>
      <w:r w:rsidR="00122CC7" w:rsidRPr="00E10C92">
        <w:rPr>
          <w:rFonts w:cstheme="minorHAnsi"/>
          <w:color w:val="000000" w:themeColor="text1"/>
          <w:sz w:val="24"/>
          <w:szCs w:val="24"/>
        </w:rPr>
        <w:t>to</w:t>
      </w:r>
      <w:r w:rsidR="00C27760" w:rsidRPr="00E10C92">
        <w:rPr>
          <w:rFonts w:cstheme="minorHAnsi"/>
          <w:color w:val="000000" w:themeColor="text1"/>
          <w:sz w:val="24"/>
          <w:szCs w:val="24"/>
        </w:rPr>
        <w:t xml:space="preserve"> recognise and understand the findings</w:t>
      </w:r>
      <w:r w:rsidR="005E4F5F" w:rsidRPr="00E10C92">
        <w:rPr>
          <w:rFonts w:cstheme="minorHAnsi"/>
          <w:color w:val="000000" w:themeColor="text1"/>
          <w:sz w:val="24"/>
          <w:szCs w:val="24"/>
        </w:rPr>
        <w:t xml:space="preserve"> within the article</w:t>
      </w:r>
      <w:r w:rsidR="00C27760" w:rsidRPr="00E10C92">
        <w:rPr>
          <w:rFonts w:cstheme="minorHAnsi"/>
          <w:color w:val="000000" w:themeColor="text1"/>
          <w:sz w:val="24"/>
          <w:szCs w:val="24"/>
        </w:rPr>
        <w:t xml:space="preserve">. </w:t>
      </w:r>
    </w:p>
    <w:p w14:paraId="5C4F9E4E" w14:textId="3737CFE6" w:rsidR="00FF159A" w:rsidRPr="00E10C92" w:rsidRDefault="00103489" w:rsidP="00E10C92">
      <w:pPr>
        <w:spacing w:line="480" w:lineRule="auto"/>
        <w:jc w:val="both"/>
        <w:rPr>
          <w:rFonts w:cstheme="minorHAnsi"/>
          <w:color w:val="000000" w:themeColor="text1"/>
          <w:sz w:val="24"/>
          <w:szCs w:val="24"/>
        </w:rPr>
      </w:pPr>
      <w:r w:rsidRPr="00E10C92">
        <w:rPr>
          <w:rFonts w:cstheme="minorHAnsi"/>
          <w:color w:val="000000" w:themeColor="text1"/>
          <w:sz w:val="24"/>
          <w:szCs w:val="24"/>
        </w:rPr>
        <w:t xml:space="preserve">Brown and </w:t>
      </w:r>
      <w:r w:rsidRPr="00E10C92">
        <w:rPr>
          <w:rFonts w:cstheme="minorHAnsi"/>
          <w:sz w:val="24"/>
          <w:szCs w:val="24"/>
        </w:rPr>
        <w:t>Charles</w:t>
      </w:r>
      <w:r w:rsidR="00A948B8" w:rsidRPr="00E10C92">
        <w:rPr>
          <w:rFonts w:cstheme="minorHAnsi"/>
          <w:sz w:val="24"/>
          <w:szCs w:val="24"/>
        </w:rPr>
        <w:t xml:space="preserve"> </w:t>
      </w:r>
      <w:r w:rsidR="008E0E41" w:rsidRPr="00E10C92">
        <w:rPr>
          <w:rFonts w:cstheme="minorHAnsi"/>
          <w:sz w:val="24"/>
          <w:szCs w:val="24"/>
        </w:rPr>
        <w:t>(</w:t>
      </w:r>
      <w:r w:rsidR="00CE3FF2" w:rsidRPr="00E10C92">
        <w:rPr>
          <w:rFonts w:cstheme="minorHAnsi"/>
          <w:sz w:val="24"/>
          <w:szCs w:val="24"/>
        </w:rPr>
        <w:t>2019</w:t>
      </w:r>
      <w:r w:rsidR="008E0E41" w:rsidRPr="00E10C92">
        <w:rPr>
          <w:rFonts w:cstheme="minorHAnsi"/>
          <w:sz w:val="24"/>
          <w:szCs w:val="24"/>
        </w:rPr>
        <w:t xml:space="preserve">) </w:t>
      </w:r>
      <w:r w:rsidR="00A948B8" w:rsidRPr="00E10C92">
        <w:rPr>
          <w:rFonts w:cstheme="minorHAnsi"/>
          <w:sz w:val="24"/>
          <w:szCs w:val="24"/>
        </w:rPr>
        <w:t>highlight</w:t>
      </w:r>
      <w:r w:rsidR="00FF159A" w:rsidRPr="00E10C92">
        <w:rPr>
          <w:rFonts w:cstheme="minorHAnsi"/>
          <w:sz w:val="24"/>
          <w:szCs w:val="24"/>
        </w:rPr>
        <w:t xml:space="preserve"> </w:t>
      </w:r>
      <w:r w:rsidR="00FF159A" w:rsidRPr="00E10C92">
        <w:rPr>
          <w:rFonts w:cstheme="minorHAnsi"/>
          <w:color w:val="000000" w:themeColor="text1"/>
          <w:sz w:val="24"/>
          <w:szCs w:val="24"/>
        </w:rPr>
        <w:t xml:space="preserve">several main themes including the </w:t>
      </w:r>
      <w:r w:rsidR="00A328E2" w:rsidRPr="00E10C92">
        <w:rPr>
          <w:rFonts w:cstheme="minorHAnsi"/>
          <w:color w:val="000000" w:themeColor="text1"/>
          <w:sz w:val="24"/>
          <w:szCs w:val="24"/>
        </w:rPr>
        <w:t>rationale</w:t>
      </w:r>
      <w:r w:rsidR="00FF159A" w:rsidRPr="00E10C92">
        <w:rPr>
          <w:rFonts w:cstheme="minorHAnsi"/>
          <w:color w:val="000000" w:themeColor="text1"/>
          <w:sz w:val="24"/>
          <w:szCs w:val="24"/>
        </w:rPr>
        <w:t xml:space="preserve"> of the current MACR in England and Wales, the relationship between MACR and </w:t>
      </w:r>
      <w:r w:rsidR="00D95055" w:rsidRPr="00E10C92">
        <w:rPr>
          <w:rFonts w:cstheme="minorHAnsi"/>
          <w:color w:val="000000" w:themeColor="text1"/>
          <w:sz w:val="24"/>
          <w:szCs w:val="24"/>
        </w:rPr>
        <w:t xml:space="preserve">the </w:t>
      </w:r>
      <w:r w:rsidR="00FF159A" w:rsidRPr="00E10C92">
        <w:rPr>
          <w:rFonts w:cstheme="minorHAnsi"/>
          <w:color w:val="000000" w:themeColor="text1"/>
          <w:sz w:val="24"/>
          <w:szCs w:val="24"/>
        </w:rPr>
        <w:t>diversion to crime, the comparison of MACR to other countries</w:t>
      </w:r>
      <w:r w:rsidR="00A328E2" w:rsidRPr="00E10C92">
        <w:rPr>
          <w:rFonts w:cstheme="minorHAnsi"/>
          <w:color w:val="000000" w:themeColor="text1"/>
          <w:sz w:val="24"/>
          <w:szCs w:val="24"/>
        </w:rPr>
        <w:t>,</w:t>
      </w:r>
      <w:r w:rsidR="00A328E2" w:rsidRPr="00E10C92">
        <w:rPr>
          <w:rFonts w:cstheme="minorHAnsi"/>
          <w:color w:val="FF0000"/>
          <w:sz w:val="24"/>
          <w:szCs w:val="24"/>
        </w:rPr>
        <w:t xml:space="preserve"> </w:t>
      </w:r>
      <w:r w:rsidR="00A328E2" w:rsidRPr="00E10C92">
        <w:rPr>
          <w:rFonts w:cstheme="minorHAnsi"/>
          <w:color w:val="000000" w:themeColor="text1"/>
          <w:sz w:val="24"/>
          <w:szCs w:val="24"/>
        </w:rPr>
        <w:t>and</w:t>
      </w:r>
      <w:r w:rsidR="00FF159A" w:rsidRPr="00E10C92">
        <w:rPr>
          <w:rFonts w:cstheme="minorHAnsi"/>
          <w:color w:val="000000" w:themeColor="text1"/>
          <w:sz w:val="24"/>
          <w:szCs w:val="24"/>
        </w:rPr>
        <w:t xml:space="preserve"> the existing rights of children in England and Wales. </w:t>
      </w:r>
    </w:p>
    <w:p w14:paraId="0BD7900A" w14:textId="6043155B" w:rsidR="003D451B" w:rsidRPr="00E10C92" w:rsidRDefault="005A7967" w:rsidP="00E10C92">
      <w:pPr>
        <w:spacing w:line="480" w:lineRule="auto"/>
        <w:jc w:val="both"/>
        <w:rPr>
          <w:rFonts w:cstheme="minorHAnsi"/>
          <w:color w:val="000000" w:themeColor="text1"/>
          <w:sz w:val="24"/>
          <w:szCs w:val="24"/>
        </w:rPr>
      </w:pPr>
      <w:r w:rsidRPr="00E10C92">
        <w:rPr>
          <w:rFonts w:cstheme="minorHAnsi"/>
          <w:color w:val="000000" w:themeColor="text1"/>
          <w:sz w:val="24"/>
          <w:szCs w:val="24"/>
        </w:rPr>
        <w:t>T</w:t>
      </w:r>
      <w:r w:rsidR="00FF159A" w:rsidRPr="00E10C92">
        <w:rPr>
          <w:rFonts w:cstheme="minorHAnsi"/>
          <w:color w:val="000000" w:themeColor="text1"/>
          <w:sz w:val="24"/>
          <w:szCs w:val="24"/>
        </w:rPr>
        <w:t>he a</w:t>
      </w:r>
      <w:r w:rsidR="00103489" w:rsidRPr="00E10C92">
        <w:rPr>
          <w:rFonts w:cstheme="minorHAnsi"/>
          <w:color w:val="000000" w:themeColor="text1"/>
          <w:sz w:val="24"/>
          <w:szCs w:val="24"/>
        </w:rPr>
        <w:t>rticle</w:t>
      </w:r>
      <w:r w:rsidR="00FF159A" w:rsidRPr="00E10C92">
        <w:rPr>
          <w:rFonts w:cstheme="minorHAnsi"/>
          <w:color w:val="000000" w:themeColor="text1"/>
          <w:sz w:val="24"/>
          <w:szCs w:val="24"/>
        </w:rPr>
        <w:t xml:space="preserve"> </w:t>
      </w:r>
      <w:r w:rsidR="00BB3F2B" w:rsidRPr="00E10C92">
        <w:rPr>
          <w:rFonts w:cstheme="minorHAnsi"/>
          <w:color w:val="000000" w:themeColor="text1"/>
          <w:sz w:val="24"/>
          <w:szCs w:val="24"/>
        </w:rPr>
        <w:t>begin</w:t>
      </w:r>
      <w:r w:rsidR="00103489" w:rsidRPr="00E10C92">
        <w:rPr>
          <w:rFonts w:cstheme="minorHAnsi"/>
          <w:color w:val="000000" w:themeColor="text1"/>
          <w:sz w:val="24"/>
          <w:szCs w:val="24"/>
        </w:rPr>
        <w:t>s</w:t>
      </w:r>
      <w:r w:rsidR="00FF159A" w:rsidRPr="00E10C92">
        <w:rPr>
          <w:rFonts w:cstheme="minorHAnsi"/>
          <w:color w:val="000000" w:themeColor="text1"/>
          <w:sz w:val="24"/>
          <w:szCs w:val="24"/>
        </w:rPr>
        <w:t xml:space="preserve"> </w:t>
      </w:r>
      <w:r w:rsidR="00A948B8" w:rsidRPr="00E10C92">
        <w:rPr>
          <w:rFonts w:cstheme="minorHAnsi"/>
          <w:color w:val="000000" w:themeColor="text1"/>
          <w:sz w:val="24"/>
          <w:szCs w:val="24"/>
        </w:rPr>
        <w:t>with</w:t>
      </w:r>
      <w:r w:rsidR="00FF159A" w:rsidRPr="00E10C92">
        <w:rPr>
          <w:rFonts w:cstheme="minorHAnsi"/>
          <w:color w:val="000000" w:themeColor="text1"/>
          <w:sz w:val="24"/>
          <w:szCs w:val="24"/>
        </w:rPr>
        <w:t xml:space="preserve"> explor</w:t>
      </w:r>
      <w:r w:rsidR="00A948B8" w:rsidRPr="00E10C92">
        <w:rPr>
          <w:rFonts w:cstheme="minorHAnsi"/>
          <w:color w:val="000000" w:themeColor="text1"/>
          <w:sz w:val="24"/>
          <w:szCs w:val="24"/>
        </w:rPr>
        <w:t>ing</w:t>
      </w:r>
      <w:r w:rsidR="00FF159A" w:rsidRPr="00E10C92">
        <w:rPr>
          <w:rFonts w:cstheme="minorHAnsi"/>
          <w:color w:val="000000" w:themeColor="text1"/>
          <w:sz w:val="24"/>
          <w:szCs w:val="24"/>
        </w:rPr>
        <w:t xml:space="preserve"> the </w:t>
      </w:r>
      <w:r w:rsidRPr="00E10C92">
        <w:rPr>
          <w:rFonts w:cstheme="minorHAnsi"/>
          <w:color w:val="000000" w:themeColor="text1"/>
          <w:sz w:val="24"/>
          <w:szCs w:val="24"/>
        </w:rPr>
        <w:t xml:space="preserve">views of a consultation </w:t>
      </w:r>
      <w:r w:rsidR="0003715F" w:rsidRPr="00E10C92">
        <w:rPr>
          <w:rFonts w:cstheme="minorHAnsi"/>
          <w:color w:val="000000" w:themeColor="text1"/>
          <w:sz w:val="24"/>
          <w:szCs w:val="24"/>
        </w:rPr>
        <w:t xml:space="preserve">in 2018 </w:t>
      </w:r>
      <w:r w:rsidRPr="00E10C92">
        <w:rPr>
          <w:rFonts w:cstheme="minorHAnsi"/>
          <w:color w:val="000000" w:themeColor="text1"/>
          <w:sz w:val="24"/>
          <w:szCs w:val="24"/>
        </w:rPr>
        <w:t>by the United Nations Committee on the Rights of Children</w:t>
      </w:r>
      <w:r w:rsidR="0003715F" w:rsidRPr="00E10C92">
        <w:rPr>
          <w:rFonts w:cstheme="minorHAnsi"/>
          <w:color w:val="000000" w:themeColor="text1"/>
          <w:sz w:val="24"/>
          <w:szCs w:val="24"/>
        </w:rPr>
        <w:t xml:space="preserve">, </w:t>
      </w:r>
      <w:r w:rsidRPr="00E10C92">
        <w:rPr>
          <w:rFonts w:cstheme="minorHAnsi"/>
          <w:color w:val="000000" w:themeColor="text1"/>
          <w:sz w:val="24"/>
          <w:szCs w:val="24"/>
        </w:rPr>
        <w:t xml:space="preserve">which highlighted </w:t>
      </w:r>
      <w:r w:rsidR="002F17AD" w:rsidRPr="00E10C92">
        <w:rPr>
          <w:rFonts w:cstheme="minorHAnsi"/>
          <w:color w:val="000000" w:themeColor="text1"/>
          <w:sz w:val="24"/>
          <w:szCs w:val="24"/>
        </w:rPr>
        <w:t>that the United Kingdom</w:t>
      </w:r>
      <w:r w:rsidR="00EE4A36" w:rsidRPr="00E10C92">
        <w:rPr>
          <w:rFonts w:cstheme="minorHAnsi"/>
          <w:color w:val="000000" w:themeColor="text1"/>
          <w:sz w:val="24"/>
          <w:szCs w:val="24"/>
        </w:rPr>
        <w:t>’s</w:t>
      </w:r>
      <w:r w:rsidR="002F17AD" w:rsidRPr="00E10C92">
        <w:rPr>
          <w:rFonts w:cstheme="minorHAnsi"/>
          <w:color w:val="000000" w:themeColor="text1"/>
          <w:sz w:val="24"/>
          <w:szCs w:val="24"/>
        </w:rPr>
        <w:t xml:space="preserve"> present minimum age is not compatible to the standards of </w:t>
      </w:r>
      <w:r w:rsidR="0003715F" w:rsidRPr="00E10C92">
        <w:rPr>
          <w:rFonts w:cstheme="minorHAnsi"/>
          <w:color w:val="000000" w:themeColor="text1"/>
          <w:sz w:val="24"/>
          <w:szCs w:val="24"/>
        </w:rPr>
        <w:t xml:space="preserve">that </w:t>
      </w:r>
      <w:r w:rsidR="002F17AD" w:rsidRPr="00E10C92">
        <w:rPr>
          <w:rFonts w:cstheme="minorHAnsi"/>
          <w:color w:val="000000" w:themeColor="text1"/>
          <w:sz w:val="24"/>
          <w:szCs w:val="24"/>
        </w:rPr>
        <w:t xml:space="preserve">of other countries. </w:t>
      </w:r>
      <w:r w:rsidR="00953EE7" w:rsidRPr="00E10C92">
        <w:rPr>
          <w:rFonts w:cstheme="minorHAnsi"/>
          <w:color w:val="000000" w:themeColor="text1"/>
          <w:sz w:val="24"/>
          <w:szCs w:val="24"/>
        </w:rPr>
        <w:t xml:space="preserve">The UK </w:t>
      </w:r>
      <w:r w:rsidR="00953EE7" w:rsidRPr="00E10C92">
        <w:rPr>
          <w:rFonts w:cstheme="minorHAnsi"/>
          <w:color w:val="000000" w:themeColor="text1"/>
          <w:sz w:val="24"/>
          <w:szCs w:val="24"/>
        </w:rPr>
        <w:lastRenderedPageBreak/>
        <w:t xml:space="preserve">Government conducted a </w:t>
      </w:r>
      <w:r w:rsidR="00CC31E3" w:rsidRPr="00E10C92">
        <w:rPr>
          <w:rFonts w:cstheme="minorHAnsi"/>
          <w:color w:val="000000" w:themeColor="text1"/>
          <w:sz w:val="24"/>
          <w:szCs w:val="24"/>
        </w:rPr>
        <w:t>R</w:t>
      </w:r>
      <w:r w:rsidR="00953EE7" w:rsidRPr="00E10C92">
        <w:rPr>
          <w:rFonts w:cstheme="minorHAnsi"/>
          <w:color w:val="000000" w:themeColor="text1"/>
          <w:sz w:val="24"/>
          <w:szCs w:val="24"/>
        </w:rPr>
        <w:t>eview in 2012</w:t>
      </w:r>
      <w:r w:rsidR="00953EE7" w:rsidRPr="00E10C92">
        <w:rPr>
          <w:rFonts w:cstheme="minorHAnsi"/>
          <w:sz w:val="24"/>
          <w:szCs w:val="24"/>
        </w:rPr>
        <w:t xml:space="preserve"> </w:t>
      </w:r>
      <w:r w:rsidR="008E0E41" w:rsidRPr="00E10C92">
        <w:rPr>
          <w:rFonts w:cstheme="minorHAnsi"/>
          <w:sz w:val="24"/>
          <w:szCs w:val="24"/>
        </w:rPr>
        <w:t>where</w:t>
      </w:r>
      <w:r w:rsidR="00953EE7" w:rsidRPr="00E10C92">
        <w:rPr>
          <w:rFonts w:cstheme="minorHAnsi"/>
          <w:sz w:val="24"/>
          <w:szCs w:val="24"/>
        </w:rPr>
        <w:t xml:space="preserve"> </w:t>
      </w:r>
      <w:r w:rsidR="00953EE7" w:rsidRPr="00E10C92">
        <w:rPr>
          <w:rFonts w:cstheme="minorHAnsi"/>
          <w:color w:val="000000" w:themeColor="text1"/>
          <w:sz w:val="24"/>
          <w:szCs w:val="24"/>
        </w:rPr>
        <w:t>The Minister of Youth Justice concluded that the UK MACR was appropriate and there were no plans to change the age of MACR as they believe children aged 10 years were able to distinguish right from wrong (Parliament</w:t>
      </w:r>
      <w:r w:rsidR="00AA0631" w:rsidRPr="00E10C92">
        <w:rPr>
          <w:rFonts w:cstheme="minorHAnsi"/>
          <w:color w:val="000000" w:themeColor="text1"/>
          <w:sz w:val="24"/>
          <w:szCs w:val="24"/>
        </w:rPr>
        <w:t xml:space="preserve"> </w:t>
      </w:r>
      <w:r w:rsidR="00953EE7" w:rsidRPr="00E10C92">
        <w:rPr>
          <w:rFonts w:cstheme="minorHAnsi"/>
          <w:color w:val="000000" w:themeColor="text1"/>
          <w:sz w:val="24"/>
          <w:szCs w:val="24"/>
        </w:rPr>
        <w:t>UK</w:t>
      </w:r>
      <w:r w:rsidR="00AA0631" w:rsidRPr="00E10C92">
        <w:rPr>
          <w:rFonts w:cstheme="minorHAnsi"/>
          <w:color w:val="000000" w:themeColor="text1"/>
          <w:sz w:val="24"/>
          <w:szCs w:val="24"/>
        </w:rPr>
        <w:t>,</w:t>
      </w:r>
      <w:r w:rsidR="00953EE7" w:rsidRPr="00E10C92">
        <w:rPr>
          <w:rFonts w:cstheme="minorHAnsi"/>
          <w:color w:val="000000" w:themeColor="text1"/>
          <w:sz w:val="24"/>
          <w:szCs w:val="24"/>
        </w:rPr>
        <w:t xml:space="preserve"> 2011). </w:t>
      </w:r>
      <w:r w:rsidR="00DE1401" w:rsidRPr="00E10C92">
        <w:rPr>
          <w:rFonts w:cstheme="minorHAnsi"/>
          <w:color w:val="000000" w:themeColor="text1"/>
          <w:sz w:val="24"/>
          <w:szCs w:val="24"/>
        </w:rPr>
        <w:t>Furthermore, a</w:t>
      </w:r>
      <w:r w:rsidR="002F17AD" w:rsidRPr="00E10C92">
        <w:rPr>
          <w:rFonts w:cstheme="minorHAnsi"/>
          <w:color w:val="000000" w:themeColor="text1"/>
          <w:sz w:val="24"/>
          <w:szCs w:val="24"/>
        </w:rPr>
        <w:t xml:space="preserve">ccording to Bateman (2012) </w:t>
      </w:r>
      <w:r w:rsidR="00696444" w:rsidRPr="00E10C92">
        <w:rPr>
          <w:rFonts w:cstheme="minorHAnsi"/>
          <w:color w:val="000000" w:themeColor="text1"/>
          <w:sz w:val="24"/>
          <w:szCs w:val="24"/>
        </w:rPr>
        <w:t>t</w:t>
      </w:r>
      <w:r w:rsidR="002F17AD" w:rsidRPr="00E10C92">
        <w:rPr>
          <w:rFonts w:cstheme="minorHAnsi"/>
          <w:color w:val="000000" w:themeColor="text1"/>
          <w:sz w:val="24"/>
          <w:szCs w:val="24"/>
        </w:rPr>
        <w:t>he UK MACR has breached the U</w:t>
      </w:r>
      <w:r w:rsidR="00696444" w:rsidRPr="00E10C92">
        <w:rPr>
          <w:rFonts w:cstheme="minorHAnsi"/>
          <w:color w:val="000000" w:themeColor="text1"/>
          <w:sz w:val="24"/>
          <w:szCs w:val="24"/>
        </w:rPr>
        <w:t>nited Nations</w:t>
      </w:r>
      <w:r w:rsidR="002F17AD" w:rsidRPr="00E10C92">
        <w:rPr>
          <w:rFonts w:cstheme="minorHAnsi"/>
          <w:color w:val="000000" w:themeColor="text1"/>
          <w:sz w:val="24"/>
          <w:szCs w:val="24"/>
        </w:rPr>
        <w:t xml:space="preserve"> Convention </w:t>
      </w:r>
      <w:r w:rsidR="00696444" w:rsidRPr="00E10C92">
        <w:rPr>
          <w:rFonts w:cstheme="minorHAnsi"/>
          <w:color w:val="000000" w:themeColor="text1"/>
          <w:sz w:val="24"/>
          <w:szCs w:val="24"/>
        </w:rPr>
        <w:t xml:space="preserve">on the Rights of the Child </w:t>
      </w:r>
      <w:r w:rsidR="00953EE7" w:rsidRPr="00E10C92">
        <w:rPr>
          <w:rFonts w:cstheme="minorHAnsi"/>
          <w:color w:val="000000" w:themeColor="text1"/>
          <w:sz w:val="24"/>
          <w:szCs w:val="24"/>
        </w:rPr>
        <w:t>and believed that the UK government review of MACR is flawed and criminalises children at a young age.</w:t>
      </w:r>
      <w:r w:rsidR="00CC31E3" w:rsidRPr="00E10C92">
        <w:rPr>
          <w:rFonts w:cstheme="minorHAnsi"/>
          <w:color w:val="000000" w:themeColor="text1"/>
          <w:sz w:val="24"/>
          <w:szCs w:val="24"/>
        </w:rPr>
        <w:t xml:space="preserve"> This view confirms that there is still a debate ongoing, and the </w:t>
      </w:r>
      <w:r w:rsidR="00565E34" w:rsidRPr="00E10C92">
        <w:rPr>
          <w:rFonts w:cstheme="minorHAnsi"/>
          <w:color w:val="000000" w:themeColor="text1"/>
          <w:sz w:val="24"/>
          <w:szCs w:val="24"/>
        </w:rPr>
        <w:t>matter in question</w:t>
      </w:r>
      <w:r w:rsidR="00CC31E3" w:rsidRPr="00E10C92">
        <w:rPr>
          <w:rFonts w:cstheme="minorHAnsi"/>
          <w:color w:val="000000" w:themeColor="text1"/>
          <w:sz w:val="24"/>
          <w:szCs w:val="24"/>
        </w:rPr>
        <w:t xml:space="preserve"> has not been resolved. </w:t>
      </w:r>
      <w:r w:rsidR="00953EE7" w:rsidRPr="00E10C92">
        <w:rPr>
          <w:rFonts w:cstheme="minorHAnsi"/>
          <w:color w:val="000000" w:themeColor="text1"/>
          <w:sz w:val="24"/>
          <w:szCs w:val="24"/>
        </w:rPr>
        <w:t xml:space="preserve"> </w:t>
      </w:r>
    </w:p>
    <w:p w14:paraId="69833702" w14:textId="5FEAFC8C" w:rsidR="003D451B" w:rsidRPr="00E10C92" w:rsidRDefault="00814DE4" w:rsidP="00E10C92">
      <w:pPr>
        <w:spacing w:line="480" w:lineRule="auto"/>
        <w:jc w:val="both"/>
        <w:rPr>
          <w:rFonts w:cstheme="minorHAnsi"/>
          <w:color w:val="000000" w:themeColor="text1"/>
          <w:sz w:val="24"/>
          <w:szCs w:val="24"/>
        </w:rPr>
      </w:pPr>
      <w:r w:rsidRPr="00E10C92">
        <w:rPr>
          <w:rFonts w:cstheme="minorHAnsi"/>
          <w:color w:val="000000" w:themeColor="text1"/>
          <w:sz w:val="24"/>
          <w:szCs w:val="24"/>
        </w:rPr>
        <w:t xml:space="preserve">Brown and </w:t>
      </w:r>
      <w:r w:rsidRPr="00E10C92">
        <w:rPr>
          <w:rFonts w:cstheme="minorHAnsi"/>
          <w:sz w:val="24"/>
          <w:szCs w:val="24"/>
        </w:rPr>
        <w:t>Charles</w:t>
      </w:r>
      <w:r w:rsidR="003D451B" w:rsidRPr="00E10C92">
        <w:rPr>
          <w:rFonts w:cstheme="minorHAnsi"/>
          <w:sz w:val="24"/>
          <w:szCs w:val="24"/>
        </w:rPr>
        <w:t xml:space="preserve"> </w:t>
      </w:r>
      <w:r w:rsidR="006E5F6C" w:rsidRPr="00E10C92">
        <w:rPr>
          <w:rFonts w:cstheme="minorHAnsi"/>
          <w:sz w:val="24"/>
          <w:szCs w:val="24"/>
        </w:rPr>
        <w:t>(</w:t>
      </w:r>
      <w:r w:rsidR="00DE1401" w:rsidRPr="00E10C92">
        <w:rPr>
          <w:rFonts w:cstheme="minorHAnsi"/>
          <w:sz w:val="24"/>
          <w:szCs w:val="24"/>
        </w:rPr>
        <w:t>2019</w:t>
      </w:r>
      <w:r w:rsidR="006E5F6C" w:rsidRPr="00E10C92">
        <w:rPr>
          <w:rFonts w:cstheme="minorHAnsi"/>
          <w:sz w:val="24"/>
          <w:szCs w:val="24"/>
        </w:rPr>
        <w:t xml:space="preserve">) </w:t>
      </w:r>
      <w:r w:rsidR="002820AD" w:rsidRPr="00E10C92">
        <w:rPr>
          <w:rFonts w:cstheme="minorHAnsi"/>
          <w:color w:val="000000" w:themeColor="text1"/>
          <w:sz w:val="24"/>
          <w:szCs w:val="24"/>
        </w:rPr>
        <w:t>emphasise</w:t>
      </w:r>
      <w:r w:rsidR="00C034CD" w:rsidRPr="00E10C92">
        <w:rPr>
          <w:rFonts w:cstheme="minorHAnsi"/>
          <w:color w:val="000000" w:themeColor="text1"/>
          <w:sz w:val="24"/>
          <w:szCs w:val="24"/>
        </w:rPr>
        <w:t xml:space="preserve"> </w:t>
      </w:r>
      <w:r w:rsidR="006B7E1F" w:rsidRPr="00E10C92">
        <w:rPr>
          <w:rFonts w:cstheme="minorHAnsi"/>
          <w:color w:val="000000" w:themeColor="text1"/>
          <w:sz w:val="24"/>
          <w:szCs w:val="24"/>
        </w:rPr>
        <w:t xml:space="preserve">that </w:t>
      </w:r>
      <w:r w:rsidR="003D451B" w:rsidRPr="00E10C92">
        <w:rPr>
          <w:rFonts w:cstheme="minorHAnsi"/>
          <w:color w:val="000000" w:themeColor="text1"/>
          <w:sz w:val="24"/>
          <w:szCs w:val="24"/>
        </w:rPr>
        <w:t>many European countries have begun to change their approaches to MACR and their attitude towards youth criminality</w:t>
      </w:r>
      <w:r w:rsidR="00077066" w:rsidRPr="00E10C92">
        <w:rPr>
          <w:rFonts w:cstheme="minorHAnsi"/>
          <w:color w:val="000000" w:themeColor="text1"/>
          <w:sz w:val="24"/>
          <w:szCs w:val="24"/>
        </w:rPr>
        <w:t xml:space="preserve">, with the average MACR for Europe being 14 years. </w:t>
      </w:r>
      <w:r w:rsidR="006B7E1F" w:rsidRPr="00E10C92">
        <w:rPr>
          <w:rFonts w:cstheme="minorHAnsi"/>
          <w:color w:val="000000" w:themeColor="text1"/>
          <w:sz w:val="24"/>
          <w:szCs w:val="24"/>
        </w:rPr>
        <w:t>However,</w:t>
      </w:r>
      <w:r w:rsidR="003D451B" w:rsidRPr="00E10C92">
        <w:rPr>
          <w:rFonts w:cstheme="minorHAnsi"/>
          <w:color w:val="000000" w:themeColor="text1"/>
          <w:sz w:val="24"/>
          <w:szCs w:val="24"/>
        </w:rPr>
        <w:t xml:space="preserve"> the a</w:t>
      </w:r>
      <w:r w:rsidR="00C034CD" w:rsidRPr="00E10C92">
        <w:rPr>
          <w:rFonts w:cstheme="minorHAnsi"/>
          <w:color w:val="000000" w:themeColor="text1"/>
          <w:sz w:val="24"/>
          <w:szCs w:val="24"/>
        </w:rPr>
        <w:t>uthors</w:t>
      </w:r>
      <w:r w:rsidR="00725E23" w:rsidRPr="00E10C92">
        <w:rPr>
          <w:rFonts w:cstheme="minorHAnsi"/>
          <w:color w:val="000000" w:themeColor="text1"/>
          <w:sz w:val="24"/>
          <w:szCs w:val="24"/>
        </w:rPr>
        <w:t xml:space="preserve"> </w:t>
      </w:r>
      <w:r w:rsidR="00725E23" w:rsidRPr="00E10C92">
        <w:rPr>
          <w:rFonts w:cstheme="minorHAnsi"/>
          <w:sz w:val="24"/>
          <w:szCs w:val="24"/>
        </w:rPr>
        <w:t>further</w:t>
      </w:r>
      <w:r w:rsidR="00C034CD" w:rsidRPr="00E10C92">
        <w:rPr>
          <w:rFonts w:cstheme="minorHAnsi"/>
          <w:color w:val="000000" w:themeColor="text1"/>
          <w:sz w:val="24"/>
          <w:szCs w:val="24"/>
        </w:rPr>
        <w:t xml:space="preserve"> note</w:t>
      </w:r>
      <w:r w:rsidR="00725E23" w:rsidRPr="00E10C92">
        <w:rPr>
          <w:rFonts w:cstheme="minorHAnsi"/>
          <w:color w:val="000000" w:themeColor="text1"/>
          <w:sz w:val="24"/>
          <w:szCs w:val="24"/>
        </w:rPr>
        <w:t>s</w:t>
      </w:r>
      <w:r w:rsidR="003D451B" w:rsidRPr="00E10C92">
        <w:rPr>
          <w:rFonts w:cstheme="minorHAnsi"/>
          <w:color w:val="000000" w:themeColor="text1"/>
          <w:sz w:val="24"/>
          <w:szCs w:val="24"/>
        </w:rPr>
        <w:t xml:space="preserve"> that many countries have yet to embrace change for </w:t>
      </w:r>
      <w:r w:rsidR="00517669" w:rsidRPr="00E10C92">
        <w:rPr>
          <w:rFonts w:cstheme="minorHAnsi"/>
          <w:color w:val="000000" w:themeColor="text1"/>
          <w:sz w:val="24"/>
          <w:szCs w:val="24"/>
        </w:rPr>
        <w:t>example</w:t>
      </w:r>
      <w:r w:rsidR="003D451B" w:rsidRPr="00E10C92">
        <w:rPr>
          <w:rFonts w:cstheme="minorHAnsi"/>
          <w:color w:val="000000" w:themeColor="text1"/>
          <w:sz w:val="24"/>
          <w:szCs w:val="24"/>
        </w:rPr>
        <w:t xml:space="preserve"> the United States of </w:t>
      </w:r>
      <w:r w:rsidR="00517669" w:rsidRPr="00E10C92">
        <w:rPr>
          <w:rFonts w:cstheme="minorHAnsi"/>
          <w:color w:val="000000" w:themeColor="text1"/>
          <w:sz w:val="24"/>
          <w:szCs w:val="24"/>
        </w:rPr>
        <w:t>America do not have a formal MACR</w:t>
      </w:r>
      <w:r w:rsidR="006B7E1F" w:rsidRPr="00E10C92">
        <w:rPr>
          <w:rFonts w:cstheme="minorHAnsi"/>
          <w:color w:val="000000" w:themeColor="text1"/>
          <w:sz w:val="24"/>
          <w:szCs w:val="24"/>
        </w:rPr>
        <w:t xml:space="preserve">. </w:t>
      </w:r>
      <w:r w:rsidR="00282A85" w:rsidRPr="00E10C92">
        <w:rPr>
          <w:rFonts w:cstheme="minorHAnsi"/>
          <w:color w:val="000000" w:themeColor="text1"/>
          <w:sz w:val="24"/>
          <w:szCs w:val="24"/>
        </w:rPr>
        <w:t xml:space="preserve">According to </w:t>
      </w:r>
      <w:r w:rsidR="006B7E1F" w:rsidRPr="00E10C92">
        <w:rPr>
          <w:rFonts w:cstheme="minorHAnsi"/>
          <w:color w:val="000000" w:themeColor="text1"/>
          <w:sz w:val="24"/>
          <w:szCs w:val="24"/>
        </w:rPr>
        <w:t xml:space="preserve">Child Rights International Network (2021) </w:t>
      </w:r>
      <w:r w:rsidR="00282A85" w:rsidRPr="00E10C92">
        <w:rPr>
          <w:rFonts w:cstheme="minorHAnsi"/>
          <w:color w:val="000000" w:themeColor="text1"/>
          <w:sz w:val="24"/>
          <w:szCs w:val="24"/>
        </w:rPr>
        <w:t xml:space="preserve">it has been </w:t>
      </w:r>
      <w:r w:rsidR="006B7E1F" w:rsidRPr="00E10C92">
        <w:rPr>
          <w:rFonts w:cstheme="minorHAnsi"/>
          <w:color w:val="000000" w:themeColor="text1"/>
          <w:sz w:val="24"/>
          <w:szCs w:val="24"/>
        </w:rPr>
        <w:t>recognised that</w:t>
      </w:r>
      <w:r w:rsidR="00517669" w:rsidRPr="00E10C92">
        <w:rPr>
          <w:rFonts w:cstheme="minorHAnsi"/>
          <w:color w:val="000000" w:themeColor="text1"/>
          <w:sz w:val="24"/>
          <w:szCs w:val="24"/>
        </w:rPr>
        <w:t xml:space="preserve"> some </w:t>
      </w:r>
      <w:r w:rsidR="006B7E1F" w:rsidRPr="00E10C92">
        <w:rPr>
          <w:rFonts w:cstheme="minorHAnsi"/>
          <w:color w:val="000000" w:themeColor="text1"/>
          <w:sz w:val="24"/>
          <w:szCs w:val="24"/>
        </w:rPr>
        <w:t xml:space="preserve">USA </w:t>
      </w:r>
      <w:r w:rsidR="00517669" w:rsidRPr="00E10C92">
        <w:rPr>
          <w:rFonts w:cstheme="minorHAnsi"/>
          <w:color w:val="000000" w:themeColor="text1"/>
          <w:sz w:val="24"/>
          <w:szCs w:val="24"/>
        </w:rPr>
        <w:t xml:space="preserve">states </w:t>
      </w:r>
      <w:r w:rsidR="00F52A9A" w:rsidRPr="00E10C92">
        <w:rPr>
          <w:rFonts w:cstheme="minorHAnsi"/>
          <w:color w:val="000000" w:themeColor="text1"/>
          <w:sz w:val="24"/>
          <w:szCs w:val="24"/>
        </w:rPr>
        <w:t>have</w:t>
      </w:r>
      <w:r w:rsidR="00517669" w:rsidRPr="00E10C92">
        <w:rPr>
          <w:rFonts w:cstheme="minorHAnsi"/>
          <w:color w:val="000000" w:themeColor="text1"/>
          <w:sz w:val="24"/>
          <w:szCs w:val="24"/>
        </w:rPr>
        <w:t xml:space="preserve"> a MACR such as North Carolin</w:t>
      </w:r>
      <w:r w:rsidR="00F52A9A" w:rsidRPr="00E10C92">
        <w:rPr>
          <w:rFonts w:cstheme="minorHAnsi"/>
          <w:color w:val="000000" w:themeColor="text1"/>
          <w:sz w:val="24"/>
          <w:szCs w:val="24"/>
        </w:rPr>
        <w:t>a</w:t>
      </w:r>
      <w:r w:rsidR="00517669" w:rsidRPr="00E10C92">
        <w:rPr>
          <w:rFonts w:cstheme="minorHAnsi"/>
          <w:color w:val="000000" w:themeColor="text1"/>
          <w:sz w:val="24"/>
          <w:szCs w:val="24"/>
        </w:rPr>
        <w:t xml:space="preserve"> who has a level as low as 7 years of age. </w:t>
      </w:r>
      <w:r w:rsidR="007347AD" w:rsidRPr="00E10C92">
        <w:rPr>
          <w:rFonts w:cstheme="minorHAnsi"/>
          <w:color w:val="000000" w:themeColor="text1"/>
          <w:sz w:val="24"/>
          <w:szCs w:val="24"/>
        </w:rPr>
        <w:t>This could lead to</w:t>
      </w:r>
      <w:r w:rsidR="00C6217C" w:rsidRPr="00E10C92">
        <w:rPr>
          <w:rFonts w:cstheme="minorHAnsi"/>
          <w:color w:val="000000" w:themeColor="text1"/>
          <w:sz w:val="24"/>
          <w:szCs w:val="24"/>
        </w:rPr>
        <w:t xml:space="preserve"> the exploitation of </w:t>
      </w:r>
      <w:r w:rsidR="004225C7" w:rsidRPr="00E10C92">
        <w:rPr>
          <w:rFonts w:cstheme="minorHAnsi"/>
          <w:color w:val="000000" w:themeColor="text1"/>
          <w:sz w:val="24"/>
          <w:szCs w:val="24"/>
        </w:rPr>
        <w:t xml:space="preserve">younger </w:t>
      </w:r>
      <w:r w:rsidR="00C6217C" w:rsidRPr="00E10C92">
        <w:rPr>
          <w:rFonts w:cstheme="minorHAnsi"/>
          <w:color w:val="000000" w:themeColor="text1"/>
          <w:sz w:val="24"/>
          <w:szCs w:val="24"/>
        </w:rPr>
        <w:t>children</w:t>
      </w:r>
      <w:r w:rsidR="004225C7" w:rsidRPr="00E10C92">
        <w:rPr>
          <w:rFonts w:cstheme="minorHAnsi"/>
          <w:color w:val="000000" w:themeColor="text1"/>
          <w:sz w:val="24"/>
          <w:szCs w:val="24"/>
        </w:rPr>
        <w:t xml:space="preserve"> to commit crimes. </w:t>
      </w:r>
    </w:p>
    <w:p w14:paraId="7776CAD8" w14:textId="5054998B" w:rsidR="00B52CEF" w:rsidRPr="00E10C92" w:rsidRDefault="00517669" w:rsidP="00E10C92">
      <w:pPr>
        <w:spacing w:line="480" w:lineRule="auto"/>
        <w:jc w:val="both"/>
        <w:rPr>
          <w:rFonts w:cstheme="minorHAnsi"/>
          <w:color w:val="000000" w:themeColor="text1"/>
          <w:sz w:val="24"/>
          <w:szCs w:val="24"/>
        </w:rPr>
      </w:pPr>
      <w:r w:rsidRPr="00E10C92">
        <w:rPr>
          <w:rFonts w:cstheme="minorHAnsi"/>
          <w:color w:val="000000" w:themeColor="text1"/>
          <w:sz w:val="24"/>
          <w:szCs w:val="24"/>
        </w:rPr>
        <w:t xml:space="preserve">The </w:t>
      </w:r>
      <w:r w:rsidR="007347AD" w:rsidRPr="00E10C92">
        <w:rPr>
          <w:rFonts w:cstheme="minorHAnsi"/>
          <w:color w:val="000000" w:themeColor="text1"/>
          <w:sz w:val="24"/>
          <w:szCs w:val="24"/>
        </w:rPr>
        <w:t>article</w:t>
      </w:r>
      <w:r w:rsidRPr="00E10C92">
        <w:rPr>
          <w:rFonts w:cstheme="minorHAnsi"/>
          <w:color w:val="000000" w:themeColor="text1"/>
          <w:sz w:val="24"/>
          <w:szCs w:val="24"/>
        </w:rPr>
        <w:t xml:space="preserve"> question</w:t>
      </w:r>
      <w:r w:rsidR="007347AD" w:rsidRPr="00E10C92">
        <w:rPr>
          <w:rFonts w:cstheme="minorHAnsi"/>
          <w:color w:val="000000" w:themeColor="text1"/>
          <w:sz w:val="24"/>
          <w:szCs w:val="24"/>
        </w:rPr>
        <w:t>s why</w:t>
      </w:r>
      <w:r w:rsidRPr="00E10C92">
        <w:rPr>
          <w:rFonts w:cstheme="minorHAnsi"/>
          <w:color w:val="000000" w:themeColor="text1"/>
          <w:sz w:val="24"/>
          <w:szCs w:val="24"/>
        </w:rPr>
        <w:t xml:space="preserve"> MACR in the UK has not changed since the 1960’s and although it was reviewed in 2011</w:t>
      </w:r>
      <w:r w:rsidR="00DE1401" w:rsidRPr="00E10C92">
        <w:rPr>
          <w:rFonts w:cstheme="minorHAnsi"/>
          <w:color w:val="000000" w:themeColor="text1"/>
          <w:sz w:val="24"/>
          <w:szCs w:val="24"/>
        </w:rPr>
        <w:t xml:space="preserve"> by the UK Government</w:t>
      </w:r>
      <w:r w:rsidRPr="00E10C92">
        <w:rPr>
          <w:rFonts w:cstheme="minorHAnsi"/>
          <w:color w:val="000000" w:themeColor="text1"/>
          <w:sz w:val="24"/>
          <w:szCs w:val="24"/>
        </w:rPr>
        <w:t xml:space="preserve">, </w:t>
      </w:r>
      <w:r w:rsidR="004D7DD5" w:rsidRPr="00E10C92">
        <w:rPr>
          <w:rFonts w:cstheme="minorHAnsi"/>
          <w:color w:val="000000" w:themeColor="text1"/>
          <w:sz w:val="24"/>
          <w:szCs w:val="24"/>
        </w:rPr>
        <w:t>it should be returned to a Parliamentary agenda. The author</w:t>
      </w:r>
      <w:r w:rsidR="00DE1401" w:rsidRPr="00E10C92">
        <w:rPr>
          <w:rFonts w:cstheme="minorHAnsi"/>
          <w:color w:val="000000" w:themeColor="text1"/>
          <w:sz w:val="24"/>
          <w:szCs w:val="24"/>
        </w:rPr>
        <w:t>s</w:t>
      </w:r>
      <w:r w:rsidR="004D7DD5" w:rsidRPr="00E10C92">
        <w:rPr>
          <w:rFonts w:cstheme="minorHAnsi"/>
          <w:color w:val="000000" w:themeColor="text1"/>
          <w:sz w:val="24"/>
          <w:szCs w:val="24"/>
        </w:rPr>
        <w:t xml:space="preserve"> </w:t>
      </w:r>
      <w:r w:rsidR="008B7691" w:rsidRPr="00E10C92">
        <w:rPr>
          <w:rFonts w:cstheme="minorHAnsi"/>
          <w:color w:val="000000" w:themeColor="text1"/>
          <w:sz w:val="24"/>
          <w:szCs w:val="24"/>
        </w:rPr>
        <w:t>direct</w:t>
      </w:r>
      <w:r w:rsidR="004D7DD5" w:rsidRPr="00E10C92">
        <w:rPr>
          <w:rFonts w:cstheme="minorHAnsi"/>
          <w:color w:val="000000" w:themeColor="text1"/>
          <w:sz w:val="24"/>
          <w:szCs w:val="24"/>
        </w:rPr>
        <w:t xml:space="preserve"> the reader to research </w:t>
      </w:r>
      <w:r w:rsidR="0010418D" w:rsidRPr="00E10C92">
        <w:rPr>
          <w:rFonts w:cstheme="minorHAnsi"/>
          <w:color w:val="000000" w:themeColor="text1"/>
          <w:sz w:val="24"/>
          <w:szCs w:val="24"/>
        </w:rPr>
        <w:t>presented</w:t>
      </w:r>
      <w:r w:rsidR="004D7DD5" w:rsidRPr="00E10C92">
        <w:rPr>
          <w:rFonts w:cstheme="minorHAnsi"/>
          <w:color w:val="000000" w:themeColor="text1"/>
          <w:sz w:val="24"/>
          <w:szCs w:val="24"/>
        </w:rPr>
        <w:t xml:space="preserve"> by </w:t>
      </w:r>
      <w:r w:rsidR="006B7E1F" w:rsidRPr="00E10C92">
        <w:rPr>
          <w:rFonts w:cstheme="minorHAnsi"/>
          <w:color w:val="000000" w:themeColor="text1"/>
          <w:sz w:val="24"/>
          <w:szCs w:val="24"/>
        </w:rPr>
        <w:t>several</w:t>
      </w:r>
      <w:r w:rsidR="004D7DD5" w:rsidRPr="00E10C92">
        <w:rPr>
          <w:rFonts w:cstheme="minorHAnsi"/>
          <w:color w:val="000000" w:themeColor="text1"/>
          <w:sz w:val="24"/>
          <w:szCs w:val="24"/>
        </w:rPr>
        <w:t xml:space="preserve"> sources who have argued that through research and practice </w:t>
      </w:r>
      <w:r w:rsidR="0010418D" w:rsidRPr="00E10C92">
        <w:rPr>
          <w:rFonts w:cstheme="minorHAnsi"/>
          <w:color w:val="000000" w:themeColor="text1"/>
          <w:sz w:val="24"/>
          <w:szCs w:val="24"/>
        </w:rPr>
        <w:t xml:space="preserve">youth crime can be managed in different ways </w:t>
      </w:r>
      <w:r w:rsidR="006B7E1F" w:rsidRPr="00E10C92">
        <w:rPr>
          <w:rFonts w:cstheme="minorHAnsi"/>
          <w:color w:val="000000" w:themeColor="text1"/>
          <w:sz w:val="24"/>
          <w:szCs w:val="24"/>
        </w:rPr>
        <w:t>rather than</w:t>
      </w:r>
      <w:r w:rsidR="0010418D" w:rsidRPr="00E10C92">
        <w:rPr>
          <w:rFonts w:cstheme="minorHAnsi"/>
          <w:color w:val="000000" w:themeColor="text1"/>
          <w:sz w:val="24"/>
          <w:szCs w:val="24"/>
        </w:rPr>
        <w:t xml:space="preserve"> criminalising the child </w:t>
      </w:r>
      <w:r w:rsidR="004C2BBE" w:rsidRPr="00E10C92">
        <w:rPr>
          <w:rFonts w:cstheme="minorHAnsi"/>
          <w:color w:val="000000" w:themeColor="text1"/>
          <w:sz w:val="24"/>
          <w:szCs w:val="24"/>
        </w:rPr>
        <w:t>(</w:t>
      </w:r>
      <w:r w:rsidR="00642BBA" w:rsidRPr="00E10C92">
        <w:rPr>
          <w:rFonts w:cstheme="minorHAnsi"/>
          <w:color w:val="000000" w:themeColor="text1"/>
          <w:sz w:val="24"/>
          <w:szCs w:val="24"/>
        </w:rPr>
        <w:t>National Association for Youth Justice, 2012)</w:t>
      </w:r>
      <w:r w:rsidR="004C2BBE" w:rsidRPr="00E10C92">
        <w:rPr>
          <w:rFonts w:cstheme="minorHAnsi"/>
          <w:color w:val="000000" w:themeColor="text1"/>
          <w:sz w:val="24"/>
          <w:szCs w:val="24"/>
        </w:rPr>
        <w:t>.</w:t>
      </w:r>
      <w:r w:rsidR="00642BBA" w:rsidRPr="00E10C92">
        <w:rPr>
          <w:rFonts w:cstheme="minorHAnsi"/>
          <w:color w:val="000000" w:themeColor="text1"/>
          <w:sz w:val="24"/>
          <w:szCs w:val="24"/>
        </w:rPr>
        <w:t xml:space="preserve"> </w:t>
      </w:r>
      <w:r w:rsidR="00B53108" w:rsidRPr="00E10C92">
        <w:rPr>
          <w:rFonts w:cstheme="minorHAnsi"/>
          <w:color w:val="000000" w:themeColor="text1"/>
          <w:sz w:val="24"/>
          <w:szCs w:val="24"/>
        </w:rPr>
        <w:t>It provides evidence of the relationship between MACR and diversion</w:t>
      </w:r>
      <w:r w:rsidR="00C55063" w:rsidRPr="00E10C92">
        <w:rPr>
          <w:rFonts w:cstheme="minorHAnsi"/>
          <w:color w:val="000000" w:themeColor="text1"/>
          <w:sz w:val="24"/>
          <w:szCs w:val="24"/>
        </w:rPr>
        <w:t xml:space="preserve"> and </w:t>
      </w:r>
      <w:r w:rsidR="00B53108" w:rsidRPr="00E10C92">
        <w:rPr>
          <w:rFonts w:cstheme="minorHAnsi"/>
          <w:color w:val="000000" w:themeColor="text1"/>
          <w:sz w:val="24"/>
          <w:szCs w:val="24"/>
        </w:rPr>
        <w:t xml:space="preserve">explores the work of National Youth Offending Teams and </w:t>
      </w:r>
      <w:r w:rsidR="00C55063" w:rsidRPr="00E10C92">
        <w:rPr>
          <w:rFonts w:cstheme="minorHAnsi"/>
          <w:color w:val="000000" w:themeColor="text1"/>
          <w:sz w:val="24"/>
          <w:szCs w:val="24"/>
        </w:rPr>
        <w:t xml:space="preserve">the </w:t>
      </w:r>
      <w:r w:rsidR="00B53108" w:rsidRPr="00E10C92">
        <w:rPr>
          <w:rFonts w:cstheme="minorHAnsi"/>
          <w:color w:val="000000" w:themeColor="text1"/>
          <w:sz w:val="24"/>
          <w:szCs w:val="24"/>
        </w:rPr>
        <w:t xml:space="preserve">relationship to the reduction of first-time </w:t>
      </w:r>
      <w:r w:rsidR="0019551B" w:rsidRPr="00E10C92">
        <w:rPr>
          <w:rFonts w:cstheme="minorHAnsi"/>
          <w:color w:val="000000" w:themeColor="text1"/>
          <w:sz w:val="24"/>
          <w:szCs w:val="24"/>
        </w:rPr>
        <w:t xml:space="preserve">offenders, </w:t>
      </w:r>
      <w:r w:rsidR="00B53108" w:rsidRPr="00E10C92">
        <w:rPr>
          <w:rFonts w:cstheme="minorHAnsi"/>
          <w:color w:val="000000" w:themeColor="text1"/>
          <w:sz w:val="24"/>
          <w:szCs w:val="24"/>
        </w:rPr>
        <w:t>produc</w:t>
      </w:r>
      <w:r w:rsidR="0019551B" w:rsidRPr="00E10C92">
        <w:rPr>
          <w:rFonts w:cstheme="minorHAnsi"/>
          <w:color w:val="000000" w:themeColor="text1"/>
          <w:sz w:val="24"/>
          <w:szCs w:val="24"/>
        </w:rPr>
        <w:t xml:space="preserve">ing </w:t>
      </w:r>
      <w:r w:rsidR="00B53108" w:rsidRPr="00E10C92">
        <w:rPr>
          <w:rFonts w:cstheme="minorHAnsi"/>
          <w:color w:val="000000" w:themeColor="text1"/>
          <w:sz w:val="24"/>
          <w:szCs w:val="24"/>
        </w:rPr>
        <w:t xml:space="preserve">evidence </w:t>
      </w:r>
      <w:r w:rsidR="0019551B" w:rsidRPr="00E10C92">
        <w:rPr>
          <w:rFonts w:cstheme="minorHAnsi"/>
          <w:color w:val="000000" w:themeColor="text1"/>
          <w:sz w:val="24"/>
          <w:szCs w:val="24"/>
        </w:rPr>
        <w:t xml:space="preserve">of a </w:t>
      </w:r>
      <w:r w:rsidR="00B53108" w:rsidRPr="00E10C92">
        <w:rPr>
          <w:rFonts w:cstheme="minorHAnsi"/>
          <w:color w:val="000000" w:themeColor="text1"/>
          <w:sz w:val="24"/>
          <w:szCs w:val="24"/>
        </w:rPr>
        <w:t>reduction of 86% over 10 years</w:t>
      </w:r>
      <w:r w:rsidR="00077066" w:rsidRPr="00E10C92">
        <w:rPr>
          <w:rFonts w:cstheme="minorHAnsi"/>
          <w:color w:val="000000" w:themeColor="text1"/>
          <w:sz w:val="24"/>
          <w:szCs w:val="24"/>
        </w:rPr>
        <w:t xml:space="preserve"> </w:t>
      </w:r>
      <w:r w:rsidR="007347AD" w:rsidRPr="00E10C92">
        <w:rPr>
          <w:rFonts w:cstheme="minorHAnsi"/>
          <w:color w:val="000000" w:themeColor="text1"/>
          <w:sz w:val="24"/>
          <w:szCs w:val="24"/>
        </w:rPr>
        <w:t>(Brown and Charles, 2019).</w:t>
      </w:r>
      <w:r w:rsidR="00725E23" w:rsidRPr="00E10C92">
        <w:rPr>
          <w:rFonts w:cstheme="minorHAnsi"/>
          <w:color w:val="000000" w:themeColor="text1"/>
          <w:sz w:val="24"/>
          <w:szCs w:val="24"/>
        </w:rPr>
        <w:t xml:space="preserve"> </w:t>
      </w:r>
    </w:p>
    <w:p w14:paraId="13A7FE6B" w14:textId="0E8F63A2" w:rsidR="00F4425F" w:rsidRPr="00E10C92" w:rsidRDefault="003A11F2" w:rsidP="00E10C92">
      <w:pPr>
        <w:spacing w:line="480" w:lineRule="auto"/>
        <w:jc w:val="both"/>
        <w:rPr>
          <w:rFonts w:cstheme="minorHAnsi"/>
          <w:color w:val="000000" w:themeColor="text1"/>
          <w:sz w:val="24"/>
          <w:szCs w:val="24"/>
        </w:rPr>
      </w:pPr>
      <w:r w:rsidRPr="00E10C92">
        <w:rPr>
          <w:rFonts w:cstheme="minorHAnsi"/>
          <w:color w:val="000000" w:themeColor="text1"/>
          <w:sz w:val="24"/>
          <w:szCs w:val="24"/>
        </w:rPr>
        <w:lastRenderedPageBreak/>
        <w:t xml:space="preserve">The </w:t>
      </w:r>
      <w:r w:rsidR="00D640C2" w:rsidRPr="00E10C92">
        <w:rPr>
          <w:rFonts w:cstheme="minorHAnsi"/>
          <w:color w:val="000000" w:themeColor="text1"/>
          <w:sz w:val="24"/>
          <w:szCs w:val="24"/>
        </w:rPr>
        <w:t xml:space="preserve">article reveals </w:t>
      </w:r>
      <w:r w:rsidRPr="00E10C92">
        <w:rPr>
          <w:rFonts w:cstheme="minorHAnsi"/>
          <w:color w:val="000000" w:themeColor="text1"/>
          <w:sz w:val="24"/>
          <w:szCs w:val="24"/>
        </w:rPr>
        <w:t xml:space="preserve">that diversion is an effective tool for engaging with children, but it only takes place after the child has had contact with the criminal justice system. </w:t>
      </w:r>
      <w:r w:rsidR="008D678D" w:rsidRPr="00E10C92">
        <w:rPr>
          <w:rFonts w:cstheme="minorHAnsi"/>
          <w:color w:val="000000" w:themeColor="text1"/>
          <w:sz w:val="24"/>
          <w:szCs w:val="24"/>
        </w:rPr>
        <w:t xml:space="preserve">Williams (2020) </w:t>
      </w:r>
      <w:r w:rsidR="005131B7" w:rsidRPr="00E10C92">
        <w:rPr>
          <w:rFonts w:cstheme="minorHAnsi"/>
          <w:color w:val="000000" w:themeColor="text1"/>
          <w:sz w:val="24"/>
          <w:szCs w:val="24"/>
        </w:rPr>
        <w:t>argues against</w:t>
      </w:r>
      <w:r w:rsidRPr="00E10C92">
        <w:rPr>
          <w:rFonts w:cstheme="minorHAnsi"/>
          <w:color w:val="000000" w:themeColor="text1"/>
          <w:sz w:val="24"/>
          <w:szCs w:val="24"/>
        </w:rPr>
        <w:t xml:space="preserve"> this</w:t>
      </w:r>
      <w:r w:rsidR="004017AA" w:rsidRPr="00E10C92">
        <w:rPr>
          <w:rFonts w:cstheme="minorHAnsi"/>
          <w:color w:val="000000" w:themeColor="text1"/>
          <w:sz w:val="24"/>
          <w:szCs w:val="24"/>
        </w:rPr>
        <w:t xml:space="preserve"> view</w:t>
      </w:r>
      <w:r w:rsidRPr="00E10C92">
        <w:rPr>
          <w:rFonts w:cstheme="minorHAnsi"/>
          <w:color w:val="000000" w:themeColor="text1"/>
          <w:sz w:val="24"/>
          <w:szCs w:val="24"/>
        </w:rPr>
        <w:t xml:space="preserve"> and recognises </w:t>
      </w:r>
      <w:r w:rsidR="004017AA" w:rsidRPr="00E10C92">
        <w:rPr>
          <w:rFonts w:cstheme="minorHAnsi"/>
          <w:color w:val="000000" w:themeColor="text1"/>
          <w:sz w:val="24"/>
          <w:szCs w:val="24"/>
        </w:rPr>
        <w:t xml:space="preserve">that </w:t>
      </w:r>
      <w:r w:rsidRPr="00E10C92">
        <w:rPr>
          <w:rFonts w:cstheme="minorHAnsi"/>
          <w:color w:val="000000" w:themeColor="text1"/>
          <w:sz w:val="24"/>
          <w:szCs w:val="24"/>
        </w:rPr>
        <w:t>changes to legislation in Wales and the development of new schemes to engage with children before criminality has shown a progressive reduction to Youth Crime.</w:t>
      </w:r>
      <w:r w:rsidR="00670E77" w:rsidRPr="00E10C92">
        <w:rPr>
          <w:rFonts w:cstheme="minorHAnsi"/>
          <w:color w:val="000000" w:themeColor="text1"/>
          <w:sz w:val="24"/>
          <w:szCs w:val="24"/>
        </w:rPr>
        <w:t xml:space="preserve"> </w:t>
      </w:r>
    </w:p>
    <w:p w14:paraId="05EF1429" w14:textId="040C64CC" w:rsidR="004017AA" w:rsidRPr="00E10C92" w:rsidRDefault="00A8793E" w:rsidP="00E10C92">
      <w:pPr>
        <w:spacing w:line="480" w:lineRule="auto"/>
        <w:jc w:val="both"/>
        <w:rPr>
          <w:rFonts w:cstheme="minorHAnsi"/>
          <w:color w:val="000000" w:themeColor="text1"/>
          <w:sz w:val="24"/>
          <w:szCs w:val="24"/>
        </w:rPr>
      </w:pPr>
      <w:r w:rsidRPr="00E10C92">
        <w:rPr>
          <w:rFonts w:cstheme="minorHAnsi"/>
          <w:color w:val="000000" w:themeColor="text1"/>
          <w:sz w:val="24"/>
          <w:szCs w:val="24"/>
        </w:rPr>
        <w:t>In addition, another aspect</w:t>
      </w:r>
      <w:r w:rsidR="009F35D6" w:rsidRPr="00E10C92">
        <w:rPr>
          <w:rFonts w:cstheme="minorHAnsi"/>
          <w:color w:val="000000" w:themeColor="text1"/>
          <w:sz w:val="24"/>
          <w:szCs w:val="24"/>
        </w:rPr>
        <w:t xml:space="preserve"> </w:t>
      </w:r>
      <w:r w:rsidRPr="00E10C92">
        <w:rPr>
          <w:rFonts w:cstheme="minorHAnsi"/>
          <w:color w:val="000000" w:themeColor="text1"/>
          <w:sz w:val="24"/>
          <w:szCs w:val="24"/>
        </w:rPr>
        <w:t>explored within the article is</w:t>
      </w:r>
      <w:r w:rsidR="00670E77" w:rsidRPr="00E10C92">
        <w:rPr>
          <w:rFonts w:cstheme="minorHAnsi"/>
          <w:color w:val="000000" w:themeColor="text1"/>
          <w:sz w:val="24"/>
          <w:szCs w:val="24"/>
        </w:rPr>
        <w:t xml:space="preserve"> the connection between age and capacity in youth justice and sources research provided by neuroscientists that state 12-year-olds show more maturity in their development</w:t>
      </w:r>
      <w:r w:rsidR="00F4425F" w:rsidRPr="00E10C92">
        <w:rPr>
          <w:rFonts w:cstheme="minorHAnsi"/>
          <w:color w:val="000000" w:themeColor="text1"/>
          <w:sz w:val="24"/>
          <w:szCs w:val="24"/>
        </w:rPr>
        <w:t xml:space="preserve"> compared to 10-year-olds</w:t>
      </w:r>
      <w:r w:rsidR="00670E77" w:rsidRPr="00E10C92">
        <w:rPr>
          <w:rFonts w:cstheme="minorHAnsi"/>
          <w:color w:val="000000" w:themeColor="text1"/>
          <w:sz w:val="24"/>
          <w:szCs w:val="24"/>
        </w:rPr>
        <w:t xml:space="preserve">. </w:t>
      </w:r>
      <w:r w:rsidR="00B368AB" w:rsidRPr="00E10C92">
        <w:rPr>
          <w:rFonts w:cstheme="minorHAnsi"/>
          <w:color w:val="000000" w:themeColor="text1"/>
          <w:sz w:val="24"/>
          <w:szCs w:val="24"/>
        </w:rPr>
        <w:t xml:space="preserve">This view is </w:t>
      </w:r>
      <w:r w:rsidR="00B368AB" w:rsidRPr="00E10C92">
        <w:rPr>
          <w:rFonts w:cstheme="minorHAnsi"/>
          <w:sz w:val="24"/>
          <w:szCs w:val="24"/>
        </w:rPr>
        <w:t xml:space="preserve">supported by the Scottish </w:t>
      </w:r>
      <w:r w:rsidR="009F35D6" w:rsidRPr="00E10C92">
        <w:rPr>
          <w:rFonts w:cstheme="minorHAnsi"/>
          <w:sz w:val="24"/>
          <w:szCs w:val="24"/>
        </w:rPr>
        <w:t>G</w:t>
      </w:r>
      <w:r w:rsidR="00B368AB" w:rsidRPr="00E10C92">
        <w:rPr>
          <w:rFonts w:cstheme="minorHAnsi"/>
          <w:sz w:val="24"/>
          <w:szCs w:val="24"/>
        </w:rPr>
        <w:t xml:space="preserve">overnment </w:t>
      </w:r>
      <w:r w:rsidR="004B1F19" w:rsidRPr="00E10C92">
        <w:rPr>
          <w:rFonts w:cstheme="minorHAnsi"/>
          <w:sz w:val="24"/>
          <w:szCs w:val="24"/>
        </w:rPr>
        <w:t xml:space="preserve">(date) </w:t>
      </w:r>
      <w:r w:rsidR="00B368AB" w:rsidRPr="00E10C92">
        <w:rPr>
          <w:rFonts w:cstheme="minorHAnsi"/>
          <w:sz w:val="24"/>
          <w:szCs w:val="24"/>
        </w:rPr>
        <w:t xml:space="preserve">who have increased their MACR to 12 years </w:t>
      </w:r>
      <w:r w:rsidR="00C04878" w:rsidRPr="00E10C92">
        <w:rPr>
          <w:rFonts w:cstheme="minorHAnsi"/>
          <w:sz w:val="24"/>
          <w:szCs w:val="24"/>
        </w:rPr>
        <w:t>(</w:t>
      </w:r>
      <w:r w:rsidR="00D2792A" w:rsidRPr="00E10C92">
        <w:rPr>
          <w:rFonts w:cstheme="minorHAnsi"/>
          <w:sz w:val="24"/>
          <w:szCs w:val="24"/>
        </w:rPr>
        <w:t>Scottish Children’s Reporte</w:t>
      </w:r>
      <w:r w:rsidR="000837CE" w:rsidRPr="00E10C92">
        <w:rPr>
          <w:rFonts w:cstheme="minorHAnsi"/>
          <w:sz w:val="24"/>
          <w:szCs w:val="24"/>
        </w:rPr>
        <w:t>r</w:t>
      </w:r>
      <w:r w:rsidR="00D2792A" w:rsidRPr="00E10C92">
        <w:rPr>
          <w:rFonts w:cstheme="minorHAnsi"/>
          <w:sz w:val="24"/>
          <w:szCs w:val="24"/>
        </w:rPr>
        <w:t xml:space="preserve"> Administration,</w:t>
      </w:r>
      <w:r w:rsidR="00C04878" w:rsidRPr="00E10C92">
        <w:rPr>
          <w:rFonts w:cstheme="minorHAnsi"/>
          <w:sz w:val="24"/>
          <w:szCs w:val="24"/>
        </w:rPr>
        <w:t xml:space="preserve"> </w:t>
      </w:r>
      <w:r w:rsidR="00D2792A" w:rsidRPr="00E10C92">
        <w:rPr>
          <w:rFonts w:cstheme="minorHAnsi"/>
          <w:sz w:val="24"/>
          <w:szCs w:val="24"/>
        </w:rPr>
        <w:t xml:space="preserve">2021) </w:t>
      </w:r>
      <w:r w:rsidR="004017AA" w:rsidRPr="00E10C92">
        <w:rPr>
          <w:rFonts w:cstheme="minorHAnsi"/>
          <w:color w:val="000000" w:themeColor="text1"/>
          <w:sz w:val="24"/>
          <w:szCs w:val="24"/>
        </w:rPr>
        <w:t xml:space="preserve">However, this view is refuted by </w:t>
      </w:r>
      <w:r w:rsidR="009F35D6" w:rsidRPr="00E10C92">
        <w:rPr>
          <w:rFonts w:cstheme="minorHAnsi"/>
          <w:color w:val="000000" w:themeColor="text1"/>
          <w:sz w:val="24"/>
          <w:szCs w:val="24"/>
        </w:rPr>
        <w:t xml:space="preserve">the </w:t>
      </w:r>
      <w:r w:rsidR="007D7EE9" w:rsidRPr="00E10C92">
        <w:rPr>
          <w:rFonts w:cstheme="minorHAnsi"/>
          <w:color w:val="000000" w:themeColor="text1"/>
          <w:sz w:val="24"/>
          <w:szCs w:val="24"/>
        </w:rPr>
        <w:t>British G</w:t>
      </w:r>
      <w:r w:rsidR="00F4425F" w:rsidRPr="00E10C92">
        <w:rPr>
          <w:rFonts w:cstheme="minorHAnsi"/>
          <w:color w:val="000000" w:themeColor="text1"/>
          <w:sz w:val="24"/>
          <w:szCs w:val="24"/>
        </w:rPr>
        <w:t>overnment who state that there is no evidence to suggest 10-year-olds are immature and by criminalising them adversely effects their prospects and</w:t>
      </w:r>
      <w:r w:rsidR="00282A85" w:rsidRPr="00E10C92">
        <w:rPr>
          <w:rFonts w:cstheme="minorHAnsi"/>
          <w:color w:val="000000" w:themeColor="text1"/>
          <w:sz w:val="24"/>
          <w:szCs w:val="24"/>
        </w:rPr>
        <w:t xml:space="preserve"> </w:t>
      </w:r>
      <w:r w:rsidR="0002384E" w:rsidRPr="00E10C92">
        <w:rPr>
          <w:rFonts w:cstheme="minorHAnsi"/>
          <w:color w:val="000000" w:themeColor="text1"/>
          <w:sz w:val="24"/>
          <w:szCs w:val="24"/>
        </w:rPr>
        <w:t>likelihood</w:t>
      </w:r>
      <w:r w:rsidR="00F4425F" w:rsidRPr="00E10C92">
        <w:rPr>
          <w:rFonts w:cstheme="minorHAnsi"/>
          <w:color w:val="000000" w:themeColor="text1"/>
          <w:sz w:val="24"/>
          <w:szCs w:val="24"/>
        </w:rPr>
        <w:t xml:space="preserve"> to reoffend (Houses of Parliament</w:t>
      </w:r>
      <w:r w:rsidR="00235D39" w:rsidRPr="00E10C92">
        <w:rPr>
          <w:rFonts w:cstheme="minorHAnsi"/>
          <w:color w:val="000000" w:themeColor="text1"/>
          <w:sz w:val="24"/>
          <w:szCs w:val="24"/>
        </w:rPr>
        <w:t>,</w:t>
      </w:r>
      <w:r w:rsidR="00F4425F" w:rsidRPr="00E10C92">
        <w:rPr>
          <w:rFonts w:cstheme="minorHAnsi"/>
          <w:color w:val="000000" w:themeColor="text1"/>
          <w:sz w:val="24"/>
          <w:szCs w:val="24"/>
        </w:rPr>
        <w:t xml:space="preserve"> 2018) </w:t>
      </w:r>
    </w:p>
    <w:p w14:paraId="0C0989D0" w14:textId="14166700" w:rsidR="00B42B4B" w:rsidRPr="00E10C92" w:rsidRDefault="00B52419" w:rsidP="00E10C92">
      <w:pPr>
        <w:spacing w:line="480" w:lineRule="auto"/>
        <w:jc w:val="both"/>
        <w:rPr>
          <w:rFonts w:cstheme="minorHAnsi"/>
          <w:color w:val="000000" w:themeColor="text1"/>
          <w:sz w:val="24"/>
          <w:szCs w:val="24"/>
        </w:rPr>
      </w:pPr>
      <w:r w:rsidRPr="00E10C92">
        <w:rPr>
          <w:rFonts w:cstheme="minorHAnsi"/>
          <w:color w:val="000000" w:themeColor="text1"/>
          <w:sz w:val="24"/>
          <w:szCs w:val="24"/>
        </w:rPr>
        <w:t>The a</w:t>
      </w:r>
      <w:r w:rsidR="00B42B4B" w:rsidRPr="00E10C92">
        <w:rPr>
          <w:rFonts w:cstheme="minorHAnsi"/>
          <w:color w:val="000000" w:themeColor="text1"/>
          <w:sz w:val="24"/>
          <w:szCs w:val="24"/>
        </w:rPr>
        <w:t>uthor</w:t>
      </w:r>
      <w:r w:rsidR="007A75CB" w:rsidRPr="00E10C92">
        <w:rPr>
          <w:rFonts w:cstheme="minorHAnsi"/>
          <w:color w:val="000000" w:themeColor="text1"/>
          <w:sz w:val="24"/>
          <w:szCs w:val="24"/>
        </w:rPr>
        <w:t>s</w:t>
      </w:r>
      <w:r w:rsidRPr="00E10C92">
        <w:rPr>
          <w:rFonts w:cstheme="minorHAnsi"/>
          <w:color w:val="000000" w:themeColor="text1"/>
          <w:sz w:val="24"/>
          <w:szCs w:val="24"/>
        </w:rPr>
        <w:t xml:space="preserve"> question whether </w:t>
      </w:r>
      <w:r w:rsidR="00FE07FC" w:rsidRPr="00E10C92">
        <w:rPr>
          <w:rFonts w:cstheme="minorHAnsi"/>
          <w:color w:val="000000" w:themeColor="text1"/>
          <w:sz w:val="24"/>
          <w:szCs w:val="24"/>
        </w:rPr>
        <w:t>MACR</w:t>
      </w:r>
      <w:r w:rsidRPr="00E10C92">
        <w:rPr>
          <w:rFonts w:cstheme="minorHAnsi"/>
          <w:color w:val="000000" w:themeColor="text1"/>
          <w:sz w:val="24"/>
          <w:szCs w:val="24"/>
        </w:rPr>
        <w:t xml:space="preserve"> </w:t>
      </w:r>
      <w:r w:rsidR="00911950" w:rsidRPr="00E10C92">
        <w:rPr>
          <w:rFonts w:cstheme="minorHAnsi"/>
          <w:color w:val="000000" w:themeColor="text1"/>
          <w:sz w:val="24"/>
          <w:szCs w:val="24"/>
        </w:rPr>
        <w:t xml:space="preserve">in </w:t>
      </w:r>
      <w:r w:rsidRPr="00E10C92">
        <w:rPr>
          <w:rFonts w:cstheme="minorHAnsi"/>
          <w:color w:val="000000" w:themeColor="text1"/>
          <w:sz w:val="24"/>
          <w:szCs w:val="24"/>
        </w:rPr>
        <w:t>other countries is relevant to the UK but concludes that the UK is isolating themselves especially as they represent a country who promotes Human Rights</w:t>
      </w:r>
      <w:r w:rsidR="00FE07FC" w:rsidRPr="00E10C92">
        <w:rPr>
          <w:rFonts w:cstheme="minorHAnsi"/>
          <w:color w:val="000000" w:themeColor="text1"/>
          <w:sz w:val="24"/>
          <w:szCs w:val="24"/>
        </w:rPr>
        <w:t xml:space="preserve">. </w:t>
      </w:r>
      <w:r w:rsidR="00670E77" w:rsidRPr="00E10C92">
        <w:rPr>
          <w:rFonts w:cstheme="minorHAnsi"/>
          <w:color w:val="000000" w:themeColor="text1"/>
          <w:sz w:val="24"/>
          <w:szCs w:val="24"/>
        </w:rPr>
        <w:t xml:space="preserve">The </w:t>
      </w:r>
      <w:r w:rsidRPr="00E10C92">
        <w:rPr>
          <w:rFonts w:cstheme="minorHAnsi"/>
          <w:color w:val="000000" w:themeColor="text1"/>
          <w:sz w:val="24"/>
          <w:szCs w:val="24"/>
        </w:rPr>
        <w:t>author</w:t>
      </w:r>
      <w:r w:rsidR="00670E77" w:rsidRPr="00E10C92">
        <w:rPr>
          <w:rFonts w:cstheme="minorHAnsi"/>
          <w:color w:val="000000" w:themeColor="text1"/>
          <w:sz w:val="24"/>
          <w:szCs w:val="24"/>
        </w:rPr>
        <w:t xml:space="preserve"> argues that it is the responsibility of Parliament to raise MACR and bring it in line with </w:t>
      </w:r>
      <w:r w:rsidR="00631D6A" w:rsidRPr="00E10C92">
        <w:rPr>
          <w:rFonts w:cstheme="minorHAnsi"/>
          <w:color w:val="000000" w:themeColor="text1"/>
          <w:sz w:val="24"/>
          <w:szCs w:val="24"/>
        </w:rPr>
        <w:t xml:space="preserve">article 12 of the legislation which focuses on children having human rights. However, </w:t>
      </w:r>
      <w:r w:rsidR="00B42B4B" w:rsidRPr="00E10C92">
        <w:rPr>
          <w:rFonts w:cstheme="minorHAnsi"/>
          <w:color w:val="000000" w:themeColor="text1"/>
          <w:sz w:val="24"/>
          <w:szCs w:val="24"/>
        </w:rPr>
        <w:t xml:space="preserve">it could be said that </w:t>
      </w:r>
      <w:r w:rsidR="00631D6A" w:rsidRPr="00E10C92">
        <w:rPr>
          <w:rFonts w:cstheme="minorHAnsi"/>
          <w:color w:val="000000" w:themeColor="text1"/>
          <w:sz w:val="24"/>
          <w:szCs w:val="24"/>
        </w:rPr>
        <w:t xml:space="preserve">following the removal from the European Union, Human Rights legislation is currently being </w:t>
      </w:r>
      <w:r w:rsidR="0096669A" w:rsidRPr="00E10C92">
        <w:rPr>
          <w:rFonts w:cstheme="minorHAnsi"/>
          <w:color w:val="000000" w:themeColor="text1"/>
          <w:sz w:val="24"/>
          <w:szCs w:val="24"/>
        </w:rPr>
        <w:t xml:space="preserve">amended </w:t>
      </w:r>
      <w:r w:rsidR="00631D6A" w:rsidRPr="00E10C92">
        <w:rPr>
          <w:rFonts w:cstheme="minorHAnsi"/>
          <w:color w:val="000000" w:themeColor="text1"/>
          <w:sz w:val="24"/>
          <w:szCs w:val="24"/>
        </w:rPr>
        <w:t>by UK government</w:t>
      </w:r>
      <w:r w:rsidR="00FE07FC" w:rsidRPr="00E10C92">
        <w:rPr>
          <w:rFonts w:cstheme="minorHAnsi"/>
          <w:color w:val="000000" w:themeColor="text1"/>
          <w:sz w:val="24"/>
          <w:szCs w:val="24"/>
        </w:rPr>
        <w:t xml:space="preserve"> which may prove more difficult for international bodies to dictate and enforce their views</w:t>
      </w:r>
      <w:r w:rsidR="0096669A" w:rsidRPr="00E10C92">
        <w:rPr>
          <w:rFonts w:cstheme="minorHAnsi"/>
          <w:color w:val="000000" w:themeColor="text1"/>
          <w:sz w:val="24"/>
          <w:szCs w:val="24"/>
        </w:rPr>
        <w:t xml:space="preserve"> (</w:t>
      </w:r>
      <w:r w:rsidR="00B42B4B" w:rsidRPr="00E10C92">
        <w:rPr>
          <w:rFonts w:cstheme="minorHAnsi"/>
          <w:color w:val="000000" w:themeColor="text1"/>
          <w:sz w:val="24"/>
          <w:szCs w:val="24"/>
        </w:rPr>
        <w:t>The Human Rights Act, 1998)</w:t>
      </w:r>
      <w:r w:rsidR="0096669A" w:rsidRPr="00E10C92">
        <w:rPr>
          <w:rFonts w:cstheme="minorHAnsi"/>
          <w:color w:val="000000" w:themeColor="text1"/>
          <w:sz w:val="24"/>
          <w:szCs w:val="24"/>
        </w:rPr>
        <w:t xml:space="preserve"> </w:t>
      </w:r>
      <w:r w:rsidR="00FE07FC" w:rsidRPr="00E10C92">
        <w:rPr>
          <w:rFonts w:cstheme="minorHAnsi"/>
          <w:color w:val="000000" w:themeColor="text1"/>
          <w:sz w:val="24"/>
          <w:szCs w:val="24"/>
        </w:rPr>
        <w:t xml:space="preserve"> </w:t>
      </w:r>
    </w:p>
    <w:p w14:paraId="06BC257C" w14:textId="3D9D5F73" w:rsidR="001A4D64" w:rsidRPr="00E10C92" w:rsidRDefault="00B42B4B" w:rsidP="00E10C92">
      <w:pPr>
        <w:spacing w:line="480" w:lineRule="auto"/>
        <w:jc w:val="both"/>
        <w:rPr>
          <w:rFonts w:cstheme="minorHAnsi"/>
          <w:sz w:val="24"/>
          <w:szCs w:val="24"/>
        </w:rPr>
      </w:pPr>
      <w:r w:rsidRPr="00E10C92">
        <w:rPr>
          <w:rFonts w:cstheme="minorHAnsi"/>
          <w:color w:val="000000" w:themeColor="text1"/>
          <w:sz w:val="24"/>
          <w:szCs w:val="24"/>
        </w:rPr>
        <w:t>Furthermore, the</w:t>
      </w:r>
      <w:r w:rsidR="0003715F" w:rsidRPr="00E10C92">
        <w:rPr>
          <w:rFonts w:cstheme="minorHAnsi"/>
          <w:color w:val="000000" w:themeColor="text1"/>
          <w:sz w:val="24"/>
          <w:szCs w:val="24"/>
        </w:rPr>
        <w:t xml:space="preserve"> </w:t>
      </w:r>
      <w:r w:rsidR="00F8186A" w:rsidRPr="00E10C92">
        <w:rPr>
          <w:rFonts w:cstheme="minorHAnsi"/>
          <w:color w:val="000000" w:themeColor="text1"/>
          <w:sz w:val="24"/>
          <w:szCs w:val="24"/>
        </w:rPr>
        <w:t>a</w:t>
      </w:r>
      <w:r w:rsidR="00FE07FC" w:rsidRPr="00E10C92">
        <w:rPr>
          <w:rFonts w:cstheme="minorHAnsi"/>
          <w:color w:val="000000" w:themeColor="text1"/>
          <w:sz w:val="24"/>
          <w:szCs w:val="24"/>
        </w:rPr>
        <w:t xml:space="preserve">rticle </w:t>
      </w:r>
      <w:r w:rsidR="00F8186A" w:rsidRPr="00E10C92">
        <w:rPr>
          <w:rFonts w:cstheme="minorHAnsi"/>
          <w:color w:val="000000" w:themeColor="text1"/>
          <w:sz w:val="24"/>
          <w:szCs w:val="24"/>
        </w:rPr>
        <w:t>focuses on</w:t>
      </w:r>
      <w:r w:rsidR="00CB44AD" w:rsidRPr="00E10C92">
        <w:rPr>
          <w:rFonts w:cstheme="minorHAnsi"/>
          <w:color w:val="000000" w:themeColor="text1"/>
          <w:sz w:val="24"/>
          <w:szCs w:val="24"/>
        </w:rPr>
        <w:t xml:space="preserve"> the differing views of the devolved administrations in the </w:t>
      </w:r>
      <w:r w:rsidR="005E4F5F" w:rsidRPr="00E10C92">
        <w:rPr>
          <w:rFonts w:cstheme="minorHAnsi"/>
          <w:color w:val="000000" w:themeColor="text1"/>
          <w:sz w:val="24"/>
          <w:szCs w:val="24"/>
        </w:rPr>
        <w:t>United Kingdom</w:t>
      </w:r>
      <w:r w:rsidR="00CB44AD" w:rsidRPr="00E10C92">
        <w:rPr>
          <w:rFonts w:cstheme="minorHAnsi"/>
          <w:color w:val="000000" w:themeColor="text1"/>
          <w:sz w:val="24"/>
          <w:szCs w:val="24"/>
        </w:rPr>
        <w:t xml:space="preserve"> and argues that this alone is a reason to reform the current MACR legislation.</w:t>
      </w:r>
      <w:r w:rsidR="000A43ED" w:rsidRPr="00E10C92">
        <w:rPr>
          <w:rFonts w:cstheme="minorHAnsi"/>
          <w:color w:val="000000" w:themeColor="text1"/>
          <w:sz w:val="24"/>
          <w:szCs w:val="24"/>
        </w:rPr>
        <w:t xml:space="preserve"> </w:t>
      </w:r>
      <w:r w:rsidRPr="00E10C92">
        <w:rPr>
          <w:rFonts w:cstheme="minorHAnsi"/>
          <w:color w:val="000000" w:themeColor="text1"/>
          <w:sz w:val="24"/>
          <w:szCs w:val="24"/>
        </w:rPr>
        <w:t>As stated by Brown and Charles</w:t>
      </w:r>
      <w:r w:rsidR="00642BBA" w:rsidRPr="00E10C92">
        <w:rPr>
          <w:rFonts w:cstheme="minorHAnsi"/>
          <w:color w:val="000000" w:themeColor="text1"/>
          <w:sz w:val="24"/>
          <w:szCs w:val="24"/>
        </w:rPr>
        <w:t xml:space="preserve"> (2019)</w:t>
      </w:r>
      <w:r w:rsidRPr="00E10C92">
        <w:rPr>
          <w:rFonts w:cstheme="minorHAnsi"/>
          <w:color w:val="000000" w:themeColor="text1"/>
          <w:sz w:val="24"/>
          <w:szCs w:val="24"/>
        </w:rPr>
        <w:t xml:space="preserve"> </w:t>
      </w:r>
      <w:r w:rsidR="000A43ED" w:rsidRPr="00E10C92">
        <w:rPr>
          <w:rFonts w:cstheme="minorHAnsi"/>
          <w:color w:val="000000" w:themeColor="text1"/>
          <w:sz w:val="24"/>
          <w:szCs w:val="24"/>
        </w:rPr>
        <w:t xml:space="preserve">Scotland </w:t>
      </w:r>
      <w:r w:rsidRPr="00E10C92">
        <w:rPr>
          <w:rFonts w:cstheme="minorHAnsi"/>
          <w:color w:val="000000" w:themeColor="text1"/>
          <w:sz w:val="24"/>
          <w:szCs w:val="24"/>
        </w:rPr>
        <w:t xml:space="preserve">who </w:t>
      </w:r>
      <w:r w:rsidR="000A43ED" w:rsidRPr="00E10C92">
        <w:rPr>
          <w:rFonts w:cstheme="minorHAnsi"/>
          <w:color w:val="000000" w:themeColor="text1"/>
          <w:sz w:val="24"/>
          <w:szCs w:val="24"/>
        </w:rPr>
        <w:t>ha</w:t>
      </w:r>
      <w:r w:rsidRPr="00E10C92">
        <w:rPr>
          <w:rFonts w:cstheme="minorHAnsi"/>
          <w:color w:val="000000" w:themeColor="text1"/>
          <w:sz w:val="24"/>
          <w:szCs w:val="24"/>
        </w:rPr>
        <w:t>ve</w:t>
      </w:r>
      <w:r w:rsidR="000A43ED" w:rsidRPr="00E10C92">
        <w:rPr>
          <w:rFonts w:cstheme="minorHAnsi"/>
          <w:color w:val="000000" w:themeColor="text1"/>
          <w:sz w:val="24"/>
          <w:szCs w:val="24"/>
        </w:rPr>
        <w:t xml:space="preserve"> full devolved powers </w:t>
      </w:r>
      <w:r w:rsidRPr="00E10C92">
        <w:rPr>
          <w:rFonts w:cstheme="minorHAnsi"/>
          <w:color w:val="000000" w:themeColor="text1"/>
          <w:sz w:val="24"/>
          <w:szCs w:val="24"/>
        </w:rPr>
        <w:t>have</w:t>
      </w:r>
      <w:r w:rsidR="000A43ED" w:rsidRPr="00E10C92">
        <w:rPr>
          <w:rFonts w:cstheme="minorHAnsi"/>
          <w:color w:val="000000" w:themeColor="text1"/>
          <w:sz w:val="24"/>
          <w:szCs w:val="24"/>
        </w:rPr>
        <w:t xml:space="preserve"> </w:t>
      </w:r>
      <w:r w:rsidR="000A43ED" w:rsidRPr="00E10C92">
        <w:rPr>
          <w:rFonts w:cstheme="minorHAnsi"/>
          <w:color w:val="000000" w:themeColor="text1"/>
          <w:sz w:val="24"/>
          <w:szCs w:val="24"/>
        </w:rPr>
        <w:lastRenderedPageBreak/>
        <w:t>amended their MACR legislation in 2019.</w:t>
      </w:r>
      <w:r w:rsidR="005E3CCC" w:rsidRPr="00E10C92">
        <w:rPr>
          <w:rFonts w:cstheme="minorHAnsi"/>
          <w:color w:val="000000" w:themeColor="text1"/>
          <w:sz w:val="24"/>
          <w:szCs w:val="24"/>
        </w:rPr>
        <w:t xml:space="preserve"> </w:t>
      </w:r>
      <w:r w:rsidR="000A43ED" w:rsidRPr="00E10C92">
        <w:rPr>
          <w:rFonts w:cstheme="minorHAnsi"/>
          <w:color w:val="000000" w:themeColor="text1"/>
          <w:sz w:val="24"/>
          <w:szCs w:val="24"/>
        </w:rPr>
        <w:t xml:space="preserve">Wales has partial devolved justice powers and does not have the capacity to change </w:t>
      </w:r>
      <w:r w:rsidR="0022483E" w:rsidRPr="00E10C92">
        <w:rPr>
          <w:rFonts w:cstheme="minorHAnsi"/>
          <w:color w:val="000000" w:themeColor="text1"/>
          <w:sz w:val="24"/>
          <w:szCs w:val="24"/>
        </w:rPr>
        <w:t>legislation,</w:t>
      </w:r>
      <w:r w:rsidR="000A43ED" w:rsidRPr="00E10C92">
        <w:rPr>
          <w:rFonts w:cstheme="minorHAnsi"/>
          <w:color w:val="000000" w:themeColor="text1"/>
          <w:sz w:val="24"/>
          <w:szCs w:val="24"/>
        </w:rPr>
        <w:t xml:space="preserve"> which is written by Westminster</w:t>
      </w:r>
      <w:r w:rsidR="0064525A" w:rsidRPr="00E10C92">
        <w:rPr>
          <w:rFonts w:cstheme="minorHAnsi"/>
          <w:color w:val="000000" w:themeColor="text1"/>
          <w:sz w:val="24"/>
          <w:szCs w:val="24"/>
        </w:rPr>
        <w:t xml:space="preserve"> </w:t>
      </w:r>
      <w:r w:rsidR="00E407A0" w:rsidRPr="00E10C92">
        <w:rPr>
          <w:rFonts w:cstheme="minorHAnsi"/>
          <w:color w:val="000000" w:themeColor="text1"/>
          <w:sz w:val="24"/>
          <w:szCs w:val="24"/>
        </w:rPr>
        <w:t xml:space="preserve">(Institute for Government, 2021) </w:t>
      </w:r>
      <w:r w:rsidR="00454449" w:rsidRPr="00E10C92">
        <w:rPr>
          <w:rFonts w:cstheme="minorHAnsi"/>
          <w:color w:val="000000" w:themeColor="text1"/>
          <w:sz w:val="24"/>
          <w:szCs w:val="24"/>
        </w:rPr>
        <w:t xml:space="preserve">It </w:t>
      </w:r>
      <w:r w:rsidR="00454449" w:rsidRPr="00E10C92">
        <w:rPr>
          <w:rFonts w:cstheme="minorHAnsi"/>
          <w:sz w:val="24"/>
          <w:szCs w:val="24"/>
        </w:rPr>
        <w:t xml:space="preserve">is important to note that </w:t>
      </w:r>
      <w:r w:rsidR="000A43ED" w:rsidRPr="00E10C92">
        <w:rPr>
          <w:rFonts w:cstheme="minorHAnsi"/>
          <w:sz w:val="24"/>
          <w:szCs w:val="24"/>
        </w:rPr>
        <w:t>Wales is reviewing the workings o</w:t>
      </w:r>
      <w:r w:rsidR="0022483E" w:rsidRPr="00E10C92">
        <w:rPr>
          <w:rFonts w:cstheme="minorHAnsi"/>
          <w:sz w:val="24"/>
          <w:szCs w:val="24"/>
        </w:rPr>
        <w:t>f</w:t>
      </w:r>
      <w:r w:rsidR="000A43ED" w:rsidRPr="00E10C92">
        <w:rPr>
          <w:rFonts w:cstheme="minorHAnsi"/>
          <w:sz w:val="24"/>
          <w:szCs w:val="24"/>
        </w:rPr>
        <w:t xml:space="preserve"> the</w:t>
      </w:r>
      <w:r w:rsidR="00911950" w:rsidRPr="00E10C92">
        <w:rPr>
          <w:rFonts w:cstheme="minorHAnsi"/>
          <w:sz w:val="24"/>
          <w:szCs w:val="24"/>
        </w:rPr>
        <w:t>ir C</w:t>
      </w:r>
      <w:r w:rsidR="000A43ED" w:rsidRPr="00E10C92">
        <w:rPr>
          <w:rFonts w:cstheme="minorHAnsi"/>
          <w:sz w:val="24"/>
          <w:szCs w:val="24"/>
        </w:rPr>
        <w:t>riminal Justice System</w:t>
      </w:r>
      <w:r w:rsidR="0022483E" w:rsidRPr="00E10C92">
        <w:rPr>
          <w:rFonts w:cstheme="minorHAnsi"/>
          <w:sz w:val="24"/>
          <w:szCs w:val="24"/>
        </w:rPr>
        <w:t xml:space="preserve"> and changes may be made to Youth Justice in the future </w:t>
      </w:r>
      <w:r w:rsidR="0080405D" w:rsidRPr="00E10C92">
        <w:rPr>
          <w:rFonts w:cstheme="minorHAnsi"/>
          <w:sz w:val="24"/>
          <w:szCs w:val="24"/>
        </w:rPr>
        <w:t>(</w:t>
      </w:r>
      <w:r w:rsidR="00564261" w:rsidRPr="00E10C92">
        <w:rPr>
          <w:rFonts w:cstheme="minorHAnsi"/>
          <w:sz w:val="24"/>
          <w:szCs w:val="24"/>
        </w:rPr>
        <w:t>Brown, (2020</w:t>
      </w:r>
      <w:r w:rsidR="0080405D" w:rsidRPr="00E10C92">
        <w:rPr>
          <w:rFonts w:cstheme="minorHAnsi"/>
          <w:sz w:val="24"/>
          <w:szCs w:val="24"/>
        </w:rPr>
        <w:t xml:space="preserve">) </w:t>
      </w:r>
      <w:r w:rsidR="00454449" w:rsidRPr="00E10C92">
        <w:rPr>
          <w:rFonts w:cstheme="minorHAnsi"/>
          <w:sz w:val="24"/>
          <w:szCs w:val="24"/>
        </w:rPr>
        <w:t xml:space="preserve"> I</w:t>
      </w:r>
      <w:r w:rsidR="007D679C" w:rsidRPr="00E10C92">
        <w:rPr>
          <w:rFonts w:cstheme="minorHAnsi"/>
          <w:sz w:val="24"/>
          <w:szCs w:val="24"/>
        </w:rPr>
        <w:t>t</w:t>
      </w:r>
      <w:r w:rsidR="00454449" w:rsidRPr="00E10C92">
        <w:rPr>
          <w:rFonts w:cstheme="minorHAnsi"/>
          <w:sz w:val="24"/>
          <w:szCs w:val="24"/>
        </w:rPr>
        <w:t xml:space="preserve"> could be said that </w:t>
      </w:r>
      <w:r w:rsidR="0022483E" w:rsidRPr="00E10C92">
        <w:rPr>
          <w:rFonts w:cstheme="minorHAnsi"/>
          <w:sz w:val="24"/>
          <w:szCs w:val="24"/>
        </w:rPr>
        <w:t xml:space="preserve">if this conclusion is reached in Wales, it provides </w:t>
      </w:r>
      <w:r w:rsidR="005E3CCC" w:rsidRPr="00E10C92">
        <w:rPr>
          <w:rFonts w:cstheme="minorHAnsi"/>
          <w:sz w:val="24"/>
          <w:szCs w:val="24"/>
        </w:rPr>
        <w:t xml:space="preserve">further argument </w:t>
      </w:r>
      <w:r w:rsidR="0022483E" w:rsidRPr="00E10C92">
        <w:rPr>
          <w:rFonts w:cstheme="minorHAnsi"/>
          <w:sz w:val="24"/>
          <w:szCs w:val="24"/>
        </w:rPr>
        <w:t xml:space="preserve">for MACR to be reviewed by </w:t>
      </w:r>
      <w:r w:rsidR="00911950" w:rsidRPr="00E10C92">
        <w:rPr>
          <w:rFonts w:cstheme="minorHAnsi"/>
          <w:sz w:val="24"/>
          <w:szCs w:val="24"/>
        </w:rPr>
        <w:t>UK Government.</w:t>
      </w:r>
      <w:r w:rsidR="0064525A" w:rsidRPr="00E10C92">
        <w:rPr>
          <w:rFonts w:cstheme="minorHAnsi"/>
          <w:sz w:val="24"/>
          <w:szCs w:val="24"/>
        </w:rPr>
        <w:t xml:space="preserve"> </w:t>
      </w:r>
    </w:p>
    <w:p w14:paraId="040F47EA" w14:textId="3F8B34BD" w:rsidR="001B2606" w:rsidRPr="00E10C92" w:rsidRDefault="00CA65B2" w:rsidP="00E10C92">
      <w:pPr>
        <w:spacing w:line="480" w:lineRule="auto"/>
        <w:jc w:val="both"/>
        <w:rPr>
          <w:rFonts w:cstheme="minorHAnsi"/>
          <w:sz w:val="24"/>
          <w:szCs w:val="24"/>
        </w:rPr>
      </w:pPr>
      <w:r w:rsidRPr="00E10C92">
        <w:rPr>
          <w:rFonts w:cstheme="minorHAnsi"/>
          <w:sz w:val="24"/>
          <w:szCs w:val="24"/>
        </w:rPr>
        <w:t>In summary</w:t>
      </w:r>
      <w:r w:rsidR="008928EA" w:rsidRPr="00E10C92">
        <w:rPr>
          <w:rFonts w:cstheme="minorHAnsi"/>
          <w:sz w:val="24"/>
          <w:szCs w:val="24"/>
        </w:rPr>
        <w:t>,</w:t>
      </w:r>
      <w:r w:rsidRPr="00E10C92">
        <w:rPr>
          <w:rFonts w:cstheme="minorHAnsi"/>
          <w:sz w:val="24"/>
          <w:szCs w:val="24"/>
        </w:rPr>
        <w:t xml:space="preserve"> t</w:t>
      </w:r>
      <w:r w:rsidR="00CF4596" w:rsidRPr="00E10C92">
        <w:rPr>
          <w:rFonts w:cstheme="minorHAnsi"/>
          <w:sz w:val="24"/>
          <w:szCs w:val="24"/>
        </w:rPr>
        <w:t xml:space="preserve">here are several themes that run throughout the article and the authors have explored </w:t>
      </w:r>
      <w:r w:rsidR="00464466" w:rsidRPr="00E10C92">
        <w:rPr>
          <w:rFonts w:cstheme="minorHAnsi"/>
          <w:sz w:val="24"/>
          <w:szCs w:val="24"/>
        </w:rPr>
        <w:t xml:space="preserve">the </w:t>
      </w:r>
      <w:r w:rsidR="00CF4596" w:rsidRPr="00E10C92">
        <w:rPr>
          <w:rFonts w:cstheme="minorHAnsi"/>
          <w:sz w:val="24"/>
          <w:szCs w:val="24"/>
        </w:rPr>
        <w:t xml:space="preserve">rationale </w:t>
      </w:r>
      <w:r w:rsidR="00631D6A" w:rsidRPr="00E10C92">
        <w:rPr>
          <w:rFonts w:cstheme="minorHAnsi"/>
          <w:sz w:val="24"/>
          <w:szCs w:val="24"/>
        </w:rPr>
        <w:t xml:space="preserve">for raising MACR in England and </w:t>
      </w:r>
      <w:r w:rsidR="00CF6824" w:rsidRPr="00E10C92">
        <w:rPr>
          <w:rFonts w:cstheme="minorHAnsi"/>
          <w:sz w:val="24"/>
          <w:szCs w:val="24"/>
        </w:rPr>
        <w:t>Wales,</w:t>
      </w:r>
      <w:r w:rsidR="00631D6A" w:rsidRPr="00E10C92">
        <w:rPr>
          <w:rFonts w:cstheme="minorHAnsi"/>
          <w:sz w:val="24"/>
          <w:szCs w:val="24"/>
        </w:rPr>
        <w:t xml:space="preserve"> but </w:t>
      </w:r>
      <w:r w:rsidR="00ED5E89" w:rsidRPr="00E10C92">
        <w:rPr>
          <w:rFonts w:cstheme="minorHAnsi"/>
          <w:sz w:val="24"/>
          <w:szCs w:val="24"/>
        </w:rPr>
        <w:t xml:space="preserve">it could be said </w:t>
      </w:r>
      <w:r w:rsidR="00CF4596" w:rsidRPr="00E10C92">
        <w:rPr>
          <w:rFonts w:cstheme="minorHAnsi"/>
          <w:sz w:val="24"/>
          <w:szCs w:val="24"/>
        </w:rPr>
        <w:t>they</w:t>
      </w:r>
      <w:r w:rsidR="00126224" w:rsidRPr="00E10C92">
        <w:rPr>
          <w:rFonts w:cstheme="minorHAnsi"/>
          <w:sz w:val="24"/>
          <w:szCs w:val="24"/>
        </w:rPr>
        <w:t xml:space="preserve"> show bias in their findings</w:t>
      </w:r>
      <w:r w:rsidR="00CF4596" w:rsidRPr="00E10C92">
        <w:rPr>
          <w:rFonts w:cstheme="minorHAnsi"/>
          <w:sz w:val="24"/>
          <w:szCs w:val="24"/>
        </w:rPr>
        <w:t xml:space="preserve"> </w:t>
      </w:r>
      <w:r w:rsidR="00126224" w:rsidRPr="00E10C92">
        <w:rPr>
          <w:rFonts w:cstheme="minorHAnsi"/>
          <w:sz w:val="24"/>
          <w:szCs w:val="24"/>
        </w:rPr>
        <w:t xml:space="preserve">and </w:t>
      </w:r>
      <w:r w:rsidR="00CF4596" w:rsidRPr="00E10C92">
        <w:rPr>
          <w:rFonts w:cstheme="minorHAnsi"/>
          <w:sz w:val="24"/>
          <w:szCs w:val="24"/>
        </w:rPr>
        <w:t xml:space="preserve">have </w:t>
      </w:r>
      <w:r w:rsidR="00631D6A" w:rsidRPr="00E10C92">
        <w:rPr>
          <w:rFonts w:cstheme="minorHAnsi"/>
          <w:sz w:val="24"/>
          <w:szCs w:val="24"/>
        </w:rPr>
        <w:t xml:space="preserve">not </w:t>
      </w:r>
      <w:r w:rsidR="00126224" w:rsidRPr="00E10C92">
        <w:rPr>
          <w:rFonts w:cstheme="minorHAnsi"/>
          <w:sz w:val="24"/>
          <w:szCs w:val="24"/>
        </w:rPr>
        <w:t xml:space="preserve">investigated </w:t>
      </w:r>
      <w:r w:rsidR="00631D6A" w:rsidRPr="00E10C92">
        <w:rPr>
          <w:rFonts w:cstheme="minorHAnsi"/>
          <w:sz w:val="24"/>
          <w:szCs w:val="24"/>
        </w:rPr>
        <w:t>reason</w:t>
      </w:r>
      <w:r w:rsidR="00126224" w:rsidRPr="00E10C92">
        <w:rPr>
          <w:rFonts w:cstheme="minorHAnsi"/>
          <w:sz w:val="24"/>
          <w:szCs w:val="24"/>
        </w:rPr>
        <w:t>s</w:t>
      </w:r>
      <w:r w:rsidR="00631D6A" w:rsidRPr="00E10C92">
        <w:rPr>
          <w:rFonts w:cstheme="minorHAnsi"/>
          <w:sz w:val="24"/>
          <w:szCs w:val="24"/>
        </w:rPr>
        <w:t xml:space="preserve"> why</w:t>
      </w:r>
      <w:r w:rsidR="00CF4596" w:rsidRPr="00E10C92">
        <w:rPr>
          <w:rFonts w:cstheme="minorHAnsi"/>
          <w:sz w:val="24"/>
          <w:szCs w:val="24"/>
        </w:rPr>
        <w:t xml:space="preserve"> MACR should</w:t>
      </w:r>
      <w:r w:rsidR="00CF6824" w:rsidRPr="00E10C92">
        <w:rPr>
          <w:rFonts w:cstheme="minorHAnsi"/>
          <w:sz w:val="24"/>
          <w:szCs w:val="24"/>
        </w:rPr>
        <w:t xml:space="preserve"> remain </w:t>
      </w:r>
      <w:r w:rsidR="00126224" w:rsidRPr="00E10C92">
        <w:rPr>
          <w:rFonts w:cstheme="minorHAnsi"/>
          <w:sz w:val="24"/>
          <w:szCs w:val="24"/>
        </w:rPr>
        <w:t xml:space="preserve">in its present form. </w:t>
      </w:r>
      <w:r w:rsidR="00464466" w:rsidRPr="00E10C92">
        <w:rPr>
          <w:rFonts w:cstheme="minorHAnsi"/>
          <w:sz w:val="24"/>
          <w:szCs w:val="24"/>
        </w:rPr>
        <w:t xml:space="preserve">The article </w:t>
      </w:r>
      <w:r w:rsidR="004927DF" w:rsidRPr="00E10C92">
        <w:rPr>
          <w:rFonts w:cstheme="minorHAnsi"/>
          <w:sz w:val="24"/>
          <w:szCs w:val="24"/>
        </w:rPr>
        <w:t>explores</w:t>
      </w:r>
      <w:r w:rsidR="00464466" w:rsidRPr="00E10C92">
        <w:rPr>
          <w:rFonts w:cstheme="minorHAnsi"/>
          <w:sz w:val="24"/>
          <w:szCs w:val="24"/>
        </w:rPr>
        <w:t xml:space="preserve"> that MACR is still a well debated issue </w:t>
      </w:r>
      <w:r w:rsidR="00CF4596" w:rsidRPr="00E10C92">
        <w:rPr>
          <w:rFonts w:cstheme="minorHAnsi"/>
          <w:sz w:val="24"/>
          <w:szCs w:val="24"/>
        </w:rPr>
        <w:t>amongst national and international organisations and governing bodies</w:t>
      </w:r>
      <w:r w:rsidR="004058C4" w:rsidRPr="00E10C92">
        <w:rPr>
          <w:rFonts w:cstheme="minorHAnsi"/>
          <w:sz w:val="24"/>
          <w:szCs w:val="24"/>
        </w:rPr>
        <w:t>,</w:t>
      </w:r>
      <w:r w:rsidR="00B511D1" w:rsidRPr="00E10C92">
        <w:rPr>
          <w:rFonts w:cstheme="minorHAnsi"/>
          <w:sz w:val="24"/>
          <w:szCs w:val="24"/>
        </w:rPr>
        <w:t xml:space="preserve"> and although the authors have considered alternative holistic approaches to youth justice and explored a child’s Human Rights, the authors have concluded that the UK political argument is the only feature that prevents any changes to UK legislation. </w:t>
      </w:r>
      <w:r w:rsidR="004927DF" w:rsidRPr="00E10C92">
        <w:rPr>
          <w:rFonts w:cstheme="minorHAnsi"/>
          <w:sz w:val="24"/>
          <w:szCs w:val="24"/>
        </w:rPr>
        <w:t>Brown and Charles</w:t>
      </w:r>
      <w:r w:rsidR="00B511D1" w:rsidRPr="00E10C92">
        <w:rPr>
          <w:rFonts w:cstheme="minorHAnsi"/>
          <w:sz w:val="24"/>
          <w:szCs w:val="24"/>
        </w:rPr>
        <w:t xml:space="preserve"> have presented an argument that the devolved </w:t>
      </w:r>
      <w:r w:rsidR="00815ECC" w:rsidRPr="00E10C92">
        <w:rPr>
          <w:rFonts w:cstheme="minorHAnsi"/>
          <w:sz w:val="24"/>
          <w:szCs w:val="24"/>
        </w:rPr>
        <w:t>power</w:t>
      </w:r>
      <w:r w:rsidR="00B511D1" w:rsidRPr="00E10C92">
        <w:rPr>
          <w:rFonts w:cstheme="minorHAnsi"/>
          <w:sz w:val="24"/>
          <w:szCs w:val="24"/>
        </w:rPr>
        <w:t xml:space="preserve"> of the UK is reason for the debate to be brough</w:t>
      </w:r>
      <w:r w:rsidR="00815ECC" w:rsidRPr="00E10C92">
        <w:rPr>
          <w:rFonts w:cstheme="minorHAnsi"/>
          <w:sz w:val="24"/>
          <w:szCs w:val="24"/>
        </w:rPr>
        <w:t>t</w:t>
      </w:r>
      <w:r w:rsidR="00B511D1" w:rsidRPr="00E10C92">
        <w:rPr>
          <w:rFonts w:cstheme="minorHAnsi"/>
          <w:sz w:val="24"/>
          <w:szCs w:val="24"/>
        </w:rPr>
        <w:t xml:space="preserve"> before Parliament again, however </w:t>
      </w:r>
      <w:r w:rsidR="00820F82" w:rsidRPr="00E10C92">
        <w:rPr>
          <w:rFonts w:cstheme="minorHAnsi"/>
          <w:sz w:val="24"/>
          <w:szCs w:val="24"/>
        </w:rPr>
        <w:t>the</w:t>
      </w:r>
      <w:r w:rsidR="00B511D1" w:rsidRPr="00E10C92">
        <w:rPr>
          <w:rFonts w:cstheme="minorHAnsi"/>
          <w:sz w:val="24"/>
          <w:szCs w:val="24"/>
        </w:rPr>
        <w:t xml:space="preserve"> </w:t>
      </w:r>
      <w:r w:rsidR="008D7915" w:rsidRPr="00E10C92">
        <w:rPr>
          <w:rFonts w:cstheme="minorHAnsi"/>
          <w:sz w:val="24"/>
          <w:szCs w:val="24"/>
        </w:rPr>
        <w:t xml:space="preserve">flaw in this </w:t>
      </w:r>
      <w:r w:rsidR="005973AC" w:rsidRPr="00E10C92">
        <w:rPr>
          <w:rFonts w:cstheme="minorHAnsi"/>
          <w:sz w:val="24"/>
          <w:szCs w:val="24"/>
        </w:rPr>
        <w:t>reasoning is</w:t>
      </w:r>
      <w:r w:rsidR="00820F82" w:rsidRPr="00E10C92">
        <w:rPr>
          <w:rFonts w:cstheme="minorHAnsi"/>
          <w:sz w:val="24"/>
          <w:szCs w:val="24"/>
        </w:rPr>
        <w:t xml:space="preserve"> it </w:t>
      </w:r>
      <w:r w:rsidR="00B511D1" w:rsidRPr="00E10C92">
        <w:rPr>
          <w:rFonts w:cstheme="minorHAnsi"/>
          <w:sz w:val="24"/>
          <w:szCs w:val="24"/>
        </w:rPr>
        <w:t>did not draw upon</w:t>
      </w:r>
      <w:r w:rsidR="00815ECC" w:rsidRPr="00E10C92">
        <w:rPr>
          <w:rFonts w:cstheme="minorHAnsi"/>
          <w:sz w:val="24"/>
          <w:szCs w:val="24"/>
        </w:rPr>
        <w:t xml:space="preserve"> the analysis and research presented to </w:t>
      </w:r>
      <w:r w:rsidR="00B511D1" w:rsidRPr="00E10C92">
        <w:rPr>
          <w:rFonts w:cstheme="minorHAnsi"/>
          <w:sz w:val="24"/>
          <w:szCs w:val="24"/>
        </w:rPr>
        <w:t>t</w:t>
      </w:r>
      <w:r w:rsidR="00D27002" w:rsidRPr="00E10C92">
        <w:rPr>
          <w:rFonts w:cstheme="minorHAnsi"/>
          <w:sz w:val="24"/>
          <w:szCs w:val="24"/>
        </w:rPr>
        <w:t>he UK Government</w:t>
      </w:r>
      <w:r w:rsidR="00815ECC" w:rsidRPr="00E10C92">
        <w:rPr>
          <w:rFonts w:cstheme="minorHAnsi"/>
          <w:sz w:val="24"/>
          <w:szCs w:val="24"/>
        </w:rPr>
        <w:t xml:space="preserve">, which upon </w:t>
      </w:r>
      <w:r w:rsidR="00D27002" w:rsidRPr="00E10C92">
        <w:rPr>
          <w:rFonts w:cstheme="minorHAnsi"/>
          <w:sz w:val="24"/>
          <w:szCs w:val="24"/>
        </w:rPr>
        <w:t>review</w:t>
      </w:r>
      <w:r w:rsidR="00815ECC" w:rsidRPr="00E10C92">
        <w:rPr>
          <w:rFonts w:cstheme="minorHAnsi"/>
          <w:sz w:val="24"/>
          <w:szCs w:val="24"/>
        </w:rPr>
        <w:t xml:space="preserve"> </w:t>
      </w:r>
      <w:r w:rsidR="00D27002" w:rsidRPr="00E10C92">
        <w:rPr>
          <w:rFonts w:cstheme="minorHAnsi"/>
          <w:sz w:val="24"/>
          <w:szCs w:val="24"/>
        </w:rPr>
        <w:t xml:space="preserve">recommended </w:t>
      </w:r>
      <w:r w:rsidR="00815ECC" w:rsidRPr="00E10C92">
        <w:rPr>
          <w:rFonts w:cstheme="minorHAnsi"/>
          <w:sz w:val="24"/>
          <w:szCs w:val="24"/>
        </w:rPr>
        <w:t>why the current M</w:t>
      </w:r>
      <w:r w:rsidR="00D27002" w:rsidRPr="00E10C92">
        <w:rPr>
          <w:rFonts w:cstheme="minorHAnsi"/>
          <w:sz w:val="24"/>
          <w:szCs w:val="24"/>
        </w:rPr>
        <w:t xml:space="preserve">ACR </w:t>
      </w:r>
      <w:r w:rsidR="00815ECC" w:rsidRPr="00E10C92">
        <w:rPr>
          <w:rFonts w:cstheme="minorHAnsi"/>
          <w:sz w:val="24"/>
          <w:szCs w:val="24"/>
        </w:rPr>
        <w:t>is suitable</w:t>
      </w:r>
      <w:r w:rsidR="00CF6824" w:rsidRPr="00E10C92">
        <w:rPr>
          <w:rFonts w:cstheme="minorHAnsi"/>
          <w:sz w:val="24"/>
          <w:szCs w:val="24"/>
        </w:rPr>
        <w:t xml:space="preserve">. Further research into why the government is resisting change may be required to present as an objective argument. </w:t>
      </w:r>
      <w:r w:rsidR="00E10C92" w:rsidRPr="00E10C92">
        <w:rPr>
          <w:rFonts w:cstheme="minorHAnsi"/>
          <w:b/>
          <w:bCs/>
          <w:sz w:val="24"/>
          <w:szCs w:val="24"/>
        </w:rPr>
        <w:t>(1087)</w:t>
      </w:r>
    </w:p>
    <w:p w14:paraId="298F3371" w14:textId="290E03F4" w:rsidR="00F21A7F" w:rsidRPr="00E10C92" w:rsidRDefault="00F21A7F" w:rsidP="00E10C92">
      <w:pPr>
        <w:jc w:val="both"/>
        <w:rPr>
          <w:rFonts w:cstheme="minorHAnsi"/>
          <w:sz w:val="24"/>
          <w:szCs w:val="24"/>
        </w:rPr>
      </w:pPr>
    </w:p>
    <w:p w14:paraId="19BA66A8" w14:textId="1F010BA8" w:rsidR="00A27BFF" w:rsidRPr="00E10C92" w:rsidRDefault="00A27BFF" w:rsidP="00E10C92">
      <w:pPr>
        <w:jc w:val="both"/>
        <w:rPr>
          <w:rFonts w:cstheme="minorHAnsi"/>
          <w:sz w:val="24"/>
          <w:szCs w:val="24"/>
        </w:rPr>
      </w:pPr>
    </w:p>
    <w:p w14:paraId="0628F098" w14:textId="6BA2B269" w:rsidR="00A27BFF" w:rsidRPr="00E10C92" w:rsidRDefault="00A27BFF" w:rsidP="00E10C92">
      <w:pPr>
        <w:jc w:val="both"/>
        <w:rPr>
          <w:rFonts w:cstheme="minorHAnsi"/>
          <w:sz w:val="24"/>
          <w:szCs w:val="24"/>
        </w:rPr>
      </w:pPr>
    </w:p>
    <w:p w14:paraId="5BA35304" w14:textId="23B49772" w:rsidR="00A27BFF" w:rsidRPr="00E10C92" w:rsidRDefault="00A27BFF" w:rsidP="00E10C92">
      <w:pPr>
        <w:jc w:val="both"/>
        <w:rPr>
          <w:rFonts w:cstheme="minorHAnsi"/>
          <w:sz w:val="24"/>
          <w:szCs w:val="24"/>
        </w:rPr>
      </w:pPr>
    </w:p>
    <w:p w14:paraId="6222C5D5" w14:textId="77777777" w:rsidR="00A27BFF" w:rsidRPr="00E10C92" w:rsidRDefault="00A27BFF" w:rsidP="00E10C92">
      <w:pPr>
        <w:jc w:val="both"/>
        <w:rPr>
          <w:rFonts w:cstheme="minorHAnsi"/>
          <w:sz w:val="24"/>
          <w:szCs w:val="24"/>
        </w:rPr>
      </w:pPr>
    </w:p>
    <w:p w14:paraId="13E0C5B4" w14:textId="77777777" w:rsidR="00BD3234" w:rsidRPr="00E10C92" w:rsidRDefault="00BD3234" w:rsidP="00E10C92">
      <w:pPr>
        <w:jc w:val="both"/>
        <w:rPr>
          <w:rFonts w:cstheme="minorHAnsi"/>
          <w:sz w:val="24"/>
          <w:szCs w:val="24"/>
          <w:u w:val="single"/>
        </w:rPr>
      </w:pPr>
      <w:r w:rsidRPr="00E10C92">
        <w:rPr>
          <w:rFonts w:cstheme="minorHAnsi"/>
          <w:sz w:val="24"/>
          <w:szCs w:val="24"/>
          <w:u w:val="single"/>
        </w:rPr>
        <w:lastRenderedPageBreak/>
        <w:t>References</w:t>
      </w:r>
    </w:p>
    <w:p w14:paraId="310D4ECD" w14:textId="77777777" w:rsidR="00BD3234" w:rsidRPr="00E10C92" w:rsidRDefault="00BD3234" w:rsidP="00E10C92">
      <w:pPr>
        <w:jc w:val="both"/>
        <w:rPr>
          <w:rFonts w:cstheme="minorHAnsi"/>
          <w:sz w:val="24"/>
          <w:szCs w:val="24"/>
        </w:rPr>
      </w:pPr>
    </w:p>
    <w:p w14:paraId="6694E217" w14:textId="2604DDD0" w:rsidR="00BD3234" w:rsidRPr="00E10C92" w:rsidRDefault="00BD3234" w:rsidP="00E10C92">
      <w:pPr>
        <w:spacing w:line="480" w:lineRule="auto"/>
        <w:jc w:val="both"/>
        <w:rPr>
          <w:rFonts w:cstheme="minorHAnsi"/>
          <w:sz w:val="24"/>
          <w:szCs w:val="24"/>
        </w:rPr>
      </w:pPr>
      <w:r w:rsidRPr="00E10C92">
        <w:rPr>
          <w:rFonts w:cstheme="minorHAnsi"/>
          <w:sz w:val="24"/>
          <w:szCs w:val="24"/>
        </w:rPr>
        <w:t>Bateman, T</w:t>
      </w:r>
      <w:r w:rsidR="00001909" w:rsidRPr="00E10C92">
        <w:rPr>
          <w:rFonts w:cstheme="minorHAnsi"/>
          <w:sz w:val="24"/>
          <w:szCs w:val="24"/>
        </w:rPr>
        <w:t>.</w:t>
      </w:r>
      <w:r w:rsidRPr="00E10C92">
        <w:rPr>
          <w:rFonts w:cstheme="minorHAnsi"/>
          <w:sz w:val="24"/>
          <w:szCs w:val="24"/>
        </w:rPr>
        <w:t xml:space="preserve"> (2012) Criminalising Children for no good purpose: The age of criminal responsibility in England and Wales, Available at:  </w:t>
      </w:r>
      <w:hyperlink r:id="rId6" w:history="1">
        <w:r w:rsidRPr="00E10C92">
          <w:rPr>
            <w:rFonts w:cstheme="minorHAnsi"/>
            <w:sz w:val="24"/>
            <w:szCs w:val="24"/>
            <w:u w:val="single"/>
          </w:rPr>
          <w:t>2012-The-Age-of-Criminal-responsibility.pdf (thenayj.org.uk)</w:t>
        </w:r>
      </w:hyperlink>
      <w:r w:rsidRPr="00E10C92">
        <w:rPr>
          <w:rFonts w:cstheme="minorHAnsi"/>
          <w:sz w:val="24"/>
          <w:szCs w:val="24"/>
        </w:rPr>
        <w:t xml:space="preserve"> Accessed 01 December 2021</w:t>
      </w:r>
    </w:p>
    <w:p w14:paraId="554D4546" w14:textId="77777777" w:rsidR="00721CC3" w:rsidRPr="00E10C92" w:rsidRDefault="00721CC3" w:rsidP="00E10C92">
      <w:pPr>
        <w:spacing w:line="480" w:lineRule="auto"/>
        <w:jc w:val="both"/>
        <w:rPr>
          <w:rFonts w:cstheme="minorHAnsi"/>
          <w:sz w:val="24"/>
          <w:szCs w:val="24"/>
        </w:rPr>
      </w:pPr>
      <w:r w:rsidRPr="00E10C92">
        <w:rPr>
          <w:rFonts w:cstheme="minorHAnsi"/>
          <w:sz w:val="24"/>
          <w:szCs w:val="24"/>
        </w:rPr>
        <w:t xml:space="preserve">Brown, A (2020) A Rights-Based Analysis of Youth Justice in the United Kingdom, Available at: </w:t>
      </w:r>
      <w:hyperlink r:id="rId7" w:history="1">
        <w:r w:rsidRPr="00E10C92">
          <w:rPr>
            <w:rFonts w:cstheme="minorHAnsi"/>
            <w:sz w:val="24"/>
            <w:szCs w:val="24"/>
            <w:u w:val="single"/>
          </w:rPr>
          <w:t>UnicefUKYouthJusticeExecSummaryInfographic_2020_2.pdf</w:t>
        </w:r>
      </w:hyperlink>
      <w:r w:rsidRPr="00E10C92">
        <w:rPr>
          <w:rFonts w:cstheme="minorHAnsi"/>
          <w:sz w:val="24"/>
          <w:szCs w:val="24"/>
        </w:rPr>
        <w:t xml:space="preserve"> Accessed 02 December 2021</w:t>
      </w:r>
    </w:p>
    <w:p w14:paraId="78B28177" w14:textId="6B822071" w:rsidR="00BD3234" w:rsidRPr="00E10C92" w:rsidRDefault="00BD3234" w:rsidP="00E10C92">
      <w:pPr>
        <w:spacing w:line="480" w:lineRule="auto"/>
        <w:jc w:val="both"/>
        <w:rPr>
          <w:rFonts w:cstheme="minorHAnsi"/>
          <w:sz w:val="24"/>
          <w:szCs w:val="24"/>
        </w:rPr>
      </w:pPr>
      <w:r w:rsidRPr="00E10C92">
        <w:rPr>
          <w:rFonts w:cstheme="minorHAnsi"/>
          <w:sz w:val="24"/>
          <w:szCs w:val="24"/>
        </w:rPr>
        <w:t xml:space="preserve">Brown, A </w:t>
      </w:r>
      <w:r w:rsidR="00E346B4" w:rsidRPr="00E10C92">
        <w:rPr>
          <w:rFonts w:cstheme="minorHAnsi"/>
          <w:sz w:val="24"/>
          <w:szCs w:val="24"/>
        </w:rPr>
        <w:t>and Charles</w:t>
      </w:r>
      <w:r w:rsidRPr="00E10C92">
        <w:rPr>
          <w:rFonts w:cstheme="minorHAnsi"/>
          <w:sz w:val="24"/>
          <w:szCs w:val="24"/>
        </w:rPr>
        <w:t xml:space="preserve">, </w:t>
      </w:r>
      <w:proofErr w:type="gramStart"/>
      <w:r w:rsidRPr="00E10C92">
        <w:rPr>
          <w:rFonts w:cstheme="minorHAnsi"/>
          <w:sz w:val="24"/>
          <w:szCs w:val="24"/>
        </w:rPr>
        <w:t xml:space="preserve">A </w:t>
      </w:r>
      <w:r w:rsidR="00721CC3" w:rsidRPr="00E10C92">
        <w:rPr>
          <w:rFonts w:cstheme="minorHAnsi"/>
          <w:sz w:val="24"/>
          <w:szCs w:val="24"/>
        </w:rPr>
        <w:t>,</w:t>
      </w:r>
      <w:proofErr w:type="gramEnd"/>
      <w:r w:rsidR="00001909" w:rsidRPr="00E10C92">
        <w:rPr>
          <w:rFonts w:cstheme="minorHAnsi"/>
          <w:sz w:val="24"/>
          <w:szCs w:val="24"/>
        </w:rPr>
        <w:t xml:space="preserve"> </w:t>
      </w:r>
      <w:r w:rsidRPr="00E10C92">
        <w:rPr>
          <w:rFonts w:cstheme="minorHAnsi"/>
          <w:sz w:val="24"/>
          <w:szCs w:val="24"/>
        </w:rPr>
        <w:t xml:space="preserve">(2019) The Minimum Age of Criminal Responsibility: The </w:t>
      </w:r>
      <w:r w:rsidR="00E346B4" w:rsidRPr="00E10C92">
        <w:rPr>
          <w:rFonts w:cstheme="minorHAnsi"/>
          <w:sz w:val="24"/>
          <w:szCs w:val="24"/>
        </w:rPr>
        <w:t>N</w:t>
      </w:r>
      <w:r w:rsidRPr="00E10C92">
        <w:rPr>
          <w:rFonts w:cstheme="minorHAnsi"/>
          <w:sz w:val="24"/>
          <w:szCs w:val="24"/>
        </w:rPr>
        <w:t xml:space="preserve">eed for a Holistic Approach, Available at: </w:t>
      </w:r>
      <w:hyperlink r:id="rId8" w:history="1">
        <w:r w:rsidRPr="00E10C92">
          <w:rPr>
            <w:rFonts w:cstheme="minorHAnsi"/>
            <w:sz w:val="24"/>
            <w:szCs w:val="24"/>
            <w:u w:val="single"/>
          </w:rPr>
          <w:t>The Minimum Age of Criminal Responsibility: The Need for a Holistic Approach’ (swan.ac.uk)</w:t>
        </w:r>
      </w:hyperlink>
      <w:r w:rsidRPr="00E10C92">
        <w:rPr>
          <w:rFonts w:cstheme="minorHAnsi"/>
          <w:sz w:val="24"/>
          <w:szCs w:val="24"/>
        </w:rPr>
        <w:t xml:space="preserve"> Accessed 01 December 2021</w:t>
      </w:r>
    </w:p>
    <w:p w14:paraId="731DAEC2" w14:textId="66CDA490" w:rsidR="00BD3234" w:rsidRPr="00E10C92" w:rsidRDefault="00BD3234" w:rsidP="00E10C92">
      <w:pPr>
        <w:spacing w:line="480" w:lineRule="auto"/>
        <w:jc w:val="both"/>
        <w:rPr>
          <w:rFonts w:cstheme="minorHAnsi"/>
          <w:sz w:val="24"/>
          <w:szCs w:val="24"/>
        </w:rPr>
      </w:pPr>
      <w:r w:rsidRPr="00E10C92">
        <w:rPr>
          <w:rFonts w:cstheme="minorHAnsi"/>
          <w:sz w:val="24"/>
          <w:szCs w:val="24"/>
        </w:rPr>
        <w:t xml:space="preserve">Child Right International </w:t>
      </w:r>
      <w:r w:rsidR="0001722D" w:rsidRPr="00E10C92">
        <w:rPr>
          <w:rFonts w:cstheme="minorHAnsi"/>
          <w:sz w:val="24"/>
          <w:szCs w:val="24"/>
        </w:rPr>
        <w:t>Network (</w:t>
      </w:r>
      <w:r w:rsidRPr="00E10C92">
        <w:rPr>
          <w:rFonts w:cstheme="minorHAnsi"/>
          <w:sz w:val="24"/>
          <w:szCs w:val="24"/>
        </w:rPr>
        <w:t xml:space="preserve">2021) Minimum Ages of Criminal Responsibility Around the World, Available at: </w:t>
      </w:r>
      <w:hyperlink r:id="rId9" w:history="1">
        <w:r w:rsidRPr="00E10C92">
          <w:rPr>
            <w:rFonts w:cstheme="minorHAnsi"/>
            <w:sz w:val="24"/>
            <w:szCs w:val="24"/>
            <w:u w:val="single"/>
          </w:rPr>
          <w:t>Minimum ages of criminal responsibility around the world | CRIN</w:t>
        </w:r>
      </w:hyperlink>
      <w:r w:rsidRPr="00E10C92">
        <w:rPr>
          <w:rFonts w:cstheme="minorHAnsi"/>
          <w:sz w:val="24"/>
          <w:szCs w:val="24"/>
        </w:rPr>
        <w:t xml:space="preserve"> Accessed 01 December 2021</w:t>
      </w:r>
    </w:p>
    <w:p w14:paraId="54C6447B" w14:textId="77777777" w:rsidR="00BD3234" w:rsidRPr="00E10C92" w:rsidRDefault="00BD3234" w:rsidP="00E10C92">
      <w:pPr>
        <w:spacing w:line="480" w:lineRule="auto"/>
        <w:jc w:val="both"/>
        <w:rPr>
          <w:rFonts w:cstheme="minorHAnsi"/>
          <w:sz w:val="24"/>
          <w:szCs w:val="24"/>
        </w:rPr>
      </w:pPr>
      <w:r w:rsidRPr="00E10C92">
        <w:rPr>
          <w:rFonts w:cstheme="minorHAnsi"/>
          <w:sz w:val="24"/>
          <w:szCs w:val="24"/>
        </w:rPr>
        <w:t xml:space="preserve">The Human Rights Act, (1998) Human Rights Remedial Order 2020, Available at: </w:t>
      </w:r>
      <w:hyperlink r:id="rId10" w:history="1">
        <w:r w:rsidRPr="00E10C92">
          <w:rPr>
            <w:rFonts w:cstheme="minorHAnsi"/>
            <w:sz w:val="24"/>
            <w:szCs w:val="24"/>
            <w:u w:val="single"/>
          </w:rPr>
          <w:t>The Human Rights Act 1998 (Remedial) Order 2020 (legislation.gov.uk)</w:t>
        </w:r>
      </w:hyperlink>
      <w:r w:rsidRPr="00E10C92">
        <w:rPr>
          <w:rFonts w:cstheme="minorHAnsi"/>
          <w:sz w:val="24"/>
          <w:szCs w:val="24"/>
        </w:rPr>
        <w:t xml:space="preserve"> Accessed 05 December 2021</w:t>
      </w:r>
    </w:p>
    <w:p w14:paraId="553E1433" w14:textId="77777777" w:rsidR="00BD3234" w:rsidRPr="00E10C92" w:rsidRDefault="00BD3234" w:rsidP="00E10C92">
      <w:pPr>
        <w:spacing w:line="480" w:lineRule="auto"/>
        <w:jc w:val="both"/>
        <w:rPr>
          <w:rFonts w:cstheme="minorHAnsi"/>
          <w:sz w:val="24"/>
          <w:szCs w:val="24"/>
        </w:rPr>
      </w:pPr>
      <w:r w:rsidRPr="00E10C92">
        <w:rPr>
          <w:rFonts w:cstheme="minorHAnsi"/>
          <w:sz w:val="24"/>
          <w:szCs w:val="24"/>
        </w:rPr>
        <w:t xml:space="preserve">Houses of Parliament, (2018) Age of Criminal Responsibility, Available at: </w:t>
      </w:r>
      <w:hyperlink r:id="rId11" w:history="1">
        <w:r w:rsidRPr="00E10C92">
          <w:rPr>
            <w:rFonts w:cstheme="minorHAnsi"/>
            <w:sz w:val="24"/>
            <w:szCs w:val="24"/>
            <w:u w:val="single"/>
          </w:rPr>
          <w:t>Age of Criminal Responsibility (parliament.uk)</w:t>
        </w:r>
      </w:hyperlink>
      <w:r w:rsidRPr="00E10C92">
        <w:rPr>
          <w:rFonts w:cstheme="minorHAnsi"/>
          <w:sz w:val="24"/>
          <w:szCs w:val="24"/>
        </w:rPr>
        <w:t xml:space="preserve"> Accessed 05 December 2021</w:t>
      </w:r>
    </w:p>
    <w:p w14:paraId="4999C97C" w14:textId="77777777" w:rsidR="00BD3234" w:rsidRPr="00E10C92" w:rsidRDefault="00BD3234" w:rsidP="00E10C92">
      <w:pPr>
        <w:spacing w:line="480" w:lineRule="auto"/>
        <w:jc w:val="both"/>
        <w:rPr>
          <w:rFonts w:cstheme="minorHAnsi"/>
          <w:sz w:val="24"/>
          <w:szCs w:val="24"/>
        </w:rPr>
      </w:pPr>
      <w:r w:rsidRPr="00E10C92">
        <w:rPr>
          <w:rFonts w:cstheme="minorHAnsi"/>
          <w:sz w:val="24"/>
          <w:szCs w:val="24"/>
        </w:rPr>
        <w:t xml:space="preserve">Institute for Government, (2021) Criminal Justice and Devolution, Available at: </w:t>
      </w:r>
      <w:hyperlink r:id="rId12" w:history="1">
        <w:r w:rsidRPr="00E10C92">
          <w:rPr>
            <w:rFonts w:cstheme="minorHAnsi"/>
            <w:sz w:val="24"/>
            <w:szCs w:val="24"/>
            <w:u w:val="single"/>
          </w:rPr>
          <w:t>Criminal justice and devolution | The Institute for Government</w:t>
        </w:r>
      </w:hyperlink>
      <w:r w:rsidRPr="00E10C92">
        <w:rPr>
          <w:rFonts w:cstheme="minorHAnsi"/>
          <w:sz w:val="24"/>
          <w:szCs w:val="24"/>
        </w:rPr>
        <w:t xml:space="preserve">  Accessed 04 December 2021</w:t>
      </w:r>
    </w:p>
    <w:p w14:paraId="2BD37589" w14:textId="77777777" w:rsidR="00BD3234" w:rsidRPr="00E10C92" w:rsidRDefault="00BD3234" w:rsidP="00E10C92">
      <w:pPr>
        <w:spacing w:line="480" w:lineRule="auto"/>
        <w:ind w:left="720" w:hanging="720"/>
        <w:jc w:val="both"/>
        <w:rPr>
          <w:rFonts w:cstheme="minorHAnsi"/>
          <w:sz w:val="24"/>
          <w:szCs w:val="24"/>
        </w:rPr>
      </w:pPr>
      <w:r w:rsidRPr="00E10C92">
        <w:rPr>
          <w:rFonts w:cstheme="minorHAnsi"/>
          <w:sz w:val="24"/>
          <w:szCs w:val="24"/>
        </w:rPr>
        <w:t xml:space="preserve">National Association for Youth Justice, (2012) The State of Youth Justice, Available at: </w:t>
      </w:r>
    </w:p>
    <w:p w14:paraId="6A50DA4A" w14:textId="77777777" w:rsidR="00BD3234" w:rsidRPr="00E10C92" w:rsidRDefault="00963104" w:rsidP="00E10C92">
      <w:pPr>
        <w:spacing w:line="480" w:lineRule="auto"/>
        <w:ind w:left="720" w:hanging="720"/>
        <w:jc w:val="both"/>
        <w:rPr>
          <w:rFonts w:cstheme="minorHAnsi"/>
          <w:sz w:val="24"/>
          <w:szCs w:val="24"/>
        </w:rPr>
      </w:pPr>
      <w:hyperlink r:id="rId13" w:history="1">
        <w:r w:rsidR="00BD3234" w:rsidRPr="00E10C92">
          <w:rPr>
            <w:rFonts w:cstheme="minorHAnsi"/>
            <w:sz w:val="24"/>
            <w:szCs w:val="24"/>
            <w:u w:val="single"/>
          </w:rPr>
          <w:t>Campaigns and Publications | NAYJ (thenayj.org.uk)</w:t>
        </w:r>
      </w:hyperlink>
      <w:r w:rsidR="00BD3234" w:rsidRPr="00E10C92">
        <w:rPr>
          <w:rFonts w:cstheme="minorHAnsi"/>
          <w:sz w:val="24"/>
          <w:szCs w:val="24"/>
        </w:rPr>
        <w:t xml:space="preserve"> Accessed 03 December 2021</w:t>
      </w:r>
    </w:p>
    <w:p w14:paraId="3AD33AB3" w14:textId="77777777" w:rsidR="00BD3234" w:rsidRPr="00E10C92" w:rsidRDefault="00BD3234" w:rsidP="00E10C92">
      <w:pPr>
        <w:spacing w:line="480" w:lineRule="auto"/>
        <w:jc w:val="both"/>
        <w:rPr>
          <w:rFonts w:cstheme="minorHAnsi"/>
          <w:sz w:val="24"/>
          <w:szCs w:val="24"/>
        </w:rPr>
      </w:pPr>
      <w:r w:rsidRPr="00E10C92">
        <w:rPr>
          <w:rFonts w:cstheme="minorHAnsi"/>
          <w:sz w:val="24"/>
          <w:szCs w:val="24"/>
        </w:rPr>
        <w:lastRenderedPageBreak/>
        <w:t>Parliament UK</w:t>
      </w:r>
      <w:r w:rsidRPr="00E10C92">
        <w:rPr>
          <w:rFonts w:cstheme="minorHAnsi"/>
          <w:sz w:val="24"/>
          <w:szCs w:val="24"/>
          <w:u w:val="single"/>
        </w:rPr>
        <w:t>,</w:t>
      </w:r>
      <w:r w:rsidRPr="00E10C92">
        <w:rPr>
          <w:rFonts w:cstheme="minorHAnsi"/>
          <w:sz w:val="24"/>
          <w:szCs w:val="24"/>
        </w:rPr>
        <w:t xml:space="preserve"> (2011) Commons Debate: Daily Hansard Young Offenders, Available at: </w:t>
      </w:r>
      <w:hyperlink r:id="rId14" w:anchor="11030849000484" w:history="1">
        <w:r w:rsidRPr="00E10C92">
          <w:rPr>
            <w:rFonts w:cstheme="minorHAnsi"/>
            <w:sz w:val="24"/>
            <w:szCs w:val="24"/>
            <w:u w:val="single"/>
          </w:rPr>
          <w:t>House of Commons Hansard Debates for 08 Mar 2011 (</w:t>
        </w:r>
        <w:proofErr w:type="spellStart"/>
        <w:r w:rsidRPr="00E10C92">
          <w:rPr>
            <w:rFonts w:cstheme="minorHAnsi"/>
            <w:sz w:val="24"/>
            <w:szCs w:val="24"/>
            <w:u w:val="single"/>
          </w:rPr>
          <w:t>pt</w:t>
        </w:r>
        <w:proofErr w:type="spellEnd"/>
        <w:r w:rsidRPr="00E10C92">
          <w:rPr>
            <w:rFonts w:cstheme="minorHAnsi"/>
            <w:sz w:val="24"/>
            <w:szCs w:val="24"/>
            <w:u w:val="single"/>
          </w:rPr>
          <w:t xml:space="preserve"> 0001) (parliament.uk)</w:t>
        </w:r>
      </w:hyperlink>
      <w:r w:rsidRPr="00E10C92">
        <w:rPr>
          <w:rFonts w:cstheme="minorHAnsi"/>
          <w:sz w:val="24"/>
          <w:szCs w:val="24"/>
        </w:rPr>
        <w:t xml:space="preserve"> Accessed 05 December 2021</w:t>
      </w:r>
    </w:p>
    <w:p w14:paraId="547FBB7E" w14:textId="7DFB8414" w:rsidR="00BD3234" w:rsidRPr="00E10C92" w:rsidRDefault="00BD3234" w:rsidP="00E10C92">
      <w:pPr>
        <w:spacing w:line="480" w:lineRule="auto"/>
        <w:jc w:val="both"/>
        <w:rPr>
          <w:rFonts w:cstheme="minorHAnsi"/>
          <w:sz w:val="24"/>
          <w:szCs w:val="24"/>
        </w:rPr>
      </w:pPr>
      <w:r w:rsidRPr="00E10C92">
        <w:rPr>
          <w:rFonts w:cstheme="minorHAnsi"/>
          <w:sz w:val="24"/>
          <w:szCs w:val="24"/>
        </w:rPr>
        <w:t xml:space="preserve">Scottish Children’s </w:t>
      </w:r>
      <w:r w:rsidR="0001722D" w:rsidRPr="00E10C92">
        <w:rPr>
          <w:rFonts w:cstheme="minorHAnsi"/>
          <w:sz w:val="24"/>
          <w:szCs w:val="24"/>
        </w:rPr>
        <w:t>Report</w:t>
      </w:r>
      <w:r w:rsidRPr="00E10C92">
        <w:rPr>
          <w:rFonts w:cstheme="minorHAnsi"/>
          <w:sz w:val="24"/>
          <w:szCs w:val="24"/>
        </w:rPr>
        <w:t xml:space="preserve"> Administration, (2021) Age of Criminal Responsibility, Available at: </w:t>
      </w:r>
      <w:hyperlink r:id="rId15" w:history="1">
        <w:r w:rsidRPr="00E10C92">
          <w:rPr>
            <w:rFonts w:cstheme="minorHAnsi"/>
            <w:sz w:val="24"/>
            <w:szCs w:val="24"/>
            <w:u w:val="single"/>
          </w:rPr>
          <w:t>Age of Criminal Responsibility - SCRA</w:t>
        </w:r>
      </w:hyperlink>
      <w:r w:rsidRPr="00E10C92">
        <w:rPr>
          <w:rFonts w:cstheme="minorHAnsi"/>
          <w:sz w:val="24"/>
          <w:szCs w:val="24"/>
        </w:rPr>
        <w:t xml:space="preserve"> Accessed 01 December 2021</w:t>
      </w:r>
    </w:p>
    <w:p w14:paraId="4348C224" w14:textId="68B0AC45" w:rsidR="00BD3234" w:rsidRPr="00E10C92" w:rsidRDefault="00BD3234" w:rsidP="00E10C92">
      <w:pPr>
        <w:spacing w:line="480" w:lineRule="auto"/>
        <w:jc w:val="both"/>
        <w:rPr>
          <w:rFonts w:cstheme="minorHAnsi"/>
          <w:sz w:val="24"/>
          <w:szCs w:val="24"/>
        </w:rPr>
      </w:pPr>
      <w:r w:rsidRPr="00E10C92">
        <w:rPr>
          <w:rFonts w:cstheme="minorHAnsi"/>
          <w:sz w:val="24"/>
          <w:szCs w:val="24"/>
        </w:rPr>
        <w:t>Williams, J</w:t>
      </w:r>
      <w:r w:rsidR="00001909" w:rsidRPr="00E10C92">
        <w:rPr>
          <w:rFonts w:cstheme="minorHAnsi"/>
          <w:sz w:val="24"/>
          <w:szCs w:val="24"/>
        </w:rPr>
        <w:t xml:space="preserve">. </w:t>
      </w:r>
      <w:r w:rsidRPr="00E10C92">
        <w:rPr>
          <w:rFonts w:cstheme="minorHAnsi"/>
          <w:sz w:val="24"/>
          <w:szCs w:val="24"/>
        </w:rPr>
        <w:t xml:space="preserve">(2020) A Rights-Based Analysis of Youth Justice in the United Kingdom, Available at: </w:t>
      </w:r>
      <w:hyperlink r:id="rId16" w:history="1">
        <w:r w:rsidRPr="00E10C92">
          <w:rPr>
            <w:rFonts w:cstheme="minorHAnsi"/>
            <w:sz w:val="24"/>
            <w:szCs w:val="24"/>
            <w:u w:val="single"/>
          </w:rPr>
          <w:t>UnicefUKYouthJusticeExecSummaryInfographic_2020_2.pdf</w:t>
        </w:r>
      </w:hyperlink>
      <w:r w:rsidRPr="00E10C92">
        <w:rPr>
          <w:rFonts w:cstheme="minorHAnsi"/>
          <w:sz w:val="24"/>
          <w:szCs w:val="24"/>
        </w:rPr>
        <w:t xml:space="preserve"> Accessed 02 December 2021</w:t>
      </w:r>
    </w:p>
    <w:p w14:paraId="3CECB44E" w14:textId="5FCDEF5F" w:rsidR="0096669A" w:rsidRPr="00E10C92" w:rsidRDefault="0096669A" w:rsidP="00E10C92">
      <w:pPr>
        <w:jc w:val="both"/>
        <w:rPr>
          <w:rFonts w:cstheme="minorHAnsi"/>
          <w:sz w:val="24"/>
          <w:szCs w:val="24"/>
        </w:rPr>
      </w:pPr>
    </w:p>
    <w:p w14:paraId="5F9845B6" w14:textId="6FB74FD3" w:rsidR="0064525A" w:rsidRPr="00E10C92" w:rsidRDefault="0064525A" w:rsidP="00E10C92">
      <w:pPr>
        <w:jc w:val="both"/>
        <w:rPr>
          <w:rFonts w:cstheme="minorHAnsi"/>
          <w:sz w:val="24"/>
          <w:szCs w:val="24"/>
        </w:rPr>
      </w:pPr>
    </w:p>
    <w:p w14:paraId="1274390F" w14:textId="12C87021" w:rsidR="00601219" w:rsidRPr="00E10C92" w:rsidRDefault="00601219" w:rsidP="00E10C92">
      <w:pPr>
        <w:jc w:val="both"/>
        <w:rPr>
          <w:rFonts w:cstheme="minorHAnsi"/>
          <w:sz w:val="24"/>
          <w:szCs w:val="24"/>
        </w:rPr>
      </w:pPr>
    </w:p>
    <w:p w14:paraId="2E824DD3" w14:textId="462AEA3E" w:rsidR="009F3592" w:rsidRPr="00E10C92" w:rsidRDefault="009F3592" w:rsidP="00E10C92">
      <w:pPr>
        <w:jc w:val="both"/>
        <w:rPr>
          <w:rFonts w:cstheme="minorHAnsi"/>
          <w:sz w:val="24"/>
          <w:szCs w:val="24"/>
        </w:rPr>
      </w:pPr>
    </w:p>
    <w:p w14:paraId="77692636" w14:textId="45420303" w:rsidR="009F3592" w:rsidRPr="00E10C92" w:rsidRDefault="009F3592" w:rsidP="00E10C92">
      <w:pPr>
        <w:jc w:val="both"/>
        <w:rPr>
          <w:rFonts w:cstheme="minorHAnsi"/>
          <w:sz w:val="24"/>
          <w:szCs w:val="24"/>
        </w:rPr>
      </w:pPr>
    </w:p>
    <w:p w14:paraId="107A5CE4" w14:textId="15C7AC31" w:rsidR="009F3592" w:rsidRPr="00E10C92" w:rsidRDefault="009F3592" w:rsidP="00E10C92">
      <w:pPr>
        <w:jc w:val="both"/>
        <w:rPr>
          <w:rFonts w:cstheme="minorHAnsi"/>
          <w:sz w:val="24"/>
          <w:szCs w:val="24"/>
        </w:rPr>
      </w:pPr>
    </w:p>
    <w:p w14:paraId="28259152" w14:textId="7E0F5327" w:rsidR="009F3592" w:rsidRPr="00E10C92" w:rsidRDefault="009F3592" w:rsidP="00E10C92">
      <w:pPr>
        <w:jc w:val="both"/>
        <w:rPr>
          <w:rFonts w:cstheme="minorHAnsi"/>
          <w:sz w:val="24"/>
          <w:szCs w:val="24"/>
        </w:rPr>
      </w:pPr>
    </w:p>
    <w:p w14:paraId="2CF60C1C" w14:textId="74BE1CD0" w:rsidR="009F3592" w:rsidRPr="00E10C92" w:rsidRDefault="009F3592" w:rsidP="00E10C92">
      <w:pPr>
        <w:jc w:val="both"/>
        <w:rPr>
          <w:rFonts w:cstheme="minorHAnsi"/>
          <w:sz w:val="24"/>
          <w:szCs w:val="24"/>
        </w:rPr>
      </w:pPr>
    </w:p>
    <w:p w14:paraId="3C645930" w14:textId="0A76DA37" w:rsidR="009F3592" w:rsidRPr="00E10C92" w:rsidRDefault="009F3592" w:rsidP="00E10C92">
      <w:pPr>
        <w:jc w:val="both"/>
        <w:rPr>
          <w:rFonts w:cstheme="minorHAnsi"/>
          <w:sz w:val="24"/>
          <w:szCs w:val="24"/>
        </w:rPr>
      </w:pPr>
    </w:p>
    <w:p w14:paraId="0C9E2DE0" w14:textId="20D5E112" w:rsidR="009F3592" w:rsidRPr="00E10C92" w:rsidRDefault="009F3592" w:rsidP="00E10C92">
      <w:pPr>
        <w:jc w:val="both"/>
        <w:rPr>
          <w:rFonts w:cstheme="minorHAnsi"/>
          <w:sz w:val="24"/>
          <w:szCs w:val="24"/>
        </w:rPr>
      </w:pPr>
    </w:p>
    <w:p w14:paraId="48284482" w14:textId="68DD1550" w:rsidR="009F3592" w:rsidRPr="00E10C92" w:rsidRDefault="009F3592" w:rsidP="00E10C92">
      <w:pPr>
        <w:jc w:val="both"/>
        <w:rPr>
          <w:rFonts w:cstheme="minorHAnsi"/>
          <w:sz w:val="24"/>
          <w:szCs w:val="24"/>
        </w:rPr>
      </w:pPr>
    </w:p>
    <w:p w14:paraId="04878EE9" w14:textId="5E68395C" w:rsidR="009F3592" w:rsidRPr="00E10C92" w:rsidRDefault="009F3592" w:rsidP="00E10C92">
      <w:pPr>
        <w:jc w:val="both"/>
        <w:rPr>
          <w:rFonts w:cstheme="minorHAnsi"/>
          <w:sz w:val="24"/>
          <w:szCs w:val="24"/>
        </w:rPr>
      </w:pPr>
    </w:p>
    <w:p w14:paraId="5F6D6991" w14:textId="7D59ABBF" w:rsidR="009F3592" w:rsidRPr="00E10C92" w:rsidRDefault="009F3592" w:rsidP="00E10C92">
      <w:pPr>
        <w:jc w:val="both"/>
        <w:rPr>
          <w:rFonts w:cstheme="minorHAnsi"/>
          <w:sz w:val="24"/>
          <w:szCs w:val="24"/>
        </w:rPr>
      </w:pPr>
    </w:p>
    <w:bookmarkEnd w:id="0"/>
    <w:p w14:paraId="1D0686E2" w14:textId="6F0FE389" w:rsidR="00BD73A1" w:rsidRPr="00E10C92" w:rsidRDefault="00BD73A1" w:rsidP="00E10C92">
      <w:pPr>
        <w:jc w:val="both"/>
        <w:rPr>
          <w:rFonts w:cstheme="minorHAnsi"/>
          <w:sz w:val="24"/>
          <w:szCs w:val="24"/>
        </w:rPr>
      </w:pPr>
    </w:p>
    <w:p w14:paraId="4F98FCE0" w14:textId="3B29EBD3" w:rsidR="004050F5" w:rsidRPr="00E10C92" w:rsidRDefault="004050F5" w:rsidP="00E10C92">
      <w:pPr>
        <w:jc w:val="both"/>
        <w:rPr>
          <w:rFonts w:cstheme="minorHAnsi"/>
          <w:sz w:val="24"/>
          <w:szCs w:val="24"/>
        </w:rPr>
      </w:pPr>
    </w:p>
    <w:p w14:paraId="5248DE4F" w14:textId="6B0C58EA" w:rsidR="004050F5" w:rsidRPr="00E10C92" w:rsidRDefault="004050F5" w:rsidP="00E10C92">
      <w:pPr>
        <w:jc w:val="both"/>
        <w:rPr>
          <w:rFonts w:cstheme="minorHAnsi"/>
          <w:sz w:val="24"/>
          <w:szCs w:val="24"/>
        </w:rPr>
      </w:pPr>
    </w:p>
    <w:p w14:paraId="53BBEF5C" w14:textId="6BDA7B0E" w:rsidR="00A27BFF" w:rsidRPr="00E10C92" w:rsidRDefault="00A27BFF" w:rsidP="00E10C92">
      <w:pPr>
        <w:jc w:val="both"/>
        <w:rPr>
          <w:rFonts w:cstheme="minorHAnsi"/>
          <w:sz w:val="24"/>
          <w:szCs w:val="24"/>
        </w:rPr>
      </w:pPr>
    </w:p>
    <w:p w14:paraId="37AFB1BC" w14:textId="6A4257A1" w:rsidR="00A27BFF" w:rsidRPr="00E10C92" w:rsidRDefault="00A27BFF" w:rsidP="00E10C92">
      <w:pPr>
        <w:jc w:val="both"/>
        <w:rPr>
          <w:rFonts w:cstheme="minorHAnsi"/>
          <w:sz w:val="24"/>
          <w:szCs w:val="24"/>
        </w:rPr>
      </w:pPr>
    </w:p>
    <w:p w14:paraId="0E28AFA1" w14:textId="49E67BCB" w:rsidR="00A27BFF" w:rsidRPr="00E10C92" w:rsidRDefault="00A27BFF" w:rsidP="00E10C92">
      <w:pPr>
        <w:jc w:val="both"/>
        <w:rPr>
          <w:rFonts w:cstheme="minorHAnsi"/>
          <w:sz w:val="24"/>
          <w:szCs w:val="24"/>
        </w:rPr>
      </w:pPr>
    </w:p>
    <w:p w14:paraId="2A27FF74" w14:textId="5B7FBD69" w:rsidR="00A27BFF" w:rsidRPr="00E10C92" w:rsidRDefault="00A27BFF" w:rsidP="00E10C92">
      <w:pPr>
        <w:jc w:val="both"/>
        <w:rPr>
          <w:rFonts w:cstheme="minorHAnsi"/>
          <w:sz w:val="24"/>
          <w:szCs w:val="24"/>
        </w:rPr>
      </w:pPr>
    </w:p>
    <w:p w14:paraId="3B0BB191" w14:textId="77777777" w:rsidR="00D902EC" w:rsidRDefault="00E10C92" w:rsidP="00E10C92">
      <w:pPr>
        <w:jc w:val="center"/>
        <w:rPr>
          <w:sz w:val="28"/>
          <w:szCs w:val="28"/>
        </w:rPr>
      </w:pPr>
      <w:r>
        <w:rPr>
          <w:sz w:val="28"/>
          <w:szCs w:val="28"/>
        </w:rPr>
        <w:lastRenderedPageBreak/>
        <w:t>Reflective Report</w:t>
      </w:r>
    </w:p>
    <w:p w14:paraId="5BCC7A07" w14:textId="379A71C7" w:rsidR="00E10C92" w:rsidRPr="00EA5553" w:rsidRDefault="00E10C92" w:rsidP="00E10C92">
      <w:pPr>
        <w:jc w:val="center"/>
        <w:rPr>
          <w:sz w:val="28"/>
          <w:szCs w:val="28"/>
        </w:rPr>
      </w:pPr>
      <w:r w:rsidRPr="00EA5553">
        <w:rPr>
          <w:sz w:val="28"/>
          <w:szCs w:val="28"/>
        </w:rPr>
        <w:t>By Sarah Jones</w:t>
      </w:r>
    </w:p>
    <w:p w14:paraId="3A78F6BB" w14:textId="77777777" w:rsidR="00B825AB" w:rsidRPr="00E10C92" w:rsidRDefault="00B825AB" w:rsidP="00E10C92">
      <w:pPr>
        <w:jc w:val="both"/>
        <w:rPr>
          <w:rFonts w:cstheme="minorHAnsi"/>
          <w:sz w:val="24"/>
          <w:szCs w:val="24"/>
        </w:rPr>
      </w:pPr>
    </w:p>
    <w:p w14:paraId="4D9E47D0"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Whilst attending the university for lectures relating to my MA in Criminal Justice and Policing, my knowledge and understanding has developed amongst a broad collection of subject areas. My attendance to the module named The Criminal Justice System, Youth Justice and Prison Systems in England and Wales has led me to undertake further research into the prison crisis within the UK.</w:t>
      </w:r>
    </w:p>
    <w:p w14:paraId="4C35D545"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The main aim of this assignment was to reflect upon the Prison Crisis by exploring the subject in more detail and sharing my opinion and observations.</w:t>
      </w:r>
    </w:p>
    <w:p w14:paraId="4843A8AF"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To assist with my reflection effectively, I shall use Gibbs Reflective Cycle 1988. According to The University of Edinburgh (2019) Gibbs Reflective Cycle is argued to be one of the most famous models of reflection. This cycle explores six stages of reflection, ‘Description, Feelings, Evaluation, Analysis, Conclusion and Action Plan’ (The University of Edinburgh, 2019) and these stages will aid me to adequately reflect on my experiences of the learning that I undertook.  Graham Gibbs developed this reflective model in 1998 and it provides a framework to aid the examining and evaluation of experiences. Each stage asks a set of questions to help the learner to deliberate on their own experiences (Gibbs, 1988)</w:t>
      </w:r>
    </w:p>
    <w:p w14:paraId="66AB1BA3" w14:textId="77777777" w:rsidR="00B825AB" w:rsidRPr="00E10C92" w:rsidRDefault="00B825AB" w:rsidP="00BA5698">
      <w:pPr>
        <w:jc w:val="center"/>
        <w:rPr>
          <w:rFonts w:cstheme="minorHAnsi"/>
          <w:sz w:val="24"/>
          <w:szCs w:val="24"/>
        </w:rPr>
      </w:pPr>
      <w:r w:rsidRPr="00E10C92">
        <w:rPr>
          <w:rFonts w:cstheme="minorHAnsi"/>
          <w:noProof/>
          <w:sz w:val="24"/>
          <w:szCs w:val="24"/>
        </w:rPr>
        <w:drawing>
          <wp:inline distT="0" distB="0" distL="0" distR="0" wp14:anchorId="4AF85E59" wp14:editId="3548592B">
            <wp:extent cx="2345909" cy="1562100"/>
            <wp:effectExtent l="19050" t="19050" r="1651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77799" cy="1583335"/>
                    </a:xfrm>
                    <a:prstGeom prst="rect">
                      <a:avLst/>
                    </a:prstGeom>
                    <a:noFill/>
                    <a:ln>
                      <a:solidFill>
                        <a:sysClr val="windowText" lastClr="000000"/>
                      </a:solidFill>
                    </a:ln>
                  </pic:spPr>
                </pic:pic>
              </a:graphicData>
            </a:graphic>
          </wp:inline>
        </w:drawing>
      </w:r>
    </w:p>
    <w:p w14:paraId="4D5022CB" w14:textId="77777777" w:rsidR="00B825AB" w:rsidRPr="00E10C92" w:rsidRDefault="00B825AB" w:rsidP="00BA5698">
      <w:pPr>
        <w:jc w:val="center"/>
        <w:rPr>
          <w:rFonts w:cstheme="minorHAnsi"/>
          <w:sz w:val="24"/>
          <w:szCs w:val="24"/>
        </w:rPr>
      </w:pPr>
      <w:r w:rsidRPr="00E10C92">
        <w:rPr>
          <w:rFonts w:cstheme="minorHAnsi"/>
          <w:sz w:val="24"/>
          <w:szCs w:val="24"/>
        </w:rPr>
        <w:t>Figure 1 – Gibbs Reflective Cycle (Gibbs, 1988)</w:t>
      </w:r>
    </w:p>
    <w:p w14:paraId="165392C6"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lastRenderedPageBreak/>
        <w:t xml:space="preserve">Throughout this reflection I shall refer to Gibbs model of reflection whilst sharing my observations of the research I have embarked on. </w:t>
      </w:r>
    </w:p>
    <w:p w14:paraId="1F328548" w14:textId="77777777" w:rsidR="00B825AB" w:rsidRPr="00E10C92" w:rsidRDefault="00B825AB" w:rsidP="00E10C92">
      <w:pPr>
        <w:spacing w:line="480" w:lineRule="auto"/>
        <w:jc w:val="both"/>
        <w:rPr>
          <w:rFonts w:cstheme="minorHAnsi"/>
          <w:sz w:val="24"/>
          <w:szCs w:val="24"/>
          <w:u w:val="single"/>
        </w:rPr>
      </w:pPr>
      <w:r w:rsidRPr="00E10C92">
        <w:rPr>
          <w:rFonts w:cstheme="minorHAnsi"/>
          <w:sz w:val="24"/>
          <w:szCs w:val="24"/>
          <w:u w:val="single"/>
        </w:rPr>
        <w:t>Description</w:t>
      </w:r>
    </w:p>
    <w:p w14:paraId="702FDC57" w14:textId="77777777" w:rsidR="00B825AB" w:rsidRPr="00E10C92" w:rsidRDefault="00B825AB" w:rsidP="00E10C92">
      <w:pPr>
        <w:spacing w:line="480" w:lineRule="auto"/>
        <w:jc w:val="both"/>
        <w:rPr>
          <w:rFonts w:cstheme="minorHAnsi"/>
          <w:i/>
          <w:iCs/>
          <w:sz w:val="24"/>
          <w:szCs w:val="24"/>
        </w:rPr>
      </w:pPr>
      <w:r w:rsidRPr="00E10C92">
        <w:rPr>
          <w:rFonts w:cstheme="minorHAnsi"/>
          <w:sz w:val="24"/>
          <w:szCs w:val="24"/>
        </w:rPr>
        <w:t xml:space="preserve">When undertaking this module, I was presented with a selection of subject areas that I could choose to research as part of my first academic assignment. I chose the title </w:t>
      </w:r>
      <w:r w:rsidRPr="00E10C92">
        <w:rPr>
          <w:rFonts w:cstheme="minorHAnsi"/>
          <w:i/>
          <w:iCs/>
          <w:sz w:val="24"/>
          <w:szCs w:val="24"/>
        </w:rPr>
        <w:t xml:space="preserve">‘Discuss the purposes of imprisonment in England &amp; Wales and evaluate the extent to which the current ‘prison crisis’ impacts on these’. </w:t>
      </w:r>
    </w:p>
    <w:p w14:paraId="7724F6DB"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My professional background of twenty years in policing lent itself well to study this area, as I felt my existing knowledge of the profession could bring a balanced approach required to study the subject. Although my experience in policing is broad, I wished to expand my knowledge and understanding of the criminal justice system that was closely associated with my day-to-day role as a police officer.</w:t>
      </w:r>
    </w:p>
    <w:p w14:paraId="601F1622"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I began my research into the prison crisis by exploring the history of the prison system and gaining an understanding of the formation of the prison service that is recognised today. I utilised the university library and online resources, which provided me with further sources of academic research that I was able to utilise for my study. The history of the prison service was widely sourced and covered an international perspective, which allowed me to make comparisons to imprisonment in the UK. I identified that the Roman Ages laid the foundations of law and punishment (Looman and Carl, 2015) however Morris and Rothman (1995) argued that it was a modern concept and had only been inexistence for less than 300 years. </w:t>
      </w:r>
    </w:p>
    <w:p w14:paraId="23A109D1"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My study led me to understand the purpose of imprisonment and although Coyle (2005) proposed that prison is traditionally used to punish, </w:t>
      </w:r>
      <w:proofErr w:type="gramStart"/>
      <w:r w:rsidRPr="00E10C92">
        <w:rPr>
          <w:rFonts w:cstheme="minorHAnsi"/>
          <w:sz w:val="24"/>
          <w:szCs w:val="24"/>
        </w:rPr>
        <w:t>deter</w:t>
      </w:r>
      <w:proofErr w:type="gramEnd"/>
      <w:r w:rsidRPr="00E10C92">
        <w:rPr>
          <w:rFonts w:cstheme="minorHAnsi"/>
          <w:sz w:val="24"/>
          <w:szCs w:val="24"/>
        </w:rPr>
        <w:t xml:space="preserve"> and reform, some sources </w:t>
      </w:r>
      <w:r w:rsidRPr="00E10C92">
        <w:rPr>
          <w:rFonts w:cstheme="minorHAnsi"/>
          <w:sz w:val="24"/>
          <w:szCs w:val="24"/>
        </w:rPr>
        <w:lastRenderedPageBreak/>
        <w:t xml:space="preserve">suggested the main aim of imprisonment was to protect the public from a significant threat of harm. I identified that as society became more complex, the proportionality of punishment was brought into question by the UK Government, and this brought about a change in UK legislation. </w:t>
      </w:r>
    </w:p>
    <w:p w14:paraId="74026D3E"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The Prison Reform Trust (2021) provided me with further reading, and I was able to identify that the changes in UK law had a prominent effect on the prison crisis that we see today. </w:t>
      </w:r>
    </w:p>
    <w:p w14:paraId="1C25C6F5"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There is evidence that the strategies adopted by the prison service to prevent reoffending whether through vocational, therapeutic, or academic programmes played a significant role within the crisis faced by the UK prison service (Blakey, 2017)  </w:t>
      </w:r>
    </w:p>
    <w:p w14:paraId="704E59FA"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Through my research I was able to broaden my understanding of the purposes of imprisonment and evaluate how the prison crisis has been affected by this. </w:t>
      </w:r>
    </w:p>
    <w:p w14:paraId="08DEB5C6" w14:textId="77777777" w:rsidR="00B825AB" w:rsidRPr="00E10C92" w:rsidRDefault="00B825AB" w:rsidP="00E10C92">
      <w:pPr>
        <w:spacing w:line="480" w:lineRule="auto"/>
        <w:jc w:val="both"/>
        <w:rPr>
          <w:rFonts w:cstheme="minorHAnsi"/>
          <w:sz w:val="24"/>
          <w:szCs w:val="24"/>
          <w:u w:val="single"/>
        </w:rPr>
      </w:pPr>
      <w:r w:rsidRPr="00E10C92">
        <w:rPr>
          <w:rFonts w:cstheme="minorHAnsi"/>
          <w:sz w:val="24"/>
          <w:szCs w:val="24"/>
          <w:u w:val="single"/>
        </w:rPr>
        <w:t>Feelings</w:t>
      </w:r>
    </w:p>
    <w:p w14:paraId="62F01A69"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When I started my research, I felt confident in the subject matter and the question asked of me. However, I soon began to feel daunted by the vast number of sources I faced. The subject area has been researched by many academics across the world, and it was difficult to draw down the information I required to enable me to answer the question. However, once I implemented a structure to my research, I was able to manage the sources by relevance and importance. </w:t>
      </w:r>
    </w:p>
    <w:p w14:paraId="303211CD"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I found the subject matter extremely interesting and could recognise a link between the research of the criminal justice system and professional application of policing. It opened my eyes to a greater understanding of the issues faced by the prison service today and how potential reform is needed to manage the crisis.</w:t>
      </w:r>
    </w:p>
    <w:p w14:paraId="0BE1AF48" w14:textId="77777777" w:rsidR="00B825AB" w:rsidRPr="00E10C92" w:rsidRDefault="00B825AB" w:rsidP="00E10C92">
      <w:pPr>
        <w:spacing w:line="480" w:lineRule="auto"/>
        <w:jc w:val="both"/>
        <w:rPr>
          <w:rFonts w:cstheme="minorHAnsi"/>
          <w:sz w:val="24"/>
          <w:szCs w:val="24"/>
          <w:u w:val="single"/>
        </w:rPr>
      </w:pPr>
      <w:r w:rsidRPr="00E10C92">
        <w:rPr>
          <w:rFonts w:cstheme="minorHAnsi"/>
          <w:sz w:val="24"/>
          <w:szCs w:val="24"/>
          <w:u w:val="single"/>
        </w:rPr>
        <w:lastRenderedPageBreak/>
        <w:t>Evaluation</w:t>
      </w:r>
    </w:p>
    <w:p w14:paraId="6C0E0D68" w14:textId="77777777" w:rsidR="00B825AB" w:rsidRPr="00E10C92" w:rsidRDefault="00B825AB" w:rsidP="00E10C92">
      <w:pPr>
        <w:spacing w:line="480" w:lineRule="auto"/>
        <w:jc w:val="both"/>
        <w:rPr>
          <w:rFonts w:cstheme="minorHAnsi"/>
          <w:b/>
          <w:bCs/>
          <w:sz w:val="24"/>
          <w:szCs w:val="24"/>
        </w:rPr>
      </w:pPr>
      <w:r w:rsidRPr="00E10C92">
        <w:rPr>
          <w:rFonts w:cstheme="minorHAnsi"/>
          <w:sz w:val="24"/>
          <w:szCs w:val="24"/>
        </w:rPr>
        <w:t xml:space="preserve">My experience of this research is overall a very positive one. I conducted the research alone and was able to utilise an array of sources from the online library and other alternative online platforms to assist me. At the time of my research the country was under national restrictions of a global pandemic, and this caused a few restrictions surrounding my ability to conduct further research that was not computer based. I was keen to liaise with prison service staff who work within the prison service and broaden my understanding of the crisis that they directly face. </w:t>
      </w:r>
    </w:p>
    <w:p w14:paraId="72254E15"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My organisational skills were prominent throughout this study, as I started my research early and was able to submit my work prior to the submission date. </w:t>
      </w:r>
    </w:p>
    <w:p w14:paraId="1C316CD9" w14:textId="77777777" w:rsidR="00B825AB" w:rsidRPr="00E10C92" w:rsidRDefault="00B825AB" w:rsidP="00E10C92">
      <w:pPr>
        <w:spacing w:line="480" w:lineRule="auto"/>
        <w:jc w:val="both"/>
        <w:rPr>
          <w:rFonts w:cstheme="minorHAnsi"/>
          <w:sz w:val="24"/>
          <w:szCs w:val="24"/>
          <w:u w:val="single"/>
        </w:rPr>
      </w:pPr>
      <w:r w:rsidRPr="00E10C92">
        <w:rPr>
          <w:rFonts w:cstheme="minorHAnsi"/>
          <w:sz w:val="24"/>
          <w:szCs w:val="24"/>
          <w:u w:val="single"/>
        </w:rPr>
        <w:t>Analysis</w:t>
      </w:r>
    </w:p>
    <w:p w14:paraId="2F2985FE"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The UK Government brought this issue of a ‘Prison Crisis’ to my attention and it was because of this I chose to research this subject (UK Parliament, 2019) This research contributed to a gap in my knowledge and understanding of the prison crisis and whilst there is a vast number of studies conducted on this subject, the issue is far from being resolved. My motivation to research this area is drawn from my previous professional background of policing, and the connection I once had with the prison service when I was involved in the arrest and conviction of offenders who were given a custodial sentence. </w:t>
      </w:r>
    </w:p>
    <w:p w14:paraId="67062DD9"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Although my research allowed me to answer the question, I believe that my conclusion was slightly restrictive due to the vast number of journals and books that I could have read. My research led me to believe that cuts in government funding and increased prison populations </w:t>
      </w:r>
      <w:r w:rsidRPr="00E10C92">
        <w:rPr>
          <w:rFonts w:cstheme="minorHAnsi"/>
          <w:sz w:val="24"/>
          <w:szCs w:val="24"/>
        </w:rPr>
        <w:lastRenderedPageBreak/>
        <w:t xml:space="preserve">have contributed towards the prison crisis, however, I would have liked to have explored further how the global pandemic may have ignited what is already a crisis in UK prisons. </w:t>
      </w:r>
    </w:p>
    <w:p w14:paraId="7319D018"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My research allowed me to explore the use of rehabilitation in the prison service and how it may have inadvertently contributed to the prison crisis. This concept has been explored by the Ministry of Justice (2018) who argue that the rehabilitation of offenders is a positive contributing factor within prison reform. </w:t>
      </w:r>
    </w:p>
    <w:p w14:paraId="405128FF" w14:textId="77777777" w:rsidR="00B825AB" w:rsidRPr="00E10C92" w:rsidRDefault="00B825AB" w:rsidP="00E10C92">
      <w:pPr>
        <w:spacing w:line="480" w:lineRule="auto"/>
        <w:jc w:val="both"/>
        <w:rPr>
          <w:rFonts w:cstheme="minorHAnsi"/>
          <w:sz w:val="24"/>
          <w:szCs w:val="24"/>
          <w:u w:val="single"/>
        </w:rPr>
      </w:pPr>
      <w:r w:rsidRPr="00E10C92">
        <w:rPr>
          <w:rFonts w:cstheme="minorHAnsi"/>
          <w:sz w:val="24"/>
          <w:szCs w:val="24"/>
          <w:u w:val="single"/>
        </w:rPr>
        <w:t xml:space="preserve">Conclusion </w:t>
      </w:r>
    </w:p>
    <w:p w14:paraId="049E9748"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Throughout my study I gained a valuable insight into the history of the prison service and how this archive of information has contributed to the crisis that faces prisons in the UK today. I have a broader understanding of the contributing factors that have caused the crisis and conclude that prison reform needs to be addressed. Whilst the UK Government has designed a strategy to manage the crisis by building new prisons to accommodate the increased prison population Ministry of Justice (2018), my research suggested that this alone may not be the answer to prevent the prison crisis from spiralling out of control in the coming years.</w:t>
      </w:r>
    </w:p>
    <w:p w14:paraId="531E540F" w14:textId="77777777" w:rsidR="00B825AB" w:rsidRPr="00E10C92" w:rsidRDefault="00B825AB" w:rsidP="00E10C92">
      <w:pPr>
        <w:spacing w:line="480" w:lineRule="auto"/>
        <w:jc w:val="both"/>
        <w:rPr>
          <w:rFonts w:cstheme="minorHAnsi"/>
          <w:sz w:val="24"/>
          <w:szCs w:val="24"/>
          <w:u w:val="single"/>
        </w:rPr>
      </w:pPr>
      <w:r w:rsidRPr="00E10C92">
        <w:rPr>
          <w:rFonts w:cstheme="minorHAnsi"/>
          <w:sz w:val="24"/>
          <w:szCs w:val="24"/>
          <w:u w:val="single"/>
        </w:rPr>
        <w:t xml:space="preserve">Action Plan </w:t>
      </w:r>
    </w:p>
    <w:p w14:paraId="4D8BB869"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Upon undertaking further research, monitoring the wide range of literature I choose to read, to ensue I use a wide range of academic and credible sources, such as articles and books, rather than relying heavily on internet sources. </w:t>
      </w:r>
    </w:p>
    <w:p w14:paraId="042E82BE" w14:textId="77777777" w:rsidR="00B825AB" w:rsidRPr="00E10C92" w:rsidRDefault="00B825AB" w:rsidP="00E10C92">
      <w:pPr>
        <w:spacing w:line="480" w:lineRule="auto"/>
        <w:jc w:val="both"/>
        <w:rPr>
          <w:rFonts w:cstheme="minorHAnsi"/>
          <w:sz w:val="24"/>
          <w:szCs w:val="24"/>
        </w:rPr>
      </w:pPr>
      <w:proofErr w:type="gramStart"/>
      <w:r w:rsidRPr="00E10C92">
        <w:rPr>
          <w:rFonts w:cstheme="minorHAnsi"/>
          <w:sz w:val="24"/>
          <w:szCs w:val="24"/>
        </w:rPr>
        <w:t>In order to</w:t>
      </w:r>
      <w:proofErr w:type="gramEnd"/>
      <w:r w:rsidRPr="00E10C92">
        <w:rPr>
          <w:rFonts w:cstheme="minorHAnsi"/>
          <w:sz w:val="24"/>
          <w:szCs w:val="24"/>
        </w:rPr>
        <w:t xml:space="preserve"> further advance my knowledge and understanding of the impact of the global pandemic of the prison service, I will ensure to embrace the release of credible research and statistics that are collated and published.  </w:t>
      </w:r>
    </w:p>
    <w:p w14:paraId="075A6A66" w14:textId="42648D9C" w:rsidR="00B825AB" w:rsidRPr="00E10C92" w:rsidRDefault="00B825AB" w:rsidP="00E10C92">
      <w:pPr>
        <w:spacing w:line="480" w:lineRule="auto"/>
        <w:jc w:val="both"/>
        <w:rPr>
          <w:rFonts w:cstheme="minorHAnsi"/>
          <w:sz w:val="24"/>
          <w:szCs w:val="24"/>
        </w:rPr>
      </w:pPr>
      <w:r w:rsidRPr="00E10C92">
        <w:rPr>
          <w:rFonts w:cstheme="minorHAnsi"/>
          <w:sz w:val="24"/>
          <w:szCs w:val="24"/>
        </w:rPr>
        <w:lastRenderedPageBreak/>
        <w:t xml:space="preserve">This assignment has allowed me to appreciate the different methods of research and the importance of effective secondary analysis of literature. My confidence has grown when managing secondary research, which shall inevitably assist me with conducting primary research in preparation for my dissertation, through the analytical skills I have gained. </w:t>
      </w:r>
      <w:r w:rsidRPr="00E10C92">
        <w:rPr>
          <w:rFonts w:cstheme="minorHAnsi"/>
          <w:b/>
          <w:bCs/>
          <w:sz w:val="24"/>
          <w:szCs w:val="24"/>
        </w:rPr>
        <w:t>(136</w:t>
      </w:r>
      <w:r w:rsidR="006F1FAA">
        <w:rPr>
          <w:rFonts w:cstheme="minorHAnsi"/>
          <w:b/>
          <w:bCs/>
          <w:sz w:val="24"/>
          <w:szCs w:val="24"/>
        </w:rPr>
        <w:t>6</w:t>
      </w:r>
      <w:r w:rsidRPr="00E10C92">
        <w:rPr>
          <w:rFonts w:cstheme="minorHAnsi"/>
          <w:b/>
          <w:bCs/>
          <w:sz w:val="24"/>
          <w:szCs w:val="24"/>
        </w:rPr>
        <w:t>)</w:t>
      </w:r>
    </w:p>
    <w:p w14:paraId="32B08773" w14:textId="77777777" w:rsidR="00B825AB" w:rsidRPr="00E10C92" w:rsidRDefault="00B825AB" w:rsidP="00E10C92">
      <w:pPr>
        <w:spacing w:line="480" w:lineRule="auto"/>
        <w:jc w:val="both"/>
        <w:rPr>
          <w:rFonts w:cstheme="minorHAnsi"/>
          <w:sz w:val="24"/>
          <w:szCs w:val="24"/>
        </w:rPr>
      </w:pPr>
    </w:p>
    <w:p w14:paraId="394909B0" w14:textId="77777777" w:rsidR="00B825AB" w:rsidRPr="00E10C92" w:rsidRDefault="00B825AB" w:rsidP="00E10C92">
      <w:pPr>
        <w:spacing w:line="480" w:lineRule="auto"/>
        <w:jc w:val="both"/>
        <w:rPr>
          <w:rFonts w:cstheme="minorHAnsi"/>
          <w:sz w:val="24"/>
          <w:szCs w:val="24"/>
        </w:rPr>
      </w:pPr>
    </w:p>
    <w:p w14:paraId="420586A5" w14:textId="77777777" w:rsidR="00B825AB" w:rsidRPr="00E10C92" w:rsidRDefault="00B825AB" w:rsidP="00E10C92">
      <w:pPr>
        <w:spacing w:line="480" w:lineRule="auto"/>
        <w:jc w:val="both"/>
        <w:rPr>
          <w:rFonts w:cstheme="minorHAnsi"/>
          <w:sz w:val="24"/>
          <w:szCs w:val="24"/>
        </w:rPr>
      </w:pPr>
    </w:p>
    <w:p w14:paraId="690B3C62" w14:textId="77777777" w:rsidR="00B825AB" w:rsidRPr="00E10C92" w:rsidRDefault="00B825AB" w:rsidP="00E10C92">
      <w:pPr>
        <w:spacing w:line="480" w:lineRule="auto"/>
        <w:jc w:val="both"/>
        <w:rPr>
          <w:rFonts w:cstheme="minorHAnsi"/>
          <w:sz w:val="24"/>
          <w:szCs w:val="24"/>
        </w:rPr>
      </w:pPr>
    </w:p>
    <w:p w14:paraId="6F1870A3" w14:textId="77777777" w:rsidR="00B825AB" w:rsidRPr="00E10C92" w:rsidRDefault="00B825AB" w:rsidP="00E10C92">
      <w:pPr>
        <w:spacing w:line="480" w:lineRule="auto"/>
        <w:jc w:val="both"/>
        <w:rPr>
          <w:rFonts w:cstheme="minorHAnsi"/>
          <w:sz w:val="24"/>
          <w:szCs w:val="24"/>
        </w:rPr>
      </w:pPr>
    </w:p>
    <w:p w14:paraId="17A612C8" w14:textId="77777777" w:rsidR="00B825AB" w:rsidRPr="00E10C92" w:rsidRDefault="00B825AB" w:rsidP="00E10C92">
      <w:pPr>
        <w:spacing w:line="480" w:lineRule="auto"/>
        <w:jc w:val="both"/>
        <w:rPr>
          <w:rFonts w:cstheme="minorHAnsi"/>
          <w:sz w:val="24"/>
          <w:szCs w:val="24"/>
        </w:rPr>
      </w:pPr>
    </w:p>
    <w:p w14:paraId="592B35FB" w14:textId="48E54A77" w:rsidR="00B825AB" w:rsidRDefault="00B825AB" w:rsidP="00E10C92">
      <w:pPr>
        <w:spacing w:line="480" w:lineRule="auto"/>
        <w:jc w:val="both"/>
        <w:rPr>
          <w:rFonts w:cstheme="minorHAnsi"/>
          <w:sz w:val="24"/>
          <w:szCs w:val="24"/>
        </w:rPr>
      </w:pPr>
    </w:p>
    <w:p w14:paraId="1F66956B" w14:textId="3D7EE9B6" w:rsidR="00DB065A" w:rsidRDefault="00DB065A" w:rsidP="00E10C92">
      <w:pPr>
        <w:spacing w:line="480" w:lineRule="auto"/>
        <w:jc w:val="both"/>
        <w:rPr>
          <w:rFonts w:cstheme="minorHAnsi"/>
          <w:sz w:val="24"/>
          <w:szCs w:val="24"/>
        </w:rPr>
      </w:pPr>
    </w:p>
    <w:p w14:paraId="48D8BBAA" w14:textId="3DA44CB6" w:rsidR="00DB065A" w:rsidRDefault="00DB065A" w:rsidP="00E10C92">
      <w:pPr>
        <w:spacing w:line="480" w:lineRule="auto"/>
        <w:jc w:val="both"/>
        <w:rPr>
          <w:rFonts w:cstheme="minorHAnsi"/>
          <w:sz w:val="24"/>
          <w:szCs w:val="24"/>
        </w:rPr>
      </w:pPr>
    </w:p>
    <w:p w14:paraId="631FC7CB" w14:textId="5540A33E" w:rsidR="00DB065A" w:rsidRDefault="00DB065A" w:rsidP="00E10C92">
      <w:pPr>
        <w:spacing w:line="480" w:lineRule="auto"/>
        <w:jc w:val="both"/>
        <w:rPr>
          <w:rFonts w:cstheme="minorHAnsi"/>
          <w:sz w:val="24"/>
          <w:szCs w:val="24"/>
        </w:rPr>
      </w:pPr>
    </w:p>
    <w:p w14:paraId="2BC35BF7" w14:textId="00ABCF6D" w:rsidR="00DB065A" w:rsidRDefault="00DB065A" w:rsidP="00E10C92">
      <w:pPr>
        <w:spacing w:line="480" w:lineRule="auto"/>
        <w:jc w:val="both"/>
        <w:rPr>
          <w:rFonts w:cstheme="minorHAnsi"/>
          <w:sz w:val="24"/>
          <w:szCs w:val="24"/>
        </w:rPr>
      </w:pPr>
    </w:p>
    <w:p w14:paraId="5A414104" w14:textId="14682E0B" w:rsidR="00DB065A" w:rsidRDefault="00DB065A" w:rsidP="00E10C92">
      <w:pPr>
        <w:spacing w:line="480" w:lineRule="auto"/>
        <w:jc w:val="both"/>
        <w:rPr>
          <w:rFonts w:cstheme="minorHAnsi"/>
          <w:sz w:val="24"/>
          <w:szCs w:val="24"/>
        </w:rPr>
      </w:pPr>
    </w:p>
    <w:p w14:paraId="7BBB1709" w14:textId="536FB991" w:rsidR="00DB065A" w:rsidRDefault="00DB065A" w:rsidP="00E10C92">
      <w:pPr>
        <w:spacing w:line="480" w:lineRule="auto"/>
        <w:jc w:val="both"/>
        <w:rPr>
          <w:rFonts w:cstheme="minorHAnsi"/>
          <w:sz w:val="24"/>
          <w:szCs w:val="24"/>
        </w:rPr>
      </w:pPr>
    </w:p>
    <w:p w14:paraId="002ECEEA" w14:textId="77777777" w:rsidR="00DB065A" w:rsidRPr="00E10C92" w:rsidRDefault="00DB065A" w:rsidP="00E10C92">
      <w:pPr>
        <w:spacing w:line="480" w:lineRule="auto"/>
        <w:jc w:val="both"/>
        <w:rPr>
          <w:rFonts w:cstheme="minorHAnsi"/>
          <w:sz w:val="24"/>
          <w:szCs w:val="24"/>
        </w:rPr>
      </w:pPr>
    </w:p>
    <w:p w14:paraId="69C2C848" w14:textId="77777777" w:rsidR="00B825AB" w:rsidRPr="00E10C92" w:rsidRDefault="00B825AB" w:rsidP="00E10C92">
      <w:pPr>
        <w:spacing w:line="480" w:lineRule="auto"/>
        <w:jc w:val="both"/>
        <w:rPr>
          <w:rFonts w:cstheme="minorHAnsi"/>
          <w:sz w:val="24"/>
          <w:szCs w:val="24"/>
        </w:rPr>
      </w:pPr>
    </w:p>
    <w:p w14:paraId="708A53C9" w14:textId="77777777" w:rsidR="00B825AB" w:rsidRPr="00E10C92" w:rsidRDefault="00B825AB" w:rsidP="00E10C92">
      <w:pPr>
        <w:spacing w:line="480" w:lineRule="auto"/>
        <w:jc w:val="both"/>
        <w:rPr>
          <w:rFonts w:cstheme="minorHAnsi"/>
          <w:sz w:val="24"/>
          <w:szCs w:val="24"/>
          <w:u w:val="single"/>
        </w:rPr>
      </w:pPr>
      <w:r w:rsidRPr="00E10C92">
        <w:rPr>
          <w:rFonts w:cstheme="minorHAnsi"/>
          <w:sz w:val="24"/>
          <w:szCs w:val="24"/>
          <w:u w:val="single"/>
        </w:rPr>
        <w:lastRenderedPageBreak/>
        <w:t>References</w:t>
      </w:r>
    </w:p>
    <w:p w14:paraId="05BD39DD"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Blakey, R, (2017) </w:t>
      </w:r>
      <w:r w:rsidRPr="00E10C92">
        <w:rPr>
          <w:rFonts w:cstheme="minorHAnsi"/>
          <w:sz w:val="24"/>
          <w:szCs w:val="24"/>
          <w:u w:val="single"/>
        </w:rPr>
        <w:t>Rehabilitation in Prisons</w:t>
      </w:r>
      <w:r w:rsidRPr="00E10C92">
        <w:rPr>
          <w:rFonts w:cstheme="minorHAnsi"/>
          <w:sz w:val="24"/>
          <w:szCs w:val="24"/>
        </w:rPr>
        <w:t xml:space="preserve">, Available at: </w:t>
      </w:r>
      <w:hyperlink r:id="rId18" w:history="1">
        <w:r w:rsidRPr="00E10C92">
          <w:rPr>
            <w:rFonts w:cstheme="minorHAnsi"/>
            <w:sz w:val="24"/>
            <w:szCs w:val="24"/>
            <w:u w:val="single"/>
          </w:rPr>
          <w:t>Rehabilitation in Prisons (parliament.uk)</w:t>
        </w:r>
      </w:hyperlink>
      <w:r w:rsidRPr="00E10C92">
        <w:rPr>
          <w:rFonts w:cstheme="minorHAnsi"/>
          <w:sz w:val="24"/>
          <w:szCs w:val="24"/>
        </w:rPr>
        <w:t xml:space="preserve"> Accessed 12 October 2021</w:t>
      </w:r>
    </w:p>
    <w:p w14:paraId="47617FDE"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Coyle, A, (2005) </w:t>
      </w:r>
      <w:r w:rsidRPr="00E10C92">
        <w:rPr>
          <w:rFonts w:cstheme="minorHAnsi"/>
          <w:sz w:val="24"/>
          <w:szCs w:val="24"/>
          <w:u w:val="single"/>
        </w:rPr>
        <w:t xml:space="preserve">Understanding Prisons: Key Issues in Policy and Practice, </w:t>
      </w:r>
      <w:r w:rsidRPr="00E10C92">
        <w:rPr>
          <w:rFonts w:cstheme="minorHAnsi"/>
          <w:sz w:val="24"/>
          <w:szCs w:val="24"/>
        </w:rPr>
        <w:t>McGraw-Hill Education, UK,</w:t>
      </w:r>
    </w:p>
    <w:p w14:paraId="0273446A"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Gibbs, G (1988) Learning by Doing: A guide to teaching and learning methods, Oxford: Further Education Unit, Oxford Polytechnic</w:t>
      </w:r>
    </w:p>
    <w:p w14:paraId="1B14450A"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Looman, M and Carl J, (2015) </w:t>
      </w:r>
      <w:r w:rsidRPr="00E10C92">
        <w:rPr>
          <w:rFonts w:cstheme="minorHAnsi"/>
          <w:sz w:val="24"/>
          <w:szCs w:val="24"/>
          <w:u w:val="single"/>
        </w:rPr>
        <w:t>A country Called Prison: Mass Incarceration and the Making of a New Nation</w:t>
      </w:r>
      <w:r w:rsidRPr="00E10C92">
        <w:rPr>
          <w:rFonts w:cstheme="minorHAnsi"/>
          <w:sz w:val="24"/>
          <w:szCs w:val="24"/>
        </w:rPr>
        <w:t xml:space="preserve">, Oxford University Press, New York </w:t>
      </w:r>
    </w:p>
    <w:p w14:paraId="73A962C1" w14:textId="77777777" w:rsidR="00B825AB" w:rsidRPr="00E10C92" w:rsidRDefault="00B825AB" w:rsidP="00E10C92">
      <w:pPr>
        <w:spacing w:line="480" w:lineRule="auto"/>
        <w:jc w:val="both"/>
        <w:rPr>
          <w:rStyle w:val="Hyperlink"/>
          <w:rFonts w:cstheme="minorHAnsi"/>
          <w:color w:val="auto"/>
          <w:sz w:val="24"/>
          <w:szCs w:val="24"/>
        </w:rPr>
      </w:pPr>
      <w:r w:rsidRPr="00E10C92">
        <w:rPr>
          <w:rFonts w:cstheme="minorHAnsi"/>
          <w:sz w:val="24"/>
          <w:szCs w:val="24"/>
        </w:rPr>
        <w:t xml:space="preserve">Ministry of Justice, (2018) Prison Reform Speech, Available at: </w:t>
      </w:r>
      <w:hyperlink r:id="rId19" w:history="1">
        <w:r w:rsidRPr="00E10C92">
          <w:rPr>
            <w:rFonts w:cstheme="minorHAnsi"/>
            <w:sz w:val="24"/>
            <w:szCs w:val="24"/>
            <w:u w:val="single"/>
          </w:rPr>
          <w:t>Prisons reform speech - GOV.UK (www.gov.uk)</w:t>
        </w:r>
      </w:hyperlink>
      <w:r w:rsidRPr="00E10C92">
        <w:rPr>
          <w:rFonts w:cstheme="minorHAnsi"/>
          <w:sz w:val="24"/>
          <w:szCs w:val="24"/>
        </w:rPr>
        <w:t xml:space="preserve"> Accessed 16 December 2021</w:t>
      </w:r>
    </w:p>
    <w:p w14:paraId="443E79F4" w14:textId="023A2CAF"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Morris, N and Rothman D, (1995) </w:t>
      </w:r>
      <w:r w:rsidRPr="00E10C92">
        <w:rPr>
          <w:rFonts w:cstheme="minorHAnsi"/>
          <w:sz w:val="24"/>
          <w:szCs w:val="24"/>
          <w:u w:val="single"/>
        </w:rPr>
        <w:t xml:space="preserve">The Practice of Punishment </w:t>
      </w:r>
      <w:r w:rsidR="006F1FAA" w:rsidRPr="00E10C92">
        <w:rPr>
          <w:rFonts w:cstheme="minorHAnsi"/>
          <w:sz w:val="24"/>
          <w:szCs w:val="24"/>
          <w:u w:val="single"/>
        </w:rPr>
        <w:t>in</w:t>
      </w:r>
      <w:r w:rsidRPr="00E10C92">
        <w:rPr>
          <w:rFonts w:cstheme="minorHAnsi"/>
          <w:sz w:val="24"/>
          <w:szCs w:val="24"/>
          <w:u w:val="single"/>
        </w:rPr>
        <w:t xml:space="preserve"> Western Society,</w:t>
      </w:r>
      <w:r w:rsidRPr="00E10C92">
        <w:rPr>
          <w:rFonts w:cstheme="minorHAnsi"/>
          <w:sz w:val="24"/>
          <w:szCs w:val="24"/>
        </w:rPr>
        <w:t xml:space="preserve"> Oxford Press, New York </w:t>
      </w:r>
    </w:p>
    <w:p w14:paraId="2BD95896" w14:textId="77777777" w:rsidR="00B825AB" w:rsidRPr="00E10C92" w:rsidRDefault="00B825AB" w:rsidP="00E10C92">
      <w:pPr>
        <w:spacing w:line="480" w:lineRule="auto"/>
        <w:jc w:val="both"/>
        <w:rPr>
          <w:rFonts w:cstheme="minorHAnsi"/>
          <w:sz w:val="24"/>
          <w:szCs w:val="24"/>
        </w:rPr>
      </w:pPr>
      <w:r w:rsidRPr="00E10C92">
        <w:rPr>
          <w:rFonts w:cstheme="minorHAnsi"/>
          <w:sz w:val="24"/>
          <w:szCs w:val="24"/>
        </w:rPr>
        <w:t xml:space="preserve">Prison Reform Trust (2021) Projected 25% Increase in prison numbers will undermine post pandemic prison recovery, Available at: </w:t>
      </w:r>
      <w:hyperlink r:id="rId20" w:history="1">
        <w:r w:rsidRPr="00E10C92">
          <w:rPr>
            <w:rFonts w:cstheme="minorHAnsi"/>
            <w:sz w:val="24"/>
            <w:szCs w:val="24"/>
            <w:u w:val="single"/>
          </w:rPr>
          <w:t>Prison Reform Trust &gt; Press &amp; Policy &gt; News</w:t>
        </w:r>
      </w:hyperlink>
      <w:r w:rsidRPr="00E10C92">
        <w:rPr>
          <w:rFonts w:cstheme="minorHAnsi"/>
          <w:sz w:val="24"/>
          <w:szCs w:val="24"/>
          <w:u w:val="single"/>
        </w:rPr>
        <w:t xml:space="preserve"> </w:t>
      </w:r>
      <w:r w:rsidRPr="00E10C92">
        <w:rPr>
          <w:rFonts w:cstheme="minorHAnsi"/>
          <w:sz w:val="24"/>
          <w:szCs w:val="24"/>
        </w:rPr>
        <w:t>Accessed 15 October 2021</w:t>
      </w:r>
    </w:p>
    <w:p w14:paraId="4C284F41" w14:textId="77777777" w:rsidR="00B825AB" w:rsidRPr="00E10C92" w:rsidRDefault="00B825AB" w:rsidP="00E10C92">
      <w:pPr>
        <w:spacing w:line="480" w:lineRule="auto"/>
        <w:jc w:val="both"/>
        <w:rPr>
          <w:rStyle w:val="Hyperlink"/>
          <w:rFonts w:cstheme="minorHAnsi"/>
          <w:color w:val="auto"/>
          <w:sz w:val="24"/>
          <w:szCs w:val="24"/>
        </w:rPr>
      </w:pPr>
      <w:r w:rsidRPr="00E10C92">
        <w:rPr>
          <w:rFonts w:cstheme="minorHAnsi"/>
          <w:sz w:val="24"/>
          <w:szCs w:val="24"/>
        </w:rPr>
        <w:t xml:space="preserve">UK Parliament (2019) Prison Estate in “Appalling” State of Crisis, Available at: </w:t>
      </w:r>
      <w:hyperlink r:id="rId21" w:history="1">
        <w:r w:rsidRPr="00E10C92">
          <w:rPr>
            <w:rStyle w:val="Hyperlink"/>
            <w:rFonts w:cstheme="minorHAnsi"/>
            <w:color w:val="auto"/>
            <w:sz w:val="24"/>
            <w:szCs w:val="24"/>
          </w:rPr>
          <w:t>Prison estate in “appalling” state of crisis - Committees - UK Parliament</w:t>
        </w:r>
      </w:hyperlink>
      <w:r w:rsidRPr="00E10C92">
        <w:rPr>
          <w:rStyle w:val="Hyperlink"/>
          <w:rFonts w:cstheme="minorHAnsi"/>
          <w:color w:val="auto"/>
          <w:sz w:val="24"/>
          <w:szCs w:val="24"/>
          <w:u w:val="none"/>
        </w:rPr>
        <w:t xml:space="preserve"> Accessed 16 December 2021</w:t>
      </w:r>
    </w:p>
    <w:p w14:paraId="41754582" w14:textId="77777777" w:rsidR="00B825AB" w:rsidRPr="00E10C92" w:rsidRDefault="00B825AB" w:rsidP="00E10C92">
      <w:pPr>
        <w:spacing w:after="0" w:line="480" w:lineRule="auto"/>
        <w:jc w:val="both"/>
        <w:rPr>
          <w:rFonts w:eastAsia="Times New Roman" w:cstheme="minorHAnsi"/>
          <w:color w:val="000000" w:themeColor="text1"/>
          <w:sz w:val="24"/>
          <w:szCs w:val="24"/>
          <w:lang w:eastAsia="en-GB"/>
        </w:rPr>
      </w:pPr>
      <w:r w:rsidRPr="00E10C92">
        <w:rPr>
          <w:rFonts w:eastAsia="Times New Roman" w:cstheme="minorHAnsi"/>
          <w:color w:val="000000" w:themeColor="text1"/>
          <w:sz w:val="24"/>
          <w:szCs w:val="24"/>
          <w:shd w:val="clear" w:color="auto" w:fill="FFFFFF"/>
          <w:lang w:eastAsia="en-GB"/>
        </w:rPr>
        <w:t xml:space="preserve">The University of Edinburgh, (2019) </w:t>
      </w:r>
      <w:r w:rsidRPr="00E10C92">
        <w:rPr>
          <w:rFonts w:eastAsia="Times New Roman" w:cstheme="minorHAnsi"/>
          <w:color w:val="000000" w:themeColor="text1"/>
          <w:sz w:val="24"/>
          <w:szCs w:val="24"/>
          <w:lang w:eastAsia="en-GB"/>
        </w:rPr>
        <w:t>The Reflection Toolkit: Gibbs' Reflective Cycle</w:t>
      </w:r>
      <w:r w:rsidRPr="00E10C92">
        <w:rPr>
          <w:rFonts w:eastAsia="Times New Roman" w:cstheme="minorHAnsi"/>
          <w:color w:val="000000" w:themeColor="text1"/>
          <w:sz w:val="24"/>
          <w:szCs w:val="24"/>
          <w:shd w:val="clear" w:color="auto" w:fill="FFFFFF"/>
          <w:lang w:eastAsia="en-GB"/>
        </w:rPr>
        <w:t xml:space="preserve">. Available at: </w:t>
      </w:r>
      <w:r w:rsidRPr="00E10C92">
        <w:rPr>
          <w:rFonts w:eastAsia="Times New Roman" w:cstheme="minorHAnsi"/>
          <w:color w:val="000000" w:themeColor="text1"/>
          <w:sz w:val="24"/>
          <w:szCs w:val="24"/>
          <w:u w:val="single"/>
          <w:shd w:val="clear" w:color="auto" w:fill="FFFFFF"/>
          <w:lang w:eastAsia="en-GB"/>
        </w:rPr>
        <w:t>&lt;https://www.ed.ac.uk/reflection/reflectors-toolkit/reflecting-on-experience/gibbs-reflective-cycle&gt;</w:t>
      </w:r>
      <w:r w:rsidRPr="00E10C92">
        <w:rPr>
          <w:rFonts w:eastAsia="Times New Roman" w:cstheme="minorHAnsi"/>
          <w:color w:val="000000" w:themeColor="text1"/>
          <w:sz w:val="24"/>
          <w:szCs w:val="24"/>
          <w:shd w:val="clear" w:color="auto" w:fill="FFFFFF"/>
          <w:lang w:eastAsia="en-GB"/>
        </w:rPr>
        <w:t xml:space="preserve"> Accessed 16 December 2021</w:t>
      </w:r>
    </w:p>
    <w:p w14:paraId="19C8E82B" w14:textId="4148E475" w:rsidR="00DB065A" w:rsidRDefault="00DB065A" w:rsidP="00DB065A">
      <w:pPr>
        <w:jc w:val="center"/>
        <w:rPr>
          <w:sz w:val="28"/>
          <w:szCs w:val="28"/>
        </w:rPr>
      </w:pPr>
      <w:r>
        <w:rPr>
          <w:sz w:val="28"/>
          <w:szCs w:val="28"/>
        </w:rPr>
        <w:lastRenderedPageBreak/>
        <w:t>Academic Poster</w:t>
      </w:r>
    </w:p>
    <w:p w14:paraId="4B7F6933" w14:textId="77777777" w:rsidR="00DB065A" w:rsidRPr="00EA5553" w:rsidRDefault="00DB065A" w:rsidP="00DB065A">
      <w:pPr>
        <w:jc w:val="center"/>
        <w:rPr>
          <w:sz w:val="28"/>
          <w:szCs w:val="28"/>
        </w:rPr>
      </w:pPr>
      <w:r w:rsidRPr="00EA5553">
        <w:rPr>
          <w:sz w:val="28"/>
          <w:szCs w:val="28"/>
        </w:rPr>
        <w:t>By Sarah Jones</w:t>
      </w:r>
    </w:p>
    <w:p w14:paraId="4E924ECB" w14:textId="4D024703" w:rsidR="00A27BFF" w:rsidRDefault="00A27BFF" w:rsidP="00C313A1">
      <w:pPr>
        <w:jc w:val="center"/>
        <w:rPr>
          <w:sz w:val="24"/>
          <w:szCs w:val="24"/>
        </w:rPr>
      </w:pPr>
    </w:p>
    <w:p w14:paraId="6B6B1CF2" w14:textId="756E95B0" w:rsidR="00C313A1" w:rsidRDefault="00C313A1" w:rsidP="00C313A1">
      <w:pPr>
        <w:jc w:val="center"/>
        <w:rPr>
          <w:sz w:val="24"/>
          <w:szCs w:val="24"/>
        </w:rPr>
      </w:pPr>
      <w:r>
        <w:rPr>
          <w:noProof/>
        </w:rPr>
        <w:drawing>
          <wp:inline distT="0" distB="0" distL="0" distR="0" wp14:anchorId="5CEE9020" wp14:editId="7A60FA48">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E7172C1" w14:textId="571F0285" w:rsidR="00C313A1" w:rsidRDefault="00C313A1" w:rsidP="00F41AFC">
      <w:pPr>
        <w:spacing w:line="480" w:lineRule="auto"/>
        <w:jc w:val="center"/>
        <w:rPr>
          <w:sz w:val="24"/>
          <w:szCs w:val="24"/>
        </w:rPr>
      </w:pPr>
    </w:p>
    <w:p w14:paraId="5BB07C89" w14:textId="4C4F59D1" w:rsidR="00C313A1" w:rsidRPr="00002049" w:rsidRDefault="00002049" w:rsidP="003C048B">
      <w:pPr>
        <w:spacing w:line="480" w:lineRule="auto"/>
        <w:jc w:val="both"/>
        <w:rPr>
          <w:sz w:val="24"/>
          <w:szCs w:val="24"/>
          <w:u w:val="single"/>
        </w:rPr>
      </w:pPr>
      <w:r w:rsidRPr="00002049">
        <w:rPr>
          <w:sz w:val="24"/>
          <w:szCs w:val="24"/>
          <w:u w:val="single"/>
        </w:rPr>
        <w:t>References</w:t>
      </w:r>
    </w:p>
    <w:p w14:paraId="3539FA9E" w14:textId="77777777" w:rsidR="009813F5" w:rsidRPr="009813F5" w:rsidRDefault="009813F5" w:rsidP="003C048B">
      <w:pPr>
        <w:tabs>
          <w:tab w:val="left" w:pos="720"/>
        </w:tabs>
        <w:spacing w:line="480" w:lineRule="auto"/>
        <w:jc w:val="both"/>
        <w:rPr>
          <w:sz w:val="24"/>
          <w:szCs w:val="24"/>
        </w:rPr>
      </w:pPr>
      <w:r w:rsidRPr="009813F5">
        <w:rPr>
          <w:rFonts w:ascii="Calibri" w:eastAsia="Calibri" w:hAnsi="Calibri"/>
          <w:color w:val="000000"/>
          <w:kern w:val="24"/>
          <w:sz w:val="24"/>
          <w:szCs w:val="24"/>
        </w:rPr>
        <w:t>Braithwaite, J (2002) </w:t>
      </w:r>
      <w:r w:rsidRPr="009813F5">
        <w:rPr>
          <w:rFonts w:ascii="Calibri" w:eastAsia="Calibri" w:hAnsi="Calibri"/>
          <w:color w:val="000000"/>
          <w:kern w:val="24"/>
          <w:sz w:val="24"/>
          <w:szCs w:val="24"/>
          <w:u w:val="single"/>
        </w:rPr>
        <w:t>Restorative Justice and Responsive Regulation, Studies in Crime and Public Policy</w:t>
      </w:r>
      <w:r w:rsidRPr="009813F5">
        <w:rPr>
          <w:rFonts w:ascii="Calibri" w:eastAsia="Calibri" w:hAnsi="Calibri"/>
          <w:color w:val="000000"/>
          <w:kern w:val="24"/>
          <w:sz w:val="24"/>
          <w:szCs w:val="24"/>
        </w:rPr>
        <w:t>, Oxford University Press, Oxford</w:t>
      </w:r>
    </w:p>
    <w:p w14:paraId="2278F6BA" w14:textId="77777777" w:rsidR="00002049" w:rsidRPr="00002049" w:rsidRDefault="00002049" w:rsidP="003C048B">
      <w:pPr>
        <w:tabs>
          <w:tab w:val="left" w:pos="720"/>
        </w:tabs>
        <w:spacing w:after="0" w:line="480" w:lineRule="auto"/>
        <w:contextualSpacing/>
        <w:jc w:val="both"/>
        <w:rPr>
          <w:rFonts w:ascii="Times New Roman" w:eastAsia="Times New Roman" w:hAnsi="Times New Roman" w:cs="Times New Roman"/>
          <w:sz w:val="24"/>
          <w:szCs w:val="24"/>
          <w:lang w:eastAsia="en-GB"/>
        </w:rPr>
      </w:pPr>
      <w:r w:rsidRPr="00002049">
        <w:rPr>
          <w:rFonts w:ascii="Calibri" w:eastAsia="Calibri" w:hAnsi="Calibri" w:cs="Times New Roman"/>
          <w:color w:val="000000"/>
          <w:kern w:val="24"/>
          <w:sz w:val="24"/>
          <w:szCs w:val="24"/>
          <w:lang w:eastAsia="en-GB"/>
        </w:rPr>
        <w:t xml:space="preserve">Canada System of Justice, (2018) The Effectiveness of Restorative Justice Practices: A Meta Analysis, Available at: </w:t>
      </w:r>
      <w:hyperlink r:id="rId24" w:history="1">
        <w:r w:rsidRPr="00002049">
          <w:rPr>
            <w:rFonts w:ascii="Calibri" w:eastAsia="+mn-ea" w:hAnsi="Calibri" w:cs="+mn-cs"/>
            <w:color w:val="000000"/>
            <w:kern w:val="24"/>
            <w:sz w:val="24"/>
            <w:szCs w:val="24"/>
            <w:u w:val="single"/>
            <w:lang w:eastAsia="en-GB"/>
          </w:rPr>
          <w:t>Conclusion - The Effectiveness of Restorative Justice Practices: A Meta-Analysis</w:t>
        </w:r>
      </w:hyperlink>
      <w:r w:rsidRPr="00002049">
        <w:rPr>
          <w:rFonts w:ascii="Calibri" w:eastAsia="+mn-ea" w:hAnsi="Calibri" w:cs="+mn-cs"/>
          <w:color w:val="000000"/>
          <w:kern w:val="24"/>
          <w:sz w:val="24"/>
          <w:szCs w:val="24"/>
          <w:lang w:eastAsia="en-GB"/>
        </w:rPr>
        <w:t xml:space="preserve"> Accessed 04 November 2021</w:t>
      </w:r>
    </w:p>
    <w:p w14:paraId="159DFB2A" w14:textId="77777777" w:rsidR="00002049" w:rsidRPr="00002049" w:rsidRDefault="00002049" w:rsidP="003C048B">
      <w:pPr>
        <w:tabs>
          <w:tab w:val="left" w:pos="720"/>
        </w:tabs>
        <w:spacing w:after="0" w:line="480" w:lineRule="auto"/>
        <w:contextualSpacing/>
        <w:jc w:val="both"/>
        <w:rPr>
          <w:rFonts w:ascii="Times New Roman" w:eastAsia="Times New Roman" w:hAnsi="Times New Roman" w:cs="Times New Roman"/>
          <w:sz w:val="24"/>
          <w:szCs w:val="24"/>
          <w:lang w:eastAsia="en-GB"/>
        </w:rPr>
      </w:pPr>
      <w:r w:rsidRPr="00002049">
        <w:rPr>
          <w:rFonts w:ascii="Calibri" w:eastAsia="Calibri" w:hAnsi="Calibri" w:cs="Times New Roman"/>
          <w:color w:val="000000"/>
          <w:kern w:val="24"/>
          <w:sz w:val="24"/>
          <w:szCs w:val="24"/>
          <w:lang w:eastAsia="en-GB"/>
        </w:rPr>
        <w:t xml:space="preserve">Crown Prosecution Service, (2019) Restorative Justice, Available at: </w:t>
      </w:r>
      <w:hyperlink r:id="rId25" w:history="1">
        <w:r w:rsidRPr="00002049">
          <w:rPr>
            <w:rFonts w:ascii="Calibri" w:eastAsia="Calibri" w:hAnsi="Calibri" w:cs="Times New Roman"/>
            <w:color w:val="000000"/>
            <w:kern w:val="24"/>
            <w:sz w:val="24"/>
            <w:szCs w:val="24"/>
            <w:u w:val="single"/>
            <w:lang w:eastAsia="en-GB"/>
          </w:rPr>
          <w:t>Restorative Justice | The Crown Prosecution Service (cps.gov.uk)</w:t>
        </w:r>
      </w:hyperlink>
      <w:r w:rsidRPr="00002049">
        <w:rPr>
          <w:rFonts w:ascii="Calibri" w:eastAsia="Calibri" w:hAnsi="Calibri" w:cs="Times New Roman"/>
          <w:color w:val="000000"/>
          <w:kern w:val="24"/>
          <w:sz w:val="24"/>
          <w:szCs w:val="24"/>
          <w:lang w:eastAsia="en-GB"/>
        </w:rPr>
        <w:t xml:space="preserve"> Accessed 03 November 2021</w:t>
      </w:r>
    </w:p>
    <w:p w14:paraId="68B93992" w14:textId="77777777" w:rsidR="00002049" w:rsidRPr="00002049" w:rsidRDefault="00002049" w:rsidP="003C048B">
      <w:pPr>
        <w:tabs>
          <w:tab w:val="left" w:pos="720"/>
        </w:tabs>
        <w:spacing w:after="0" w:line="480" w:lineRule="auto"/>
        <w:contextualSpacing/>
        <w:jc w:val="both"/>
        <w:rPr>
          <w:rFonts w:ascii="Times New Roman" w:eastAsia="Times New Roman" w:hAnsi="Times New Roman" w:cs="Times New Roman"/>
          <w:sz w:val="24"/>
          <w:szCs w:val="24"/>
          <w:lang w:eastAsia="en-GB"/>
        </w:rPr>
      </w:pPr>
      <w:r w:rsidRPr="00002049">
        <w:rPr>
          <w:rFonts w:ascii="Calibri" w:eastAsia="Calibri" w:hAnsi="Calibri" w:cs="Times New Roman"/>
          <w:color w:val="000000"/>
          <w:kern w:val="24"/>
          <w:sz w:val="24"/>
          <w:szCs w:val="24"/>
          <w:lang w:eastAsia="en-GB"/>
        </w:rPr>
        <w:t xml:space="preserve">Ministry of Justice, (2010) Green Paper Evidence Report: Breaking the Cycle, Effective Punishment, Rehabilitation and Sentencing Offenders, Available at: </w:t>
      </w:r>
      <w:hyperlink r:id="rId26" w:history="1">
        <w:r w:rsidRPr="00002049">
          <w:rPr>
            <w:rFonts w:ascii="Calibri" w:eastAsia="Calibri" w:hAnsi="Calibri" w:cs="Times New Roman"/>
            <w:color w:val="000000"/>
            <w:kern w:val="24"/>
            <w:sz w:val="24"/>
            <w:szCs w:val="24"/>
            <w:u w:val="single"/>
            <w:lang w:eastAsia="en-GB"/>
          </w:rPr>
          <w:t xml:space="preserve">Green Paper Evidence </w:t>
        </w:r>
        <w:r w:rsidRPr="00002049">
          <w:rPr>
            <w:rFonts w:ascii="Calibri" w:eastAsia="Calibri" w:hAnsi="Calibri" w:cs="Times New Roman"/>
            <w:color w:val="000000"/>
            <w:kern w:val="24"/>
            <w:sz w:val="24"/>
            <w:szCs w:val="24"/>
            <w:u w:val="single"/>
            <w:lang w:eastAsia="en-GB"/>
          </w:rPr>
          <w:lastRenderedPageBreak/>
          <w:t>Report - Breaking the Cycle: Effective Punishment, Rehabilitation and Sentencing of Offenders (restorativejustice.org.uk)</w:t>
        </w:r>
      </w:hyperlink>
      <w:r w:rsidRPr="00002049">
        <w:rPr>
          <w:rFonts w:ascii="Calibri" w:eastAsia="Calibri" w:hAnsi="Calibri" w:cs="Times New Roman"/>
          <w:color w:val="000000"/>
          <w:kern w:val="24"/>
          <w:sz w:val="24"/>
          <w:szCs w:val="24"/>
          <w:lang w:eastAsia="en-GB"/>
        </w:rPr>
        <w:t xml:space="preserve"> Accessed 03 November 2021</w:t>
      </w:r>
    </w:p>
    <w:p w14:paraId="24E2828A" w14:textId="77777777" w:rsidR="00002049" w:rsidRPr="00002049" w:rsidRDefault="00002049" w:rsidP="003C048B">
      <w:pPr>
        <w:tabs>
          <w:tab w:val="left" w:pos="720"/>
        </w:tabs>
        <w:spacing w:after="0" w:line="480" w:lineRule="auto"/>
        <w:contextualSpacing/>
        <w:jc w:val="both"/>
        <w:rPr>
          <w:rFonts w:ascii="Times New Roman" w:eastAsia="Times New Roman" w:hAnsi="Times New Roman" w:cs="Times New Roman"/>
          <w:sz w:val="24"/>
          <w:szCs w:val="24"/>
          <w:lang w:eastAsia="en-GB"/>
        </w:rPr>
      </w:pPr>
      <w:r w:rsidRPr="00002049">
        <w:rPr>
          <w:rFonts w:ascii="Calibri" w:eastAsia="Calibri" w:hAnsi="Calibri" w:cs="Times New Roman"/>
          <w:color w:val="000000"/>
          <w:kern w:val="24"/>
          <w:sz w:val="24"/>
          <w:szCs w:val="24"/>
          <w:lang w:eastAsia="en-GB"/>
        </w:rPr>
        <w:t xml:space="preserve">Ministry of Justice, (2014) Reoffending Analysis for Restorative Justice Cases 2008-2013: Summary Results, Available at: </w:t>
      </w:r>
      <w:hyperlink r:id="rId27" w:history="1">
        <w:r w:rsidRPr="00002049">
          <w:rPr>
            <w:rFonts w:ascii="Calibri" w:eastAsia="Calibri" w:hAnsi="Calibri" w:cs="Times New Roman"/>
            <w:color w:val="000000"/>
            <w:kern w:val="24"/>
            <w:sz w:val="24"/>
            <w:szCs w:val="24"/>
            <w:u w:val="single"/>
            <w:lang w:eastAsia="en-GB"/>
          </w:rPr>
          <w:t>rj-Reoffending-Analysis-for-Restorative-Justice-Cases-2008-2013-Summary-Results.pdf</w:t>
        </w:r>
      </w:hyperlink>
      <w:r w:rsidRPr="00002049">
        <w:rPr>
          <w:rFonts w:ascii="Calibri" w:eastAsia="Calibri" w:hAnsi="Calibri" w:cs="Times New Roman"/>
          <w:color w:val="000000"/>
          <w:kern w:val="24"/>
          <w:sz w:val="24"/>
          <w:szCs w:val="24"/>
          <w:lang w:eastAsia="en-GB"/>
        </w:rPr>
        <w:t xml:space="preserve"> Accessed 03 November 2021</w:t>
      </w:r>
    </w:p>
    <w:p w14:paraId="20B69C36" w14:textId="77777777" w:rsidR="00002049" w:rsidRPr="00002049" w:rsidRDefault="00002049" w:rsidP="003C048B">
      <w:pPr>
        <w:tabs>
          <w:tab w:val="left" w:pos="720"/>
        </w:tabs>
        <w:spacing w:after="0" w:line="480" w:lineRule="auto"/>
        <w:contextualSpacing/>
        <w:jc w:val="both"/>
        <w:rPr>
          <w:rFonts w:ascii="Times New Roman" w:eastAsia="Times New Roman" w:hAnsi="Times New Roman" w:cs="Times New Roman"/>
          <w:sz w:val="24"/>
          <w:szCs w:val="24"/>
          <w:lang w:eastAsia="en-GB"/>
        </w:rPr>
      </w:pPr>
      <w:r w:rsidRPr="00002049">
        <w:rPr>
          <w:rFonts w:ascii="Calibri" w:eastAsia="Calibri" w:hAnsi="Calibri" w:cs="Times New Roman"/>
          <w:color w:val="000000"/>
          <w:kern w:val="24"/>
          <w:sz w:val="24"/>
          <w:szCs w:val="24"/>
          <w:lang w:eastAsia="en-GB"/>
        </w:rPr>
        <w:t xml:space="preserve">Ministry of Justice, (2021) Proven Reoffending statistics Quarterly Bulletin July to September 2019, Available at: </w:t>
      </w:r>
      <w:hyperlink r:id="rId28" w:history="1">
        <w:r w:rsidRPr="00002049">
          <w:rPr>
            <w:rFonts w:ascii="Calibri" w:eastAsia="Calibri" w:hAnsi="Calibri" w:cs="Times New Roman"/>
            <w:color w:val="000000"/>
            <w:kern w:val="24"/>
            <w:sz w:val="24"/>
            <w:szCs w:val="24"/>
            <w:u w:val="single"/>
            <w:lang w:eastAsia="en-GB"/>
          </w:rPr>
          <w:t>Proven_reoffending_stats_bulletin_julsepFinal.pdf (publishing.service.gov.uk)</w:t>
        </w:r>
      </w:hyperlink>
      <w:r w:rsidRPr="00002049">
        <w:rPr>
          <w:rFonts w:ascii="Calibri" w:eastAsia="Calibri" w:hAnsi="Calibri" w:cs="Times New Roman"/>
          <w:color w:val="000000"/>
          <w:kern w:val="24"/>
          <w:sz w:val="24"/>
          <w:szCs w:val="24"/>
          <w:lang w:eastAsia="en-GB"/>
        </w:rPr>
        <w:t xml:space="preserve"> Accessed 03 November 2021</w:t>
      </w:r>
    </w:p>
    <w:p w14:paraId="18938050" w14:textId="77777777" w:rsidR="00002049" w:rsidRPr="00002049" w:rsidRDefault="00002049" w:rsidP="003C048B">
      <w:pPr>
        <w:tabs>
          <w:tab w:val="left" w:pos="720"/>
        </w:tabs>
        <w:spacing w:after="0" w:line="480" w:lineRule="auto"/>
        <w:contextualSpacing/>
        <w:jc w:val="both"/>
        <w:rPr>
          <w:rFonts w:ascii="Times New Roman" w:eastAsia="Times New Roman" w:hAnsi="Times New Roman" w:cs="Times New Roman"/>
          <w:sz w:val="24"/>
          <w:szCs w:val="24"/>
          <w:lang w:eastAsia="en-GB"/>
        </w:rPr>
      </w:pPr>
      <w:r w:rsidRPr="00002049">
        <w:rPr>
          <w:rFonts w:ascii="Calibri" w:eastAsia="Calibri" w:hAnsi="Calibri" w:cs="Times New Roman"/>
          <w:color w:val="000000"/>
          <w:kern w:val="24"/>
          <w:sz w:val="24"/>
          <w:szCs w:val="24"/>
          <w:lang w:eastAsia="en-GB"/>
        </w:rPr>
        <w:t xml:space="preserve">Piggot, E and Wood, W, (2018) Does Restorative Justice Reduce Recidivism? Assessing evidence and claims about restorative justice and reoffending, Available at: </w:t>
      </w:r>
      <w:hyperlink r:id="rId29" w:history="1">
        <w:r w:rsidRPr="00002049">
          <w:rPr>
            <w:rFonts w:ascii="Calibri" w:eastAsia="+mn-ea" w:hAnsi="Calibri" w:cs="+mn-cs"/>
            <w:color w:val="000000"/>
            <w:kern w:val="24"/>
            <w:sz w:val="24"/>
            <w:szCs w:val="24"/>
            <w:u w:val="single"/>
            <w:lang w:eastAsia="en-GB"/>
          </w:rPr>
          <w:t>(PDF) Does restorative justice reduce recidivism? Assessing evidence and claims about restorative justice and reoffending. (researchgate.net)</w:t>
        </w:r>
      </w:hyperlink>
      <w:r w:rsidRPr="00002049">
        <w:rPr>
          <w:rFonts w:ascii="Calibri" w:eastAsia="+mn-ea" w:hAnsi="Calibri" w:cs="+mn-cs"/>
          <w:color w:val="000000"/>
          <w:kern w:val="24"/>
          <w:sz w:val="24"/>
          <w:szCs w:val="24"/>
          <w:lang w:eastAsia="en-GB"/>
        </w:rPr>
        <w:t xml:space="preserve"> Accessed 03 November 2021</w:t>
      </w:r>
    </w:p>
    <w:p w14:paraId="6DAE357B" w14:textId="77777777" w:rsidR="00002049" w:rsidRPr="00002049" w:rsidRDefault="00002049" w:rsidP="003C048B">
      <w:pPr>
        <w:tabs>
          <w:tab w:val="left" w:pos="720"/>
        </w:tabs>
        <w:spacing w:after="0" w:line="480" w:lineRule="auto"/>
        <w:contextualSpacing/>
        <w:jc w:val="both"/>
        <w:rPr>
          <w:rFonts w:ascii="Times New Roman" w:eastAsia="Times New Roman" w:hAnsi="Times New Roman" w:cs="Times New Roman"/>
          <w:sz w:val="24"/>
          <w:szCs w:val="24"/>
          <w:lang w:eastAsia="en-GB"/>
        </w:rPr>
      </w:pPr>
      <w:r w:rsidRPr="00002049">
        <w:rPr>
          <w:rFonts w:ascii="Calibri" w:eastAsia="Calibri" w:hAnsi="Calibri" w:cs="Times New Roman"/>
          <w:color w:val="000000"/>
          <w:kern w:val="24"/>
          <w:sz w:val="24"/>
          <w:szCs w:val="24"/>
          <w:lang w:eastAsia="en-GB"/>
        </w:rPr>
        <w:t xml:space="preserve">Restorative Justice Council, (2021) Criminal Justice, Available at: </w:t>
      </w:r>
      <w:hyperlink r:id="rId30" w:history="1">
        <w:r w:rsidRPr="00002049">
          <w:rPr>
            <w:rFonts w:ascii="Calibri" w:eastAsia="Calibri" w:hAnsi="Calibri" w:cs="Times New Roman"/>
            <w:color w:val="000000"/>
            <w:kern w:val="24"/>
            <w:sz w:val="24"/>
            <w:szCs w:val="24"/>
            <w:u w:val="single"/>
            <w:lang w:eastAsia="en-GB"/>
          </w:rPr>
          <w:t>Criminal justice | Restorative Justice Council</w:t>
        </w:r>
      </w:hyperlink>
      <w:r w:rsidRPr="00002049">
        <w:rPr>
          <w:rFonts w:ascii="Calibri" w:eastAsia="Calibri" w:hAnsi="Calibri" w:cs="Times New Roman"/>
          <w:color w:val="000000"/>
          <w:kern w:val="24"/>
          <w:sz w:val="24"/>
          <w:szCs w:val="24"/>
          <w:lang w:eastAsia="en-GB"/>
        </w:rPr>
        <w:t xml:space="preserve"> Accessed 03 November 2021</w:t>
      </w:r>
    </w:p>
    <w:p w14:paraId="4F46A745" w14:textId="77777777" w:rsidR="00002049" w:rsidRPr="00002049" w:rsidRDefault="00002049" w:rsidP="003C048B">
      <w:pPr>
        <w:tabs>
          <w:tab w:val="left" w:pos="720"/>
        </w:tabs>
        <w:spacing w:after="0" w:line="480" w:lineRule="auto"/>
        <w:contextualSpacing/>
        <w:jc w:val="both"/>
        <w:rPr>
          <w:rFonts w:ascii="Times New Roman" w:eastAsia="Times New Roman" w:hAnsi="Times New Roman" w:cs="Times New Roman"/>
          <w:sz w:val="24"/>
          <w:szCs w:val="24"/>
          <w:lang w:eastAsia="en-GB"/>
        </w:rPr>
      </w:pPr>
      <w:r w:rsidRPr="00002049">
        <w:rPr>
          <w:rFonts w:ascii="Calibri" w:eastAsia="Calibri" w:hAnsi="Calibri" w:cs="Times New Roman"/>
          <w:color w:val="000000"/>
          <w:kern w:val="24"/>
          <w:sz w:val="24"/>
          <w:szCs w:val="24"/>
          <w:lang w:eastAsia="en-GB"/>
        </w:rPr>
        <w:t xml:space="preserve">Scottish Government, (2019) Uses of Restorative Justice: Evidence Review, Available at: </w:t>
      </w:r>
      <w:hyperlink r:id="rId31" w:history="1">
        <w:r w:rsidRPr="00002049">
          <w:rPr>
            <w:rFonts w:ascii="Calibri" w:eastAsia="+mn-ea" w:hAnsi="Calibri" w:cs="+mn-cs"/>
            <w:color w:val="000000"/>
            <w:kern w:val="24"/>
            <w:sz w:val="24"/>
            <w:szCs w:val="24"/>
            <w:u w:val="single"/>
            <w:lang w:eastAsia="en-GB"/>
          </w:rPr>
          <w:t xml:space="preserve">Uses of Restorative Justice: evidence review - </w:t>
        </w:r>
      </w:hyperlink>
      <w:hyperlink r:id="rId32" w:history="1">
        <w:r w:rsidRPr="00002049">
          <w:rPr>
            <w:rFonts w:ascii="Calibri" w:eastAsia="+mn-ea" w:hAnsi="Calibri" w:cs="+mn-cs"/>
            <w:color w:val="000000"/>
            <w:kern w:val="24"/>
            <w:sz w:val="24"/>
            <w:szCs w:val="24"/>
            <w:u w:val="single"/>
            <w:lang w:eastAsia="en-GB"/>
          </w:rPr>
          <w:t>gov.scot</w:t>
        </w:r>
      </w:hyperlink>
      <w:hyperlink r:id="rId33" w:history="1">
        <w:r w:rsidRPr="00002049">
          <w:rPr>
            <w:rFonts w:ascii="Calibri" w:eastAsia="+mn-ea" w:hAnsi="Calibri" w:cs="+mn-cs"/>
            <w:color w:val="000000"/>
            <w:kern w:val="24"/>
            <w:sz w:val="24"/>
            <w:szCs w:val="24"/>
            <w:u w:val="single"/>
            <w:lang w:eastAsia="en-GB"/>
          </w:rPr>
          <w:t xml:space="preserve"> (www.gov.scot)</w:t>
        </w:r>
      </w:hyperlink>
      <w:r w:rsidRPr="00002049">
        <w:rPr>
          <w:rFonts w:ascii="Calibri" w:eastAsia="+mn-ea" w:hAnsi="Calibri" w:cs="+mn-cs"/>
          <w:color w:val="000000"/>
          <w:kern w:val="24"/>
          <w:sz w:val="24"/>
          <w:szCs w:val="24"/>
          <w:lang w:eastAsia="en-GB"/>
        </w:rPr>
        <w:t xml:space="preserve"> Accessed 05 November 2021</w:t>
      </w:r>
    </w:p>
    <w:p w14:paraId="2B1D8565" w14:textId="77777777" w:rsidR="00115281" w:rsidRPr="00115281" w:rsidRDefault="00115281" w:rsidP="003C048B">
      <w:pPr>
        <w:tabs>
          <w:tab w:val="left" w:pos="720"/>
        </w:tabs>
        <w:spacing w:line="480" w:lineRule="auto"/>
        <w:jc w:val="both"/>
        <w:rPr>
          <w:sz w:val="24"/>
          <w:szCs w:val="24"/>
        </w:rPr>
      </w:pPr>
      <w:r w:rsidRPr="00115281">
        <w:rPr>
          <w:rFonts w:ascii="Calibri" w:eastAsia="Calibri" w:hAnsi="Calibri"/>
          <w:color w:val="000000"/>
          <w:kern w:val="24"/>
          <w:sz w:val="24"/>
          <w:szCs w:val="24"/>
        </w:rPr>
        <w:t xml:space="preserve">Sherman, L, and Strang, H, (2012) </w:t>
      </w:r>
      <w:r w:rsidRPr="00115281">
        <w:rPr>
          <w:rFonts w:ascii="Calibri" w:eastAsia="Calibri" w:hAnsi="Calibri"/>
          <w:color w:val="000000"/>
          <w:kern w:val="24"/>
          <w:sz w:val="24"/>
          <w:szCs w:val="24"/>
          <w:u w:val="single"/>
        </w:rPr>
        <w:t>The Oxford Handbook of Sentencing Corrections,</w:t>
      </w:r>
      <w:r w:rsidRPr="00115281">
        <w:rPr>
          <w:rFonts w:ascii="Calibri" w:eastAsia="Calibri" w:hAnsi="Calibri"/>
          <w:color w:val="000000"/>
          <w:kern w:val="24"/>
          <w:sz w:val="24"/>
          <w:szCs w:val="24"/>
        </w:rPr>
        <w:t xml:space="preserve"> </w:t>
      </w:r>
      <w:r w:rsidRPr="00115281">
        <w:rPr>
          <w:rFonts w:ascii="Calibri" w:eastAsia="Calibri" w:hAnsi="Calibri"/>
          <w:color w:val="000000"/>
          <w:kern w:val="24"/>
          <w:sz w:val="24"/>
          <w:szCs w:val="24"/>
          <w:u w:val="single"/>
        </w:rPr>
        <w:t>Restorative Justice as Evidence-Based Sentencing</w:t>
      </w:r>
      <w:r w:rsidRPr="00115281">
        <w:rPr>
          <w:rFonts w:ascii="Calibri" w:eastAsia="Calibri" w:hAnsi="Calibri"/>
          <w:color w:val="000000"/>
          <w:kern w:val="24"/>
          <w:sz w:val="24"/>
          <w:szCs w:val="24"/>
        </w:rPr>
        <w:t>, Oxford University Press, New York</w:t>
      </w:r>
    </w:p>
    <w:p w14:paraId="63EAABAD" w14:textId="77777777" w:rsidR="00002049" w:rsidRPr="00002049" w:rsidRDefault="00002049" w:rsidP="003C048B">
      <w:pPr>
        <w:tabs>
          <w:tab w:val="left" w:pos="720"/>
        </w:tabs>
        <w:spacing w:after="0" w:line="480" w:lineRule="auto"/>
        <w:contextualSpacing/>
        <w:jc w:val="both"/>
        <w:rPr>
          <w:rFonts w:ascii="Times New Roman" w:eastAsia="Times New Roman" w:hAnsi="Times New Roman" w:cs="Times New Roman"/>
          <w:sz w:val="24"/>
          <w:szCs w:val="24"/>
          <w:lang w:eastAsia="en-GB"/>
        </w:rPr>
      </w:pPr>
      <w:r w:rsidRPr="00002049">
        <w:rPr>
          <w:rFonts w:ascii="Calibri" w:eastAsia="Calibri" w:hAnsi="Calibri" w:cs="Times New Roman"/>
          <w:color w:val="000000"/>
          <w:kern w:val="24"/>
          <w:sz w:val="24"/>
          <w:szCs w:val="24"/>
          <w:lang w:eastAsia="en-GB"/>
        </w:rPr>
        <w:t xml:space="preserve">Shapland, </w:t>
      </w:r>
      <w:proofErr w:type="gramStart"/>
      <w:r w:rsidRPr="00002049">
        <w:rPr>
          <w:rFonts w:ascii="Calibri" w:eastAsia="Calibri" w:hAnsi="Calibri" w:cs="Times New Roman"/>
          <w:color w:val="000000"/>
          <w:kern w:val="24"/>
          <w:sz w:val="24"/>
          <w:szCs w:val="24"/>
          <w:lang w:eastAsia="en-GB"/>
        </w:rPr>
        <w:t>J,  Robinson</w:t>
      </w:r>
      <w:proofErr w:type="gramEnd"/>
      <w:r w:rsidRPr="00002049">
        <w:rPr>
          <w:rFonts w:ascii="Calibri" w:eastAsia="Calibri" w:hAnsi="Calibri" w:cs="Times New Roman"/>
          <w:color w:val="000000"/>
          <w:kern w:val="24"/>
          <w:sz w:val="24"/>
          <w:szCs w:val="24"/>
          <w:lang w:eastAsia="en-GB"/>
        </w:rPr>
        <w:t> G, and Sorsby, A, (2011) </w:t>
      </w:r>
      <w:r w:rsidRPr="00002049">
        <w:rPr>
          <w:rFonts w:ascii="Calibri" w:eastAsia="Calibri" w:hAnsi="Calibri" w:cs="Times New Roman"/>
          <w:i/>
          <w:iCs/>
          <w:color w:val="000000"/>
          <w:kern w:val="24"/>
          <w:sz w:val="24"/>
          <w:szCs w:val="24"/>
          <w:u w:val="single"/>
          <w:lang w:eastAsia="en-GB"/>
        </w:rPr>
        <w:t>Restorative Justice in Practice: Evaluating What Works for Victims and Offenders</w:t>
      </w:r>
      <w:r w:rsidRPr="00002049">
        <w:rPr>
          <w:rFonts w:ascii="Calibri" w:eastAsia="Calibri" w:hAnsi="Calibri" w:cs="Times New Roman"/>
          <w:i/>
          <w:iCs/>
          <w:color w:val="000000"/>
          <w:kern w:val="24"/>
          <w:sz w:val="24"/>
          <w:szCs w:val="24"/>
          <w:lang w:eastAsia="en-GB"/>
        </w:rPr>
        <w:t>,</w:t>
      </w:r>
      <w:r w:rsidRPr="00002049">
        <w:rPr>
          <w:rFonts w:ascii="Calibri" w:eastAsia="Calibri" w:hAnsi="Calibri" w:cs="Times New Roman"/>
          <w:color w:val="000000"/>
          <w:kern w:val="24"/>
          <w:sz w:val="24"/>
          <w:szCs w:val="24"/>
          <w:lang w:eastAsia="en-GB"/>
        </w:rPr>
        <w:t> London and New York, Routledge</w:t>
      </w:r>
    </w:p>
    <w:p w14:paraId="4849A518" w14:textId="73CAC335" w:rsidR="00002049" w:rsidRDefault="00F41AFC" w:rsidP="003C048B">
      <w:pPr>
        <w:tabs>
          <w:tab w:val="left" w:pos="720"/>
        </w:tabs>
        <w:spacing w:line="480" w:lineRule="auto"/>
        <w:jc w:val="both"/>
        <w:rPr>
          <w:sz w:val="24"/>
          <w:szCs w:val="24"/>
        </w:rPr>
      </w:pPr>
      <w:r w:rsidRPr="00F41AFC">
        <w:rPr>
          <w:rFonts w:ascii="Calibri" w:hAnsi="Calibri"/>
          <w:color w:val="000000"/>
          <w:kern w:val="24"/>
          <w:sz w:val="24"/>
          <w:szCs w:val="24"/>
        </w:rPr>
        <w:t xml:space="preserve">Strang, H, Sherman, L, Mayo-Wilson, E, </w:t>
      </w:r>
      <w:proofErr w:type="gramStart"/>
      <w:r w:rsidRPr="00F41AFC">
        <w:rPr>
          <w:rFonts w:ascii="Calibri" w:hAnsi="Calibri"/>
          <w:color w:val="000000"/>
          <w:kern w:val="24"/>
          <w:sz w:val="24"/>
          <w:szCs w:val="24"/>
        </w:rPr>
        <w:t>Woods ,</w:t>
      </w:r>
      <w:proofErr w:type="gramEnd"/>
      <w:r w:rsidRPr="00F41AFC">
        <w:rPr>
          <w:rFonts w:ascii="Calibri" w:hAnsi="Calibri"/>
          <w:color w:val="000000"/>
          <w:kern w:val="24"/>
          <w:sz w:val="24"/>
          <w:szCs w:val="24"/>
        </w:rPr>
        <w:t xml:space="preserve"> D, Ariel, B, (2013) </w:t>
      </w:r>
      <w:r w:rsidRPr="00F41AFC">
        <w:rPr>
          <w:rFonts w:ascii="Calibri" w:hAnsi="Calibri"/>
          <w:color w:val="000000"/>
          <w:spacing w:val="5"/>
          <w:kern w:val="24"/>
          <w:sz w:val="24"/>
          <w:szCs w:val="24"/>
        </w:rPr>
        <w:t xml:space="preserve">Restorative justice conferencing (RJC) using face-to-face meetings of offenders and victims: </w:t>
      </w:r>
      <w:r w:rsidRPr="00F41AFC">
        <w:rPr>
          <w:rFonts w:ascii="Calibri" w:hAnsi="Calibri"/>
          <w:color w:val="000000"/>
          <w:spacing w:val="5"/>
          <w:kern w:val="24"/>
          <w:sz w:val="24"/>
          <w:szCs w:val="24"/>
          <w:u w:val="single"/>
        </w:rPr>
        <w:t>Effects on offender recidivism and victim satisfaction,</w:t>
      </w:r>
      <w:r w:rsidRPr="00F41AFC">
        <w:rPr>
          <w:rFonts w:ascii="Calibri" w:hAnsi="Calibri"/>
          <w:color w:val="000000"/>
          <w:spacing w:val="5"/>
          <w:kern w:val="24"/>
          <w:sz w:val="24"/>
          <w:szCs w:val="24"/>
        </w:rPr>
        <w:t xml:space="preserve"> </w:t>
      </w:r>
      <w:r w:rsidRPr="00F41AFC">
        <w:rPr>
          <w:rFonts w:ascii="Calibri" w:hAnsi="Calibri"/>
          <w:color w:val="000000"/>
          <w:spacing w:val="5"/>
          <w:kern w:val="24"/>
          <w:sz w:val="24"/>
          <w:szCs w:val="24"/>
          <w:u w:val="single"/>
        </w:rPr>
        <w:t>A systematic Review</w:t>
      </w:r>
      <w:r w:rsidRPr="00F41AFC">
        <w:rPr>
          <w:rFonts w:ascii="Calibri" w:hAnsi="Calibri"/>
          <w:color w:val="000000"/>
          <w:spacing w:val="5"/>
          <w:kern w:val="24"/>
          <w:sz w:val="24"/>
          <w:szCs w:val="24"/>
        </w:rPr>
        <w:t>, Volume 9, Issue 1 Pages 1-59</w:t>
      </w:r>
    </w:p>
    <w:sectPr w:rsidR="00002049" w:rsidSect="002F2EC0">
      <w:pgSz w:w="11906" w:h="16838"/>
      <w:pgMar w:top="1440" w:right="1440" w:bottom="1440" w:left="1440" w:header="708" w:footer="708" w:gutter="0"/>
      <w:pgBorders w:offsetFrom="page">
        <w:top w:val="double" w:sz="12" w:space="24" w:color="000000" w:themeColor="text1"/>
        <w:left w:val="double" w:sz="12" w:space="24" w:color="000000" w:themeColor="text1"/>
        <w:bottom w:val="double" w:sz="12" w:space="24" w:color="000000" w:themeColor="text1"/>
        <w:right w:val="double" w:sz="12" w:space="2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700A"/>
    <w:multiLevelType w:val="hybridMultilevel"/>
    <w:tmpl w:val="FB6CEACA"/>
    <w:lvl w:ilvl="0" w:tplc="03149898">
      <w:start w:val="1"/>
      <w:numFmt w:val="bullet"/>
      <w:lvlText w:val="•"/>
      <w:lvlJc w:val="left"/>
      <w:pPr>
        <w:tabs>
          <w:tab w:val="num" w:pos="720"/>
        </w:tabs>
        <w:ind w:left="720" w:hanging="360"/>
      </w:pPr>
      <w:rPr>
        <w:rFonts w:ascii="Arial" w:hAnsi="Arial" w:hint="default"/>
      </w:rPr>
    </w:lvl>
    <w:lvl w:ilvl="1" w:tplc="8BE2FD02" w:tentative="1">
      <w:start w:val="1"/>
      <w:numFmt w:val="bullet"/>
      <w:lvlText w:val="•"/>
      <w:lvlJc w:val="left"/>
      <w:pPr>
        <w:tabs>
          <w:tab w:val="num" w:pos="1440"/>
        </w:tabs>
        <w:ind w:left="1440" w:hanging="360"/>
      </w:pPr>
      <w:rPr>
        <w:rFonts w:ascii="Arial" w:hAnsi="Arial" w:hint="default"/>
      </w:rPr>
    </w:lvl>
    <w:lvl w:ilvl="2" w:tplc="C2141A3C" w:tentative="1">
      <w:start w:val="1"/>
      <w:numFmt w:val="bullet"/>
      <w:lvlText w:val="•"/>
      <w:lvlJc w:val="left"/>
      <w:pPr>
        <w:tabs>
          <w:tab w:val="num" w:pos="2160"/>
        </w:tabs>
        <w:ind w:left="2160" w:hanging="360"/>
      </w:pPr>
      <w:rPr>
        <w:rFonts w:ascii="Arial" w:hAnsi="Arial" w:hint="default"/>
      </w:rPr>
    </w:lvl>
    <w:lvl w:ilvl="3" w:tplc="B6D6A66C" w:tentative="1">
      <w:start w:val="1"/>
      <w:numFmt w:val="bullet"/>
      <w:lvlText w:val="•"/>
      <w:lvlJc w:val="left"/>
      <w:pPr>
        <w:tabs>
          <w:tab w:val="num" w:pos="2880"/>
        </w:tabs>
        <w:ind w:left="2880" w:hanging="360"/>
      </w:pPr>
      <w:rPr>
        <w:rFonts w:ascii="Arial" w:hAnsi="Arial" w:hint="default"/>
      </w:rPr>
    </w:lvl>
    <w:lvl w:ilvl="4" w:tplc="19286F9C" w:tentative="1">
      <w:start w:val="1"/>
      <w:numFmt w:val="bullet"/>
      <w:lvlText w:val="•"/>
      <w:lvlJc w:val="left"/>
      <w:pPr>
        <w:tabs>
          <w:tab w:val="num" w:pos="3600"/>
        </w:tabs>
        <w:ind w:left="3600" w:hanging="360"/>
      </w:pPr>
      <w:rPr>
        <w:rFonts w:ascii="Arial" w:hAnsi="Arial" w:hint="default"/>
      </w:rPr>
    </w:lvl>
    <w:lvl w:ilvl="5" w:tplc="22486F9E" w:tentative="1">
      <w:start w:val="1"/>
      <w:numFmt w:val="bullet"/>
      <w:lvlText w:val="•"/>
      <w:lvlJc w:val="left"/>
      <w:pPr>
        <w:tabs>
          <w:tab w:val="num" w:pos="4320"/>
        </w:tabs>
        <w:ind w:left="4320" w:hanging="360"/>
      </w:pPr>
      <w:rPr>
        <w:rFonts w:ascii="Arial" w:hAnsi="Arial" w:hint="default"/>
      </w:rPr>
    </w:lvl>
    <w:lvl w:ilvl="6" w:tplc="6712BEF6" w:tentative="1">
      <w:start w:val="1"/>
      <w:numFmt w:val="bullet"/>
      <w:lvlText w:val="•"/>
      <w:lvlJc w:val="left"/>
      <w:pPr>
        <w:tabs>
          <w:tab w:val="num" w:pos="5040"/>
        </w:tabs>
        <w:ind w:left="5040" w:hanging="360"/>
      </w:pPr>
      <w:rPr>
        <w:rFonts w:ascii="Arial" w:hAnsi="Arial" w:hint="default"/>
      </w:rPr>
    </w:lvl>
    <w:lvl w:ilvl="7" w:tplc="6AD62C68" w:tentative="1">
      <w:start w:val="1"/>
      <w:numFmt w:val="bullet"/>
      <w:lvlText w:val="•"/>
      <w:lvlJc w:val="left"/>
      <w:pPr>
        <w:tabs>
          <w:tab w:val="num" w:pos="5760"/>
        </w:tabs>
        <w:ind w:left="5760" w:hanging="360"/>
      </w:pPr>
      <w:rPr>
        <w:rFonts w:ascii="Arial" w:hAnsi="Arial" w:hint="default"/>
      </w:rPr>
    </w:lvl>
    <w:lvl w:ilvl="8" w:tplc="DD50DA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A5E49DE"/>
    <w:multiLevelType w:val="hybridMultilevel"/>
    <w:tmpl w:val="0E042DCA"/>
    <w:lvl w:ilvl="0" w:tplc="09E2618E">
      <w:start w:val="1"/>
      <w:numFmt w:val="bullet"/>
      <w:lvlText w:val="•"/>
      <w:lvlJc w:val="left"/>
      <w:pPr>
        <w:tabs>
          <w:tab w:val="num" w:pos="720"/>
        </w:tabs>
        <w:ind w:left="720" w:hanging="360"/>
      </w:pPr>
      <w:rPr>
        <w:rFonts w:ascii="Arial" w:hAnsi="Arial" w:hint="default"/>
      </w:rPr>
    </w:lvl>
    <w:lvl w:ilvl="1" w:tplc="10C245A8" w:tentative="1">
      <w:start w:val="1"/>
      <w:numFmt w:val="bullet"/>
      <w:lvlText w:val="•"/>
      <w:lvlJc w:val="left"/>
      <w:pPr>
        <w:tabs>
          <w:tab w:val="num" w:pos="1440"/>
        </w:tabs>
        <w:ind w:left="1440" w:hanging="360"/>
      </w:pPr>
      <w:rPr>
        <w:rFonts w:ascii="Arial" w:hAnsi="Arial" w:hint="default"/>
      </w:rPr>
    </w:lvl>
    <w:lvl w:ilvl="2" w:tplc="BBBC8BA2" w:tentative="1">
      <w:start w:val="1"/>
      <w:numFmt w:val="bullet"/>
      <w:lvlText w:val="•"/>
      <w:lvlJc w:val="left"/>
      <w:pPr>
        <w:tabs>
          <w:tab w:val="num" w:pos="2160"/>
        </w:tabs>
        <w:ind w:left="2160" w:hanging="360"/>
      </w:pPr>
      <w:rPr>
        <w:rFonts w:ascii="Arial" w:hAnsi="Arial" w:hint="default"/>
      </w:rPr>
    </w:lvl>
    <w:lvl w:ilvl="3" w:tplc="435A51B8" w:tentative="1">
      <w:start w:val="1"/>
      <w:numFmt w:val="bullet"/>
      <w:lvlText w:val="•"/>
      <w:lvlJc w:val="left"/>
      <w:pPr>
        <w:tabs>
          <w:tab w:val="num" w:pos="2880"/>
        </w:tabs>
        <w:ind w:left="2880" w:hanging="360"/>
      </w:pPr>
      <w:rPr>
        <w:rFonts w:ascii="Arial" w:hAnsi="Arial" w:hint="default"/>
      </w:rPr>
    </w:lvl>
    <w:lvl w:ilvl="4" w:tplc="95BCDF14" w:tentative="1">
      <w:start w:val="1"/>
      <w:numFmt w:val="bullet"/>
      <w:lvlText w:val="•"/>
      <w:lvlJc w:val="left"/>
      <w:pPr>
        <w:tabs>
          <w:tab w:val="num" w:pos="3600"/>
        </w:tabs>
        <w:ind w:left="3600" w:hanging="360"/>
      </w:pPr>
      <w:rPr>
        <w:rFonts w:ascii="Arial" w:hAnsi="Arial" w:hint="default"/>
      </w:rPr>
    </w:lvl>
    <w:lvl w:ilvl="5" w:tplc="84D6A274" w:tentative="1">
      <w:start w:val="1"/>
      <w:numFmt w:val="bullet"/>
      <w:lvlText w:val="•"/>
      <w:lvlJc w:val="left"/>
      <w:pPr>
        <w:tabs>
          <w:tab w:val="num" w:pos="4320"/>
        </w:tabs>
        <w:ind w:left="4320" w:hanging="360"/>
      </w:pPr>
      <w:rPr>
        <w:rFonts w:ascii="Arial" w:hAnsi="Arial" w:hint="default"/>
      </w:rPr>
    </w:lvl>
    <w:lvl w:ilvl="6" w:tplc="B65C85B2" w:tentative="1">
      <w:start w:val="1"/>
      <w:numFmt w:val="bullet"/>
      <w:lvlText w:val="•"/>
      <w:lvlJc w:val="left"/>
      <w:pPr>
        <w:tabs>
          <w:tab w:val="num" w:pos="5040"/>
        </w:tabs>
        <w:ind w:left="5040" w:hanging="360"/>
      </w:pPr>
      <w:rPr>
        <w:rFonts w:ascii="Arial" w:hAnsi="Arial" w:hint="default"/>
      </w:rPr>
    </w:lvl>
    <w:lvl w:ilvl="7" w:tplc="A254EFCE" w:tentative="1">
      <w:start w:val="1"/>
      <w:numFmt w:val="bullet"/>
      <w:lvlText w:val="•"/>
      <w:lvlJc w:val="left"/>
      <w:pPr>
        <w:tabs>
          <w:tab w:val="num" w:pos="5760"/>
        </w:tabs>
        <w:ind w:left="5760" w:hanging="360"/>
      </w:pPr>
      <w:rPr>
        <w:rFonts w:ascii="Arial" w:hAnsi="Arial" w:hint="default"/>
      </w:rPr>
    </w:lvl>
    <w:lvl w:ilvl="8" w:tplc="5F48C0E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1E50641"/>
    <w:multiLevelType w:val="hybridMultilevel"/>
    <w:tmpl w:val="5390432A"/>
    <w:lvl w:ilvl="0" w:tplc="0E227E64">
      <w:start w:val="1"/>
      <w:numFmt w:val="bullet"/>
      <w:lvlText w:val="•"/>
      <w:lvlJc w:val="left"/>
      <w:pPr>
        <w:tabs>
          <w:tab w:val="num" w:pos="720"/>
        </w:tabs>
        <w:ind w:left="720" w:hanging="360"/>
      </w:pPr>
      <w:rPr>
        <w:rFonts w:ascii="Arial" w:hAnsi="Arial" w:hint="default"/>
      </w:rPr>
    </w:lvl>
    <w:lvl w:ilvl="1" w:tplc="6230227A" w:tentative="1">
      <w:start w:val="1"/>
      <w:numFmt w:val="bullet"/>
      <w:lvlText w:val="•"/>
      <w:lvlJc w:val="left"/>
      <w:pPr>
        <w:tabs>
          <w:tab w:val="num" w:pos="1440"/>
        </w:tabs>
        <w:ind w:left="1440" w:hanging="360"/>
      </w:pPr>
      <w:rPr>
        <w:rFonts w:ascii="Arial" w:hAnsi="Arial" w:hint="default"/>
      </w:rPr>
    </w:lvl>
    <w:lvl w:ilvl="2" w:tplc="E7A09F86" w:tentative="1">
      <w:start w:val="1"/>
      <w:numFmt w:val="bullet"/>
      <w:lvlText w:val="•"/>
      <w:lvlJc w:val="left"/>
      <w:pPr>
        <w:tabs>
          <w:tab w:val="num" w:pos="2160"/>
        </w:tabs>
        <w:ind w:left="2160" w:hanging="360"/>
      </w:pPr>
      <w:rPr>
        <w:rFonts w:ascii="Arial" w:hAnsi="Arial" w:hint="default"/>
      </w:rPr>
    </w:lvl>
    <w:lvl w:ilvl="3" w:tplc="45645EDA" w:tentative="1">
      <w:start w:val="1"/>
      <w:numFmt w:val="bullet"/>
      <w:lvlText w:val="•"/>
      <w:lvlJc w:val="left"/>
      <w:pPr>
        <w:tabs>
          <w:tab w:val="num" w:pos="2880"/>
        </w:tabs>
        <w:ind w:left="2880" w:hanging="360"/>
      </w:pPr>
      <w:rPr>
        <w:rFonts w:ascii="Arial" w:hAnsi="Arial" w:hint="default"/>
      </w:rPr>
    </w:lvl>
    <w:lvl w:ilvl="4" w:tplc="495E1E94" w:tentative="1">
      <w:start w:val="1"/>
      <w:numFmt w:val="bullet"/>
      <w:lvlText w:val="•"/>
      <w:lvlJc w:val="left"/>
      <w:pPr>
        <w:tabs>
          <w:tab w:val="num" w:pos="3600"/>
        </w:tabs>
        <w:ind w:left="3600" w:hanging="360"/>
      </w:pPr>
      <w:rPr>
        <w:rFonts w:ascii="Arial" w:hAnsi="Arial" w:hint="default"/>
      </w:rPr>
    </w:lvl>
    <w:lvl w:ilvl="5" w:tplc="6716345A" w:tentative="1">
      <w:start w:val="1"/>
      <w:numFmt w:val="bullet"/>
      <w:lvlText w:val="•"/>
      <w:lvlJc w:val="left"/>
      <w:pPr>
        <w:tabs>
          <w:tab w:val="num" w:pos="4320"/>
        </w:tabs>
        <w:ind w:left="4320" w:hanging="360"/>
      </w:pPr>
      <w:rPr>
        <w:rFonts w:ascii="Arial" w:hAnsi="Arial" w:hint="default"/>
      </w:rPr>
    </w:lvl>
    <w:lvl w:ilvl="6" w:tplc="D332ADCC" w:tentative="1">
      <w:start w:val="1"/>
      <w:numFmt w:val="bullet"/>
      <w:lvlText w:val="•"/>
      <w:lvlJc w:val="left"/>
      <w:pPr>
        <w:tabs>
          <w:tab w:val="num" w:pos="5040"/>
        </w:tabs>
        <w:ind w:left="5040" w:hanging="360"/>
      </w:pPr>
      <w:rPr>
        <w:rFonts w:ascii="Arial" w:hAnsi="Arial" w:hint="default"/>
      </w:rPr>
    </w:lvl>
    <w:lvl w:ilvl="7" w:tplc="E160ACA6" w:tentative="1">
      <w:start w:val="1"/>
      <w:numFmt w:val="bullet"/>
      <w:lvlText w:val="•"/>
      <w:lvlJc w:val="left"/>
      <w:pPr>
        <w:tabs>
          <w:tab w:val="num" w:pos="5760"/>
        </w:tabs>
        <w:ind w:left="5760" w:hanging="360"/>
      </w:pPr>
      <w:rPr>
        <w:rFonts w:ascii="Arial" w:hAnsi="Arial" w:hint="default"/>
      </w:rPr>
    </w:lvl>
    <w:lvl w:ilvl="8" w:tplc="0A5A95D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441F83"/>
    <w:multiLevelType w:val="hybridMultilevel"/>
    <w:tmpl w:val="192ACA38"/>
    <w:lvl w:ilvl="0" w:tplc="5A527C3C">
      <w:start w:val="1"/>
      <w:numFmt w:val="bullet"/>
      <w:lvlText w:val="•"/>
      <w:lvlJc w:val="left"/>
      <w:pPr>
        <w:tabs>
          <w:tab w:val="num" w:pos="720"/>
        </w:tabs>
        <w:ind w:left="720" w:hanging="360"/>
      </w:pPr>
      <w:rPr>
        <w:rFonts w:ascii="Arial" w:hAnsi="Arial" w:hint="default"/>
      </w:rPr>
    </w:lvl>
    <w:lvl w:ilvl="1" w:tplc="96A26B5C" w:tentative="1">
      <w:start w:val="1"/>
      <w:numFmt w:val="bullet"/>
      <w:lvlText w:val="•"/>
      <w:lvlJc w:val="left"/>
      <w:pPr>
        <w:tabs>
          <w:tab w:val="num" w:pos="1440"/>
        </w:tabs>
        <w:ind w:left="1440" w:hanging="360"/>
      </w:pPr>
      <w:rPr>
        <w:rFonts w:ascii="Arial" w:hAnsi="Arial" w:hint="default"/>
      </w:rPr>
    </w:lvl>
    <w:lvl w:ilvl="2" w:tplc="0B586D6E" w:tentative="1">
      <w:start w:val="1"/>
      <w:numFmt w:val="bullet"/>
      <w:lvlText w:val="•"/>
      <w:lvlJc w:val="left"/>
      <w:pPr>
        <w:tabs>
          <w:tab w:val="num" w:pos="2160"/>
        </w:tabs>
        <w:ind w:left="2160" w:hanging="360"/>
      </w:pPr>
      <w:rPr>
        <w:rFonts w:ascii="Arial" w:hAnsi="Arial" w:hint="default"/>
      </w:rPr>
    </w:lvl>
    <w:lvl w:ilvl="3" w:tplc="7C22861A" w:tentative="1">
      <w:start w:val="1"/>
      <w:numFmt w:val="bullet"/>
      <w:lvlText w:val="•"/>
      <w:lvlJc w:val="left"/>
      <w:pPr>
        <w:tabs>
          <w:tab w:val="num" w:pos="2880"/>
        </w:tabs>
        <w:ind w:left="2880" w:hanging="360"/>
      </w:pPr>
      <w:rPr>
        <w:rFonts w:ascii="Arial" w:hAnsi="Arial" w:hint="default"/>
      </w:rPr>
    </w:lvl>
    <w:lvl w:ilvl="4" w:tplc="FBBC28C2" w:tentative="1">
      <w:start w:val="1"/>
      <w:numFmt w:val="bullet"/>
      <w:lvlText w:val="•"/>
      <w:lvlJc w:val="left"/>
      <w:pPr>
        <w:tabs>
          <w:tab w:val="num" w:pos="3600"/>
        </w:tabs>
        <w:ind w:left="3600" w:hanging="360"/>
      </w:pPr>
      <w:rPr>
        <w:rFonts w:ascii="Arial" w:hAnsi="Arial" w:hint="default"/>
      </w:rPr>
    </w:lvl>
    <w:lvl w:ilvl="5" w:tplc="DD28DF2E" w:tentative="1">
      <w:start w:val="1"/>
      <w:numFmt w:val="bullet"/>
      <w:lvlText w:val="•"/>
      <w:lvlJc w:val="left"/>
      <w:pPr>
        <w:tabs>
          <w:tab w:val="num" w:pos="4320"/>
        </w:tabs>
        <w:ind w:left="4320" w:hanging="360"/>
      </w:pPr>
      <w:rPr>
        <w:rFonts w:ascii="Arial" w:hAnsi="Arial" w:hint="default"/>
      </w:rPr>
    </w:lvl>
    <w:lvl w:ilvl="6" w:tplc="6F96599E" w:tentative="1">
      <w:start w:val="1"/>
      <w:numFmt w:val="bullet"/>
      <w:lvlText w:val="•"/>
      <w:lvlJc w:val="left"/>
      <w:pPr>
        <w:tabs>
          <w:tab w:val="num" w:pos="5040"/>
        </w:tabs>
        <w:ind w:left="5040" w:hanging="360"/>
      </w:pPr>
      <w:rPr>
        <w:rFonts w:ascii="Arial" w:hAnsi="Arial" w:hint="default"/>
      </w:rPr>
    </w:lvl>
    <w:lvl w:ilvl="7" w:tplc="6D0CE7E4" w:tentative="1">
      <w:start w:val="1"/>
      <w:numFmt w:val="bullet"/>
      <w:lvlText w:val="•"/>
      <w:lvlJc w:val="left"/>
      <w:pPr>
        <w:tabs>
          <w:tab w:val="num" w:pos="5760"/>
        </w:tabs>
        <w:ind w:left="5760" w:hanging="360"/>
      </w:pPr>
      <w:rPr>
        <w:rFonts w:ascii="Arial" w:hAnsi="Arial" w:hint="default"/>
      </w:rPr>
    </w:lvl>
    <w:lvl w:ilvl="8" w:tplc="96A6CF7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958"/>
    <w:rsid w:val="00001909"/>
    <w:rsid w:val="00002049"/>
    <w:rsid w:val="0001722D"/>
    <w:rsid w:val="0002384E"/>
    <w:rsid w:val="0003715F"/>
    <w:rsid w:val="00077066"/>
    <w:rsid w:val="000837CE"/>
    <w:rsid w:val="000A33C5"/>
    <w:rsid w:val="000A43ED"/>
    <w:rsid w:val="000B2814"/>
    <w:rsid w:val="00102F09"/>
    <w:rsid w:val="00103489"/>
    <w:rsid w:val="0010418D"/>
    <w:rsid w:val="001060F6"/>
    <w:rsid w:val="00115281"/>
    <w:rsid w:val="00121AE1"/>
    <w:rsid w:val="0012278A"/>
    <w:rsid w:val="00122CC7"/>
    <w:rsid w:val="00126224"/>
    <w:rsid w:val="00132621"/>
    <w:rsid w:val="00134E3F"/>
    <w:rsid w:val="00164958"/>
    <w:rsid w:val="0019551B"/>
    <w:rsid w:val="001A4D64"/>
    <w:rsid w:val="001A55F7"/>
    <w:rsid w:val="001A6D4B"/>
    <w:rsid w:val="001B2606"/>
    <w:rsid w:val="001B4E42"/>
    <w:rsid w:val="001C7CA9"/>
    <w:rsid w:val="001E771E"/>
    <w:rsid w:val="002040D3"/>
    <w:rsid w:val="0022483E"/>
    <w:rsid w:val="00235D39"/>
    <w:rsid w:val="002468C6"/>
    <w:rsid w:val="00261ED1"/>
    <w:rsid w:val="00271853"/>
    <w:rsid w:val="002820AD"/>
    <w:rsid w:val="00282A85"/>
    <w:rsid w:val="002B74D0"/>
    <w:rsid w:val="002C3F3A"/>
    <w:rsid w:val="002D35F9"/>
    <w:rsid w:val="002F17AD"/>
    <w:rsid w:val="002F2EC0"/>
    <w:rsid w:val="00305F51"/>
    <w:rsid w:val="0033738C"/>
    <w:rsid w:val="0036010F"/>
    <w:rsid w:val="00387555"/>
    <w:rsid w:val="00393390"/>
    <w:rsid w:val="00397896"/>
    <w:rsid w:val="003A11F2"/>
    <w:rsid w:val="003C048B"/>
    <w:rsid w:val="003D451B"/>
    <w:rsid w:val="004017AA"/>
    <w:rsid w:val="004050F5"/>
    <w:rsid w:val="004058C4"/>
    <w:rsid w:val="004164DA"/>
    <w:rsid w:val="004225C7"/>
    <w:rsid w:val="0045161A"/>
    <w:rsid w:val="00454449"/>
    <w:rsid w:val="004611B6"/>
    <w:rsid w:val="00464466"/>
    <w:rsid w:val="004927DF"/>
    <w:rsid w:val="00497B37"/>
    <w:rsid w:val="004B1F19"/>
    <w:rsid w:val="004B7C1E"/>
    <w:rsid w:val="004C01A6"/>
    <w:rsid w:val="004C2BBE"/>
    <w:rsid w:val="004D7DD5"/>
    <w:rsid w:val="004E32DD"/>
    <w:rsid w:val="005131B7"/>
    <w:rsid w:val="00517669"/>
    <w:rsid w:val="0054765D"/>
    <w:rsid w:val="00553902"/>
    <w:rsid w:val="00564261"/>
    <w:rsid w:val="00565E34"/>
    <w:rsid w:val="005730CC"/>
    <w:rsid w:val="00573F6C"/>
    <w:rsid w:val="00580AAA"/>
    <w:rsid w:val="005973AC"/>
    <w:rsid w:val="005A2B01"/>
    <w:rsid w:val="005A504C"/>
    <w:rsid w:val="005A7967"/>
    <w:rsid w:val="005B1FCA"/>
    <w:rsid w:val="005E11DE"/>
    <w:rsid w:val="005E3CCC"/>
    <w:rsid w:val="005E4F5F"/>
    <w:rsid w:val="005F2626"/>
    <w:rsid w:val="00601219"/>
    <w:rsid w:val="00611FAC"/>
    <w:rsid w:val="00631D6A"/>
    <w:rsid w:val="00642BBA"/>
    <w:rsid w:val="0064525A"/>
    <w:rsid w:val="006548B1"/>
    <w:rsid w:val="00662FD1"/>
    <w:rsid w:val="00666EEB"/>
    <w:rsid w:val="00670E77"/>
    <w:rsid w:val="006832B1"/>
    <w:rsid w:val="00696444"/>
    <w:rsid w:val="006A7A00"/>
    <w:rsid w:val="006B7E1F"/>
    <w:rsid w:val="006C4E93"/>
    <w:rsid w:val="006D2306"/>
    <w:rsid w:val="006E5F6C"/>
    <w:rsid w:val="006F1FAA"/>
    <w:rsid w:val="00721CC3"/>
    <w:rsid w:val="00725E23"/>
    <w:rsid w:val="007275E7"/>
    <w:rsid w:val="007347AD"/>
    <w:rsid w:val="00746F10"/>
    <w:rsid w:val="00774A72"/>
    <w:rsid w:val="0078657F"/>
    <w:rsid w:val="0079697A"/>
    <w:rsid w:val="007A3D35"/>
    <w:rsid w:val="007A75CB"/>
    <w:rsid w:val="007B07B2"/>
    <w:rsid w:val="007B2E6D"/>
    <w:rsid w:val="007D679C"/>
    <w:rsid w:val="007D7EE9"/>
    <w:rsid w:val="0080405D"/>
    <w:rsid w:val="008124A6"/>
    <w:rsid w:val="00814DE4"/>
    <w:rsid w:val="00815ECC"/>
    <w:rsid w:val="00820F82"/>
    <w:rsid w:val="00853477"/>
    <w:rsid w:val="00862F40"/>
    <w:rsid w:val="008668DE"/>
    <w:rsid w:val="00882E89"/>
    <w:rsid w:val="00886566"/>
    <w:rsid w:val="008928EA"/>
    <w:rsid w:val="008B7691"/>
    <w:rsid w:val="008C2526"/>
    <w:rsid w:val="008D1A75"/>
    <w:rsid w:val="008D678D"/>
    <w:rsid w:val="008D7915"/>
    <w:rsid w:val="008E0E41"/>
    <w:rsid w:val="00911950"/>
    <w:rsid w:val="00936674"/>
    <w:rsid w:val="00936678"/>
    <w:rsid w:val="00947EFD"/>
    <w:rsid w:val="00953605"/>
    <w:rsid w:val="00953EE7"/>
    <w:rsid w:val="00963104"/>
    <w:rsid w:val="00965D7E"/>
    <w:rsid w:val="00965D8F"/>
    <w:rsid w:val="0096669A"/>
    <w:rsid w:val="009669EF"/>
    <w:rsid w:val="009813F5"/>
    <w:rsid w:val="0099050C"/>
    <w:rsid w:val="009A371E"/>
    <w:rsid w:val="009B236D"/>
    <w:rsid w:val="009D49DA"/>
    <w:rsid w:val="009F3592"/>
    <w:rsid w:val="009F35D6"/>
    <w:rsid w:val="009F7FF6"/>
    <w:rsid w:val="00A03751"/>
    <w:rsid w:val="00A05BD4"/>
    <w:rsid w:val="00A0658C"/>
    <w:rsid w:val="00A1128F"/>
    <w:rsid w:val="00A26CA0"/>
    <w:rsid w:val="00A27BFF"/>
    <w:rsid w:val="00A328E2"/>
    <w:rsid w:val="00A761B0"/>
    <w:rsid w:val="00A84EBB"/>
    <w:rsid w:val="00A8793E"/>
    <w:rsid w:val="00A948B8"/>
    <w:rsid w:val="00A94D3A"/>
    <w:rsid w:val="00AA0631"/>
    <w:rsid w:val="00AF1DEE"/>
    <w:rsid w:val="00AF61E5"/>
    <w:rsid w:val="00B2420D"/>
    <w:rsid w:val="00B35F5B"/>
    <w:rsid w:val="00B368AB"/>
    <w:rsid w:val="00B42B4B"/>
    <w:rsid w:val="00B511D1"/>
    <w:rsid w:val="00B52419"/>
    <w:rsid w:val="00B52CEF"/>
    <w:rsid w:val="00B53108"/>
    <w:rsid w:val="00B54BF0"/>
    <w:rsid w:val="00B825AB"/>
    <w:rsid w:val="00B952AA"/>
    <w:rsid w:val="00B96008"/>
    <w:rsid w:val="00BA5698"/>
    <w:rsid w:val="00BB3F2B"/>
    <w:rsid w:val="00BC2083"/>
    <w:rsid w:val="00BD3234"/>
    <w:rsid w:val="00BD73A1"/>
    <w:rsid w:val="00C034CD"/>
    <w:rsid w:val="00C04878"/>
    <w:rsid w:val="00C27760"/>
    <w:rsid w:val="00C313A1"/>
    <w:rsid w:val="00C33CDF"/>
    <w:rsid w:val="00C4607D"/>
    <w:rsid w:val="00C55063"/>
    <w:rsid w:val="00C6217C"/>
    <w:rsid w:val="00C7300D"/>
    <w:rsid w:val="00CA65B2"/>
    <w:rsid w:val="00CB44AD"/>
    <w:rsid w:val="00CC31E3"/>
    <w:rsid w:val="00CE3FF2"/>
    <w:rsid w:val="00CF4596"/>
    <w:rsid w:val="00CF6824"/>
    <w:rsid w:val="00D27002"/>
    <w:rsid w:val="00D2792A"/>
    <w:rsid w:val="00D35B04"/>
    <w:rsid w:val="00D640C2"/>
    <w:rsid w:val="00D902EC"/>
    <w:rsid w:val="00D95055"/>
    <w:rsid w:val="00DB065A"/>
    <w:rsid w:val="00DD4020"/>
    <w:rsid w:val="00DE04CB"/>
    <w:rsid w:val="00DE1401"/>
    <w:rsid w:val="00E10C92"/>
    <w:rsid w:val="00E346B4"/>
    <w:rsid w:val="00E36E51"/>
    <w:rsid w:val="00E407A0"/>
    <w:rsid w:val="00E45591"/>
    <w:rsid w:val="00E56A98"/>
    <w:rsid w:val="00E64534"/>
    <w:rsid w:val="00E754E4"/>
    <w:rsid w:val="00EA5553"/>
    <w:rsid w:val="00ED5E89"/>
    <w:rsid w:val="00EE0ECE"/>
    <w:rsid w:val="00EE4A36"/>
    <w:rsid w:val="00EE766B"/>
    <w:rsid w:val="00EF66A2"/>
    <w:rsid w:val="00F03FCF"/>
    <w:rsid w:val="00F06584"/>
    <w:rsid w:val="00F21A7F"/>
    <w:rsid w:val="00F22B92"/>
    <w:rsid w:val="00F41AFC"/>
    <w:rsid w:val="00F4425F"/>
    <w:rsid w:val="00F46101"/>
    <w:rsid w:val="00F52A9A"/>
    <w:rsid w:val="00F8186A"/>
    <w:rsid w:val="00F93C78"/>
    <w:rsid w:val="00FD75B2"/>
    <w:rsid w:val="00FE07FC"/>
    <w:rsid w:val="00FF159A"/>
    <w:rsid w:val="00FF7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F0D55"/>
  <w15:chartTrackingRefBased/>
  <w15:docId w15:val="{4474967E-DB81-420A-8833-16820FBB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F7FF6"/>
    <w:rPr>
      <w:color w:val="0000FF"/>
      <w:u w:val="single"/>
    </w:rPr>
  </w:style>
  <w:style w:type="character" w:styleId="FollowedHyperlink">
    <w:name w:val="FollowedHyperlink"/>
    <w:basedOn w:val="DefaultParagraphFont"/>
    <w:uiPriority w:val="99"/>
    <w:semiHidden/>
    <w:unhideWhenUsed/>
    <w:rsid w:val="009669EF"/>
    <w:rPr>
      <w:color w:val="954F72" w:themeColor="followedHyperlink"/>
      <w:u w:val="single"/>
    </w:rPr>
  </w:style>
  <w:style w:type="character" w:styleId="CommentReference">
    <w:name w:val="annotation reference"/>
    <w:basedOn w:val="DefaultParagraphFont"/>
    <w:uiPriority w:val="99"/>
    <w:semiHidden/>
    <w:unhideWhenUsed/>
    <w:rsid w:val="008E0E41"/>
    <w:rPr>
      <w:sz w:val="16"/>
      <w:szCs w:val="16"/>
    </w:rPr>
  </w:style>
  <w:style w:type="paragraph" w:styleId="CommentText">
    <w:name w:val="annotation text"/>
    <w:basedOn w:val="Normal"/>
    <w:link w:val="CommentTextChar"/>
    <w:uiPriority w:val="99"/>
    <w:semiHidden/>
    <w:unhideWhenUsed/>
    <w:rsid w:val="008E0E41"/>
    <w:pPr>
      <w:spacing w:line="240" w:lineRule="auto"/>
    </w:pPr>
    <w:rPr>
      <w:sz w:val="20"/>
      <w:szCs w:val="20"/>
    </w:rPr>
  </w:style>
  <w:style w:type="character" w:customStyle="1" w:styleId="CommentTextChar">
    <w:name w:val="Comment Text Char"/>
    <w:basedOn w:val="DefaultParagraphFont"/>
    <w:link w:val="CommentText"/>
    <w:uiPriority w:val="99"/>
    <w:semiHidden/>
    <w:rsid w:val="008E0E41"/>
    <w:rPr>
      <w:sz w:val="20"/>
      <w:szCs w:val="20"/>
    </w:rPr>
  </w:style>
  <w:style w:type="paragraph" w:styleId="CommentSubject">
    <w:name w:val="annotation subject"/>
    <w:basedOn w:val="CommentText"/>
    <w:next w:val="CommentText"/>
    <w:link w:val="CommentSubjectChar"/>
    <w:uiPriority w:val="99"/>
    <w:semiHidden/>
    <w:unhideWhenUsed/>
    <w:rsid w:val="008E0E41"/>
    <w:rPr>
      <w:b/>
      <w:bCs/>
    </w:rPr>
  </w:style>
  <w:style w:type="character" w:customStyle="1" w:styleId="CommentSubjectChar">
    <w:name w:val="Comment Subject Char"/>
    <w:basedOn w:val="CommentTextChar"/>
    <w:link w:val="CommentSubject"/>
    <w:uiPriority w:val="99"/>
    <w:semiHidden/>
    <w:rsid w:val="008E0E41"/>
    <w:rPr>
      <w:b/>
      <w:bCs/>
      <w:sz w:val="20"/>
      <w:szCs w:val="20"/>
    </w:rPr>
  </w:style>
  <w:style w:type="paragraph" w:styleId="ListParagraph">
    <w:name w:val="List Paragraph"/>
    <w:basedOn w:val="Normal"/>
    <w:uiPriority w:val="34"/>
    <w:qFormat/>
    <w:rsid w:val="009813F5"/>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3623">
      <w:bodyDiv w:val="1"/>
      <w:marLeft w:val="0"/>
      <w:marRight w:val="0"/>
      <w:marTop w:val="0"/>
      <w:marBottom w:val="0"/>
      <w:divBdr>
        <w:top w:val="none" w:sz="0" w:space="0" w:color="auto"/>
        <w:left w:val="none" w:sz="0" w:space="0" w:color="auto"/>
        <w:bottom w:val="none" w:sz="0" w:space="0" w:color="auto"/>
        <w:right w:val="none" w:sz="0" w:space="0" w:color="auto"/>
      </w:divBdr>
      <w:divsChild>
        <w:div w:id="936982089">
          <w:marLeft w:val="360"/>
          <w:marRight w:val="0"/>
          <w:marTop w:val="200"/>
          <w:marBottom w:val="160"/>
          <w:divBdr>
            <w:top w:val="none" w:sz="0" w:space="0" w:color="auto"/>
            <w:left w:val="none" w:sz="0" w:space="0" w:color="auto"/>
            <w:bottom w:val="none" w:sz="0" w:space="0" w:color="auto"/>
            <w:right w:val="none" w:sz="0" w:space="0" w:color="auto"/>
          </w:divBdr>
        </w:div>
      </w:divsChild>
    </w:div>
    <w:div w:id="1214540890">
      <w:bodyDiv w:val="1"/>
      <w:marLeft w:val="0"/>
      <w:marRight w:val="0"/>
      <w:marTop w:val="0"/>
      <w:marBottom w:val="0"/>
      <w:divBdr>
        <w:top w:val="none" w:sz="0" w:space="0" w:color="auto"/>
        <w:left w:val="none" w:sz="0" w:space="0" w:color="auto"/>
        <w:bottom w:val="none" w:sz="0" w:space="0" w:color="auto"/>
        <w:right w:val="none" w:sz="0" w:space="0" w:color="auto"/>
      </w:divBdr>
      <w:divsChild>
        <w:div w:id="788931238">
          <w:marLeft w:val="360"/>
          <w:marRight w:val="0"/>
          <w:marTop w:val="200"/>
          <w:marBottom w:val="160"/>
          <w:divBdr>
            <w:top w:val="none" w:sz="0" w:space="0" w:color="auto"/>
            <w:left w:val="none" w:sz="0" w:space="0" w:color="auto"/>
            <w:bottom w:val="none" w:sz="0" w:space="0" w:color="auto"/>
            <w:right w:val="none" w:sz="0" w:space="0" w:color="auto"/>
          </w:divBdr>
        </w:div>
      </w:divsChild>
    </w:div>
    <w:div w:id="1286886543">
      <w:bodyDiv w:val="1"/>
      <w:marLeft w:val="0"/>
      <w:marRight w:val="0"/>
      <w:marTop w:val="0"/>
      <w:marBottom w:val="0"/>
      <w:divBdr>
        <w:top w:val="none" w:sz="0" w:space="0" w:color="auto"/>
        <w:left w:val="none" w:sz="0" w:space="0" w:color="auto"/>
        <w:bottom w:val="none" w:sz="0" w:space="0" w:color="auto"/>
        <w:right w:val="none" w:sz="0" w:space="0" w:color="auto"/>
      </w:divBdr>
      <w:divsChild>
        <w:div w:id="1361323446">
          <w:marLeft w:val="360"/>
          <w:marRight w:val="0"/>
          <w:marTop w:val="200"/>
          <w:marBottom w:val="160"/>
          <w:divBdr>
            <w:top w:val="none" w:sz="0" w:space="0" w:color="auto"/>
            <w:left w:val="none" w:sz="0" w:space="0" w:color="auto"/>
            <w:bottom w:val="none" w:sz="0" w:space="0" w:color="auto"/>
            <w:right w:val="none" w:sz="0" w:space="0" w:color="auto"/>
          </w:divBdr>
        </w:div>
      </w:divsChild>
    </w:div>
    <w:div w:id="1793791618">
      <w:bodyDiv w:val="1"/>
      <w:marLeft w:val="0"/>
      <w:marRight w:val="0"/>
      <w:marTop w:val="0"/>
      <w:marBottom w:val="0"/>
      <w:divBdr>
        <w:top w:val="none" w:sz="0" w:space="0" w:color="auto"/>
        <w:left w:val="none" w:sz="0" w:space="0" w:color="auto"/>
        <w:bottom w:val="none" w:sz="0" w:space="0" w:color="auto"/>
        <w:right w:val="none" w:sz="0" w:space="0" w:color="auto"/>
      </w:divBdr>
      <w:divsChild>
        <w:div w:id="2136558662">
          <w:marLeft w:val="547"/>
          <w:marRight w:val="0"/>
          <w:marTop w:val="200"/>
          <w:marBottom w:val="0"/>
          <w:divBdr>
            <w:top w:val="none" w:sz="0" w:space="0" w:color="auto"/>
            <w:left w:val="none" w:sz="0" w:space="0" w:color="auto"/>
            <w:bottom w:val="none" w:sz="0" w:space="0" w:color="auto"/>
            <w:right w:val="none" w:sz="0" w:space="0" w:color="auto"/>
          </w:divBdr>
        </w:div>
        <w:div w:id="1662002826">
          <w:marLeft w:val="547"/>
          <w:marRight w:val="0"/>
          <w:marTop w:val="200"/>
          <w:marBottom w:val="0"/>
          <w:divBdr>
            <w:top w:val="none" w:sz="0" w:space="0" w:color="auto"/>
            <w:left w:val="none" w:sz="0" w:space="0" w:color="auto"/>
            <w:bottom w:val="none" w:sz="0" w:space="0" w:color="auto"/>
            <w:right w:val="none" w:sz="0" w:space="0" w:color="auto"/>
          </w:divBdr>
        </w:div>
        <w:div w:id="1268005304">
          <w:marLeft w:val="547"/>
          <w:marRight w:val="0"/>
          <w:marTop w:val="200"/>
          <w:marBottom w:val="0"/>
          <w:divBdr>
            <w:top w:val="none" w:sz="0" w:space="0" w:color="auto"/>
            <w:left w:val="none" w:sz="0" w:space="0" w:color="auto"/>
            <w:bottom w:val="none" w:sz="0" w:space="0" w:color="auto"/>
            <w:right w:val="none" w:sz="0" w:space="0" w:color="auto"/>
          </w:divBdr>
        </w:div>
        <w:div w:id="2025860079">
          <w:marLeft w:val="547"/>
          <w:marRight w:val="0"/>
          <w:marTop w:val="200"/>
          <w:marBottom w:val="0"/>
          <w:divBdr>
            <w:top w:val="none" w:sz="0" w:space="0" w:color="auto"/>
            <w:left w:val="none" w:sz="0" w:space="0" w:color="auto"/>
            <w:bottom w:val="none" w:sz="0" w:space="0" w:color="auto"/>
            <w:right w:val="none" w:sz="0" w:space="0" w:color="auto"/>
          </w:divBdr>
        </w:div>
        <w:div w:id="1651325438">
          <w:marLeft w:val="547"/>
          <w:marRight w:val="0"/>
          <w:marTop w:val="200"/>
          <w:marBottom w:val="0"/>
          <w:divBdr>
            <w:top w:val="none" w:sz="0" w:space="0" w:color="auto"/>
            <w:left w:val="none" w:sz="0" w:space="0" w:color="auto"/>
            <w:bottom w:val="none" w:sz="0" w:space="0" w:color="auto"/>
            <w:right w:val="none" w:sz="0" w:space="0" w:color="auto"/>
          </w:divBdr>
        </w:div>
        <w:div w:id="801844016">
          <w:marLeft w:val="547"/>
          <w:marRight w:val="0"/>
          <w:marTop w:val="200"/>
          <w:marBottom w:val="0"/>
          <w:divBdr>
            <w:top w:val="none" w:sz="0" w:space="0" w:color="auto"/>
            <w:left w:val="none" w:sz="0" w:space="0" w:color="auto"/>
            <w:bottom w:val="none" w:sz="0" w:space="0" w:color="auto"/>
            <w:right w:val="none" w:sz="0" w:space="0" w:color="auto"/>
          </w:divBdr>
        </w:div>
        <w:div w:id="1121219315">
          <w:marLeft w:val="547"/>
          <w:marRight w:val="0"/>
          <w:marTop w:val="200"/>
          <w:marBottom w:val="0"/>
          <w:divBdr>
            <w:top w:val="none" w:sz="0" w:space="0" w:color="auto"/>
            <w:left w:val="none" w:sz="0" w:space="0" w:color="auto"/>
            <w:bottom w:val="none" w:sz="0" w:space="0" w:color="auto"/>
            <w:right w:val="none" w:sz="0" w:space="0" w:color="auto"/>
          </w:divBdr>
        </w:div>
        <w:div w:id="497310622">
          <w:marLeft w:val="547"/>
          <w:marRight w:val="0"/>
          <w:marTop w:val="200"/>
          <w:marBottom w:val="0"/>
          <w:divBdr>
            <w:top w:val="none" w:sz="0" w:space="0" w:color="auto"/>
            <w:left w:val="none" w:sz="0" w:space="0" w:color="auto"/>
            <w:bottom w:val="none" w:sz="0" w:space="0" w:color="auto"/>
            <w:right w:val="none" w:sz="0" w:space="0" w:color="auto"/>
          </w:divBdr>
        </w:div>
        <w:div w:id="353119523">
          <w:marLeft w:val="547"/>
          <w:marRight w:val="0"/>
          <w:marTop w:val="200"/>
          <w:marBottom w:val="0"/>
          <w:divBdr>
            <w:top w:val="none" w:sz="0" w:space="0" w:color="auto"/>
            <w:left w:val="none" w:sz="0" w:space="0" w:color="auto"/>
            <w:bottom w:val="none" w:sz="0" w:space="0" w:color="auto"/>
            <w:right w:val="none" w:sz="0" w:space="0" w:color="auto"/>
          </w:divBdr>
        </w:div>
        <w:div w:id="986081952">
          <w:marLeft w:val="547"/>
          <w:marRight w:val="0"/>
          <w:marTop w:val="200"/>
          <w:marBottom w:val="0"/>
          <w:divBdr>
            <w:top w:val="none" w:sz="0" w:space="0" w:color="auto"/>
            <w:left w:val="none" w:sz="0" w:space="0" w:color="auto"/>
            <w:bottom w:val="none" w:sz="0" w:space="0" w:color="auto"/>
            <w:right w:val="none" w:sz="0" w:space="0" w:color="auto"/>
          </w:divBdr>
        </w:div>
        <w:div w:id="1681857628">
          <w:marLeft w:val="547"/>
          <w:marRight w:val="0"/>
          <w:marTop w:val="200"/>
          <w:marBottom w:val="0"/>
          <w:divBdr>
            <w:top w:val="none" w:sz="0" w:space="0" w:color="auto"/>
            <w:left w:val="none" w:sz="0" w:space="0" w:color="auto"/>
            <w:bottom w:val="none" w:sz="0" w:space="0" w:color="auto"/>
            <w:right w:val="none" w:sz="0" w:space="0" w:color="auto"/>
          </w:divBdr>
        </w:div>
        <w:div w:id="122309898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onfa.swan.ac.uk/Record/cronfa52705" TargetMode="External"/><Relationship Id="rId13" Type="http://schemas.openxmlformats.org/officeDocument/2006/relationships/hyperlink" Target="https://thenayj.org.uk/campaigns-and-publications/" TargetMode="External"/><Relationship Id="rId18" Type="http://schemas.openxmlformats.org/officeDocument/2006/relationships/hyperlink" Target="https://researchbriefings.files.parliament.uk/documents/LLN-2017-0102/LLN-2017-0102.pdf" TargetMode="External"/><Relationship Id="rId26" Type="http://schemas.openxmlformats.org/officeDocument/2006/relationships/hyperlink" Target="https://restorativejustice.org.uk/sites/default/files/resources/files/Green%20paper%20evidence%20report.pdf" TargetMode="External"/><Relationship Id="rId3" Type="http://schemas.openxmlformats.org/officeDocument/2006/relationships/styles" Target="styles.xml"/><Relationship Id="rId21" Type="http://schemas.openxmlformats.org/officeDocument/2006/relationships/hyperlink" Target="https://committees.parliament.uk/committee/102/justice-committee/news/99557/prison-estate-in-appalling-state-of-crisis/" TargetMode="External"/><Relationship Id="rId34" Type="http://schemas.openxmlformats.org/officeDocument/2006/relationships/fontTable" Target="fontTable.xml"/><Relationship Id="rId7" Type="http://schemas.openxmlformats.org/officeDocument/2006/relationships/hyperlink" Target="https://www.unicef.org.uk/wp-content/uploads/2020/12/UnicefUKYouthJusticeExecSummaryInfographic_2020_2.pdf" TargetMode="External"/><Relationship Id="rId12" Type="http://schemas.openxmlformats.org/officeDocument/2006/relationships/hyperlink" Target="https://www.instituteforgovernment.org.uk/explainers/criminal-justice-devolution" TargetMode="External"/><Relationship Id="rId17" Type="http://schemas.openxmlformats.org/officeDocument/2006/relationships/image" Target="media/image1.png"/><Relationship Id="rId25" Type="http://schemas.openxmlformats.org/officeDocument/2006/relationships/hyperlink" Target="https://www.cps.gov.uk/legal-guidance/restorative-justice" TargetMode="External"/><Relationship Id="rId33" Type="http://schemas.openxmlformats.org/officeDocument/2006/relationships/hyperlink" Target="https://www.gov.scot/publications/rapid-evidence-review-uses-restorative-justice/pages/2/" TargetMode="External"/><Relationship Id="rId2" Type="http://schemas.openxmlformats.org/officeDocument/2006/relationships/numbering" Target="numbering.xml"/><Relationship Id="rId16" Type="http://schemas.openxmlformats.org/officeDocument/2006/relationships/hyperlink" Target="https://www.unicef.org.uk/wp-content/uploads/2020/12/UnicefUKYouthJusticeExecSummaryInfographic_2020_2.pdf" TargetMode="External"/><Relationship Id="rId20" Type="http://schemas.openxmlformats.org/officeDocument/2006/relationships/hyperlink" Target="http://www.prisonreformtrust.org.uk/PressPolicy/News/vw/1/ItemID/1030" TargetMode="External"/><Relationship Id="rId29" Type="http://schemas.openxmlformats.org/officeDocument/2006/relationships/hyperlink" Target="https://www.researchgate.net/publication/324479048_Does_restorative_justice_reduce_recidivism_Assessing_evidence_and_claims_about_restorative_justice_and_reoffending" TargetMode="External"/><Relationship Id="rId1" Type="http://schemas.openxmlformats.org/officeDocument/2006/relationships/customXml" Target="../customXml/item1.xml"/><Relationship Id="rId6" Type="http://schemas.openxmlformats.org/officeDocument/2006/relationships/hyperlink" Target="https://thenayj.org.uk/wp-content/uploads/2015/06/2012-The-Age-of-Criminal-responsibility.pdf" TargetMode="External"/><Relationship Id="rId11" Type="http://schemas.openxmlformats.org/officeDocument/2006/relationships/hyperlink" Target="https://researchbriefings.files.parliament.uk/documents/POST-PN-0577/POST-PN-0577.pdf" TargetMode="External"/><Relationship Id="rId24" Type="http://schemas.openxmlformats.org/officeDocument/2006/relationships/hyperlink" Target="https://www.justice.gc.ca/eng/rp-pr/csj-sjc/jsp-sjp/rp01_1-dr01_1/p7.html" TargetMode="External"/><Relationship Id="rId32" Type="http://schemas.openxmlformats.org/officeDocument/2006/relationships/hyperlink" Target="https://www.gov.scot/publications/rapid-evidence-review-uses-restorative-justice/pages/2/" TargetMode="External"/><Relationship Id="rId5" Type="http://schemas.openxmlformats.org/officeDocument/2006/relationships/webSettings" Target="webSettings.xml"/><Relationship Id="rId15" Type="http://schemas.openxmlformats.org/officeDocument/2006/relationships/hyperlink" Target="https://www.scra.gov.uk/2021/11/age-of-criminal-responsibility/" TargetMode="External"/><Relationship Id="rId23" Type="http://schemas.openxmlformats.org/officeDocument/2006/relationships/image" Target="media/image3.svg"/><Relationship Id="rId28" Type="http://schemas.openxmlformats.org/officeDocument/2006/relationships/hyperlink" Target="https://assets.publishing.service.gov.uk/government/uploads/system/uploads/attachment_data/file/1006052/Proven_reoffending_stats_bulletin_julsepFinal.pdf" TargetMode="External"/><Relationship Id="rId10" Type="http://schemas.openxmlformats.org/officeDocument/2006/relationships/hyperlink" Target="https://www.legislation.gov.uk/uksi/2020/1160/introduction/made" TargetMode="External"/><Relationship Id="rId19" Type="http://schemas.openxmlformats.org/officeDocument/2006/relationships/hyperlink" Target="https://www.gov.uk/government/speeches/prisons-reform-speech" TargetMode="External"/><Relationship Id="rId31" Type="http://schemas.openxmlformats.org/officeDocument/2006/relationships/hyperlink" Target="https://www.gov.scot/publications/rapid-evidence-review-uses-restorative-justice/pages/2/" TargetMode="External"/><Relationship Id="rId4" Type="http://schemas.openxmlformats.org/officeDocument/2006/relationships/settings" Target="settings.xml"/><Relationship Id="rId9" Type="http://schemas.openxmlformats.org/officeDocument/2006/relationships/hyperlink" Target="https://archive.crin.org/en/home/ages.html" TargetMode="External"/><Relationship Id="rId14" Type="http://schemas.openxmlformats.org/officeDocument/2006/relationships/hyperlink" Target="https://publications.parliament.uk/pa/cm201011/cmhansrd/cm110308/halltext/110308h0001.htm" TargetMode="External"/><Relationship Id="rId22" Type="http://schemas.openxmlformats.org/officeDocument/2006/relationships/image" Target="media/image2.png"/><Relationship Id="rId27" Type="http://schemas.openxmlformats.org/officeDocument/2006/relationships/hyperlink" Target="https://www.justice.govt.nz/assets/Documents/Publications/rj-Reoffending-Analysis-for-Restorative-Justice-Cases-2008-2013-Summary-Results.pdf" TargetMode="External"/><Relationship Id="rId30" Type="http://schemas.openxmlformats.org/officeDocument/2006/relationships/hyperlink" Target="https://restorativejustice.org.uk/criminal-justic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DC80F-3B25-4CC2-BF3A-47071F0DF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15</Pages>
  <Words>3563</Words>
  <Characters>20311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(IMH)</dc:creator>
  <cp:keywords/>
  <dc:description/>
  <cp:lastModifiedBy>Sarah Jones (IMH)</cp:lastModifiedBy>
  <cp:revision>37</cp:revision>
  <dcterms:created xsi:type="dcterms:W3CDTF">2021-12-20T15:38:00Z</dcterms:created>
  <dcterms:modified xsi:type="dcterms:W3CDTF">2021-12-21T12:03:00Z</dcterms:modified>
</cp:coreProperties>
</file>