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2ED6CD8" w14:textId="77777777" w:rsidR="00234FD6" w:rsidRDefault="00234FD6" w:rsidP="00234FD6">
      <w:pPr>
        <w:spacing w:after="117"/>
        <w:ind w:left="2295"/>
      </w:pPr>
      <w:r>
        <w:rPr>
          <w:noProof/>
        </w:rPr>
        <w:drawing>
          <wp:inline distT="0" distB="0" distL="0" distR="0" wp14:anchorId="3F928CC7" wp14:editId="742F8834">
            <wp:extent cx="2816225" cy="673100"/>
            <wp:effectExtent l="0" t="0" r="0" b="0"/>
            <wp:docPr id="47" name="Picture 47"/>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8"/>
                    <a:stretch>
                      <a:fillRect/>
                    </a:stretch>
                  </pic:blipFill>
                  <pic:spPr>
                    <a:xfrm>
                      <a:off x="0" y="0"/>
                      <a:ext cx="2816225" cy="673100"/>
                    </a:xfrm>
                    <a:prstGeom prst="rect">
                      <a:avLst/>
                    </a:prstGeom>
                  </pic:spPr>
                </pic:pic>
              </a:graphicData>
            </a:graphic>
          </wp:inline>
        </w:drawing>
      </w:r>
      <w:r>
        <w:rPr>
          <w:sz w:val="34"/>
        </w:rPr>
        <w:t xml:space="preserve"> </w:t>
      </w:r>
    </w:p>
    <w:p w14:paraId="497593A1" w14:textId="77777777" w:rsidR="00234FD6" w:rsidRDefault="00234FD6" w:rsidP="00234FD6">
      <w:pPr>
        <w:spacing w:after="64"/>
        <w:ind w:left="1721"/>
      </w:pPr>
      <w:r>
        <w:rPr>
          <w:sz w:val="38"/>
        </w:rPr>
        <w:t xml:space="preserve">Master of Business Administration </w:t>
      </w:r>
    </w:p>
    <w:p w14:paraId="3EAD5650" w14:textId="77777777" w:rsidR="00234FD6" w:rsidRDefault="00234FD6" w:rsidP="00234FD6">
      <w:pPr>
        <w:spacing w:after="93"/>
        <w:ind w:left="2356"/>
      </w:pPr>
      <w:r>
        <w:rPr>
          <w:sz w:val="32"/>
        </w:rPr>
        <w:t xml:space="preserve">International Business pathway </w:t>
      </w:r>
    </w:p>
    <w:p w14:paraId="1AD51833" w14:textId="77777777" w:rsidR="00234FD6" w:rsidRDefault="00234FD6" w:rsidP="00234FD6">
      <w:pPr>
        <w:spacing w:after="185"/>
        <w:ind w:left="49"/>
        <w:jc w:val="center"/>
      </w:pPr>
      <w:r>
        <w:rPr>
          <w:sz w:val="28"/>
        </w:rPr>
        <w:t xml:space="preserve"> </w:t>
      </w:r>
    </w:p>
    <w:p w14:paraId="7C0E2DE5" w14:textId="77777777" w:rsidR="00234FD6" w:rsidRDefault="00234FD6" w:rsidP="00234FD6">
      <w:pPr>
        <w:spacing w:after="297"/>
        <w:ind w:left="50"/>
        <w:jc w:val="center"/>
      </w:pPr>
      <w:r>
        <w:rPr>
          <w:noProof/>
        </w:rPr>
        <w:drawing>
          <wp:inline distT="0" distB="0" distL="0" distR="0" wp14:anchorId="5E8931E4" wp14:editId="504BF389">
            <wp:extent cx="2257425" cy="2257425"/>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9"/>
                    <a:stretch>
                      <a:fillRect/>
                    </a:stretch>
                  </pic:blipFill>
                  <pic:spPr>
                    <a:xfrm>
                      <a:off x="0" y="0"/>
                      <a:ext cx="2257425" cy="2257425"/>
                    </a:xfrm>
                    <a:prstGeom prst="rect">
                      <a:avLst/>
                    </a:prstGeom>
                  </pic:spPr>
                </pic:pic>
              </a:graphicData>
            </a:graphic>
          </wp:inline>
        </w:drawing>
      </w:r>
      <w:r>
        <w:rPr>
          <w:sz w:val="28"/>
        </w:rPr>
        <w:t xml:space="preserve"> </w:t>
      </w:r>
    </w:p>
    <w:p w14:paraId="4703B46F" w14:textId="77777777" w:rsidR="00234FD6" w:rsidRDefault="00234FD6" w:rsidP="00234FD6">
      <w:pPr>
        <w:pStyle w:val="Heading1"/>
      </w:pPr>
      <w:r>
        <w:t>Contemporary employability skills</w:t>
      </w:r>
      <w:r>
        <w:rPr>
          <w:b w:val="0"/>
          <w:vertAlign w:val="subscript"/>
        </w:rPr>
        <w:t xml:space="preserve"> </w:t>
      </w:r>
    </w:p>
    <w:p w14:paraId="742DE51B" w14:textId="77777777" w:rsidR="00234FD6" w:rsidRPr="0018618F" w:rsidRDefault="00234FD6" w:rsidP="00234FD6">
      <w:pPr>
        <w:spacing w:line="390" w:lineRule="auto"/>
        <w:ind w:right="787" w:firstLine="1796"/>
        <w:rPr>
          <w:rFonts w:ascii="Calibri" w:eastAsia="Calibri" w:hAnsi="Calibri" w:cs="Calibri"/>
          <w:b/>
          <w:bCs/>
          <w:color w:val="000000"/>
          <w:sz w:val="28"/>
        </w:rPr>
      </w:pPr>
      <w:r>
        <w:rPr>
          <w:sz w:val="28"/>
        </w:rPr>
        <w:t xml:space="preserve">Assessment </w:t>
      </w:r>
      <w:r>
        <w:rPr>
          <w:color w:val="EE0000"/>
          <w:sz w:val="28"/>
        </w:rPr>
        <w:t>1: Individual report</w:t>
      </w:r>
      <w:r>
        <w:rPr>
          <w:sz w:val="28"/>
        </w:rPr>
        <w:t xml:space="preserve">. Weight: </w:t>
      </w:r>
      <w:r>
        <w:rPr>
          <w:color w:val="EE0000"/>
          <w:sz w:val="28"/>
        </w:rPr>
        <w:t>50%</w:t>
      </w:r>
      <w:r>
        <w:rPr>
          <w:sz w:val="28"/>
        </w:rPr>
        <w:t xml:space="preserve"> </w:t>
      </w:r>
      <w:r>
        <w:rPr>
          <w:b/>
          <w:sz w:val="28"/>
        </w:rPr>
        <w:t xml:space="preserve">Module </w:t>
      </w:r>
      <w:proofErr w:type="spellStart"/>
      <w:r>
        <w:rPr>
          <w:b/>
          <w:sz w:val="28"/>
        </w:rPr>
        <w:t>Module</w:t>
      </w:r>
      <w:proofErr w:type="spellEnd"/>
      <w:r>
        <w:rPr>
          <w:b/>
          <w:sz w:val="28"/>
        </w:rPr>
        <w:t xml:space="preserve"> name:</w:t>
      </w:r>
      <w:r>
        <w:rPr>
          <w:sz w:val="28"/>
        </w:rPr>
        <w:t xml:space="preserve"> </w:t>
      </w:r>
      <w:r w:rsidRPr="00220835">
        <w:rPr>
          <w:b/>
          <w:bCs/>
          <w:sz w:val="28"/>
        </w:rPr>
        <w:t>International Marketing: Principles and Practices</w:t>
      </w:r>
    </w:p>
    <w:p w14:paraId="1FBB3465" w14:textId="77777777" w:rsidR="00234FD6" w:rsidRDefault="00234FD6" w:rsidP="00234FD6">
      <w:pPr>
        <w:spacing w:after="188"/>
      </w:pPr>
      <w:r>
        <w:rPr>
          <w:b/>
          <w:sz w:val="28"/>
        </w:rPr>
        <w:t>Module code</w:t>
      </w:r>
      <w:r>
        <w:rPr>
          <w:sz w:val="28"/>
        </w:rPr>
        <w:t>: LCMB7026</w:t>
      </w:r>
    </w:p>
    <w:p w14:paraId="6BD5DCA2" w14:textId="77777777" w:rsidR="00234FD6" w:rsidRPr="00B536F5" w:rsidRDefault="00234FD6" w:rsidP="00234FD6">
      <w:pPr>
        <w:spacing w:after="188"/>
        <w:ind w:left="-5" w:hanging="10"/>
        <w:rPr>
          <w:b/>
          <w:bCs/>
        </w:rPr>
      </w:pPr>
      <w:r>
        <w:rPr>
          <w:b/>
          <w:sz w:val="28"/>
        </w:rPr>
        <w:t>Lecturer name</w:t>
      </w:r>
      <w:r>
        <w:rPr>
          <w:sz w:val="28"/>
        </w:rPr>
        <w:t xml:space="preserve">:  </w:t>
      </w:r>
      <w:r w:rsidRPr="00220835">
        <w:rPr>
          <w:sz w:val="28"/>
        </w:rPr>
        <w:t xml:space="preserve">Amir </w:t>
      </w:r>
      <w:proofErr w:type="spellStart"/>
      <w:r w:rsidRPr="00220835">
        <w:rPr>
          <w:sz w:val="28"/>
        </w:rPr>
        <w:t>Homayounfard</w:t>
      </w:r>
      <w:proofErr w:type="spellEnd"/>
      <w:r>
        <w:rPr>
          <w:sz w:val="28"/>
        </w:rPr>
        <w:t xml:space="preserve"> </w:t>
      </w:r>
    </w:p>
    <w:p w14:paraId="067E19CF" w14:textId="77777777" w:rsidR="00234FD6" w:rsidRDefault="00234FD6" w:rsidP="00234FD6">
      <w:pPr>
        <w:spacing w:after="186"/>
      </w:pPr>
    </w:p>
    <w:p w14:paraId="2EB0BD7E" w14:textId="77777777" w:rsidR="00234FD6" w:rsidRDefault="00234FD6" w:rsidP="00234FD6">
      <w:pPr>
        <w:spacing w:after="188"/>
        <w:ind w:left="-5" w:hanging="10"/>
      </w:pPr>
      <w:r>
        <w:rPr>
          <w:b/>
          <w:sz w:val="28"/>
        </w:rPr>
        <w:t>Student name</w:t>
      </w:r>
      <w:r>
        <w:rPr>
          <w:sz w:val="28"/>
        </w:rPr>
        <w:t xml:space="preserve">: Arpit Khatra </w:t>
      </w:r>
    </w:p>
    <w:p w14:paraId="4D625374" w14:textId="77777777" w:rsidR="00234FD6" w:rsidRDefault="00234FD6" w:rsidP="00234FD6">
      <w:pPr>
        <w:spacing w:after="188"/>
        <w:ind w:left="-5" w:hanging="10"/>
      </w:pPr>
      <w:r>
        <w:rPr>
          <w:b/>
          <w:sz w:val="28"/>
        </w:rPr>
        <w:t>Student ID</w:t>
      </w:r>
      <w:r>
        <w:rPr>
          <w:sz w:val="28"/>
        </w:rPr>
        <w:t>: 2526504</w:t>
      </w:r>
    </w:p>
    <w:p w14:paraId="50286A52" w14:textId="77777777" w:rsidR="00234FD6" w:rsidRDefault="00234FD6" w:rsidP="00234FD6">
      <w:pPr>
        <w:spacing w:after="186"/>
      </w:pPr>
      <w:r>
        <w:rPr>
          <w:sz w:val="28"/>
        </w:rPr>
        <w:t xml:space="preserve"> </w:t>
      </w:r>
    </w:p>
    <w:p w14:paraId="3983BC2F" w14:textId="77777777" w:rsidR="00234FD6" w:rsidRDefault="00234FD6" w:rsidP="00234FD6">
      <w:pPr>
        <w:spacing w:after="188"/>
        <w:ind w:left="-5" w:hanging="10"/>
      </w:pPr>
      <w:r>
        <w:rPr>
          <w:b/>
          <w:sz w:val="28"/>
        </w:rPr>
        <w:t>Word count</w:t>
      </w:r>
      <w:r>
        <w:rPr>
          <w:sz w:val="28"/>
        </w:rPr>
        <w:t>: 5,019</w:t>
      </w:r>
    </w:p>
    <w:p w14:paraId="0D7DB0F9" w14:textId="70CC3B48" w:rsidR="00990CB8" w:rsidRPr="00234FD6" w:rsidRDefault="00234FD6" w:rsidP="00234FD6">
      <w:pPr>
        <w:spacing w:after="188"/>
        <w:ind w:left="-5" w:hanging="10"/>
      </w:pPr>
      <w:r>
        <w:rPr>
          <w:b/>
          <w:sz w:val="28"/>
        </w:rPr>
        <w:t>Submission date</w:t>
      </w:r>
      <w:r>
        <w:rPr>
          <w:sz w:val="28"/>
        </w:rPr>
        <w:t>: 13</w:t>
      </w:r>
      <w:r w:rsidRPr="00220835">
        <w:rPr>
          <w:sz w:val="28"/>
          <w:vertAlign w:val="superscript"/>
        </w:rPr>
        <w:t>th</w:t>
      </w:r>
      <w:r>
        <w:rPr>
          <w:sz w:val="28"/>
        </w:rPr>
        <w:t xml:space="preserve"> august 2026</w:t>
      </w:r>
      <w:r w:rsidR="002530F0">
        <w:br w:type="page"/>
      </w:r>
    </w:p>
    <w:p w14:paraId="29FAED6A" w14:textId="77777777" w:rsidR="00990CB8" w:rsidRDefault="002530F0">
      <w:pPr>
        <w:jc w:val="center"/>
        <w:rPr>
          <w:rFonts w:ascii="Arial" w:eastAsia="Arial" w:hAnsi="Arial" w:cs="Arial"/>
          <w:b/>
          <w:bCs/>
        </w:rPr>
      </w:pPr>
      <w:r>
        <w:rPr>
          <w:rFonts w:ascii="Arial" w:eastAsia="Arial" w:hAnsi="Arial" w:cs="Arial"/>
          <w:b/>
          <w:bCs/>
        </w:rPr>
        <w:lastRenderedPageBreak/>
        <w:t>Executive Summary</w:t>
      </w:r>
    </w:p>
    <w:p w14:paraId="1A72D4C0" w14:textId="77777777" w:rsidR="00990CB8" w:rsidRDefault="00990CB8">
      <w:pPr>
        <w:jc w:val="center"/>
        <w:rPr>
          <w:rFonts w:ascii="Arial" w:eastAsia="Arial" w:hAnsi="Arial" w:cs="Arial"/>
          <w:b/>
          <w:bCs/>
        </w:rPr>
      </w:pPr>
    </w:p>
    <w:p w14:paraId="42588A0A" w14:textId="77777777" w:rsidR="00990CB8" w:rsidRDefault="002530F0">
      <w:pPr>
        <w:rPr>
          <w:rFonts w:ascii="Arial" w:eastAsia="Arial" w:hAnsi="Arial" w:cs="Arial"/>
        </w:rPr>
      </w:pPr>
      <w:r>
        <w:rPr>
          <w:rFonts w:ascii="Arial" w:eastAsia="Arial" w:hAnsi="Arial" w:cs="Arial"/>
        </w:rPr>
        <w:t xml:space="preserve">This report is a comparative assessment of Pizza Hut's international marketing methodologies with its business in the USA and India. Recognises external business factors researched using PESTLE, hotel characteristics from Hofstede's cultural dimensions and identifies political, economic, social, technological, legal and environmental factors influencing the elements of marketing This report also delves into Pizza Hut's Segmentation, Targeting and Positioning (STP) strategy and 7Ps marketing mix, which look at the worldwide Pizza Hut brand's consistence and the needs of the local markets. </w:t>
      </w:r>
    </w:p>
    <w:p w14:paraId="59B475A0" w14:textId="77777777" w:rsidR="00990CB8" w:rsidRDefault="002530F0">
      <w:pPr>
        <w:rPr>
          <w:rFonts w:ascii="Arial" w:eastAsia="Arial" w:hAnsi="Arial" w:cs="Arial"/>
        </w:rPr>
      </w:pPr>
      <w:r>
        <w:rPr>
          <w:rFonts w:ascii="Arial" w:eastAsia="Arial" w:hAnsi="Arial" w:cs="Arial"/>
        </w:rPr>
        <w:t>The analysis indicated that the U.S. is a technology driven market, and India offers tremendous long term growth potential with its fast-paced urbanisation, increasing disposable income and rising need for QSRs. The report also examines the process of how Pizza Hut entered the market through the Franchising method, challenges the ethical questions thrown up in the industry, and offers some recommendations, on the basis of fact, to increase Pizza Hut's competitiveness. Finally, digital innovation, menu localization, sustainable business models and marketing tailoring to customer demands will keep Pizza Hut competitively strong in different parts of the world and help sustain its international growth.</w:t>
      </w:r>
    </w:p>
    <w:p w14:paraId="7B116CB7" w14:textId="77777777" w:rsidR="00990CB8" w:rsidRDefault="002530F0">
      <w:pPr>
        <w:rPr>
          <w:rFonts w:ascii="Arial" w:eastAsia="Arial" w:hAnsi="Arial" w:cs="Arial"/>
        </w:rPr>
      </w:pPr>
      <w:r>
        <w:br w:type="page"/>
      </w:r>
    </w:p>
    <w:p w14:paraId="66849067" w14:textId="7A4BDA20" w:rsidR="00990CB8" w:rsidRDefault="002530F0">
      <w:pPr>
        <w:keepNext/>
        <w:keepLines/>
        <w:pBdr>
          <w:top w:val="nil"/>
          <w:left w:val="nil"/>
          <w:bottom w:val="nil"/>
          <w:right w:val="nil"/>
          <w:between w:val="nil"/>
        </w:pBdr>
        <w:spacing w:before="480"/>
        <w:jc w:val="center"/>
        <w:rPr>
          <w:rFonts w:ascii="Arial" w:eastAsia="Arial" w:hAnsi="Arial" w:cs="Arial"/>
          <w:b/>
          <w:bCs/>
          <w:color w:val="000000"/>
        </w:rPr>
      </w:pPr>
      <w:r>
        <w:rPr>
          <w:rFonts w:ascii="Arial" w:eastAsia="Arial" w:hAnsi="Arial" w:cs="Arial"/>
          <w:b/>
          <w:bCs/>
          <w:color w:val="000000"/>
        </w:rPr>
        <w:lastRenderedPageBreak/>
        <w:t>Table of Contents</w:t>
      </w:r>
    </w:p>
    <w:p w14:paraId="4AFC059F" w14:textId="77777777" w:rsidR="0096252B" w:rsidRDefault="0096252B">
      <w:pPr>
        <w:keepNext/>
        <w:keepLines/>
        <w:pBdr>
          <w:top w:val="nil"/>
          <w:left w:val="nil"/>
          <w:bottom w:val="nil"/>
          <w:right w:val="nil"/>
          <w:between w:val="nil"/>
        </w:pBdr>
        <w:spacing w:before="480"/>
        <w:jc w:val="center"/>
        <w:rPr>
          <w:rFonts w:ascii="Arial" w:eastAsia="Arial" w:hAnsi="Arial" w:cs="Arial"/>
          <w:b/>
          <w:bCs/>
          <w:color w:val="000000"/>
        </w:rPr>
      </w:pPr>
    </w:p>
    <w:sdt>
      <w:sdtPr>
        <w:rPr>
          <w:rFonts w:ascii="Times New Roman" w:hAnsi="Times New Roman"/>
          <w:b w:val="0"/>
          <w:bCs w:val="0"/>
          <w:i w:val="0"/>
          <w:iCs w:val="0"/>
        </w:rPr>
        <w:id w:val="-1855406965"/>
        <w:docPartObj>
          <w:docPartGallery w:val="Table of Contents"/>
          <w:docPartUnique/>
        </w:docPartObj>
      </w:sdtPr>
      <w:sdtEndPr>
        <w:rPr>
          <w:rFonts w:ascii="Arial" w:hAnsi="Arial" w:cs="Arial"/>
        </w:rPr>
      </w:sdtEndPr>
      <w:sdtContent>
        <w:p w14:paraId="0F7FF861" w14:textId="140A9A31" w:rsidR="0096252B" w:rsidRPr="0096252B" w:rsidRDefault="002530F0" w:rsidP="0096252B">
          <w:pPr>
            <w:pStyle w:val="TOC1"/>
            <w:tabs>
              <w:tab w:val="right" w:leader="dot" w:pos="9016"/>
            </w:tabs>
            <w:jc w:val="both"/>
            <w:rPr>
              <w:rFonts w:ascii="Arial" w:eastAsiaTheme="minorEastAsia" w:hAnsi="Arial" w:cs="Arial"/>
              <w:b w:val="0"/>
              <w:bCs w:val="0"/>
              <w:i w:val="0"/>
              <w:iCs w:val="0"/>
              <w:noProof/>
              <w:sz w:val="22"/>
              <w:szCs w:val="22"/>
              <w:lang w:val="en-IN"/>
            </w:rPr>
          </w:pPr>
          <w:r w:rsidRPr="0096252B">
            <w:rPr>
              <w:rFonts w:ascii="Arial" w:hAnsi="Arial" w:cs="Arial"/>
              <w:b w:val="0"/>
              <w:bCs w:val="0"/>
            </w:rPr>
            <w:fldChar w:fldCharType="begin"/>
          </w:r>
          <w:r w:rsidRPr="0096252B">
            <w:rPr>
              <w:rFonts w:ascii="Arial" w:hAnsi="Arial" w:cs="Arial"/>
              <w:b w:val="0"/>
              <w:bCs w:val="0"/>
            </w:rPr>
            <w:instrText xml:space="preserve"> TOC \h \u \z \t "Heading 1,1,Heading 2,2,Heading 3,3,"</w:instrText>
          </w:r>
          <w:r w:rsidRPr="0096252B">
            <w:rPr>
              <w:rFonts w:ascii="Arial" w:hAnsi="Arial" w:cs="Arial"/>
              <w:b w:val="0"/>
              <w:bCs w:val="0"/>
            </w:rPr>
            <w:fldChar w:fldCharType="separate"/>
          </w:r>
          <w:hyperlink w:anchor="_Toc237076352" w:history="1">
            <w:r w:rsidR="0096252B" w:rsidRPr="0096252B">
              <w:rPr>
                <w:rStyle w:val="Hyperlink"/>
                <w:rFonts w:ascii="Arial" w:eastAsia="Arial" w:hAnsi="Arial" w:cs="Arial"/>
                <w:b w:val="0"/>
                <w:bCs w:val="0"/>
                <w:noProof/>
              </w:rPr>
              <w:t>1. Introduction</w:t>
            </w:r>
            <w:r w:rsidR="0096252B" w:rsidRPr="0096252B">
              <w:rPr>
                <w:rFonts w:ascii="Arial" w:hAnsi="Arial" w:cs="Arial"/>
                <w:b w:val="0"/>
                <w:bCs w:val="0"/>
                <w:noProof/>
                <w:webHidden/>
              </w:rPr>
              <w:tab/>
            </w:r>
            <w:r w:rsidR="0096252B" w:rsidRPr="0096252B">
              <w:rPr>
                <w:rFonts w:ascii="Arial" w:hAnsi="Arial" w:cs="Arial"/>
                <w:b w:val="0"/>
                <w:bCs w:val="0"/>
                <w:noProof/>
                <w:webHidden/>
              </w:rPr>
              <w:fldChar w:fldCharType="begin"/>
            </w:r>
            <w:r w:rsidR="0096252B" w:rsidRPr="0096252B">
              <w:rPr>
                <w:rFonts w:ascii="Arial" w:hAnsi="Arial" w:cs="Arial"/>
                <w:b w:val="0"/>
                <w:bCs w:val="0"/>
                <w:noProof/>
                <w:webHidden/>
              </w:rPr>
              <w:instrText xml:space="preserve"> PAGEREF _Toc237076352 \h </w:instrText>
            </w:r>
            <w:r w:rsidR="0096252B" w:rsidRPr="0096252B">
              <w:rPr>
                <w:rFonts w:ascii="Arial" w:hAnsi="Arial" w:cs="Arial"/>
                <w:b w:val="0"/>
                <w:bCs w:val="0"/>
                <w:noProof/>
                <w:webHidden/>
              </w:rPr>
            </w:r>
            <w:r w:rsidR="0096252B" w:rsidRPr="0096252B">
              <w:rPr>
                <w:rFonts w:ascii="Arial" w:hAnsi="Arial" w:cs="Arial"/>
                <w:b w:val="0"/>
                <w:bCs w:val="0"/>
                <w:noProof/>
                <w:webHidden/>
              </w:rPr>
              <w:fldChar w:fldCharType="separate"/>
            </w:r>
            <w:r w:rsidR="0096252B" w:rsidRPr="0096252B">
              <w:rPr>
                <w:rFonts w:ascii="Arial" w:hAnsi="Arial" w:cs="Arial"/>
                <w:b w:val="0"/>
                <w:bCs w:val="0"/>
                <w:noProof/>
                <w:webHidden/>
              </w:rPr>
              <w:t>5</w:t>
            </w:r>
            <w:r w:rsidR="0096252B" w:rsidRPr="0096252B">
              <w:rPr>
                <w:rFonts w:ascii="Arial" w:hAnsi="Arial" w:cs="Arial"/>
                <w:b w:val="0"/>
                <w:bCs w:val="0"/>
                <w:noProof/>
                <w:webHidden/>
              </w:rPr>
              <w:fldChar w:fldCharType="end"/>
            </w:r>
          </w:hyperlink>
        </w:p>
        <w:p w14:paraId="3B6856F6" w14:textId="159309D0"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53" w:history="1">
            <w:r w:rsidRPr="0096252B">
              <w:rPr>
                <w:rStyle w:val="Hyperlink"/>
                <w:rFonts w:ascii="Arial" w:eastAsia="Arial" w:hAnsi="Arial" w:cs="Arial"/>
                <w:b w:val="0"/>
                <w:bCs w:val="0"/>
                <w:noProof/>
              </w:rPr>
              <w:t>2. Company Background</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_Toc237076353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5</w:t>
            </w:r>
            <w:r w:rsidRPr="0096252B">
              <w:rPr>
                <w:rFonts w:ascii="Arial" w:hAnsi="Arial" w:cs="Arial"/>
                <w:b w:val="0"/>
                <w:bCs w:val="0"/>
                <w:noProof/>
                <w:webHidden/>
              </w:rPr>
              <w:fldChar w:fldCharType="end"/>
            </w:r>
          </w:hyperlink>
        </w:p>
        <w:p w14:paraId="2CDCFE46" w14:textId="0392C917"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54" w:history="1">
            <w:r w:rsidRPr="0096252B">
              <w:rPr>
                <w:rStyle w:val="Hyperlink"/>
                <w:rFonts w:ascii="Arial" w:eastAsia="Arial" w:hAnsi="Arial" w:cs="Arial"/>
                <w:b w:val="0"/>
                <w:bCs w:val="0"/>
                <w:noProof/>
              </w:rPr>
              <w:t>3. Comparative Market Analysis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_Toc237076354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6</w:t>
            </w:r>
            <w:r w:rsidRPr="0096252B">
              <w:rPr>
                <w:rFonts w:ascii="Arial" w:hAnsi="Arial" w:cs="Arial"/>
                <w:b w:val="0"/>
                <w:bCs w:val="0"/>
                <w:noProof/>
                <w:webHidden/>
              </w:rPr>
              <w:fldChar w:fldCharType="end"/>
            </w:r>
          </w:hyperlink>
        </w:p>
        <w:p w14:paraId="35139447" w14:textId="5939B550"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55" w:history="1">
            <w:r w:rsidRPr="0096252B">
              <w:rPr>
                <w:rStyle w:val="Hyperlink"/>
                <w:rFonts w:ascii="Arial" w:eastAsia="Arial" w:hAnsi="Arial" w:cs="Arial"/>
                <w:b w:val="0"/>
                <w:bCs w:val="0"/>
                <w:noProof/>
              </w:rPr>
              <w:t>3.1 Political</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_Toc237076355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7</w:t>
            </w:r>
            <w:r w:rsidRPr="0096252B">
              <w:rPr>
                <w:rFonts w:ascii="Arial" w:hAnsi="Arial" w:cs="Arial"/>
                <w:b w:val="0"/>
                <w:bCs w:val="0"/>
                <w:noProof/>
                <w:webHidden/>
              </w:rPr>
              <w:fldChar w:fldCharType="end"/>
            </w:r>
          </w:hyperlink>
        </w:p>
        <w:p w14:paraId="4B2C4142" w14:textId="282CBA2E"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56" w:history="1">
            <w:r w:rsidRPr="0096252B">
              <w:rPr>
                <w:rStyle w:val="Hyperlink"/>
                <w:rFonts w:ascii="Arial" w:eastAsia="Arial" w:hAnsi="Arial" w:cs="Arial"/>
                <w:b w:val="0"/>
                <w:bCs w:val="0"/>
                <w:noProof/>
              </w:rPr>
              <w:t>3.2 Economic</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_Toc237076356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8</w:t>
            </w:r>
            <w:r w:rsidRPr="0096252B">
              <w:rPr>
                <w:rFonts w:ascii="Arial" w:hAnsi="Arial" w:cs="Arial"/>
                <w:b w:val="0"/>
                <w:bCs w:val="0"/>
                <w:noProof/>
                <w:webHidden/>
              </w:rPr>
              <w:fldChar w:fldCharType="end"/>
            </w:r>
          </w:hyperlink>
        </w:p>
        <w:p w14:paraId="7BD0562B" w14:textId="6299B7F4"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57" w:history="1">
            <w:r w:rsidRPr="0096252B">
              <w:rPr>
                <w:rStyle w:val="Hyperlink"/>
                <w:rFonts w:ascii="Arial" w:eastAsia="Arial" w:hAnsi="Arial" w:cs="Arial"/>
                <w:b w:val="0"/>
                <w:bCs w:val="0"/>
                <w:noProof/>
              </w:rPr>
              <w:t>3.3 Social</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_Toc237076357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9</w:t>
            </w:r>
            <w:r w:rsidRPr="0096252B">
              <w:rPr>
                <w:rFonts w:ascii="Arial" w:hAnsi="Arial" w:cs="Arial"/>
                <w:b w:val="0"/>
                <w:bCs w:val="0"/>
                <w:noProof/>
                <w:webHidden/>
              </w:rPr>
              <w:fldChar w:fldCharType="end"/>
            </w:r>
          </w:hyperlink>
        </w:p>
        <w:p w14:paraId="02869D9F" w14:textId="4ED61529"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58" w:history="1">
            <w:r w:rsidRPr="0096252B">
              <w:rPr>
                <w:rStyle w:val="Hyperlink"/>
                <w:rFonts w:ascii="Arial" w:eastAsia="Arial" w:hAnsi="Arial" w:cs="Arial"/>
                <w:b w:val="0"/>
                <w:bCs w:val="0"/>
                <w:noProof/>
              </w:rPr>
              <w:t>3.4 Technological</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_Toc237076358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9</w:t>
            </w:r>
            <w:r w:rsidRPr="0096252B">
              <w:rPr>
                <w:rFonts w:ascii="Arial" w:hAnsi="Arial" w:cs="Arial"/>
                <w:b w:val="0"/>
                <w:bCs w:val="0"/>
                <w:noProof/>
                <w:webHidden/>
              </w:rPr>
              <w:fldChar w:fldCharType="end"/>
            </w:r>
          </w:hyperlink>
        </w:p>
        <w:p w14:paraId="015982C1" w14:textId="46031DDE"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59" w:history="1">
            <w:r w:rsidRPr="0096252B">
              <w:rPr>
                <w:rStyle w:val="Hyperlink"/>
                <w:rFonts w:ascii="Arial" w:eastAsia="Arial" w:hAnsi="Arial" w:cs="Arial"/>
                <w:b w:val="0"/>
                <w:bCs w:val="0"/>
                <w:noProof/>
              </w:rPr>
              <w:t>3.5 Legal</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_Toc237076359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10</w:t>
            </w:r>
            <w:r w:rsidRPr="0096252B">
              <w:rPr>
                <w:rFonts w:ascii="Arial" w:hAnsi="Arial" w:cs="Arial"/>
                <w:b w:val="0"/>
                <w:bCs w:val="0"/>
                <w:noProof/>
                <w:webHidden/>
              </w:rPr>
              <w:fldChar w:fldCharType="end"/>
            </w:r>
          </w:hyperlink>
        </w:p>
        <w:p w14:paraId="61F9DD1C" w14:textId="0754777A"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0" w:history="1">
            <w:r w:rsidRPr="0096252B">
              <w:rPr>
                <w:rStyle w:val="Hyperlink"/>
                <w:rFonts w:ascii="Arial" w:eastAsia="Arial" w:hAnsi="Arial" w:cs="Arial"/>
                <w:b w:val="0"/>
                <w:bCs w:val="0"/>
                <w:noProof/>
              </w:rPr>
              <w:t>3.6 Environmental</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_Toc237076360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10</w:t>
            </w:r>
            <w:r w:rsidRPr="0096252B">
              <w:rPr>
                <w:rFonts w:ascii="Arial" w:hAnsi="Arial" w:cs="Arial"/>
                <w:b w:val="0"/>
                <w:bCs w:val="0"/>
                <w:noProof/>
                <w:webHidden/>
              </w:rPr>
              <w:fldChar w:fldCharType="end"/>
            </w:r>
          </w:hyperlink>
        </w:p>
        <w:p w14:paraId="49A47872" w14:textId="60C65060"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1" w:history="1">
            <w:r w:rsidRPr="0096252B">
              <w:rPr>
                <w:rStyle w:val="Hyperlink"/>
                <w:rFonts w:ascii="Arial" w:eastAsia="Arial" w:hAnsi="Arial" w:cs="Arial"/>
                <w:b w:val="0"/>
                <w:bCs w:val="0"/>
                <w:noProof/>
              </w:rPr>
              <w:t>3.7 Hofstede Cultural Comparison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_Toc237076361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10</w:t>
            </w:r>
            <w:r w:rsidRPr="0096252B">
              <w:rPr>
                <w:rFonts w:ascii="Arial" w:hAnsi="Arial" w:cs="Arial"/>
                <w:b w:val="0"/>
                <w:bCs w:val="0"/>
                <w:noProof/>
                <w:webHidden/>
              </w:rPr>
              <w:fldChar w:fldCharType="end"/>
            </w:r>
          </w:hyperlink>
        </w:p>
        <w:p w14:paraId="45AD8F1F" w14:textId="7FBD0C39"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62" w:history="1">
            <w:r w:rsidRPr="0096252B">
              <w:rPr>
                <w:rStyle w:val="Hyperlink"/>
                <w:rFonts w:ascii="Arial" w:eastAsia="Arial" w:hAnsi="Arial" w:cs="Arial"/>
                <w:b w:val="0"/>
                <w:bCs w:val="0"/>
                <w:noProof/>
              </w:rPr>
              <w:t>4. STP Analysis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_Toc237076362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12</w:t>
            </w:r>
            <w:r w:rsidRPr="0096252B">
              <w:rPr>
                <w:rFonts w:ascii="Arial" w:hAnsi="Arial" w:cs="Arial"/>
                <w:b w:val="0"/>
                <w:bCs w:val="0"/>
                <w:noProof/>
                <w:webHidden/>
              </w:rPr>
              <w:fldChar w:fldCharType="end"/>
            </w:r>
          </w:hyperlink>
        </w:p>
        <w:p w14:paraId="2E586CB5" w14:textId="245B0682"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3" w:history="1">
            <w:r w:rsidRPr="0096252B">
              <w:rPr>
                <w:rStyle w:val="Hyperlink"/>
                <w:rFonts w:ascii="Arial" w:eastAsia="Arial" w:hAnsi="Arial" w:cs="Arial"/>
                <w:b w:val="0"/>
                <w:bCs w:val="0"/>
                <w:noProof/>
              </w:rPr>
              <w:t>4.1 Segmentation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_Toc237076363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12</w:t>
            </w:r>
            <w:r w:rsidRPr="0096252B">
              <w:rPr>
                <w:rFonts w:ascii="Arial" w:hAnsi="Arial" w:cs="Arial"/>
                <w:b w:val="0"/>
                <w:bCs w:val="0"/>
                <w:noProof/>
                <w:webHidden/>
              </w:rPr>
              <w:fldChar w:fldCharType="end"/>
            </w:r>
          </w:hyperlink>
        </w:p>
        <w:p w14:paraId="114F2A6F" w14:textId="2F525AF6"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4" w:history="1">
            <w:r w:rsidRPr="0096252B">
              <w:rPr>
                <w:rStyle w:val="Hyperlink"/>
                <w:rFonts w:ascii="Arial" w:eastAsia="Arial" w:hAnsi="Arial" w:cs="Arial"/>
                <w:b w:val="0"/>
                <w:bCs w:val="0"/>
                <w:noProof/>
              </w:rPr>
              <w:t>4.2 Targeting</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_Toc237076364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13</w:t>
            </w:r>
            <w:r w:rsidRPr="0096252B">
              <w:rPr>
                <w:rFonts w:ascii="Arial" w:hAnsi="Arial" w:cs="Arial"/>
                <w:b w:val="0"/>
                <w:bCs w:val="0"/>
                <w:noProof/>
                <w:webHidden/>
              </w:rPr>
              <w:fldChar w:fldCharType="end"/>
            </w:r>
          </w:hyperlink>
        </w:p>
        <w:p w14:paraId="251B8D2A" w14:textId="4DB6502A"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5" w:history="1">
            <w:r w:rsidRPr="0096252B">
              <w:rPr>
                <w:rStyle w:val="Hyperlink"/>
                <w:rFonts w:ascii="Arial" w:eastAsia="Arial" w:hAnsi="Arial" w:cs="Arial"/>
                <w:b w:val="0"/>
                <w:bCs w:val="0"/>
                <w:noProof/>
              </w:rPr>
              <w:t>4.3 Positioning</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_Toc237076365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13</w:t>
            </w:r>
            <w:r w:rsidRPr="0096252B">
              <w:rPr>
                <w:rFonts w:ascii="Arial" w:hAnsi="Arial" w:cs="Arial"/>
                <w:b w:val="0"/>
                <w:bCs w:val="0"/>
                <w:noProof/>
                <w:webHidden/>
              </w:rPr>
              <w:fldChar w:fldCharType="end"/>
            </w:r>
          </w:hyperlink>
        </w:p>
        <w:p w14:paraId="2D033783" w14:textId="166A8F38"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66" w:history="1">
            <w:r w:rsidRPr="0096252B">
              <w:rPr>
                <w:rStyle w:val="Hyperlink"/>
                <w:rFonts w:ascii="Arial" w:eastAsia="Arial" w:hAnsi="Arial" w:cs="Arial"/>
                <w:b w:val="0"/>
                <w:bCs w:val="0"/>
                <w:noProof/>
              </w:rPr>
              <w:t>5. International Marketing Mix (7Ps)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_Toc237076366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14</w:t>
            </w:r>
            <w:r w:rsidRPr="0096252B">
              <w:rPr>
                <w:rFonts w:ascii="Arial" w:hAnsi="Arial" w:cs="Arial"/>
                <w:b w:val="0"/>
                <w:bCs w:val="0"/>
                <w:noProof/>
                <w:webHidden/>
              </w:rPr>
              <w:fldChar w:fldCharType="end"/>
            </w:r>
          </w:hyperlink>
        </w:p>
        <w:p w14:paraId="6F75595B" w14:textId="4B29DC36"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7" w:history="1">
            <w:r w:rsidRPr="0096252B">
              <w:rPr>
                <w:rStyle w:val="Hyperlink"/>
                <w:rFonts w:ascii="Arial" w:eastAsia="Arial" w:hAnsi="Arial" w:cs="Arial"/>
                <w:b w:val="0"/>
                <w:bCs w:val="0"/>
                <w:noProof/>
              </w:rPr>
              <w:t>5.1 Product</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_Toc237076367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15</w:t>
            </w:r>
            <w:r w:rsidRPr="0096252B">
              <w:rPr>
                <w:rFonts w:ascii="Arial" w:hAnsi="Arial" w:cs="Arial"/>
                <w:b w:val="0"/>
                <w:bCs w:val="0"/>
                <w:noProof/>
                <w:webHidden/>
              </w:rPr>
              <w:fldChar w:fldCharType="end"/>
            </w:r>
          </w:hyperlink>
        </w:p>
        <w:p w14:paraId="03F1DDD1" w14:textId="7BF6B84F"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8" w:history="1">
            <w:r w:rsidRPr="0096252B">
              <w:rPr>
                <w:rStyle w:val="Hyperlink"/>
                <w:rFonts w:ascii="Arial" w:eastAsia="Arial" w:hAnsi="Arial" w:cs="Arial"/>
                <w:b w:val="0"/>
                <w:bCs w:val="0"/>
                <w:noProof/>
              </w:rPr>
              <w:t>5.2 Price</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_Toc237076368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15</w:t>
            </w:r>
            <w:r w:rsidRPr="0096252B">
              <w:rPr>
                <w:rFonts w:ascii="Arial" w:hAnsi="Arial" w:cs="Arial"/>
                <w:b w:val="0"/>
                <w:bCs w:val="0"/>
                <w:noProof/>
                <w:webHidden/>
              </w:rPr>
              <w:fldChar w:fldCharType="end"/>
            </w:r>
          </w:hyperlink>
        </w:p>
        <w:p w14:paraId="70D741D0" w14:textId="5457C79A"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69" w:history="1">
            <w:r w:rsidRPr="0096252B">
              <w:rPr>
                <w:rStyle w:val="Hyperlink"/>
                <w:rFonts w:ascii="Arial" w:eastAsia="Arial" w:hAnsi="Arial" w:cs="Arial"/>
                <w:b w:val="0"/>
                <w:bCs w:val="0"/>
                <w:noProof/>
              </w:rPr>
              <w:t>5.3 Place</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_Toc237076369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15</w:t>
            </w:r>
            <w:r w:rsidRPr="0096252B">
              <w:rPr>
                <w:rFonts w:ascii="Arial" w:hAnsi="Arial" w:cs="Arial"/>
                <w:b w:val="0"/>
                <w:bCs w:val="0"/>
                <w:noProof/>
                <w:webHidden/>
              </w:rPr>
              <w:fldChar w:fldCharType="end"/>
            </w:r>
          </w:hyperlink>
        </w:p>
        <w:p w14:paraId="0D04ACD2" w14:textId="25C4BBA4"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70" w:history="1">
            <w:r w:rsidRPr="0096252B">
              <w:rPr>
                <w:rStyle w:val="Hyperlink"/>
                <w:rFonts w:ascii="Arial" w:eastAsia="Arial" w:hAnsi="Arial" w:cs="Arial"/>
                <w:b w:val="0"/>
                <w:bCs w:val="0"/>
                <w:noProof/>
              </w:rPr>
              <w:t>5.4 Promotion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_Toc237076370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16</w:t>
            </w:r>
            <w:r w:rsidRPr="0096252B">
              <w:rPr>
                <w:rFonts w:ascii="Arial" w:hAnsi="Arial" w:cs="Arial"/>
                <w:b w:val="0"/>
                <w:bCs w:val="0"/>
                <w:noProof/>
                <w:webHidden/>
              </w:rPr>
              <w:fldChar w:fldCharType="end"/>
            </w:r>
          </w:hyperlink>
        </w:p>
        <w:p w14:paraId="0766A944" w14:textId="54BD9146"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71" w:history="1">
            <w:r w:rsidRPr="0096252B">
              <w:rPr>
                <w:rStyle w:val="Hyperlink"/>
                <w:rFonts w:ascii="Arial" w:eastAsia="Arial" w:hAnsi="Arial" w:cs="Arial"/>
                <w:b w:val="0"/>
                <w:bCs w:val="0"/>
                <w:noProof/>
              </w:rPr>
              <w:t>5.5 People</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_Toc237076371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16</w:t>
            </w:r>
            <w:r w:rsidRPr="0096252B">
              <w:rPr>
                <w:rFonts w:ascii="Arial" w:hAnsi="Arial" w:cs="Arial"/>
                <w:b w:val="0"/>
                <w:bCs w:val="0"/>
                <w:noProof/>
                <w:webHidden/>
              </w:rPr>
              <w:fldChar w:fldCharType="end"/>
            </w:r>
          </w:hyperlink>
        </w:p>
        <w:p w14:paraId="0878594B" w14:textId="5909BAA6"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72" w:history="1">
            <w:r w:rsidRPr="0096252B">
              <w:rPr>
                <w:rStyle w:val="Hyperlink"/>
                <w:rFonts w:ascii="Arial" w:eastAsia="Arial" w:hAnsi="Arial" w:cs="Arial"/>
                <w:b w:val="0"/>
                <w:bCs w:val="0"/>
                <w:noProof/>
              </w:rPr>
              <w:t>5.6 Process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_Toc237076372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16</w:t>
            </w:r>
            <w:r w:rsidRPr="0096252B">
              <w:rPr>
                <w:rFonts w:ascii="Arial" w:hAnsi="Arial" w:cs="Arial"/>
                <w:b w:val="0"/>
                <w:bCs w:val="0"/>
                <w:noProof/>
                <w:webHidden/>
              </w:rPr>
              <w:fldChar w:fldCharType="end"/>
            </w:r>
          </w:hyperlink>
        </w:p>
        <w:p w14:paraId="0C063F95" w14:textId="524368DC"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73" w:history="1">
            <w:r w:rsidRPr="0096252B">
              <w:rPr>
                <w:rStyle w:val="Hyperlink"/>
                <w:rFonts w:ascii="Arial" w:eastAsia="Arial" w:hAnsi="Arial" w:cs="Arial"/>
                <w:b w:val="0"/>
                <w:bCs w:val="0"/>
                <w:noProof/>
              </w:rPr>
              <w:t>5.7 Physical Evidence</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_Toc237076373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17</w:t>
            </w:r>
            <w:r w:rsidRPr="0096252B">
              <w:rPr>
                <w:rFonts w:ascii="Arial" w:hAnsi="Arial" w:cs="Arial"/>
                <w:b w:val="0"/>
                <w:bCs w:val="0"/>
                <w:noProof/>
                <w:webHidden/>
              </w:rPr>
              <w:fldChar w:fldCharType="end"/>
            </w:r>
          </w:hyperlink>
        </w:p>
        <w:p w14:paraId="66C1E67B" w14:textId="2F5F3B73"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74" w:history="1">
            <w:r w:rsidRPr="0096252B">
              <w:rPr>
                <w:rStyle w:val="Hyperlink"/>
                <w:rFonts w:ascii="Arial" w:eastAsia="Arial" w:hAnsi="Arial" w:cs="Arial"/>
                <w:b w:val="0"/>
                <w:bCs w:val="0"/>
                <w:noProof/>
              </w:rPr>
              <w:t>6. Market Entry Strategy</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_Toc237076374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17</w:t>
            </w:r>
            <w:r w:rsidRPr="0096252B">
              <w:rPr>
                <w:rFonts w:ascii="Arial" w:hAnsi="Arial" w:cs="Arial"/>
                <w:b w:val="0"/>
                <w:bCs w:val="0"/>
                <w:noProof/>
                <w:webHidden/>
              </w:rPr>
              <w:fldChar w:fldCharType="end"/>
            </w:r>
          </w:hyperlink>
        </w:p>
        <w:p w14:paraId="37B3F518" w14:textId="4F638AF5"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75" w:history="1">
            <w:r w:rsidRPr="0096252B">
              <w:rPr>
                <w:rStyle w:val="Hyperlink"/>
                <w:rFonts w:ascii="Arial" w:eastAsia="Arial" w:hAnsi="Arial" w:cs="Arial"/>
                <w:b w:val="0"/>
                <w:bCs w:val="0"/>
                <w:noProof/>
              </w:rPr>
              <w:t>7. Ethical Issues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_Toc237076375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18</w:t>
            </w:r>
            <w:r w:rsidRPr="0096252B">
              <w:rPr>
                <w:rFonts w:ascii="Arial" w:hAnsi="Arial" w:cs="Arial"/>
                <w:b w:val="0"/>
                <w:bCs w:val="0"/>
                <w:noProof/>
                <w:webHidden/>
              </w:rPr>
              <w:fldChar w:fldCharType="end"/>
            </w:r>
          </w:hyperlink>
        </w:p>
        <w:p w14:paraId="0DCE6F97" w14:textId="3D29B6AE"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76" w:history="1">
            <w:r w:rsidRPr="0096252B">
              <w:rPr>
                <w:rStyle w:val="Hyperlink"/>
                <w:rFonts w:ascii="Arial" w:eastAsia="Arial" w:hAnsi="Arial" w:cs="Arial"/>
                <w:b w:val="0"/>
                <w:bCs w:val="0"/>
                <w:noProof/>
              </w:rPr>
              <w:t>8. Recommendations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_Toc237076376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18</w:t>
            </w:r>
            <w:r w:rsidRPr="0096252B">
              <w:rPr>
                <w:rFonts w:ascii="Arial" w:hAnsi="Arial" w:cs="Arial"/>
                <w:b w:val="0"/>
                <w:bCs w:val="0"/>
                <w:noProof/>
                <w:webHidden/>
              </w:rPr>
              <w:fldChar w:fldCharType="end"/>
            </w:r>
          </w:hyperlink>
        </w:p>
        <w:p w14:paraId="439BAD7A" w14:textId="5D534A04"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77" w:history="1">
            <w:r w:rsidRPr="0096252B">
              <w:rPr>
                <w:rStyle w:val="Hyperlink"/>
                <w:rFonts w:ascii="Arial" w:eastAsia="Arial" w:hAnsi="Arial" w:cs="Arial"/>
                <w:b w:val="0"/>
                <w:bCs w:val="0"/>
                <w:noProof/>
              </w:rPr>
              <w:t>9. Conclusion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_Toc237076377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19</w:t>
            </w:r>
            <w:r w:rsidRPr="0096252B">
              <w:rPr>
                <w:rFonts w:ascii="Arial" w:hAnsi="Arial" w:cs="Arial"/>
                <w:b w:val="0"/>
                <w:bCs w:val="0"/>
                <w:noProof/>
                <w:webHidden/>
              </w:rPr>
              <w:fldChar w:fldCharType="end"/>
            </w:r>
          </w:hyperlink>
        </w:p>
        <w:p w14:paraId="465AEEF2" w14:textId="74D383E0"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78" w:history="1">
            <w:r w:rsidRPr="0096252B">
              <w:rPr>
                <w:rStyle w:val="Hyperlink"/>
                <w:rFonts w:ascii="Arial" w:eastAsia="Arial" w:hAnsi="Arial" w:cs="Arial"/>
                <w:b w:val="0"/>
                <w:bCs w:val="0"/>
                <w:noProof/>
              </w:rPr>
              <w:t>10. Reflective Account</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_Toc237076378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19</w:t>
            </w:r>
            <w:r w:rsidRPr="0096252B">
              <w:rPr>
                <w:rFonts w:ascii="Arial" w:hAnsi="Arial" w:cs="Arial"/>
                <w:b w:val="0"/>
                <w:bCs w:val="0"/>
                <w:noProof/>
                <w:webHidden/>
              </w:rPr>
              <w:fldChar w:fldCharType="end"/>
            </w:r>
          </w:hyperlink>
        </w:p>
        <w:p w14:paraId="298D9AA6" w14:textId="525FBEAB"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79" w:history="1">
            <w:r w:rsidRPr="0096252B">
              <w:rPr>
                <w:rStyle w:val="Hyperlink"/>
                <w:rFonts w:ascii="Arial" w:eastAsia="Arial" w:hAnsi="Arial" w:cs="Arial"/>
                <w:b w:val="0"/>
                <w:bCs w:val="0"/>
                <w:noProof/>
              </w:rPr>
              <w:t>10.1 Introduction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_Toc237076379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20</w:t>
            </w:r>
            <w:r w:rsidRPr="0096252B">
              <w:rPr>
                <w:rFonts w:ascii="Arial" w:hAnsi="Arial" w:cs="Arial"/>
                <w:b w:val="0"/>
                <w:bCs w:val="0"/>
                <w:noProof/>
                <w:webHidden/>
              </w:rPr>
              <w:fldChar w:fldCharType="end"/>
            </w:r>
          </w:hyperlink>
        </w:p>
        <w:p w14:paraId="387298E3" w14:textId="5F0FB0D3"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80" w:history="1">
            <w:r w:rsidRPr="0096252B">
              <w:rPr>
                <w:rStyle w:val="Hyperlink"/>
                <w:rFonts w:ascii="Arial" w:eastAsia="Arial" w:hAnsi="Arial" w:cs="Arial"/>
                <w:b w:val="0"/>
                <w:bCs w:val="0"/>
                <w:noProof/>
              </w:rPr>
              <w:t>10.2 Description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_Toc237076380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20</w:t>
            </w:r>
            <w:r w:rsidRPr="0096252B">
              <w:rPr>
                <w:rFonts w:ascii="Arial" w:hAnsi="Arial" w:cs="Arial"/>
                <w:b w:val="0"/>
                <w:bCs w:val="0"/>
                <w:noProof/>
                <w:webHidden/>
              </w:rPr>
              <w:fldChar w:fldCharType="end"/>
            </w:r>
          </w:hyperlink>
        </w:p>
        <w:p w14:paraId="1F601A5A" w14:textId="375AE5E0"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81" w:history="1">
            <w:r w:rsidRPr="0096252B">
              <w:rPr>
                <w:rStyle w:val="Hyperlink"/>
                <w:rFonts w:ascii="Arial" w:eastAsia="Arial" w:hAnsi="Arial" w:cs="Arial"/>
                <w:b w:val="0"/>
                <w:bCs w:val="0"/>
                <w:noProof/>
              </w:rPr>
              <w:t>10.3 Feelings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_Toc237076381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20</w:t>
            </w:r>
            <w:r w:rsidRPr="0096252B">
              <w:rPr>
                <w:rFonts w:ascii="Arial" w:hAnsi="Arial" w:cs="Arial"/>
                <w:b w:val="0"/>
                <w:bCs w:val="0"/>
                <w:noProof/>
                <w:webHidden/>
              </w:rPr>
              <w:fldChar w:fldCharType="end"/>
            </w:r>
          </w:hyperlink>
        </w:p>
        <w:p w14:paraId="44DFB906" w14:textId="6F332D72"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82" w:history="1">
            <w:r w:rsidRPr="0096252B">
              <w:rPr>
                <w:rStyle w:val="Hyperlink"/>
                <w:rFonts w:ascii="Arial" w:eastAsia="Arial" w:hAnsi="Arial" w:cs="Arial"/>
                <w:b w:val="0"/>
                <w:bCs w:val="0"/>
                <w:noProof/>
              </w:rPr>
              <w:t>10.4 Evaluation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_Toc237076382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20</w:t>
            </w:r>
            <w:r w:rsidRPr="0096252B">
              <w:rPr>
                <w:rFonts w:ascii="Arial" w:hAnsi="Arial" w:cs="Arial"/>
                <w:b w:val="0"/>
                <w:bCs w:val="0"/>
                <w:noProof/>
                <w:webHidden/>
              </w:rPr>
              <w:fldChar w:fldCharType="end"/>
            </w:r>
          </w:hyperlink>
        </w:p>
        <w:p w14:paraId="55C9FC36" w14:textId="2C63DD5B"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83" w:history="1">
            <w:r w:rsidRPr="0096252B">
              <w:rPr>
                <w:rStyle w:val="Hyperlink"/>
                <w:rFonts w:ascii="Arial" w:eastAsia="Arial" w:hAnsi="Arial" w:cs="Arial"/>
                <w:b w:val="0"/>
                <w:bCs w:val="0"/>
                <w:noProof/>
              </w:rPr>
              <w:t>10.5 Analysis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_Toc237076383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21</w:t>
            </w:r>
            <w:r w:rsidRPr="0096252B">
              <w:rPr>
                <w:rFonts w:ascii="Arial" w:hAnsi="Arial" w:cs="Arial"/>
                <w:b w:val="0"/>
                <w:bCs w:val="0"/>
                <w:noProof/>
                <w:webHidden/>
              </w:rPr>
              <w:fldChar w:fldCharType="end"/>
            </w:r>
          </w:hyperlink>
        </w:p>
        <w:p w14:paraId="40DD8613" w14:textId="53457CAD"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84" w:history="1">
            <w:r w:rsidRPr="0096252B">
              <w:rPr>
                <w:rStyle w:val="Hyperlink"/>
                <w:rFonts w:ascii="Arial" w:eastAsia="Arial" w:hAnsi="Arial" w:cs="Arial"/>
                <w:b w:val="0"/>
                <w:bCs w:val="0"/>
                <w:noProof/>
              </w:rPr>
              <w:t>10.6 Conclusion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_Toc237076384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21</w:t>
            </w:r>
            <w:r w:rsidRPr="0096252B">
              <w:rPr>
                <w:rFonts w:ascii="Arial" w:hAnsi="Arial" w:cs="Arial"/>
                <w:b w:val="0"/>
                <w:bCs w:val="0"/>
                <w:noProof/>
                <w:webHidden/>
              </w:rPr>
              <w:fldChar w:fldCharType="end"/>
            </w:r>
          </w:hyperlink>
        </w:p>
        <w:p w14:paraId="0D6D544F" w14:textId="547DAEF7" w:rsidR="0096252B" w:rsidRPr="0096252B" w:rsidRDefault="0096252B" w:rsidP="0096252B">
          <w:pPr>
            <w:pStyle w:val="TOC2"/>
            <w:tabs>
              <w:tab w:val="right" w:leader="dot" w:pos="9016"/>
            </w:tabs>
            <w:jc w:val="both"/>
            <w:rPr>
              <w:rFonts w:ascii="Arial" w:eastAsiaTheme="minorEastAsia" w:hAnsi="Arial" w:cs="Arial"/>
              <w:b w:val="0"/>
              <w:bCs w:val="0"/>
              <w:noProof/>
              <w:lang w:val="en-IN"/>
            </w:rPr>
          </w:pPr>
          <w:hyperlink w:anchor="_Toc237076385" w:history="1">
            <w:r w:rsidRPr="0096252B">
              <w:rPr>
                <w:rStyle w:val="Hyperlink"/>
                <w:rFonts w:ascii="Arial" w:eastAsia="Arial" w:hAnsi="Arial" w:cs="Arial"/>
                <w:b w:val="0"/>
                <w:bCs w:val="0"/>
                <w:noProof/>
              </w:rPr>
              <w:t>10.7 Action Plan</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_Toc237076385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22</w:t>
            </w:r>
            <w:r w:rsidRPr="0096252B">
              <w:rPr>
                <w:rFonts w:ascii="Arial" w:hAnsi="Arial" w:cs="Arial"/>
                <w:b w:val="0"/>
                <w:bCs w:val="0"/>
                <w:noProof/>
                <w:webHidden/>
              </w:rPr>
              <w:fldChar w:fldCharType="end"/>
            </w:r>
          </w:hyperlink>
        </w:p>
        <w:p w14:paraId="3648002A" w14:textId="2EEB63E1" w:rsidR="0096252B" w:rsidRPr="0096252B" w:rsidRDefault="0096252B" w:rsidP="0096252B">
          <w:pPr>
            <w:pStyle w:val="TOC1"/>
            <w:tabs>
              <w:tab w:val="right" w:leader="dot" w:pos="9016"/>
            </w:tabs>
            <w:jc w:val="both"/>
            <w:rPr>
              <w:rFonts w:ascii="Arial" w:eastAsiaTheme="minorEastAsia" w:hAnsi="Arial" w:cs="Arial"/>
              <w:b w:val="0"/>
              <w:bCs w:val="0"/>
              <w:i w:val="0"/>
              <w:iCs w:val="0"/>
              <w:noProof/>
              <w:sz w:val="22"/>
              <w:szCs w:val="22"/>
              <w:lang w:val="en-IN"/>
            </w:rPr>
          </w:pPr>
          <w:hyperlink w:anchor="_Toc237076386" w:history="1">
            <w:r w:rsidRPr="0096252B">
              <w:rPr>
                <w:rStyle w:val="Hyperlink"/>
                <w:rFonts w:ascii="Arial" w:eastAsia="Arial" w:hAnsi="Arial" w:cs="Arial"/>
                <w:b w:val="0"/>
                <w:bCs w:val="0"/>
                <w:noProof/>
              </w:rPr>
              <w:t>References</w:t>
            </w:r>
            <w:r w:rsidRPr="0096252B">
              <w:rPr>
                <w:rFonts w:ascii="Arial" w:hAnsi="Arial" w:cs="Arial"/>
                <w:b w:val="0"/>
                <w:bCs w:val="0"/>
                <w:noProof/>
                <w:webHidden/>
              </w:rPr>
              <w:tab/>
            </w:r>
            <w:r w:rsidRPr="0096252B">
              <w:rPr>
                <w:rFonts w:ascii="Arial" w:hAnsi="Arial" w:cs="Arial"/>
                <w:b w:val="0"/>
                <w:bCs w:val="0"/>
                <w:noProof/>
                <w:webHidden/>
              </w:rPr>
              <w:fldChar w:fldCharType="begin"/>
            </w:r>
            <w:r w:rsidRPr="0096252B">
              <w:rPr>
                <w:rFonts w:ascii="Arial" w:hAnsi="Arial" w:cs="Arial"/>
                <w:b w:val="0"/>
                <w:bCs w:val="0"/>
                <w:noProof/>
                <w:webHidden/>
              </w:rPr>
              <w:instrText xml:space="preserve"> PAGEREF _Toc237076386 \h </w:instrText>
            </w:r>
            <w:r w:rsidRPr="0096252B">
              <w:rPr>
                <w:rFonts w:ascii="Arial" w:hAnsi="Arial" w:cs="Arial"/>
                <w:b w:val="0"/>
                <w:bCs w:val="0"/>
                <w:noProof/>
                <w:webHidden/>
              </w:rPr>
            </w:r>
            <w:r w:rsidRPr="0096252B">
              <w:rPr>
                <w:rFonts w:ascii="Arial" w:hAnsi="Arial" w:cs="Arial"/>
                <w:b w:val="0"/>
                <w:bCs w:val="0"/>
                <w:noProof/>
                <w:webHidden/>
              </w:rPr>
              <w:fldChar w:fldCharType="separate"/>
            </w:r>
            <w:r w:rsidRPr="0096252B">
              <w:rPr>
                <w:rFonts w:ascii="Arial" w:hAnsi="Arial" w:cs="Arial"/>
                <w:b w:val="0"/>
                <w:bCs w:val="0"/>
                <w:noProof/>
                <w:webHidden/>
              </w:rPr>
              <w:t>23</w:t>
            </w:r>
            <w:r w:rsidRPr="0096252B">
              <w:rPr>
                <w:rFonts w:ascii="Arial" w:hAnsi="Arial" w:cs="Arial"/>
                <w:b w:val="0"/>
                <w:bCs w:val="0"/>
                <w:noProof/>
                <w:webHidden/>
              </w:rPr>
              <w:fldChar w:fldCharType="end"/>
            </w:r>
          </w:hyperlink>
        </w:p>
        <w:p w14:paraId="24C7CCDA" w14:textId="033B1E35" w:rsidR="00990CB8" w:rsidRPr="0096252B" w:rsidRDefault="002530F0" w:rsidP="0096252B">
          <w:pPr>
            <w:rPr>
              <w:rFonts w:ascii="Arial" w:eastAsia="Arial" w:hAnsi="Arial" w:cs="Arial"/>
            </w:rPr>
          </w:pPr>
          <w:r w:rsidRPr="0096252B">
            <w:rPr>
              <w:rFonts w:ascii="Arial" w:hAnsi="Arial" w:cs="Arial"/>
            </w:rPr>
            <w:fldChar w:fldCharType="end"/>
          </w:r>
        </w:p>
      </w:sdtContent>
    </w:sdt>
    <w:p w14:paraId="200A9BF1" w14:textId="77777777" w:rsidR="00990CB8" w:rsidRDefault="002530F0">
      <w:pPr>
        <w:rPr>
          <w:rFonts w:ascii="Arial" w:eastAsia="Arial" w:hAnsi="Arial" w:cs="Arial"/>
        </w:rPr>
      </w:pPr>
      <w:r>
        <w:br w:type="page"/>
      </w:r>
    </w:p>
    <w:p w14:paraId="520D30BC" w14:textId="77777777" w:rsidR="00990CB8" w:rsidRPr="0096252B" w:rsidRDefault="002530F0">
      <w:pPr>
        <w:pStyle w:val="Heading1"/>
        <w:rPr>
          <w:rFonts w:ascii="Arial" w:eastAsia="Arial" w:hAnsi="Arial" w:cs="Arial"/>
        </w:rPr>
      </w:pPr>
      <w:bookmarkStart w:id="0" w:name="_Toc237076352"/>
      <w:r w:rsidRPr="0096252B">
        <w:rPr>
          <w:rFonts w:ascii="Arial" w:eastAsia="Arial" w:hAnsi="Arial" w:cs="Arial"/>
        </w:rPr>
        <w:lastRenderedPageBreak/>
        <w:t>1. Introduction</w:t>
      </w:r>
      <w:bookmarkEnd w:id="0"/>
    </w:p>
    <w:p w14:paraId="5F138160" w14:textId="77777777" w:rsidR="00990CB8" w:rsidRPr="0096252B" w:rsidRDefault="002530F0">
      <w:pPr>
        <w:rPr>
          <w:rFonts w:ascii="Arial" w:eastAsia="Arial" w:hAnsi="Arial" w:cs="Arial"/>
        </w:rPr>
      </w:pPr>
      <w:r w:rsidRPr="0096252B">
        <w:rPr>
          <w:rFonts w:ascii="Arial" w:eastAsia="Arial" w:hAnsi="Arial" w:cs="Arial"/>
        </w:rPr>
        <w:t>International marketing helps companies grow internationally by adapting their strategies to meet the needs of foreign markets. This report presents the International Marketing strategies of Pizza Hut in the USA and India market by applying PESTLE, Hofstede's Cultural Dimensions, STP and 7Ps. It also explores market entry, ethical considerations and recommendations for enhancing competitive international market position.</w:t>
      </w:r>
    </w:p>
    <w:p w14:paraId="0A571AFE" w14:textId="77777777" w:rsidR="00990CB8" w:rsidRPr="0096252B" w:rsidRDefault="002530F0">
      <w:pPr>
        <w:pStyle w:val="Heading1"/>
        <w:rPr>
          <w:rFonts w:ascii="Arial" w:eastAsia="Arial" w:hAnsi="Arial" w:cs="Arial"/>
        </w:rPr>
      </w:pPr>
      <w:bookmarkStart w:id="1" w:name="_Toc237076353"/>
      <w:r w:rsidRPr="0096252B">
        <w:rPr>
          <w:rFonts w:ascii="Arial" w:eastAsia="Arial" w:hAnsi="Arial" w:cs="Arial"/>
        </w:rPr>
        <w:t>2. Company Background</w:t>
      </w:r>
      <w:bookmarkEnd w:id="1"/>
    </w:p>
    <w:p w14:paraId="4AB330F4" w14:textId="77777777" w:rsidR="00990CB8" w:rsidRPr="0096252B" w:rsidRDefault="002530F0">
      <w:pPr>
        <w:jc w:val="center"/>
        <w:rPr>
          <w:rFonts w:ascii="Arial" w:eastAsia="Arial" w:hAnsi="Arial" w:cs="Arial"/>
        </w:rPr>
      </w:pPr>
      <w:r w:rsidRPr="0096252B">
        <w:rPr>
          <w:rFonts w:ascii="Arial" w:eastAsia="Arial" w:hAnsi="Arial" w:cs="Arial"/>
          <w:noProof/>
        </w:rPr>
        <w:drawing>
          <wp:inline distT="114300" distB="114300" distL="114300" distR="114300" wp14:anchorId="72501593" wp14:editId="0558974D">
            <wp:extent cx="5731200" cy="3187700"/>
            <wp:effectExtent l="12700" t="12700" r="12700" b="12700"/>
            <wp:docPr id="164944694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187700"/>
                    </a:xfrm>
                    <a:prstGeom prst="rect">
                      <a:avLst/>
                    </a:prstGeom>
                    <a:ln w="12700">
                      <a:solidFill>
                        <a:srgbClr val="000000"/>
                      </a:solidFill>
                      <a:prstDash val="solid"/>
                    </a:ln>
                  </pic:spPr>
                </pic:pic>
              </a:graphicData>
            </a:graphic>
          </wp:inline>
        </w:drawing>
      </w:r>
    </w:p>
    <w:p w14:paraId="5769E0B3" w14:textId="77777777" w:rsidR="00990CB8" w:rsidRPr="0096252B" w:rsidRDefault="002530F0">
      <w:pPr>
        <w:jc w:val="center"/>
        <w:rPr>
          <w:rFonts w:ascii="Arial" w:eastAsia="Arial" w:hAnsi="Arial" w:cs="Arial"/>
          <w:b/>
          <w:bCs/>
        </w:rPr>
      </w:pPr>
      <w:r w:rsidRPr="0096252B">
        <w:rPr>
          <w:rFonts w:ascii="Arial" w:eastAsia="Arial" w:hAnsi="Arial" w:cs="Arial"/>
          <w:b/>
          <w:bCs/>
        </w:rPr>
        <w:t>Figure 1: US QSR Market Size</w:t>
      </w:r>
    </w:p>
    <w:p w14:paraId="13DE07A0" w14:textId="77777777" w:rsidR="00990CB8" w:rsidRPr="0096252B" w:rsidRDefault="002530F0">
      <w:pPr>
        <w:jc w:val="center"/>
        <w:rPr>
          <w:rFonts w:ascii="Arial" w:eastAsia="Arial" w:hAnsi="Arial" w:cs="Arial"/>
        </w:rPr>
      </w:pPr>
      <w:r w:rsidRPr="0096252B">
        <w:rPr>
          <w:rFonts w:ascii="Arial" w:eastAsia="Arial" w:hAnsi="Arial" w:cs="Arial"/>
        </w:rPr>
        <w:t>(Source: MI, 2026)</w:t>
      </w:r>
    </w:p>
    <w:p w14:paraId="47D73B5F" w14:textId="77777777" w:rsidR="00990CB8" w:rsidRPr="0096252B" w:rsidRDefault="002530F0">
      <w:pPr>
        <w:rPr>
          <w:rFonts w:ascii="Arial" w:eastAsia="Arial" w:hAnsi="Arial" w:cs="Arial"/>
        </w:rPr>
      </w:pPr>
      <w:r w:rsidRPr="0096252B">
        <w:rPr>
          <w:rFonts w:ascii="Arial" w:eastAsia="Arial" w:hAnsi="Arial" w:cs="Arial"/>
        </w:rPr>
        <w:t xml:space="preserve">Pizza Hut is a part of </w:t>
      </w:r>
      <w:proofErr w:type="gramStart"/>
      <w:r w:rsidRPr="0096252B">
        <w:rPr>
          <w:rFonts w:ascii="Arial" w:eastAsia="Arial" w:hAnsi="Arial" w:cs="Arial"/>
        </w:rPr>
        <w:t>Yum!,</w:t>
      </w:r>
      <w:proofErr w:type="gramEnd"/>
      <w:r w:rsidRPr="0096252B">
        <w:rPr>
          <w:rFonts w:ascii="Arial" w:eastAsia="Arial" w:hAnsi="Arial" w:cs="Arial"/>
        </w:rPr>
        <w:t xml:space="preserve"> which was established in 1958 by Dan and Frank Carney of Wichita, Kansas (Yum, 2026). It started mindfully pursuing the expansion of its business by selecting a franchise style. It now has over 20,000 restaurants in more than 108 countries and territories. As shown in figure 2, it is one of the world's largest quick-service restaurant (QSR) chains with a </w:t>
      </w:r>
      <w:proofErr w:type="gramStart"/>
      <w:r w:rsidRPr="0096252B">
        <w:rPr>
          <w:rFonts w:ascii="Arial" w:eastAsia="Arial" w:hAnsi="Arial" w:cs="Arial"/>
        </w:rPr>
        <w:t>sales</w:t>
      </w:r>
      <w:proofErr w:type="gramEnd"/>
      <w:r w:rsidRPr="0096252B">
        <w:rPr>
          <w:rFonts w:ascii="Arial" w:eastAsia="Arial" w:hAnsi="Arial" w:cs="Arial"/>
        </w:rPr>
        <w:t xml:space="preserve"> of $12.794 billion as of 2025 (Yum, 2026). The company operates in a globally consistent fashion and locally adapts menus, prices, and promotion strategies according to region. For instance, India has vegetarian and locally crafted pizzas, while the United States specialises in high-end and techie convenience pizzas. The U.S. QSR industry is estimated to be valued at USD 789.65 billion (MI, 2026). India represents one of Pizza Hut's most promising international growth markets because of rapid urbanisation, rising disposable incomes </w:t>
      </w:r>
      <w:r w:rsidRPr="0096252B">
        <w:rPr>
          <w:rFonts w:ascii="Arial" w:eastAsia="Arial" w:hAnsi="Arial" w:cs="Arial"/>
        </w:rPr>
        <w:lastRenderedPageBreak/>
        <w:t>and increasing organised food service demand (</w:t>
      </w:r>
      <w:proofErr w:type="spellStart"/>
      <w:r w:rsidRPr="0096252B">
        <w:rPr>
          <w:rFonts w:ascii="Arial" w:eastAsia="Arial" w:hAnsi="Arial" w:cs="Arial"/>
        </w:rPr>
        <w:t>Imarc</w:t>
      </w:r>
      <w:proofErr w:type="spellEnd"/>
      <w:r w:rsidRPr="0096252B">
        <w:rPr>
          <w:rFonts w:ascii="Arial" w:eastAsia="Arial" w:hAnsi="Arial" w:cs="Arial"/>
        </w:rPr>
        <w:t xml:space="preserve">, 2026). </w:t>
      </w:r>
      <w:proofErr w:type="spellStart"/>
      <w:r w:rsidRPr="0096252B">
        <w:rPr>
          <w:rFonts w:ascii="Arial" w:eastAsia="Arial" w:hAnsi="Arial" w:cs="Arial"/>
        </w:rPr>
        <w:t>Mudzakkir</w:t>
      </w:r>
      <w:proofErr w:type="spellEnd"/>
      <w:r w:rsidRPr="0096252B">
        <w:rPr>
          <w:rFonts w:ascii="Arial" w:eastAsia="Arial" w:hAnsi="Arial" w:cs="Arial"/>
        </w:rPr>
        <w:t xml:space="preserve"> et al. (2023) describe how Pizza Hut's operational resilience was enhanced by the digital transformation. Pizza Hut's international competitiveness is ensured by food quality and service quality (Teoh et al., 2021).</w:t>
      </w:r>
    </w:p>
    <w:p w14:paraId="270D98D5" w14:textId="77777777" w:rsidR="00990CB8" w:rsidRPr="0096252B" w:rsidRDefault="002530F0">
      <w:pPr>
        <w:jc w:val="center"/>
        <w:rPr>
          <w:rFonts w:ascii="Arial" w:eastAsia="Arial" w:hAnsi="Arial" w:cs="Arial"/>
          <w:b/>
          <w:bCs/>
        </w:rPr>
      </w:pPr>
      <w:r w:rsidRPr="0096252B">
        <w:rPr>
          <w:rFonts w:ascii="Arial" w:eastAsia="Arial" w:hAnsi="Arial" w:cs="Arial"/>
          <w:b/>
          <w:bCs/>
          <w:noProof/>
        </w:rPr>
        <w:drawing>
          <wp:inline distT="114300" distB="114300" distL="114300" distR="114300" wp14:anchorId="32B111DB" wp14:editId="4E06D0D4">
            <wp:extent cx="5731200" cy="4241800"/>
            <wp:effectExtent l="0" t="0" r="0" b="0"/>
            <wp:docPr id="16494469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4241800"/>
                    </a:xfrm>
                    <a:prstGeom prst="rect">
                      <a:avLst/>
                    </a:prstGeom>
                    <a:ln/>
                  </pic:spPr>
                </pic:pic>
              </a:graphicData>
            </a:graphic>
          </wp:inline>
        </w:drawing>
      </w:r>
    </w:p>
    <w:p w14:paraId="4FACFDBE" w14:textId="77777777" w:rsidR="00990CB8" w:rsidRPr="0096252B" w:rsidRDefault="002530F0">
      <w:pPr>
        <w:jc w:val="center"/>
        <w:rPr>
          <w:rFonts w:ascii="Arial" w:eastAsia="Arial" w:hAnsi="Arial" w:cs="Arial"/>
          <w:b/>
          <w:bCs/>
        </w:rPr>
      </w:pPr>
      <w:r w:rsidRPr="0096252B">
        <w:rPr>
          <w:rFonts w:ascii="Arial" w:eastAsia="Arial" w:hAnsi="Arial" w:cs="Arial"/>
          <w:b/>
          <w:bCs/>
        </w:rPr>
        <w:t>Figure 2: Overview of Pizza Hut</w:t>
      </w:r>
    </w:p>
    <w:p w14:paraId="3A8F3E1C" w14:textId="77777777" w:rsidR="00990CB8" w:rsidRPr="0096252B" w:rsidRDefault="002530F0">
      <w:pPr>
        <w:jc w:val="center"/>
        <w:rPr>
          <w:rFonts w:ascii="Arial" w:eastAsia="Arial" w:hAnsi="Arial" w:cs="Arial"/>
        </w:rPr>
      </w:pPr>
      <w:r w:rsidRPr="0096252B">
        <w:rPr>
          <w:rFonts w:ascii="Arial" w:eastAsia="Arial" w:hAnsi="Arial" w:cs="Arial"/>
        </w:rPr>
        <w:t>(Source: Yum, 2026)</w:t>
      </w:r>
    </w:p>
    <w:p w14:paraId="244E9B14" w14:textId="77777777" w:rsidR="00990CB8" w:rsidRPr="0096252B" w:rsidRDefault="002530F0">
      <w:pPr>
        <w:pStyle w:val="Heading1"/>
        <w:rPr>
          <w:rFonts w:ascii="Arial" w:eastAsia="Arial" w:hAnsi="Arial" w:cs="Arial"/>
        </w:rPr>
      </w:pPr>
      <w:bookmarkStart w:id="2" w:name="_Toc237076354"/>
      <w:r w:rsidRPr="0096252B">
        <w:rPr>
          <w:rFonts w:ascii="Arial" w:eastAsia="Arial" w:hAnsi="Arial" w:cs="Arial"/>
        </w:rPr>
        <w:t>3. Comparative Market Analysis</w:t>
      </w:r>
      <w:bookmarkEnd w:id="2"/>
    </w:p>
    <w:tbl>
      <w:tblPr>
        <w:tblStyle w:val="a3"/>
        <w:tblW w:w="10410" w:type="dxa"/>
        <w:tblInd w:w="-600" w:type="dxa"/>
        <w:tblBorders>
          <w:top w:val="nil"/>
          <w:left w:val="nil"/>
          <w:bottom w:val="nil"/>
          <w:right w:val="nil"/>
          <w:insideH w:val="nil"/>
          <w:insideV w:val="nil"/>
        </w:tblBorders>
        <w:tblLayout w:type="fixed"/>
        <w:tblLook w:val="0600" w:firstRow="0" w:lastRow="0" w:firstColumn="0" w:lastColumn="0" w:noHBand="1" w:noVBand="1"/>
      </w:tblPr>
      <w:tblGrid>
        <w:gridCol w:w="1845"/>
        <w:gridCol w:w="2715"/>
        <w:gridCol w:w="2625"/>
        <w:gridCol w:w="3225"/>
      </w:tblGrid>
      <w:tr w:rsidR="0096252B" w:rsidRPr="0096252B" w14:paraId="4342A930" w14:textId="77777777">
        <w:trPr>
          <w:trHeight w:val="515"/>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A01F1C" w14:textId="77777777" w:rsidR="00990CB8" w:rsidRPr="0096252B" w:rsidRDefault="002530F0">
            <w:pPr>
              <w:jc w:val="center"/>
              <w:rPr>
                <w:rFonts w:ascii="Arial" w:eastAsia="Arial" w:hAnsi="Arial" w:cs="Arial"/>
              </w:rPr>
            </w:pPr>
            <w:r w:rsidRPr="0096252B">
              <w:rPr>
                <w:rFonts w:ascii="Arial" w:eastAsia="Arial" w:hAnsi="Arial" w:cs="Arial"/>
                <w:b/>
                <w:bCs/>
              </w:rPr>
              <w:t>Factor</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674FF" w14:textId="77777777" w:rsidR="00990CB8" w:rsidRPr="0096252B" w:rsidRDefault="002530F0">
            <w:pPr>
              <w:jc w:val="center"/>
              <w:rPr>
                <w:rFonts w:ascii="Arial" w:eastAsia="Arial" w:hAnsi="Arial" w:cs="Arial"/>
              </w:rPr>
            </w:pPr>
            <w:r w:rsidRPr="0096252B">
              <w:rPr>
                <w:rFonts w:ascii="Arial" w:eastAsia="Arial" w:hAnsi="Arial" w:cs="Arial"/>
                <w:b/>
                <w:bCs/>
              </w:rPr>
              <w:t>United States</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35657" w14:textId="77777777" w:rsidR="00990CB8" w:rsidRPr="0096252B" w:rsidRDefault="002530F0">
            <w:pPr>
              <w:jc w:val="center"/>
              <w:rPr>
                <w:rFonts w:ascii="Arial" w:eastAsia="Arial" w:hAnsi="Arial" w:cs="Arial"/>
              </w:rPr>
            </w:pPr>
            <w:r w:rsidRPr="0096252B">
              <w:rPr>
                <w:rFonts w:ascii="Arial" w:eastAsia="Arial" w:hAnsi="Arial" w:cs="Arial"/>
                <w:b/>
                <w:bCs/>
              </w:rPr>
              <w:t>India</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24439D" w14:textId="77777777" w:rsidR="00990CB8" w:rsidRPr="0096252B" w:rsidRDefault="002530F0">
            <w:pPr>
              <w:jc w:val="center"/>
              <w:rPr>
                <w:rFonts w:ascii="Arial" w:eastAsia="Arial" w:hAnsi="Arial" w:cs="Arial"/>
              </w:rPr>
            </w:pPr>
            <w:r w:rsidRPr="0096252B">
              <w:rPr>
                <w:rFonts w:ascii="Arial" w:eastAsia="Arial" w:hAnsi="Arial" w:cs="Arial"/>
                <w:b/>
                <w:bCs/>
              </w:rPr>
              <w:t>Implication for Pizza Hut</w:t>
            </w:r>
          </w:p>
        </w:tc>
      </w:tr>
      <w:tr w:rsidR="0096252B" w:rsidRPr="0096252B" w14:paraId="7B63DF9B" w14:textId="77777777">
        <w:trPr>
          <w:trHeight w:val="1355"/>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17764" w14:textId="77777777" w:rsidR="00990CB8" w:rsidRPr="0096252B" w:rsidRDefault="002530F0">
            <w:pPr>
              <w:rPr>
                <w:rFonts w:ascii="Arial" w:eastAsia="Arial" w:hAnsi="Arial" w:cs="Arial"/>
              </w:rPr>
            </w:pPr>
            <w:r w:rsidRPr="0096252B">
              <w:rPr>
                <w:rFonts w:ascii="Arial" w:eastAsia="Arial" w:hAnsi="Arial" w:cs="Arial"/>
                <w:b/>
                <w:bCs/>
              </w:rPr>
              <w:t>Political</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2E392F" w14:textId="77777777" w:rsidR="00990CB8" w:rsidRPr="0096252B" w:rsidRDefault="002530F0">
            <w:pPr>
              <w:rPr>
                <w:rFonts w:ascii="Arial" w:eastAsia="Arial" w:hAnsi="Arial" w:cs="Arial"/>
              </w:rPr>
            </w:pPr>
            <w:r w:rsidRPr="0096252B">
              <w:rPr>
                <w:rFonts w:ascii="Arial" w:eastAsia="Arial" w:hAnsi="Arial" w:cs="Arial"/>
              </w:rPr>
              <w:t>Stable regulations, strong IP protection, strict compliance</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46B4F" w14:textId="77777777" w:rsidR="00990CB8" w:rsidRPr="0096252B" w:rsidRDefault="002530F0">
            <w:pPr>
              <w:rPr>
                <w:rFonts w:ascii="Arial" w:eastAsia="Arial" w:hAnsi="Arial" w:cs="Arial"/>
              </w:rPr>
            </w:pPr>
            <w:r w:rsidRPr="0096252B">
              <w:rPr>
                <w:rFonts w:ascii="Arial" w:eastAsia="Arial" w:hAnsi="Arial" w:cs="Arial"/>
              </w:rPr>
              <w:t>Pro-business reforms, GST, higher regulatory complexity</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5881F" w14:textId="77777777" w:rsidR="00990CB8" w:rsidRPr="0096252B" w:rsidRDefault="002530F0">
            <w:pPr>
              <w:rPr>
                <w:rFonts w:ascii="Arial" w:eastAsia="Arial" w:hAnsi="Arial" w:cs="Arial"/>
              </w:rPr>
            </w:pPr>
            <w:r w:rsidRPr="0096252B">
              <w:rPr>
                <w:rFonts w:ascii="Arial" w:eastAsia="Arial" w:hAnsi="Arial" w:cs="Arial"/>
              </w:rPr>
              <w:t>Stable U.S. operations; India offers high growth but requires regulatory adaptation.</w:t>
            </w:r>
          </w:p>
        </w:tc>
      </w:tr>
      <w:tr w:rsidR="0096252B" w:rsidRPr="0096252B" w14:paraId="62E27DD6" w14:textId="77777777">
        <w:trPr>
          <w:trHeight w:val="1070"/>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862F0D" w14:textId="77777777" w:rsidR="00990CB8" w:rsidRPr="0096252B" w:rsidRDefault="002530F0">
            <w:pPr>
              <w:rPr>
                <w:rFonts w:ascii="Arial" w:eastAsia="Arial" w:hAnsi="Arial" w:cs="Arial"/>
              </w:rPr>
            </w:pPr>
            <w:r w:rsidRPr="0096252B">
              <w:rPr>
                <w:rFonts w:ascii="Arial" w:eastAsia="Arial" w:hAnsi="Arial" w:cs="Arial"/>
                <w:b/>
                <w:bCs/>
              </w:rPr>
              <w:t>Economic</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C7D55F" w14:textId="77777777" w:rsidR="00990CB8" w:rsidRPr="0096252B" w:rsidRDefault="002530F0">
            <w:pPr>
              <w:rPr>
                <w:rFonts w:ascii="Arial" w:eastAsia="Arial" w:hAnsi="Arial" w:cs="Arial"/>
              </w:rPr>
            </w:pPr>
            <w:r w:rsidRPr="0096252B">
              <w:rPr>
                <w:rFonts w:ascii="Arial" w:eastAsia="Arial" w:hAnsi="Arial" w:cs="Arial"/>
              </w:rPr>
              <w:t xml:space="preserve">USD </w:t>
            </w:r>
            <w:r w:rsidRPr="0096252B">
              <w:rPr>
                <w:rFonts w:ascii="Arial" w:eastAsia="Arial" w:hAnsi="Arial" w:cs="Arial"/>
                <w:b/>
                <w:bCs/>
              </w:rPr>
              <w:t>30+ trillion</w:t>
            </w:r>
            <w:r w:rsidRPr="0096252B">
              <w:rPr>
                <w:rFonts w:ascii="Arial" w:eastAsia="Arial" w:hAnsi="Arial" w:cs="Arial"/>
              </w:rPr>
              <w:t xml:space="preserve"> GDP; QSR market </w:t>
            </w:r>
            <w:r w:rsidRPr="0096252B">
              <w:rPr>
                <w:rFonts w:ascii="Arial" w:eastAsia="Arial" w:hAnsi="Arial" w:cs="Arial"/>
                <w:b/>
                <w:bCs/>
              </w:rPr>
              <w:t>USD 447 billion</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517A93" w14:textId="77777777" w:rsidR="00990CB8" w:rsidRPr="0096252B" w:rsidRDefault="002530F0">
            <w:pPr>
              <w:rPr>
                <w:rFonts w:ascii="Arial" w:eastAsia="Arial" w:hAnsi="Arial" w:cs="Arial"/>
              </w:rPr>
            </w:pPr>
            <w:r w:rsidRPr="0096252B">
              <w:rPr>
                <w:rFonts w:ascii="Arial" w:eastAsia="Arial" w:hAnsi="Arial" w:cs="Arial"/>
              </w:rPr>
              <w:t xml:space="preserve">QSR market growing </w:t>
            </w:r>
            <w:r w:rsidRPr="0096252B">
              <w:rPr>
                <w:rFonts w:ascii="Arial" w:eastAsia="Arial" w:hAnsi="Arial" w:cs="Arial"/>
                <w:b/>
                <w:bCs/>
              </w:rPr>
              <w:t>&gt;10% CAGR</w:t>
            </w:r>
            <w:r w:rsidRPr="0096252B">
              <w:rPr>
                <w:rFonts w:ascii="Arial" w:eastAsia="Arial" w:hAnsi="Arial" w:cs="Arial"/>
              </w:rPr>
              <w:t xml:space="preserve">; </w:t>
            </w:r>
            <w:r w:rsidRPr="0096252B">
              <w:rPr>
                <w:rFonts w:ascii="Arial" w:eastAsia="Arial" w:hAnsi="Arial" w:cs="Arial"/>
                <w:b/>
                <w:bCs/>
              </w:rPr>
              <w:t>20–25%</w:t>
            </w:r>
            <w:r w:rsidRPr="0096252B">
              <w:rPr>
                <w:rFonts w:ascii="Arial" w:eastAsia="Arial" w:hAnsi="Arial" w:cs="Arial"/>
              </w:rPr>
              <w:t xml:space="preserve"> industry growth</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823CF" w14:textId="77777777" w:rsidR="00990CB8" w:rsidRPr="0096252B" w:rsidRDefault="002530F0">
            <w:pPr>
              <w:rPr>
                <w:rFonts w:ascii="Arial" w:eastAsia="Arial" w:hAnsi="Arial" w:cs="Arial"/>
              </w:rPr>
            </w:pPr>
            <w:r w:rsidRPr="0096252B">
              <w:rPr>
                <w:rFonts w:ascii="Arial" w:eastAsia="Arial" w:hAnsi="Arial" w:cs="Arial"/>
              </w:rPr>
              <w:t>Premium strategy in the U.S.; value pricing and expansion in India.</w:t>
            </w:r>
          </w:p>
        </w:tc>
      </w:tr>
      <w:tr w:rsidR="0096252B" w:rsidRPr="0096252B" w14:paraId="7B15C97B" w14:textId="77777777">
        <w:trPr>
          <w:trHeight w:val="1355"/>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025914" w14:textId="77777777" w:rsidR="00990CB8" w:rsidRPr="0096252B" w:rsidRDefault="002530F0">
            <w:pPr>
              <w:rPr>
                <w:rFonts w:ascii="Arial" w:eastAsia="Arial" w:hAnsi="Arial" w:cs="Arial"/>
              </w:rPr>
            </w:pPr>
            <w:r w:rsidRPr="0096252B">
              <w:rPr>
                <w:rFonts w:ascii="Arial" w:eastAsia="Arial" w:hAnsi="Arial" w:cs="Arial"/>
                <w:b/>
                <w:bCs/>
              </w:rPr>
              <w:lastRenderedPageBreak/>
              <w:t>Social</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20220B" w14:textId="77777777" w:rsidR="00990CB8" w:rsidRPr="0096252B" w:rsidRDefault="002530F0">
            <w:pPr>
              <w:rPr>
                <w:rFonts w:ascii="Arial" w:eastAsia="Arial" w:hAnsi="Arial" w:cs="Arial"/>
              </w:rPr>
            </w:pPr>
            <w:r w:rsidRPr="0096252B">
              <w:rPr>
                <w:rFonts w:ascii="Arial" w:eastAsia="Arial" w:hAnsi="Arial" w:cs="Arial"/>
              </w:rPr>
              <w:t>Convenience, premium dining, digital ordering</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6C84D" w14:textId="77777777" w:rsidR="00990CB8" w:rsidRPr="0096252B" w:rsidRDefault="002530F0">
            <w:pPr>
              <w:rPr>
                <w:rFonts w:ascii="Arial" w:eastAsia="Arial" w:hAnsi="Arial" w:cs="Arial"/>
              </w:rPr>
            </w:pPr>
            <w:r w:rsidRPr="0096252B">
              <w:rPr>
                <w:rFonts w:ascii="Arial" w:eastAsia="Arial" w:hAnsi="Arial" w:cs="Arial"/>
              </w:rPr>
              <w:t>Family dining, affordability, local food preferences</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F16AD" w14:textId="77777777" w:rsidR="00990CB8" w:rsidRPr="0096252B" w:rsidRDefault="002530F0">
            <w:pPr>
              <w:rPr>
                <w:rFonts w:ascii="Arial" w:eastAsia="Arial" w:hAnsi="Arial" w:cs="Arial"/>
              </w:rPr>
            </w:pPr>
            <w:r w:rsidRPr="0096252B">
              <w:rPr>
                <w:rFonts w:ascii="Arial" w:eastAsia="Arial" w:hAnsi="Arial" w:cs="Arial"/>
              </w:rPr>
              <w:t>Localise menu and promotions while maintaining global branding.</w:t>
            </w:r>
          </w:p>
        </w:tc>
      </w:tr>
      <w:tr w:rsidR="0096252B" w:rsidRPr="0096252B" w14:paraId="4CBDA66F" w14:textId="77777777">
        <w:trPr>
          <w:trHeight w:val="1355"/>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F5D56" w14:textId="77777777" w:rsidR="00990CB8" w:rsidRPr="0096252B" w:rsidRDefault="002530F0">
            <w:pPr>
              <w:rPr>
                <w:rFonts w:ascii="Arial" w:eastAsia="Arial" w:hAnsi="Arial" w:cs="Arial"/>
              </w:rPr>
            </w:pPr>
            <w:r w:rsidRPr="0096252B">
              <w:rPr>
                <w:rFonts w:ascii="Arial" w:eastAsia="Arial" w:hAnsi="Arial" w:cs="Arial"/>
                <w:b/>
                <w:bCs/>
              </w:rPr>
              <w:t>Technological</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0C6437" w14:textId="77777777" w:rsidR="00990CB8" w:rsidRPr="0096252B" w:rsidRDefault="002530F0">
            <w:pPr>
              <w:rPr>
                <w:rFonts w:ascii="Arial" w:eastAsia="Arial" w:hAnsi="Arial" w:cs="Arial"/>
              </w:rPr>
            </w:pPr>
            <w:r w:rsidRPr="0096252B">
              <w:rPr>
                <w:rFonts w:ascii="Arial" w:eastAsia="Arial" w:hAnsi="Arial" w:cs="Arial"/>
              </w:rPr>
              <w:t>AI, self-service kiosks, digital ordering</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D5FC1" w14:textId="77777777" w:rsidR="00990CB8" w:rsidRPr="0096252B" w:rsidRDefault="002530F0">
            <w:pPr>
              <w:rPr>
                <w:rFonts w:ascii="Arial" w:eastAsia="Arial" w:hAnsi="Arial" w:cs="Arial"/>
              </w:rPr>
            </w:pPr>
            <w:r w:rsidRPr="0096252B">
              <w:rPr>
                <w:rFonts w:ascii="Arial" w:eastAsia="Arial" w:hAnsi="Arial" w:cs="Arial"/>
              </w:rPr>
              <w:t>Mobile payments, food delivery platforms, smartphone growth</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F5DC8" w14:textId="77777777" w:rsidR="00990CB8" w:rsidRPr="0096252B" w:rsidRDefault="002530F0">
            <w:pPr>
              <w:rPr>
                <w:rFonts w:ascii="Arial" w:eastAsia="Arial" w:hAnsi="Arial" w:cs="Arial"/>
              </w:rPr>
            </w:pPr>
            <w:r w:rsidRPr="0096252B">
              <w:rPr>
                <w:rFonts w:ascii="Arial" w:eastAsia="Arial" w:hAnsi="Arial" w:cs="Arial"/>
              </w:rPr>
              <w:t>Invest in digital innovation and omnichannel services.</w:t>
            </w:r>
          </w:p>
        </w:tc>
      </w:tr>
      <w:tr w:rsidR="0096252B" w:rsidRPr="0096252B" w14:paraId="60C015BC" w14:textId="77777777">
        <w:trPr>
          <w:trHeight w:val="1070"/>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A6D5EE" w14:textId="77777777" w:rsidR="00990CB8" w:rsidRPr="0096252B" w:rsidRDefault="002530F0">
            <w:pPr>
              <w:rPr>
                <w:rFonts w:ascii="Arial" w:eastAsia="Arial" w:hAnsi="Arial" w:cs="Arial"/>
              </w:rPr>
            </w:pPr>
            <w:r w:rsidRPr="0096252B">
              <w:rPr>
                <w:rFonts w:ascii="Arial" w:eastAsia="Arial" w:hAnsi="Arial" w:cs="Arial"/>
                <w:b/>
                <w:bCs/>
              </w:rPr>
              <w:t>Legal</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69CA9F" w14:textId="77777777" w:rsidR="00990CB8" w:rsidRPr="0096252B" w:rsidRDefault="002530F0">
            <w:pPr>
              <w:rPr>
                <w:rFonts w:ascii="Arial" w:eastAsia="Arial" w:hAnsi="Arial" w:cs="Arial"/>
              </w:rPr>
            </w:pPr>
            <w:r w:rsidRPr="0096252B">
              <w:rPr>
                <w:rFonts w:ascii="Arial" w:eastAsia="Arial" w:hAnsi="Arial" w:cs="Arial"/>
              </w:rPr>
              <w:t>Strong legal framework and IP protection</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F3AAE" w14:textId="77777777" w:rsidR="00990CB8" w:rsidRPr="0096252B" w:rsidRDefault="002530F0">
            <w:pPr>
              <w:rPr>
                <w:rFonts w:ascii="Arial" w:eastAsia="Arial" w:hAnsi="Arial" w:cs="Arial"/>
              </w:rPr>
            </w:pPr>
            <w:r w:rsidRPr="0096252B">
              <w:rPr>
                <w:rFonts w:ascii="Arial" w:eastAsia="Arial" w:hAnsi="Arial" w:cs="Arial"/>
              </w:rPr>
              <w:t>Central and state regulatory compliance</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B2E67" w14:textId="77777777" w:rsidR="00990CB8" w:rsidRPr="0096252B" w:rsidRDefault="002530F0">
            <w:pPr>
              <w:rPr>
                <w:rFonts w:ascii="Arial" w:eastAsia="Arial" w:hAnsi="Arial" w:cs="Arial"/>
              </w:rPr>
            </w:pPr>
            <w:r w:rsidRPr="0096252B">
              <w:rPr>
                <w:rFonts w:ascii="Arial" w:eastAsia="Arial" w:hAnsi="Arial" w:cs="Arial"/>
              </w:rPr>
              <w:t>Maintain compliance and adapt to local legal requirements.</w:t>
            </w:r>
          </w:p>
        </w:tc>
      </w:tr>
      <w:tr w:rsidR="0096252B" w:rsidRPr="0096252B" w14:paraId="0DE31368" w14:textId="77777777">
        <w:trPr>
          <w:trHeight w:val="1070"/>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0EB1ED" w14:textId="77777777" w:rsidR="00990CB8" w:rsidRPr="0096252B" w:rsidRDefault="002530F0">
            <w:pPr>
              <w:rPr>
                <w:rFonts w:ascii="Arial" w:eastAsia="Arial" w:hAnsi="Arial" w:cs="Arial"/>
              </w:rPr>
            </w:pPr>
            <w:r w:rsidRPr="0096252B">
              <w:rPr>
                <w:rFonts w:ascii="Arial" w:eastAsia="Arial" w:hAnsi="Arial" w:cs="Arial"/>
                <w:b/>
                <w:bCs/>
              </w:rPr>
              <w:t>Environmental</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CCA8C5" w14:textId="77777777" w:rsidR="00990CB8" w:rsidRPr="0096252B" w:rsidRDefault="002530F0">
            <w:pPr>
              <w:rPr>
                <w:rFonts w:ascii="Arial" w:eastAsia="Arial" w:hAnsi="Arial" w:cs="Arial"/>
              </w:rPr>
            </w:pPr>
            <w:r w:rsidRPr="0096252B">
              <w:rPr>
                <w:rFonts w:ascii="Arial" w:eastAsia="Arial" w:hAnsi="Arial" w:cs="Arial"/>
              </w:rPr>
              <w:t>Sustainable packaging and energy efficiency</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32E9D" w14:textId="77777777" w:rsidR="00990CB8" w:rsidRPr="0096252B" w:rsidRDefault="002530F0">
            <w:pPr>
              <w:rPr>
                <w:rFonts w:ascii="Arial" w:eastAsia="Arial" w:hAnsi="Arial" w:cs="Arial"/>
              </w:rPr>
            </w:pPr>
            <w:r w:rsidRPr="0096252B">
              <w:rPr>
                <w:rFonts w:ascii="Arial" w:eastAsia="Arial" w:hAnsi="Arial" w:cs="Arial"/>
              </w:rPr>
              <w:t>Waste management and sustainable sourcing</w:t>
            </w:r>
          </w:p>
        </w:tc>
        <w:tc>
          <w:tcPr>
            <w:tcW w:w="3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CFF47C" w14:textId="77777777" w:rsidR="00990CB8" w:rsidRPr="0096252B" w:rsidRDefault="002530F0">
            <w:pPr>
              <w:rPr>
                <w:rFonts w:ascii="Arial" w:eastAsia="Arial" w:hAnsi="Arial" w:cs="Arial"/>
              </w:rPr>
            </w:pPr>
            <w:r w:rsidRPr="0096252B">
              <w:rPr>
                <w:rFonts w:ascii="Arial" w:eastAsia="Arial" w:hAnsi="Arial" w:cs="Arial"/>
              </w:rPr>
              <w:t>Expand recyclable packaging and sustainable supply chains.</w:t>
            </w:r>
          </w:p>
        </w:tc>
      </w:tr>
    </w:tbl>
    <w:p w14:paraId="5B6C45C3" w14:textId="77777777" w:rsidR="00990CB8" w:rsidRPr="0096252B" w:rsidRDefault="002530F0">
      <w:pPr>
        <w:jc w:val="center"/>
        <w:rPr>
          <w:rFonts w:ascii="Arial" w:eastAsia="Arial" w:hAnsi="Arial" w:cs="Arial"/>
          <w:b/>
          <w:bCs/>
        </w:rPr>
      </w:pPr>
      <w:r w:rsidRPr="0096252B">
        <w:rPr>
          <w:rFonts w:ascii="Arial" w:eastAsia="Arial" w:hAnsi="Arial" w:cs="Arial"/>
          <w:b/>
          <w:bCs/>
        </w:rPr>
        <w:t>Table 1: PESTEL Analysis</w:t>
      </w:r>
    </w:p>
    <w:p w14:paraId="63BD2088" w14:textId="77777777" w:rsidR="00990CB8" w:rsidRPr="0096252B" w:rsidRDefault="002530F0">
      <w:pPr>
        <w:pStyle w:val="Heading2"/>
        <w:rPr>
          <w:rFonts w:ascii="Arial" w:eastAsia="Arial" w:hAnsi="Arial" w:cs="Arial"/>
        </w:rPr>
      </w:pPr>
      <w:bookmarkStart w:id="3" w:name="_Toc237076355"/>
      <w:r w:rsidRPr="0096252B">
        <w:rPr>
          <w:rFonts w:ascii="Arial" w:eastAsia="Arial" w:hAnsi="Arial" w:cs="Arial"/>
        </w:rPr>
        <w:t>3.1 Political</w:t>
      </w:r>
      <w:bookmarkEnd w:id="3"/>
    </w:p>
    <w:p w14:paraId="6995E150" w14:textId="77777777" w:rsidR="00990CB8" w:rsidRPr="0096252B" w:rsidRDefault="002530F0">
      <w:pPr>
        <w:rPr>
          <w:rFonts w:ascii="Arial" w:eastAsia="Arial" w:hAnsi="Arial" w:cs="Arial"/>
        </w:rPr>
      </w:pPr>
      <w:r w:rsidRPr="0096252B">
        <w:rPr>
          <w:rFonts w:ascii="Arial" w:eastAsia="Arial" w:hAnsi="Arial" w:cs="Arial"/>
        </w:rPr>
        <w:t xml:space="preserve">The political environment affects Pizza Hut a lot because it affects their policies of investment, food regulation and their franchise operations. In terms of political stability and foreign investment, both India and the US have stable political environments but have different regulations. The US offers a clear legal system, robust IP protections and business rules that are stable and reliable, which make it an ideal environment for big restaurant conglomerates (Kumar, 2025). Stiff labour laws, food safety regulations and environmental compliance standards, however, drive up costs and require ongoing investment in business operations. India has made its investment environment much more attractive with its economic reforms and the introduction of its Goods and Services Tax (GST). India continues to improve its business environment, supported by real GDP growth of around 6–7%, encouraging investment by multinational restaurant companies (TE, 2026). In addition, growth in the sector was around 20-25% after the pandemic recovery (IBEF, 2026). Even with these opportunities, companies are still subject to both central and state rules, making administration more complex. </w:t>
      </w:r>
      <w:proofErr w:type="spellStart"/>
      <w:r w:rsidRPr="0096252B">
        <w:rPr>
          <w:rFonts w:ascii="Arial" w:eastAsia="Arial" w:hAnsi="Arial" w:cs="Arial"/>
        </w:rPr>
        <w:t>Shiroya</w:t>
      </w:r>
      <w:proofErr w:type="spellEnd"/>
      <w:r w:rsidRPr="0096252B">
        <w:rPr>
          <w:rFonts w:ascii="Arial" w:eastAsia="Arial" w:hAnsi="Arial" w:cs="Arial"/>
        </w:rPr>
        <w:t xml:space="preserve"> and Robinson (2023) state that regulatory uncertainty continues to be a problem for restaurant enterprises. According to Madureira et al. (2023), international expansion must be sustained as long as </w:t>
      </w:r>
      <w:r w:rsidRPr="0096252B">
        <w:rPr>
          <w:rFonts w:ascii="Arial" w:eastAsia="Arial" w:hAnsi="Arial" w:cs="Arial"/>
        </w:rPr>
        <w:lastRenderedPageBreak/>
        <w:t>governments continuously evaluate political risk. In summary, the U.S. is more stable, while India has more potential for long-term growth.</w:t>
      </w:r>
    </w:p>
    <w:p w14:paraId="35F1A716" w14:textId="77777777" w:rsidR="00990CB8" w:rsidRPr="0096252B" w:rsidRDefault="002530F0">
      <w:pPr>
        <w:pStyle w:val="Heading2"/>
        <w:rPr>
          <w:rFonts w:ascii="Arial" w:eastAsia="Arial" w:hAnsi="Arial" w:cs="Arial"/>
        </w:rPr>
      </w:pPr>
      <w:bookmarkStart w:id="4" w:name="_Toc237076356"/>
      <w:r w:rsidRPr="0096252B">
        <w:rPr>
          <w:rFonts w:ascii="Arial" w:eastAsia="Arial" w:hAnsi="Arial" w:cs="Arial"/>
        </w:rPr>
        <w:t>3.2 Economic</w:t>
      </w:r>
      <w:bookmarkEnd w:id="4"/>
    </w:p>
    <w:p w14:paraId="12A3B57C" w14:textId="77777777" w:rsidR="00990CB8" w:rsidRPr="0096252B" w:rsidRDefault="002530F0">
      <w:pPr>
        <w:jc w:val="center"/>
        <w:rPr>
          <w:rFonts w:ascii="Arial" w:eastAsia="Arial" w:hAnsi="Arial" w:cs="Arial"/>
        </w:rPr>
      </w:pPr>
      <w:r w:rsidRPr="0096252B">
        <w:rPr>
          <w:rFonts w:ascii="Arial" w:eastAsia="Arial" w:hAnsi="Arial" w:cs="Arial"/>
          <w:noProof/>
        </w:rPr>
        <w:drawing>
          <wp:inline distT="114300" distB="114300" distL="114300" distR="114300" wp14:anchorId="76863FC9" wp14:editId="1749FC01">
            <wp:extent cx="5731200" cy="2755900"/>
            <wp:effectExtent l="12700" t="12700" r="12700" b="12700"/>
            <wp:docPr id="164944693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2755900"/>
                    </a:xfrm>
                    <a:prstGeom prst="rect">
                      <a:avLst/>
                    </a:prstGeom>
                    <a:ln w="12700">
                      <a:solidFill>
                        <a:srgbClr val="000000"/>
                      </a:solidFill>
                      <a:prstDash val="solid"/>
                    </a:ln>
                  </pic:spPr>
                </pic:pic>
              </a:graphicData>
            </a:graphic>
          </wp:inline>
        </w:drawing>
      </w:r>
    </w:p>
    <w:p w14:paraId="2D761C42" w14:textId="77777777" w:rsidR="00990CB8" w:rsidRPr="0096252B" w:rsidRDefault="002530F0">
      <w:pPr>
        <w:jc w:val="center"/>
        <w:rPr>
          <w:rFonts w:ascii="Arial" w:eastAsia="Arial" w:hAnsi="Arial" w:cs="Arial"/>
          <w:b/>
          <w:bCs/>
        </w:rPr>
      </w:pPr>
      <w:r w:rsidRPr="0096252B">
        <w:rPr>
          <w:rFonts w:ascii="Arial" w:eastAsia="Arial" w:hAnsi="Arial" w:cs="Arial"/>
          <w:b/>
          <w:bCs/>
        </w:rPr>
        <w:t>Figure 3: India QSR Market Forecast</w:t>
      </w:r>
    </w:p>
    <w:p w14:paraId="2726CB06" w14:textId="77777777" w:rsidR="00990CB8" w:rsidRPr="0096252B" w:rsidRDefault="002530F0">
      <w:pPr>
        <w:jc w:val="center"/>
        <w:rPr>
          <w:rFonts w:ascii="Arial" w:eastAsia="Arial" w:hAnsi="Arial" w:cs="Arial"/>
        </w:rPr>
      </w:pPr>
      <w:r w:rsidRPr="0096252B">
        <w:rPr>
          <w:rFonts w:ascii="Arial" w:eastAsia="Arial" w:hAnsi="Arial" w:cs="Arial"/>
        </w:rPr>
        <w:t xml:space="preserve">(Source: </w:t>
      </w:r>
      <w:proofErr w:type="spellStart"/>
      <w:r w:rsidRPr="0096252B">
        <w:rPr>
          <w:rFonts w:ascii="Arial" w:eastAsia="Arial" w:hAnsi="Arial" w:cs="Arial"/>
        </w:rPr>
        <w:t>Imarc</w:t>
      </w:r>
      <w:proofErr w:type="spellEnd"/>
      <w:r w:rsidRPr="0096252B">
        <w:rPr>
          <w:rFonts w:ascii="Arial" w:eastAsia="Arial" w:hAnsi="Arial" w:cs="Arial"/>
        </w:rPr>
        <w:t>, 2026)</w:t>
      </w:r>
    </w:p>
    <w:p w14:paraId="16475DC1" w14:textId="77777777" w:rsidR="00990CB8" w:rsidRPr="0096252B" w:rsidRDefault="002530F0">
      <w:pPr>
        <w:rPr>
          <w:rFonts w:ascii="Arial" w:eastAsia="Arial" w:hAnsi="Arial" w:cs="Arial"/>
        </w:rPr>
      </w:pPr>
      <w:r w:rsidRPr="0096252B">
        <w:rPr>
          <w:rFonts w:ascii="Arial" w:eastAsia="Arial" w:hAnsi="Arial" w:cs="Arial"/>
        </w:rPr>
        <w:t>Price, expansion, and consumer demand of Pizza Hut are greatly affected by the market and economic conditions. The US has the world's largest economy, with a GDP of more than USD 30 trillion in 2025, and household incomes are high and consumers spend a great deal (BEA, 2026). The U.S. restaurant industry is forecast to expand at a compound annual growth rate (CAGR) of 9.94% through 2031, reflecting sustained consumer demand (MI, 2026). Despite the high value of its purchasing power, inflation and labour inflation are also adding pressure to the costs of restaurant products (R&amp;M, 2026). India is one of the fastest-growing QSR markets as a result of rapid urbanisation, growth of the middle class and an increase in disposable income. It is expected to grow at a CAGR in excess of 7% during the forecast period (</w:t>
      </w:r>
      <w:proofErr w:type="spellStart"/>
      <w:r w:rsidRPr="0096252B">
        <w:rPr>
          <w:rFonts w:ascii="Arial" w:eastAsia="Arial" w:hAnsi="Arial" w:cs="Arial"/>
        </w:rPr>
        <w:t>Imarc</w:t>
      </w:r>
      <w:proofErr w:type="spellEnd"/>
      <w:r w:rsidRPr="0096252B">
        <w:rPr>
          <w:rFonts w:ascii="Arial" w:eastAsia="Arial" w:hAnsi="Arial" w:cs="Arial"/>
        </w:rPr>
        <w:t xml:space="preserve">, 2026). </w:t>
      </w:r>
    </w:p>
    <w:p w14:paraId="4AE46DE9" w14:textId="77777777" w:rsidR="00990CB8" w:rsidRPr="0096252B" w:rsidRDefault="002530F0">
      <w:pPr>
        <w:rPr>
          <w:rFonts w:ascii="Arial" w:eastAsia="Arial" w:hAnsi="Arial" w:cs="Arial"/>
        </w:rPr>
      </w:pPr>
      <w:r w:rsidRPr="0096252B">
        <w:rPr>
          <w:rFonts w:ascii="Arial" w:eastAsia="Arial" w:hAnsi="Arial" w:cs="Arial"/>
        </w:rPr>
        <w:t xml:space="preserve">Moreover, the QSR sector saw around 20–25% growth in India in the post-pandemic recovery period, showcasing significant growth prospects (IBEF, 2026). An economic difference in this way affects Pizza Hut's marketing strategy. In the US, premium pricing and experience-based differentiation are possible since higher purchasing power would allow the firm to command it. On the other hand, India's relatively price-sensitive consumers demand an affordable menu package, promotion, and localised inventories to penetrate the maximum market. According to Teoh et al. (2021), perceived value is one of the key factors affecting customer satisfaction. Hidayah and </w:t>
      </w:r>
      <w:r w:rsidRPr="0096252B">
        <w:rPr>
          <w:rFonts w:ascii="Arial" w:eastAsia="Arial" w:hAnsi="Arial" w:cs="Arial"/>
        </w:rPr>
        <w:lastRenderedPageBreak/>
        <w:t xml:space="preserve">Al </w:t>
      </w:r>
      <w:proofErr w:type="spellStart"/>
      <w:r w:rsidRPr="0096252B">
        <w:rPr>
          <w:rFonts w:ascii="Arial" w:eastAsia="Arial" w:hAnsi="Arial" w:cs="Arial"/>
        </w:rPr>
        <w:t>Hibran</w:t>
      </w:r>
      <w:proofErr w:type="spellEnd"/>
      <w:r w:rsidRPr="0096252B">
        <w:rPr>
          <w:rFonts w:ascii="Arial" w:eastAsia="Arial" w:hAnsi="Arial" w:cs="Arial"/>
        </w:rPr>
        <w:t xml:space="preserve"> (2023) stated that price affordability significantly affects intentions to purchase. As a result, the U.S. offers more economic stability while India has a larger consumer market and a food service industry that is rapidly emerging.</w:t>
      </w:r>
    </w:p>
    <w:p w14:paraId="38595159" w14:textId="77777777" w:rsidR="00990CB8" w:rsidRPr="0096252B" w:rsidRDefault="002530F0">
      <w:pPr>
        <w:pStyle w:val="Heading2"/>
        <w:rPr>
          <w:rFonts w:ascii="Arial" w:eastAsia="Arial" w:hAnsi="Arial" w:cs="Arial"/>
        </w:rPr>
      </w:pPr>
      <w:bookmarkStart w:id="5" w:name="_Toc237076357"/>
      <w:r w:rsidRPr="0096252B">
        <w:rPr>
          <w:rFonts w:ascii="Arial" w:eastAsia="Arial" w:hAnsi="Arial" w:cs="Arial"/>
        </w:rPr>
        <w:t>3.3 Social</w:t>
      </w:r>
      <w:bookmarkEnd w:id="5"/>
    </w:p>
    <w:p w14:paraId="559284AB" w14:textId="77777777" w:rsidR="00990CB8" w:rsidRPr="0096252B" w:rsidRDefault="002530F0">
      <w:pPr>
        <w:rPr>
          <w:rFonts w:ascii="Arial" w:eastAsia="Arial" w:hAnsi="Arial" w:cs="Arial"/>
        </w:rPr>
      </w:pPr>
      <w:r w:rsidRPr="0096252B">
        <w:rPr>
          <w:rFonts w:ascii="Arial" w:eastAsia="Arial" w:hAnsi="Arial" w:cs="Arial"/>
        </w:rPr>
        <w:t xml:space="preserve">Social and demographic factors have strong effects on Pizza Hut's international marketing strategy since consumer behaviour and lifestyles are different between the U.S. and India. American consumers value convenience, online ordering and high-quality food and drink experiences, thus creating investment opportunities in personalised services and digital innovation. AI and digital marketing, along with experiential dining, will all continue to drive the U.S. restaurant space in 2025 (Forbes, 2025). Conversely, Indian consumers are looking to reduce costs, a multifunctional dining experience and region-specific menus in the backdrop of fast urbanisation and escalating incomes. Hidayah and Al </w:t>
      </w:r>
      <w:proofErr w:type="spellStart"/>
      <w:r w:rsidRPr="0096252B">
        <w:rPr>
          <w:rFonts w:ascii="Arial" w:eastAsia="Arial" w:hAnsi="Arial" w:cs="Arial"/>
        </w:rPr>
        <w:t>Hibran</w:t>
      </w:r>
      <w:proofErr w:type="spellEnd"/>
      <w:r w:rsidRPr="0096252B">
        <w:rPr>
          <w:rFonts w:ascii="Arial" w:eastAsia="Arial" w:hAnsi="Arial" w:cs="Arial"/>
        </w:rPr>
        <w:t xml:space="preserve"> (2023) revealed that prices and service quality affect purchasing intentions. Teoh et al. (2021) found that food quality and perceived value were important factors influencing customers' satisfaction. Zed et al. (2024) found that brand image does positively affect the purchase decision.</w:t>
      </w:r>
    </w:p>
    <w:p w14:paraId="70F87CF1" w14:textId="77777777" w:rsidR="00990CB8" w:rsidRPr="0096252B" w:rsidRDefault="002530F0">
      <w:pPr>
        <w:pStyle w:val="Heading2"/>
        <w:rPr>
          <w:rFonts w:ascii="Arial" w:eastAsia="Arial" w:hAnsi="Arial" w:cs="Arial"/>
        </w:rPr>
      </w:pPr>
      <w:bookmarkStart w:id="6" w:name="_Toc237076358"/>
      <w:r w:rsidRPr="0096252B">
        <w:rPr>
          <w:rFonts w:ascii="Arial" w:eastAsia="Arial" w:hAnsi="Arial" w:cs="Arial"/>
        </w:rPr>
        <w:t>3.4 Technological</w:t>
      </w:r>
      <w:bookmarkEnd w:id="6"/>
    </w:p>
    <w:p w14:paraId="07DE2E2D" w14:textId="77777777" w:rsidR="00990CB8" w:rsidRPr="0096252B" w:rsidRDefault="002530F0">
      <w:pPr>
        <w:rPr>
          <w:rFonts w:ascii="Arial" w:eastAsia="Arial" w:hAnsi="Arial" w:cs="Arial"/>
        </w:rPr>
      </w:pPr>
      <w:r w:rsidRPr="0096252B">
        <w:rPr>
          <w:rFonts w:ascii="Arial" w:eastAsia="Arial" w:hAnsi="Arial" w:cs="Arial"/>
        </w:rPr>
        <w:t xml:space="preserve">Technology's significant effects have also been found in the efficiency and services delivered to the </w:t>
      </w:r>
      <w:proofErr w:type="gramStart"/>
      <w:r w:rsidRPr="0096252B">
        <w:rPr>
          <w:rFonts w:ascii="Arial" w:eastAsia="Arial" w:hAnsi="Arial" w:cs="Arial"/>
        </w:rPr>
        <w:t>fast food</w:t>
      </w:r>
      <w:proofErr w:type="gramEnd"/>
      <w:r w:rsidRPr="0096252B">
        <w:rPr>
          <w:rFonts w:ascii="Arial" w:eastAsia="Arial" w:hAnsi="Arial" w:cs="Arial"/>
        </w:rPr>
        <w:t xml:space="preserve"> industry (FSR) and interaction with their customers. The technologies are different, but digitalisation has been fairly brisk in the U.S. and in India due to infra and consumers' behaviour. AI dials, custom marketings, mobile app and self-service are well integrated with the digital system in the USA at Pizza Hut. Digital innovation is a massive asset to the business and the people are getting even more at ease ordering online, contactless payments and speeding up home delivery. The impact of AI on customer experience and digital ordering is not new, having been hailed as a big move in the U.S. QSR sector for 2025 (Forbes, 2025). By using smartphones, digital payments or any food delivery apps, India's digitalisation is not out of the story either. That has earned Pizza Hut some approval of their e-customers and lowered the drudgery of the cities. Devendra (2023) concluded that mobile marketing has a significant impact on the brand equity of the Pizza Hut brand, leading to an increase in brand and purchase attractiveness. Chowdhury and Hatta (2024) found that the success of the delivery system outweighs customer satisfaction and the effectiveness of the organization. To summarise, the U.S. is focusing on AI personalisation and automation, while India's focus is on digital reach and delivery </w:t>
      </w:r>
      <w:r w:rsidRPr="0096252B">
        <w:rPr>
          <w:rFonts w:ascii="Arial" w:eastAsia="Arial" w:hAnsi="Arial" w:cs="Arial"/>
        </w:rPr>
        <w:lastRenderedPageBreak/>
        <w:t>convenience. The outcome is technology that has become a key comparative advantage, making Pizza Hut more customer friendly and enabling a sustainable international expansion.</w:t>
      </w:r>
    </w:p>
    <w:p w14:paraId="719E3B4D" w14:textId="77777777" w:rsidR="00990CB8" w:rsidRPr="0096252B" w:rsidRDefault="002530F0">
      <w:pPr>
        <w:pStyle w:val="Heading2"/>
        <w:rPr>
          <w:rFonts w:ascii="Arial" w:eastAsia="Arial" w:hAnsi="Arial" w:cs="Arial"/>
        </w:rPr>
      </w:pPr>
      <w:bookmarkStart w:id="7" w:name="_Toc237076359"/>
      <w:r w:rsidRPr="0096252B">
        <w:rPr>
          <w:rFonts w:ascii="Arial" w:eastAsia="Arial" w:hAnsi="Arial" w:cs="Arial"/>
        </w:rPr>
        <w:t>3.5 Legal</w:t>
      </w:r>
      <w:bookmarkEnd w:id="7"/>
    </w:p>
    <w:p w14:paraId="5E55F9B3" w14:textId="77777777" w:rsidR="00990CB8" w:rsidRPr="0096252B" w:rsidRDefault="002530F0">
      <w:pPr>
        <w:rPr>
          <w:rFonts w:ascii="Arial" w:eastAsia="Arial" w:hAnsi="Arial" w:cs="Arial"/>
        </w:rPr>
      </w:pPr>
      <w:r w:rsidRPr="0096252B">
        <w:rPr>
          <w:rFonts w:ascii="Arial" w:eastAsia="Arial" w:hAnsi="Arial" w:cs="Arial"/>
        </w:rPr>
        <w:t xml:space="preserve">Pizza Hut is part of the legal framework and there are regulations that pertain to it, namely food safety, labour, consumer protection, and grants. While the United States has high IP protection, it is a well-established legal framework that will impose compliance costs due to food safety and labour laws. India has strengthened its food safety laws and extended the scope of conformity, but this has created a more complicated and complex food safety system. </w:t>
      </w:r>
      <w:proofErr w:type="spellStart"/>
      <w:r w:rsidRPr="0096252B">
        <w:rPr>
          <w:rFonts w:ascii="Arial" w:eastAsia="Arial" w:hAnsi="Arial" w:cs="Arial"/>
        </w:rPr>
        <w:t>Shiroya</w:t>
      </w:r>
      <w:proofErr w:type="spellEnd"/>
      <w:r w:rsidRPr="0096252B">
        <w:rPr>
          <w:rFonts w:ascii="Arial" w:eastAsia="Arial" w:hAnsi="Arial" w:cs="Arial"/>
        </w:rPr>
        <w:t xml:space="preserve"> and Robinson (2023) assert that the basis of successful Strategic Risk Management is compliance. Madureira et al. (2023) found that the enforcement of Legal Risk Assessment is an ongoing process, which is an effective tool to attain international sustainable business. Just like the legal frame of the USA is fixed, the legal frame in India is evolving and requires greater management flexibility and capacity to adapt to new laws.</w:t>
      </w:r>
    </w:p>
    <w:p w14:paraId="23592444" w14:textId="77777777" w:rsidR="00990CB8" w:rsidRPr="0096252B" w:rsidRDefault="002530F0">
      <w:pPr>
        <w:pStyle w:val="Heading2"/>
        <w:rPr>
          <w:rFonts w:ascii="Arial" w:eastAsia="Arial" w:hAnsi="Arial" w:cs="Arial"/>
        </w:rPr>
      </w:pPr>
      <w:bookmarkStart w:id="8" w:name="_Toc237076360"/>
      <w:r w:rsidRPr="0096252B">
        <w:rPr>
          <w:rFonts w:ascii="Arial" w:eastAsia="Arial" w:hAnsi="Arial" w:cs="Arial"/>
        </w:rPr>
        <w:t>3.6 Environmental</w:t>
      </w:r>
      <w:bookmarkEnd w:id="8"/>
    </w:p>
    <w:p w14:paraId="2DD10F2F" w14:textId="77777777" w:rsidR="00990CB8" w:rsidRPr="0096252B" w:rsidRDefault="002530F0">
      <w:pPr>
        <w:rPr>
          <w:rFonts w:ascii="Arial" w:eastAsia="Arial" w:hAnsi="Arial" w:cs="Arial"/>
        </w:rPr>
      </w:pPr>
      <w:r w:rsidRPr="0096252B">
        <w:rPr>
          <w:rFonts w:ascii="Arial" w:eastAsia="Arial" w:hAnsi="Arial" w:cs="Arial"/>
        </w:rPr>
        <w:t xml:space="preserve">Pizza Hut now plays an important role in environmental sustainability, because people demand responsible business. The U.S. consumer and manufacturing demand for sustainable manufacturing and environmentally sustainable packaging is still a priority. Sustainability is recognised as one of the urgent trends of the sector in the quick-service restaurant (QSR) segment (Forbes, 2025). In India, waste management concerns, waste pollution and resource efficiency have risen due to speedy urbanisation. According to </w:t>
      </w:r>
      <w:proofErr w:type="spellStart"/>
      <w:r w:rsidRPr="0096252B">
        <w:rPr>
          <w:rFonts w:ascii="Arial" w:eastAsia="Arial" w:hAnsi="Arial" w:cs="Arial"/>
        </w:rPr>
        <w:t>Fudjaja</w:t>
      </w:r>
      <w:proofErr w:type="spellEnd"/>
      <w:r w:rsidRPr="0096252B">
        <w:rPr>
          <w:rFonts w:ascii="Arial" w:eastAsia="Arial" w:hAnsi="Arial" w:cs="Arial"/>
        </w:rPr>
        <w:t xml:space="preserve"> et al. (2024), involving local agricultural suppliers helps drive sustainable procurement and strengthen supply chains. Overall, Pizza Hut will have a greater incentive to adopt reusable packaging, sustainable procurement and energy efficiency to look better and become more competitive on the international market.</w:t>
      </w:r>
    </w:p>
    <w:p w14:paraId="484046AE" w14:textId="77777777" w:rsidR="00990CB8" w:rsidRPr="0096252B" w:rsidRDefault="002530F0">
      <w:pPr>
        <w:pStyle w:val="Heading2"/>
        <w:rPr>
          <w:rFonts w:ascii="Arial" w:eastAsia="Arial" w:hAnsi="Arial" w:cs="Arial"/>
        </w:rPr>
      </w:pPr>
      <w:bookmarkStart w:id="9" w:name="_Toc237076361"/>
      <w:r w:rsidRPr="0096252B">
        <w:rPr>
          <w:rFonts w:ascii="Arial" w:eastAsia="Arial" w:hAnsi="Arial" w:cs="Arial"/>
        </w:rPr>
        <w:t>3.7 Hofstede Cultural Comparison</w:t>
      </w:r>
      <w:bookmarkEnd w:id="9"/>
    </w:p>
    <w:p w14:paraId="64E45B6C" w14:textId="77777777" w:rsidR="00990CB8" w:rsidRPr="0096252B" w:rsidRDefault="002530F0">
      <w:pPr>
        <w:rPr>
          <w:rFonts w:ascii="Arial" w:hAnsi="Arial" w:cs="Arial"/>
        </w:rPr>
      </w:pPr>
      <w:r w:rsidRPr="0096252B">
        <w:rPr>
          <w:rFonts w:ascii="Arial" w:eastAsia="Arial" w:hAnsi="Arial" w:cs="Arial"/>
        </w:rPr>
        <w:t xml:space="preserve">Hofstede's cultural dimensions allude to crucial cultural differences that impact on the world market communication of Pizza Hut (TCF, 2026). There are a few main differences, namely Power Distance and Individualism and Indulgence, that impact consumer behaviour in the United States and India. </w:t>
      </w:r>
    </w:p>
    <w:p w14:paraId="279432C0" w14:textId="77777777" w:rsidR="00990CB8" w:rsidRPr="0096252B" w:rsidRDefault="002530F0">
      <w:pPr>
        <w:jc w:val="center"/>
        <w:rPr>
          <w:rFonts w:ascii="Arial" w:eastAsia="Arial" w:hAnsi="Arial" w:cs="Arial"/>
        </w:rPr>
      </w:pPr>
      <w:r w:rsidRPr="0096252B">
        <w:rPr>
          <w:rFonts w:ascii="Arial" w:eastAsia="Arial" w:hAnsi="Arial" w:cs="Arial"/>
          <w:noProof/>
        </w:rPr>
        <w:lastRenderedPageBreak/>
        <w:drawing>
          <wp:inline distT="114300" distB="114300" distL="114300" distR="114300" wp14:anchorId="0C55811E" wp14:editId="47470BB4">
            <wp:extent cx="5731200" cy="3035300"/>
            <wp:effectExtent l="12700" t="12700" r="12700" b="12700"/>
            <wp:docPr id="16494469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3035300"/>
                    </a:xfrm>
                    <a:prstGeom prst="rect">
                      <a:avLst/>
                    </a:prstGeom>
                    <a:ln w="12700">
                      <a:solidFill>
                        <a:srgbClr val="000000"/>
                      </a:solidFill>
                      <a:prstDash val="solid"/>
                    </a:ln>
                  </pic:spPr>
                </pic:pic>
              </a:graphicData>
            </a:graphic>
          </wp:inline>
        </w:drawing>
      </w:r>
    </w:p>
    <w:p w14:paraId="7B6BB488" w14:textId="77777777" w:rsidR="00990CB8" w:rsidRPr="0096252B" w:rsidRDefault="002530F0">
      <w:pPr>
        <w:jc w:val="center"/>
        <w:rPr>
          <w:rFonts w:ascii="Arial" w:eastAsia="Arial" w:hAnsi="Arial" w:cs="Arial"/>
          <w:b/>
          <w:bCs/>
        </w:rPr>
      </w:pPr>
      <w:r w:rsidRPr="0096252B">
        <w:rPr>
          <w:rFonts w:ascii="Arial" w:eastAsia="Arial" w:hAnsi="Arial" w:cs="Arial"/>
          <w:b/>
          <w:bCs/>
        </w:rPr>
        <w:t>Figure 4: Country Comparison of the US and India</w:t>
      </w:r>
    </w:p>
    <w:p w14:paraId="6DF9BBDE" w14:textId="77777777" w:rsidR="00990CB8" w:rsidRPr="0096252B" w:rsidRDefault="002530F0">
      <w:pPr>
        <w:jc w:val="center"/>
        <w:rPr>
          <w:rFonts w:ascii="Arial" w:eastAsia="Arial" w:hAnsi="Arial" w:cs="Arial"/>
        </w:rPr>
      </w:pPr>
      <w:r w:rsidRPr="0096252B">
        <w:rPr>
          <w:rFonts w:ascii="Arial" w:eastAsia="Arial" w:hAnsi="Arial" w:cs="Arial"/>
        </w:rPr>
        <w:t>(Source: TCF, 2026)</w:t>
      </w:r>
    </w:p>
    <w:tbl>
      <w:tblPr>
        <w:tblStyle w:val="a4"/>
        <w:tblW w:w="9735" w:type="dxa"/>
        <w:tblInd w:w="-255" w:type="dxa"/>
        <w:tblBorders>
          <w:top w:val="nil"/>
          <w:left w:val="nil"/>
          <w:bottom w:val="nil"/>
          <w:right w:val="nil"/>
          <w:insideH w:val="nil"/>
          <w:insideV w:val="nil"/>
        </w:tblBorders>
        <w:tblLayout w:type="fixed"/>
        <w:tblLook w:val="0600" w:firstRow="0" w:lastRow="0" w:firstColumn="0" w:lastColumn="0" w:noHBand="1" w:noVBand="1"/>
      </w:tblPr>
      <w:tblGrid>
        <w:gridCol w:w="2025"/>
        <w:gridCol w:w="915"/>
        <w:gridCol w:w="1650"/>
        <w:gridCol w:w="5145"/>
      </w:tblGrid>
      <w:tr w:rsidR="0096252B" w:rsidRPr="0096252B" w14:paraId="4CBDA429"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9143C" w14:textId="77777777" w:rsidR="00990CB8" w:rsidRPr="0096252B" w:rsidRDefault="002530F0">
            <w:pPr>
              <w:jc w:val="center"/>
              <w:rPr>
                <w:rFonts w:ascii="Arial" w:eastAsia="Arial" w:hAnsi="Arial" w:cs="Arial"/>
              </w:rPr>
            </w:pPr>
            <w:r w:rsidRPr="0096252B">
              <w:rPr>
                <w:rFonts w:ascii="Arial" w:eastAsia="Arial" w:hAnsi="Arial" w:cs="Arial"/>
                <w:b/>
                <w:bCs/>
              </w:rPr>
              <w:t>Dimension</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9FA85" w14:textId="77777777" w:rsidR="00990CB8" w:rsidRPr="0096252B" w:rsidRDefault="002530F0">
            <w:pPr>
              <w:jc w:val="center"/>
              <w:rPr>
                <w:rFonts w:ascii="Arial" w:eastAsia="Arial" w:hAnsi="Arial" w:cs="Arial"/>
              </w:rPr>
            </w:pPr>
            <w:r w:rsidRPr="0096252B">
              <w:rPr>
                <w:rFonts w:ascii="Arial" w:eastAsia="Arial" w:hAnsi="Arial" w:cs="Arial"/>
                <w:b/>
                <w:bCs/>
              </w:rPr>
              <w:t>India</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C870D" w14:textId="77777777" w:rsidR="00990CB8" w:rsidRPr="0096252B" w:rsidRDefault="002530F0">
            <w:pPr>
              <w:jc w:val="center"/>
              <w:rPr>
                <w:rFonts w:ascii="Arial" w:eastAsia="Arial" w:hAnsi="Arial" w:cs="Arial"/>
              </w:rPr>
            </w:pPr>
            <w:r w:rsidRPr="0096252B">
              <w:rPr>
                <w:rFonts w:ascii="Arial" w:eastAsia="Arial" w:hAnsi="Arial" w:cs="Arial"/>
                <w:b/>
                <w:bCs/>
              </w:rPr>
              <w:t>United States</w:t>
            </w:r>
          </w:p>
        </w:tc>
        <w:tc>
          <w:tcPr>
            <w:tcW w:w="5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25C32F" w14:textId="77777777" w:rsidR="00990CB8" w:rsidRPr="0096252B" w:rsidRDefault="002530F0">
            <w:pPr>
              <w:jc w:val="center"/>
              <w:rPr>
                <w:rFonts w:ascii="Arial" w:eastAsia="Arial" w:hAnsi="Arial" w:cs="Arial"/>
              </w:rPr>
            </w:pPr>
            <w:r w:rsidRPr="0096252B">
              <w:rPr>
                <w:rFonts w:ascii="Arial" w:eastAsia="Arial" w:hAnsi="Arial" w:cs="Arial"/>
                <w:b/>
                <w:bCs/>
              </w:rPr>
              <w:t>Analysis</w:t>
            </w:r>
          </w:p>
        </w:tc>
      </w:tr>
      <w:tr w:rsidR="0096252B" w:rsidRPr="0096252B" w14:paraId="3B6DEB4C"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F9AAE" w14:textId="77777777" w:rsidR="00990CB8" w:rsidRPr="0096252B" w:rsidRDefault="002530F0">
            <w:pPr>
              <w:jc w:val="center"/>
              <w:rPr>
                <w:rFonts w:ascii="Arial" w:eastAsia="Arial" w:hAnsi="Arial" w:cs="Arial"/>
              </w:rPr>
            </w:pPr>
            <w:r w:rsidRPr="0096252B">
              <w:rPr>
                <w:rFonts w:ascii="Arial" w:eastAsia="Arial" w:hAnsi="Arial" w:cs="Arial"/>
              </w:rPr>
              <w:t>Power Distance</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EDBA42" w14:textId="77777777" w:rsidR="00990CB8" w:rsidRPr="0096252B" w:rsidRDefault="002530F0">
            <w:pPr>
              <w:jc w:val="center"/>
              <w:rPr>
                <w:rFonts w:ascii="Arial" w:eastAsia="Arial" w:hAnsi="Arial" w:cs="Arial"/>
              </w:rPr>
            </w:pPr>
            <w:r w:rsidRPr="0096252B">
              <w:rPr>
                <w:rFonts w:ascii="Arial" w:eastAsia="Arial" w:hAnsi="Arial" w:cs="Arial"/>
                <w:b/>
                <w:bCs/>
              </w:rPr>
              <w:t>77</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F66E4" w14:textId="77777777" w:rsidR="00990CB8" w:rsidRPr="0096252B" w:rsidRDefault="002530F0">
            <w:pPr>
              <w:jc w:val="center"/>
              <w:rPr>
                <w:rFonts w:ascii="Arial" w:eastAsia="Arial" w:hAnsi="Arial" w:cs="Arial"/>
              </w:rPr>
            </w:pPr>
            <w:r w:rsidRPr="0096252B">
              <w:rPr>
                <w:rFonts w:ascii="Arial" w:eastAsia="Arial" w:hAnsi="Arial" w:cs="Arial"/>
                <w:b/>
                <w:bCs/>
              </w:rPr>
              <w:t>40</w:t>
            </w:r>
          </w:p>
        </w:tc>
        <w:tc>
          <w:tcPr>
            <w:tcW w:w="5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B2EC4" w14:textId="77777777" w:rsidR="00990CB8" w:rsidRPr="0096252B" w:rsidRDefault="002530F0">
            <w:pPr>
              <w:rPr>
                <w:rFonts w:ascii="Arial" w:eastAsia="Arial" w:hAnsi="Arial" w:cs="Arial"/>
              </w:rPr>
            </w:pPr>
            <w:r w:rsidRPr="0096252B">
              <w:rPr>
                <w:rFonts w:ascii="Arial" w:eastAsia="Arial" w:hAnsi="Arial" w:cs="Arial"/>
              </w:rPr>
              <w:t>India accepts hierarchical structures more than the United States.</w:t>
            </w:r>
          </w:p>
        </w:tc>
      </w:tr>
      <w:tr w:rsidR="0096252B" w:rsidRPr="0096252B" w14:paraId="41A1BD2A"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E89123" w14:textId="77777777" w:rsidR="00990CB8" w:rsidRPr="0096252B" w:rsidRDefault="002530F0">
            <w:pPr>
              <w:jc w:val="center"/>
              <w:rPr>
                <w:rFonts w:ascii="Arial" w:eastAsia="Arial" w:hAnsi="Arial" w:cs="Arial"/>
              </w:rPr>
            </w:pPr>
            <w:r w:rsidRPr="0096252B">
              <w:rPr>
                <w:rFonts w:ascii="Arial" w:eastAsia="Arial" w:hAnsi="Arial" w:cs="Arial"/>
              </w:rPr>
              <w:t>Individualism</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14ACFB" w14:textId="77777777" w:rsidR="00990CB8" w:rsidRPr="0096252B" w:rsidRDefault="002530F0">
            <w:pPr>
              <w:jc w:val="center"/>
              <w:rPr>
                <w:rFonts w:ascii="Arial" w:eastAsia="Arial" w:hAnsi="Arial" w:cs="Arial"/>
              </w:rPr>
            </w:pPr>
            <w:r w:rsidRPr="0096252B">
              <w:rPr>
                <w:rFonts w:ascii="Arial" w:eastAsia="Arial" w:hAnsi="Arial" w:cs="Arial"/>
                <w:b/>
                <w:bCs/>
              </w:rPr>
              <w:t>24</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CD4AE" w14:textId="77777777" w:rsidR="00990CB8" w:rsidRPr="0096252B" w:rsidRDefault="002530F0">
            <w:pPr>
              <w:jc w:val="center"/>
              <w:rPr>
                <w:rFonts w:ascii="Arial" w:eastAsia="Arial" w:hAnsi="Arial" w:cs="Arial"/>
              </w:rPr>
            </w:pPr>
            <w:r w:rsidRPr="0096252B">
              <w:rPr>
                <w:rFonts w:ascii="Arial" w:eastAsia="Arial" w:hAnsi="Arial" w:cs="Arial"/>
                <w:b/>
                <w:bCs/>
              </w:rPr>
              <w:t>60</w:t>
            </w:r>
          </w:p>
        </w:tc>
        <w:tc>
          <w:tcPr>
            <w:tcW w:w="5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7EA3C" w14:textId="77777777" w:rsidR="00990CB8" w:rsidRPr="0096252B" w:rsidRDefault="002530F0">
            <w:pPr>
              <w:rPr>
                <w:rFonts w:ascii="Arial" w:eastAsia="Arial" w:hAnsi="Arial" w:cs="Arial"/>
              </w:rPr>
            </w:pPr>
            <w:r w:rsidRPr="0096252B">
              <w:rPr>
                <w:rFonts w:ascii="Arial" w:eastAsia="Arial" w:hAnsi="Arial" w:cs="Arial"/>
              </w:rPr>
              <w:t>India is more collectivist, while the United States values individual achievement.</w:t>
            </w:r>
          </w:p>
        </w:tc>
      </w:tr>
      <w:tr w:rsidR="0096252B" w:rsidRPr="0096252B" w14:paraId="424B3E5A"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E2C507" w14:textId="77777777" w:rsidR="00990CB8" w:rsidRPr="0096252B" w:rsidRDefault="002530F0">
            <w:pPr>
              <w:jc w:val="center"/>
              <w:rPr>
                <w:rFonts w:ascii="Arial" w:eastAsia="Arial" w:hAnsi="Arial" w:cs="Arial"/>
              </w:rPr>
            </w:pPr>
            <w:r w:rsidRPr="0096252B">
              <w:rPr>
                <w:rFonts w:ascii="Arial" w:eastAsia="Arial" w:hAnsi="Arial" w:cs="Arial"/>
              </w:rPr>
              <w:t>Masculinity</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D9667" w14:textId="77777777" w:rsidR="00990CB8" w:rsidRPr="0096252B" w:rsidRDefault="002530F0">
            <w:pPr>
              <w:jc w:val="center"/>
              <w:rPr>
                <w:rFonts w:ascii="Arial" w:eastAsia="Arial" w:hAnsi="Arial" w:cs="Arial"/>
              </w:rPr>
            </w:pPr>
            <w:r w:rsidRPr="0096252B">
              <w:rPr>
                <w:rFonts w:ascii="Arial" w:eastAsia="Arial" w:hAnsi="Arial" w:cs="Arial"/>
                <w:b/>
                <w:bCs/>
              </w:rPr>
              <w:t>56</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FC6CF" w14:textId="77777777" w:rsidR="00990CB8" w:rsidRPr="0096252B" w:rsidRDefault="002530F0">
            <w:pPr>
              <w:jc w:val="center"/>
              <w:rPr>
                <w:rFonts w:ascii="Arial" w:eastAsia="Arial" w:hAnsi="Arial" w:cs="Arial"/>
              </w:rPr>
            </w:pPr>
            <w:r w:rsidRPr="0096252B">
              <w:rPr>
                <w:rFonts w:ascii="Arial" w:eastAsia="Arial" w:hAnsi="Arial" w:cs="Arial"/>
                <w:b/>
                <w:bCs/>
              </w:rPr>
              <w:t>62</w:t>
            </w:r>
          </w:p>
        </w:tc>
        <w:tc>
          <w:tcPr>
            <w:tcW w:w="5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AC16D" w14:textId="77777777" w:rsidR="00990CB8" w:rsidRPr="0096252B" w:rsidRDefault="002530F0">
            <w:pPr>
              <w:rPr>
                <w:rFonts w:ascii="Arial" w:eastAsia="Arial" w:hAnsi="Arial" w:cs="Arial"/>
              </w:rPr>
            </w:pPr>
            <w:r w:rsidRPr="0096252B">
              <w:rPr>
                <w:rFonts w:ascii="Arial" w:eastAsia="Arial" w:hAnsi="Arial" w:cs="Arial"/>
              </w:rPr>
              <w:t>Both countries are relatively competitive and achievement-oriented.</w:t>
            </w:r>
          </w:p>
        </w:tc>
      </w:tr>
      <w:tr w:rsidR="0096252B" w:rsidRPr="0096252B" w14:paraId="423AD648"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A3CEAC" w14:textId="77777777" w:rsidR="00990CB8" w:rsidRPr="0096252B" w:rsidRDefault="002530F0">
            <w:pPr>
              <w:jc w:val="center"/>
              <w:rPr>
                <w:rFonts w:ascii="Arial" w:eastAsia="Arial" w:hAnsi="Arial" w:cs="Arial"/>
              </w:rPr>
            </w:pPr>
            <w:r w:rsidRPr="0096252B">
              <w:rPr>
                <w:rFonts w:ascii="Arial" w:eastAsia="Arial" w:hAnsi="Arial" w:cs="Arial"/>
              </w:rPr>
              <w:t>Uncertainty Avoidance</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3C7D5E" w14:textId="77777777" w:rsidR="00990CB8" w:rsidRPr="0096252B" w:rsidRDefault="002530F0">
            <w:pPr>
              <w:jc w:val="center"/>
              <w:rPr>
                <w:rFonts w:ascii="Arial" w:eastAsia="Arial" w:hAnsi="Arial" w:cs="Arial"/>
              </w:rPr>
            </w:pPr>
            <w:r w:rsidRPr="0096252B">
              <w:rPr>
                <w:rFonts w:ascii="Arial" w:eastAsia="Arial" w:hAnsi="Arial" w:cs="Arial"/>
                <w:b/>
                <w:bCs/>
              </w:rPr>
              <w:t>40</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A253AB" w14:textId="77777777" w:rsidR="00990CB8" w:rsidRPr="0096252B" w:rsidRDefault="002530F0">
            <w:pPr>
              <w:jc w:val="center"/>
              <w:rPr>
                <w:rFonts w:ascii="Arial" w:eastAsia="Arial" w:hAnsi="Arial" w:cs="Arial"/>
              </w:rPr>
            </w:pPr>
            <w:r w:rsidRPr="0096252B">
              <w:rPr>
                <w:rFonts w:ascii="Arial" w:eastAsia="Arial" w:hAnsi="Arial" w:cs="Arial"/>
                <w:b/>
                <w:bCs/>
              </w:rPr>
              <w:t>46</w:t>
            </w:r>
          </w:p>
        </w:tc>
        <w:tc>
          <w:tcPr>
            <w:tcW w:w="5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09CC3" w14:textId="77777777" w:rsidR="00990CB8" w:rsidRPr="0096252B" w:rsidRDefault="002530F0">
            <w:pPr>
              <w:rPr>
                <w:rFonts w:ascii="Arial" w:eastAsia="Arial" w:hAnsi="Arial" w:cs="Arial"/>
              </w:rPr>
            </w:pPr>
            <w:r w:rsidRPr="0096252B">
              <w:rPr>
                <w:rFonts w:ascii="Arial" w:eastAsia="Arial" w:hAnsi="Arial" w:cs="Arial"/>
              </w:rPr>
              <w:t>Both cultures demonstrate moderate tolerance for uncertainty and innovation.</w:t>
            </w:r>
          </w:p>
        </w:tc>
      </w:tr>
      <w:tr w:rsidR="0096252B" w:rsidRPr="0096252B" w14:paraId="3D20465C"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3B624B" w14:textId="77777777" w:rsidR="00990CB8" w:rsidRPr="0096252B" w:rsidRDefault="002530F0">
            <w:pPr>
              <w:jc w:val="center"/>
              <w:rPr>
                <w:rFonts w:ascii="Arial" w:eastAsia="Arial" w:hAnsi="Arial" w:cs="Arial"/>
              </w:rPr>
            </w:pPr>
            <w:r w:rsidRPr="0096252B">
              <w:rPr>
                <w:rFonts w:ascii="Arial" w:eastAsia="Arial" w:hAnsi="Arial" w:cs="Arial"/>
              </w:rPr>
              <w:t>Long-Term Orientation</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36C4CB" w14:textId="77777777" w:rsidR="00990CB8" w:rsidRPr="0096252B" w:rsidRDefault="002530F0">
            <w:pPr>
              <w:jc w:val="center"/>
              <w:rPr>
                <w:rFonts w:ascii="Arial" w:eastAsia="Arial" w:hAnsi="Arial" w:cs="Arial"/>
              </w:rPr>
            </w:pPr>
            <w:r w:rsidRPr="0096252B">
              <w:rPr>
                <w:rFonts w:ascii="Arial" w:eastAsia="Arial" w:hAnsi="Arial" w:cs="Arial"/>
                <w:b/>
                <w:bCs/>
              </w:rPr>
              <w:t>51</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2868A7" w14:textId="77777777" w:rsidR="00990CB8" w:rsidRPr="0096252B" w:rsidRDefault="002530F0">
            <w:pPr>
              <w:jc w:val="center"/>
              <w:rPr>
                <w:rFonts w:ascii="Arial" w:eastAsia="Arial" w:hAnsi="Arial" w:cs="Arial"/>
              </w:rPr>
            </w:pPr>
            <w:r w:rsidRPr="0096252B">
              <w:rPr>
                <w:rFonts w:ascii="Arial" w:eastAsia="Arial" w:hAnsi="Arial" w:cs="Arial"/>
                <w:b/>
                <w:bCs/>
              </w:rPr>
              <w:t>50</w:t>
            </w:r>
          </w:p>
        </w:tc>
        <w:tc>
          <w:tcPr>
            <w:tcW w:w="5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39E65" w14:textId="77777777" w:rsidR="00990CB8" w:rsidRPr="0096252B" w:rsidRDefault="002530F0">
            <w:pPr>
              <w:rPr>
                <w:rFonts w:ascii="Arial" w:eastAsia="Arial" w:hAnsi="Arial" w:cs="Arial"/>
              </w:rPr>
            </w:pPr>
            <w:r w:rsidRPr="0096252B">
              <w:rPr>
                <w:rFonts w:ascii="Arial" w:eastAsia="Arial" w:hAnsi="Arial" w:cs="Arial"/>
              </w:rPr>
              <w:t>Both countries exhibit similar long-term strategic thinking.</w:t>
            </w:r>
          </w:p>
        </w:tc>
      </w:tr>
      <w:tr w:rsidR="0096252B" w:rsidRPr="0096252B" w14:paraId="602CEF05"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37FDB5" w14:textId="77777777" w:rsidR="00990CB8" w:rsidRPr="0096252B" w:rsidRDefault="002530F0">
            <w:pPr>
              <w:jc w:val="center"/>
              <w:rPr>
                <w:rFonts w:ascii="Arial" w:eastAsia="Arial" w:hAnsi="Arial" w:cs="Arial"/>
              </w:rPr>
            </w:pPr>
            <w:r w:rsidRPr="0096252B">
              <w:rPr>
                <w:rFonts w:ascii="Arial" w:eastAsia="Arial" w:hAnsi="Arial" w:cs="Arial"/>
              </w:rPr>
              <w:t>Indulgence</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0CD926" w14:textId="77777777" w:rsidR="00990CB8" w:rsidRPr="0096252B" w:rsidRDefault="002530F0">
            <w:pPr>
              <w:jc w:val="center"/>
              <w:rPr>
                <w:rFonts w:ascii="Arial" w:eastAsia="Arial" w:hAnsi="Arial" w:cs="Arial"/>
              </w:rPr>
            </w:pPr>
            <w:r w:rsidRPr="0096252B">
              <w:rPr>
                <w:rFonts w:ascii="Arial" w:eastAsia="Arial" w:hAnsi="Arial" w:cs="Arial"/>
                <w:b/>
                <w:bCs/>
              </w:rPr>
              <w:t>26</w:t>
            </w:r>
          </w:p>
        </w:tc>
        <w:tc>
          <w:tcPr>
            <w:tcW w:w="1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38330" w14:textId="77777777" w:rsidR="00990CB8" w:rsidRPr="0096252B" w:rsidRDefault="002530F0">
            <w:pPr>
              <w:jc w:val="center"/>
              <w:rPr>
                <w:rFonts w:ascii="Arial" w:eastAsia="Arial" w:hAnsi="Arial" w:cs="Arial"/>
              </w:rPr>
            </w:pPr>
            <w:r w:rsidRPr="0096252B">
              <w:rPr>
                <w:rFonts w:ascii="Arial" w:eastAsia="Arial" w:hAnsi="Arial" w:cs="Arial"/>
                <w:b/>
                <w:bCs/>
              </w:rPr>
              <w:t>68</w:t>
            </w:r>
          </w:p>
        </w:tc>
        <w:tc>
          <w:tcPr>
            <w:tcW w:w="5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FC8FFE" w14:textId="77777777" w:rsidR="00990CB8" w:rsidRPr="0096252B" w:rsidRDefault="002530F0">
            <w:pPr>
              <w:rPr>
                <w:rFonts w:ascii="Arial" w:eastAsia="Arial" w:hAnsi="Arial" w:cs="Arial"/>
              </w:rPr>
            </w:pPr>
            <w:r w:rsidRPr="0096252B">
              <w:rPr>
                <w:rFonts w:ascii="Arial" w:eastAsia="Arial" w:hAnsi="Arial" w:cs="Arial"/>
              </w:rPr>
              <w:t>Americans are more indulgent, whereas Indian consumers are comparatively restrained.</w:t>
            </w:r>
          </w:p>
        </w:tc>
      </w:tr>
    </w:tbl>
    <w:p w14:paraId="36DA744D" w14:textId="77777777" w:rsidR="00990CB8" w:rsidRPr="0096252B" w:rsidRDefault="002530F0">
      <w:pPr>
        <w:jc w:val="center"/>
        <w:rPr>
          <w:rFonts w:ascii="Arial" w:eastAsia="Arial" w:hAnsi="Arial" w:cs="Arial"/>
          <w:b/>
          <w:bCs/>
        </w:rPr>
      </w:pPr>
      <w:r w:rsidRPr="0096252B">
        <w:rPr>
          <w:rFonts w:ascii="Arial" w:eastAsia="Arial" w:hAnsi="Arial" w:cs="Arial"/>
          <w:b/>
          <w:bCs/>
        </w:rPr>
        <w:t>Table 2: Hofstede Cultural Dimensions: India vs United States</w:t>
      </w:r>
    </w:p>
    <w:p w14:paraId="75AC6D82" w14:textId="77777777" w:rsidR="00990CB8" w:rsidRPr="0096252B" w:rsidRDefault="002530F0">
      <w:pPr>
        <w:jc w:val="center"/>
        <w:rPr>
          <w:rFonts w:ascii="Arial" w:eastAsia="Arial" w:hAnsi="Arial" w:cs="Arial"/>
          <w:b/>
          <w:bCs/>
        </w:rPr>
      </w:pPr>
      <w:r w:rsidRPr="0096252B">
        <w:rPr>
          <w:rFonts w:ascii="Arial" w:eastAsia="Arial" w:hAnsi="Arial" w:cs="Arial"/>
        </w:rPr>
        <w:t>(Source: TCF, 2026)</w:t>
      </w:r>
    </w:p>
    <w:p w14:paraId="72F215A0" w14:textId="77777777" w:rsidR="00990CB8" w:rsidRPr="0096252B" w:rsidRDefault="002530F0">
      <w:pPr>
        <w:rPr>
          <w:rFonts w:ascii="Arial" w:eastAsia="Arial" w:hAnsi="Arial" w:cs="Arial"/>
        </w:rPr>
      </w:pPr>
      <w:r w:rsidRPr="0096252B">
        <w:rPr>
          <w:rFonts w:ascii="Arial" w:eastAsia="Arial" w:hAnsi="Arial" w:cs="Arial"/>
        </w:rPr>
        <w:lastRenderedPageBreak/>
        <w:t>As observed, in India, PS is 77, which means there is more acceptance for hierarchy and construction brands, compared to the U.S. having PS of 40 and prioritizing equality and customer experience. Again, the value of the Individualism of the U.S. is 60, meaning that people value their personal choice or individualized products, whereas India's value is 24, denoting high family orientation and group decisions for purchase. These differences are responsible for Pizza Hut's focus on personal pizza in the USA and family pizza in India. Both countries are high in Masculinity, Uncertainty Avoidance and Long-Term Orientation, leading towards Pizza Hut concentrating on innovation and long-term customer relationships. The Indulgence came out at 68 in the USA and at 26 in India, however, making mention of a rate of preparedness of paying for the high end at waiters' stations. Ruma (2023) added that cultural adaptation is one of the main elements to successful international marketing. However, Shaikh et al. (2021) argued that the destiny of consumers should be combined with the model postulated by Hofstede, as it might not be enough to reflect regional differences and preferences trends of consumers.</w:t>
      </w:r>
    </w:p>
    <w:p w14:paraId="4C348FA3" w14:textId="77777777" w:rsidR="00990CB8" w:rsidRPr="0096252B" w:rsidRDefault="002530F0">
      <w:pPr>
        <w:pStyle w:val="Heading1"/>
        <w:rPr>
          <w:rFonts w:ascii="Arial" w:eastAsia="Arial" w:hAnsi="Arial" w:cs="Arial"/>
        </w:rPr>
      </w:pPr>
      <w:bookmarkStart w:id="10" w:name="_Toc237076362"/>
      <w:r w:rsidRPr="0096252B">
        <w:rPr>
          <w:rFonts w:ascii="Arial" w:eastAsia="Arial" w:hAnsi="Arial" w:cs="Arial"/>
        </w:rPr>
        <w:t>4. STP Analysis</w:t>
      </w:r>
      <w:bookmarkEnd w:id="10"/>
    </w:p>
    <w:tbl>
      <w:tblPr>
        <w:tblStyle w:val="a5"/>
        <w:tblW w:w="9795" w:type="dxa"/>
        <w:tblInd w:w="-450" w:type="dxa"/>
        <w:tblBorders>
          <w:top w:val="nil"/>
          <w:left w:val="nil"/>
          <w:bottom w:val="nil"/>
          <w:right w:val="nil"/>
          <w:insideH w:val="nil"/>
          <w:insideV w:val="nil"/>
        </w:tblBorders>
        <w:tblLayout w:type="fixed"/>
        <w:tblLook w:val="0600" w:firstRow="0" w:lastRow="0" w:firstColumn="0" w:lastColumn="0" w:noHBand="1" w:noVBand="1"/>
      </w:tblPr>
      <w:tblGrid>
        <w:gridCol w:w="2025"/>
        <w:gridCol w:w="3720"/>
        <w:gridCol w:w="4050"/>
      </w:tblGrid>
      <w:tr w:rsidR="0096252B" w:rsidRPr="0096252B" w14:paraId="6F8EFCEA" w14:textId="77777777">
        <w:trPr>
          <w:trHeight w:val="51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74B71" w14:textId="77777777" w:rsidR="00990CB8" w:rsidRPr="0096252B" w:rsidRDefault="002530F0">
            <w:pPr>
              <w:jc w:val="center"/>
              <w:rPr>
                <w:rFonts w:ascii="Arial" w:eastAsia="Arial" w:hAnsi="Arial" w:cs="Arial"/>
              </w:rPr>
            </w:pPr>
            <w:r w:rsidRPr="0096252B">
              <w:rPr>
                <w:rFonts w:ascii="Arial" w:eastAsia="Arial" w:hAnsi="Arial" w:cs="Arial"/>
                <w:b/>
                <w:bCs/>
              </w:rPr>
              <w:t>STP Element</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5DEC1" w14:textId="77777777" w:rsidR="00990CB8" w:rsidRPr="0096252B" w:rsidRDefault="002530F0">
            <w:pPr>
              <w:jc w:val="center"/>
              <w:rPr>
                <w:rFonts w:ascii="Arial" w:eastAsia="Arial" w:hAnsi="Arial" w:cs="Arial"/>
              </w:rPr>
            </w:pPr>
            <w:r w:rsidRPr="0096252B">
              <w:rPr>
                <w:rFonts w:ascii="Arial" w:eastAsia="Arial" w:hAnsi="Arial" w:cs="Arial"/>
                <w:b/>
                <w:bCs/>
              </w:rPr>
              <w:t>United States</w:t>
            </w:r>
          </w:p>
        </w:tc>
        <w:tc>
          <w:tcPr>
            <w:tcW w:w="4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8F6E80" w14:textId="77777777" w:rsidR="00990CB8" w:rsidRPr="0096252B" w:rsidRDefault="002530F0">
            <w:pPr>
              <w:jc w:val="center"/>
              <w:rPr>
                <w:rFonts w:ascii="Arial" w:eastAsia="Arial" w:hAnsi="Arial" w:cs="Arial"/>
              </w:rPr>
            </w:pPr>
            <w:r w:rsidRPr="0096252B">
              <w:rPr>
                <w:rFonts w:ascii="Arial" w:eastAsia="Arial" w:hAnsi="Arial" w:cs="Arial"/>
                <w:b/>
                <w:bCs/>
              </w:rPr>
              <w:t>India</w:t>
            </w:r>
          </w:p>
        </w:tc>
      </w:tr>
      <w:tr w:rsidR="0096252B" w:rsidRPr="0096252B" w14:paraId="4B1D629B"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8983BC" w14:textId="77777777" w:rsidR="00990CB8" w:rsidRPr="0096252B" w:rsidRDefault="002530F0">
            <w:pPr>
              <w:rPr>
                <w:rFonts w:ascii="Arial" w:eastAsia="Arial" w:hAnsi="Arial" w:cs="Arial"/>
              </w:rPr>
            </w:pPr>
            <w:r w:rsidRPr="0096252B">
              <w:rPr>
                <w:rFonts w:ascii="Arial" w:eastAsia="Arial" w:hAnsi="Arial" w:cs="Arial"/>
                <w:b/>
                <w:bCs/>
              </w:rPr>
              <w:t>Segmentation</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F9E56" w14:textId="77777777" w:rsidR="00990CB8" w:rsidRPr="0096252B" w:rsidRDefault="002530F0">
            <w:pPr>
              <w:rPr>
                <w:rFonts w:ascii="Arial" w:eastAsia="Arial" w:hAnsi="Arial" w:cs="Arial"/>
              </w:rPr>
            </w:pPr>
            <w:r w:rsidRPr="0096252B">
              <w:rPr>
                <w:rFonts w:ascii="Arial" w:eastAsia="Arial" w:hAnsi="Arial" w:cs="Arial"/>
              </w:rPr>
              <w:t>Young professionals, families, premium consumers, digital users</w:t>
            </w:r>
          </w:p>
        </w:tc>
        <w:tc>
          <w:tcPr>
            <w:tcW w:w="4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A1752" w14:textId="77777777" w:rsidR="00990CB8" w:rsidRPr="0096252B" w:rsidRDefault="002530F0">
            <w:pPr>
              <w:rPr>
                <w:rFonts w:ascii="Arial" w:eastAsia="Arial" w:hAnsi="Arial" w:cs="Arial"/>
              </w:rPr>
            </w:pPr>
            <w:r w:rsidRPr="0096252B">
              <w:rPr>
                <w:rFonts w:ascii="Arial" w:eastAsia="Arial" w:hAnsi="Arial" w:cs="Arial"/>
              </w:rPr>
              <w:t>Families, students, middle-income consumers, value seekers</w:t>
            </w:r>
          </w:p>
        </w:tc>
      </w:tr>
      <w:tr w:rsidR="0096252B" w:rsidRPr="0096252B" w14:paraId="5F00D322" w14:textId="77777777">
        <w:trPr>
          <w:trHeight w:val="785"/>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5CA887" w14:textId="77777777" w:rsidR="00990CB8" w:rsidRPr="0096252B" w:rsidRDefault="002530F0">
            <w:pPr>
              <w:rPr>
                <w:rFonts w:ascii="Arial" w:eastAsia="Arial" w:hAnsi="Arial" w:cs="Arial"/>
              </w:rPr>
            </w:pPr>
            <w:r w:rsidRPr="0096252B">
              <w:rPr>
                <w:rFonts w:ascii="Arial" w:eastAsia="Arial" w:hAnsi="Arial" w:cs="Arial"/>
                <w:b/>
                <w:bCs/>
              </w:rPr>
              <w:t>Targeting</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A232E" w14:textId="77777777" w:rsidR="00990CB8" w:rsidRPr="0096252B" w:rsidRDefault="002530F0">
            <w:pPr>
              <w:rPr>
                <w:rFonts w:ascii="Arial" w:eastAsia="Arial" w:hAnsi="Arial" w:cs="Arial"/>
              </w:rPr>
            </w:pPr>
            <w:r w:rsidRPr="0096252B">
              <w:rPr>
                <w:rFonts w:ascii="Arial" w:eastAsia="Arial" w:hAnsi="Arial" w:cs="Arial"/>
              </w:rPr>
              <w:t>Convenience-oriented and digitally engaged customers</w:t>
            </w:r>
          </w:p>
        </w:tc>
        <w:tc>
          <w:tcPr>
            <w:tcW w:w="4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450E8" w14:textId="77777777" w:rsidR="00990CB8" w:rsidRPr="0096252B" w:rsidRDefault="002530F0">
            <w:pPr>
              <w:rPr>
                <w:rFonts w:ascii="Arial" w:eastAsia="Arial" w:hAnsi="Arial" w:cs="Arial"/>
              </w:rPr>
            </w:pPr>
            <w:r w:rsidRPr="0096252B">
              <w:rPr>
                <w:rFonts w:ascii="Arial" w:eastAsia="Arial" w:hAnsi="Arial" w:cs="Arial"/>
              </w:rPr>
              <w:t>Price-sensitive families and young consumers seeking value</w:t>
            </w:r>
          </w:p>
        </w:tc>
      </w:tr>
      <w:tr w:rsidR="0096252B" w:rsidRPr="0096252B" w14:paraId="7EFCD77D" w14:textId="77777777">
        <w:trPr>
          <w:trHeight w:val="1070"/>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0AD1F" w14:textId="77777777" w:rsidR="00990CB8" w:rsidRPr="0096252B" w:rsidRDefault="002530F0">
            <w:pPr>
              <w:rPr>
                <w:rFonts w:ascii="Arial" w:eastAsia="Arial" w:hAnsi="Arial" w:cs="Arial"/>
              </w:rPr>
            </w:pPr>
            <w:r w:rsidRPr="0096252B">
              <w:rPr>
                <w:rFonts w:ascii="Arial" w:eastAsia="Arial" w:hAnsi="Arial" w:cs="Arial"/>
                <w:b/>
                <w:bCs/>
              </w:rPr>
              <w:t>Positioning</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E5C13" w14:textId="77777777" w:rsidR="00990CB8" w:rsidRPr="0096252B" w:rsidRDefault="002530F0">
            <w:pPr>
              <w:rPr>
                <w:rFonts w:ascii="Arial" w:eastAsia="Arial" w:hAnsi="Arial" w:cs="Arial"/>
              </w:rPr>
            </w:pPr>
            <w:r w:rsidRPr="0096252B">
              <w:rPr>
                <w:rFonts w:ascii="Arial" w:eastAsia="Arial" w:hAnsi="Arial" w:cs="Arial"/>
              </w:rPr>
              <w:t>Premium, technology-driven pizza brand offering convenience and innovation</w:t>
            </w:r>
          </w:p>
        </w:tc>
        <w:tc>
          <w:tcPr>
            <w:tcW w:w="4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4F0842" w14:textId="77777777" w:rsidR="00990CB8" w:rsidRPr="0096252B" w:rsidRDefault="002530F0">
            <w:pPr>
              <w:rPr>
                <w:rFonts w:ascii="Arial" w:eastAsia="Arial" w:hAnsi="Arial" w:cs="Arial"/>
              </w:rPr>
            </w:pPr>
            <w:r w:rsidRPr="0096252B">
              <w:rPr>
                <w:rFonts w:ascii="Arial" w:eastAsia="Arial" w:hAnsi="Arial" w:cs="Arial"/>
              </w:rPr>
              <w:t>Affordable family dining brand with localised menu and value-for-money offerings</w:t>
            </w:r>
          </w:p>
        </w:tc>
      </w:tr>
    </w:tbl>
    <w:p w14:paraId="44E3DF01" w14:textId="77777777" w:rsidR="00990CB8" w:rsidRPr="0096252B" w:rsidRDefault="002530F0">
      <w:pPr>
        <w:jc w:val="center"/>
        <w:rPr>
          <w:rFonts w:ascii="Arial" w:eastAsia="Arial" w:hAnsi="Arial" w:cs="Arial"/>
          <w:b/>
          <w:bCs/>
        </w:rPr>
      </w:pPr>
      <w:r w:rsidRPr="0096252B">
        <w:rPr>
          <w:rFonts w:ascii="Arial" w:eastAsia="Arial" w:hAnsi="Arial" w:cs="Arial"/>
          <w:b/>
          <w:bCs/>
        </w:rPr>
        <w:t>Table 3: STP Analysis of Pizza Hut</w:t>
      </w:r>
    </w:p>
    <w:p w14:paraId="74EF084B" w14:textId="77777777" w:rsidR="00990CB8" w:rsidRPr="0096252B" w:rsidRDefault="002530F0">
      <w:pPr>
        <w:pStyle w:val="Heading2"/>
        <w:rPr>
          <w:rFonts w:ascii="Arial" w:eastAsia="Arial" w:hAnsi="Arial" w:cs="Arial"/>
        </w:rPr>
      </w:pPr>
      <w:bookmarkStart w:id="11" w:name="_Toc237076363"/>
      <w:r w:rsidRPr="0096252B">
        <w:rPr>
          <w:rFonts w:ascii="Arial" w:eastAsia="Arial" w:hAnsi="Arial" w:cs="Arial"/>
        </w:rPr>
        <w:t>4.1 Segmentation</w:t>
      </w:r>
      <w:bookmarkEnd w:id="11"/>
    </w:p>
    <w:p w14:paraId="111E2AC6" w14:textId="77777777" w:rsidR="00990CB8" w:rsidRPr="0096252B" w:rsidRDefault="002530F0">
      <w:pPr>
        <w:rPr>
          <w:rFonts w:ascii="Arial" w:eastAsia="Arial" w:hAnsi="Arial" w:cs="Arial"/>
        </w:rPr>
      </w:pPr>
      <w:r w:rsidRPr="0096252B">
        <w:rPr>
          <w:rFonts w:ascii="Arial" w:eastAsia="Arial" w:hAnsi="Arial" w:cs="Arial"/>
        </w:rPr>
        <w:t xml:space="preserve">In the US and India, there are multiple market segments that are dealt with by Pizza Hut with a multi-segment marketing strategy. The company can divide the markets geographically and can target more established metros in India and more mature urban markets in the U.S. Segmenting demographically, Pizza Hut targets families, </w:t>
      </w:r>
      <w:r w:rsidRPr="0096252B">
        <w:rPr>
          <w:rFonts w:ascii="Arial" w:eastAsia="Arial" w:hAnsi="Arial" w:cs="Arial"/>
        </w:rPr>
        <w:lastRenderedPageBreak/>
        <w:t xml:space="preserve">young and middle-income consumers, and students, but purchasing power is different between the two countries. Technology-driven segmentation is convenience, personalisation and digital ordering behaviour. Fast delivery is preferred by the </w:t>
      </w:r>
      <w:proofErr w:type="gramStart"/>
      <w:r w:rsidRPr="0096252B">
        <w:rPr>
          <w:rFonts w:ascii="Arial" w:eastAsia="Arial" w:hAnsi="Arial" w:cs="Arial"/>
        </w:rPr>
        <w:t>middle income</w:t>
      </w:r>
      <w:proofErr w:type="gramEnd"/>
      <w:r w:rsidRPr="0096252B">
        <w:rPr>
          <w:rFonts w:ascii="Arial" w:eastAsia="Arial" w:hAnsi="Arial" w:cs="Arial"/>
        </w:rPr>
        <w:t xml:space="preserve"> customer in the US, while packages of affordable meals, festive food offers, and family dining are preferred by consumers in India. Americans desire easy access and a quality experience, and Indians are seeking value, social dining and local Flavors. Food quality, service quality and perceived value were found to significantly correlate with customer satisfaction, reinforcing the importance of customizing the product to cater to different palettes that align with different demographics (Teoh et al., 2021). Hidayah and Al </w:t>
      </w:r>
      <w:proofErr w:type="spellStart"/>
      <w:r w:rsidRPr="0096252B">
        <w:rPr>
          <w:rFonts w:ascii="Arial" w:eastAsia="Arial" w:hAnsi="Arial" w:cs="Arial"/>
        </w:rPr>
        <w:t>Hibran</w:t>
      </w:r>
      <w:proofErr w:type="spellEnd"/>
      <w:r w:rsidRPr="0096252B">
        <w:rPr>
          <w:rFonts w:ascii="Arial" w:eastAsia="Arial" w:hAnsi="Arial" w:cs="Arial"/>
        </w:rPr>
        <w:t xml:space="preserve"> (2023) identified that price and product quality are important decision factors. Likewise, Pizza Hut maintains a standard global image while customising products for international markets, so it can enhance customer satisfaction and remain competitive in developed and emerging economies.</w:t>
      </w:r>
    </w:p>
    <w:p w14:paraId="4D5B956B" w14:textId="77777777" w:rsidR="00990CB8" w:rsidRPr="0096252B" w:rsidRDefault="002530F0">
      <w:pPr>
        <w:pStyle w:val="Heading2"/>
        <w:rPr>
          <w:rFonts w:ascii="Arial" w:eastAsia="Arial" w:hAnsi="Arial" w:cs="Arial"/>
        </w:rPr>
      </w:pPr>
      <w:bookmarkStart w:id="12" w:name="_Toc237076364"/>
      <w:r w:rsidRPr="0096252B">
        <w:rPr>
          <w:rFonts w:ascii="Arial" w:eastAsia="Arial" w:hAnsi="Arial" w:cs="Arial"/>
        </w:rPr>
        <w:t>4.2 Targeting</w:t>
      </w:r>
      <w:bookmarkEnd w:id="12"/>
    </w:p>
    <w:p w14:paraId="4D7FF925" w14:textId="77777777" w:rsidR="00990CB8" w:rsidRPr="0096252B" w:rsidRDefault="002530F0">
      <w:pPr>
        <w:rPr>
          <w:rFonts w:ascii="Arial" w:eastAsia="Arial" w:hAnsi="Arial" w:cs="Arial"/>
        </w:rPr>
      </w:pPr>
      <w:r w:rsidRPr="0096252B">
        <w:rPr>
          <w:rFonts w:ascii="Arial" w:eastAsia="Arial" w:hAnsi="Arial" w:cs="Arial"/>
        </w:rPr>
        <w:t>Pizza Hut adopts differentiated targeting strategy when they target different groups of customers and tailor the marketing strategy. An organization that wants to connect with young professionals, families and consumers who are digital and value convenience, customization and upscale food. In a fiercely competitive QSR environment, the solution to customer retention lies in technology enabled ordering systems, customer loyalty programs and a customized promotion service. Pizza Hut is focused on middle income shoppers, students, young adults and families that offer pre-arranged, pocket-friendly meal packages, budget-friendly products and seasonal promotions. One area that is particularly important is that consumption by families still plays a large role and is a point of special concern. As per Ruma (2023), the targeting strategy must align with the local consumer's behaviour for successful international marketing. Also, Fahmi (2024) stated that factors that influence consumer visits are Product Quality and Price, Service Experience during visits. The U.S. market is more about convenience, personalisation, while ID philosophy is more about being affordable, family-friendly, and localisation of food. This is a segmented targeting strategy that could help the satisfaction of Pizza Hut customers and better penetration into the market in both countries.</w:t>
      </w:r>
    </w:p>
    <w:p w14:paraId="4185E106" w14:textId="77777777" w:rsidR="00990CB8" w:rsidRPr="0096252B" w:rsidRDefault="002530F0">
      <w:pPr>
        <w:pStyle w:val="Heading2"/>
        <w:rPr>
          <w:rFonts w:ascii="Arial" w:eastAsia="Arial" w:hAnsi="Arial" w:cs="Arial"/>
        </w:rPr>
      </w:pPr>
      <w:bookmarkStart w:id="13" w:name="_Toc237076365"/>
      <w:r w:rsidRPr="0096252B">
        <w:rPr>
          <w:rFonts w:ascii="Arial" w:eastAsia="Arial" w:hAnsi="Arial" w:cs="Arial"/>
        </w:rPr>
        <w:t>4.3 Positioning</w:t>
      </w:r>
      <w:bookmarkEnd w:id="13"/>
    </w:p>
    <w:p w14:paraId="48168230" w14:textId="77777777" w:rsidR="00990CB8" w:rsidRPr="0096252B" w:rsidRDefault="002530F0">
      <w:pPr>
        <w:rPr>
          <w:rFonts w:ascii="Arial" w:eastAsia="Arial" w:hAnsi="Arial" w:cs="Arial"/>
        </w:rPr>
      </w:pPr>
      <w:r w:rsidRPr="0096252B">
        <w:rPr>
          <w:rFonts w:ascii="Arial" w:eastAsia="Arial" w:hAnsi="Arial" w:cs="Arial"/>
        </w:rPr>
        <w:t xml:space="preserve">Pizza Hut is a world leader in pizza and offers global quality food, a creative and fun eating experience and a standardised value proposition. The brand is marketed in the </w:t>
      </w:r>
      <w:r w:rsidRPr="0096252B">
        <w:rPr>
          <w:rFonts w:ascii="Arial" w:eastAsia="Arial" w:hAnsi="Arial" w:cs="Arial"/>
        </w:rPr>
        <w:lastRenderedPageBreak/>
        <w:t xml:space="preserve">USA as a tech-driven restaurant with top-quality pizzas and a fast digital order and delivery system. The emphasis is on convenience, innovation, and customised consumer journeys, all of which are among the crucial menu differentiators in the QSR business (Forbes, 2025). Pizza Hut is positioned as an inexpensive family eatery in India because they offer Indian specialities, vegetarian menu items, and value-for-money meal packages. These changes enhance the product's relevance, while keeping to a </w:t>
      </w:r>
      <w:proofErr w:type="gramStart"/>
      <w:r w:rsidRPr="0096252B">
        <w:rPr>
          <w:rFonts w:ascii="Arial" w:eastAsia="Arial" w:hAnsi="Arial" w:cs="Arial"/>
        </w:rPr>
        <w:t>high quality</w:t>
      </w:r>
      <w:proofErr w:type="gramEnd"/>
      <w:r w:rsidRPr="0096252B">
        <w:rPr>
          <w:rFonts w:ascii="Arial" w:eastAsia="Arial" w:hAnsi="Arial" w:cs="Arial"/>
        </w:rPr>
        <w:t xml:space="preserve"> level globally. Shaikh et al. (2021) argue that customer satisfaction advantage is achieved when the customer expectations are matched with the capabilities of the business through positioning. Zed et al. (2024) argue that brand image and brand awareness are very important factors that affect buyers' purchasing behaviours. Therefore, Pizza Hut provides a balance between a global brand and local responsiveness to build customer loyalty and hold a competitive edge among mature and emerging markets.</w:t>
      </w:r>
    </w:p>
    <w:p w14:paraId="228D5191" w14:textId="77777777" w:rsidR="00990CB8" w:rsidRPr="0096252B" w:rsidRDefault="002530F0">
      <w:pPr>
        <w:pStyle w:val="Heading1"/>
        <w:rPr>
          <w:rFonts w:ascii="Arial" w:eastAsia="Arial" w:hAnsi="Arial" w:cs="Arial"/>
        </w:rPr>
      </w:pPr>
      <w:bookmarkStart w:id="14" w:name="_Toc237076366"/>
      <w:r w:rsidRPr="0096252B">
        <w:rPr>
          <w:rFonts w:ascii="Arial" w:eastAsia="Arial" w:hAnsi="Arial" w:cs="Arial"/>
        </w:rPr>
        <w:t>5. International Marketing Mix (7Ps)</w:t>
      </w:r>
      <w:bookmarkEnd w:id="14"/>
    </w:p>
    <w:tbl>
      <w:tblPr>
        <w:tblStyle w:val="a6"/>
        <w:tblW w:w="9345" w:type="dxa"/>
        <w:tblBorders>
          <w:top w:val="nil"/>
          <w:left w:val="nil"/>
          <w:bottom w:val="nil"/>
          <w:right w:val="nil"/>
          <w:insideH w:val="nil"/>
          <w:insideV w:val="nil"/>
        </w:tblBorders>
        <w:tblLayout w:type="fixed"/>
        <w:tblLook w:val="0600" w:firstRow="0" w:lastRow="0" w:firstColumn="0" w:lastColumn="0" w:noHBand="1" w:noVBand="1"/>
      </w:tblPr>
      <w:tblGrid>
        <w:gridCol w:w="1890"/>
        <w:gridCol w:w="3420"/>
        <w:gridCol w:w="4035"/>
      </w:tblGrid>
      <w:tr w:rsidR="0096252B" w:rsidRPr="0096252B" w14:paraId="5FF3672D" w14:textId="77777777">
        <w:trPr>
          <w:trHeight w:val="51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EF142" w14:textId="77777777" w:rsidR="00990CB8" w:rsidRPr="0096252B" w:rsidRDefault="002530F0">
            <w:pPr>
              <w:jc w:val="center"/>
              <w:rPr>
                <w:rFonts w:ascii="Arial" w:eastAsia="Arial" w:hAnsi="Arial" w:cs="Arial"/>
              </w:rPr>
            </w:pPr>
            <w:r w:rsidRPr="0096252B">
              <w:rPr>
                <w:rFonts w:ascii="Arial" w:eastAsia="Arial" w:hAnsi="Arial" w:cs="Arial"/>
                <w:b/>
                <w:bCs/>
              </w:rPr>
              <w:t>7Ps</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A32AF" w14:textId="77777777" w:rsidR="00990CB8" w:rsidRPr="0096252B" w:rsidRDefault="002530F0">
            <w:pPr>
              <w:jc w:val="center"/>
              <w:rPr>
                <w:rFonts w:ascii="Arial" w:eastAsia="Arial" w:hAnsi="Arial" w:cs="Arial"/>
              </w:rPr>
            </w:pPr>
            <w:r w:rsidRPr="0096252B">
              <w:rPr>
                <w:rFonts w:ascii="Arial" w:eastAsia="Arial" w:hAnsi="Arial" w:cs="Arial"/>
                <w:b/>
                <w:bCs/>
              </w:rPr>
              <w:t>United States</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76F3D" w14:textId="77777777" w:rsidR="00990CB8" w:rsidRPr="0096252B" w:rsidRDefault="002530F0">
            <w:pPr>
              <w:jc w:val="center"/>
              <w:rPr>
                <w:rFonts w:ascii="Arial" w:eastAsia="Arial" w:hAnsi="Arial" w:cs="Arial"/>
              </w:rPr>
            </w:pPr>
            <w:r w:rsidRPr="0096252B">
              <w:rPr>
                <w:rFonts w:ascii="Arial" w:eastAsia="Arial" w:hAnsi="Arial" w:cs="Arial"/>
                <w:b/>
                <w:bCs/>
              </w:rPr>
              <w:t>India</w:t>
            </w:r>
          </w:p>
        </w:tc>
      </w:tr>
      <w:tr w:rsidR="0096252B" w:rsidRPr="0096252B" w14:paraId="28D5C520" w14:textId="77777777">
        <w:trPr>
          <w:trHeight w:val="51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A1878" w14:textId="77777777" w:rsidR="00990CB8" w:rsidRPr="0096252B" w:rsidRDefault="002530F0">
            <w:pPr>
              <w:rPr>
                <w:rFonts w:ascii="Arial" w:eastAsia="Arial" w:hAnsi="Arial" w:cs="Arial"/>
              </w:rPr>
            </w:pPr>
            <w:r w:rsidRPr="0096252B">
              <w:rPr>
                <w:rFonts w:ascii="Arial" w:eastAsia="Arial" w:hAnsi="Arial" w:cs="Arial"/>
                <w:b/>
                <w:bCs/>
              </w:rPr>
              <w:t>Product</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197562" w14:textId="77777777" w:rsidR="00990CB8" w:rsidRPr="0096252B" w:rsidRDefault="002530F0">
            <w:pPr>
              <w:rPr>
                <w:rFonts w:ascii="Arial" w:eastAsia="Arial" w:hAnsi="Arial" w:cs="Arial"/>
              </w:rPr>
            </w:pPr>
            <w:r w:rsidRPr="0096252B">
              <w:rPr>
                <w:rFonts w:ascii="Arial" w:eastAsia="Arial" w:hAnsi="Arial" w:cs="Arial"/>
              </w:rPr>
              <w:t>Premium and customised pizzas</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8F682" w14:textId="77777777" w:rsidR="00990CB8" w:rsidRPr="0096252B" w:rsidRDefault="002530F0">
            <w:pPr>
              <w:rPr>
                <w:rFonts w:ascii="Arial" w:eastAsia="Arial" w:hAnsi="Arial" w:cs="Arial"/>
              </w:rPr>
            </w:pPr>
            <w:r w:rsidRPr="0096252B">
              <w:rPr>
                <w:rFonts w:ascii="Arial" w:eastAsia="Arial" w:hAnsi="Arial" w:cs="Arial"/>
              </w:rPr>
              <w:t>Localised &amp; vegetarian menu</w:t>
            </w:r>
          </w:p>
        </w:tc>
      </w:tr>
      <w:tr w:rsidR="0096252B" w:rsidRPr="0096252B" w14:paraId="31E21682" w14:textId="77777777">
        <w:trPr>
          <w:trHeight w:val="51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825AE" w14:textId="77777777" w:rsidR="00990CB8" w:rsidRPr="0096252B" w:rsidRDefault="002530F0">
            <w:pPr>
              <w:rPr>
                <w:rFonts w:ascii="Arial" w:eastAsia="Arial" w:hAnsi="Arial" w:cs="Arial"/>
              </w:rPr>
            </w:pPr>
            <w:r w:rsidRPr="0096252B">
              <w:rPr>
                <w:rFonts w:ascii="Arial" w:eastAsia="Arial" w:hAnsi="Arial" w:cs="Arial"/>
                <w:b/>
                <w:bCs/>
              </w:rPr>
              <w:t>Price</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A61DE" w14:textId="77777777" w:rsidR="00990CB8" w:rsidRPr="0096252B" w:rsidRDefault="002530F0">
            <w:pPr>
              <w:rPr>
                <w:rFonts w:ascii="Arial" w:eastAsia="Arial" w:hAnsi="Arial" w:cs="Arial"/>
              </w:rPr>
            </w:pPr>
            <w:r w:rsidRPr="0096252B">
              <w:rPr>
                <w:rFonts w:ascii="Arial" w:eastAsia="Arial" w:hAnsi="Arial" w:cs="Arial"/>
              </w:rPr>
              <w:t>Premium pricing</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983CD" w14:textId="77777777" w:rsidR="00990CB8" w:rsidRPr="0096252B" w:rsidRDefault="002530F0">
            <w:pPr>
              <w:rPr>
                <w:rFonts w:ascii="Arial" w:eastAsia="Arial" w:hAnsi="Arial" w:cs="Arial"/>
              </w:rPr>
            </w:pPr>
            <w:r w:rsidRPr="0096252B">
              <w:rPr>
                <w:rFonts w:ascii="Arial" w:eastAsia="Arial" w:hAnsi="Arial" w:cs="Arial"/>
              </w:rPr>
              <w:t>Value-based pricing</w:t>
            </w:r>
          </w:p>
        </w:tc>
      </w:tr>
      <w:tr w:rsidR="0096252B" w:rsidRPr="0096252B" w14:paraId="2AE40F65" w14:textId="77777777">
        <w:trPr>
          <w:trHeight w:val="51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63432" w14:textId="77777777" w:rsidR="00990CB8" w:rsidRPr="0096252B" w:rsidRDefault="002530F0">
            <w:pPr>
              <w:rPr>
                <w:rFonts w:ascii="Arial" w:eastAsia="Arial" w:hAnsi="Arial" w:cs="Arial"/>
              </w:rPr>
            </w:pPr>
            <w:r w:rsidRPr="0096252B">
              <w:rPr>
                <w:rFonts w:ascii="Arial" w:eastAsia="Arial" w:hAnsi="Arial" w:cs="Arial"/>
                <w:b/>
                <w:bCs/>
              </w:rPr>
              <w:t>Place</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D3A21" w14:textId="77777777" w:rsidR="00990CB8" w:rsidRPr="0096252B" w:rsidRDefault="002530F0">
            <w:pPr>
              <w:rPr>
                <w:rFonts w:ascii="Arial" w:eastAsia="Arial" w:hAnsi="Arial" w:cs="Arial"/>
              </w:rPr>
            </w:pPr>
            <w:r w:rsidRPr="0096252B">
              <w:rPr>
                <w:rFonts w:ascii="Arial" w:eastAsia="Arial" w:hAnsi="Arial" w:cs="Arial"/>
              </w:rPr>
              <w:t>Dine-in, app &amp; delivery</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FBE745" w14:textId="77777777" w:rsidR="00990CB8" w:rsidRPr="0096252B" w:rsidRDefault="002530F0">
            <w:pPr>
              <w:rPr>
                <w:rFonts w:ascii="Arial" w:eastAsia="Arial" w:hAnsi="Arial" w:cs="Arial"/>
              </w:rPr>
            </w:pPr>
            <w:r w:rsidRPr="0096252B">
              <w:rPr>
                <w:rFonts w:ascii="Arial" w:eastAsia="Arial" w:hAnsi="Arial" w:cs="Arial"/>
              </w:rPr>
              <w:t>Dine-in, app &amp; delivery platforms</w:t>
            </w:r>
          </w:p>
        </w:tc>
      </w:tr>
      <w:tr w:rsidR="0096252B" w:rsidRPr="0096252B" w14:paraId="49DCF07B" w14:textId="77777777">
        <w:trPr>
          <w:trHeight w:val="51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F5A8E" w14:textId="77777777" w:rsidR="00990CB8" w:rsidRPr="0096252B" w:rsidRDefault="002530F0">
            <w:pPr>
              <w:rPr>
                <w:rFonts w:ascii="Arial" w:eastAsia="Arial" w:hAnsi="Arial" w:cs="Arial"/>
              </w:rPr>
            </w:pPr>
            <w:r w:rsidRPr="0096252B">
              <w:rPr>
                <w:rFonts w:ascii="Arial" w:eastAsia="Arial" w:hAnsi="Arial" w:cs="Arial"/>
                <w:b/>
                <w:bCs/>
              </w:rPr>
              <w:t>Promotion</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1AA4A" w14:textId="77777777" w:rsidR="00990CB8" w:rsidRPr="0096252B" w:rsidRDefault="002530F0">
            <w:pPr>
              <w:rPr>
                <w:rFonts w:ascii="Arial" w:eastAsia="Arial" w:hAnsi="Arial" w:cs="Arial"/>
              </w:rPr>
            </w:pPr>
            <w:r w:rsidRPr="0096252B">
              <w:rPr>
                <w:rFonts w:ascii="Arial" w:eastAsia="Arial" w:hAnsi="Arial" w:cs="Arial"/>
              </w:rPr>
              <w:t>AI, loyalty &amp; digital marketing</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EB546" w14:textId="77777777" w:rsidR="00990CB8" w:rsidRPr="0096252B" w:rsidRDefault="002530F0">
            <w:pPr>
              <w:rPr>
                <w:rFonts w:ascii="Arial" w:eastAsia="Arial" w:hAnsi="Arial" w:cs="Arial"/>
              </w:rPr>
            </w:pPr>
            <w:r w:rsidRPr="0096252B">
              <w:rPr>
                <w:rFonts w:ascii="Arial" w:eastAsia="Arial" w:hAnsi="Arial" w:cs="Arial"/>
              </w:rPr>
              <w:t>Festive offers &amp; value promotions</w:t>
            </w:r>
          </w:p>
        </w:tc>
      </w:tr>
      <w:tr w:rsidR="0096252B" w:rsidRPr="0096252B" w14:paraId="461A2918" w14:textId="77777777">
        <w:trPr>
          <w:trHeight w:val="51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28569" w14:textId="77777777" w:rsidR="00990CB8" w:rsidRPr="0096252B" w:rsidRDefault="002530F0">
            <w:pPr>
              <w:rPr>
                <w:rFonts w:ascii="Arial" w:eastAsia="Arial" w:hAnsi="Arial" w:cs="Arial"/>
              </w:rPr>
            </w:pPr>
            <w:r w:rsidRPr="0096252B">
              <w:rPr>
                <w:rFonts w:ascii="Arial" w:eastAsia="Arial" w:hAnsi="Arial" w:cs="Arial"/>
                <w:b/>
                <w:bCs/>
              </w:rPr>
              <w:t>People</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C4E81B" w14:textId="77777777" w:rsidR="00990CB8" w:rsidRPr="0096252B" w:rsidRDefault="002530F0">
            <w:pPr>
              <w:rPr>
                <w:rFonts w:ascii="Arial" w:eastAsia="Arial" w:hAnsi="Arial" w:cs="Arial"/>
              </w:rPr>
            </w:pPr>
            <w:r w:rsidRPr="0096252B">
              <w:rPr>
                <w:rFonts w:ascii="Arial" w:eastAsia="Arial" w:hAnsi="Arial" w:cs="Arial"/>
              </w:rPr>
              <w:t>Personalised service</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094147" w14:textId="77777777" w:rsidR="00990CB8" w:rsidRPr="0096252B" w:rsidRDefault="002530F0">
            <w:pPr>
              <w:rPr>
                <w:rFonts w:ascii="Arial" w:eastAsia="Arial" w:hAnsi="Arial" w:cs="Arial"/>
              </w:rPr>
            </w:pPr>
            <w:r w:rsidRPr="0096252B">
              <w:rPr>
                <w:rFonts w:ascii="Arial" w:eastAsia="Arial" w:hAnsi="Arial" w:cs="Arial"/>
              </w:rPr>
              <w:t>Family-oriented service</w:t>
            </w:r>
          </w:p>
        </w:tc>
      </w:tr>
      <w:tr w:rsidR="0096252B" w:rsidRPr="0096252B" w14:paraId="30E358EA" w14:textId="77777777">
        <w:trPr>
          <w:trHeight w:val="78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75190" w14:textId="77777777" w:rsidR="00990CB8" w:rsidRPr="0096252B" w:rsidRDefault="002530F0">
            <w:pPr>
              <w:rPr>
                <w:rFonts w:ascii="Arial" w:eastAsia="Arial" w:hAnsi="Arial" w:cs="Arial"/>
              </w:rPr>
            </w:pPr>
            <w:r w:rsidRPr="0096252B">
              <w:rPr>
                <w:rFonts w:ascii="Arial" w:eastAsia="Arial" w:hAnsi="Arial" w:cs="Arial"/>
                <w:b/>
                <w:bCs/>
              </w:rPr>
              <w:t>Process</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0E4F7" w14:textId="77777777" w:rsidR="00990CB8" w:rsidRPr="0096252B" w:rsidRDefault="002530F0">
            <w:pPr>
              <w:rPr>
                <w:rFonts w:ascii="Arial" w:eastAsia="Arial" w:hAnsi="Arial" w:cs="Arial"/>
              </w:rPr>
            </w:pPr>
            <w:r w:rsidRPr="0096252B">
              <w:rPr>
                <w:rFonts w:ascii="Arial" w:eastAsia="Arial" w:hAnsi="Arial" w:cs="Arial"/>
              </w:rPr>
              <w:t>AI ordering &amp; fast delivery</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CC80D" w14:textId="77777777" w:rsidR="00990CB8" w:rsidRPr="0096252B" w:rsidRDefault="002530F0">
            <w:pPr>
              <w:rPr>
                <w:rFonts w:ascii="Arial" w:eastAsia="Arial" w:hAnsi="Arial" w:cs="Arial"/>
              </w:rPr>
            </w:pPr>
            <w:r w:rsidRPr="0096252B">
              <w:rPr>
                <w:rFonts w:ascii="Arial" w:eastAsia="Arial" w:hAnsi="Arial" w:cs="Arial"/>
              </w:rPr>
              <w:t>Digital ordering &amp; delivery partnerships</w:t>
            </w:r>
          </w:p>
        </w:tc>
      </w:tr>
      <w:tr w:rsidR="0096252B" w:rsidRPr="0096252B" w14:paraId="5A15F92D" w14:textId="77777777">
        <w:trPr>
          <w:trHeight w:val="785"/>
        </w:trPr>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6D9B5" w14:textId="77777777" w:rsidR="00990CB8" w:rsidRPr="0096252B" w:rsidRDefault="002530F0">
            <w:pPr>
              <w:rPr>
                <w:rFonts w:ascii="Arial" w:eastAsia="Arial" w:hAnsi="Arial" w:cs="Arial"/>
              </w:rPr>
            </w:pPr>
            <w:r w:rsidRPr="0096252B">
              <w:rPr>
                <w:rFonts w:ascii="Arial" w:eastAsia="Arial" w:hAnsi="Arial" w:cs="Arial"/>
                <w:b/>
                <w:bCs/>
              </w:rPr>
              <w:t>Physical Evidence</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6AC047" w14:textId="77777777" w:rsidR="00990CB8" w:rsidRPr="0096252B" w:rsidRDefault="002530F0">
            <w:pPr>
              <w:rPr>
                <w:rFonts w:ascii="Arial" w:eastAsia="Arial" w:hAnsi="Arial" w:cs="Arial"/>
              </w:rPr>
            </w:pPr>
            <w:r w:rsidRPr="0096252B">
              <w:rPr>
                <w:rFonts w:ascii="Arial" w:eastAsia="Arial" w:hAnsi="Arial" w:cs="Arial"/>
              </w:rPr>
              <w:t>Modern outlets &amp; branded ambience</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5F6798" w14:textId="77777777" w:rsidR="00990CB8" w:rsidRPr="0096252B" w:rsidRDefault="002530F0">
            <w:pPr>
              <w:rPr>
                <w:rFonts w:ascii="Arial" w:eastAsia="Arial" w:hAnsi="Arial" w:cs="Arial"/>
              </w:rPr>
            </w:pPr>
            <w:r w:rsidRPr="0096252B">
              <w:rPr>
                <w:rFonts w:ascii="Arial" w:eastAsia="Arial" w:hAnsi="Arial" w:cs="Arial"/>
              </w:rPr>
              <w:t>Family-friendly outlets &amp; branded ambience</w:t>
            </w:r>
          </w:p>
        </w:tc>
      </w:tr>
    </w:tbl>
    <w:p w14:paraId="18050DB7" w14:textId="77777777" w:rsidR="00990CB8" w:rsidRPr="0096252B" w:rsidRDefault="002530F0">
      <w:pPr>
        <w:jc w:val="center"/>
        <w:rPr>
          <w:rFonts w:ascii="Arial" w:eastAsia="Arial" w:hAnsi="Arial" w:cs="Arial"/>
          <w:b/>
          <w:bCs/>
        </w:rPr>
      </w:pPr>
      <w:r w:rsidRPr="0096252B">
        <w:rPr>
          <w:rFonts w:ascii="Arial" w:eastAsia="Arial" w:hAnsi="Arial" w:cs="Arial"/>
          <w:b/>
          <w:bCs/>
        </w:rPr>
        <w:t>Table 4: International Marketing Mix (7Ps) of Pizza Hut</w:t>
      </w:r>
    </w:p>
    <w:p w14:paraId="14EBDB35" w14:textId="77777777" w:rsidR="00990CB8" w:rsidRPr="0096252B" w:rsidRDefault="002530F0">
      <w:pPr>
        <w:pStyle w:val="Heading2"/>
        <w:rPr>
          <w:rFonts w:ascii="Arial" w:eastAsia="Arial" w:hAnsi="Arial" w:cs="Arial"/>
        </w:rPr>
      </w:pPr>
      <w:bookmarkStart w:id="15" w:name="_Toc237076367"/>
      <w:r w:rsidRPr="0096252B">
        <w:rPr>
          <w:rFonts w:ascii="Arial" w:eastAsia="Arial" w:hAnsi="Arial" w:cs="Arial"/>
        </w:rPr>
        <w:lastRenderedPageBreak/>
        <w:t>5.1 Product</w:t>
      </w:r>
      <w:bookmarkEnd w:id="15"/>
    </w:p>
    <w:p w14:paraId="37453CCC" w14:textId="77777777" w:rsidR="00990CB8" w:rsidRPr="0096252B" w:rsidRDefault="002530F0">
      <w:pPr>
        <w:rPr>
          <w:rFonts w:ascii="Arial" w:eastAsia="Arial" w:hAnsi="Arial" w:cs="Arial"/>
        </w:rPr>
      </w:pPr>
      <w:r w:rsidRPr="0096252B">
        <w:rPr>
          <w:rFonts w:ascii="Arial" w:eastAsia="Arial" w:hAnsi="Arial" w:cs="Arial"/>
        </w:rPr>
        <w:t>Pizza Hut uses a product strategy to pursue global standardization and local adaptation to meet a global market's preference diversity. India's forecast period 2026–2034 indicates sustained long-term demand for localised food products, encouraging Pizza Hut to continue menu innovation (</w:t>
      </w:r>
      <w:proofErr w:type="spellStart"/>
      <w:r w:rsidRPr="0096252B">
        <w:rPr>
          <w:rFonts w:ascii="Arial" w:eastAsia="Arial" w:hAnsi="Arial" w:cs="Arial"/>
        </w:rPr>
        <w:t>Imarc</w:t>
      </w:r>
      <w:proofErr w:type="spellEnd"/>
      <w:r w:rsidRPr="0096252B">
        <w:rPr>
          <w:rFonts w:ascii="Arial" w:eastAsia="Arial" w:hAnsi="Arial" w:cs="Arial"/>
        </w:rPr>
        <w:t>, 2026). Pizza Hut has high quality pizzas, customisable the menu, wings and stuffed crusts in the USA. The Indian QSR market is projected to increase from approximately USD 9.3 billion in 2025 to USD 17.7 billion by 2034, creating opportunities for product localisation (</w:t>
      </w:r>
      <w:proofErr w:type="spellStart"/>
      <w:r w:rsidRPr="0096252B">
        <w:rPr>
          <w:rFonts w:ascii="Arial" w:eastAsia="Arial" w:hAnsi="Arial" w:cs="Arial"/>
        </w:rPr>
        <w:t>Imarc</w:t>
      </w:r>
      <w:proofErr w:type="spellEnd"/>
      <w:r w:rsidRPr="0096252B">
        <w:rPr>
          <w:rFonts w:ascii="Arial" w:eastAsia="Arial" w:hAnsi="Arial" w:cs="Arial"/>
        </w:rPr>
        <w:t>, 2026). The findings by Teoh et al. (2021) showed that satisfaction of the customers is largely influenced by the quality of the food. A favourable brand image is a positive predictor of customers' decision to buy (Zed et al., 2024). Thus, Pizza Hut balances its product innovation with localisation in and out, and so reinforces customer satisfaction and competitive advantage.</w:t>
      </w:r>
    </w:p>
    <w:p w14:paraId="763A2EF4" w14:textId="77777777" w:rsidR="00990CB8" w:rsidRPr="0096252B" w:rsidRDefault="002530F0">
      <w:pPr>
        <w:pStyle w:val="Heading2"/>
        <w:rPr>
          <w:rFonts w:ascii="Arial" w:eastAsia="Arial" w:hAnsi="Arial" w:cs="Arial"/>
        </w:rPr>
      </w:pPr>
      <w:bookmarkStart w:id="16" w:name="_Toc237076368"/>
      <w:r w:rsidRPr="0096252B">
        <w:rPr>
          <w:rFonts w:ascii="Arial" w:eastAsia="Arial" w:hAnsi="Arial" w:cs="Arial"/>
        </w:rPr>
        <w:t>5.2 Price</w:t>
      </w:r>
      <w:bookmarkEnd w:id="16"/>
    </w:p>
    <w:p w14:paraId="31284678" w14:textId="77777777" w:rsidR="00990CB8" w:rsidRPr="0096252B" w:rsidRDefault="002530F0">
      <w:pPr>
        <w:rPr>
          <w:rFonts w:ascii="Arial" w:eastAsia="Arial" w:hAnsi="Arial" w:cs="Arial"/>
        </w:rPr>
      </w:pPr>
      <w:r w:rsidRPr="0096252B">
        <w:rPr>
          <w:rFonts w:ascii="Arial" w:eastAsia="Arial" w:hAnsi="Arial" w:cs="Arial"/>
        </w:rPr>
        <w:t xml:space="preserve">Pizza Hut uses value-based pricing and adjusts prices to the elasticity of purchasing power and competitive intensity. The American fast-food market continues to record consistent annual growth of around 4.8%, enabling Pizza Hut to sustain premium pricing strategies (GVR, 2026). On the other hand, Indian residents are more price-sensitive, with a focus on the affordability of offerings via packs, promotions, and family offers. Strong household consumption expenditure in the United States supports Pizza Hut's premium pricing strategy (BEA, 2026). Hidayah and Al </w:t>
      </w:r>
      <w:proofErr w:type="spellStart"/>
      <w:r w:rsidRPr="0096252B">
        <w:rPr>
          <w:rFonts w:ascii="Arial" w:eastAsia="Arial" w:hAnsi="Arial" w:cs="Arial"/>
        </w:rPr>
        <w:t>Hibran</w:t>
      </w:r>
      <w:proofErr w:type="spellEnd"/>
      <w:r w:rsidRPr="0096252B">
        <w:rPr>
          <w:rFonts w:ascii="Arial" w:eastAsia="Arial" w:hAnsi="Arial" w:cs="Arial"/>
        </w:rPr>
        <w:t xml:space="preserve"> (2023) added that price affordability plays an important role in intention to purchase. Thus, Pizza Hut charges a high price in the USA and a low price in India to make the maximum profit and sell their product in the maximum quantity.</w:t>
      </w:r>
    </w:p>
    <w:p w14:paraId="71243EEF" w14:textId="77777777" w:rsidR="00990CB8" w:rsidRPr="0096252B" w:rsidRDefault="002530F0">
      <w:pPr>
        <w:pStyle w:val="Heading2"/>
        <w:rPr>
          <w:rFonts w:ascii="Arial" w:eastAsia="Arial" w:hAnsi="Arial" w:cs="Arial"/>
        </w:rPr>
      </w:pPr>
      <w:bookmarkStart w:id="17" w:name="_Toc237076369"/>
      <w:r w:rsidRPr="0096252B">
        <w:rPr>
          <w:rFonts w:ascii="Arial" w:eastAsia="Arial" w:hAnsi="Arial" w:cs="Arial"/>
        </w:rPr>
        <w:t>5.3 Place</w:t>
      </w:r>
      <w:bookmarkEnd w:id="17"/>
    </w:p>
    <w:p w14:paraId="168F52C2" w14:textId="77777777" w:rsidR="00990CB8" w:rsidRPr="0096252B" w:rsidRDefault="002530F0">
      <w:pPr>
        <w:rPr>
          <w:rFonts w:ascii="Arial" w:eastAsia="Arial" w:hAnsi="Arial" w:cs="Arial"/>
        </w:rPr>
      </w:pPr>
      <w:r w:rsidRPr="0096252B">
        <w:rPr>
          <w:rFonts w:ascii="Arial" w:eastAsia="Arial" w:hAnsi="Arial" w:cs="Arial"/>
        </w:rPr>
        <w:t xml:space="preserve">Pizza Hut markets its products via dine-in restaurants, delivery services, company websites and mobile apps and third-party delivery platforms. Pizza Hut operates an extensive international distribution network supported by company-owned channels and third-party delivery partners. In the US, sophisticated digital infrastructure enables online ordering and AI-powered roles and streamlined logistics. In India, more and more people are turning to smartphones and food delivery apps to make their purchases, making food more accessible. Chowdhury and Hatta (2024) stated that well-functioning delivery systems have a positive impact on customer satisfaction and </w:t>
      </w:r>
      <w:r w:rsidRPr="0096252B">
        <w:rPr>
          <w:rFonts w:ascii="Arial" w:eastAsia="Arial" w:hAnsi="Arial" w:cs="Arial"/>
        </w:rPr>
        <w:lastRenderedPageBreak/>
        <w:t>service processes. As such, Pizza Hut's multichannel distribution strengthens market reach and enhances convenience.</w:t>
      </w:r>
    </w:p>
    <w:p w14:paraId="1366A0BD" w14:textId="77777777" w:rsidR="00990CB8" w:rsidRPr="0096252B" w:rsidRDefault="002530F0">
      <w:pPr>
        <w:pStyle w:val="Heading2"/>
        <w:rPr>
          <w:rFonts w:ascii="Arial" w:eastAsia="Arial" w:hAnsi="Arial" w:cs="Arial"/>
        </w:rPr>
      </w:pPr>
      <w:bookmarkStart w:id="18" w:name="_Toc237076370"/>
      <w:r w:rsidRPr="0096252B">
        <w:rPr>
          <w:rFonts w:ascii="Arial" w:eastAsia="Arial" w:hAnsi="Arial" w:cs="Arial"/>
        </w:rPr>
        <w:t>5.4 Promotion</w:t>
      </w:r>
      <w:bookmarkEnd w:id="18"/>
    </w:p>
    <w:p w14:paraId="63313857" w14:textId="77777777" w:rsidR="00990CB8" w:rsidRPr="0096252B" w:rsidRDefault="002530F0">
      <w:pPr>
        <w:rPr>
          <w:rFonts w:ascii="Arial" w:eastAsia="Arial" w:hAnsi="Arial" w:cs="Arial"/>
        </w:rPr>
      </w:pPr>
      <w:r w:rsidRPr="0096252B">
        <w:rPr>
          <w:rFonts w:ascii="Arial" w:eastAsia="Arial" w:hAnsi="Arial" w:cs="Arial"/>
        </w:rPr>
        <w:t>Integrated marketing communications at Pizza Hut is seen in the combination of a television ad campaign, digital marketing, mobile apps and social media campaigns. The US market is more interested in personalised marketing and loyalty strategies through AI, while India is interested in festive promotion and value-driven campaigns. Digital marketing technologies continue to strengthen customer engagement and brand communication across international restaurant markets (Forbes, 2025). Devendra (2023) added that mobile marketing can positively build the brand image of Pizza Hut and enhance customer engagement. According to Nasir et al. (2023), social media plays a crucial role in shaping customer emotions and brand perceptions. Promotional activities increase brand recognition, foster loyalty, and drive repeat sales in foreign markets.</w:t>
      </w:r>
    </w:p>
    <w:p w14:paraId="724B5EF5" w14:textId="77777777" w:rsidR="00990CB8" w:rsidRPr="0096252B" w:rsidRDefault="002530F0">
      <w:pPr>
        <w:pStyle w:val="Heading2"/>
        <w:rPr>
          <w:rFonts w:ascii="Arial" w:eastAsia="Arial" w:hAnsi="Arial" w:cs="Arial"/>
        </w:rPr>
      </w:pPr>
      <w:bookmarkStart w:id="19" w:name="_Toc237076371"/>
      <w:r w:rsidRPr="0096252B">
        <w:rPr>
          <w:rFonts w:ascii="Arial" w:eastAsia="Arial" w:hAnsi="Arial" w:cs="Arial"/>
        </w:rPr>
        <w:t>5.5 People</w:t>
      </w:r>
      <w:bookmarkEnd w:id="19"/>
    </w:p>
    <w:p w14:paraId="5086D8C9" w14:textId="77777777" w:rsidR="00990CB8" w:rsidRPr="0096252B" w:rsidRDefault="002530F0">
      <w:pPr>
        <w:rPr>
          <w:rFonts w:ascii="Arial" w:eastAsia="Arial" w:hAnsi="Arial" w:cs="Arial"/>
        </w:rPr>
      </w:pPr>
      <w:r w:rsidRPr="0096252B">
        <w:rPr>
          <w:rFonts w:ascii="Arial" w:eastAsia="Arial" w:hAnsi="Arial" w:cs="Arial"/>
        </w:rPr>
        <w:t>Employees play a very important role in ensuring uniform service quality and improving customer satisfaction. Pizza Hut invests in employee training and operational standardisation across its international restaurant network to ensure consistent service quality. The US is known for its personalised service and efficient operations, while the Indian branch stores are known for fancy hospitality and family-centred interactions. According to Teoh et al. (2021), service quality is among the most significant factors that positively affect CS. De Silva (2025) noted that experiential marketing and positive employee interactions are some of the major factors that lead to customer satisfaction and revisit intentions. Hence, Pizza Hut plans the interaction of employees in accordance with the expectations of the local culture, but in a manner that fits the global standards of service.</w:t>
      </w:r>
    </w:p>
    <w:p w14:paraId="6037738E" w14:textId="77777777" w:rsidR="00990CB8" w:rsidRPr="0096252B" w:rsidRDefault="002530F0">
      <w:pPr>
        <w:pStyle w:val="Heading2"/>
        <w:rPr>
          <w:rFonts w:ascii="Arial" w:eastAsia="Arial" w:hAnsi="Arial" w:cs="Arial"/>
        </w:rPr>
      </w:pPr>
      <w:bookmarkStart w:id="20" w:name="_Toc237076372"/>
      <w:r w:rsidRPr="0096252B">
        <w:rPr>
          <w:rFonts w:ascii="Arial" w:eastAsia="Arial" w:hAnsi="Arial" w:cs="Arial"/>
        </w:rPr>
        <w:t>5.6 Process</w:t>
      </w:r>
      <w:bookmarkEnd w:id="20"/>
    </w:p>
    <w:p w14:paraId="4A58F4F0" w14:textId="77777777" w:rsidR="00990CB8" w:rsidRPr="0096252B" w:rsidRDefault="002530F0">
      <w:pPr>
        <w:rPr>
          <w:rFonts w:ascii="Arial" w:eastAsia="Arial" w:hAnsi="Arial" w:cs="Arial"/>
        </w:rPr>
      </w:pPr>
      <w:r w:rsidRPr="0096252B">
        <w:rPr>
          <w:rFonts w:ascii="Arial" w:eastAsia="Arial" w:hAnsi="Arial" w:cs="Arial"/>
        </w:rPr>
        <w:t xml:space="preserve">Digital ordering, delivery optimisation and Customer Relationship Management are a few ways by which Pizza Hut keeps enhancing its operational procedures. The standard process preparation makes the product consistent across more than 110 countries, and the use of electronic systems enhances operational efficiency. In the US, AI-powered ordering systems help to deliver more efficient service, while in India, collaborative initiatives with food delivery platforms offer a significant advantage. Decision Advisors estimates that India's QSR market will continue expanding strongly </w:t>
      </w:r>
      <w:r w:rsidRPr="0096252B">
        <w:rPr>
          <w:rFonts w:ascii="Arial" w:eastAsia="Arial" w:hAnsi="Arial" w:cs="Arial"/>
        </w:rPr>
        <w:lastRenderedPageBreak/>
        <w:t xml:space="preserve">over the forecast period because of rising urbanisation and organised food-service demand (DA, 2026). </w:t>
      </w:r>
      <w:proofErr w:type="spellStart"/>
      <w:r w:rsidRPr="0096252B">
        <w:rPr>
          <w:rFonts w:ascii="Arial" w:eastAsia="Arial" w:hAnsi="Arial" w:cs="Arial"/>
        </w:rPr>
        <w:t>Mudzakkir</w:t>
      </w:r>
      <w:proofErr w:type="spellEnd"/>
      <w:r w:rsidRPr="0096252B">
        <w:rPr>
          <w:rFonts w:ascii="Arial" w:eastAsia="Arial" w:hAnsi="Arial" w:cs="Arial"/>
        </w:rPr>
        <w:t xml:space="preserve"> et al. (2023) further showed that digital transformation boosted the operational resilience of Pizza Hut during the COVID-19 pandemic. Additionally, Chowdhury and Hatta (2024) noted that effective delivery methods are key to higher customer satisfaction. Thus, more competitive advantages continue to reside in operational excellence.</w:t>
      </w:r>
    </w:p>
    <w:p w14:paraId="51B979AC" w14:textId="77777777" w:rsidR="00990CB8" w:rsidRPr="0096252B" w:rsidRDefault="002530F0">
      <w:pPr>
        <w:pStyle w:val="Heading2"/>
        <w:rPr>
          <w:rFonts w:ascii="Arial" w:eastAsia="Arial" w:hAnsi="Arial" w:cs="Arial"/>
        </w:rPr>
      </w:pPr>
      <w:bookmarkStart w:id="21" w:name="_Toc237076373"/>
      <w:r w:rsidRPr="0096252B">
        <w:rPr>
          <w:rFonts w:ascii="Arial" w:eastAsia="Arial" w:hAnsi="Arial" w:cs="Arial"/>
        </w:rPr>
        <w:t>5.7 Physical Evidence</w:t>
      </w:r>
      <w:bookmarkEnd w:id="21"/>
    </w:p>
    <w:p w14:paraId="537D9732" w14:textId="77777777" w:rsidR="00990CB8" w:rsidRPr="0096252B" w:rsidRDefault="002530F0">
      <w:pPr>
        <w:rPr>
          <w:rFonts w:ascii="Arial" w:eastAsia="Arial" w:hAnsi="Arial" w:cs="Arial"/>
        </w:rPr>
      </w:pPr>
      <w:r w:rsidRPr="0096252B">
        <w:rPr>
          <w:rFonts w:ascii="Arial" w:eastAsia="Arial" w:hAnsi="Arial" w:cs="Arial"/>
        </w:rPr>
        <w:t>Pizza Hut's physical evidence is contributed by the uniformity of the restaurant design, having branded packaging, and representing the quality of the dining place atmosphere. Pizza Hut maintains a consistent global brand identity through standardised restaurant layouts, branded packaging and quality dining environments across international markets. The ambience of the restaurant plays a crucial role in boosting customer satisfaction (Teoh et al., 2021). Experiential marketing has a positive influence on customer perceptions and customer loyalty (de Silva, 2025). Physical consistency thus contributes to the global recognisability of Pizza Hut and also helps to localise the brand identity in different countries.</w:t>
      </w:r>
    </w:p>
    <w:p w14:paraId="141E3F98" w14:textId="77777777" w:rsidR="00990CB8" w:rsidRPr="0096252B" w:rsidRDefault="002530F0">
      <w:pPr>
        <w:pStyle w:val="Heading1"/>
        <w:rPr>
          <w:rFonts w:ascii="Arial" w:eastAsia="Arial" w:hAnsi="Arial" w:cs="Arial"/>
        </w:rPr>
      </w:pPr>
      <w:bookmarkStart w:id="22" w:name="_Toc237076374"/>
      <w:r w:rsidRPr="0096252B">
        <w:rPr>
          <w:rFonts w:ascii="Arial" w:eastAsia="Arial" w:hAnsi="Arial" w:cs="Arial"/>
        </w:rPr>
        <w:t>6. Market Entry Strategy</w:t>
      </w:r>
      <w:bookmarkEnd w:id="22"/>
    </w:p>
    <w:p w14:paraId="677A694E" w14:textId="77777777" w:rsidR="00990CB8" w:rsidRPr="0096252B" w:rsidRDefault="002530F0">
      <w:pPr>
        <w:rPr>
          <w:rFonts w:ascii="Arial" w:eastAsia="Arial" w:hAnsi="Arial" w:cs="Arial"/>
        </w:rPr>
      </w:pPr>
      <w:r w:rsidRPr="0096252B">
        <w:rPr>
          <w:rFonts w:ascii="Arial" w:eastAsia="Arial" w:hAnsi="Arial" w:cs="Arial"/>
        </w:rPr>
        <w:t xml:space="preserve">Pizza Hut used a franchise market entry strategy to expand into India, allowing it to grow quickly and benefit from local knowledge and skill. Franchising lowers capital costs, lowers operating risks and opens the door for consumers to tailor products, prices and promotions to local tastes and preferences. This approach has assisted Pizza Hut's global growth and ensured quality across major cities. The Indian QSR market is forecast to expand at an annual growth rate of approximately 8.74% through 2031, encouraging continued menu localisation and product innovation (GVR, 2026). Government reforms and a favourable investment environment continue to encourage international restaurant brands to expand within India's organised food service sector (IBEF, 2026). </w:t>
      </w:r>
    </w:p>
    <w:p w14:paraId="5E26D34A" w14:textId="77777777" w:rsidR="00990CB8" w:rsidRPr="0096252B" w:rsidRDefault="002530F0">
      <w:pPr>
        <w:rPr>
          <w:rFonts w:ascii="Arial" w:eastAsia="Arial" w:hAnsi="Arial" w:cs="Arial"/>
        </w:rPr>
      </w:pPr>
      <w:r w:rsidRPr="0096252B">
        <w:rPr>
          <w:rFonts w:ascii="Arial" w:eastAsia="Arial" w:hAnsi="Arial" w:cs="Arial"/>
        </w:rPr>
        <w:t>As suggested by Ruma (2023), international business needs to take the local market into account to have successful implementation. Yet there are also downsides to franchising. Operational performance is franchise-driven, making it hard to maintain consistent service quality across the franchise. Operational and strategic risks continue to pose problems for multinational restaurant organisations (</w:t>
      </w:r>
      <w:proofErr w:type="spellStart"/>
      <w:r w:rsidRPr="0096252B">
        <w:rPr>
          <w:rFonts w:ascii="Arial" w:eastAsia="Arial" w:hAnsi="Arial" w:cs="Arial"/>
        </w:rPr>
        <w:t>Shiroya</w:t>
      </w:r>
      <w:proofErr w:type="spellEnd"/>
      <w:r w:rsidRPr="0096252B">
        <w:rPr>
          <w:rFonts w:ascii="Arial" w:eastAsia="Arial" w:hAnsi="Arial" w:cs="Arial"/>
        </w:rPr>
        <w:t xml:space="preserve"> and Robinson, 2023). Therefore, it is deduced that franchising still offers the best option for market entry because of the balance in growing the market while making </w:t>
      </w:r>
      <w:r w:rsidRPr="0096252B">
        <w:rPr>
          <w:rFonts w:ascii="Arial" w:eastAsia="Arial" w:hAnsi="Arial" w:cs="Arial"/>
        </w:rPr>
        <w:lastRenderedPageBreak/>
        <w:t>customisation possible. However, as noted by Madureira et al. (2023), if the world is to grow and develop internationally, it must be evaluated continuously in regard to external risks.</w:t>
      </w:r>
    </w:p>
    <w:p w14:paraId="1284A4B0" w14:textId="77777777" w:rsidR="00990CB8" w:rsidRPr="0096252B" w:rsidRDefault="002530F0">
      <w:pPr>
        <w:pStyle w:val="Heading1"/>
        <w:rPr>
          <w:rFonts w:ascii="Arial" w:eastAsia="Arial" w:hAnsi="Arial" w:cs="Arial"/>
        </w:rPr>
      </w:pPr>
      <w:bookmarkStart w:id="23" w:name="_Toc237076375"/>
      <w:r w:rsidRPr="0096252B">
        <w:rPr>
          <w:rFonts w:ascii="Arial" w:eastAsia="Arial" w:hAnsi="Arial" w:cs="Arial"/>
        </w:rPr>
        <w:t>7. Ethical Issues</w:t>
      </w:r>
      <w:bookmarkEnd w:id="23"/>
    </w:p>
    <w:p w14:paraId="05AEAF82" w14:textId="77777777" w:rsidR="00990CB8" w:rsidRPr="0096252B" w:rsidRDefault="002530F0">
      <w:pPr>
        <w:rPr>
          <w:rFonts w:ascii="Arial" w:eastAsia="Arial" w:hAnsi="Arial" w:cs="Arial"/>
        </w:rPr>
      </w:pPr>
      <w:r w:rsidRPr="0096252B">
        <w:rPr>
          <w:rFonts w:ascii="Arial" w:eastAsia="Arial" w:hAnsi="Arial" w:cs="Arial"/>
        </w:rPr>
        <w:t xml:space="preserve">A good brand reputation is dependent on proper business ethics, and this can contribute to sustainable international expansion. Pizza Hut shows its ethical responsibility by their sustainable sourcing and agricultural partnerships. In their communication, </w:t>
      </w:r>
      <w:proofErr w:type="spellStart"/>
      <w:r w:rsidRPr="0096252B">
        <w:rPr>
          <w:rFonts w:ascii="Arial" w:eastAsia="Arial" w:hAnsi="Arial" w:cs="Arial"/>
        </w:rPr>
        <w:t>Fudjaja</w:t>
      </w:r>
      <w:proofErr w:type="spellEnd"/>
      <w:r w:rsidRPr="0096252B">
        <w:rPr>
          <w:rFonts w:ascii="Arial" w:eastAsia="Arial" w:hAnsi="Arial" w:cs="Arial"/>
        </w:rPr>
        <w:t xml:space="preserve"> et al. (2024) showed that working with local farmers enhances responsible sourcing and supply chain robustness, which aligns with Product; de Silva (2025) showed that increasing the ambience and service quality of restaurants leads to greater customer satisfaction, correlating with the People and Physical Evidence elements. Pizza Hut has also faced ethical problems. In line with this, Ramadhan et al. (2025) noted that ethical Promotion strategies were implemented to restore customer confidence and overcome boycott issues. </w:t>
      </w:r>
      <w:proofErr w:type="spellStart"/>
      <w:r w:rsidRPr="0096252B">
        <w:rPr>
          <w:rFonts w:ascii="Arial" w:eastAsia="Arial" w:hAnsi="Arial" w:cs="Arial"/>
        </w:rPr>
        <w:t>Sazali</w:t>
      </w:r>
      <w:proofErr w:type="spellEnd"/>
      <w:r w:rsidRPr="0096252B">
        <w:rPr>
          <w:rFonts w:ascii="Arial" w:eastAsia="Arial" w:hAnsi="Arial" w:cs="Arial"/>
        </w:rPr>
        <w:t xml:space="preserve"> et al. (2024) stress the need for transparent communication when addressing the concerns of the public and safeguarding corporate reputation. Overall, Pizza Hut should strive to further build its ethical sourcing, service that focuses on customers and openness in marketing communication to ensure the trust of the stores and let them gain a sustainable competitive advantage.</w:t>
      </w:r>
    </w:p>
    <w:p w14:paraId="198FD137" w14:textId="77777777" w:rsidR="00990CB8" w:rsidRPr="0096252B" w:rsidRDefault="002530F0">
      <w:pPr>
        <w:pStyle w:val="Heading1"/>
        <w:rPr>
          <w:rFonts w:ascii="Arial" w:eastAsia="Arial" w:hAnsi="Arial" w:cs="Arial"/>
        </w:rPr>
      </w:pPr>
      <w:bookmarkStart w:id="24" w:name="_Toc237076376"/>
      <w:r w:rsidRPr="0096252B">
        <w:rPr>
          <w:rFonts w:ascii="Arial" w:eastAsia="Arial" w:hAnsi="Arial" w:cs="Arial"/>
        </w:rPr>
        <w:t>8. Recommendations</w:t>
      </w:r>
      <w:bookmarkEnd w:id="24"/>
    </w:p>
    <w:p w14:paraId="3D59ED4B" w14:textId="77777777" w:rsidR="00990CB8" w:rsidRPr="0096252B" w:rsidRDefault="002530F0">
      <w:pPr>
        <w:numPr>
          <w:ilvl w:val="0"/>
          <w:numId w:val="1"/>
        </w:numPr>
        <w:rPr>
          <w:rFonts w:ascii="Arial" w:eastAsia="Arial" w:hAnsi="Arial" w:cs="Arial"/>
        </w:rPr>
      </w:pPr>
      <w:r w:rsidRPr="0096252B">
        <w:rPr>
          <w:rFonts w:ascii="Arial" w:eastAsia="Arial" w:hAnsi="Arial" w:cs="Arial"/>
        </w:rPr>
        <w:t>Boosting funding for artificial intelligence and digital ordering systems to optimise operations and provide personalised customer service, globally (Forbes, 2025)</w:t>
      </w:r>
    </w:p>
    <w:p w14:paraId="3DF12692" w14:textId="77777777" w:rsidR="00990CB8" w:rsidRPr="0096252B" w:rsidRDefault="002530F0">
      <w:pPr>
        <w:numPr>
          <w:ilvl w:val="0"/>
          <w:numId w:val="1"/>
        </w:numPr>
        <w:rPr>
          <w:rFonts w:ascii="Arial" w:eastAsia="Arial" w:hAnsi="Arial" w:cs="Arial"/>
        </w:rPr>
      </w:pPr>
      <w:r w:rsidRPr="0096252B">
        <w:rPr>
          <w:rFonts w:ascii="Arial" w:eastAsia="Arial" w:hAnsi="Arial" w:cs="Arial"/>
        </w:rPr>
        <w:t>Teoh et al. (2021) added that service quality is an important factor that impacts customer satisfaction. Implementing standard fresher training and standardisation for employee skill assessment, so that customers get the same experience every time</w:t>
      </w:r>
    </w:p>
    <w:p w14:paraId="67617E16" w14:textId="77777777" w:rsidR="00990CB8" w:rsidRPr="0096252B" w:rsidRDefault="002530F0">
      <w:pPr>
        <w:numPr>
          <w:ilvl w:val="0"/>
          <w:numId w:val="1"/>
        </w:numPr>
        <w:rPr>
          <w:rFonts w:ascii="Arial" w:eastAsia="Arial" w:hAnsi="Arial" w:cs="Arial"/>
        </w:rPr>
      </w:pPr>
      <w:r w:rsidRPr="0096252B">
        <w:rPr>
          <w:rFonts w:ascii="Arial" w:eastAsia="Arial" w:hAnsi="Arial" w:cs="Arial"/>
        </w:rPr>
        <w:t>Promoting sustainable sourcing and eco-friendly packaging by deepening supply chain resilience with local suppliers</w:t>
      </w:r>
    </w:p>
    <w:p w14:paraId="222F0409" w14:textId="77777777" w:rsidR="00990CB8" w:rsidRPr="0096252B" w:rsidRDefault="002530F0">
      <w:pPr>
        <w:numPr>
          <w:ilvl w:val="0"/>
          <w:numId w:val="1"/>
        </w:numPr>
        <w:rPr>
          <w:rFonts w:ascii="Arial" w:eastAsia="Arial" w:hAnsi="Arial" w:cs="Arial"/>
        </w:rPr>
      </w:pPr>
      <w:r w:rsidRPr="0096252B">
        <w:rPr>
          <w:rFonts w:ascii="Arial" w:eastAsia="Arial" w:hAnsi="Arial" w:cs="Arial"/>
        </w:rPr>
        <w:t>Enhancing the ethical application of marketing communication and enhancing crisis management through transparency in public debate to improve customer trust and long-term brand reputation</w:t>
      </w:r>
    </w:p>
    <w:p w14:paraId="00BA9248" w14:textId="77777777" w:rsidR="00990CB8" w:rsidRPr="0096252B" w:rsidRDefault="002530F0">
      <w:pPr>
        <w:pStyle w:val="Heading1"/>
        <w:rPr>
          <w:rFonts w:ascii="Arial" w:eastAsia="Arial" w:hAnsi="Arial" w:cs="Arial"/>
        </w:rPr>
      </w:pPr>
      <w:bookmarkStart w:id="25" w:name="_Toc237076377"/>
      <w:r w:rsidRPr="0096252B">
        <w:rPr>
          <w:rFonts w:ascii="Arial" w:eastAsia="Arial" w:hAnsi="Arial" w:cs="Arial"/>
        </w:rPr>
        <w:lastRenderedPageBreak/>
        <w:t>9. Conclusion</w:t>
      </w:r>
      <w:bookmarkEnd w:id="25"/>
    </w:p>
    <w:p w14:paraId="108A92CD" w14:textId="77777777" w:rsidR="00990CB8" w:rsidRPr="0096252B" w:rsidRDefault="002530F0">
      <w:pPr>
        <w:rPr>
          <w:rFonts w:ascii="Arial" w:eastAsia="Arial" w:hAnsi="Arial" w:cs="Arial"/>
        </w:rPr>
      </w:pPr>
      <w:r w:rsidRPr="0096252B">
        <w:rPr>
          <w:rFonts w:ascii="Arial" w:eastAsia="Arial" w:hAnsi="Arial" w:cs="Arial"/>
        </w:rPr>
        <w:t>In the USA and India, Pizza Hut maintains global consistency while at the same time adapting to local markets. The company can adjust its marketing mix and strategy according to local conditions, invest in new digital technologies, apply principles of sustainability and ethical management, and enhance competitiveness, customer satisfaction and long-term international expansion. Moreover, Pizza Hut needs to keep strengthening its customer-centric strategy through being proactive when facing changes in customer preferences and requirements, technological innovations, and sustainability concerns. The development of digital capabilities, excellence of franchise management and menu innovation will help to optimize the operation of the brand and establish a differentiation offering throughout the various locations. More emphasis will be placed on ethics in sourcing, taking care of the environment and transparency in marketing communication, which will further build stakeholder confidence and corporate image. Through continuous innovation and effective localisation strategies, Pizza Hut will be able to properly adapt to the changing market environment, solidify customer relationships over the long-term and obtain competitive advantage in both mature and emerging markets through profitable expansion at the international level.</w:t>
      </w:r>
    </w:p>
    <w:p w14:paraId="2F2E7042" w14:textId="77777777" w:rsidR="00990CB8" w:rsidRPr="0096252B" w:rsidRDefault="002530F0">
      <w:pPr>
        <w:pStyle w:val="Heading1"/>
        <w:rPr>
          <w:rFonts w:ascii="Arial" w:eastAsia="Arial" w:hAnsi="Arial" w:cs="Arial"/>
        </w:rPr>
      </w:pPr>
      <w:bookmarkStart w:id="26" w:name="_Toc237076378"/>
      <w:r w:rsidRPr="0096252B">
        <w:rPr>
          <w:rFonts w:ascii="Arial" w:eastAsia="Arial" w:hAnsi="Arial" w:cs="Arial"/>
        </w:rPr>
        <w:t>10. Reflective Account</w:t>
      </w:r>
      <w:bookmarkEnd w:id="26"/>
    </w:p>
    <w:p w14:paraId="23955248" w14:textId="77777777" w:rsidR="00990CB8" w:rsidRPr="0096252B" w:rsidRDefault="002530F0">
      <w:pPr>
        <w:jc w:val="center"/>
        <w:rPr>
          <w:rFonts w:ascii="Arial" w:eastAsia="Arial" w:hAnsi="Arial" w:cs="Arial"/>
        </w:rPr>
      </w:pPr>
      <w:r w:rsidRPr="0096252B">
        <w:rPr>
          <w:rFonts w:ascii="Arial" w:eastAsia="Arial" w:hAnsi="Arial" w:cs="Arial"/>
          <w:noProof/>
        </w:rPr>
        <w:drawing>
          <wp:inline distT="114300" distB="114300" distL="114300" distR="114300" wp14:anchorId="0B98CDE3" wp14:editId="001F3A9C">
            <wp:extent cx="4792500" cy="3591742"/>
            <wp:effectExtent l="0" t="0" r="0" b="0"/>
            <wp:docPr id="164944694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792500" cy="3591742"/>
                    </a:xfrm>
                    <a:prstGeom prst="rect">
                      <a:avLst/>
                    </a:prstGeom>
                    <a:ln/>
                  </pic:spPr>
                </pic:pic>
              </a:graphicData>
            </a:graphic>
          </wp:inline>
        </w:drawing>
      </w:r>
    </w:p>
    <w:p w14:paraId="32825C20" w14:textId="77777777" w:rsidR="00990CB8" w:rsidRPr="0096252B" w:rsidRDefault="002530F0">
      <w:pPr>
        <w:jc w:val="center"/>
        <w:rPr>
          <w:rFonts w:ascii="Arial" w:eastAsia="Arial" w:hAnsi="Arial" w:cs="Arial"/>
          <w:b/>
          <w:bCs/>
        </w:rPr>
      </w:pPr>
      <w:r w:rsidRPr="0096252B">
        <w:rPr>
          <w:rFonts w:ascii="Arial" w:eastAsia="Arial" w:hAnsi="Arial" w:cs="Arial"/>
          <w:b/>
          <w:bCs/>
        </w:rPr>
        <w:t>Figure 5: Gibbs Reflective Cycle</w:t>
      </w:r>
    </w:p>
    <w:p w14:paraId="4E151027" w14:textId="77777777" w:rsidR="00990CB8" w:rsidRPr="0096252B" w:rsidRDefault="002530F0">
      <w:pPr>
        <w:jc w:val="center"/>
        <w:rPr>
          <w:rFonts w:ascii="Arial" w:eastAsia="Arial" w:hAnsi="Arial" w:cs="Arial"/>
        </w:rPr>
      </w:pPr>
      <w:r w:rsidRPr="0096252B">
        <w:rPr>
          <w:rFonts w:ascii="Arial" w:eastAsia="Arial" w:hAnsi="Arial" w:cs="Arial"/>
        </w:rPr>
        <w:lastRenderedPageBreak/>
        <w:t>(Source: SP, 2026)</w:t>
      </w:r>
    </w:p>
    <w:p w14:paraId="1919862B" w14:textId="77777777" w:rsidR="00990CB8" w:rsidRPr="0096252B" w:rsidRDefault="002530F0">
      <w:pPr>
        <w:pStyle w:val="Heading2"/>
        <w:rPr>
          <w:rFonts w:ascii="Arial" w:eastAsia="Arial" w:hAnsi="Arial" w:cs="Arial"/>
        </w:rPr>
      </w:pPr>
      <w:bookmarkStart w:id="27" w:name="_Toc237076379"/>
      <w:r w:rsidRPr="0096252B">
        <w:rPr>
          <w:rFonts w:ascii="Arial" w:eastAsia="Arial" w:hAnsi="Arial" w:cs="Arial"/>
        </w:rPr>
        <w:t>10.1 Introduction</w:t>
      </w:r>
      <w:bookmarkEnd w:id="27"/>
    </w:p>
    <w:p w14:paraId="033CE143" w14:textId="77777777" w:rsidR="00990CB8" w:rsidRPr="0096252B" w:rsidRDefault="002530F0">
      <w:pPr>
        <w:rPr>
          <w:rFonts w:ascii="Arial" w:eastAsia="Arial" w:hAnsi="Arial" w:cs="Arial"/>
        </w:rPr>
      </w:pPr>
      <w:r w:rsidRPr="0096252B">
        <w:rPr>
          <w:rFonts w:ascii="Arial" w:eastAsia="Arial" w:hAnsi="Arial" w:cs="Arial"/>
        </w:rPr>
        <w:t>This reflective writing uses Gibbs' reflective cycle to reflect on the development of the international marketing report for Pizza Hut. Reflection provides an opportunity to critically assess learning experiences, identify strengths and weaknesses, and improve future academic and professional performance. Logan Ingham-Broomfield (2021) describes reflective models as ones that offer a framework to analyse experiences and for ongoing learning.</w:t>
      </w:r>
    </w:p>
    <w:p w14:paraId="519A7F4F" w14:textId="77777777" w:rsidR="00990CB8" w:rsidRPr="0096252B" w:rsidRDefault="002530F0">
      <w:pPr>
        <w:pStyle w:val="Heading2"/>
        <w:rPr>
          <w:rFonts w:ascii="Arial" w:eastAsia="Arial" w:hAnsi="Arial" w:cs="Arial"/>
        </w:rPr>
      </w:pPr>
      <w:bookmarkStart w:id="28" w:name="_Toc237076380"/>
      <w:r w:rsidRPr="0096252B">
        <w:rPr>
          <w:rFonts w:ascii="Arial" w:eastAsia="Arial" w:hAnsi="Arial" w:cs="Arial"/>
        </w:rPr>
        <w:t>10.2 Description</w:t>
      </w:r>
      <w:bookmarkEnd w:id="28"/>
    </w:p>
    <w:p w14:paraId="2F12EDD7" w14:textId="77777777" w:rsidR="00990CB8" w:rsidRPr="0096252B" w:rsidRDefault="002530F0">
      <w:pPr>
        <w:rPr>
          <w:rFonts w:ascii="Arial" w:eastAsia="Arial" w:hAnsi="Arial" w:cs="Arial"/>
        </w:rPr>
      </w:pPr>
      <w:r w:rsidRPr="0096252B">
        <w:rPr>
          <w:rFonts w:ascii="Arial" w:eastAsia="Arial" w:hAnsi="Arial" w:cs="Arial"/>
        </w:rPr>
        <w:t xml:space="preserve">The report called for a comparative analysis of Pizza Hut' approach in international marketing in the USA and in India through PESTLE, Hofstede cultural dimensions, STP analysis, 7Ps marketing mix, market entry strategy and ethics. The process of completing the report necessitated a significant level of research, utilising pertinent academic papers, industry reports and applying theoretical concepts to real-world business scenarios. Much focus was put on the analysis of numerical market data, the comparison of two international markets and the application of international marketing concepts in a business context. Mello and </w:t>
      </w:r>
      <w:proofErr w:type="spellStart"/>
      <w:r w:rsidRPr="0096252B">
        <w:rPr>
          <w:rFonts w:ascii="Arial" w:eastAsia="Arial" w:hAnsi="Arial" w:cs="Arial"/>
        </w:rPr>
        <w:t>Wattret</w:t>
      </w:r>
      <w:proofErr w:type="spellEnd"/>
      <w:r w:rsidRPr="0096252B">
        <w:rPr>
          <w:rFonts w:ascii="Arial" w:eastAsia="Arial" w:hAnsi="Arial" w:cs="Arial"/>
        </w:rPr>
        <w:t xml:space="preserve"> (2021) argue that reflective learning enhances transfer of learning through facilitating the transfer of knowledge to other areas in pupils' lives.</w:t>
      </w:r>
    </w:p>
    <w:p w14:paraId="043B306B" w14:textId="77777777" w:rsidR="00990CB8" w:rsidRPr="0096252B" w:rsidRDefault="002530F0">
      <w:pPr>
        <w:pStyle w:val="Heading2"/>
        <w:rPr>
          <w:rFonts w:ascii="Arial" w:eastAsia="Arial" w:hAnsi="Arial" w:cs="Arial"/>
        </w:rPr>
      </w:pPr>
      <w:bookmarkStart w:id="29" w:name="_Toc237076381"/>
      <w:r w:rsidRPr="0096252B">
        <w:rPr>
          <w:rFonts w:ascii="Arial" w:eastAsia="Arial" w:hAnsi="Arial" w:cs="Arial"/>
        </w:rPr>
        <w:t>10.3 Feelings</w:t>
      </w:r>
      <w:bookmarkEnd w:id="29"/>
    </w:p>
    <w:p w14:paraId="6DBD2E25" w14:textId="77777777" w:rsidR="00990CB8" w:rsidRPr="0096252B" w:rsidRDefault="002530F0">
      <w:pPr>
        <w:rPr>
          <w:rFonts w:ascii="Arial" w:eastAsia="Arial" w:hAnsi="Arial" w:cs="Arial"/>
        </w:rPr>
      </w:pPr>
      <w:r w:rsidRPr="0096252B">
        <w:rPr>
          <w:rFonts w:ascii="Arial" w:eastAsia="Arial" w:hAnsi="Arial" w:cs="Arial"/>
        </w:rPr>
        <w:t>Initially, I was unsure about the report as it involved bringing together several international marketing models to create a coherent analysis and comparing two markets. Finding trustworthy academic research and reliable industry information were difficult, too. Themes in international marketing theories, cultural interpretations and analysis of macro-environmental factors became my growing confidence as the research proceeded. The report helped me get more confident with academic research and thinking. According to Ahmadpour et al. (2025), Gibbs' reflective model helps to build learners' confidence, since it has a structured writing process, and they can reflect on their learning after each step, which allows participants to be more effective in their learning process.</w:t>
      </w:r>
    </w:p>
    <w:p w14:paraId="0DA020E7" w14:textId="77777777" w:rsidR="00990CB8" w:rsidRPr="0096252B" w:rsidRDefault="002530F0">
      <w:pPr>
        <w:pStyle w:val="Heading2"/>
        <w:rPr>
          <w:rFonts w:ascii="Arial" w:eastAsia="Arial" w:hAnsi="Arial" w:cs="Arial"/>
        </w:rPr>
      </w:pPr>
      <w:bookmarkStart w:id="30" w:name="_Toc237076382"/>
      <w:r w:rsidRPr="0096252B">
        <w:rPr>
          <w:rFonts w:ascii="Arial" w:eastAsia="Arial" w:hAnsi="Arial" w:cs="Arial"/>
        </w:rPr>
        <w:t>10.4 Evaluation</w:t>
      </w:r>
      <w:bookmarkEnd w:id="30"/>
    </w:p>
    <w:p w14:paraId="531B0147" w14:textId="77777777" w:rsidR="00990CB8" w:rsidRPr="0096252B" w:rsidRDefault="002530F0">
      <w:pPr>
        <w:rPr>
          <w:rFonts w:ascii="Arial" w:eastAsia="Arial" w:hAnsi="Arial" w:cs="Arial"/>
        </w:rPr>
      </w:pPr>
      <w:r w:rsidRPr="0096252B">
        <w:rPr>
          <w:rFonts w:ascii="Arial" w:eastAsia="Arial" w:hAnsi="Arial" w:cs="Arial"/>
        </w:rPr>
        <w:t xml:space="preserve">It was a good experience overall as it helped me understand international marketing strategy and improved my research skills. I managed to incorporate theoretical explanations like PESTLE, Hofstede's model, STP and marketing mix with industry </w:t>
      </w:r>
      <w:r w:rsidRPr="0096252B">
        <w:rPr>
          <w:rFonts w:ascii="Arial" w:eastAsia="Arial" w:hAnsi="Arial" w:cs="Arial"/>
        </w:rPr>
        <w:lastRenderedPageBreak/>
        <w:t>evidence. The report also helped me to get a strong grasp on the skills of comparing developed and emerging markets, both quantitatively and qualitatively. The logical flow was difficult to make, and at times it was necessary to eliminate repeating arguments, though. Another challenge was to locate recent numbers that correlated with academic research, as the markets' information came from a variety of sources. Pieper et al. (2021) suggest that through reflective practice and ongoing feedback, the student gains more in their reflective skills and grades. Feedback throughout the writing process helped me to enhance the structure of my reports, correct my referencing and deepen my analysis.</w:t>
      </w:r>
    </w:p>
    <w:p w14:paraId="4E0CE5F2" w14:textId="77777777" w:rsidR="00990CB8" w:rsidRPr="0096252B" w:rsidRDefault="002530F0">
      <w:pPr>
        <w:pStyle w:val="Heading2"/>
        <w:rPr>
          <w:rFonts w:ascii="Arial" w:eastAsia="Arial" w:hAnsi="Arial" w:cs="Arial"/>
        </w:rPr>
      </w:pPr>
      <w:bookmarkStart w:id="31" w:name="_Toc237076383"/>
      <w:r w:rsidRPr="0096252B">
        <w:rPr>
          <w:rFonts w:ascii="Arial" w:eastAsia="Arial" w:hAnsi="Arial" w:cs="Arial"/>
        </w:rPr>
        <w:t>10.5 Analysis</w:t>
      </w:r>
      <w:bookmarkEnd w:id="31"/>
    </w:p>
    <w:p w14:paraId="5FDE56FE" w14:textId="77777777" w:rsidR="00990CB8" w:rsidRPr="0096252B" w:rsidRDefault="002530F0">
      <w:pPr>
        <w:rPr>
          <w:rFonts w:ascii="Arial" w:eastAsia="Arial" w:hAnsi="Arial" w:cs="Arial"/>
        </w:rPr>
      </w:pPr>
      <w:r w:rsidRPr="0096252B">
        <w:rPr>
          <w:rFonts w:ascii="Arial" w:eastAsia="Arial" w:hAnsi="Arial" w:cs="Arial"/>
        </w:rPr>
        <w:t>The creation of the report enhanced some transferable skills such as academic research, critical analysis, evaluating information and understanding international business. The correlation between the USA and India showed that there is a need to strike a balance between sophistication and local adaptation for successful international marketing. Academic literature and market statistics were also incorporated in the assessment, highlighting the need for evidence-led decision-making.</w:t>
      </w:r>
    </w:p>
    <w:p w14:paraId="6FBC458F" w14:textId="77777777" w:rsidR="00990CB8" w:rsidRPr="0096252B" w:rsidRDefault="002530F0">
      <w:pPr>
        <w:rPr>
          <w:rFonts w:ascii="Arial" w:eastAsia="Arial" w:hAnsi="Arial" w:cs="Arial"/>
        </w:rPr>
      </w:pPr>
      <w:r w:rsidRPr="0096252B">
        <w:rPr>
          <w:rFonts w:ascii="Arial" w:eastAsia="Arial" w:hAnsi="Arial" w:cs="Arial"/>
        </w:rPr>
        <w:t>Using Gibbs' reflective framework helped me to assess the learning process and the product. I understood that good academic writing involves planning, assessing work and constructing logical arguments. Time management was also a key learning point as the gathering of reliable numbers took longer than expected. Gibbs' Reflective Cycle has been used to challenge and motivate pupils' personal strengths, awareness of the need to improve and plans for future learning (</w:t>
      </w:r>
      <w:proofErr w:type="spellStart"/>
      <w:r w:rsidRPr="0096252B">
        <w:rPr>
          <w:rFonts w:ascii="Arial" w:eastAsia="Arial" w:hAnsi="Arial" w:cs="Arial"/>
        </w:rPr>
        <w:t>Octampo</w:t>
      </w:r>
      <w:proofErr w:type="spellEnd"/>
      <w:r w:rsidRPr="0096252B">
        <w:rPr>
          <w:rFonts w:ascii="Arial" w:eastAsia="Arial" w:hAnsi="Arial" w:cs="Arial"/>
        </w:rPr>
        <w:t xml:space="preserve"> et al. 2025). I have gained more confidence towards using marketing theories in real business scenarios and better analytical and problem-solving skills.</w:t>
      </w:r>
    </w:p>
    <w:p w14:paraId="24C55F62" w14:textId="77777777" w:rsidR="00990CB8" w:rsidRPr="0096252B" w:rsidRDefault="002530F0">
      <w:pPr>
        <w:pStyle w:val="Heading2"/>
        <w:rPr>
          <w:rFonts w:ascii="Arial" w:eastAsia="Arial" w:hAnsi="Arial" w:cs="Arial"/>
        </w:rPr>
      </w:pPr>
      <w:bookmarkStart w:id="32" w:name="_Toc237076384"/>
      <w:r w:rsidRPr="0096252B">
        <w:rPr>
          <w:rFonts w:ascii="Arial" w:eastAsia="Arial" w:hAnsi="Arial" w:cs="Arial"/>
        </w:rPr>
        <w:t>10.6 Conclusion</w:t>
      </w:r>
      <w:bookmarkEnd w:id="32"/>
    </w:p>
    <w:p w14:paraId="42E903C0" w14:textId="77777777" w:rsidR="00990CB8" w:rsidRPr="0096252B" w:rsidRDefault="002530F0">
      <w:pPr>
        <w:rPr>
          <w:rFonts w:ascii="Arial" w:eastAsia="Arial" w:hAnsi="Arial" w:cs="Arial"/>
        </w:rPr>
      </w:pPr>
      <w:r w:rsidRPr="0096252B">
        <w:rPr>
          <w:rFonts w:ascii="Arial" w:eastAsia="Arial" w:hAnsi="Arial" w:cs="Arial"/>
        </w:rPr>
        <w:t>Overall, completion of this assessment increased my knowledge of International Marketing and improved my academic research, analytical thinking and the ability to write reports. Reflective practice helped me identify the value of considering things critically, planning their structure and carrying them out for continuous improvement when working on complex business reports. I also acquired more confidence in understanding and analysing industry data and applying theoretical applications to real-life organisational applications that will benefit me in my academic studies as well as in my career.</w:t>
      </w:r>
    </w:p>
    <w:p w14:paraId="0041ABBB" w14:textId="77777777" w:rsidR="00990CB8" w:rsidRPr="0096252B" w:rsidRDefault="002530F0">
      <w:pPr>
        <w:pStyle w:val="Heading2"/>
        <w:rPr>
          <w:rFonts w:ascii="Arial" w:eastAsia="Arial" w:hAnsi="Arial" w:cs="Arial"/>
        </w:rPr>
      </w:pPr>
      <w:bookmarkStart w:id="33" w:name="_Toc237076385"/>
      <w:r w:rsidRPr="0096252B">
        <w:rPr>
          <w:rFonts w:ascii="Arial" w:eastAsia="Arial" w:hAnsi="Arial" w:cs="Arial"/>
        </w:rPr>
        <w:lastRenderedPageBreak/>
        <w:t>10.7 Action Plan</w:t>
      </w:r>
      <w:bookmarkEnd w:id="33"/>
    </w:p>
    <w:p w14:paraId="7265C347" w14:textId="77777777" w:rsidR="00990CB8" w:rsidRDefault="002530F0">
      <w:pPr>
        <w:rPr>
          <w:rFonts w:ascii="Arial" w:eastAsia="Arial" w:hAnsi="Arial" w:cs="Arial"/>
        </w:rPr>
      </w:pPr>
      <w:r w:rsidRPr="0096252B">
        <w:rPr>
          <w:rFonts w:ascii="Arial" w:eastAsia="Arial" w:hAnsi="Arial" w:cs="Arial"/>
        </w:rPr>
        <w:t>In my academic work, I will plan to make better use of my research and analytical skills to increase my chance of doing well by reading more and more peer-reviewed journal articles prior to starting each assignment. I will also develop time management skills by preparing a proper study plan which will accommodate adequate time devoted to literature review, data analysis &amp; revision of reports. In addition, I will practice my critical writing ability through asking for feedback from academic staff regularly, as well as reflecting on the evaluation of the work. Finally, I will gain a wider understanding of international marketing by watching the latest worldwide industry publications and trends. All actions will help enhance the quality of my future assignment work and bolster my professional skills in international business and marketing.</w:t>
      </w:r>
      <w:r>
        <w:br w:type="page"/>
      </w:r>
    </w:p>
    <w:p w14:paraId="45016A4A" w14:textId="77777777" w:rsidR="00990CB8" w:rsidRDefault="002530F0">
      <w:pPr>
        <w:pStyle w:val="Heading1"/>
        <w:rPr>
          <w:rFonts w:ascii="Arial" w:eastAsia="Arial" w:hAnsi="Arial" w:cs="Arial"/>
        </w:rPr>
      </w:pPr>
      <w:bookmarkStart w:id="34" w:name="_Toc237076386"/>
      <w:r>
        <w:rPr>
          <w:rFonts w:ascii="Arial" w:eastAsia="Arial" w:hAnsi="Arial" w:cs="Arial"/>
        </w:rPr>
        <w:lastRenderedPageBreak/>
        <w:t>References</w:t>
      </w:r>
      <w:bookmarkEnd w:id="34"/>
    </w:p>
    <w:p w14:paraId="283740BD" w14:textId="77777777" w:rsidR="0096252B" w:rsidRPr="0096252B" w:rsidRDefault="0096252B">
      <w:pPr>
        <w:spacing w:after="240"/>
        <w:rPr>
          <w:rFonts w:ascii="Arial" w:eastAsia="Arial" w:hAnsi="Arial" w:cs="Arial"/>
        </w:rPr>
      </w:pPr>
      <w:r w:rsidRPr="0096252B">
        <w:rPr>
          <w:rFonts w:ascii="Arial" w:eastAsia="Arial" w:hAnsi="Arial" w:cs="Arial"/>
        </w:rPr>
        <w:t>Ahmadpour, N., Shariati, A. and Moghadam, M.P., (2025). Effect of narrative writing based on Gibbs’ reflective model on the empathy and communication skills of nursing students. </w:t>
      </w:r>
      <w:r w:rsidRPr="0096252B">
        <w:rPr>
          <w:rFonts w:ascii="Arial" w:eastAsia="Arial" w:hAnsi="Arial" w:cs="Arial"/>
          <w:i/>
          <w:iCs/>
        </w:rPr>
        <w:t>BMC medical education</w:t>
      </w:r>
      <w:r w:rsidRPr="0096252B">
        <w:rPr>
          <w:rFonts w:ascii="Arial" w:eastAsia="Arial" w:hAnsi="Arial" w:cs="Arial"/>
        </w:rPr>
        <w:t>, </w:t>
      </w:r>
      <w:r w:rsidRPr="0096252B">
        <w:rPr>
          <w:rFonts w:ascii="Arial" w:eastAsia="Arial" w:hAnsi="Arial" w:cs="Arial"/>
          <w:i/>
          <w:iCs/>
        </w:rPr>
        <w:t>25</w:t>
      </w:r>
      <w:r w:rsidRPr="0096252B">
        <w:rPr>
          <w:rFonts w:ascii="Arial" w:eastAsia="Arial" w:hAnsi="Arial" w:cs="Arial"/>
        </w:rPr>
        <w:t xml:space="preserve">(1), p.10. </w:t>
      </w:r>
      <w:hyperlink r:id="rId15">
        <w:r w:rsidRPr="0096252B">
          <w:rPr>
            <w:rFonts w:ascii="Arial" w:eastAsia="Arial" w:hAnsi="Arial" w:cs="Arial"/>
            <w:color w:val="0000FF"/>
            <w:u w:val="single"/>
          </w:rPr>
          <w:t>https://link.springer.com/article/10.1186/s12909-024-06593-7</w:t>
        </w:r>
      </w:hyperlink>
    </w:p>
    <w:p w14:paraId="6ABB58A4" w14:textId="77777777" w:rsidR="0096252B" w:rsidRPr="0096252B" w:rsidRDefault="0096252B">
      <w:pPr>
        <w:spacing w:after="240"/>
        <w:rPr>
          <w:rFonts w:ascii="Arial" w:eastAsia="Arial" w:hAnsi="Arial" w:cs="Arial"/>
        </w:rPr>
      </w:pPr>
      <w:r w:rsidRPr="0096252B">
        <w:rPr>
          <w:rFonts w:ascii="Arial" w:eastAsia="Arial" w:hAnsi="Arial" w:cs="Arial"/>
        </w:rPr>
        <w:t xml:space="preserve">BEA, (2026). </w:t>
      </w:r>
      <w:r w:rsidRPr="0096252B">
        <w:rPr>
          <w:rFonts w:ascii="Arial" w:eastAsia="Arial" w:hAnsi="Arial" w:cs="Arial"/>
          <w:i/>
          <w:iCs/>
        </w:rPr>
        <w:t>U.S. Bureau of Economic Analysis (BEA)</w:t>
      </w:r>
      <w:r w:rsidRPr="0096252B">
        <w:rPr>
          <w:rFonts w:ascii="Arial" w:eastAsia="Arial" w:hAnsi="Arial" w:cs="Arial"/>
        </w:rPr>
        <w:t xml:space="preserve">. Available at: </w:t>
      </w:r>
      <w:hyperlink r:id="rId16">
        <w:r w:rsidRPr="0096252B">
          <w:rPr>
            <w:rFonts w:ascii="Arial" w:eastAsia="Arial" w:hAnsi="Arial" w:cs="Arial"/>
            <w:color w:val="0000FF"/>
            <w:u w:val="single"/>
          </w:rPr>
          <w:t>https://www.bea.gov/</w:t>
        </w:r>
      </w:hyperlink>
    </w:p>
    <w:p w14:paraId="30447E72"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Chowdhury, J.S. and Hatta, Z., (2024). PHD as Pizza Hut Delivering </w:t>
      </w:r>
      <w:proofErr w:type="spellStart"/>
      <w:proofErr w:type="gramStart"/>
      <w:r w:rsidRPr="0096252B">
        <w:rPr>
          <w:rFonts w:ascii="Arial" w:eastAsia="Arial" w:hAnsi="Arial" w:cs="Arial"/>
          <w:color w:val="222222"/>
          <w:highlight w:val="white"/>
        </w:rPr>
        <w:t>Model:‘</w:t>
      </w:r>
      <w:proofErr w:type="gramEnd"/>
      <w:r w:rsidRPr="0096252B">
        <w:rPr>
          <w:rFonts w:ascii="Arial" w:eastAsia="Arial" w:hAnsi="Arial" w:cs="Arial"/>
          <w:color w:val="222222"/>
          <w:highlight w:val="white"/>
        </w:rPr>
        <w:t>Righting</w:t>
      </w:r>
      <w:proofErr w:type="spellEnd"/>
      <w:r w:rsidRPr="0096252B">
        <w:rPr>
          <w:rFonts w:ascii="Arial" w:eastAsia="Arial" w:hAnsi="Arial" w:cs="Arial"/>
          <w:color w:val="222222"/>
          <w:highlight w:val="white"/>
        </w:rPr>
        <w:t xml:space="preserve"> </w:t>
      </w:r>
      <w:proofErr w:type="spellStart"/>
      <w:r w:rsidRPr="0096252B">
        <w:rPr>
          <w:rFonts w:ascii="Arial" w:eastAsia="Arial" w:hAnsi="Arial" w:cs="Arial"/>
          <w:color w:val="222222"/>
          <w:highlight w:val="white"/>
        </w:rPr>
        <w:t>Wrongs!’How</w:t>
      </w:r>
      <w:proofErr w:type="spellEnd"/>
      <w:r w:rsidRPr="0096252B">
        <w:rPr>
          <w:rFonts w:ascii="Arial" w:eastAsia="Arial" w:hAnsi="Arial" w:cs="Arial"/>
          <w:color w:val="222222"/>
          <w:highlight w:val="white"/>
        </w:rPr>
        <w:t xml:space="preserve"> </w:t>
      </w:r>
      <w:proofErr w:type="gramStart"/>
      <w:r w:rsidRPr="0096252B">
        <w:rPr>
          <w:rFonts w:ascii="Arial" w:eastAsia="Arial" w:hAnsi="Arial" w:cs="Arial"/>
          <w:color w:val="222222"/>
          <w:highlight w:val="white"/>
        </w:rPr>
        <w:t>Long!.</w:t>
      </w:r>
      <w:proofErr w:type="gramEnd"/>
      <w:r w:rsidRPr="0096252B">
        <w:rPr>
          <w:rFonts w:ascii="Arial" w:eastAsia="Arial" w:hAnsi="Arial" w:cs="Arial"/>
          <w:color w:val="222222"/>
          <w:highlight w:val="white"/>
        </w:rPr>
        <w:t> </w:t>
      </w:r>
      <w:r w:rsidRPr="0096252B">
        <w:rPr>
          <w:rFonts w:ascii="Arial" w:eastAsia="Arial" w:hAnsi="Arial" w:cs="Arial"/>
          <w:i/>
          <w:iCs/>
          <w:color w:val="222222"/>
          <w:highlight w:val="white"/>
        </w:rPr>
        <w:t>INTERNATIONAL JOURNAL OF ACADEMIC RESEARCH IN BUSINESS AND SOCIAL SCIENCES</w:t>
      </w:r>
      <w:r w:rsidRPr="0096252B">
        <w:rPr>
          <w:rFonts w:ascii="Arial" w:eastAsia="Arial" w:hAnsi="Arial" w:cs="Arial"/>
          <w:color w:val="222222"/>
          <w:highlight w:val="white"/>
        </w:rPr>
        <w:t>, </w:t>
      </w:r>
      <w:r w:rsidRPr="0096252B">
        <w:rPr>
          <w:rFonts w:ascii="Arial" w:eastAsia="Arial" w:hAnsi="Arial" w:cs="Arial"/>
          <w:i/>
          <w:iCs/>
          <w:color w:val="222222"/>
          <w:highlight w:val="white"/>
        </w:rPr>
        <w:t>14</w:t>
      </w:r>
      <w:r w:rsidRPr="0096252B">
        <w:rPr>
          <w:rFonts w:ascii="Arial" w:eastAsia="Arial" w:hAnsi="Arial" w:cs="Arial"/>
          <w:color w:val="222222"/>
          <w:highlight w:val="white"/>
        </w:rPr>
        <w:t xml:space="preserve">(8). </w:t>
      </w:r>
      <w:hyperlink r:id="rId17">
        <w:r w:rsidRPr="0096252B">
          <w:rPr>
            <w:rFonts w:ascii="Arial" w:eastAsia="Arial" w:hAnsi="Arial" w:cs="Arial"/>
            <w:color w:val="0000FF"/>
            <w:highlight w:val="white"/>
            <w:u w:val="single"/>
          </w:rPr>
          <w:t>https://www.researchgate.net/profile/Jahid-Siraz/publication/383501361_PHD_as_Pizza_Hut_Delivering_Model_'Righting_Wrongs'_How_Long/links/66d2fd472390e50b2c21e39f/PHD-as-Pizza-Hut-Delivering-Model-Righting-Wrongs-How-Long.pdf</w:t>
        </w:r>
      </w:hyperlink>
    </w:p>
    <w:p w14:paraId="4EB3A059" w14:textId="77777777" w:rsidR="0096252B" w:rsidRPr="0096252B" w:rsidRDefault="0096252B">
      <w:pPr>
        <w:spacing w:after="240"/>
        <w:rPr>
          <w:rFonts w:ascii="Arial" w:eastAsia="Arial" w:hAnsi="Arial" w:cs="Arial"/>
        </w:rPr>
      </w:pPr>
      <w:r w:rsidRPr="0096252B">
        <w:rPr>
          <w:rFonts w:ascii="Arial" w:eastAsia="Arial" w:hAnsi="Arial" w:cs="Arial"/>
        </w:rPr>
        <w:t xml:space="preserve">DA, (2026). </w:t>
      </w:r>
      <w:r w:rsidRPr="0096252B">
        <w:rPr>
          <w:rFonts w:ascii="Arial" w:eastAsia="Arial" w:hAnsi="Arial" w:cs="Arial"/>
          <w:i/>
          <w:iCs/>
        </w:rPr>
        <w:t xml:space="preserve">India Quick Service Restaurants (QSR) Market Size, Share. </w:t>
      </w:r>
      <w:r w:rsidRPr="0096252B">
        <w:rPr>
          <w:rFonts w:ascii="Arial" w:eastAsia="Arial" w:hAnsi="Arial" w:cs="Arial"/>
        </w:rPr>
        <w:t xml:space="preserve">Available at: </w:t>
      </w:r>
      <w:hyperlink r:id="rId18">
        <w:r w:rsidRPr="0096252B">
          <w:rPr>
            <w:rFonts w:ascii="Arial" w:eastAsia="Arial" w:hAnsi="Arial" w:cs="Arial"/>
            <w:color w:val="0000FF"/>
            <w:u w:val="single"/>
          </w:rPr>
          <w:t>https://www.decisionsadvisors.com/reports/india-quick-service-restaurants-qsr-market</w:t>
        </w:r>
      </w:hyperlink>
      <w:r w:rsidRPr="0096252B">
        <w:rPr>
          <w:rFonts w:ascii="Arial" w:eastAsia="Arial" w:hAnsi="Arial" w:cs="Arial"/>
        </w:rPr>
        <w:t xml:space="preserve"> [Accessed on 01.08.2026].</w:t>
      </w:r>
    </w:p>
    <w:p w14:paraId="5C1B545E"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de Silva, S.A.S., (2025). Experiencing Pizza Hut: The Role of Experiential Marketing in Shaping Customer Satisfaction in Sri Lanka. </w:t>
      </w:r>
      <w:r w:rsidRPr="0096252B">
        <w:rPr>
          <w:rFonts w:ascii="Arial" w:eastAsia="Arial" w:hAnsi="Arial" w:cs="Arial"/>
          <w:i/>
          <w:iCs/>
          <w:color w:val="222222"/>
          <w:highlight w:val="white"/>
        </w:rPr>
        <w:t>Sri Lanka Journal of Marketing</w:t>
      </w:r>
      <w:r w:rsidRPr="0096252B">
        <w:rPr>
          <w:rFonts w:ascii="Arial" w:eastAsia="Arial" w:hAnsi="Arial" w:cs="Arial"/>
          <w:color w:val="222222"/>
          <w:highlight w:val="white"/>
        </w:rPr>
        <w:t>, </w:t>
      </w:r>
      <w:r w:rsidRPr="0096252B">
        <w:rPr>
          <w:rFonts w:ascii="Arial" w:eastAsia="Arial" w:hAnsi="Arial" w:cs="Arial"/>
          <w:i/>
          <w:iCs/>
          <w:color w:val="222222"/>
          <w:highlight w:val="white"/>
        </w:rPr>
        <w:t>11</w:t>
      </w:r>
      <w:r w:rsidRPr="0096252B">
        <w:rPr>
          <w:rFonts w:ascii="Arial" w:eastAsia="Arial" w:hAnsi="Arial" w:cs="Arial"/>
          <w:color w:val="222222"/>
          <w:highlight w:val="white"/>
        </w:rPr>
        <w:t xml:space="preserve">(1). </w:t>
      </w:r>
      <w:hyperlink r:id="rId19">
        <w:r w:rsidRPr="0096252B">
          <w:rPr>
            <w:rFonts w:ascii="Arial" w:eastAsia="Arial" w:hAnsi="Arial" w:cs="Arial"/>
            <w:color w:val="0000FF"/>
            <w:highlight w:val="white"/>
            <w:u w:val="single"/>
          </w:rPr>
          <w:t>https://sljmuok.sljol.info/en/articles/10.4038/sljmuok.v11i1.206</w:t>
        </w:r>
      </w:hyperlink>
    </w:p>
    <w:p w14:paraId="1F80726B"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Devendra, S., (2023). Impact of Mobile Marketing on Brand Equity </w:t>
      </w:r>
      <w:proofErr w:type="gramStart"/>
      <w:r w:rsidRPr="0096252B">
        <w:rPr>
          <w:rFonts w:ascii="Arial" w:eastAsia="Arial" w:hAnsi="Arial" w:cs="Arial"/>
          <w:color w:val="222222"/>
          <w:highlight w:val="white"/>
        </w:rPr>
        <w:t>With</w:t>
      </w:r>
      <w:proofErr w:type="gramEnd"/>
      <w:r w:rsidRPr="0096252B">
        <w:rPr>
          <w:rFonts w:ascii="Arial" w:eastAsia="Arial" w:hAnsi="Arial" w:cs="Arial"/>
          <w:color w:val="222222"/>
          <w:highlight w:val="white"/>
        </w:rPr>
        <w:t xml:space="preserve"> Special Reference to Pizza Hut Sri Lanka. </w:t>
      </w:r>
      <w:r w:rsidRPr="0096252B">
        <w:rPr>
          <w:rFonts w:ascii="Arial" w:eastAsia="Arial" w:hAnsi="Arial" w:cs="Arial"/>
          <w:i/>
          <w:iCs/>
          <w:color w:val="222222"/>
          <w:highlight w:val="white"/>
        </w:rPr>
        <w:t>International Journal of Advance Research and Innovative Ideas in Education</w:t>
      </w:r>
      <w:r w:rsidRPr="0096252B">
        <w:rPr>
          <w:rFonts w:ascii="Arial" w:eastAsia="Arial" w:hAnsi="Arial" w:cs="Arial"/>
          <w:color w:val="222222"/>
          <w:highlight w:val="white"/>
        </w:rPr>
        <w:t>, </w:t>
      </w:r>
      <w:r w:rsidRPr="0096252B">
        <w:rPr>
          <w:rFonts w:ascii="Arial" w:eastAsia="Arial" w:hAnsi="Arial" w:cs="Arial"/>
          <w:i/>
          <w:iCs/>
          <w:color w:val="222222"/>
          <w:highlight w:val="white"/>
        </w:rPr>
        <w:t>9</w:t>
      </w:r>
      <w:r w:rsidRPr="0096252B">
        <w:rPr>
          <w:rFonts w:ascii="Arial" w:eastAsia="Arial" w:hAnsi="Arial" w:cs="Arial"/>
          <w:color w:val="222222"/>
          <w:highlight w:val="white"/>
        </w:rPr>
        <w:t xml:space="preserve">(2), pp.207-214. </w:t>
      </w:r>
      <w:hyperlink r:id="rId20">
        <w:r w:rsidRPr="0096252B">
          <w:rPr>
            <w:rFonts w:ascii="Arial" w:eastAsia="Arial" w:hAnsi="Arial" w:cs="Arial"/>
            <w:color w:val="0000FF"/>
            <w:highlight w:val="white"/>
            <w:u w:val="single"/>
          </w:rPr>
          <w:t>https://www.researchgate.net/profile/Saraniya-Devendra/publication/369691964_IMPACT_OF_MOBILE_MARKETING_ON_BRAND_EQUITY_WITH_SPECIAL_REFERENCE_TO_PIZZA_HUT_SRI_LANKA/links/6427f3c9315dfb4ccec3633f/IMPACT-OF-MOBILE-MARKETING-ON-BRAND-EQUITY-WITH-SPECIAL-REFERENCE-TO-PIZZA-HUT-SRI-LANKA.pdf</w:t>
        </w:r>
      </w:hyperlink>
    </w:p>
    <w:p w14:paraId="1DB2254D"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lastRenderedPageBreak/>
        <w:t>Fahmi, I., (2024). Analysis of the Frequency of Consumer Visits to Pizza Hut Fast Food Restaurants in Banda Aceh City. </w:t>
      </w:r>
      <w:r w:rsidRPr="0096252B">
        <w:rPr>
          <w:rFonts w:ascii="Arial" w:eastAsia="Arial" w:hAnsi="Arial" w:cs="Arial"/>
          <w:i/>
          <w:iCs/>
          <w:color w:val="222222"/>
          <w:highlight w:val="white"/>
        </w:rPr>
        <w:t>Indonesian Journal Economic Review</w:t>
      </w:r>
      <w:r w:rsidRPr="0096252B">
        <w:rPr>
          <w:rFonts w:ascii="Arial" w:eastAsia="Arial" w:hAnsi="Arial" w:cs="Arial"/>
          <w:color w:val="222222"/>
          <w:highlight w:val="white"/>
        </w:rPr>
        <w:t>, </w:t>
      </w:r>
      <w:r w:rsidRPr="0096252B">
        <w:rPr>
          <w:rFonts w:ascii="Arial" w:eastAsia="Arial" w:hAnsi="Arial" w:cs="Arial"/>
          <w:i/>
          <w:iCs/>
          <w:color w:val="222222"/>
          <w:highlight w:val="white"/>
        </w:rPr>
        <w:t>4</w:t>
      </w:r>
      <w:r w:rsidRPr="0096252B">
        <w:rPr>
          <w:rFonts w:ascii="Arial" w:eastAsia="Arial" w:hAnsi="Arial" w:cs="Arial"/>
          <w:color w:val="222222"/>
          <w:highlight w:val="white"/>
        </w:rPr>
        <w:t xml:space="preserve">(1), pp.33-41. </w:t>
      </w:r>
      <w:hyperlink r:id="rId21">
        <w:r w:rsidRPr="0096252B">
          <w:rPr>
            <w:rFonts w:ascii="Arial" w:eastAsia="Arial" w:hAnsi="Arial" w:cs="Arial"/>
            <w:color w:val="0000FF"/>
            <w:highlight w:val="white"/>
            <w:u w:val="single"/>
          </w:rPr>
          <w:t>http://journal.msti-indonesia.com/index.php/ijer/article/view/333</w:t>
        </w:r>
      </w:hyperlink>
    </w:p>
    <w:p w14:paraId="564DB7D0" w14:textId="77777777" w:rsidR="0096252B" w:rsidRPr="0096252B" w:rsidRDefault="0096252B">
      <w:pPr>
        <w:spacing w:after="240"/>
        <w:rPr>
          <w:rFonts w:ascii="Arial" w:eastAsia="Arial" w:hAnsi="Arial" w:cs="Arial"/>
        </w:rPr>
      </w:pPr>
      <w:r w:rsidRPr="0096252B">
        <w:rPr>
          <w:rFonts w:ascii="Arial" w:eastAsia="Arial" w:hAnsi="Arial" w:cs="Arial"/>
        </w:rPr>
        <w:t xml:space="preserve">Forbes, (2025). </w:t>
      </w:r>
      <w:r w:rsidRPr="0096252B">
        <w:rPr>
          <w:rFonts w:ascii="Arial" w:eastAsia="Arial" w:hAnsi="Arial" w:cs="Arial"/>
          <w:i/>
          <w:iCs/>
        </w:rPr>
        <w:t xml:space="preserve">Top 2025 QSR Trends: </w:t>
      </w:r>
      <w:proofErr w:type="gramStart"/>
      <w:r w:rsidRPr="0096252B">
        <w:rPr>
          <w:rFonts w:ascii="Arial" w:eastAsia="Arial" w:hAnsi="Arial" w:cs="Arial"/>
          <w:i/>
          <w:iCs/>
        </w:rPr>
        <w:t>AI ,</w:t>
      </w:r>
      <w:proofErr w:type="gramEnd"/>
      <w:r w:rsidRPr="0096252B">
        <w:rPr>
          <w:rFonts w:ascii="Arial" w:eastAsia="Arial" w:hAnsi="Arial" w:cs="Arial"/>
          <w:i/>
          <w:iCs/>
        </w:rPr>
        <w:t xml:space="preserve"> Global Flavors. </w:t>
      </w:r>
      <w:r w:rsidRPr="0096252B">
        <w:rPr>
          <w:rFonts w:ascii="Arial" w:eastAsia="Arial" w:hAnsi="Arial" w:cs="Arial"/>
        </w:rPr>
        <w:t xml:space="preserve">Available at: </w:t>
      </w:r>
      <w:hyperlink r:id="rId22">
        <w:r w:rsidRPr="0096252B">
          <w:rPr>
            <w:rFonts w:ascii="Arial" w:eastAsia="Arial" w:hAnsi="Arial" w:cs="Arial"/>
            <w:color w:val="0000FF"/>
            <w:u w:val="single"/>
          </w:rPr>
          <w:t>https://www.forbes.com/sites/garyocchiogrosso/2025/01/15/top-2025-qsr-trends-ai--global-flavors-and-experiential-dining/</w:t>
        </w:r>
      </w:hyperlink>
      <w:r w:rsidRPr="0096252B">
        <w:rPr>
          <w:rFonts w:ascii="Arial" w:eastAsia="Arial" w:hAnsi="Arial" w:cs="Arial"/>
        </w:rPr>
        <w:t xml:space="preserve"> [Accessed on 05.08.2026].</w:t>
      </w:r>
    </w:p>
    <w:p w14:paraId="7E919348" w14:textId="77777777" w:rsidR="0096252B" w:rsidRPr="0096252B" w:rsidRDefault="0096252B">
      <w:pPr>
        <w:spacing w:after="240"/>
        <w:rPr>
          <w:rFonts w:ascii="Arial" w:eastAsia="Arial" w:hAnsi="Arial" w:cs="Arial"/>
        </w:rPr>
      </w:pPr>
      <w:proofErr w:type="spellStart"/>
      <w:r w:rsidRPr="0096252B">
        <w:rPr>
          <w:rFonts w:ascii="Arial" w:eastAsia="Arial" w:hAnsi="Arial" w:cs="Arial"/>
          <w:color w:val="222222"/>
          <w:highlight w:val="white"/>
        </w:rPr>
        <w:t>Fudjaja</w:t>
      </w:r>
      <w:proofErr w:type="spellEnd"/>
      <w:r w:rsidRPr="0096252B">
        <w:rPr>
          <w:rFonts w:ascii="Arial" w:eastAsia="Arial" w:hAnsi="Arial" w:cs="Arial"/>
          <w:color w:val="222222"/>
          <w:highlight w:val="white"/>
        </w:rPr>
        <w:t>, L., Amiruddin, A., Darma, R., Putri, A.S. and Nie, F., (2024), October. Paprika farmer partnership pattern with Pizza Hut. In </w:t>
      </w:r>
      <w:r w:rsidRPr="0096252B">
        <w:rPr>
          <w:rFonts w:ascii="Arial" w:eastAsia="Arial" w:hAnsi="Arial" w:cs="Arial"/>
          <w:i/>
          <w:iCs/>
          <w:color w:val="222222"/>
          <w:highlight w:val="white"/>
        </w:rPr>
        <w:t>AIP Conference Proceedings</w:t>
      </w:r>
      <w:r w:rsidRPr="0096252B">
        <w:rPr>
          <w:rFonts w:ascii="Arial" w:eastAsia="Arial" w:hAnsi="Arial" w:cs="Arial"/>
          <w:color w:val="222222"/>
          <w:highlight w:val="white"/>
        </w:rPr>
        <w:t xml:space="preserve"> (Vol. 3098, No. 1, p. 040023). AIP Publishing LLC. </w:t>
      </w:r>
      <w:hyperlink r:id="rId23">
        <w:r w:rsidRPr="0096252B">
          <w:rPr>
            <w:rFonts w:ascii="Arial" w:eastAsia="Arial" w:hAnsi="Arial" w:cs="Arial"/>
            <w:color w:val="0000FF"/>
            <w:highlight w:val="white"/>
            <w:u w:val="single"/>
          </w:rPr>
          <w:t>https://pubs.aip.org/aip/acp/article-abstract/3098/1/040023/3318016</w:t>
        </w:r>
      </w:hyperlink>
    </w:p>
    <w:p w14:paraId="31CC2080" w14:textId="77777777" w:rsidR="0096252B" w:rsidRPr="0096252B" w:rsidRDefault="0096252B">
      <w:pPr>
        <w:spacing w:after="240"/>
        <w:rPr>
          <w:rFonts w:ascii="Arial" w:eastAsia="Arial" w:hAnsi="Arial" w:cs="Arial"/>
        </w:rPr>
      </w:pPr>
      <w:r w:rsidRPr="0096252B">
        <w:rPr>
          <w:rFonts w:ascii="Arial" w:eastAsia="Arial" w:hAnsi="Arial" w:cs="Arial"/>
        </w:rPr>
        <w:t xml:space="preserve">GVR, (2026). </w:t>
      </w:r>
      <w:r w:rsidRPr="0096252B">
        <w:rPr>
          <w:rFonts w:ascii="Arial" w:eastAsia="Arial" w:hAnsi="Arial" w:cs="Arial"/>
          <w:i/>
          <w:iCs/>
        </w:rPr>
        <w:t xml:space="preserve">American - Fast food &amp; quick service restaurant market. </w:t>
      </w:r>
      <w:r w:rsidRPr="0096252B">
        <w:rPr>
          <w:rFonts w:ascii="Arial" w:eastAsia="Arial" w:hAnsi="Arial" w:cs="Arial"/>
        </w:rPr>
        <w:t xml:space="preserve">Available at: </w:t>
      </w:r>
      <w:hyperlink r:id="rId24">
        <w:r w:rsidRPr="0096252B">
          <w:rPr>
            <w:rFonts w:ascii="Arial" w:eastAsia="Arial" w:hAnsi="Arial" w:cs="Arial"/>
            <w:color w:val="0000FF"/>
            <w:u w:val="single"/>
          </w:rPr>
          <w:t>https://www.grandviewresearch.com/horizon/statistics/fast-food-quick-service-restaurant-market/cuisine/american/global</w:t>
        </w:r>
      </w:hyperlink>
      <w:r w:rsidRPr="0096252B">
        <w:rPr>
          <w:rFonts w:ascii="Arial" w:eastAsia="Arial" w:hAnsi="Arial" w:cs="Arial"/>
        </w:rPr>
        <w:t xml:space="preserve"> [Accessed on 03.08.2026].</w:t>
      </w:r>
    </w:p>
    <w:p w14:paraId="7F07A557" w14:textId="77777777" w:rsidR="0096252B" w:rsidRPr="0096252B" w:rsidRDefault="0096252B">
      <w:pPr>
        <w:spacing w:after="240"/>
        <w:rPr>
          <w:rFonts w:ascii="Arial" w:eastAsia="Arial" w:hAnsi="Arial" w:cs="Arial"/>
        </w:rPr>
      </w:pPr>
      <w:r w:rsidRPr="0096252B">
        <w:rPr>
          <w:rFonts w:ascii="Arial" w:eastAsia="Arial" w:hAnsi="Arial" w:cs="Arial"/>
        </w:rPr>
        <w:t xml:space="preserve">GVR, (2026). </w:t>
      </w:r>
      <w:r w:rsidRPr="0096252B">
        <w:rPr>
          <w:rFonts w:ascii="Arial" w:eastAsia="Arial" w:hAnsi="Arial" w:cs="Arial"/>
          <w:i/>
          <w:iCs/>
        </w:rPr>
        <w:t xml:space="preserve">India Quick Service Restaurant Market Size &amp; Growth to 2031. </w:t>
      </w:r>
      <w:r w:rsidRPr="0096252B">
        <w:rPr>
          <w:rFonts w:ascii="Arial" w:eastAsia="Arial" w:hAnsi="Arial" w:cs="Arial"/>
        </w:rPr>
        <w:t xml:space="preserve">Available at: </w:t>
      </w:r>
      <w:hyperlink r:id="rId25">
        <w:r w:rsidRPr="0096252B">
          <w:rPr>
            <w:rFonts w:ascii="Arial" w:eastAsia="Arial" w:hAnsi="Arial" w:cs="Arial"/>
            <w:color w:val="0000FF"/>
            <w:u w:val="single"/>
          </w:rPr>
          <w:t>https://www.mordorintelligence.com/industry-reports/india-quick-service-restaurant-market</w:t>
        </w:r>
      </w:hyperlink>
      <w:r w:rsidRPr="0096252B">
        <w:rPr>
          <w:rFonts w:ascii="Arial" w:eastAsia="Arial" w:hAnsi="Arial" w:cs="Arial"/>
        </w:rPr>
        <w:t xml:space="preserve"> [Accessed on 05.08.2026].</w:t>
      </w:r>
    </w:p>
    <w:p w14:paraId="635EE873"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Hidayah, T. and Al Hibran, A., (2023), July. Analysis Of Factor Influencing Consumer Buying Interest </w:t>
      </w:r>
      <w:proofErr w:type="gramStart"/>
      <w:r w:rsidRPr="0096252B">
        <w:rPr>
          <w:rFonts w:ascii="Arial" w:eastAsia="Arial" w:hAnsi="Arial" w:cs="Arial"/>
          <w:color w:val="222222"/>
          <w:highlight w:val="white"/>
        </w:rPr>
        <w:t>At</w:t>
      </w:r>
      <w:proofErr w:type="gramEnd"/>
      <w:r w:rsidRPr="0096252B">
        <w:rPr>
          <w:rFonts w:ascii="Arial" w:eastAsia="Arial" w:hAnsi="Arial" w:cs="Arial"/>
          <w:color w:val="222222"/>
          <w:highlight w:val="white"/>
        </w:rPr>
        <w:t xml:space="preserve"> Pizza Hut Restaurant Jember. In </w:t>
      </w:r>
      <w:r w:rsidRPr="0096252B">
        <w:rPr>
          <w:rFonts w:ascii="Arial" w:eastAsia="Arial" w:hAnsi="Arial" w:cs="Arial"/>
          <w:i/>
          <w:iCs/>
          <w:color w:val="222222"/>
          <w:highlight w:val="white"/>
        </w:rPr>
        <w:t>Proceeding International Conference on Economics, Business and Information Technology</w:t>
      </w:r>
      <w:r w:rsidRPr="0096252B">
        <w:rPr>
          <w:rFonts w:ascii="Arial" w:eastAsia="Arial" w:hAnsi="Arial" w:cs="Arial"/>
          <w:color w:val="222222"/>
          <w:highlight w:val="white"/>
        </w:rPr>
        <w:t xml:space="preserve"> (Vol. 4, pp. 637-642). </w:t>
      </w:r>
      <w:hyperlink r:id="rId26">
        <w:r w:rsidRPr="0096252B">
          <w:rPr>
            <w:rFonts w:ascii="Arial" w:eastAsia="Arial" w:hAnsi="Arial" w:cs="Arial"/>
            <w:color w:val="0000FF"/>
            <w:highlight w:val="white"/>
            <w:u w:val="single"/>
          </w:rPr>
          <w:t>http://jurnal.itsm.ac.id/index.php/eproceeding/article/view/804</w:t>
        </w:r>
      </w:hyperlink>
    </w:p>
    <w:p w14:paraId="4B0868B5" w14:textId="77777777" w:rsidR="0096252B" w:rsidRPr="0096252B" w:rsidRDefault="0096252B">
      <w:pPr>
        <w:spacing w:after="240"/>
        <w:rPr>
          <w:rFonts w:ascii="Arial" w:eastAsia="Arial" w:hAnsi="Arial" w:cs="Arial"/>
        </w:rPr>
      </w:pPr>
      <w:r w:rsidRPr="0096252B">
        <w:rPr>
          <w:rFonts w:ascii="Arial" w:eastAsia="Arial" w:hAnsi="Arial" w:cs="Arial"/>
        </w:rPr>
        <w:t xml:space="preserve">IBEF, (2026). </w:t>
      </w:r>
      <w:r w:rsidRPr="0096252B">
        <w:rPr>
          <w:rFonts w:ascii="Arial" w:eastAsia="Arial" w:hAnsi="Arial" w:cs="Arial"/>
          <w:i/>
          <w:iCs/>
        </w:rPr>
        <w:t>ICRA projects about 20-25% growth for India's quick service restaurant industry.</w:t>
      </w:r>
      <w:r w:rsidRPr="0096252B">
        <w:rPr>
          <w:rFonts w:ascii="Arial" w:eastAsia="Arial" w:hAnsi="Arial" w:cs="Arial"/>
        </w:rPr>
        <w:t xml:space="preserve"> Available at: </w:t>
      </w:r>
      <w:hyperlink r:id="rId27">
        <w:r w:rsidRPr="0096252B">
          <w:rPr>
            <w:rFonts w:ascii="Arial" w:eastAsia="Arial" w:hAnsi="Arial" w:cs="Arial"/>
            <w:color w:val="0000FF"/>
            <w:u w:val="single"/>
          </w:rPr>
          <w:t>https://www.ibef.org/news/icra-projects-about-20-25-growth-for-india-s-quick-service-restaurant-industry-in-fy24</w:t>
        </w:r>
      </w:hyperlink>
      <w:r w:rsidRPr="0096252B">
        <w:rPr>
          <w:rFonts w:ascii="Arial" w:eastAsia="Arial" w:hAnsi="Arial" w:cs="Arial"/>
        </w:rPr>
        <w:t xml:space="preserve"> [Accessed on 04.08.2026].</w:t>
      </w:r>
    </w:p>
    <w:p w14:paraId="1CA5B4EF" w14:textId="77777777" w:rsidR="0096252B" w:rsidRPr="0096252B" w:rsidRDefault="0096252B">
      <w:pPr>
        <w:spacing w:after="240"/>
        <w:rPr>
          <w:rFonts w:ascii="Arial" w:eastAsia="Arial" w:hAnsi="Arial" w:cs="Arial"/>
        </w:rPr>
      </w:pPr>
      <w:proofErr w:type="spellStart"/>
      <w:r w:rsidRPr="0096252B">
        <w:rPr>
          <w:rFonts w:ascii="Arial" w:eastAsia="Arial" w:hAnsi="Arial" w:cs="Arial"/>
        </w:rPr>
        <w:t>Imarc</w:t>
      </w:r>
      <w:proofErr w:type="spellEnd"/>
      <w:r w:rsidRPr="0096252B">
        <w:rPr>
          <w:rFonts w:ascii="Arial" w:eastAsia="Arial" w:hAnsi="Arial" w:cs="Arial"/>
        </w:rPr>
        <w:t>, (2026).</w:t>
      </w:r>
      <w:r w:rsidRPr="0096252B">
        <w:rPr>
          <w:rFonts w:ascii="Arial" w:eastAsia="Arial" w:hAnsi="Arial" w:cs="Arial"/>
          <w:i/>
          <w:iCs/>
        </w:rPr>
        <w:t xml:space="preserve"> India Quick Service Restaurants Market Size | Analysis 2034. </w:t>
      </w:r>
      <w:r w:rsidRPr="0096252B">
        <w:rPr>
          <w:rFonts w:ascii="Arial" w:eastAsia="Arial" w:hAnsi="Arial" w:cs="Arial"/>
        </w:rPr>
        <w:t xml:space="preserve">Available at: </w:t>
      </w:r>
      <w:hyperlink r:id="rId28">
        <w:r w:rsidRPr="0096252B">
          <w:rPr>
            <w:rFonts w:ascii="Arial" w:eastAsia="Arial" w:hAnsi="Arial" w:cs="Arial"/>
            <w:color w:val="0000FF"/>
            <w:u w:val="single"/>
          </w:rPr>
          <w:t>https://www.imarcgroup.com/india-quick-service-restaurants-market</w:t>
        </w:r>
      </w:hyperlink>
      <w:r w:rsidRPr="0096252B">
        <w:rPr>
          <w:rFonts w:ascii="Arial" w:eastAsia="Arial" w:hAnsi="Arial" w:cs="Arial"/>
        </w:rPr>
        <w:t xml:space="preserve"> [Accessed on 02.08.2026].</w:t>
      </w:r>
    </w:p>
    <w:p w14:paraId="1C1AEBC0" w14:textId="77777777" w:rsidR="0096252B" w:rsidRPr="0096252B" w:rsidRDefault="0096252B">
      <w:pPr>
        <w:spacing w:after="240"/>
        <w:rPr>
          <w:rFonts w:ascii="Arial" w:eastAsia="Arial" w:hAnsi="Arial" w:cs="Arial"/>
        </w:rPr>
      </w:pPr>
      <w:r w:rsidRPr="0096252B">
        <w:rPr>
          <w:rFonts w:ascii="Arial" w:eastAsia="Arial" w:hAnsi="Arial" w:cs="Arial"/>
        </w:rPr>
        <w:t>Ingham-Broomfield, B., (2021). A nurses' guide to using models of reflection. </w:t>
      </w:r>
      <w:r w:rsidRPr="0096252B">
        <w:rPr>
          <w:rFonts w:ascii="Arial" w:eastAsia="Arial" w:hAnsi="Arial" w:cs="Arial"/>
          <w:i/>
          <w:iCs/>
        </w:rPr>
        <w:t>The Australian Journal of Advanced Nursing</w:t>
      </w:r>
      <w:r w:rsidRPr="0096252B">
        <w:rPr>
          <w:rFonts w:ascii="Arial" w:eastAsia="Arial" w:hAnsi="Arial" w:cs="Arial"/>
        </w:rPr>
        <w:t>, </w:t>
      </w:r>
      <w:r w:rsidRPr="0096252B">
        <w:rPr>
          <w:rFonts w:ascii="Arial" w:eastAsia="Arial" w:hAnsi="Arial" w:cs="Arial"/>
          <w:i/>
          <w:iCs/>
        </w:rPr>
        <w:t>38</w:t>
      </w:r>
      <w:r w:rsidRPr="0096252B">
        <w:rPr>
          <w:rFonts w:ascii="Arial" w:eastAsia="Arial" w:hAnsi="Arial" w:cs="Arial"/>
        </w:rPr>
        <w:t xml:space="preserve">(4), pp.62-67. </w:t>
      </w:r>
      <w:hyperlink r:id="rId29">
        <w:r w:rsidRPr="0096252B">
          <w:rPr>
            <w:rFonts w:ascii="Arial" w:eastAsia="Arial" w:hAnsi="Arial" w:cs="Arial"/>
            <w:color w:val="0000FF"/>
            <w:u w:val="single"/>
          </w:rPr>
          <w:t>https://search.informit.org/doi/abs/10.3316/informit.191541276970614</w:t>
        </w:r>
      </w:hyperlink>
    </w:p>
    <w:p w14:paraId="4FD2DDB2" w14:textId="77777777" w:rsidR="0096252B" w:rsidRPr="0096252B" w:rsidRDefault="0096252B">
      <w:pPr>
        <w:spacing w:after="240"/>
        <w:rPr>
          <w:rFonts w:ascii="Arial" w:eastAsia="Arial" w:hAnsi="Arial" w:cs="Arial"/>
        </w:rPr>
      </w:pPr>
      <w:r w:rsidRPr="0096252B">
        <w:rPr>
          <w:rFonts w:ascii="Arial" w:eastAsia="Arial" w:hAnsi="Arial" w:cs="Arial"/>
          <w:color w:val="222222"/>
        </w:rPr>
        <w:lastRenderedPageBreak/>
        <w:t xml:space="preserve">Kumar, R., (2025). </w:t>
      </w:r>
      <w:r w:rsidRPr="0096252B">
        <w:rPr>
          <w:rFonts w:ascii="Arial" w:eastAsia="Arial" w:hAnsi="Arial" w:cs="Arial"/>
          <w:i/>
          <w:iCs/>
          <w:color w:val="222222"/>
        </w:rPr>
        <w:t>Understanding the USA Legal System: Law for Everyday Life</w:t>
      </w:r>
      <w:r w:rsidRPr="0096252B">
        <w:rPr>
          <w:rFonts w:ascii="Arial" w:eastAsia="Arial" w:hAnsi="Arial" w:cs="Arial"/>
          <w:color w:val="222222"/>
        </w:rPr>
        <w:t>. Jamba Academy.</w:t>
      </w:r>
      <w:r w:rsidRPr="0096252B">
        <w:rPr>
          <w:rFonts w:ascii="Arial" w:eastAsia="Arial" w:hAnsi="Arial" w:cs="Arial"/>
        </w:rPr>
        <w:t xml:space="preserve"> </w:t>
      </w:r>
      <w:hyperlink r:id="rId30">
        <w:r w:rsidRPr="0096252B">
          <w:rPr>
            <w:rFonts w:ascii="Arial" w:eastAsia="Arial" w:hAnsi="Arial" w:cs="Arial"/>
            <w:color w:val="1155CC"/>
            <w:u w:val="single"/>
          </w:rPr>
          <w:t>https://books.google.com/books?hl=en&amp;lr=&amp;id=ZEp3EQAAQBAJ&amp;oi=fnd&amp;pg=PR3&amp;dq=The+USA+offers+a+clear+legal+system,&amp;ots=HNj3iaSw54&amp;sig=lizLQdDUBs7Fg1WO3-f_AoPrHXM</w:t>
        </w:r>
      </w:hyperlink>
      <w:r w:rsidRPr="0096252B">
        <w:rPr>
          <w:rFonts w:ascii="Arial" w:eastAsia="Arial" w:hAnsi="Arial" w:cs="Arial"/>
        </w:rPr>
        <w:t xml:space="preserve"> </w:t>
      </w:r>
    </w:p>
    <w:p w14:paraId="678FD14D"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Madureira, L., Sergeenko, I. and Zaimenko, S., (2023). Competitive Intelligence and International Business Development Strategies for Multinational Enterprises in Conflict Zones. </w:t>
      </w:r>
      <w:hyperlink r:id="rId31">
        <w:r w:rsidRPr="0096252B">
          <w:rPr>
            <w:rFonts w:ascii="Arial" w:eastAsia="Arial" w:hAnsi="Arial" w:cs="Arial"/>
            <w:color w:val="0000FF"/>
            <w:highlight w:val="white"/>
            <w:u w:val="single"/>
          </w:rPr>
          <w:t>https://run.unl.pt/entities/publication/09002a43-83d8-48db-8e90-61da9fa17407</w:t>
        </w:r>
      </w:hyperlink>
    </w:p>
    <w:p w14:paraId="135D566F" w14:textId="77777777" w:rsidR="0096252B" w:rsidRPr="0096252B" w:rsidRDefault="0096252B">
      <w:pPr>
        <w:spacing w:after="240"/>
        <w:rPr>
          <w:rFonts w:ascii="Arial" w:eastAsia="Arial" w:hAnsi="Arial" w:cs="Arial"/>
        </w:rPr>
      </w:pPr>
      <w:r w:rsidRPr="0096252B">
        <w:rPr>
          <w:rFonts w:ascii="Arial" w:eastAsia="Arial" w:hAnsi="Arial" w:cs="Arial"/>
        </w:rPr>
        <w:t xml:space="preserve">Mello, L.V. and </w:t>
      </w:r>
      <w:proofErr w:type="spellStart"/>
      <w:r w:rsidRPr="0096252B">
        <w:rPr>
          <w:rFonts w:ascii="Arial" w:eastAsia="Arial" w:hAnsi="Arial" w:cs="Arial"/>
        </w:rPr>
        <w:t>Wattret</w:t>
      </w:r>
      <w:proofErr w:type="spellEnd"/>
      <w:r w:rsidRPr="0096252B">
        <w:rPr>
          <w:rFonts w:ascii="Arial" w:eastAsia="Arial" w:hAnsi="Arial" w:cs="Arial"/>
        </w:rPr>
        <w:t>, G., (2021). Developing transferable skills through embedding reflection in the science curriculum. </w:t>
      </w:r>
      <w:r w:rsidRPr="0096252B">
        <w:rPr>
          <w:rFonts w:ascii="Arial" w:eastAsia="Arial" w:hAnsi="Arial" w:cs="Arial"/>
          <w:i/>
          <w:iCs/>
        </w:rPr>
        <w:t>Biophysical reviews</w:t>
      </w:r>
      <w:r w:rsidRPr="0096252B">
        <w:rPr>
          <w:rFonts w:ascii="Arial" w:eastAsia="Arial" w:hAnsi="Arial" w:cs="Arial"/>
        </w:rPr>
        <w:t>, </w:t>
      </w:r>
      <w:r w:rsidRPr="0096252B">
        <w:rPr>
          <w:rFonts w:ascii="Arial" w:eastAsia="Arial" w:hAnsi="Arial" w:cs="Arial"/>
          <w:i/>
          <w:iCs/>
        </w:rPr>
        <w:t>13</w:t>
      </w:r>
      <w:r w:rsidRPr="0096252B">
        <w:rPr>
          <w:rFonts w:ascii="Arial" w:eastAsia="Arial" w:hAnsi="Arial" w:cs="Arial"/>
        </w:rPr>
        <w:t xml:space="preserve">(6), pp.897-903. </w:t>
      </w:r>
      <w:hyperlink r:id="rId32">
        <w:r w:rsidRPr="0096252B">
          <w:rPr>
            <w:rFonts w:ascii="Arial" w:eastAsia="Arial" w:hAnsi="Arial" w:cs="Arial"/>
            <w:color w:val="0000FF"/>
            <w:u w:val="single"/>
          </w:rPr>
          <w:t>https://link.springer.com/article/10.1007/s12551-021-00852-3</w:t>
        </w:r>
      </w:hyperlink>
    </w:p>
    <w:p w14:paraId="7EC9A388" w14:textId="77777777" w:rsidR="0096252B" w:rsidRPr="0096252B" w:rsidRDefault="0096252B">
      <w:pPr>
        <w:spacing w:after="240"/>
        <w:rPr>
          <w:rFonts w:ascii="Arial" w:eastAsia="Arial" w:hAnsi="Arial" w:cs="Arial"/>
        </w:rPr>
      </w:pPr>
      <w:r w:rsidRPr="0096252B">
        <w:rPr>
          <w:rFonts w:ascii="Arial" w:eastAsia="Arial" w:hAnsi="Arial" w:cs="Arial"/>
        </w:rPr>
        <w:t xml:space="preserve">MI, (2026). </w:t>
      </w:r>
      <w:r w:rsidRPr="0096252B">
        <w:rPr>
          <w:rFonts w:ascii="Arial" w:eastAsia="Arial" w:hAnsi="Arial" w:cs="Arial"/>
          <w:i/>
          <w:iCs/>
        </w:rPr>
        <w:t>United States Quick Service Restaurants Market Forecasts.</w:t>
      </w:r>
      <w:r w:rsidRPr="0096252B">
        <w:rPr>
          <w:rFonts w:ascii="Arial" w:eastAsia="Arial" w:hAnsi="Arial" w:cs="Arial"/>
        </w:rPr>
        <w:t xml:space="preserve"> Available at: </w:t>
      </w:r>
      <w:hyperlink r:id="rId33">
        <w:r w:rsidRPr="0096252B">
          <w:rPr>
            <w:rFonts w:ascii="Arial" w:eastAsia="Arial" w:hAnsi="Arial" w:cs="Arial"/>
            <w:color w:val="0000FF"/>
            <w:u w:val="single"/>
          </w:rPr>
          <w:t>https://www.mordorintelligence.com/industry-reports/united-states-quick-service-restaurants-market</w:t>
        </w:r>
      </w:hyperlink>
      <w:r w:rsidRPr="0096252B">
        <w:rPr>
          <w:rFonts w:ascii="Arial" w:eastAsia="Arial" w:hAnsi="Arial" w:cs="Arial"/>
        </w:rPr>
        <w:t xml:space="preserve"> [Accessed on 05.08.2026].</w:t>
      </w:r>
    </w:p>
    <w:p w14:paraId="189395FD" w14:textId="77777777" w:rsidR="0096252B" w:rsidRPr="0096252B" w:rsidRDefault="0096252B">
      <w:pPr>
        <w:spacing w:after="240"/>
        <w:rPr>
          <w:rFonts w:ascii="Arial" w:eastAsia="Arial" w:hAnsi="Arial" w:cs="Arial"/>
        </w:rPr>
      </w:pPr>
      <w:proofErr w:type="spellStart"/>
      <w:r w:rsidRPr="0096252B">
        <w:rPr>
          <w:rFonts w:ascii="Arial" w:eastAsia="Arial" w:hAnsi="Arial" w:cs="Arial"/>
          <w:color w:val="222222"/>
          <w:highlight w:val="white"/>
        </w:rPr>
        <w:t>Mudzakkir</w:t>
      </w:r>
      <w:proofErr w:type="spellEnd"/>
      <w:r w:rsidRPr="0096252B">
        <w:rPr>
          <w:rFonts w:ascii="Arial" w:eastAsia="Arial" w:hAnsi="Arial" w:cs="Arial"/>
          <w:color w:val="222222"/>
          <w:highlight w:val="white"/>
        </w:rPr>
        <w:t xml:space="preserve">, R., Tamim, M.A. and </w:t>
      </w:r>
      <w:proofErr w:type="spellStart"/>
      <w:r w:rsidRPr="0096252B">
        <w:rPr>
          <w:rFonts w:ascii="Arial" w:eastAsia="Arial" w:hAnsi="Arial" w:cs="Arial"/>
          <w:color w:val="222222"/>
          <w:highlight w:val="white"/>
        </w:rPr>
        <w:t>Nurdiansyah</w:t>
      </w:r>
      <w:proofErr w:type="spellEnd"/>
      <w:r w:rsidRPr="0096252B">
        <w:rPr>
          <w:rFonts w:ascii="Arial" w:eastAsia="Arial" w:hAnsi="Arial" w:cs="Arial"/>
          <w:color w:val="222222"/>
          <w:highlight w:val="white"/>
        </w:rPr>
        <w:t xml:space="preserve">, D.H., (2023). Strategy Formulation Analysis </w:t>
      </w:r>
      <w:proofErr w:type="gramStart"/>
      <w:r w:rsidRPr="0096252B">
        <w:rPr>
          <w:rFonts w:ascii="Arial" w:eastAsia="Arial" w:hAnsi="Arial" w:cs="Arial"/>
          <w:color w:val="222222"/>
          <w:highlight w:val="white"/>
        </w:rPr>
        <w:t>With</w:t>
      </w:r>
      <w:proofErr w:type="gramEnd"/>
      <w:r w:rsidRPr="0096252B">
        <w:rPr>
          <w:rFonts w:ascii="Arial" w:eastAsia="Arial" w:hAnsi="Arial" w:cs="Arial"/>
          <w:color w:val="222222"/>
          <w:highlight w:val="white"/>
        </w:rPr>
        <w:t xml:space="preserve"> Company Implementation in Dealing </w:t>
      </w:r>
      <w:proofErr w:type="gramStart"/>
      <w:r w:rsidRPr="0096252B">
        <w:rPr>
          <w:rFonts w:ascii="Arial" w:eastAsia="Arial" w:hAnsi="Arial" w:cs="Arial"/>
          <w:color w:val="222222"/>
          <w:highlight w:val="white"/>
        </w:rPr>
        <w:t>With</w:t>
      </w:r>
      <w:proofErr w:type="gramEnd"/>
      <w:r w:rsidRPr="0096252B">
        <w:rPr>
          <w:rFonts w:ascii="Arial" w:eastAsia="Arial" w:hAnsi="Arial" w:cs="Arial"/>
          <w:color w:val="222222"/>
          <w:highlight w:val="white"/>
        </w:rPr>
        <w:t xml:space="preserve"> </w:t>
      </w:r>
      <w:proofErr w:type="gramStart"/>
      <w:r w:rsidRPr="0096252B">
        <w:rPr>
          <w:rFonts w:ascii="Arial" w:eastAsia="Arial" w:hAnsi="Arial" w:cs="Arial"/>
          <w:color w:val="222222"/>
          <w:highlight w:val="white"/>
        </w:rPr>
        <w:t>The</w:t>
      </w:r>
      <w:proofErr w:type="gramEnd"/>
      <w:r w:rsidRPr="0096252B">
        <w:rPr>
          <w:rFonts w:ascii="Arial" w:eastAsia="Arial" w:hAnsi="Arial" w:cs="Arial"/>
          <w:color w:val="222222"/>
          <w:highlight w:val="white"/>
        </w:rPr>
        <w:t xml:space="preserve"> Covid-19 </w:t>
      </w:r>
      <w:proofErr w:type="spellStart"/>
      <w:r w:rsidRPr="0096252B">
        <w:rPr>
          <w:rFonts w:ascii="Arial" w:eastAsia="Arial" w:hAnsi="Arial" w:cs="Arial"/>
          <w:color w:val="222222"/>
          <w:highlight w:val="white"/>
        </w:rPr>
        <w:t>Pandemi</w:t>
      </w:r>
      <w:proofErr w:type="spellEnd"/>
      <w:r w:rsidRPr="0096252B">
        <w:rPr>
          <w:rFonts w:ascii="Arial" w:eastAsia="Arial" w:hAnsi="Arial" w:cs="Arial"/>
          <w:color w:val="222222"/>
          <w:highlight w:val="white"/>
        </w:rPr>
        <w:t xml:space="preserve"> Situation. </w:t>
      </w:r>
      <w:proofErr w:type="spellStart"/>
      <w:r w:rsidRPr="0096252B">
        <w:rPr>
          <w:rFonts w:ascii="Arial" w:eastAsia="Arial" w:hAnsi="Arial" w:cs="Arial"/>
          <w:i/>
          <w:iCs/>
          <w:color w:val="222222"/>
          <w:highlight w:val="white"/>
        </w:rPr>
        <w:t>Eqien-Jurnal</w:t>
      </w:r>
      <w:proofErr w:type="spellEnd"/>
      <w:r w:rsidRPr="0096252B">
        <w:rPr>
          <w:rFonts w:ascii="Arial" w:eastAsia="Arial" w:hAnsi="Arial" w:cs="Arial"/>
          <w:i/>
          <w:iCs/>
          <w:color w:val="222222"/>
          <w:highlight w:val="white"/>
        </w:rPr>
        <w:t xml:space="preserve"> Ekonomi dan </w:t>
      </w:r>
      <w:proofErr w:type="spellStart"/>
      <w:r w:rsidRPr="0096252B">
        <w:rPr>
          <w:rFonts w:ascii="Arial" w:eastAsia="Arial" w:hAnsi="Arial" w:cs="Arial"/>
          <w:i/>
          <w:iCs/>
          <w:color w:val="222222"/>
          <w:highlight w:val="white"/>
        </w:rPr>
        <w:t>Bisnis</w:t>
      </w:r>
      <w:proofErr w:type="spellEnd"/>
      <w:r w:rsidRPr="0096252B">
        <w:rPr>
          <w:rFonts w:ascii="Arial" w:eastAsia="Arial" w:hAnsi="Arial" w:cs="Arial"/>
          <w:color w:val="222222"/>
          <w:highlight w:val="white"/>
        </w:rPr>
        <w:t>, </w:t>
      </w:r>
      <w:r w:rsidRPr="0096252B">
        <w:rPr>
          <w:rFonts w:ascii="Arial" w:eastAsia="Arial" w:hAnsi="Arial" w:cs="Arial"/>
          <w:i/>
          <w:iCs/>
          <w:color w:val="222222"/>
          <w:highlight w:val="white"/>
        </w:rPr>
        <w:t>12</w:t>
      </w:r>
      <w:r w:rsidRPr="0096252B">
        <w:rPr>
          <w:rFonts w:ascii="Arial" w:eastAsia="Arial" w:hAnsi="Arial" w:cs="Arial"/>
          <w:color w:val="222222"/>
          <w:highlight w:val="white"/>
        </w:rPr>
        <w:t xml:space="preserve">(01), pp.61-66. </w:t>
      </w:r>
      <w:hyperlink r:id="rId34">
        <w:r w:rsidRPr="0096252B">
          <w:rPr>
            <w:rFonts w:ascii="Arial" w:eastAsia="Arial" w:hAnsi="Arial" w:cs="Arial"/>
            <w:color w:val="0000FF"/>
            <w:highlight w:val="white"/>
            <w:u w:val="single"/>
          </w:rPr>
          <w:t>http://stiemuttaqien.ac.id/ojs/index.php/OJS/article/view/1388</w:t>
        </w:r>
      </w:hyperlink>
    </w:p>
    <w:p w14:paraId="70EDCEDE"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Nasir, M.U., Rehmat, U. and Ahmad, I., (2023). Social media analysis of customer emotions in pizza industry. </w:t>
      </w:r>
      <w:r w:rsidRPr="0096252B">
        <w:rPr>
          <w:rFonts w:ascii="Arial" w:eastAsia="Arial" w:hAnsi="Arial" w:cs="Arial"/>
          <w:i/>
          <w:iCs/>
          <w:color w:val="222222"/>
          <w:highlight w:val="white"/>
        </w:rPr>
        <w:t>The Computer Journal</w:t>
      </w:r>
      <w:r w:rsidRPr="0096252B">
        <w:rPr>
          <w:rFonts w:ascii="Arial" w:eastAsia="Arial" w:hAnsi="Arial" w:cs="Arial"/>
          <w:color w:val="222222"/>
          <w:highlight w:val="white"/>
        </w:rPr>
        <w:t>, </w:t>
      </w:r>
      <w:r w:rsidRPr="0096252B">
        <w:rPr>
          <w:rFonts w:ascii="Arial" w:eastAsia="Arial" w:hAnsi="Arial" w:cs="Arial"/>
          <w:i/>
          <w:iCs/>
          <w:color w:val="222222"/>
          <w:highlight w:val="white"/>
        </w:rPr>
        <w:t>66</w:t>
      </w:r>
      <w:r w:rsidRPr="0096252B">
        <w:rPr>
          <w:rFonts w:ascii="Arial" w:eastAsia="Arial" w:hAnsi="Arial" w:cs="Arial"/>
          <w:color w:val="222222"/>
          <w:highlight w:val="white"/>
        </w:rPr>
        <w:t xml:space="preserve">(7), pp.1777-1783. </w:t>
      </w:r>
      <w:hyperlink r:id="rId35">
        <w:r w:rsidRPr="0096252B">
          <w:rPr>
            <w:rFonts w:ascii="Arial" w:eastAsia="Arial" w:hAnsi="Arial" w:cs="Arial"/>
            <w:color w:val="0000FF"/>
            <w:highlight w:val="white"/>
            <w:u w:val="single"/>
          </w:rPr>
          <w:t>https://academic.oup.com/comjnl/article-abstract/66/7/1777/6565162</w:t>
        </w:r>
      </w:hyperlink>
    </w:p>
    <w:p w14:paraId="6E26112F" w14:textId="77777777" w:rsidR="0096252B" w:rsidRPr="0096252B" w:rsidRDefault="0096252B">
      <w:pPr>
        <w:spacing w:after="240"/>
        <w:rPr>
          <w:rFonts w:ascii="Arial" w:eastAsia="Arial" w:hAnsi="Arial" w:cs="Arial"/>
        </w:rPr>
      </w:pPr>
      <w:r w:rsidRPr="0096252B">
        <w:rPr>
          <w:rFonts w:ascii="Arial" w:eastAsia="Arial" w:hAnsi="Arial" w:cs="Arial"/>
        </w:rPr>
        <w:t>Ocampo, F.A., McIntyre, B.G., Massey, D. and Saunders, R., (2025). Nursing student reflections on a research internship: A reflective discussion following the Gibbs' reflective cycle. </w:t>
      </w:r>
      <w:r w:rsidRPr="0096252B">
        <w:rPr>
          <w:rFonts w:ascii="Arial" w:eastAsia="Arial" w:hAnsi="Arial" w:cs="Arial"/>
          <w:i/>
          <w:iCs/>
        </w:rPr>
        <w:t>Nurse education today</w:t>
      </w:r>
      <w:r w:rsidRPr="0096252B">
        <w:rPr>
          <w:rFonts w:ascii="Arial" w:eastAsia="Arial" w:hAnsi="Arial" w:cs="Arial"/>
        </w:rPr>
        <w:t>, </w:t>
      </w:r>
      <w:r w:rsidRPr="0096252B">
        <w:rPr>
          <w:rFonts w:ascii="Arial" w:eastAsia="Arial" w:hAnsi="Arial" w:cs="Arial"/>
          <w:i/>
          <w:iCs/>
        </w:rPr>
        <w:t>145</w:t>
      </w:r>
      <w:r w:rsidRPr="0096252B">
        <w:rPr>
          <w:rFonts w:ascii="Arial" w:eastAsia="Arial" w:hAnsi="Arial" w:cs="Arial"/>
        </w:rPr>
        <w:t xml:space="preserve">, p.106481. </w:t>
      </w:r>
      <w:hyperlink r:id="rId36">
        <w:r w:rsidRPr="0096252B">
          <w:rPr>
            <w:rFonts w:ascii="Arial" w:eastAsia="Arial" w:hAnsi="Arial" w:cs="Arial"/>
            <w:color w:val="0000FF"/>
            <w:u w:val="single"/>
          </w:rPr>
          <w:t>https://www.sciencedirect.com/science/article/pii/S0260691724003915</w:t>
        </w:r>
      </w:hyperlink>
    </w:p>
    <w:p w14:paraId="456E1FB3" w14:textId="77777777" w:rsidR="0096252B" w:rsidRPr="0096252B" w:rsidRDefault="0096252B">
      <w:pPr>
        <w:spacing w:after="240"/>
        <w:rPr>
          <w:rFonts w:ascii="Arial" w:eastAsia="Arial" w:hAnsi="Arial" w:cs="Arial"/>
        </w:rPr>
      </w:pPr>
      <w:r w:rsidRPr="0096252B">
        <w:rPr>
          <w:rFonts w:ascii="Arial" w:eastAsia="Arial" w:hAnsi="Arial" w:cs="Arial"/>
        </w:rPr>
        <w:t xml:space="preserve">Pieper, M., Roelle, J., </w:t>
      </w:r>
      <w:proofErr w:type="spellStart"/>
      <w:r w:rsidRPr="0096252B">
        <w:rPr>
          <w:rFonts w:ascii="Arial" w:eastAsia="Arial" w:hAnsi="Arial" w:cs="Arial"/>
        </w:rPr>
        <w:t>vom</w:t>
      </w:r>
      <w:proofErr w:type="spellEnd"/>
      <w:r w:rsidRPr="0096252B">
        <w:rPr>
          <w:rFonts w:ascii="Arial" w:eastAsia="Arial" w:hAnsi="Arial" w:cs="Arial"/>
        </w:rPr>
        <w:t xml:space="preserve"> Hofe, R., Salle, A. and Berthold, K., (2021). Feedback in reflective journals fosters reflection skills of student teachers. </w:t>
      </w:r>
      <w:r w:rsidRPr="0096252B">
        <w:rPr>
          <w:rFonts w:ascii="Arial" w:eastAsia="Arial" w:hAnsi="Arial" w:cs="Arial"/>
          <w:i/>
          <w:iCs/>
        </w:rPr>
        <w:t xml:space="preserve">Psychology Learning &amp; </w:t>
      </w:r>
      <w:r w:rsidRPr="0096252B">
        <w:rPr>
          <w:rFonts w:ascii="Arial" w:eastAsia="Arial" w:hAnsi="Arial" w:cs="Arial"/>
          <w:i/>
          <w:iCs/>
        </w:rPr>
        <w:lastRenderedPageBreak/>
        <w:t>Teaching</w:t>
      </w:r>
      <w:r w:rsidRPr="0096252B">
        <w:rPr>
          <w:rFonts w:ascii="Arial" w:eastAsia="Arial" w:hAnsi="Arial" w:cs="Arial"/>
        </w:rPr>
        <w:t>, </w:t>
      </w:r>
      <w:r w:rsidRPr="0096252B">
        <w:rPr>
          <w:rFonts w:ascii="Arial" w:eastAsia="Arial" w:hAnsi="Arial" w:cs="Arial"/>
          <w:i/>
          <w:iCs/>
        </w:rPr>
        <w:t>20</w:t>
      </w:r>
      <w:r w:rsidRPr="0096252B">
        <w:rPr>
          <w:rFonts w:ascii="Arial" w:eastAsia="Arial" w:hAnsi="Arial" w:cs="Arial"/>
        </w:rPr>
        <w:t xml:space="preserve">(1), pp.107-127. </w:t>
      </w:r>
      <w:hyperlink r:id="rId37">
        <w:r w:rsidRPr="0096252B">
          <w:rPr>
            <w:rFonts w:ascii="Arial" w:eastAsia="Arial" w:hAnsi="Arial" w:cs="Arial"/>
            <w:color w:val="0000FF"/>
            <w:u w:val="single"/>
          </w:rPr>
          <w:t>https://journals.sagepub.com/doi/abs/10.1177/1475725720966190</w:t>
        </w:r>
      </w:hyperlink>
    </w:p>
    <w:p w14:paraId="2CC2F7F6" w14:textId="77777777" w:rsidR="0096252B" w:rsidRPr="0096252B" w:rsidRDefault="0096252B">
      <w:pPr>
        <w:spacing w:after="240"/>
        <w:rPr>
          <w:rFonts w:ascii="Arial" w:eastAsia="Arial" w:hAnsi="Arial" w:cs="Arial"/>
        </w:rPr>
      </w:pPr>
      <w:r w:rsidRPr="0096252B">
        <w:rPr>
          <w:rFonts w:ascii="Arial" w:eastAsia="Arial" w:hAnsi="Arial" w:cs="Arial"/>
        </w:rPr>
        <w:t>R&amp;M, (2026).</w:t>
      </w:r>
      <w:r w:rsidRPr="0096252B">
        <w:rPr>
          <w:rFonts w:ascii="Arial" w:eastAsia="Arial" w:hAnsi="Arial" w:cs="Arial"/>
          <w:i/>
          <w:iCs/>
        </w:rPr>
        <w:t xml:space="preserve"> United States Fast Food and Quick Services Restaurants.</w:t>
      </w:r>
      <w:r w:rsidRPr="0096252B">
        <w:rPr>
          <w:rFonts w:ascii="Arial" w:eastAsia="Arial" w:hAnsi="Arial" w:cs="Arial"/>
        </w:rPr>
        <w:t xml:space="preserve"> Available at: </w:t>
      </w:r>
      <w:hyperlink r:id="rId38">
        <w:r w:rsidRPr="0096252B">
          <w:rPr>
            <w:rFonts w:ascii="Arial" w:eastAsia="Arial" w:hAnsi="Arial" w:cs="Arial"/>
            <w:color w:val="0000FF"/>
            <w:u w:val="single"/>
          </w:rPr>
          <w:t>https://www.researchandmarkets.com/reports/6062967/united-states-fast-food-quick-services?srsltid=AfmBOoqf9yYf4WPcMsRZWWtoeB2OAsQkL3skBb7kPL8Dq4-zpEJtrW8U</w:t>
        </w:r>
      </w:hyperlink>
    </w:p>
    <w:p w14:paraId="4EAF5B5A"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Ramadhan, A.A., Yusuf, I. and </w:t>
      </w:r>
      <w:proofErr w:type="spellStart"/>
      <w:r w:rsidRPr="0096252B">
        <w:rPr>
          <w:rFonts w:ascii="Arial" w:eastAsia="Arial" w:hAnsi="Arial" w:cs="Arial"/>
          <w:color w:val="222222"/>
          <w:highlight w:val="white"/>
        </w:rPr>
        <w:t>Rachmani</w:t>
      </w:r>
      <w:proofErr w:type="spellEnd"/>
      <w:r w:rsidRPr="0096252B">
        <w:rPr>
          <w:rFonts w:ascii="Arial" w:eastAsia="Arial" w:hAnsi="Arial" w:cs="Arial"/>
          <w:color w:val="222222"/>
          <w:highlight w:val="white"/>
        </w:rPr>
        <w:t>, N.N., (2025). The Effect of Ristorante's Rebranding on Pizza Hut Customer Loyalty After the Boycott in Greater Jakarta. </w:t>
      </w:r>
      <w:r w:rsidRPr="0096252B">
        <w:rPr>
          <w:rFonts w:ascii="Arial" w:eastAsia="Arial" w:hAnsi="Arial" w:cs="Arial"/>
          <w:i/>
          <w:iCs/>
          <w:color w:val="222222"/>
          <w:highlight w:val="white"/>
        </w:rPr>
        <w:t>TOFEDU: The Future of Education Journal</w:t>
      </w:r>
      <w:r w:rsidRPr="0096252B">
        <w:rPr>
          <w:rFonts w:ascii="Arial" w:eastAsia="Arial" w:hAnsi="Arial" w:cs="Arial"/>
          <w:color w:val="222222"/>
          <w:highlight w:val="white"/>
        </w:rPr>
        <w:t>, </w:t>
      </w:r>
      <w:r w:rsidRPr="0096252B">
        <w:rPr>
          <w:rFonts w:ascii="Arial" w:eastAsia="Arial" w:hAnsi="Arial" w:cs="Arial"/>
          <w:i/>
          <w:iCs/>
          <w:color w:val="222222"/>
          <w:highlight w:val="white"/>
        </w:rPr>
        <w:t>4</w:t>
      </w:r>
      <w:r w:rsidRPr="0096252B">
        <w:rPr>
          <w:rFonts w:ascii="Arial" w:eastAsia="Arial" w:hAnsi="Arial" w:cs="Arial"/>
          <w:color w:val="222222"/>
          <w:highlight w:val="white"/>
        </w:rPr>
        <w:t xml:space="preserve">(8), pp.4733-4743. </w:t>
      </w:r>
      <w:hyperlink r:id="rId39">
        <w:r w:rsidRPr="0096252B">
          <w:rPr>
            <w:rFonts w:ascii="Arial" w:eastAsia="Arial" w:hAnsi="Arial" w:cs="Arial"/>
            <w:color w:val="0000FF"/>
            <w:highlight w:val="white"/>
            <w:u w:val="single"/>
          </w:rPr>
          <w:t>http://journal.tofedu.or.id/index.php/journal/article/view/1111</w:t>
        </w:r>
      </w:hyperlink>
    </w:p>
    <w:p w14:paraId="3850745F"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Ruma, Z., (2023). International Marketing and Implementation in Business: Case Study in </w:t>
      </w:r>
      <w:proofErr w:type="spellStart"/>
      <w:r w:rsidRPr="0096252B">
        <w:rPr>
          <w:rFonts w:ascii="Arial" w:eastAsia="Arial" w:hAnsi="Arial" w:cs="Arial"/>
          <w:color w:val="222222"/>
          <w:highlight w:val="white"/>
        </w:rPr>
        <w:t>Dominos</w:t>
      </w:r>
      <w:proofErr w:type="spellEnd"/>
      <w:r w:rsidRPr="0096252B">
        <w:rPr>
          <w:rFonts w:ascii="Arial" w:eastAsia="Arial" w:hAnsi="Arial" w:cs="Arial"/>
          <w:color w:val="222222"/>
          <w:highlight w:val="white"/>
        </w:rPr>
        <w:t xml:space="preserve"> Pizza. </w:t>
      </w:r>
      <w:proofErr w:type="spellStart"/>
      <w:r w:rsidRPr="0096252B">
        <w:rPr>
          <w:rFonts w:ascii="Arial" w:eastAsia="Arial" w:hAnsi="Arial" w:cs="Arial"/>
          <w:i/>
          <w:iCs/>
          <w:color w:val="222222"/>
          <w:highlight w:val="white"/>
        </w:rPr>
        <w:t>Jurnal</w:t>
      </w:r>
      <w:proofErr w:type="spellEnd"/>
      <w:r w:rsidRPr="0096252B">
        <w:rPr>
          <w:rFonts w:ascii="Arial" w:eastAsia="Arial" w:hAnsi="Arial" w:cs="Arial"/>
          <w:i/>
          <w:iCs/>
          <w:color w:val="222222"/>
          <w:highlight w:val="white"/>
        </w:rPr>
        <w:t xml:space="preserve"> </w:t>
      </w:r>
      <w:proofErr w:type="spellStart"/>
      <w:r w:rsidRPr="0096252B">
        <w:rPr>
          <w:rFonts w:ascii="Arial" w:eastAsia="Arial" w:hAnsi="Arial" w:cs="Arial"/>
          <w:i/>
          <w:iCs/>
          <w:color w:val="222222"/>
          <w:highlight w:val="white"/>
        </w:rPr>
        <w:t>Manajemen</w:t>
      </w:r>
      <w:proofErr w:type="spellEnd"/>
      <w:r w:rsidRPr="0096252B">
        <w:rPr>
          <w:rFonts w:ascii="Arial" w:eastAsia="Arial" w:hAnsi="Arial" w:cs="Arial"/>
          <w:i/>
          <w:iCs/>
          <w:color w:val="222222"/>
          <w:highlight w:val="white"/>
        </w:rPr>
        <w:t xml:space="preserve"> dan </w:t>
      </w:r>
      <w:proofErr w:type="spellStart"/>
      <w:r w:rsidRPr="0096252B">
        <w:rPr>
          <w:rFonts w:ascii="Arial" w:eastAsia="Arial" w:hAnsi="Arial" w:cs="Arial"/>
          <w:i/>
          <w:iCs/>
          <w:color w:val="222222"/>
          <w:highlight w:val="white"/>
        </w:rPr>
        <w:t>Akuntansi</w:t>
      </w:r>
      <w:proofErr w:type="spellEnd"/>
      <w:r w:rsidRPr="0096252B">
        <w:rPr>
          <w:rFonts w:ascii="Arial" w:eastAsia="Arial" w:hAnsi="Arial" w:cs="Arial"/>
          <w:color w:val="222222"/>
          <w:highlight w:val="white"/>
        </w:rPr>
        <w:t>, </w:t>
      </w:r>
      <w:r w:rsidRPr="0096252B">
        <w:rPr>
          <w:rFonts w:ascii="Arial" w:eastAsia="Arial" w:hAnsi="Arial" w:cs="Arial"/>
          <w:i/>
          <w:iCs/>
          <w:color w:val="222222"/>
          <w:highlight w:val="white"/>
        </w:rPr>
        <w:t>1</w:t>
      </w:r>
      <w:r w:rsidRPr="0096252B">
        <w:rPr>
          <w:rFonts w:ascii="Arial" w:eastAsia="Arial" w:hAnsi="Arial" w:cs="Arial"/>
          <w:color w:val="222222"/>
          <w:highlight w:val="white"/>
        </w:rPr>
        <w:t xml:space="preserve">(1), pp.1-8. </w:t>
      </w:r>
      <w:hyperlink r:id="rId40">
        <w:r w:rsidRPr="0096252B">
          <w:rPr>
            <w:rFonts w:ascii="Arial" w:eastAsia="Arial" w:hAnsi="Arial" w:cs="Arial"/>
            <w:color w:val="0000FF"/>
            <w:highlight w:val="white"/>
            <w:u w:val="single"/>
          </w:rPr>
          <w:t>http://abadiinstitute.org/index.php/GEMILANG/article/view/15</w:t>
        </w:r>
      </w:hyperlink>
    </w:p>
    <w:p w14:paraId="018D30D7" w14:textId="77777777" w:rsidR="0096252B" w:rsidRPr="0096252B" w:rsidRDefault="0096252B">
      <w:pPr>
        <w:spacing w:after="240"/>
        <w:rPr>
          <w:rFonts w:ascii="Arial" w:eastAsia="Arial" w:hAnsi="Arial" w:cs="Arial"/>
        </w:rPr>
      </w:pPr>
      <w:proofErr w:type="spellStart"/>
      <w:r w:rsidRPr="0096252B">
        <w:rPr>
          <w:rFonts w:ascii="Arial" w:eastAsia="Arial" w:hAnsi="Arial" w:cs="Arial"/>
          <w:color w:val="222222"/>
          <w:highlight w:val="white"/>
        </w:rPr>
        <w:t>Sazali</w:t>
      </w:r>
      <w:proofErr w:type="spellEnd"/>
      <w:r w:rsidRPr="0096252B">
        <w:rPr>
          <w:rFonts w:ascii="Arial" w:eastAsia="Arial" w:hAnsi="Arial" w:cs="Arial"/>
          <w:color w:val="222222"/>
          <w:highlight w:val="white"/>
        </w:rPr>
        <w:t xml:space="preserve">, H., </w:t>
      </w:r>
      <w:proofErr w:type="spellStart"/>
      <w:r w:rsidRPr="0096252B">
        <w:rPr>
          <w:rFonts w:ascii="Arial" w:eastAsia="Arial" w:hAnsi="Arial" w:cs="Arial"/>
          <w:color w:val="222222"/>
          <w:highlight w:val="white"/>
        </w:rPr>
        <w:t>Matondang</w:t>
      </w:r>
      <w:proofErr w:type="spellEnd"/>
      <w:r w:rsidRPr="0096252B">
        <w:rPr>
          <w:rFonts w:ascii="Arial" w:eastAsia="Arial" w:hAnsi="Arial" w:cs="Arial"/>
          <w:color w:val="222222"/>
          <w:highlight w:val="white"/>
        </w:rPr>
        <w:t>, A.R., Amal, B.K. and Muhammadi, Q., (2024). Navigation of Image in the Midst of Boycott: Marketing Communication Strategies of Companies in Responding to Israeli Product Issues. </w:t>
      </w:r>
      <w:proofErr w:type="spellStart"/>
      <w:r w:rsidRPr="0096252B">
        <w:rPr>
          <w:rFonts w:ascii="Arial" w:eastAsia="Arial" w:hAnsi="Arial" w:cs="Arial"/>
          <w:i/>
          <w:iCs/>
          <w:color w:val="222222"/>
          <w:highlight w:val="white"/>
        </w:rPr>
        <w:t>Jurnal</w:t>
      </w:r>
      <w:proofErr w:type="spellEnd"/>
      <w:r w:rsidRPr="0096252B">
        <w:rPr>
          <w:rFonts w:ascii="Arial" w:eastAsia="Arial" w:hAnsi="Arial" w:cs="Arial"/>
          <w:i/>
          <w:iCs/>
          <w:color w:val="222222"/>
          <w:highlight w:val="white"/>
        </w:rPr>
        <w:t xml:space="preserve"> Al-</w:t>
      </w:r>
      <w:proofErr w:type="spellStart"/>
      <w:r w:rsidRPr="0096252B">
        <w:rPr>
          <w:rFonts w:ascii="Arial" w:eastAsia="Arial" w:hAnsi="Arial" w:cs="Arial"/>
          <w:i/>
          <w:iCs/>
          <w:color w:val="222222"/>
          <w:highlight w:val="white"/>
        </w:rPr>
        <w:t>Ijtimaiyyah</w:t>
      </w:r>
      <w:proofErr w:type="spellEnd"/>
      <w:r w:rsidRPr="0096252B">
        <w:rPr>
          <w:rFonts w:ascii="Arial" w:eastAsia="Arial" w:hAnsi="Arial" w:cs="Arial"/>
          <w:color w:val="222222"/>
          <w:highlight w:val="white"/>
        </w:rPr>
        <w:t>, </w:t>
      </w:r>
      <w:r w:rsidRPr="0096252B">
        <w:rPr>
          <w:rFonts w:ascii="Arial" w:eastAsia="Arial" w:hAnsi="Arial" w:cs="Arial"/>
          <w:i/>
          <w:iCs/>
          <w:color w:val="222222"/>
          <w:highlight w:val="white"/>
        </w:rPr>
        <w:t>10</w:t>
      </w:r>
      <w:r w:rsidRPr="0096252B">
        <w:rPr>
          <w:rFonts w:ascii="Arial" w:eastAsia="Arial" w:hAnsi="Arial" w:cs="Arial"/>
          <w:color w:val="222222"/>
          <w:highlight w:val="white"/>
        </w:rPr>
        <w:t xml:space="preserve">(2), pp.175-195. </w:t>
      </w:r>
      <w:hyperlink r:id="rId41">
        <w:r w:rsidRPr="0096252B">
          <w:rPr>
            <w:rFonts w:ascii="Arial" w:eastAsia="Arial" w:hAnsi="Arial" w:cs="Arial"/>
            <w:color w:val="0000FF"/>
            <w:highlight w:val="white"/>
            <w:u w:val="single"/>
          </w:rPr>
          <w:t>https://jurnal.ar-raniry.ac.id/index.php/PMI/article/view/25639</w:t>
        </w:r>
      </w:hyperlink>
    </w:p>
    <w:p w14:paraId="209750CB"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Shaikh, S., Haque, R., Soomro, F.A., Amar, H. and Bhutto, S.A., (2021). Study of Brand Positioning Strategies, Cost &amp; Financial Control, and Competitive Advantage among International Fast-Food Chains: Mediation Analysis Using Structural Equation Modelling. </w:t>
      </w:r>
      <w:r w:rsidRPr="0096252B">
        <w:rPr>
          <w:rFonts w:ascii="Arial" w:eastAsia="Arial" w:hAnsi="Arial" w:cs="Arial"/>
          <w:i/>
          <w:iCs/>
          <w:color w:val="222222"/>
          <w:highlight w:val="white"/>
        </w:rPr>
        <w:t>Turkish Online Journal of Qualitative Inquiry</w:t>
      </w:r>
      <w:r w:rsidRPr="0096252B">
        <w:rPr>
          <w:rFonts w:ascii="Arial" w:eastAsia="Arial" w:hAnsi="Arial" w:cs="Arial"/>
          <w:color w:val="222222"/>
          <w:highlight w:val="white"/>
        </w:rPr>
        <w:t>, </w:t>
      </w:r>
      <w:r w:rsidRPr="0096252B">
        <w:rPr>
          <w:rFonts w:ascii="Arial" w:eastAsia="Arial" w:hAnsi="Arial" w:cs="Arial"/>
          <w:i/>
          <w:iCs/>
          <w:color w:val="222222"/>
          <w:highlight w:val="white"/>
        </w:rPr>
        <w:t>12</w:t>
      </w:r>
      <w:r w:rsidRPr="0096252B">
        <w:rPr>
          <w:rFonts w:ascii="Arial" w:eastAsia="Arial" w:hAnsi="Arial" w:cs="Arial"/>
          <w:color w:val="222222"/>
          <w:highlight w:val="white"/>
        </w:rPr>
        <w:t xml:space="preserve">(7), p.4113. </w:t>
      </w:r>
      <w:hyperlink r:id="rId42">
        <w:r w:rsidRPr="0096252B">
          <w:rPr>
            <w:rFonts w:ascii="Arial" w:eastAsia="Arial" w:hAnsi="Arial" w:cs="Arial"/>
            <w:color w:val="0000FF"/>
            <w:highlight w:val="white"/>
            <w:u w:val="single"/>
          </w:rPr>
          <w:t>https://www.researchgate.net/profile/Saifullah-Shaikh-2/publication/354031011_Study_of_Brand_Positioning_Strategies_Cost_Financial_Control_and_Competitive_Advantage_among_International_Fast-Food_Chains_Mediation_Analysis_Using_Structural_Equation_Modelling/links/611fbd8d1ca20f6f86381e89/Study-of-Brand-Positioning-Strategies-Cost-Financial-Control-and-Competitive-Advantage-among-International-Fast-Food-Chains-Mediation-Analysis-Using-Structural-Equation-Modelling.pdf</w:t>
        </w:r>
      </w:hyperlink>
    </w:p>
    <w:p w14:paraId="6803476C" w14:textId="77777777" w:rsidR="0096252B" w:rsidRPr="0096252B" w:rsidRDefault="0096252B">
      <w:pPr>
        <w:spacing w:after="240"/>
        <w:rPr>
          <w:rFonts w:ascii="Arial" w:eastAsia="Arial" w:hAnsi="Arial" w:cs="Arial"/>
        </w:rPr>
      </w:pPr>
      <w:proofErr w:type="spellStart"/>
      <w:r w:rsidRPr="0096252B">
        <w:rPr>
          <w:rFonts w:ascii="Arial" w:eastAsia="Arial" w:hAnsi="Arial" w:cs="Arial"/>
          <w:color w:val="222222"/>
          <w:highlight w:val="white"/>
        </w:rPr>
        <w:t>Shiroya</w:t>
      </w:r>
      <w:proofErr w:type="spellEnd"/>
      <w:r w:rsidRPr="0096252B">
        <w:rPr>
          <w:rFonts w:ascii="Arial" w:eastAsia="Arial" w:hAnsi="Arial" w:cs="Arial"/>
          <w:color w:val="222222"/>
          <w:highlight w:val="white"/>
        </w:rPr>
        <w:t>, A.H. and Robinson, R.J., (2023). Strategic risk management case analysis of restaurant industry. </w:t>
      </w:r>
      <w:r w:rsidRPr="0096252B">
        <w:rPr>
          <w:rFonts w:ascii="Arial" w:eastAsia="Arial" w:hAnsi="Arial" w:cs="Arial"/>
          <w:i/>
          <w:iCs/>
          <w:color w:val="222222"/>
          <w:highlight w:val="white"/>
        </w:rPr>
        <w:t xml:space="preserve">Global Journal of Tourism, Leisure and Hospitality </w:t>
      </w:r>
      <w:r w:rsidRPr="0096252B">
        <w:rPr>
          <w:rFonts w:ascii="Arial" w:eastAsia="Arial" w:hAnsi="Arial" w:cs="Arial"/>
          <w:i/>
          <w:iCs/>
          <w:color w:val="222222"/>
          <w:highlight w:val="white"/>
        </w:rPr>
        <w:lastRenderedPageBreak/>
        <w:t>Management</w:t>
      </w:r>
      <w:r w:rsidRPr="0096252B">
        <w:rPr>
          <w:rFonts w:ascii="Arial" w:eastAsia="Arial" w:hAnsi="Arial" w:cs="Arial"/>
          <w:color w:val="222222"/>
          <w:highlight w:val="white"/>
        </w:rPr>
        <w:t>, </w:t>
      </w:r>
      <w:r w:rsidRPr="0096252B">
        <w:rPr>
          <w:rFonts w:ascii="Arial" w:eastAsia="Arial" w:hAnsi="Arial" w:cs="Arial"/>
          <w:i/>
          <w:iCs/>
          <w:color w:val="222222"/>
          <w:highlight w:val="white"/>
        </w:rPr>
        <w:t>1</w:t>
      </w:r>
      <w:r w:rsidRPr="0096252B">
        <w:rPr>
          <w:rFonts w:ascii="Arial" w:eastAsia="Arial" w:hAnsi="Arial" w:cs="Arial"/>
          <w:color w:val="222222"/>
          <w:highlight w:val="white"/>
        </w:rPr>
        <w:t xml:space="preserve">, pp.1-14. </w:t>
      </w:r>
      <w:hyperlink r:id="rId43">
        <w:r w:rsidRPr="0096252B">
          <w:rPr>
            <w:rFonts w:ascii="Arial" w:eastAsia="Arial" w:hAnsi="Arial" w:cs="Arial"/>
            <w:color w:val="0000FF"/>
            <w:highlight w:val="white"/>
            <w:u w:val="single"/>
          </w:rPr>
          <w:t>https://www.researchgate.net/profile/Rachel-John-Robinson/publication/378103777_Strategic_and_Risk_Management_Case_Analysis_of_Restaurant_Industry/links/65c685bb1e1ec12eff7de765/Strategic-and-Risk-Management-Case-Analysis-of-Restaurant-Industry.pdf</w:t>
        </w:r>
      </w:hyperlink>
    </w:p>
    <w:p w14:paraId="60D7F11B" w14:textId="77777777" w:rsidR="0096252B" w:rsidRPr="0096252B" w:rsidRDefault="0096252B">
      <w:pPr>
        <w:spacing w:after="240"/>
        <w:rPr>
          <w:rFonts w:ascii="Arial" w:eastAsia="Arial" w:hAnsi="Arial" w:cs="Arial"/>
        </w:rPr>
      </w:pPr>
      <w:r w:rsidRPr="0096252B">
        <w:rPr>
          <w:rFonts w:ascii="Arial" w:eastAsia="Arial" w:hAnsi="Arial" w:cs="Arial"/>
        </w:rPr>
        <w:t xml:space="preserve">SP, (2026). </w:t>
      </w:r>
      <w:r w:rsidRPr="0096252B">
        <w:rPr>
          <w:rFonts w:ascii="Arial" w:eastAsia="Arial" w:hAnsi="Arial" w:cs="Arial"/>
          <w:i/>
          <w:iCs/>
        </w:rPr>
        <w:t>Gibbs Reflective Cycle.</w:t>
      </w:r>
      <w:r w:rsidRPr="0096252B">
        <w:rPr>
          <w:rFonts w:ascii="Arial" w:eastAsia="Arial" w:hAnsi="Arial" w:cs="Arial"/>
        </w:rPr>
        <w:t xml:space="preserve"> Available at: </w:t>
      </w:r>
      <w:hyperlink r:id="rId44">
        <w:r w:rsidRPr="0096252B">
          <w:rPr>
            <w:rFonts w:ascii="Arial" w:eastAsia="Arial" w:hAnsi="Arial" w:cs="Arial"/>
            <w:color w:val="0000FF"/>
            <w:u w:val="single"/>
          </w:rPr>
          <w:t>https://www.simplypsychology.org/gibbs-reflective-cycle.html</w:t>
        </w:r>
      </w:hyperlink>
      <w:r w:rsidRPr="0096252B">
        <w:rPr>
          <w:rFonts w:ascii="Arial" w:eastAsia="Arial" w:hAnsi="Arial" w:cs="Arial"/>
        </w:rPr>
        <w:t xml:space="preserve"> [Accessed on 07.08.2026].</w:t>
      </w:r>
    </w:p>
    <w:p w14:paraId="57498C7F" w14:textId="77777777" w:rsidR="0096252B" w:rsidRPr="0096252B" w:rsidRDefault="0096252B">
      <w:pPr>
        <w:spacing w:after="240"/>
        <w:rPr>
          <w:rFonts w:ascii="Arial" w:eastAsia="Arial" w:hAnsi="Arial" w:cs="Arial"/>
        </w:rPr>
      </w:pPr>
      <w:r w:rsidRPr="0096252B">
        <w:rPr>
          <w:rFonts w:ascii="Arial" w:eastAsia="Arial" w:hAnsi="Arial" w:cs="Arial"/>
        </w:rPr>
        <w:t xml:space="preserve">TCF, (2026). </w:t>
      </w:r>
      <w:r w:rsidRPr="0096252B">
        <w:rPr>
          <w:rFonts w:ascii="Arial" w:eastAsia="Arial" w:hAnsi="Arial" w:cs="Arial"/>
          <w:i/>
          <w:iCs/>
        </w:rPr>
        <w:t>India vs United States.</w:t>
      </w:r>
      <w:r w:rsidRPr="0096252B">
        <w:rPr>
          <w:rFonts w:ascii="Arial" w:eastAsia="Arial" w:hAnsi="Arial" w:cs="Arial"/>
        </w:rPr>
        <w:t xml:space="preserve"> Available at: </w:t>
      </w:r>
      <w:hyperlink r:id="rId45">
        <w:r w:rsidRPr="0096252B">
          <w:rPr>
            <w:rFonts w:ascii="Arial" w:eastAsia="Arial" w:hAnsi="Arial" w:cs="Arial"/>
            <w:color w:val="0000FF"/>
            <w:u w:val="single"/>
          </w:rPr>
          <w:t>https://www.theculturefactor.com/country-comparison-tool?countries=india%2Cunited+states</w:t>
        </w:r>
      </w:hyperlink>
      <w:r w:rsidRPr="0096252B">
        <w:rPr>
          <w:rFonts w:ascii="Arial" w:eastAsia="Arial" w:hAnsi="Arial" w:cs="Arial"/>
        </w:rPr>
        <w:t xml:space="preserve"> [Accessed on 04.08.2026].</w:t>
      </w:r>
    </w:p>
    <w:p w14:paraId="3B9FCF5C" w14:textId="77777777" w:rsidR="0096252B" w:rsidRPr="0096252B" w:rsidRDefault="0096252B">
      <w:pPr>
        <w:spacing w:after="240"/>
        <w:rPr>
          <w:rFonts w:ascii="Arial" w:eastAsia="Arial" w:hAnsi="Arial" w:cs="Arial"/>
        </w:rPr>
      </w:pPr>
      <w:r w:rsidRPr="0096252B">
        <w:rPr>
          <w:rFonts w:ascii="Arial" w:eastAsia="Arial" w:hAnsi="Arial" w:cs="Arial"/>
        </w:rPr>
        <w:t xml:space="preserve">TE, (2026). </w:t>
      </w:r>
      <w:r w:rsidRPr="0096252B">
        <w:rPr>
          <w:rFonts w:ascii="Arial" w:eastAsia="Arial" w:hAnsi="Arial" w:cs="Arial"/>
          <w:i/>
          <w:iCs/>
        </w:rPr>
        <w:t xml:space="preserve">India Indicators. </w:t>
      </w:r>
      <w:r w:rsidRPr="0096252B">
        <w:rPr>
          <w:rFonts w:ascii="Arial" w:eastAsia="Arial" w:hAnsi="Arial" w:cs="Arial"/>
        </w:rPr>
        <w:t xml:space="preserve">Available at: </w:t>
      </w:r>
      <w:hyperlink r:id="rId46">
        <w:r w:rsidRPr="0096252B">
          <w:rPr>
            <w:rFonts w:ascii="Arial" w:eastAsia="Arial" w:hAnsi="Arial" w:cs="Arial"/>
            <w:color w:val="0000FF"/>
            <w:u w:val="single"/>
          </w:rPr>
          <w:t>https://tradingeconomics.com/india/indicators</w:t>
        </w:r>
      </w:hyperlink>
      <w:r w:rsidRPr="0096252B">
        <w:rPr>
          <w:rFonts w:ascii="Arial" w:eastAsia="Arial" w:hAnsi="Arial" w:cs="Arial"/>
        </w:rPr>
        <w:t xml:space="preserve"> [Accessed on 05.08.2026].</w:t>
      </w:r>
    </w:p>
    <w:p w14:paraId="7CE2D37C"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Teoh, K.B., Cordova, M., Hasanah, N.N., Utama, A.G.S., </w:t>
      </w:r>
      <w:proofErr w:type="spellStart"/>
      <w:r w:rsidRPr="0096252B">
        <w:rPr>
          <w:rFonts w:ascii="Arial" w:eastAsia="Arial" w:hAnsi="Arial" w:cs="Arial"/>
          <w:color w:val="222222"/>
          <w:highlight w:val="white"/>
        </w:rPr>
        <w:t>Syazana</w:t>
      </w:r>
      <w:proofErr w:type="spellEnd"/>
      <w:r w:rsidRPr="0096252B">
        <w:rPr>
          <w:rFonts w:ascii="Arial" w:eastAsia="Arial" w:hAnsi="Arial" w:cs="Arial"/>
          <w:color w:val="222222"/>
          <w:highlight w:val="white"/>
        </w:rPr>
        <w:t xml:space="preserve">, A., Kee, D.M.H., Azrul, A., Raziq, A. and Ang, B.L., (2021). Factors Influencing Customers’ Purchasing </w:t>
      </w:r>
      <w:proofErr w:type="spellStart"/>
      <w:r w:rsidRPr="0096252B">
        <w:rPr>
          <w:rFonts w:ascii="Arial" w:eastAsia="Arial" w:hAnsi="Arial" w:cs="Arial"/>
          <w:color w:val="222222"/>
          <w:highlight w:val="white"/>
        </w:rPr>
        <w:t>Behavior</w:t>
      </w:r>
      <w:proofErr w:type="spellEnd"/>
      <w:r w:rsidRPr="0096252B">
        <w:rPr>
          <w:rFonts w:ascii="Arial" w:eastAsia="Arial" w:hAnsi="Arial" w:cs="Arial"/>
          <w:color w:val="222222"/>
          <w:highlight w:val="white"/>
        </w:rPr>
        <w:t xml:space="preserve"> and Satisfaction in Pizza Hut. </w:t>
      </w:r>
      <w:r w:rsidRPr="0096252B">
        <w:rPr>
          <w:rFonts w:ascii="Arial" w:eastAsia="Arial" w:hAnsi="Arial" w:cs="Arial"/>
          <w:i/>
          <w:iCs/>
          <w:color w:val="222222"/>
          <w:highlight w:val="white"/>
        </w:rPr>
        <w:t>Advances in Global Economics and Business Journal</w:t>
      </w:r>
      <w:r w:rsidRPr="0096252B">
        <w:rPr>
          <w:rFonts w:ascii="Arial" w:eastAsia="Arial" w:hAnsi="Arial" w:cs="Arial"/>
          <w:color w:val="222222"/>
          <w:highlight w:val="white"/>
        </w:rPr>
        <w:t>, </w:t>
      </w:r>
      <w:r w:rsidRPr="0096252B">
        <w:rPr>
          <w:rFonts w:ascii="Arial" w:eastAsia="Arial" w:hAnsi="Arial" w:cs="Arial"/>
          <w:i/>
          <w:iCs/>
          <w:color w:val="222222"/>
          <w:highlight w:val="white"/>
        </w:rPr>
        <w:t>2</w:t>
      </w:r>
      <w:r w:rsidRPr="0096252B">
        <w:rPr>
          <w:rFonts w:ascii="Arial" w:eastAsia="Arial" w:hAnsi="Arial" w:cs="Arial"/>
          <w:color w:val="222222"/>
          <w:highlight w:val="white"/>
        </w:rPr>
        <w:t>(1), pp.39-56.</w:t>
      </w:r>
      <w:r w:rsidRPr="0096252B">
        <w:rPr>
          <w:rFonts w:ascii="Arial" w:eastAsia="Arial" w:hAnsi="Arial" w:cs="Arial"/>
        </w:rPr>
        <w:t xml:space="preserve"> </w:t>
      </w:r>
      <w:hyperlink r:id="rId47">
        <w:r w:rsidRPr="0096252B">
          <w:rPr>
            <w:rFonts w:ascii="Arial" w:eastAsia="Arial" w:hAnsi="Arial" w:cs="Arial"/>
            <w:color w:val="0000FF"/>
            <w:highlight w:val="white"/>
            <w:u w:val="single"/>
          </w:rPr>
          <w:t>http://agebj.org/index.php/agebj/article/view/26</w:t>
        </w:r>
      </w:hyperlink>
    </w:p>
    <w:p w14:paraId="24D83ECC" w14:textId="77777777" w:rsidR="0096252B" w:rsidRPr="0096252B" w:rsidRDefault="0096252B">
      <w:pPr>
        <w:spacing w:after="240"/>
        <w:rPr>
          <w:rFonts w:ascii="Arial" w:eastAsia="Arial" w:hAnsi="Arial" w:cs="Arial"/>
        </w:rPr>
      </w:pPr>
      <w:r w:rsidRPr="0096252B">
        <w:rPr>
          <w:rFonts w:ascii="Arial" w:eastAsia="Arial" w:hAnsi="Arial" w:cs="Arial"/>
        </w:rPr>
        <w:t xml:space="preserve">Yum. (2026). </w:t>
      </w:r>
      <w:r w:rsidRPr="0096252B">
        <w:rPr>
          <w:rFonts w:ascii="Arial" w:eastAsia="Arial" w:hAnsi="Arial" w:cs="Arial"/>
          <w:i/>
          <w:iCs/>
        </w:rPr>
        <w:t xml:space="preserve">Pizza Hut. </w:t>
      </w:r>
      <w:r w:rsidRPr="0096252B">
        <w:rPr>
          <w:rFonts w:ascii="Arial" w:eastAsia="Arial" w:hAnsi="Arial" w:cs="Arial"/>
        </w:rPr>
        <w:t xml:space="preserve">Available at: </w:t>
      </w:r>
      <w:hyperlink r:id="rId48">
        <w:r w:rsidRPr="0096252B">
          <w:rPr>
            <w:rFonts w:ascii="Arial" w:eastAsia="Arial" w:hAnsi="Arial" w:cs="Arial"/>
            <w:color w:val="1155CC"/>
            <w:u w:val="single"/>
          </w:rPr>
          <w:t>https://www.yum.com/wps/portal/yumbrands/Yumbrands/company/our-brands/pizza-hut</w:t>
        </w:r>
      </w:hyperlink>
      <w:r w:rsidRPr="0096252B">
        <w:rPr>
          <w:rFonts w:ascii="Arial" w:eastAsia="Arial" w:hAnsi="Arial" w:cs="Arial"/>
        </w:rPr>
        <w:t xml:space="preserve"> [Accessed on 01.08.2026].</w:t>
      </w:r>
    </w:p>
    <w:p w14:paraId="16EDF09A" w14:textId="77777777" w:rsidR="0096252B" w:rsidRPr="0096252B" w:rsidRDefault="0096252B">
      <w:pPr>
        <w:spacing w:after="240"/>
        <w:rPr>
          <w:rFonts w:ascii="Arial" w:eastAsia="Arial" w:hAnsi="Arial" w:cs="Arial"/>
        </w:rPr>
      </w:pPr>
      <w:r w:rsidRPr="0096252B">
        <w:rPr>
          <w:rFonts w:ascii="Arial" w:eastAsia="Arial" w:hAnsi="Arial" w:cs="Arial"/>
          <w:color w:val="222222"/>
          <w:highlight w:val="white"/>
        </w:rPr>
        <w:t xml:space="preserve">Zed, E.Z., Kartini, T.M. and Nugroho, A.P., (2024). The effect of brand image and brand awareness on purchasing decisions of pizza hut, Lippo </w:t>
      </w:r>
      <w:proofErr w:type="spellStart"/>
      <w:r w:rsidRPr="0096252B">
        <w:rPr>
          <w:rFonts w:ascii="Arial" w:eastAsia="Arial" w:hAnsi="Arial" w:cs="Arial"/>
          <w:color w:val="222222"/>
          <w:highlight w:val="white"/>
        </w:rPr>
        <w:t>Cikarang</w:t>
      </w:r>
      <w:proofErr w:type="spellEnd"/>
      <w:r w:rsidRPr="0096252B">
        <w:rPr>
          <w:rFonts w:ascii="Arial" w:eastAsia="Arial" w:hAnsi="Arial" w:cs="Arial"/>
          <w:color w:val="222222"/>
          <w:highlight w:val="white"/>
        </w:rPr>
        <w:t xml:space="preserve"> mall branch. </w:t>
      </w:r>
      <w:proofErr w:type="spellStart"/>
      <w:r w:rsidRPr="0096252B">
        <w:rPr>
          <w:rFonts w:ascii="Arial" w:eastAsia="Arial" w:hAnsi="Arial" w:cs="Arial"/>
          <w:i/>
          <w:iCs/>
          <w:color w:val="222222"/>
          <w:highlight w:val="white"/>
        </w:rPr>
        <w:t>Jurnal</w:t>
      </w:r>
      <w:proofErr w:type="spellEnd"/>
      <w:r w:rsidRPr="0096252B">
        <w:rPr>
          <w:rFonts w:ascii="Arial" w:eastAsia="Arial" w:hAnsi="Arial" w:cs="Arial"/>
          <w:i/>
          <w:iCs/>
          <w:color w:val="222222"/>
          <w:highlight w:val="white"/>
        </w:rPr>
        <w:t xml:space="preserve"> Ekonomi</w:t>
      </w:r>
      <w:r w:rsidRPr="0096252B">
        <w:rPr>
          <w:rFonts w:ascii="Arial" w:eastAsia="Arial" w:hAnsi="Arial" w:cs="Arial"/>
          <w:color w:val="222222"/>
          <w:highlight w:val="white"/>
        </w:rPr>
        <w:t>, </w:t>
      </w:r>
      <w:r w:rsidRPr="0096252B">
        <w:rPr>
          <w:rFonts w:ascii="Arial" w:eastAsia="Arial" w:hAnsi="Arial" w:cs="Arial"/>
          <w:i/>
          <w:iCs/>
          <w:color w:val="222222"/>
          <w:highlight w:val="white"/>
        </w:rPr>
        <w:t>13</w:t>
      </w:r>
      <w:r w:rsidRPr="0096252B">
        <w:rPr>
          <w:rFonts w:ascii="Arial" w:eastAsia="Arial" w:hAnsi="Arial" w:cs="Arial"/>
          <w:color w:val="222222"/>
          <w:highlight w:val="white"/>
        </w:rPr>
        <w:t xml:space="preserve">(01), pp.702-716. </w:t>
      </w:r>
      <w:hyperlink r:id="rId49">
        <w:r w:rsidRPr="0096252B">
          <w:rPr>
            <w:rFonts w:ascii="Arial" w:eastAsia="Arial" w:hAnsi="Arial" w:cs="Arial"/>
            <w:color w:val="0000FF"/>
            <w:highlight w:val="white"/>
            <w:u w:val="single"/>
          </w:rPr>
          <w:t>https://ejournal.seaninstitute.or.id/index.php/Ekonomi/article/view/3488</w:t>
        </w:r>
      </w:hyperlink>
    </w:p>
    <w:sectPr w:rsidR="0096252B" w:rsidRPr="0096252B">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D7B59" w14:textId="77777777" w:rsidR="0038673C" w:rsidRDefault="0038673C">
      <w:pPr>
        <w:spacing w:line="240" w:lineRule="auto"/>
      </w:pPr>
      <w:r>
        <w:separator/>
      </w:r>
    </w:p>
  </w:endnote>
  <w:endnote w:type="continuationSeparator" w:id="0">
    <w:p w14:paraId="46136021" w14:textId="77777777" w:rsidR="0038673C" w:rsidRDefault="003867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EE59C87-8313-43E0-AEE6-1BF30249921D}"/>
    <w:embedBold r:id="rId2" w:fontKey="{56E3625E-9188-4855-8F96-0C2326DA9283}"/>
  </w:font>
  <w:font w:name="Cambria">
    <w:panose1 w:val="02040503050406030204"/>
    <w:charset w:val="00"/>
    <w:family w:val="roman"/>
    <w:pitch w:val="variable"/>
    <w:sig w:usb0="E00006FF" w:usb1="420024FF" w:usb2="02000000" w:usb3="00000000" w:csb0="0000019F" w:csb1="00000000"/>
    <w:embedRegular r:id="rId3" w:fontKey="{C75DF741-139D-4E5E-8327-B44742297CB5}"/>
    <w:embedBold r:id="rId4" w:fontKey="{FDF419CA-FEB2-4C26-9B7A-E4326D2D74B8}"/>
    <w:embedBoldItalic r:id="rId5" w:fontKey="{2F2E1EF6-8C17-4D4A-A902-5769D9B04E36}"/>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76A1A" w14:textId="77777777" w:rsidR="00990CB8" w:rsidRDefault="002530F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5D6E5C08" w14:textId="77777777" w:rsidR="00990CB8" w:rsidRDefault="00990CB8">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15F29" w14:textId="77777777" w:rsidR="00990CB8" w:rsidRDefault="002530F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6252B">
      <w:rPr>
        <w:noProof/>
        <w:color w:val="000000"/>
      </w:rPr>
      <w:t>1</w:t>
    </w:r>
    <w:r>
      <w:rPr>
        <w:color w:val="000000"/>
      </w:rPr>
      <w:fldChar w:fldCharType="end"/>
    </w:r>
  </w:p>
  <w:p w14:paraId="20EC6291" w14:textId="77777777" w:rsidR="00990CB8" w:rsidRDefault="00990CB8">
    <w:pPr>
      <w:pBdr>
        <w:top w:val="nil"/>
        <w:left w:val="nil"/>
        <w:bottom w:val="nil"/>
        <w:right w:val="nil"/>
        <w:between w:val="nil"/>
      </w:pBdr>
      <w:tabs>
        <w:tab w:val="center" w:pos="4680"/>
        <w:tab w:val="right" w:pos="9360"/>
      </w:tabs>
      <w:spacing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FE01D" w14:textId="77777777" w:rsidR="00990CB8" w:rsidRDefault="00990CB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4A309" w14:textId="77777777" w:rsidR="0038673C" w:rsidRDefault="0038673C">
      <w:pPr>
        <w:spacing w:line="240" w:lineRule="auto"/>
      </w:pPr>
      <w:r>
        <w:separator/>
      </w:r>
    </w:p>
  </w:footnote>
  <w:footnote w:type="continuationSeparator" w:id="0">
    <w:p w14:paraId="46FAFBF5" w14:textId="77777777" w:rsidR="0038673C" w:rsidRDefault="003867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7281A" w14:textId="77777777" w:rsidR="00990CB8" w:rsidRDefault="00990CB8">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2AF4E3" w14:textId="77777777" w:rsidR="00990CB8" w:rsidRDefault="00990CB8">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639F9" w14:textId="77777777" w:rsidR="00990CB8" w:rsidRDefault="00990CB8">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381BB1"/>
    <w:multiLevelType w:val="multilevel"/>
    <w:tmpl w:val="3190E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4112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CB8"/>
    <w:rsid w:val="00234FD6"/>
    <w:rsid w:val="002530F0"/>
    <w:rsid w:val="0038673C"/>
    <w:rsid w:val="0096252B"/>
    <w:rsid w:val="00990CB8"/>
    <w:rsid w:val="00D75EB8"/>
    <w:rsid w:val="00FA0A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7FF2F"/>
  <w15:docId w15:val="{BE3EF4E0-DED5-46FE-9DF7-86D2D2D98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paragraph" w:styleId="Header">
    <w:name w:val="header"/>
    <w:basedOn w:val="Normal"/>
    <w:link w:val="HeaderChar"/>
    <w:uiPriority w:val="99"/>
    <w:unhideWhenUsed/>
    <w:rsid w:val="00B8730F"/>
    <w:pPr>
      <w:tabs>
        <w:tab w:val="center" w:pos="4680"/>
        <w:tab w:val="right" w:pos="9360"/>
      </w:tabs>
      <w:spacing w:line="240" w:lineRule="auto"/>
    </w:pPr>
  </w:style>
  <w:style w:type="character" w:customStyle="1" w:styleId="HeaderChar">
    <w:name w:val="Header Char"/>
    <w:basedOn w:val="DefaultParagraphFont"/>
    <w:link w:val="Header"/>
    <w:uiPriority w:val="99"/>
    <w:rsid w:val="00B8730F"/>
  </w:style>
  <w:style w:type="paragraph" w:styleId="Footer">
    <w:name w:val="footer"/>
    <w:basedOn w:val="Normal"/>
    <w:link w:val="FooterChar"/>
    <w:uiPriority w:val="99"/>
    <w:unhideWhenUsed/>
    <w:rsid w:val="00B8730F"/>
    <w:pPr>
      <w:tabs>
        <w:tab w:val="center" w:pos="4680"/>
        <w:tab w:val="right" w:pos="9360"/>
      </w:tabs>
      <w:spacing w:line="240" w:lineRule="auto"/>
    </w:pPr>
  </w:style>
  <w:style w:type="character" w:customStyle="1" w:styleId="FooterChar">
    <w:name w:val="Footer Char"/>
    <w:basedOn w:val="DefaultParagraphFont"/>
    <w:link w:val="Footer"/>
    <w:uiPriority w:val="99"/>
    <w:rsid w:val="00B8730F"/>
  </w:style>
  <w:style w:type="character" w:styleId="Hyperlink">
    <w:name w:val="Hyperlink"/>
    <w:basedOn w:val="DefaultParagraphFont"/>
    <w:uiPriority w:val="99"/>
    <w:unhideWhenUsed/>
    <w:rsid w:val="00933FEF"/>
    <w:rPr>
      <w:color w:val="0000FF" w:themeColor="hyperlink"/>
      <w:u w:val="single"/>
    </w:rPr>
  </w:style>
  <w:style w:type="character" w:styleId="PageNumber">
    <w:name w:val="page number"/>
    <w:basedOn w:val="DefaultParagraphFont"/>
    <w:uiPriority w:val="99"/>
    <w:semiHidden/>
    <w:unhideWhenUsed/>
    <w:rsid w:val="00E6695F"/>
  </w:style>
  <w:style w:type="paragraph" w:styleId="TOCHeading">
    <w:name w:val="TOC Heading"/>
    <w:basedOn w:val="Heading1"/>
    <w:next w:val="Normal"/>
    <w:uiPriority w:val="39"/>
    <w:unhideWhenUsed/>
    <w:qFormat/>
    <w:rsid w:val="00E6695F"/>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E6695F"/>
    <w:pPr>
      <w:spacing w:before="120"/>
      <w:jc w:val="left"/>
    </w:pPr>
    <w:rPr>
      <w:rFonts w:asciiTheme="minorHAnsi" w:hAnsiTheme="minorHAnsi"/>
      <w:b/>
      <w:bCs/>
      <w:i/>
      <w:iCs/>
    </w:rPr>
  </w:style>
  <w:style w:type="paragraph" w:styleId="TOC2">
    <w:name w:val="toc 2"/>
    <w:basedOn w:val="Normal"/>
    <w:next w:val="Normal"/>
    <w:autoRedefine/>
    <w:uiPriority w:val="39"/>
    <w:unhideWhenUsed/>
    <w:rsid w:val="00E6695F"/>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E6695F"/>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E6695F"/>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E6695F"/>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E6695F"/>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E6695F"/>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E6695F"/>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E6695F"/>
    <w:pPr>
      <w:ind w:left="1920"/>
      <w:jc w:val="left"/>
    </w:pPr>
    <w:rPr>
      <w:rFonts w:asciiTheme="minorHAnsi" w:hAnsiTheme="minorHAnsi"/>
      <w:sz w:val="20"/>
      <w:szCs w:val="2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decisionsadvisors.com/reports/india-quick-service-restaurants-qsr-market" TargetMode="External"/><Relationship Id="rId26" Type="http://schemas.openxmlformats.org/officeDocument/2006/relationships/hyperlink" Target="http://jurnal.itsm.ac.id/index.php/eproceeding/article/view/804" TargetMode="External"/><Relationship Id="rId39" Type="http://schemas.openxmlformats.org/officeDocument/2006/relationships/hyperlink" Target="http://journal.tofedu.or.id/index.php/journal/article/view/1111" TargetMode="External"/><Relationship Id="rId21" Type="http://schemas.openxmlformats.org/officeDocument/2006/relationships/hyperlink" Target="http://journal.msti-indonesia.com/index.php/ijer/article/view/333" TargetMode="External"/><Relationship Id="rId34" Type="http://schemas.openxmlformats.org/officeDocument/2006/relationships/hyperlink" Target="http://stiemuttaqien.ac.id/ojs/index.php/OJS/article/view/1388" TargetMode="External"/><Relationship Id="rId42" Type="http://schemas.openxmlformats.org/officeDocument/2006/relationships/hyperlink" Target="https://www.researchgate.net/profile/Saifullah-Shaikh-2/publication/354031011_Study_of_Brand_Positioning_Strategies_Cost_Financial_Control_and_Competitive_Advantage_among_International_Fast-Food_Chains_Mediation_Analysis_Using_Structural_Equation_Modelling/links/611fbd8d1ca20f6f86381e89/Study-of-Brand-Positioning-Strategies-Cost-Financial-Control-and-Competitive-Advantage-among-International-Fast-Food-Chains-Mediation-Analysis-Using-Structural-Equation-Modelling.pdf" TargetMode="External"/><Relationship Id="rId47" Type="http://schemas.openxmlformats.org/officeDocument/2006/relationships/hyperlink" Target="http://agebj.org/index.php/agebj/article/view/26"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a.gov/" TargetMode="External"/><Relationship Id="rId29" Type="http://schemas.openxmlformats.org/officeDocument/2006/relationships/hyperlink" Target="https://search.informit.org/doi/abs/10.3316/informit.191541276970614" TargetMode="External"/><Relationship Id="rId11" Type="http://schemas.openxmlformats.org/officeDocument/2006/relationships/image" Target="media/image4.png"/><Relationship Id="rId24" Type="http://schemas.openxmlformats.org/officeDocument/2006/relationships/hyperlink" Target="https://www.grandviewresearch.com/horizon/statistics/fast-food-quick-service-restaurant-market/cuisine/american/global" TargetMode="External"/><Relationship Id="rId32" Type="http://schemas.openxmlformats.org/officeDocument/2006/relationships/hyperlink" Target="https://link.springer.com/article/10.1007/s12551-021-00852-3" TargetMode="External"/><Relationship Id="rId37" Type="http://schemas.openxmlformats.org/officeDocument/2006/relationships/hyperlink" Target="https://journals.sagepub.com/doi/abs/10.1177/1475725720966190" TargetMode="External"/><Relationship Id="rId40" Type="http://schemas.openxmlformats.org/officeDocument/2006/relationships/hyperlink" Target="http://abadiinstitute.org/index.php/GEMILANG/article/view/15" TargetMode="External"/><Relationship Id="rId45" Type="http://schemas.openxmlformats.org/officeDocument/2006/relationships/hyperlink" Target="https://www.theculturefactor.com/country-comparison-tool?countries=india%2Cunited+states" TargetMode="External"/><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sljmuok.sljol.info/en/articles/10.4038/sljmuok.v11i1.206"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www.forbes.com/sites/garyocchiogrosso/2025/01/15/top-2025-qsr-trends-ai--global-flavors-and-experiential-dining/" TargetMode="External"/><Relationship Id="rId27" Type="http://schemas.openxmlformats.org/officeDocument/2006/relationships/hyperlink" Target="https://www.ibef.org/news/icra-projects-about-20-25-growth-for-india-s-quick-service-restaurant-industry-in-fy24" TargetMode="External"/><Relationship Id="rId30" Type="http://schemas.openxmlformats.org/officeDocument/2006/relationships/hyperlink" Target="https://books.google.com/books?hl=en&amp;lr=&amp;id=ZEp3EQAAQBAJ&amp;oi=fnd&amp;pg=PR3&amp;dq=The+USA+offers+a+clear+legal+system,&amp;ots=HNj3iaSw54&amp;sig=lizLQdDUBs7Fg1WO3-f_AoPrHXM" TargetMode="External"/><Relationship Id="rId35" Type="http://schemas.openxmlformats.org/officeDocument/2006/relationships/hyperlink" Target="https://academic.oup.com/comjnl/article-abstract/66/7/1777/6565162" TargetMode="External"/><Relationship Id="rId43" Type="http://schemas.openxmlformats.org/officeDocument/2006/relationships/hyperlink" Target="https://www.researchgate.net/profile/Rachel-John-Robinson/publication/378103777_Strategic_and_Risk_Management_Case_Analysis_of_Restaurant_Industry/links/65c685bb1e1ec12eff7de765/Strategic-and-Risk-Management-Case-Analysis-of-Restaurant-Industry.pdf" TargetMode="External"/><Relationship Id="rId48" Type="http://schemas.openxmlformats.org/officeDocument/2006/relationships/hyperlink" Target="https://www.yum.com/wps/portal/yumbrands/Yumbrands/company/our-brands/pizza-hut"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Jahid-Siraz/publication/383501361_PHD_as_Pizza_Hut_Delivering_Model_'Righting_Wrongs'_How_Long/links/66d2fd472390e50b2c21e39f/PHD-as-Pizza-Hut-Delivering-Model-Righting-Wrongs-How-Long.pdf" TargetMode="External"/><Relationship Id="rId25" Type="http://schemas.openxmlformats.org/officeDocument/2006/relationships/hyperlink" Target="https://www.mordorintelligence.com/industry-reports/india-quick-service-restaurant-market" TargetMode="External"/><Relationship Id="rId33" Type="http://schemas.openxmlformats.org/officeDocument/2006/relationships/hyperlink" Target="https://www.mordorintelligence.com/industry-reports/united-states-quick-service-restaurants-market" TargetMode="External"/><Relationship Id="rId38" Type="http://schemas.openxmlformats.org/officeDocument/2006/relationships/hyperlink" Target="https://www.researchandmarkets.com/reports/6062967/united-states-fast-food-quick-services?srsltid=AfmBOoqf9yYf4WPcMsRZWWtoeB2OAsQkL3skBb7kPL8Dq4-zpEJtrW8U" TargetMode="External"/><Relationship Id="rId46" Type="http://schemas.openxmlformats.org/officeDocument/2006/relationships/hyperlink" Target="https://tradingeconomics.com/india/indicators" TargetMode="External"/><Relationship Id="rId20" Type="http://schemas.openxmlformats.org/officeDocument/2006/relationships/hyperlink" Target="https://www.researchgate.net/profile/Saraniya-Devendra/publication/369691964_IMPACT_OF_MOBILE_MARKETING_ON_BRAND_EQUITY_WITH_SPECIAL_REFERENCE_TO_PIZZA_HUT_SRI_LANKA/links/6427f3c9315dfb4ccec3633f/IMPACT-OF-MOBILE-MARKETING-ON-BRAND-EQUITY-WITH-SPECIAL-REFERENCE-TO-PIZZA-HUT-SRI-LANKA.pdf" TargetMode="External"/><Relationship Id="rId41" Type="http://schemas.openxmlformats.org/officeDocument/2006/relationships/hyperlink" Target="https://jurnal.ar-raniry.ac.id/index.php/PMI/article/view/25639"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nk.springer.com/article/10.1186/s12909-024-06593-7" TargetMode="External"/><Relationship Id="rId23" Type="http://schemas.openxmlformats.org/officeDocument/2006/relationships/hyperlink" Target="https://pubs.aip.org/aip/acp/article-abstract/3098/1/040023/3318016" TargetMode="External"/><Relationship Id="rId28" Type="http://schemas.openxmlformats.org/officeDocument/2006/relationships/hyperlink" Target="https://www.imarcgroup.com/india-quick-service-restaurants-market" TargetMode="External"/><Relationship Id="rId36" Type="http://schemas.openxmlformats.org/officeDocument/2006/relationships/hyperlink" Target="https://www.sciencedirect.com/science/article/pii/S0260691724003915" TargetMode="External"/><Relationship Id="rId49" Type="http://schemas.openxmlformats.org/officeDocument/2006/relationships/hyperlink" Target="https://ejournal.seaninstitute.or.id/index.php/Ekonomi/article/view/3488"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run.unl.pt/entities/publication/09002a43-83d8-48db-8e90-61da9fa17407" TargetMode="External"/><Relationship Id="rId44" Type="http://schemas.openxmlformats.org/officeDocument/2006/relationships/hyperlink" Target="https://www.simplypsychology.org/gibbs-reflective-cycle.html" TargetMode="External"/><Relationship Id="rId5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y2LYehKqu8wibB7Xbe1CsFhFVg==">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7901</Words>
  <Characters>45037</Characters>
  <Application>Microsoft Office Word</Application>
  <DocSecurity>0</DocSecurity>
  <Lines>375</Lines>
  <Paragraphs>105</Paragraphs>
  <ScaleCrop>false</ScaleCrop>
  <Company/>
  <LinksUpToDate>false</LinksUpToDate>
  <CharactersWithSpaces>52833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 Shah</dc:creator>
  <cp:lastModifiedBy>SHAH BHAUMIK,2041106233</cp:lastModifiedBy>
  <cp:revision>2</cp:revision>
  <dcterms:created xsi:type="dcterms:W3CDTF">2026-08-11T01:03:00Z</dcterms:created>
  <dcterms:modified xsi:type="dcterms:W3CDTF">2026-08-11T01:03:00Z</dcterms:modified>
</cp:coreProperties>
</file>