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BA32ECA" w:rsidR="7908378C" w:rsidRDefault="7908378C" w:rsidP="33572C6E">
            <w:pPr>
              <w:ind w:right="237"/>
              <w:rPr>
                <w:b/>
                <w:bCs/>
                <w:color w:val="auto"/>
                <w:sz w:val="32"/>
                <w:szCs w:val="32"/>
              </w:rPr>
            </w:pPr>
            <w:r w:rsidRPr="33572C6E">
              <w:rPr>
                <w:b/>
                <w:bCs/>
                <w:color w:val="auto"/>
                <w:sz w:val="32"/>
                <w:szCs w:val="32"/>
              </w:rPr>
              <w:t>Learner name: ___</w:t>
            </w:r>
            <w:r w:rsidR="00697824">
              <w:rPr>
                <w:b/>
                <w:bCs/>
                <w:color w:val="auto"/>
                <w:sz w:val="32"/>
                <w:szCs w:val="32"/>
              </w:rPr>
              <w:t xml:space="preserve">Elyse Hopkins </w:t>
            </w:r>
            <w:r w:rsidRPr="33572C6E">
              <w:rPr>
                <w:b/>
                <w:bCs/>
                <w:color w:val="auto"/>
                <w:sz w:val="32"/>
                <w:szCs w:val="32"/>
              </w:rPr>
              <w:t>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63744C3" w:rsidR="7908378C" w:rsidRDefault="7908378C" w:rsidP="33572C6E">
            <w:pPr>
              <w:ind w:right="237"/>
              <w:rPr>
                <w:b/>
                <w:bCs/>
                <w:color w:val="auto"/>
                <w:sz w:val="32"/>
                <w:szCs w:val="32"/>
              </w:rPr>
            </w:pPr>
            <w:r w:rsidRPr="33572C6E">
              <w:rPr>
                <w:b/>
                <w:bCs/>
                <w:color w:val="auto"/>
                <w:sz w:val="32"/>
                <w:szCs w:val="32"/>
              </w:rPr>
              <w:t>_______________</w:t>
            </w:r>
            <w:r w:rsidR="00697824">
              <w:rPr>
                <w:b/>
                <w:bCs/>
                <w:color w:val="auto"/>
                <w:sz w:val="32"/>
                <w:szCs w:val="32"/>
              </w:rPr>
              <w:t>2125204</w:t>
            </w:r>
            <w:r w:rsidRPr="33572C6E">
              <w:rPr>
                <w:b/>
                <w:bCs/>
                <w:color w:val="auto"/>
                <w:sz w:val="32"/>
                <w:szCs w:val="32"/>
              </w:rPr>
              <w:t>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bookmarkStart w:id="0" w:name="_Hlk142911682"/>
      <w:r w:rsidRPr="5CE196A1">
        <w:rPr>
          <w:rFonts w:eastAsia="Arial"/>
          <w:b/>
          <w:bCs/>
          <w:color w:val="000000" w:themeColor="text1"/>
          <w:sz w:val="24"/>
          <w:szCs w:val="24"/>
        </w:rPr>
        <w:t>Task 1</w:t>
      </w:r>
    </w:p>
    <w:bookmarkEnd w:id="0"/>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3D6E938" w14:textId="48B2DE54" w:rsidR="00895032" w:rsidRDefault="5B843AF0" w:rsidP="00895032">
      <w:pPr>
        <w:ind w:right="237"/>
        <w:jc w:val="both"/>
        <w:rPr>
          <w:rFonts w:eastAsia="Arial"/>
          <w:b/>
          <w:bCs/>
          <w:color w:val="000000" w:themeColor="text1"/>
          <w:sz w:val="24"/>
          <w:szCs w:val="24"/>
        </w:rPr>
      </w:pPr>
      <w:r w:rsidRPr="5CE196A1">
        <w:rPr>
          <w:rFonts w:eastAsia="Arial"/>
          <w:b/>
          <w:bCs/>
          <w:color w:val="000000" w:themeColor="text1"/>
          <w:sz w:val="24"/>
          <w:szCs w:val="24"/>
        </w:rPr>
        <w:t>ANSWER:</w:t>
      </w:r>
      <w:r w:rsidR="00895032">
        <w:rPr>
          <w:rFonts w:eastAsia="Arial"/>
          <w:b/>
          <w:bCs/>
          <w:color w:val="000000" w:themeColor="text1"/>
          <w:sz w:val="24"/>
          <w:szCs w:val="24"/>
        </w:rPr>
        <w:t xml:space="preserve"> </w:t>
      </w:r>
    </w:p>
    <w:p w14:paraId="11081C81" w14:textId="77777777" w:rsidR="00895032" w:rsidRDefault="00895032" w:rsidP="00895032">
      <w:pPr>
        <w:ind w:right="237"/>
        <w:jc w:val="both"/>
        <w:rPr>
          <w:rFonts w:eastAsia="Arial"/>
          <w:b/>
          <w:bCs/>
          <w:color w:val="000000" w:themeColor="text1"/>
          <w:sz w:val="24"/>
          <w:szCs w:val="24"/>
        </w:rPr>
      </w:pPr>
    </w:p>
    <w:p w14:paraId="72C473D6" w14:textId="06F11604" w:rsidR="00895032" w:rsidRP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In policing, domestic abuse is one of the most common forms of crime experienced on response -2022 National Crime Survey of England and Wales estimated that 2.4 million adults over the age of 16 have experienced domestic abuse from crime survey interviews (Elkin, 2022). Domestic abuse is defined as:</w:t>
      </w:r>
    </w:p>
    <w:p w14:paraId="759CD0C6" w14:textId="49746114" w:rsid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w:t>
      </w:r>
      <w:r w:rsidRPr="00F14A0C">
        <w:rPr>
          <w:rFonts w:eastAsia="Arial"/>
          <w:i/>
          <w:iCs/>
          <w:color w:val="000000" w:themeColor="text1"/>
          <w:sz w:val="24"/>
          <w:szCs w:val="24"/>
        </w:rPr>
        <w:t>Any incident or pattern of incidents of controlling, coercive, threatening behaviour, violence or abuse between those aged 16 or over who are or have been intimate partners or family members regardless of gender or sexuality</w:t>
      </w:r>
      <w:r w:rsidRPr="00895032">
        <w:rPr>
          <w:rFonts w:eastAsia="Arial"/>
          <w:color w:val="000000" w:themeColor="text1"/>
          <w:sz w:val="24"/>
          <w:szCs w:val="24"/>
        </w:rPr>
        <w:t>” (Home Office, September 2012, p19.)</w:t>
      </w:r>
    </w:p>
    <w:p w14:paraId="10BD18BB" w14:textId="77777777" w:rsidR="00895032" w:rsidRPr="00895032" w:rsidRDefault="00895032" w:rsidP="00895032">
      <w:pPr>
        <w:spacing w:line="480" w:lineRule="auto"/>
        <w:ind w:right="237"/>
        <w:jc w:val="both"/>
        <w:rPr>
          <w:rFonts w:eastAsia="Arial"/>
          <w:color w:val="000000" w:themeColor="text1"/>
          <w:sz w:val="24"/>
          <w:szCs w:val="24"/>
        </w:rPr>
      </w:pPr>
    </w:p>
    <w:p w14:paraId="1C023BD6" w14:textId="69E65C16"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 xml:space="preserve">According to the crime survey of March 2022, conducted specifically in South Wales, the number of recorded domestic related crimes by the police approximated to 13.6 per 1000 population (Elkin, 2022). Although these statistics are recorded, </w:t>
      </w:r>
      <w:r w:rsidRPr="00895032">
        <w:rPr>
          <w:rFonts w:eastAsia="Arial"/>
          <w:color w:val="000000" w:themeColor="text1"/>
          <w:sz w:val="24"/>
          <w:szCs w:val="24"/>
        </w:rPr>
        <w:lastRenderedPageBreak/>
        <w:t xml:space="preserve">issues of disclosure by victims of abuse have been identified due a variety of factors such as culture, religion barriers, hindering victims to seek </w:t>
      </w:r>
      <w:proofErr w:type="gramStart"/>
      <w:r w:rsidRPr="00895032">
        <w:rPr>
          <w:rFonts w:eastAsia="Arial"/>
          <w:color w:val="000000" w:themeColor="text1"/>
          <w:sz w:val="24"/>
          <w:szCs w:val="24"/>
        </w:rPr>
        <w:t>help out</w:t>
      </w:r>
      <w:proofErr w:type="gramEnd"/>
      <w:r w:rsidRPr="00895032">
        <w:rPr>
          <w:rFonts w:eastAsia="Arial"/>
          <w:color w:val="000000" w:themeColor="text1"/>
          <w:sz w:val="24"/>
          <w:szCs w:val="24"/>
        </w:rPr>
        <w:t xml:space="preserve"> of fear, embarrassment, or physical factors such as the presence of abusers controlling and coercing victims (Heron </w:t>
      </w:r>
      <w:r w:rsidRPr="00F14A0C">
        <w:rPr>
          <w:rFonts w:eastAsia="Arial"/>
          <w:i/>
          <w:iCs/>
          <w:color w:val="000000" w:themeColor="text1"/>
          <w:sz w:val="24"/>
          <w:szCs w:val="24"/>
        </w:rPr>
        <w:t>et al</w:t>
      </w:r>
      <w:r w:rsidRPr="00895032">
        <w:rPr>
          <w:rFonts w:eastAsia="Arial"/>
          <w:color w:val="000000" w:themeColor="text1"/>
          <w:sz w:val="24"/>
          <w:szCs w:val="24"/>
        </w:rPr>
        <w:t xml:space="preserve">, 2022.) </w:t>
      </w:r>
      <w:proofErr w:type="gramStart"/>
      <w:r w:rsidRPr="00895032">
        <w:rPr>
          <w:rFonts w:eastAsia="Arial"/>
          <w:color w:val="000000" w:themeColor="text1"/>
          <w:sz w:val="24"/>
          <w:szCs w:val="24"/>
        </w:rPr>
        <w:t>In light of</w:t>
      </w:r>
      <w:proofErr w:type="gramEnd"/>
      <w:r w:rsidRPr="00895032">
        <w:rPr>
          <w:rFonts w:eastAsia="Arial"/>
          <w:color w:val="000000" w:themeColor="text1"/>
          <w:sz w:val="24"/>
          <w:szCs w:val="24"/>
        </w:rPr>
        <w:t xml:space="preserve"> this, the numbers of domestic abuse victims could be higher as the data provided are only applicable to individuals who have disclosed incidents, not accounting for those who have not come forward. </w:t>
      </w:r>
    </w:p>
    <w:p w14:paraId="34089CCE" w14:textId="77777777" w:rsidR="00895032" w:rsidRPr="00895032" w:rsidRDefault="00895032" w:rsidP="00895032">
      <w:pPr>
        <w:spacing w:line="480" w:lineRule="auto"/>
        <w:ind w:right="237"/>
        <w:jc w:val="both"/>
        <w:rPr>
          <w:rFonts w:eastAsia="Arial"/>
          <w:color w:val="000000" w:themeColor="text1"/>
          <w:sz w:val="24"/>
          <w:szCs w:val="24"/>
        </w:rPr>
      </w:pPr>
    </w:p>
    <w:p w14:paraId="1CBE369E" w14:textId="77777777"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 xml:space="preserve">     In this task I will be recording my experience of how I responded to a domestic incident, and how I appropriately dealt with the victim and offender by reflecting on what actions I took to provide support and protect the victim.  </w:t>
      </w:r>
    </w:p>
    <w:p w14:paraId="484215E1" w14:textId="441D664A" w:rsid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In the beginning of January 2023, I reported to a domestic incident between a mother and son in the local area that I police. Intelligence from the address and involved persons revealed that there were previous calls relating to domestic violence; the intelligence gave a better insight on the history and relevant information such as the mother being a repeat victim and the offender’s problems with drugs and alcohol. In respect of this, both parties were considered vulnerable due to the factors and circumstances; under the Guidance ‘Vulnerabilities: applying All our Health’ published by GOV.UK in 2022 states to be defined as vulnerable is being “</w:t>
      </w:r>
      <w:r w:rsidRPr="00F14A0C">
        <w:rPr>
          <w:rFonts w:eastAsia="Arial"/>
          <w:i/>
          <w:iCs/>
          <w:color w:val="000000" w:themeColor="text1"/>
          <w:sz w:val="24"/>
          <w:szCs w:val="24"/>
        </w:rPr>
        <w:t>in need of special care, support, protection because of age, disability risk of abuse or neglect</w:t>
      </w:r>
      <w:r w:rsidRPr="00895032">
        <w:rPr>
          <w:rFonts w:eastAsia="Arial"/>
          <w:color w:val="000000" w:themeColor="text1"/>
          <w:sz w:val="24"/>
          <w:szCs w:val="24"/>
        </w:rPr>
        <w:t xml:space="preserve">” (GOV.UK, 2022.) In the case of the victim, she was considered vulnerable due to having mental and physical health issues, along with being a repeat victim of domestic abuse that put her at risk of further abuse. The offender was eighteen years old at the time but began offending early into his teenage years, developed a drug and alcohol addiction young. The offender’s behaviour could have been a result of early exposure to adverse childhood experiences (ACEs) indicated </w:t>
      </w:r>
      <w:r w:rsidRPr="00895032">
        <w:rPr>
          <w:rFonts w:eastAsia="Arial"/>
          <w:color w:val="000000" w:themeColor="text1"/>
          <w:sz w:val="24"/>
          <w:szCs w:val="24"/>
        </w:rPr>
        <w:lastRenderedPageBreak/>
        <w:t xml:space="preserve">by historical delinquency, poor mental </w:t>
      </w:r>
      <w:proofErr w:type="gramStart"/>
      <w:r w:rsidRPr="00895032">
        <w:rPr>
          <w:rFonts w:eastAsia="Arial"/>
          <w:color w:val="000000" w:themeColor="text1"/>
          <w:sz w:val="24"/>
          <w:szCs w:val="24"/>
        </w:rPr>
        <w:t>health</w:t>
      </w:r>
      <w:proofErr w:type="gramEnd"/>
      <w:r w:rsidRPr="00895032">
        <w:rPr>
          <w:rFonts w:eastAsia="Arial"/>
          <w:color w:val="000000" w:themeColor="text1"/>
          <w:sz w:val="24"/>
          <w:szCs w:val="24"/>
        </w:rPr>
        <w:t xml:space="preserve"> and family substance misuse (Scott, September 2020.) Although the offender was the perpetrator in this instance, his upbringing exposed him to adversity as a juvenile (making him, to an extent, also vulnerable.) The emergency call came in around twelve o’clock in the morning on the Saturday, where the victim disclosed her son had made accusations that she had stolen money from him and that he had caused damage to the house by smashing the door windows, kitchen plates and chucked water over the living room furniture. Further to the definition of domestic abuse definition, abuse can include psychological and emotional manipulation, economic abuse (Home Officer, September 2012, p.19.) </w:t>
      </w:r>
    </w:p>
    <w:p w14:paraId="2C62513F" w14:textId="77777777" w:rsidR="00895032" w:rsidRPr="00895032" w:rsidRDefault="00895032" w:rsidP="00895032">
      <w:pPr>
        <w:spacing w:line="480" w:lineRule="auto"/>
        <w:ind w:right="237"/>
        <w:jc w:val="both"/>
        <w:rPr>
          <w:rFonts w:eastAsia="Arial"/>
          <w:color w:val="000000" w:themeColor="text1"/>
          <w:sz w:val="24"/>
          <w:szCs w:val="24"/>
        </w:rPr>
      </w:pPr>
    </w:p>
    <w:p w14:paraId="2A4E2158" w14:textId="4567A084"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 xml:space="preserve"> </w:t>
      </w:r>
      <w:r>
        <w:rPr>
          <w:rFonts w:eastAsia="Arial"/>
          <w:color w:val="000000" w:themeColor="text1"/>
          <w:sz w:val="24"/>
          <w:szCs w:val="24"/>
        </w:rPr>
        <w:t xml:space="preserve"> </w:t>
      </w:r>
      <w:r w:rsidRPr="00895032">
        <w:rPr>
          <w:rFonts w:eastAsia="Arial"/>
          <w:color w:val="000000" w:themeColor="text1"/>
          <w:sz w:val="24"/>
          <w:szCs w:val="24"/>
        </w:rPr>
        <w:t xml:space="preserve">I, along with another unit of officers attended the victim’s address. However, by the time I arrived the offender had fled the address - utilising the National Decision Model I gathered information regarding the incident by the victim in her address and asked questions about his potential whereabouts and associates (College of Policing, 2013). I conducted area searches in nearby streets and addresses. Knowing from intelligence given by the victim I assessed the potential threat and risk the offender could place myself or my colleagues. I also requested for other officer attendance when completing the search. The offender was located outside the police station and handed himself in - relaying back onto the National Decision Model with powers and contingencies, I arrested him on suspicion on criminal damage under section 1 (Criminal Damage Act 1971.)  </w:t>
      </w:r>
    </w:p>
    <w:p w14:paraId="1262072F" w14:textId="77777777"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 xml:space="preserve">Once arrested and taken into custody the offender was offered support for mental health and drug and alcohol addiction as he appeared to be struggling, I submitted two public protection notifications for both the victim and offender to social services. </w:t>
      </w:r>
      <w:r w:rsidRPr="00895032">
        <w:rPr>
          <w:rFonts w:eastAsia="Arial"/>
          <w:color w:val="000000" w:themeColor="text1"/>
          <w:sz w:val="24"/>
          <w:szCs w:val="24"/>
        </w:rPr>
        <w:lastRenderedPageBreak/>
        <w:t xml:space="preserve">A Public Protection Notification (PPN) is a report made by the police. The document is used for information sharing, detailing the incident and records safeguarding concerns to relevant agencies such as social services (Justice Inspectorates, 2023.) </w:t>
      </w:r>
    </w:p>
    <w:p w14:paraId="55BA6439" w14:textId="77777777"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By submitting a PPN, support is given to both the victim and offender; in this case a Domestic Abuse Stalking Harassment form was completed with the mother along with a mental health referral, whilst the son was referred to drugs and alcohol services also noting concerns of mental health. The Domestic Abuse Stalking and Harassment form (DASH) is a tool where the victim is risk assessed given by the answers provided in the questionnaire. According to Norfolk County Council (2023) there are four stages to the risk assessment:</w:t>
      </w:r>
    </w:p>
    <w:p w14:paraId="6AA3C9DA" w14:textId="77777777"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w:t>
      </w:r>
      <w:r w:rsidRPr="00895032">
        <w:rPr>
          <w:rFonts w:eastAsia="Arial"/>
          <w:color w:val="000000" w:themeColor="text1"/>
          <w:sz w:val="24"/>
          <w:szCs w:val="24"/>
        </w:rPr>
        <w:tab/>
        <w:t>Risk identification</w:t>
      </w:r>
    </w:p>
    <w:p w14:paraId="2883A6A9" w14:textId="77777777"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w:t>
      </w:r>
      <w:r w:rsidRPr="00895032">
        <w:rPr>
          <w:rFonts w:eastAsia="Arial"/>
          <w:color w:val="000000" w:themeColor="text1"/>
          <w:sz w:val="24"/>
          <w:szCs w:val="24"/>
        </w:rPr>
        <w:tab/>
        <w:t xml:space="preserve">Risk Assessment </w:t>
      </w:r>
    </w:p>
    <w:p w14:paraId="5D9D5B8A" w14:textId="77777777"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w:t>
      </w:r>
      <w:r w:rsidRPr="00895032">
        <w:rPr>
          <w:rFonts w:eastAsia="Arial"/>
          <w:color w:val="000000" w:themeColor="text1"/>
          <w:sz w:val="24"/>
          <w:szCs w:val="24"/>
        </w:rPr>
        <w:tab/>
        <w:t>Professional Judgement</w:t>
      </w:r>
    </w:p>
    <w:p w14:paraId="78CD952C" w14:textId="2CD166A5" w:rsid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w:t>
      </w:r>
      <w:r w:rsidRPr="00895032">
        <w:rPr>
          <w:rFonts w:eastAsia="Arial"/>
          <w:color w:val="000000" w:themeColor="text1"/>
          <w:sz w:val="24"/>
          <w:szCs w:val="24"/>
        </w:rPr>
        <w:tab/>
        <w:t>Risk Management</w:t>
      </w:r>
    </w:p>
    <w:p w14:paraId="785BA094" w14:textId="77777777" w:rsidR="00895032" w:rsidRPr="00895032" w:rsidRDefault="00895032" w:rsidP="00895032">
      <w:pPr>
        <w:spacing w:line="480" w:lineRule="auto"/>
        <w:ind w:right="237"/>
        <w:jc w:val="both"/>
        <w:rPr>
          <w:rFonts w:eastAsia="Arial"/>
          <w:color w:val="000000" w:themeColor="text1"/>
          <w:sz w:val="24"/>
          <w:szCs w:val="24"/>
        </w:rPr>
      </w:pPr>
    </w:p>
    <w:p w14:paraId="241EA14A" w14:textId="3385D0B4"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 xml:space="preserve">There are approximately 24-29 questions varying from different police forces which are designed to identify assess and manage risk, standard medium and high grading dependant on answered “Yes” (Norfolk County Council, 2023). The victim provided over fourteen “Yes” answers to the DASH which is considered high risk. As a result, a Multi-agency Risk Assessment Co-ordinator (MARAC) referral was completed </w:t>
      </w:r>
      <w:proofErr w:type="gramStart"/>
      <w:r w:rsidRPr="00895032">
        <w:rPr>
          <w:rFonts w:eastAsia="Arial"/>
          <w:color w:val="000000" w:themeColor="text1"/>
          <w:sz w:val="24"/>
          <w:szCs w:val="24"/>
        </w:rPr>
        <w:t>in order to</w:t>
      </w:r>
      <w:proofErr w:type="gramEnd"/>
      <w:r w:rsidRPr="00895032">
        <w:rPr>
          <w:rFonts w:eastAsia="Arial"/>
          <w:color w:val="000000" w:themeColor="text1"/>
          <w:sz w:val="24"/>
          <w:szCs w:val="24"/>
        </w:rPr>
        <w:t xml:space="preserve"> notify partner agencies to an intervention with the victim. An intervention meeting gives advice and support to the victim by giving a detailed action plan to increase safety (Justice Inspectorates, 2023.) In addition to this, further support was provided to the victim by offering her a Domestic Violence Protection Notification prohibiting her son from contacting her.</w:t>
      </w:r>
    </w:p>
    <w:p w14:paraId="01E0A33D" w14:textId="58ED568F" w:rsidR="00895032"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lastRenderedPageBreak/>
        <w:t xml:space="preserve"> </w:t>
      </w:r>
    </w:p>
    <w:p w14:paraId="21E2FE27" w14:textId="461E5898" w:rsid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 xml:space="preserve">The Domestic Violence Protection Notification which began a roll out across England and Wales in March 2014, is a non-molestation civil order protecting the victim from the perpetrator which is authorised by a high-ranking officer of a Superintendent or above- the notification should be heard by the Magistrates court within 48 hours of serving the notice. If granted, a Domestic Violence Protection Order would be issued preventing the perpetrator from contacting the victim from 14-28 days (Home Office, 2022.) In this case, the victim decided against a DVPN but was supportive of a formal complaint and completed a statement with the attending officers. Under section 9 of the Criminal Justice Act 1967 statements that are written by victims or witnesses on a voluntary basis are not required provide an oral statement to present physically at court (Health and Safety Executive, 2023.) The victim raised discomfort about attending court thus identifying her to be eligible for special measures due to her mental health and anxiety in giving evidence against her son; she was therefore considered to be an intimidated witness. </w:t>
      </w:r>
    </w:p>
    <w:p w14:paraId="1539885A" w14:textId="77777777" w:rsidR="00895032" w:rsidRPr="00895032" w:rsidRDefault="00895032" w:rsidP="00895032">
      <w:pPr>
        <w:spacing w:line="480" w:lineRule="auto"/>
        <w:ind w:right="237"/>
        <w:jc w:val="both"/>
        <w:rPr>
          <w:rFonts w:eastAsia="Arial"/>
          <w:color w:val="000000" w:themeColor="text1"/>
          <w:sz w:val="24"/>
          <w:szCs w:val="24"/>
        </w:rPr>
      </w:pPr>
    </w:p>
    <w:p w14:paraId="1C3CF158" w14:textId="2FA460AF"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 xml:space="preserve">Special measures are provisions that can be offered in court </w:t>
      </w:r>
      <w:proofErr w:type="gramStart"/>
      <w:r w:rsidRPr="00895032">
        <w:rPr>
          <w:rFonts w:eastAsia="Arial"/>
          <w:color w:val="000000" w:themeColor="text1"/>
          <w:sz w:val="24"/>
          <w:szCs w:val="24"/>
        </w:rPr>
        <w:t>in order to</w:t>
      </w:r>
      <w:proofErr w:type="gramEnd"/>
      <w:r w:rsidRPr="00895032">
        <w:rPr>
          <w:rFonts w:eastAsia="Arial"/>
          <w:color w:val="000000" w:themeColor="text1"/>
          <w:sz w:val="24"/>
          <w:szCs w:val="24"/>
        </w:rPr>
        <w:t xml:space="preserve"> relieve stress to vulnerable and intimidated victims. The provisions decided by the courts can range from having a screen covering the victim or witness from the defendant in the trial, a video link to the court, or if appropriate the claimant can give evidence in private which are covered in Section 23- 25 (Youth Justice Criminal Evidence Act 1999.) Special measures aid in the victim or witness to give their best evidence in court (Crown Prosecution Service, 2021.) The victim requested for considerations of special measures and for a restraining order against her son which would benefit her from being subjected to further manipulation and abuse. </w:t>
      </w:r>
    </w:p>
    <w:p w14:paraId="73E88F08" w14:textId="77777777" w:rsidR="00895032" w:rsidRPr="00895032" w:rsidRDefault="00895032" w:rsidP="00895032">
      <w:pPr>
        <w:spacing w:line="480" w:lineRule="auto"/>
        <w:ind w:right="237"/>
        <w:jc w:val="both"/>
        <w:rPr>
          <w:rFonts w:eastAsia="Arial"/>
          <w:color w:val="000000" w:themeColor="text1"/>
          <w:sz w:val="24"/>
          <w:szCs w:val="24"/>
        </w:rPr>
      </w:pPr>
    </w:p>
    <w:p w14:paraId="1C6623C2" w14:textId="77777777"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 xml:space="preserve">The offender was interviewed by officers the following morning where it was anticipated he would </w:t>
      </w:r>
      <w:r w:rsidRPr="00895032">
        <w:rPr>
          <w:rFonts w:eastAsia="Arial"/>
          <w:color w:val="000000" w:themeColor="text1"/>
          <w:sz w:val="24"/>
          <w:szCs w:val="24"/>
        </w:rPr>
        <w:t>plead</w:t>
      </w:r>
      <w:r w:rsidRPr="00895032">
        <w:rPr>
          <w:rFonts w:eastAsia="Arial"/>
          <w:color w:val="000000" w:themeColor="text1"/>
          <w:sz w:val="24"/>
          <w:szCs w:val="24"/>
        </w:rPr>
        <w:t xml:space="preserve"> not guilty, arguing that the damage was not caused by him and that he was not present at the time. Attending officers at the address of the victim had taken photographs of the scene and an audio recording of the 999 </w:t>
      </w:r>
      <w:proofErr w:type="gramStart"/>
      <w:r w:rsidRPr="00895032">
        <w:rPr>
          <w:rFonts w:eastAsia="Arial"/>
          <w:color w:val="000000" w:themeColor="text1"/>
          <w:sz w:val="24"/>
          <w:szCs w:val="24"/>
        </w:rPr>
        <w:t>call</w:t>
      </w:r>
      <w:proofErr w:type="gramEnd"/>
      <w:r w:rsidRPr="00895032">
        <w:rPr>
          <w:rFonts w:eastAsia="Arial"/>
          <w:color w:val="000000" w:themeColor="text1"/>
          <w:sz w:val="24"/>
          <w:szCs w:val="24"/>
        </w:rPr>
        <w:t xml:space="preserve"> from the mother told otherwise, giving the description of what the son was wearing at the time and voices in the background matched that of the offender. I commenced a pre-charge case file whilst the offender was instructed bail conditions not to </w:t>
      </w:r>
      <w:proofErr w:type="gramStart"/>
      <w:r w:rsidRPr="00895032">
        <w:rPr>
          <w:rFonts w:eastAsia="Arial"/>
          <w:color w:val="000000" w:themeColor="text1"/>
          <w:sz w:val="24"/>
          <w:szCs w:val="24"/>
        </w:rPr>
        <w:t>make contact with</w:t>
      </w:r>
      <w:proofErr w:type="gramEnd"/>
      <w:r w:rsidRPr="00895032">
        <w:rPr>
          <w:rFonts w:eastAsia="Arial"/>
          <w:color w:val="000000" w:themeColor="text1"/>
          <w:sz w:val="24"/>
          <w:szCs w:val="24"/>
        </w:rPr>
        <w:t xml:space="preserve"> the victim nor to attend the address. This is to protect the victim and continue any further lines of enquiry without the need for the offender being remanded in custody (Home Office, 2023.) </w:t>
      </w:r>
    </w:p>
    <w:p w14:paraId="3541B49A" w14:textId="77777777"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p>
    <w:p w14:paraId="1FAEBE07" w14:textId="34BA53E2"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 xml:space="preserve">Despite the ruling, the offender breached the bail conditions on </w:t>
      </w:r>
      <w:proofErr w:type="gramStart"/>
      <w:r w:rsidRPr="00895032">
        <w:rPr>
          <w:rFonts w:eastAsia="Arial"/>
          <w:color w:val="000000" w:themeColor="text1"/>
          <w:sz w:val="24"/>
          <w:szCs w:val="24"/>
        </w:rPr>
        <w:t>a number of</w:t>
      </w:r>
      <w:proofErr w:type="gramEnd"/>
      <w:r w:rsidRPr="00895032">
        <w:rPr>
          <w:rFonts w:eastAsia="Arial"/>
          <w:color w:val="000000" w:themeColor="text1"/>
          <w:sz w:val="24"/>
          <w:szCs w:val="24"/>
        </w:rPr>
        <w:t xml:space="preserve"> occasions forcing the victim to let him in, causing further damage and physically assaulting her - each time the victim called the police the offender ran off from the officers and went into hiding. The case file was pushed to police charge upon meeting the full code test, passing the evidential and public interest stage that the offender needed to be brought in and charged for first hearing, in doing so he breached court bail and was arrested and remanded to be in court the following morning (Crown Prosecution Service, 2018.) With the evidence provided along with the breaches of bail, the offender was charged and ordered to compensate for the damage to the victim. The victim was granted a restraining order preventing the offender from making further contact. This was felt to be a very positive outcome for the victim, in this case the charged was accepted where in some cases the outcome would not be successful; “</w:t>
      </w:r>
      <w:r w:rsidRPr="00F14A0C">
        <w:rPr>
          <w:rFonts w:eastAsia="Arial"/>
          <w:i/>
          <w:iCs/>
          <w:color w:val="000000" w:themeColor="text1"/>
          <w:sz w:val="24"/>
          <w:szCs w:val="24"/>
        </w:rPr>
        <w:t xml:space="preserve">Over three-quarters (76.4%) of domestic abuse-related </w:t>
      </w:r>
      <w:r w:rsidRPr="00F14A0C">
        <w:rPr>
          <w:rFonts w:eastAsia="Arial"/>
          <w:i/>
          <w:iCs/>
          <w:color w:val="000000" w:themeColor="text1"/>
          <w:sz w:val="24"/>
          <w:szCs w:val="24"/>
        </w:rPr>
        <w:lastRenderedPageBreak/>
        <w:t>prosecutions were successful in securing a conviction in the year ending March 2022. This decreased to a similar proportion seen in the year ending March 2018.”</w:t>
      </w:r>
      <w:r w:rsidRPr="00895032">
        <w:rPr>
          <w:rFonts w:eastAsia="Arial"/>
          <w:color w:val="000000" w:themeColor="text1"/>
          <w:sz w:val="24"/>
          <w:szCs w:val="24"/>
        </w:rPr>
        <w:t xml:space="preserve"> (Elkin, 2022). Elkin further stated that although the data showing the charging rate for domestic abuse in England and Wales has increased from 2019-2022 at around 72.7%, the statistics remained below those of the year prior at 75.9% in March 2018 (Elkin, 2022). There are </w:t>
      </w:r>
      <w:proofErr w:type="gramStart"/>
      <w:r w:rsidRPr="00895032">
        <w:rPr>
          <w:rFonts w:eastAsia="Arial"/>
          <w:color w:val="000000" w:themeColor="text1"/>
          <w:sz w:val="24"/>
          <w:szCs w:val="24"/>
        </w:rPr>
        <w:t>a number of</w:t>
      </w:r>
      <w:proofErr w:type="gramEnd"/>
      <w:r w:rsidRPr="00895032">
        <w:rPr>
          <w:rFonts w:eastAsia="Arial"/>
          <w:color w:val="000000" w:themeColor="text1"/>
          <w:sz w:val="24"/>
          <w:szCs w:val="24"/>
        </w:rPr>
        <w:t xml:space="preserve"> factors for why the case does not see the offender charged; as previously mentioned out of fear or coercion the victim may have </w:t>
      </w:r>
      <w:proofErr w:type="spellStart"/>
      <w:r w:rsidRPr="00895032">
        <w:rPr>
          <w:rFonts w:eastAsia="Arial"/>
          <w:color w:val="000000" w:themeColor="text1"/>
          <w:sz w:val="24"/>
          <w:szCs w:val="24"/>
        </w:rPr>
        <w:t>with drawn</w:t>
      </w:r>
      <w:proofErr w:type="spellEnd"/>
      <w:r w:rsidRPr="00895032">
        <w:rPr>
          <w:rFonts w:eastAsia="Arial"/>
          <w:color w:val="000000" w:themeColor="text1"/>
          <w:sz w:val="24"/>
          <w:szCs w:val="24"/>
        </w:rPr>
        <w:t xml:space="preserve"> from pursuing a case, or when it does not meet the full code test due to lack of evidence or victim engagement. </w:t>
      </w:r>
    </w:p>
    <w:p w14:paraId="6D0A0AFC" w14:textId="77777777" w:rsidR="00895032" w:rsidRPr="00895032" w:rsidRDefault="00895032" w:rsidP="00895032">
      <w:pPr>
        <w:spacing w:line="480" w:lineRule="auto"/>
        <w:ind w:right="237"/>
        <w:jc w:val="both"/>
        <w:rPr>
          <w:rFonts w:eastAsia="Arial"/>
          <w:color w:val="000000" w:themeColor="text1"/>
          <w:sz w:val="24"/>
          <w:szCs w:val="24"/>
        </w:rPr>
      </w:pPr>
    </w:p>
    <w:p w14:paraId="0DBCE4BE" w14:textId="00537AE9" w:rsidR="00895032" w:rsidRDefault="00895032"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Pr="00895032">
        <w:rPr>
          <w:rFonts w:eastAsia="Arial"/>
          <w:color w:val="000000" w:themeColor="text1"/>
          <w:sz w:val="24"/>
          <w:szCs w:val="24"/>
        </w:rPr>
        <w:t xml:space="preserve">Ultimately, it appears that for either outcome, continued engagement and further support for the victims is paramount to make the case successful; from the research it was identified that victims of domestic abuse cases did not report incidents because of barriers but also agencies failing to pick up signs of abuse as noted in Heron’s studies (2022). It is suggested that more can be done to recognise abuse not limited to the police and social services, but to be extended to other public agencies such as the national health services for it be noticed and acted upon quicker. </w:t>
      </w:r>
    </w:p>
    <w:p w14:paraId="7FF31DF6" w14:textId="77777777" w:rsidR="00895032" w:rsidRPr="00895032" w:rsidRDefault="00895032" w:rsidP="00895032">
      <w:pPr>
        <w:spacing w:line="480" w:lineRule="auto"/>
        <w:ind w:right="237"/>
        <w:jc w:val="both"/>
        <w:rPr>
          <w:rFonts w:eastAsia="Arial"/>
          <w:color w:val="000000" w:themeColor="text1"/>
          <w:sz w:val="24"/>
          <w:szCs w:val="24"/>
        </w:rPr>
      </w:pPr>
    </w:p>
    <w:p w14:paraId="22A00A77" w14:textId="6329287A" w:rsidR="00895032" w:rsidRDefault="006F3500" w:rsidP="00895032">
      <w:pPr>
        <w:spacing w:line="480" w:lineRule="auto"/>
        <w:ind w:right="237"/>
        <w:jc w:val="both"/>
        <w:rPr>
          <w:rFonts w:eastAsia="Arial"/>
          <w:color w:val="000000" w:themeColor="text1"/>
          <w:sz w:val="24"/>
          <w:szCs w:val="24"/>
        </w:rPr>
      </w:pPr>
      <w:r>
        <w:rPr>
          <w:rFonts w:eastAsia="Arial"/>
          <w:color w:val="000000" w:themeColor="text1"/>
          <w:sz w:val="24"/>
          <w:szCs w:val="24"/>
        </w:rPr>
        <w:t xml:space="preserve"> </w:t>
      </w:r>
      <w:r w:rsidR="00895032">
        <w:rPr>
          <w:rFonts w:eastAsia="Arial"/>
          <w:color w:val="000000" w:themeColor="text1"/>
          <w:sz w:val="24"/>
          <w:szCs w:val="24"/>
        </w:rPr>
        <w:t xml:space="preserve"> </w:t>
      </w:r>
      <w:r w:rsidR="00895032" w:rsidRPr="00895032">
        <w:rPr>
          <w:rFonts w:eastAsia="Arial"/>
          <w:color w:val="000000" w:themeColor="text1"/>
          <w:sz w:val="24"/>
          <w:szCs w:val="24"/>
        </w:rPr>
        <w:t xml:space="preserve">From being involved in this incident and the research undertaken, it has given me more confidence for if I encounter a similar case in the future. It has made me consider the incident from all angles that both parties needed support. Without the continual support through the police, </w:t>
      </w:r>
      <w:proofErr w:type="gramStart"/>
      <w:r w:rsidR="00895032" w:rsidRPr="00895032">
        <w:rPr>
          <w:rFonts w:eastAsia="Arial"/>
          <w:color w:val="000000" w:themeColor="text1"/>
          <w:sz w:val="24"/>
          <w:szCs w:val="24"/>
        </w:rPr>
        <w:t>MARAC</w:t>
      </w:r>
      <w:proofErr w:type="gramEnd"/>
      <w:r w:rsidR="00895032" w:rsidRPr="00895032">
        <w:rPr>
          <w:rFonts w:eastAsia="Arial"/>
          <w:color w:val="000000" w:themeColor="text1"/>
          <w:sz w:val="24"/>
          <w:szCs w:val="24"/>
        </w:rPr>
        <w:t xml:space="preserve"> and the Crown Prosecution Service for the victim, she may not have pursued with the prosecution against her son. Likewise, the offender needed intervention for his issue with drugs and alcohol. </w:t>
      </w:r>
      <w:r w:rsidR="00895032" w:rsidRPr="00895032">
        <w:rPr>
          <w:rFonts w:eastAsia="Arial"/>
          <w:color w:val="000000" w:themeColor="text1"/>
          <w:sz w:val="24"/>
          <w:szCs w:val="24"/>
        </w:rPr>
        <w:lastRenderedPageBreak/>
        <w:t xml:space="preserve">What I feel I should have explored more is the support provided for the family and housing for the offender; given the circumstances, the incident required immediate action, applications for rehousing through the council can be a slow and gradual process as although the offender was removed from the victim’s address and would stay with another family member, it is unknown whether there could be further implications in the future that concern the family member. Nevertheless, it is felt that appropriate avenues were considered and tried in addressing the needs of both the victim and offender to successfully carry the case to court charge. To conclude, the task has highlighted the importance of agency working to protect and improve the quality of service to the victim - it is understood that not all incidents can be discovered and prevented, but actions to lessen the impact by bringing awareness and continual engagement to the victim can be done to build confidence and provide assurance that support is available for them. </w:t>
      </w:r>
    </w:p>
    <w:p w14:paraId="3C8801D8" w14:textId="77777777" w:rsidR="00895032" w:rsidRPr="00895032" w:rsidRDefault="00895032" w:rsidP="00895032">
      <w:pPr>
        <w:spacing w:line="480" w:lineRule="auto"/>
        <w:ind w:right="237"/>
        <w:jc w:val="both"/>
        <w:rPr>
          <w:rFonts w:eastAsia="Arial"/>
          <w:color w:val="000000" w:themeColor="text1"/>
          <w:sz w:val="24"/>
          <w:szCs w:val="24"/>
        </w:rPr>
      </w:pPr>
    </w:p>
    <w:p w14:paraId="266FC690" w14:textId="4C2ABDA1" w:rsidR="5B843AF0" w:rsidRPr="00895032" w:rsidRDefault="00895032" w:rsidP="00895032">
      <w:pPr>
        <w:spacing w:line="480" w:lineRule="auto"/>
        <w:ind w:right="237"/>
        <w:jc w:val="both"/>
        <w:rPr>
          <w:rFonts w:eastAsia="Arial"/>
          <w:color w:val="000000" w:themeColor="text1"/>
          <w:sz w:val="24"/>
          <w:szCs w:val="24"/>
        </w:rPr>
      </w:pPr>
      <w:r w:rsidRPr="00895032">
        <w:rPr>
          <w:rFonts w:eastAsia="Arial"/>
          <w:color w:val="000000" w:themeColor="text1"/>
          <w:sz w:val="24"/>
          <w:szCs w:val="24"/>
        </w:rPr>
        <w:t>W</w:t>
      </w:r>
      <w:r>
        <w:rPr>
          <w:rFonts w:eastAsia="Arial"/>
          <w:color w:val="000000" w:themeColor="text1"/>
          <w:sz w:val="24"/>
          <w:szCs w:val="24"/>
        </w:rPr>
        <w:t xml:space="preserve">ord </w:t>
      </w:r>
      <w:r w:rsidRPr="00895032">
        <w:rPr>
          <w:rFonts w:eastAsia="Arial"/>
          <w:color w:val="000000" w:themeColor="text1"/>
          <w:sz w:val="24"/>
          <w:szCs w:val="24"/>
        </w:rPr>
        <w:t>C</w:t>
      </w:r>
      <w:r>
        <w:rPr>
          <w:rFonts w:eastAsia="Arial"/>
          <w:color w:val="000000" w:themeColor="text1"/>
          <w:sz w:val="24"/>
          <w:szCs w:val="24"/>
        </w:rPr>
        <w:t>ount</w:t>
      </w:r>
      <w:r w:rsidRPr="00895032">
        <w:rPr>
          <w:rFonts w:eastAsia="Arial"/>
          <w:color w:val="000000" w:themeColor="text1"/>
          <w:sz w:val="24"/>
          <w:szCs w:val="24"/>
        </w:rPr>
        <w:t>:</w:t>
      </w:r>
      <w:r>
        <w:rPr>
          <w:rFonts w:eastAsia="Arial"/>
          <w:color w:val="000000" w:themeColor="text1"/>
          <w:sz w:val="24"/>
          <w:szCs w:val="24"/>
        </w:rPr>
        <w:t xml:space="preserve"> </w:t>
      </w:r>
      <w:r w:rsidRPr="00895032">
        <w:rPr>
          <w:rFonts w:eastAsia="Arial"/>
          <w:color w:val="000000" w:themeColor="text1"/>
          <w:sz w:val="24"/>
          <w:szCs w:val="24"/>
        </w:rPr>
        <w:t>2068</w:t>
      </w:r>
    </w:p>
    <w:p w14:paraId="4BBC525A" w14:textId="2C62A870" w:rsidR="5B843AF0" w:rsidRPr="00E676F7" w:rsidRDefault="5B843AF0" w:rsidP="00895032">
      <w:pPr>
        <w:spacing w:line="480" w:lineRule="auto"/>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35F5F308" w:rsidR="69F7424F" w:rsidRDefault="00B23F10" w:rsidP="69F7424F">
      <w:pPr>
        <w:pStyle w:val="paragraph"/>
        <w:spacing w:before="0" w:beforeAutospacing="0" w:after="0" w:afterAutospacing="0"/>
        <w:ind w:left="3600" w:right="225"/>
        <w:rPr>
          <w:rStyle w:val="normaltextrun"/>
          <w:rFonts w:ascii="Arial" w:hAnsi="Arial" w:cs="Arial"/>
          <w:b/>
          <w:bCs/>
          <w:color w:val="000000" w:themeColor="text1"/>
        </w:rPr>
      </w:pPr>
      <w:r w:rsidRPr="00B23F10">
        <w:rPr>
          <w:rStyle w:val="normaltextrun"/>
          <w:rFonts w:ascii="Arial" w:hAnsi="Arial" w:cs="Arial"/>
          <w:b/>
          <w:bCs/>
          <w:color w:val="000000" w:themeColor="text1"/>
        </w:rPr>
        <w:lastRenderedPageBreak/>
        <w:t xml:space="preserve">Task </w:t>
      </w:r>
      <w:r>
        <w:rPr>
          <w:rStyle w:val="normaltextrun"/>
          <w:rFonts w:ascii="Arial" w:hAnsi="Arial" w:cs="Arial"/>
          <w:b/>
          <w:bCs/>
          <w:color w:val="000000" w:themeColor="text1"/>
        </w:rPr>
        <w:t>2</w:t>
      </w: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6310A26E" w:rsidR="00025650" w:rsidRDefault="00025650" w:rsidP="0FF883D4">
      <w:pPr>
        <w:ind w:right="237"/>
        <w:jc w:val="both"/>
        <w:rPr>
          <w:color w:val="000000" w:themeColor="text1"/>
          <w:sz w:val="24"/>
          <w:szCs w:val="24"/>
          <w:u w:val="single"/>
        </w:rPr>
      </w:pPr>
    </w:p>
    <w:p w14:paraId="10342EE7" w14:textId="3CF81EB2" w:rsidR="00697824" w:rsidRDefault="00697824" w:rsidP="0FF883D4">
      <w:pPr>
        <w:ind w:right="237"/>
        <w:jc w:val="both"/>
        <w:rPr>
          <w:color w:val="000000" w:themeColor="text1"/>
          <w:sz w:val="24"/>
          <w:szCs w:val="24"/>
          <w:u w:val="single"/>
        </w:rPr>
      </w:pPr>
    </w:p>
    <w:p w14:paraId="15BE7725" w14:textId="46ED902C" w:rsidR="00697824" w:rsidRDefault="00697824" w:rsidP="0FF883D4">
      <w:pPr>
        <w:ind w:right="237"/>
        <w:jc w:val="both"/>
        <w:rPr>
          <w:color w:val="000000" w:themeColor="text1"/>
          <w:sz w:val="24"/>
          <w:szCs w:val="24"/>
          <w:u w:val="single"/>
        </w:rPr>
      </w:pPr>
    </w:p>
    <w:p w14:paraId="22C0B7A3" w14:textId="56519EE9" w:rsidR="00697824" w:rsidRDefault="00697824" w:rsidP="0FF883D4">
      <w:pPr>
        <w:ind w:right="237"/>
        <w:jc w:val="both"/>
        <w:rPr>
          <w:color w:val="000000" w:themeColor="text1"/>
          <w:sz w:val="24"/>
          <w:szCs w:val="24"/>
          <w:u w:val="single"/>
        </w:rPr>
      </w:pPr>
    </w:p>
    <w:p w14:paraId="144A416A" w14:textId="7FBC4124" w:rsidR="00697824" w:rsidRDefault="00697824" w:rsidP="0FF883D4">
      <w:pPr>
        <w:ind w:right="237"/>
        <w:jc w:val="both"/>
        <w:rPr>
          <w:color w:val="000000" w:themeColor="text1"/>
          <w:sz w:val="24"/>
          <w:szCs w:val="24"/>
          <w:u w:val="single"/>
        </w:rPr>
      </w:pPr>
    </w:p>
    <w:p w14:paraId="741C06C6" w14:textId="723CCE24" w:rsidR="00697824" w:rsidRDefault="00697824" w:rsidP="0FF883D4">
      <w:pPr>
        <w:ind w:right="237"/>
        <w:jc w:val="both"/>
        <w:rPr>
          <w:color w:val="000000" w:themeColor="text1"/>
          <w:sz w:val="24"/>
          <w:szCs w:val="24"/>
          <w:u w:val="single"/>
        </w:rPr>
      </w:pPr>
    </w:p>
    <w:p w14:paraId="21BD30CB" w14:textId="72059D02" w:rsidR="00697824" w:rsidRDefault="00697824" w:rsidP="0FF883D4">
      <w:pPr>
        <w:ind w:right="237"/>
        <w:jc w:val="both"/>
        <w:rPr>
          <w:color w:val="000000" w:themeColor="text1"/>
          <w:sz w:val="24"/>
          <w:szCs w:val="24"/>
          <w:u w:val="single"/>
        </w:rPr>
      </w:pPr>
    </w:p>
    <w:p w14:paraId="5C653795" w14:textId="321231A9" w:rsidR="00697824" w:rsidRDefault="00697824" w:rsidP="0FF883D4">
      <w:pPr>
        <w:ind w:right="237"/>
        <w:jc w:val="both"/>
        <w:rPr>
          <w:color w:val="000000" w:themeColor="text1"/>
          <w:sz w:val="24"/>
          <w:szCs w:val="24"/>
          <w:u w:val="single"/>
        </w:rPr>
      </w:pPr>
    </w:p>
    <w:p w14:paraId="7F07F4C3" w14:textId="6F45CAE8" w:rsidR="00697824" w:rsidRDefault="00697824" w:rsidP="0FF883D4">
      <w:pPr>
        <w:ind w:right="237"/>
        <w:jc w:val="both"/>
        <w:rPr>
          <w:color w:val="000000" w:themeColor="text1"/>
          <w:sz w:val="24"/>
          <w:szCs w:val="24"/>
          <w:u w:val="single"/>
        </w:rPr>
      </w:pPr>
    </w:p>
    <w:p w14:paraId="6386200A" w14:textId="2B87FFEB" w:rsidR="00697824" w:rsidRDefault="00697824" w:rsidP="0FF883D4">
      <w:pPr>
        <w:ind w:right="237"/>
        <w:jc w:val="both"/>
        <w:rPr>
          <w:color w:val="000000" w:themeColor="text1"/>
          <w:sz w:val="24"/>
          <w:szCs w:val="24"/>
          <w:u w:val="single"/>
        </w:rPr>
      </w:pPr>
    </w:p>
    <w:p w14:paraId="1B719D82" w14:textId="70B45479" w:rsidR="00697824" w:rsidRDefault="00697824" w:rsidP="0FF883D4">
      <w:pPr>
        <w:ind w:right="237"/>
        <w:jc w:val="both"/>
        <w:rPr>
          <w:color w:val="000000" w:themeColor="text1"/>
          <w:sz w:val="24"/>
          <w:szCs w:val="24"/>
          <w:u w:val="single"/>
        </w:rPr>
      </w:pPr>
    </w:p>
    <w:p w14:paraId="51199467" w14:textId="5D5F035D" w:rsidR="00697824" w:rsidRDefault="00697824" w:rsidP="0FF883D4">
      <w:pPr>
        <w:ind w:right="237"/>
        <w:jc w:val="both"/>
        <w:rPr>
          <w:color w:val="000000" w:themeColor="text1"/>
          <w:sz w:val="24"/>
          <w:szCs w:val="24"/>
          <w:u w:val="single"/>
        </w:rPr>
      </w:pPr>
    </w:p>
    <w:p w14:paraId="2110FFB9" w14:textId="77777777" w:rsidR="00697824" w:rsidRPr="00E676F7" w:rsidRDefault="00697824" w:rsidP="0FF883D4">
      <w:pPr>
        <w:ind w:right="237"/>
        <w:jc w:val="both"/>
        <w:rPr>
          <w:color w:val="000000" w:themeColor="text1"/>
          <w:sz w:val="24"/>
          <w:szCs w:val="24"/>
          <w:u w:val="single"/>
        </w:rPr>
      </w:pPr>
    </w:p>
    <w:p w14:paraId="54A431CB" w14:textId="77777777" w:rsidR="00B23F10" w:rsidRDefault="00B23F10" w:rsidP="5CE196A1">
      <w:pPr>
        <w:ind w:right="237"/>
        <w:jc w:val="center"/>
        <w:rPr>
          <w:b/>
          <w:bCs/>
          <w:color w:val="000000" w:themeColor="text1"/>
          <w:sz w:val="28"/>
          <w:szCs w:val="28"/>
          <w:u w:val="single"/>
        </w:rPr>
      </w:pPr>
    </w:p>
    <w:p w14:paraId="25FC6A74" w14:textId="77777777" w:rsidR="00B23F10" w:rsidRDefault="00B23F10" w:rsidP="5CE196A1">
      <w:pPr>
        <w:ind w:right="237"/>
        <w:jc w:val="center"/>
        <w:rPr>
          <w:b/>
          <w:bCs/>
          <w:color w:val="000000" w:themeColor="text1"/>
          <w:sz w:val="28"/>
          <w:szCs w:val="28"/>
          <w:u w:val="single"/>
        </w:rPr>
      </w:pPr>
    </w:p>
    <w:p w14:paraId="3389AD11" w14:textId="77777777" w:rsidR="00B23F10" w:rsidRDefault="00B23F10" w:rsidP="5CE196A1">
      <w:pPr>
        <w:ind w:right="237"/>
        <w:jc w:val="center"/>
        <w:rPr>
          <w:b/>
          <w:bCs/>
          <w:color w:val="000000" w:themeColor="text1"/>
          <w:sz w:val="28"/>
          <w:szCs w:val="28"/>
          <w:u w:val="single"/>
        </w:rPr>
      </w:pPr>
    </w:p>
    <w:p w14:paraId="440C1242" w14:textId="5F8CB1B1"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37793A6C" w:rsidR="00025650" w:rsidRDefault="00025650" w:rsidP="0FF883D4">
      <w:pPr>
        <w:ind w:right="237"/>
        <w:jc w:val="both"/>
        <w:rPr>
          <w:b/>
          <w:bCs/>
          <w:color w:val="000000" w:themeColor="text1"/>
          <w:sz w:val="24"/>
          <w:szCs w:val="24"/>
        </w:rPr>
      </w:pPr>
    </w:p>
    <w:p w14:paraId="40C303C5" w14:textId="77777777" w:rsidR="00B23F10" w:rsidRPr="00E676F7" w:rsidRDefault="00B23F1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1" w:name="_Int_iqtpDieQ"/>
      <w:proofErr w:type="gramStart"/>
      <w:r w:rsidRPr="5CE196A1">
        <w:rPr>
          <w:rFonts w:eastAsia="Arial"/>
          <w:color w:val="000000" w:themeColor="text1"/>
          <w:sz w:val="24"/>
          <w:szCs w:val="24"/>
        </w:rPr>
        <w:t>In regard to</w:t>
      </w:r>
      <w:bookmarkEnd w:id="1"/>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95E5272" w:rsidR="00025650" w:rsidRDefault="3E63D7DA" w:rsidP="0FF883D4">
      <w:pPr>
        <w:ind w:right="237"/>
        <w:jc w:val="both"/>
        <w:rPr>
          <w:b/>
          <w:bCs/>
          <w:sz w:val="24"/>
          <w:szCs w:val="24"/>
        </w:rPr>
      </w:pPr>
      <w:r w:rsidRPr="5CE196A1">
        <w:rPr>
          <w:b/>
          <w:bCs/>
          <w:sz w:val="24"/>
          <w:szCs w:val="24"/>
        </w:rPr>
        <w:t xml:space="preserve">Answer: </w:t>
      </w:r>
    </w:p>
    <w:p w14:paraId="528D967C" w14:textId="1CD3004B" w:rsidR="00746767" w:rsidRDefault="00746767" w:rsidP="0FF883D4">
      <w:pPr>
        <w:ind w:right="237"/>
        <w:jc w:val="both"/>
        <w:rPr>
          <w:b/>
          <w:bCs/>
          <w:sz w:val="24"/>
          <w:szCs w:val="24"/>
        </w:rPr>
      </w:pPr>
    </w:p>
    <w:p w14:paraId="5F6429B6" w14:textId="090D6D5C" w:rsidR="00746767" w:rsidRPr="00D86F38" w:rsidRDefault="00746767" w:rsidP="00D86F38">
      <w:pPr>
        <w:spacing w:line="480" w:lineRule="auto"/>
        <w:ind w:right="237"/>
        <w:jc w:val="both"/>
        <w:rPr>
          <w:sz w:val="24"/>
          <w:szCs w:val="24"/>
        </w:rPr>
      </w:pPr>
      <w:r w:rsidRPr="00D86F38">
        <w:rPr>
          <w:sz w:val="24"/>
          <w:szCs w:val="24"/>
        </w:rPr>
        <w:t xml:space="preserve"> </w:t>
      </w:r>
      <w:r w:rsidRPr="00D86F38">
        <w:rPr>
          <w:sz w:val="24"/>
          <w:szCs w:val="24"/>
        </w:rPr>
        <w:t xml:space="preserve">Neighbourhood Policing </w:t>
      </w:r>
      <w:proofErr w:type="gramStart"/>
      <w:r w:rsidRPr="00D86F38">
        <w:rPr>
          <w:sz w:val="24"/>
          <w:szCs w:val="24"/>
        </w:rPr>
        <w:t>is</w:t>
      </w:r>
      <w:r w:rsidR="006F3500">
        <w:rPr>
          <w:sz w:val="24"/>
          <w:szCs w:val="24"/>
        </w:rPr>
        <w:t xml:space="preserve"> </w:t>
      </w:r>
      <w:r w:rsidRPr="00D86F38">
        <w:rPr>
          <w:sz w:val="24"/>
          <w:szCs w:val="24"/>
        </w:rPr>
        <w:t>considered to be</w:t>
      </w:r>
      <w:proofErr w:type="gramEnd"/>
      <w:r w:rsidRPr="00D86F38">
        <w:rPr>
          <w:sz w:val="24"/>
          <w:szCs w:val="24"/>
        </w:rPr>
        <w:t xml:space="preserve"> one of the closest forms of police engagement with the community through collaboration with officers and members of the public. By doing so, better engagement increases information and intelligence led investigations through networking and building trust (College of Policing, 2019, p.2-3.) With the progression of society and technology brings more complex crimes, which make policing communities more challenging; according to sources from the Office for National Statistics in England and Wales (September 2022) there were 1.1 million recorded incidents of anti-social behaviour. Compared with previous </w:t>
      </w:r>
      <w:r w:rsidRPr="00D86F38">
        <w:rPr>
          <w:sz w:val="24"/>
          <w:szCs w:val="24"/>
        </w:rPr>
        <w:lastRenderedPageBreak/>
        <w:t xml:space="preserve">statistics the percentage had decreased by 21% compared with March 2020 (Jones, 2023.)  Intelligence is crucial to better understand the community and working with the public to resolve issues effectively. In this task I will cover my involvement in an incident that caused issues for the community, and how I dealt with the numerous victims and offenders to mitigate community tension. </w:t>
      </w:r>
    </w:p>
    <w:p w14:paraId="579178CB" w14:textId="77777777" w:rsidR="00746767" w:rsidRPr="00D86F38" w:rsidRDefault="00746767" w:rsidP="00D86F38">
      <w:pPr>
        <w:spacing w:line="480" w:lineRule="auto"/>
        <w:ind w:right="237"/>
        <w:jc w:val="both"/>
        <w:rPr>
          <w:sz w:val="24"/>
          <w:szCs w:val="24"/>
        </w:rPr>
      </w:pPr>
    </w:p>
    <w:p w14:paraId="20A10243" w14:textId="6C23FEB4" w:rsidR="00746767" w:rsidRPr="00D86F38" w:rsidRDefault="00D86F38" w:rsidP="00D86F38">
      <w:pPr>
        <w:spacing w:line="480" w:lineRule="auto"/>
        <w:ind w:right="237"/>
        <w:jc w:val="both"/>
        <w:rPr>
          <w:sz w:val="24"/>
          <w:szCs w:val="24"/>
        </w:rPr>
      </w:pPr>
      <w:r>
        <w:rPr>
          <w:sz w:val="24"/>
          <w:szCs w:val="24"/>
        </w:rPr>
        <w:t xml:space="preserve"> </w:t>
      </w:r>
      <w:r w:rsidR="00746767" w:rsidRPr="00D86F38">
        <w:rPr>
          <w:sz w:val="24"/>
          <w:szCs w:val="24"/>
        </w:rPr>
        <w:t xml:space="preserve">As a police constable, I have attended numerous calls to incidents with assistance from the neighbourhood policing team that included working with community support officers. Community support officers work closely with the public who build rapport with community members and provide intelligence about offenders and crime within the area (College of Policing, 2023.) Most notably, I attended an incident in July 2023 where I had dealt with three young offenders who were involved in numerous offences that had a negative impact on the community. On the Tuesday morning, an emergency came in regarding three teenage boys entering a school, causing alarm and distress for the </w:t>
      </w:r>
      <w:proofErr w:type="gramStart"/>
      <w:r w:rsidR="00746767" w:rsidRPr="00D86F38">
        <w:rPr>
          <w:sz w:val="24"/>
          <w:szCs w:val="24"/>
        </w:rPr>
        <w:t>pupils</w:t>
      </w:r>
      <w:proofErr w:type="gramEnd"/>
      <w:r w:rsidR="00746767" w:rsidRPr="00D86F38">
        <w:rPr>
          <w:sz w:val="24"/>
          <w:szCs w:val="24"/>
        </w:rPr>
        <w:t xml:space="preserve"> and threatening the staff with violence.  Prior to this, an incident of criminal damage was discovered earlier the same morning at a local store car park - a vehicle that was parked overnight had been damaged with windows smashed and items strewn out onto the floor. When speaking to the store staff, they provided description of the suspects matched the description of the same three youths at the school. </w:t>
      </w:r>
    </w:p>
    <w:p w14:paraId="167B0310" w14:textId="77777777" w:rsidR="00746767" w:rsidRPr="00D86F38" w:rsidRDefault="00746767" w:rsidP="00D86F38">
      <w:pPr>
        <w:spacing w:line="480" w:lineRule="auto"/>
        <w:ind w:right="237"/>
        <w:jc w:val="both"/>
        <w:rPr>
          <w:sz w:val="24"/>
          <w:szCs w:val="24"/>
        </w:rPr>
      </w:pPr>
    </w:p>
    <w:p w14:paraId="5BE08155" w14:textId="3BEF3A33" w:rsidR="00746767" w:rsidRDefault="00746767" w:rsidP="00D86F38">
      <w:pPr>
        <w:spacing w:line="480" w:lineRule="auto"/>
        <w:ind w:right="237"/>
        <w:jc w:val="both"/>
        <w:rPr>
          <w:sz w:val="24"/>
          <w:szCs w:val="24"/>
        </w:rPr>
      </w:pPr>
      <w:r w:rsidRPr="00D86F38">
        <w:rPr>
          <w:sz w:val="24"/>
          <w:szCs w:val="24"/>
        </w:rPr>
        <w:t xml:space="preserve"> it is expected when attending any incident, the National Decision Model is to be utilised to conduct risk assessments prior to attending and being on scene; information gathering on the nature of the incident, safety risks of persons involved and officers and </w:t>
      </w:r>
      <w:proofErr w:type="gramStart"/>
      <w:r w:rsidRPr="00D86F38">
        <w:rPr>
          <w:sz w:val="24"/>
          <w:szCs w:val="24"/>
        </w:rPr>
        <w:t>past history</w:t>
      </w:r>
      <w:proofErr w:type="gramEnd"/>
      <w:r w:rsidRPr="00D86F38">
        <w:rPr>
          <w:sz w:val="24"/>
          <w:szCs w:val="24"/>
        </w:rPr>
        <w:t xml:space="preserve"> of involved persons (College of Policing, 2013.) Limited </w:t>
      </w:r>
      <w:r w:rsidRPr="00D86F38">
        <w:rPr>
          <w:sz w:val="24"/>
          <w:szCs w:val="24"/>
        </w:rPr>
        <w:lastRenderedPageBreak/>
        <w:t>information may be passed, further information would be obtained once at the incident. From there, after speaking to the victim further information would then be given, building a better understanding of what has occurred. This is vital in aiding precise decision making. Incidents can vary from low level to being more dynamic and complex; the complexity of an incident is dependent on factors such as the crime being structured and involved person or group commits serious offences and violence (</w:t>
      </w:r>
      <w:proofErr w:type="spellStart"/>
      <w:r w:rsidRPr="00D86F38">
        <w:rPr>
          <w:sz w:val="24"/>
          <w:szCs w:val="24"/>
        </w:rPr>
        <w:t>Buscaglia</w:t>
      </w:r>
      <w:proofErr w:type="spellEnd"/>
      <w:r w:rsidRPr="00D86F38">
        <w:rPr>
          <w:sz w:val="24"/>
          <w:szCs w:val="24"/>
        </w:rPr>
        <w:t xml:space="preserve"> and van Dijk, 2005, p.3.) With the assistance from the local Community support officers and ward managers who had intelligence on the subjects, the three offenders were known to the police and had previous offences for violence against police and carrying knives, which increased safety risks for not only officers but for other members of the public. Using the knowledge of associates and addresses the offenders were located and arrested for causing nuisance or disturbance at a school premises under (Section 547 Education Act 1996) and suspicion of criminal damage under (Section 1 Criminal Damage Act 1971.)  The neighbourhood policing team provided statements and identified witnesses to get their accounts of the incident. </w:t>
      </w:r>
    </w:p>
    <w:p w14:paraId="63988546" w14:textId="77777777" w:rsidR="00D86F38" w:rsidRPr="00D86F38" w:rsidRDefault="00D86F38" w:rsidP="00D86F38">
      <w:pPr>
        <w:spacing w:line="480" w:lineRule="auto"/>
        <w:ind w:right="237"/>
        <w:jc w:val="both"/>
        <w:rPr>
          <w:sz w:val="24"/>
          <w:szCs w:val="24"/>
        </w:rPr>
      </w:pPr>
    </w:p>
    <w:p w14:paraId="60657516" w14:textId="617436CC" w:rsidR="00746767" w:rsidRPr="00D86F38" w:rsidRDefault="00D86F38" w:rsidP="00D86F38">
      <w:pPr>
        <w:spacing w:line="480" w:lineRule="auto"/>
        <w:ind w:right="237"/>
        <w:jc w:val="both"/>
        <w:rPr>
          <w:sz w:val="24"/>
          <w:szCs w:val="24"/>
        </w:rPr>
      </w:pPr>
      <w:r>
        <w:rPr>
          <w:sz w:val="24"/>
          <w:szCs w:val="24"/>
        </w:rPr>
        <w:t xml:space="preserve"> </w:t>
      </w:r>
      <w:r w:rsidR="00746767" w:rsidRPr="00D86F38">
        <w:rPr>
          <w:sz w:val="24"/>
          <w:szCs w:val="24"/>
        </w:rPr>
        <w:t>I was assigned the handover for the two offenders involved- the offenders were juveniles, therefore prior to being brought before the custody sergeants, appropriate adults are required for the authorisation of detention to safeguard their rights and entitlements under Code C (Police and Criminal Evidence Act 1984.)</w:t>
      </w:r>
      <w:r>
        <w:rPr>
          <w:sz w:val="24"/>
          <w:szCs w:val="24"/>
        </w:rPr>
        <w:t xml:space="preserve"> </w:t>
      </w:r>
      <w:r w:rsidR="00746767" w:rsidRPr="00D86F38">
        <w:rPr>
          <w:sz w:val="24"/>
          <w:szCs w:val="24"/>
        </w:rPr>
        <w:t xml:space="preserve">According to studies, juveniles who are arrested and placed into custody increase their risk of repeat </w:t>
      </w:r>
      <w:r w:rsidR="006F3500" w:rsidRPr="00D86F38">
        <w:rPr>
          <w:sz w:val="24"/>
          <w:szCs w:val="24"/>
        </w:rPr>
        <w:t>offending and</w:t>
      </w:r>
      <w:r w:rsidR="00746767" w:rsidRPr="00D86F38">
        <w:rPr>
          <w:sz w:val="24"/>
          <w:szCs w:val="24"/>
        </w:rPr>
        <w:t xml:space="preserve"> are at risk from aggravating factors; namely a disruptive family life and psycho- social problems (Jacobson et al, 2010, p.81). This implies that custody would be a “last resort”, </w:t>
      </w:r>
      <w:r w:rsidR="006F3500" w:rsidRPr="00D86F38">
        <w:rPr>
          <w:sz w:val="24"/>
          <w:szCs w:val="24"/>
        </w:rPr>
        <w:t>therefore,</w:t>
      </w:r>
      <w:r w:rsidR="00746767" w:rsidRPr="00D86F38">
        <w:rPr>
          <w:sz w:val="24"/>
          <w:szCs w:val="24"/>
        </w:rPr>
        <w:t xml:space="preserve"> to minimise the impact on the juveniles </w:t>
      </w:r>
      <w:r w:rsidR="00746767" w:rsidRPr="00D86F38">
        <w:rPr>
          <w:sz w:val="24"/>
          <w:szCs w:val="24"/>
        </w:rPr>
        <w:lastRenderedPageBreak/>
        <w:t xml:space="preserve">there was a need to prioritise outstanding enquiries to prevent them being in custody longer than necessarily needed. Prior to interview, I conducted investigations which included identifying the witnesses and victims by obtaining statements and completing CCTV enquiries. </w:t>
      </w:r>
    </w:p>
    <w:p w14:paraId="0158CFC5" w14:textId="77777777" w:rsidR="00746767" w:rsidRPr="00D86F38" w:rsidRDefault="00746767" w:rsidP="00D86F38">
      <w:pPr>
        <w:spacing w:line="480" w:lineRule="auto"/>
        <w:ind w:right="237"/>
        <w:jc w:val="both"/>
        <w:rPr>
          <w:sz w:val="24"/>
          <w:szCs w:val="24"/>
        </w:rPr>
      </w:pPr>
    </w:p>
    <w:p w14:paraId="2CAD3FB6" w14:textId="77777777" w:rsidR="00D86F38" w:rsidRDefault="00746767" w:rsidP="00D86F38">
      <w:pPr>
        <w:spacing w:line="480" w:lineRule="auto"/>
        <w:ind w:right="237"/>
        <w:jc w:val="both"/>
        <w:rPr>
          <w:sz w:val="24"/>
          <w:szCs w:val="24"/>
        </w:rPr>
      </w:pPr>
      <w:r w:rsidRPr="00D86F38">
        <w:rPr>
          <w:sz w:val="24"/>
          <w:szCs w:val="24"/>
        </w:rPr>
        <w:t xml:space="preserve"> The</w:t>
      </w:r>
      <w:r w:rsidRPr="00D86F38">
        <w:rPr>
          <w:sz w:val="24"/>
          <w:szCs w:val="24"/>
        </w:rPr>
        <w:t xml:space="preserve"> youths</w:t>
      </w:r>
      <w:r w:rsidRPr="00D86F38">
        <w:rPr>
          <w:sz w:val="24"/>
          <w:szCs w:val="24"/>
        </w:rPr>
        <w:t xml:space="preserve"> had outstanding offences that they had not been interviewed on before this incident; the offenders were suspected of public order and criminal damage, vehicle disturbance and theft offences where evidence had been gathered ready to be questioned on in interview. I identified the owner of the vehicle that was damaged and took a statement noting the cost of repair for the damage. The victim was offered special measures and to do a victim personal statement. A victim personal statement is a separate statement that gives the victim the opportunity to speak about how the incident has affected them. The court will consider the VPS along with other evidence to decide an appropriate sentence for the offender (Ministry of Justice, 2013.) </w:t>
      </w:r>
    </w:p>
    <w:p w14:paraId="1A196FF2" w14:textId="77777777" w:rsidR="00D86F38" w:rsidRDefault="00D86F38" w:rsidP="00D86F38">
      <w:pPr>
        <w:spacing w:line="480" w:lineRule="auto"/>
        <w:ind w:right="237"/>
        <w:jc w:val="both"/>
        <w:rPr>
          <w:sz w:val="24"/>
          <w:szCs w:val="24"/>
        </w:rPr>
      </w:pPr>
      <w:r>
        <w:rPr>
          <w:sz w:val="24"/>
          <w:szCs w:val="24"/>
        </w:rPr>
        <w:t xml:space="preserve"> </w:t>
      </w:r>
    </w:p>
    <w:p w14:paraId="60F8DF45" w14:textId="42F908D3" w:rsidR="00746767" w:rsidRPr="00D86F38" w:rsidRDefault="00D86F38" w:rsidP="00D86F38">
      <w:pPr>
        <w:spacing w:line="480" w:lineRule="auto"/>
        <w:ind w:right="237"/>
        <w:jc w:val="both"/>
        <w:rPr>
          <w:sz w:val="24"/>
          <w:szCs w:val="24"/>
        </w:rPr>
      </w:pPr>
      <w:r>
        <w:rPr>
          <w:sz w:val="24"/>
          <w:szCs w:val="24"/>
        </w:rPr>
        <w:t xml:space="preserve"> </w:t>
      </w:r>
      <w:r w:rsidR="00746767" w:rsidRPr="00D86F38">
        <w:rPr>
          <w:sz w:val="24"/>
          <w:szCs w:val="24"/>
        </w:rPr>
        <w:t xml:space="preserve">The victim of the vehicle damage decided against further support, feeling it was unneeded as he did not consider himself vulnerable – he also felt the incident did not warrant a personal statement, although there was property damage and financial loss. Furthermore, the victim at the school incident was a </w:t>
      </w:r>
      <w:r w:rsidRPr="00D86F38">
        <w:rPr>
          <w:sz w:val="24"/>
          <w:szCs w:val="24"/>
        </w:rPr>
        <w:t>schoolteacher</w:t>
      </w:r>
      <w:r w:rsidR="00746767" w:rsidRPr="00D86F38">
        <w:rPr>
          <w:sz w:val="24"/>
          <w:szCs w:val="24"/>
        </w:rPr>
        <w:t>, and although he had been threatened, he did not consider himself in fear of the threat being carried out.</w:t>
      </w:r>
      <w:r w:rsidR="00746767" w:rsidRPr="00D86F38">
        <w:rPr>
          <w:sz w:val="24"/>
          <w:szCs w:val="24"/>
        </w:rPr>
        <w:t xml:space="preserve"> </w:t>
      </w:r>
      <w:r w:rsidR="00746767" w:rsidRPr="00D86F38">
        <w:rPr>
          <w:sz w:val="24"/>
          <w:szCs w:val="24"/>
        </w:rPr>
        <w:t xml:space="preserve">The CCTV obtained from the store had shown the car park with three suspects damaging the car – however, due to the technical quality of the footage it became challenging to formally identify the offenders as the only leading evidence linking to the three males were the items of clothing which had no </w:t>
      </w:r>
      <w:r w:rsidR="00746767" w:rsidRPr="00D86F38">
        <w:rPr>
          <w:sz w:val="24"/>
          <w:szCs w:val="24"/>
        </w:rPr>
        <w:lastRenderedPageBreak/>
        <w:t xml:space="preserve">significant features; their faces were covered by balaclava masks. Due to the offenders’ </w:t>
      </w:r>
      <w:r w:rsidRPr="00D86F38">
        <w:rPr>
          <w:sz w:val="24"/>
          <w:szCs w:val="24"/>
        </w:rPr>
        <w:t>ages,</w:t>
      </w:r>
      <w:r w:rsidR="00746767" w:rsidRPr="00D86F38">
        <w:rPr>
          <w:sz w:val="24"/>
          <w:szCs w:val="24"/>
        </w:rPr>
        <w:t xml:space="preserve"> I arranged for appropriate adults to be present at interview under Code C PACE 1984 (Gov.uk, 2023.)</w:t>
      </w:r>
    </w:p>
    <w:p w14:paraId="31A9E09D" w14:textId="77777777" w:rsidR="00D86F38" w:rsidRPr="00D86F38" w:rsidRDefault="00D86F38" w:rsidP="00D86F38">
      <w:pPr>
        <w:spacing w:line="480" w:lineRule="auto"/>
        <w:ind w:right="237"/>
        <w:jc w:val="both"/>
        <w:rPr>
          <w:sz w:val="24"/>
          <w:szCs w:val="24"/>
        </w:rPr>
      </w:pPr>
    </w:p>
    <w:p w14:paraId="469A49C9" w14:textId="51E22F5C" w:rsidR="00746767" w:rsidRPr="00D86F38" w:rsidRDefault="00D86F38" w:rsidP="00D86F38">
      <w:pPr>
        <w:spacing w:line="480" w:lineRule="auto"/>
        <w:ind w:right="237"/>
        <w:jc w:val="both"/>
        <w:rPr>
          <w:sz w:val="24"/>
          <w:szCs w:val="24"/>
        </w:rPr>
      </w:pPr>
      <w:r w:rsidRPr="00D86F38">
        <w:rPr>
          <w:sz w:val="24"/>
          <w:szCs w:val="24"/>
        </w:rPr>
        <w:t xml:space="preserve"> </w:t>
      </w:r>
      <w:r w:rsidR="00746767" w:rsidRPr="00D86F38">
        <w:rPr>
          <w:sz w:val="24"/>
          <w:szCs w:val="24"/>
        </w:rPr>
        <w:t xml:space="preserve">I will address the two offenders I interviewed as Boy One and Boy Two. The first boy answered “no comment” to most of the questioned asked; challenging questions where </w:t>
      </w:r>
      <w:proofErr w:type="gramStart"/>
      <w:r w:rsidR="00746767" w:rsidRPr="00D86F38">
        <w:rPr>
          <w:sz w:val="24"/>
          <w:szCs w:val="24"/>
        </w:rPr>
        <w:t>myself</w:t>
      </w:r>
      <w:proofErr w:type="gramEnd"/>
      <w:r w:rsidR="00746767" w:rsidRPr="00D86F38">
        <w:rPr>
          <w:sz w:val="24"/>
          <w:szCs w:val="24"/>
        </w:rPr>
        <w:t xml:space="preserve"> and another interviewer had shown body worn footage of attending officers at the scene of a public order incident, Boy One began answering the questions in a defensive manner. The result of the interview had shown Boy One to be argumentative, arguing and defending his violent behaviour that he did not like the police, those who were affected by the incident had “deserved it”. Drawing back on disadvantage of juveniles in custody and adverse experiences in family and social life, Boy One has been previously convicted of crimes in the past and has been raised in care with social services, his views and behaviour could be deflecting his own perception of authoritarian figures such as parents, </w:t>
      </w:r>
      <w:proofErr w:type="gramStart"/>
      <w:r w:rsidR="00746767" w:rsidRPr="00D86F38">
        <w:rPr>
          <w:sz w:val="24"/>
          <w:szCs w:val="24"/>
        </w:rPr>
        <w:t>carers</w:t>
      </w:r>
      <w:proofErr w:type="gramEnd"/>
      <w:r w:rsidR="00746767" w:rsidRPr="00D86F38">
        <w:rPr>
          <w:sz w:val="24"/>
          <w:szCs w:val="24"/>
        </w:rPr>
        <w:t xml:space="preserve"> and the police. </w:t>
      </w:r>
    </w:p>
    <w:p w14:paraId="280D7731" w14:textId="55EAF677" w:rsidR="00746767" w:rsidRDefault="00746767" w:rsidP="00D86F38">
      <w:pPr>
        <w:spacing w:line="480" w:lineRule="auto"/>
        <w:ind w:right="237"/>
        <w:jc w:val="both"/>
        <w:rPr>
          <w:sz w:val="24"/>
          <w:szCs w:val="24"/>
        </w:rPr>
      </w:pPr>
      <w:r w:rsidRPr="00D86F38">
        <w:rPr>
          <w:sz w:val="24"/>
          <w:szCs w:val="24"/>
        </w:rPr>
        <w:t xml:space="preserve">Boy Two was interviewed and again answered questions “No comment”. His mother was present as the appropriate adult. The behaviour presented by Boy Two was quiet and apathetic – he did not seem to care with the impacts of the incident, he had shown no remorse or recognised severity of the incidents. </w:t>
      </w:r>
    </w:p>
    <w:p w14:paraId="31FE1ADC" w14:textId="77777777" w:rsidR="00D86F38" w:rsidRPr="00D86F38" w:rsidRDefault="00D86F38" w:rsidP="00D86F38">
      <w:pPr>
        <w:spacing w:line="480" w:lineRule="auto"/>
        <w:ind w:right="237"/>
        <w:jc w:val="both"/>
        <w:rPr>
          <w:sz w:val="24"/>
          <w:szCs w:val="24"/>
        </w:rPr>
      </w:pPr>
    </w:p>
    <w:p w14:paraId="1B00FA57" w14:textId="7C592569" w:rsidR="00746767" w:rsidRPr="00D86F38" w:rsidRDefault="00D86F38" w:rsidP="00D86F38">
      <w:pPr>
        <w:spacing w:line="480" w:lineRule="auto"/>
        <w:ind w:right="237"/>
        <w:jc w:val="both"/>
        <w:rPr>
          <w:sz w:val="24"/>
          <w:szCs w:val="24"/>
        </w:rPr>
      </w:pPr>
      <w:r>
        <w:rPr>
          <w:sz w:val="24"/>
          <w:szCs w:val="24"/>
        </w:rPr>
        <w:t xml:space="preserve"> </w:t>
      </w:r>
      <w:r w:rsidR="00746767" w:rsidRPr="00D86F38">
        <w:rPr>
          <w:sz w:val="24"/>
          <w:szCs w:val="24"/>
        </w:rPr>
        <w:t xml:space="preserve">The third juvenile was interviewed by separate officers also answered no comment with his response. Once the offenders were interviewed, they were released with police pre-charge bail, the bail conditions set out instructions for the juveniles to follow to prevent further incidents whilst the investigation is completed to forward to the Crown Prosecution Services under 4.2 of Statutory Guidance (Home Office, </w:t>
      </w:r>
      <w:r w:rsidR="00746767" w:rsidRPr="00D86F38">
        <w:rPr>
          <w:sz w:val="24"/>
          <w:szCs w:val="24"/>
        </w:rPr>
        <w:lastRenderedPageBreak/>
        <w:t>2023.)</w:t>
      </w:r>
      <w:r w:rsidRPr="00D86F38">
        <w:rPr>
          <w:sz w:val="24"/>
          <w:szCs w:val="24"/>
        </w:rPr>
        <w:t xml:space="preserve"> </w:t>
      </w:r>
      <w:r w:rsidR="00746767" w:rsidRPr="00D86F38">
        <w:rPr>
          <w:sz w:val="24"/>
          <w:szCs w:val="24"/>
        </w:rPr>
        <w:t xml:space="preserve">The bail conditions given were for the juveniles not to attend a certain area, nor to engage with the same group of children, lastly to have a home curfew for them not be out at certain time. These conditions were put in place to reduce anti-social behaviour in the area, as well as protecting the victims who have been affected. If the conditions were breached, dependant of the severity of the breach they would be arrestable under Section 46A (Police and Criminal Evidence Act 1984.) </w:t>
      </w:r>
    </w:p>
    <w:p w14:paraId="0F90AEDB" w14:textId="02FD35E5" w:rsidR="00746767" w:rsidRPr="00D86F38" w:rsidRDefault="00D86F38" w:rsidP="00D86F38">
      <w:pPr>
        <w:spacing w:line="480" w:lineRule="auto"/>
        <w:ind w:right="237"/>
        <w:jc w:val="both"/>
        <w:rPr>
          <w:sz w:val="24"/>
          <w:szCs w:val="24"/>
        </w:rPr>
      </w:pPr>
      <w:r>
        <w:rPr>
          <w:sz w:val="24"/>
          <w:szCs w:val="24"/>
        </w:rPr>
        <w:t xml:space="preserve"> </w:t>
      </w:r>
      <w:r w:rsidRPr="00D86F38">
        <w:rPr>
          <w:sz w:val="24"/>
          <w:szCs w:val="24"/>
        </w:rPr>
        <w:t xml:space="preserve"> </w:t>
      </w:r>
      <w:r w:rsidR="00746767" w:rsidRPr="00D86F38">
        <w:rPr>
          <w:sz w:val="24"/>
          <w:szCs w:val="24"/>
        </w:rPr>
        <w:t xml:space="preserve">Following this, after speaking to the neighbourhood sergeant it was collectively decided to instil a dispersal order in the area where the incident occurred; the juveniles had links to other children in the area and would congregate in large groups increasing reports of antisocial behaviour. A dispersal order was authorised by the inspector prohibiting congregation of groups in the area for no more than 48 hours under Section 34 (Anti-Social Behaviour Crime and Policing Act 2014.) Further to this, strategy meetings were held for the youths involved with social service and local council to tackle future issues of anti-social behaviour. According to the College of Policing, the problem-solving approach had shown from a review that there was crime reduction in 31 out of 34 studies (College of Policing, 2021.) A consideration for more police presence in the area could discourage reoffending behaviour, and positive interventions with the youths could provide a healthier perception of the police; as previously mentioned one of the youths voiced that he did not like the police, which could have resulted from negative </w:t>
      </w:r>
      <w:proofErr w:type="gramStart"/>
      <w:r w:rsidR="00746767" w:rsidRPr="00D86F38">
        <w:rPr>
          <w:sz w:val="24"/>
          <w:szCs w:val="24"/>
        </w:rPr>
        <w:t>past experience</w:t>
      </w:r>
      <w:proofErr w:type="gramEnd"/>
      <w:r w:rsidR="00746767" w:rsidRPr="00D86F38">
        <w:rPr>
          <w:sz w:val="24"/>
          <w:szCs w:val="24"/>
        </w:rPr>
        <w:t xml:space="preserve">. Engagements could build positive relationships with officers who they frequently see in the area during patrols, enabling at risk youths to </w:t>
      </w:r>
      <w:proofErr w:type="gramStart"/>
      <w:r w:rsidR="00746767" w:rsidRPr="00D86F38">
        <w:rPr>
          <w:sz w:val="24"/>
          <w:szCs w:val="24"/>
        </w:rPr>
        <w:t>open up</w:t>
      </w:r>
      <w:proofErr w:type="gramEnd"/>
      <w:r w:rsidR="00746767" w:rsidRPr="00D86F38">
        <w:rPr>
          <w:sz w:val="24"/>
          <w:szCs w:val="24"/>
        </w:rPr>
        <w:t xml:space="preserve"> and be able to confide in community issues that are missed from lack of knowledge or intelligence of these crimes (</w:t>
      </w:r>
      <w:proofErr w:type="spellStart"/>
      <w:r w:rsidR="00746767" w:rsidRPr="00D86F38">
        <w:rPr>
          <w:sz w:val="24"/>
          <w:szCs w:val="24"/>
        </w:rPr>
        <w:t>Tuffin</w:t>
      </w:r>
      <w:proofErr w:type="spellEnd"/>
      <w:r w:rsidR="00746767" w:rsidRPr="00D86F38">
        <w:rPr>
          <w:sz w:val="24"/>
          <w:szCs w:val="24"/>
        </w:rPr>
        <w:t xml:space="preserve"> et al, 2006, p.13.) </w:t>
      </w:r>
    </w:p>
    <w:p w14:paraId="660D93E7" w14:textId="77777777" w:rsidR="00D86F38" w:rsidRPr="00D86F38" w:rsidRDefault="00D86F38" w:rsidP="00D86F38">
      <w:pPr>
        <w:spacing w:line="480" w:lineRule="auto"/>
        <w:ind w:right="237"/>
        <w:jc w:val="both"/>
        <w:rPr>
          <w:sz w:val="24"/>
          <w:szCs w:val="24"/>
        </w:rPr>
      </w:pPr>
    </w:p>
    <w:p w14:paraId="3C90B378" w14:textId="77777777" w:rsidR="00746767" w:rsidRPr="00D86F38" w:rsidRDefault="00746767" w:rsidP="00D86F38">
      <w:pPr>
        <w:spacing w:line="480" w:lineRule="auto"/>
        <w:ind w:right="237"/>
        <w:jc w:val="both"/>
        <w:rPr>
          <w:sz w:val="24"/>
          <w:szCs w:val="24"/>
        </w:rPr>
      </w:pPr>
      <w:r w:rsidRPr="00D86F38">
        <w:rPr>
          <w:sz w:val="24"/>
          <w:szCs w:val="24"/>
        </w:rPr>
        <w:t xml:space="preserve"> As a result of these proposals, the juveniles were no longer causing serious issues in the community, especially compared to the previous months where there were weekly incidents involving the same offenders. As of to date, the rate of reported incidents reduced. Although there are still reports of some antisocial behaviour it seemed the enhanced engagement is improving in the area. Boy </w:t>
      </w:r>
      <w:proofErr w:type="gramStart"/>
      <w:r w:rsidRPr="00D86F38">
        <w:rPr>
          <w:sz w:val="24"/>
          <w:szCs w:val="24"/>
        </w:rPr>
        <w:t>One  who</w:t>
      </w:r>
      <w:proofErr w:type="gramEnd"/>
      <w:r w:rsidRPr="00D86F38">
        <w:rPr>
          <w:sz w:val="24"/>
          <w:szCs w:val="24"/>
        </w:rPr>
        <w:t xml:space="preserve"> I interviewed was remanded and charged due to his breaching of bail, from the first few breaches his bail was extended with added conditions. This was due to the complexity of his convictions - the file was not ready for charge and caused court delays in the process (</w:t>
      </w:r>
      <w:proofErr w:type="spellStart"/>
      <w:r w:rsidRPr="00D86F38">
        <w:rPr>
          <w:sz w:val="24"/>
          <w:szCs w:val="24"/>
        </w:rPr>
        <w:t>Buscaglia</w:t>
      </w:r>
      <w:proofErr w:type="spellEnd"/>
      <w:r w:rsidRPr="00D86F38">
        <w:rPr>
          <w:sz w:val="24"/>
          <w:szCs w:val="24"/>
        </w:rPr>
        <w:t xml:space="preserve"> and van Dijk, 2005, p.12.) From the partner agency meetings regarding Boy One, it was considered through community supervision by youth workers for him to be relocated to reduce further offending and manage risk of him going missing (Luong and </w:t>
      </w:r>
      <w:proofErr w:type="spellStart"/>
      <w:r w:rsidRPr="00D86F38">
        <w:rPr>
          <w:sz w:val="24"/>
          <w:szCs w:val="24"/>
        </w:rPr>
        <w:t>Wormith</w:t>
      </w:r>
      <w:proofErr w:type="spellEnd"/>
      <w:r w:rsidRPr="00D86F38">
        <w:rPr>
          <w:sz w:val="24"/>
          <w:szCs w:val="24"/>
        </w:rPr>
        <w:t xml:space="preserve">, 2011, p.1182.) </w:t>
      </w:r>
    </w:p>
    <w:p w14:paraId="5DFBDF36" w14:textId="77777777" w:rsidR="00D86F38" w:rsidRPr="00D86F38" w:rsidRDefault="00746767" w:rsidP="00D86F38">
      <w:pPr>
        <w:spacing w:line="480" w:lineRule="auto"/>
        <w:ind w:right="237"/>
        <w:jc w:val="both"/>
        <w:rPr>
          <w:sz w:val="24"/>
          <w:szCs w:val="24"/>
        </w:rPr>
      </w:pPr>
      <w:r w:rsidRPr="00D86F38">
        <w:rPr>
          <w:sz w:val="24"/>
          <w:szCs w:val="24"/>
        </w:rPr>
        <w:t xml:space="preserve">  </w:t>
      </w:r>
    </w:p>
    <w:p w14:paraId="1641C702" w14:textId="6D6CD6C7" w:rsidR="00746767" w:rsidRDefault="00D86F38" w:rsidP="00D86F38">
      <w:pPr>
        <w:spacing w:line="480" w:lineRule="auto"/>
        <w:ind w:right="237"/>
        <w:jc w:val="both"/>
        <w:rPr>
          <w:sz w:val="24"/>
          <w:szCs w:val="24"/>
        </w:rPr>
      </w:pPr>
      <w:r w:rsidRPr="00D86F38">
        <w:rPr>
          <w:sz w:val="24"/>
          <w:szCs w:val="24"/>
        </w:rPr>
        <w:t xml:space="preserve"> </w:t>
      </w:r>
      <w:r w:rsidR="00746767" w:rsidRPr="00D86F38">
        <w:rPr>
          <w:sz w:val="24"/>
          <w:szCs w:val="24"/>
        </w:rPr>
        <w:t>Upon reflection, it is felt that in terms of utilising resources to handle the incident appropriately such as speaking with community policing team, it was very effective in obtaining knowledge of the offenders involved. Being informed with knowledge of the offenders was crucial in terms of risk assessing the incident as the offenders were known for violence. Without this information, the incident could have escalated to a level where the officers, other children, or the public could have been at risk of harm.</w:t>
      </w:r>
    </w:p>
    <w:p w14:paraId="0378748D" w14:textId="3F1BFA33" w:rsidR="00D86F38" w:rsidRDefault="00D86F38" w:rsidP="00D86F38">
      <w:pPr>
        <w:spacing w:line="480" w:lineRule="auto"/>
        <w:ind w:right="237"/>
        <w:jc w:val="both"/>
        <w:rPr>
          <w:sz w:val="24"/>
          <w:szCs w:val="24"/>
        </w:rPr>
      </w:pPr>
    </w:p>
    <w:p w14:paraId="2F5A3A1D" w14:textId="33743E3B" w:rsidR="00D86F38" w:rsidRDefault="00D86F38" w:rsidP="00D86F38">
      <w:pPr>
        <w:spacing w:line="480" w:lineRule="auto"/>
        <w:ind w:right="237"/>
        <w:jc w:val="both"/>
        <w:rPr>
          <w:sz w:val="24"/>
          <w:szCs w:val="24"/>
        </w:rPr>
      </w:pPr>
    </w:p>
    <w:p w14:paraId="0D843328" w14:textId="77777777" w:rsidR="00D86F38" w:rsidRPr="00D86F38" w:rsidRDefault="00D86F38" w:rsidP="00D86F38">
      <w:pPr>
        <w:spacing w:line="480" w:lineRule="auto"/>
        <w:ind w:right="237"/>
        <w:jc w:val="both"/>
        <w:rPr>
          <w:sz w:val="24"/>
          <w:szCs w:val="24"/>
        </w:rPr>
      </w:pPr>
    </w:p>
    <w:p w14:paraId="65BF10A4" w14:textId="5E6F464C" w:rsidR="00746767" w:rsidRPr="00D86F38" w:rsidRDefault="00746767" w:rsidP="00D86F38">
      <w:pPr>
        <w:spacing w:line="480" w:lineRule="auto"/>
        <w:ind w:right="237"/>
        <w:jc w:val="both"/>
        <w:rPr>
          <w:sz w:val="24"/>
          <w:szCs w:val="24"/>
        </w:rPr>
      </w:pPr>
      <w:r w:rsidRPr="00D86F38">
        <w:rPr>
          <w:sz w:val="24"/>
          <w:szCs w:val="24"/>
        </w:rPr>
        <w:lastRenderedPageBreak/>
        <w:t>In conclusion, the incident and research has shown that positive engagement and partnership working is needed, not only with police colleagues working together to get intelligence, but to build networks with agencies. By having heightened engagement with members of the community, specifically working closely with the children who were involved could help to understand their behaviour and actions and why crime occurs in the first place. It is felt that by providing this response it lessened community impact, however if the issue was addressed in the first instance when it began occurring in the area it could have prevented the individuals from reoffending. I feel that my role as a response officer to address the issue was appropriate to my capabilities, and I strongly feel that it is beneficial to work alongside neighbourhood teams as my work is closely connected with community issues and enhances my knowledge in the area that I police.</w:t>
      </w:r>
    </w:p>
    <w:p w14:paraId="6DE8A7D9" w14:textId="117C32A9" w:rsidR="00746767" w:rsidRPr="00D86F38" w:rsidRDefault="00746767" w:rsidP="00D86F38">
      <w:pPr>
        <w:spacing w:line="480" w:lineRule="auto"/>
        <w:ind w:right="237"/>
        <w:jc w:val="both"/>
        <w:rPr>
          <w:sz w:val="24"/>
          <w:szCs w:val="24"/>
        </w:rPr>
      </w:pPr>
    </w:p>
    <w:p w14:paraId="64B03690" w14:textId="395E2953" w:rsidR="00746767" w:rsidRPr="00D86F38" w:rsidRDefault="00746767" w:rsidP="00D86F38">
      <w:pPr>
        <w:spacing w:line="480" w:lineRule="auto"/>
        <w:ind w:right="237"/>
        <w:jc w:val="both"/>
        <w:rPr>
          <w:sz w:val="24"/>
          <w:szCs w:val="24"/>
        </w:rPr>
      </w:pPr>
      <w:r w:rsidRPr="00D86F38">
        <w:rPr>
          <w:sz w:val="24"/>
          <w:szCs w:val="24"/>
        </w:rPr>
        <w:t>Word Count: 1953</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0CD14231" w14:textId="2525D1C0" w:rsidR="0FF883D4" w:rsidRDefault="0FF883D4" w:rsidP="00D86F38">
      <w:pPr>
        <w:spacing w:beforeAutospacing="1" w:afterAutospacing="1"/>
        <w:ind w:right="225"/>
        <w:rPr>
          <w:rFonts w:eastAsia="Arial"/>
          <w:color w:val="000000" w:themeColor="text1"/>
          <w:sz w:val="24"/>
          <w:szCs w:val="24"/>
        </w:rPr>
      </w:pPr>
    </w:p>
    <w:p w14:paraId="1ADEFAE5" w14:textId="46DCE429" w:rsidR="0FF883D4" w:rsidRDefault="5CE196A1" w:rsidP="00D86F38">
      <w:pPr>
        <w:ind w:right="237"/>
      </w:pPr>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08C1AD9" w:rsidR="0FF883D4" w:rsidRDefault="5CE196A1" w:rsidP="5CE196A1">
      <w:r w:rsidRPr="5CE196A1">
        <w:rPr>
          <w:rFonts w:eastAsia="Arial"/>
          <w:b/>
          <w:bCs/>
          <w:color w:val="000000" w:themeColor="text1"/>
          <w:sz w:val="24"/>
          <w:szCs w:val="24"/>
        </w:rPr>
        <w:t xml:space="preserve">Signed: </w:t>
      </w:r>
      <w:r w:rsidR="00F4008B" w:rsidRPr="00F4008B">
        <w:rPr>
          <w:rFonts w:eastAsia="Arial"/>
          <w:color w:val="000000" w:themeColor="text1"/>
          <w:sz w:val="24"/>
          <w:szCs w:val="24"/>
        </w:rPr>
        <w:t>Elyse Cathryn Hopkins</w:t>
      </w:r>
      <w:r w:rsidR="00F4008B">
        <w:rPr>
          <w:rFonts w:eastAsia="Arial"/>
          <w:b/>
          <w:b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BA2FEC6" w:rsidR="0FF883D4" w:rsidRPr="00F4008B" w:rsidRDefault="5CE196A1" w:rsidP="00F4008B">
      <w:pPr>
        <w:sectPr w:rsidR="0FF883D4" w:rsidRPr="00F4008B"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F4008B">
        <w:t xml:space="preserve"> </w:t>
      </w:r>
      <w:r w:rsidR="00F4008B" w:rsidRPr="00F4008B">
        <w:rPr>
          <w:sz w:val="24"/>
          <w:szCs w:val="24"/>
          <w:lang w:eastAsia="zh-TW"/>
        </w:rPr>
        <w:t>14/08/2023</w:t>
      </w:r>
    </w:p>
    <w:p w14:paraId="2B4DA333" w14:textId="2A148C87" w:rsidR="004923DA" w:rsidRDefault="004923DA" w:rsidP="00340E9A">
      <w:pPr>
        <w:keepNext/>
        <w:spacing w:before="240" w:after="60"/>
        <w:ind w:right="237"/>
        <w:jc w:val="both"/>
        <w:rPr>
          <w:b/>
          <w:sz w:val="24"/>
          <w:szCs w:val="24"/>
        </w:rPr>
      </w:pPr>
      <w:r w:rsidRPr="00E676F7">
        <w:rPr>
          <w:b/>
          <w:sz w:val="24"/>
          <w:szCs w:val="24"/>
        </w:rPr>
        <w:lastRenderedPageBreak/>
        <w:t>Bibliography</w:t>
      </w:r>
    </w:p>
    <w:p w14:paraId="5F04853F" w14:textId="77777777" w:rsidR="00D86F38" w:rsidRPr="00D86F38" w:rsidRDefault="00D86F38" w:rsidP="00D86F38">
      <w:pPr>
        <w:keepNext/>
        <w:spacing w:before="240" w:after="60"/>
        <w:ind w:right="237"/>
        <w:jc w:val="both"/>
        <w:rPr>
          <w:bCs/>
          <w:sz w:val="24"/>
          <w:szCs w:val="24"/>
        </w:rPr>
      </w:pPr>
      <w:r w:rsidRPr="00D86F38">
        <w:rPr>
          <w:bCs/>
          <w:i/>
          <w:iCs/>
          <w:sz w:val="24"/>
          <w:szCs w:val="24"/>
        </w:rPr>
        <w:t>Anti-social Behaviour, Crime and Policing Act 2014.</w:t>
      </w:r>
      <w:r w:rsidRPr="00D86F38">
        <w:rPr>
          <w:bCs/>
          <w:sz w:val="24"/>
          <w:szCs w:val="24"/>
        </w:rPr>
        <w:t xml:space="preserve"> Available at: https://www.legislation.gov.uk/ukpga/2014/12/part/3/enacted?view=plain (Accessed 13/08/2023)</w:t>
      </w:r>
    </w:p>
    <w:p w14:paraId="4B78B08E" w14:textId="77777777" w:rsidR="00D86F38" w:rsidRPr="00D86F38" w:rsidRDefault="00D86F38" w:rsidP="00D86F38">
      <w:pPr>
        <w:keepNext/>
        <w:spacing w:before="240" w:after="60"/>
        <w:ind w:right="237"/>
        <w:jc w:val="both"/>
        <w:rPr>
          <w:bCs/>
          <w:sz w:val="24"/>
          <w:szCs w:val="24"/>
        </w:rPr>
      </w:pPr>
      <w:proofErr w:type="spellStart"/>
      <w:r w:rsidRPr="00D86F38">
        <w:rPr>
          <w:bCs/>
          <w:sz w:val="24"/>
          <w:szCs w:val="24"/>
        </w:rPr>
        <w:t>Buscaglia</w:t>
      </w:r>
      <w:proofErr w:type="spellEnd"/>
      <w:r w:rsidRPr="00D86F38">
        <w:rPr>
          <w:bCs/>
          <w:sz w:val="24"/>
          <w:szCs w:val="24"/>
        </w:rPr>
        <w:t xml:space="preserve">, E. van Dijk, J. (2005) </w:t>
      </w:r>
      <w:r w:rsidRPr="00D86F38">
        <w:rPr>
          <w:bCs/>
          <w:i/>
          <w:iCs/>
          <w:sz w:val="24"/>
          <w:szCs w:val="24"/>
        </w:rPr>
        <w:t>Controlling Organized Crime and Corruption in the Public Sector.</w:t>
      </w:r>
      <w:r w:rsidRPr="00D86F38">
        <w:rPr>
          <w:bCs/>
          <w:sz w:val="24"/>
          <w:szCs w:val="24"/>
        </w:rPr>
        <w:t xml:space="preserve"> P.3, P.12. Available at: </w:t>
      </w:r>
      <w:proofErr w:type="gramStart"/>
      <w:r w:rsidRPr="00D86F38">
        <w:rPr>
          <w:bCs/>
          <w:sz w:val="24"/>
          <w:szCs w:val="24"/>
        </w:rPr>
        <w:t>https://escholarship.org/content/qt7wf424p5/qt7wf424p5.pdf  (</w:t>
      </w:r>
      <w:proofErr w:type="gramEnd"/>
      <w:r w:rsidRPr="00D86F38">
        <w:rPr>
          <w:bCs/>
          <w:sz w:val="24"/>
          <w:szCs w:val="24"/>
        </w:rPr>
        <w:t xml:space="preserve">Accessed 13/08/2023). </w:t>
      </w:r>
    </w:p>
    <w:p w14:paraId="701A1C49"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College of Policing (2019) </w:t>
      </w:r>
      <w:r w:rsidRPr="00D86F38">
        <w:rPr>
          <w:bCs/>
          <w:i/>
          <w:iCs/>
          <w:sz w:val="24"/>
          <w:szCs w:val="24"/>
        </w:rPr>
        <w:t>Neighbourhood policing guidelines</w:t>
      </w:r>
      <w:r w:rsidRPr="00D86F38">
        <w:rPr>
          <w:bCs/>
          <w:sz w:val="24"/>
          <w:szCs w:val="24"/>
        </w:rPr>
        <w:t>. P.2-3. Available at:  https://assets.college.police.uk/s3fs-public/2020-10/NPG_supporting_material_frontline%20(1).pdf (Accessed 13/08/2023).</w:t>
      </w:r>
    </w:p>
    <w:p w14:paraId="34BC2185"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College Of Policing (2023) </w:t>
      </w:r>
      <w:r w:rsidRPr="00D86F38">
        <w:rPr>
          <w:bCs/>
          <w:i/>
          <w:iCs/>
          <w:sz w:val="24"/>
          <w:szCs w:val="24"/>
        </w:rPr>
        <w:t>Police Community Support Officer</w:t>
      </w:r>
      <w:r w:rsidRPr="00D86F38">
        <w:rPr>
          <w:bCs/>
          <w:sz w:val="24"/>
          <w:szCs w:val="24"/>
        </w:rPr>
        <w:t>. Available at: https://profdev.college.police.uk/professional-profile/police-community-support-officer-pcso/ (Accessed 13/08/2023).</w:t>
      </w:r>
    </w:p>
    <w:p w14:paraId="305EAEAE"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College of Policing (2021) </w:t>
      </w:r>
      <w:r w:rsidRPr="00D86F38">
        <w:rPr>
          <w:bCs/>
          <w:i/>
          <w:iCs/>
          <w:sz w:val="24"/>
          <w:szCs w:val="24"/>
        </w:rPr>
        <w:t>Targeted approaches to crime and disorder reduction</w:t>
      </w:r>
      <w:r w:rsidRPr="00D86F38">
        <w:rPr>
          <w:bCs/>
          <w:sz w:val="24"/>
          <w:szCs w:val="24"/>
        </w:rPr>
        <w:t xml:space="preserve">. Available at: https://www.college.police.uk/research/what-works-policing-reduce-crime/targeted-approaches Accessed: </w:t>
      </w:r>
      <w:proofErr w:type="gramStart"/>
      <w:r w:rsidRPr="00D86F38">
        <w:rPr>
          <w:bCs/>
          <w:sz w:val="24"/>
          <w:szCs w:val="24"/>
        </w:rPr>
        <w:t>13/08/2023</w:t>
      </w:r>
      <w:proofErr w:type="gramEnd"/>
    </w:p>
    <w:p w14:paraId="7CBC6708" w14:textId="62C9A932" w:rsidR="00D86F38" w:rsidRPr="00D86F38" w:rsidRDefault="00D86F38" w:rsidP="00D86F38">
      <w:pPr>
        <w:keepNext/>
        <w:spacing w:before="240" w:after="60"/>
        <w:ind w:right="237"/>
        <w:jc w:val="both"/>
        <w:rPr>
          <w:bCs/>
          <w:sz w:val="24"/>
          <w:szCs w:val="24"/>
        </w:rPr>
      </w:pPr>
      <w:r w:rsidRPr="00D86F38">
        <w:rPr>
          <w:bCs/>
          <w:i/>
          <w:iCs/>
          <w:sz w:val="24"/>
          <w:szCs w:val="24"/>
        </w:rPr>
        <w:t>Criminal Damage Act 1971, c.48.</w:t>
      </w:r>
      <w:r w:rsidRPr="00D86F38">
        <w:rPr>
          <w:bCs/>
          <w:sz w:val="24"/>
          <w:szCs w:val="24"/>
        </w:rPr>
        <w:t xml:space="preserve"> Available at: https://www.legislation.gov.uk/ukpga/1971/48/section/1 (Accessed 13/08/2023).</w:t>
      </w:r>
    </w:p>
    <w:p w14:paraId="6E1FCA14" w14:textId="61CA86C4" w:rsidR="00D86F38" w:rsidRPr="00D86F38" w:rsidRDefault="00D86F38" w:rsidP="00D86F38">
      <w:pPr>
        <w:keepNext/>
        <w:spacing w:before="240" w:after="60"/>
        <w:ind w:right="237"/>
        <w:jc w:val="both"/>
        <w:rPr>
          <w:bCs/>
          <w:sz w:val="24"/>
          <w:szCs w:val="24"/>
        </w:rPr>
      </w:pPr>
      <w:r w:rsidRPr="00D86F38">
        <w:rPr>
          <w:bCs/>
          <w:i/>
          <w:iCs/>
          <w:sz w:val="24"/>
          <w:szCs w:val="24"/>
        </w:rPr>
        <w:t>Criminal Justice Act 1967. c,80.</w:t>
      </w:r>
      <w:r w:rsidRPr="00D86F38">
        <w:rPr>
          <w:bCs/>
          <w:sz w:val="24"/>
          <w:szCs w:val="24"/>
        </w:rPr>
        <w:t xml:space="preserve"> Available at: https://www.legislation.gov.uk/ukpga/1967/80/section/9 (Accessed 13/08/2023).</w:t>
      </w:r>
    </w:p>
    <w:p w14:paraId="5498588D"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Crown Prosecution Service (2021) </w:t>
      </w:r>
      <w:r w:rsidRPr="00D86F38">
        <w:rPr>
          <w:bCs/>
          <w:i/>
          <w:iCs/>
          <w:sz w:val="24"/>
          <w:szCs w:val="24"/>
        </w:rPr>
        <w:t>Special Measures</w:t>
      </w:r>
      <w:r w:rsidRPr="00D86F38">
        <w:rPr>
          <w:bCs/>
          <w:sz w:val="24"/>
          <w:szCs w:val="24"/>
        </w:rPr>
        <w:t>. Available at: https://www.cps.gov.uk/legal-guidance/special-measures (Accessed 12/08/2023)</w:t>
      </w:r>
    </w:p>
    <w:p w14:paraId="7389F9A7" w14:textId="77777777" w:rsidR="00D86F38" w:rsidRPr="00D86F38" w:rsidRDefault="00D86F38" w:rsidP="00D86F38">
      <w:pPr>
        <w:keepNext/>
        <w:spacing w:before="240" w:after="60"/>
        <w:ind w:right="237"/>
        <w:jc w:val="both"/>
        <w:rPr>
          <w:bCs/>
          <w:sz w:val="24"/>
          <w:szCs w:val="24"/>
        </w:rPr>
      </w:pPr>
      <w:r w:rsidRPr="00D86F38">
        <w:rPr>
          <w:bCs/>
          <w:sz w:val="24"/>
          <w:szCs w:val="24"/>
        </w:rPr>
        <w:t>Crown Prosecution Service (2018) The Code for Crown Prosecutors. Available at: https://www.cps.gov.uk/publication/code-crown-prosecutors#section4 (Accessed 12/08/2023)</w:t>
      </w:r>
    </w:p>
    <w:p w14:paraId="0F3B731B" w14:textId="77777777" w:rsidR="00D86F38" w:rsidRPr="00D86F38" w:rsidRDefault="00D86F38" w:rsidP="00D86F38">
      <w:pPr>
        <w:keepNext/>
        <w:spacing w:before="240" w:after="60"/>
        <w:ind w:right="237"/>
        <w:jc w:val="both"/>
        <w:rPr>
          <w:bCs/>
          <w:sz w:val="24"/>
          <w:szCs w:val="24"/>
        </w:rPr>
      </w:pPr>
      <w:r w:rsidRPr="00D86F38">
        <w:rPr>
          <w:bCs/>
          <w:i/>
          <w:iCs/>
          <w:sz w:val="24"/>
          <w:szCs w:val="24"/>
        </w:rPr>
        <w:t>Education Act 1996, c.56.</w:t>
      </w:r>
      <w:r w:rsidRPr="00D86F38">
        <w:rPr>
          <w:bCs/>
          <w:sz w:val="24"/>
          <w:szCs w:val="24"/>
        </w:rPr>
        <w:t xml:space="preserve"> Available at: https://www.legislation.gov.uk/ukpga/1996/56/part/X/chapter/I/crossheading/nuisance-or-disturbance-on-school-premises (Accessed 13/08/2023).</w:t>
      </w:r>
    </w:p>
    <w:p w14:paraId="76BB9AF6" w14:textId="05B25853" w:rsidR="00D86F38" w:rsidRPr="00D86F38" w:rsidRDefault="00D86F38" w:rsidP="00D86F38">
      <w:pPr>
        <w:keepNext/>
        <w:spacing w:before="240" w:after="60"/>
        <w:ind w:right="237"/>
        <w:jc w:val="both"/>
        <w:rPr>
          <w:bCs/>
          <w:sz w:val="24"/>
          <w:szCs w:val="24"/>
        </w:rPr>
      </w:pPr>
      <w:r w:rsidRPr="00D86F38">
        <w:rPr>
          <w:bCs/>
          <w:sz w:val="24"/>
          <w:szCs w:val="24"/>
        </w:rPr>
        <w:t xml:space="preserve">Elkin, M. (2022) </w:t>
      </w:r>
      <w:r w:rsidRPr="00D86F38">
        <w:rPr>
          <w:bCs/>
          <w:i/>
          <w:iCs/>
          <w:sz w:val="24"/>
          <w:szCs w:val="24"/>
        </w:rPr>
        <w:t>Domestic abuse in England and Wales overview: November 2022</w:t>
      </w:r>
      <w:r w:rsidRPr="00D86F38">
        <w:rPr>
          <w:bCs/>
          <w:sz w:val="24"/>
          <w:szCs w:val="24"/>
        </w:rPr>
        <w:t>. Available</w:t>
      </w:r>
      <w:r>
        <w:rPr>
          <w:bCs/>
          <w:sz w:val="24"/>
          <w:szCs w:val="24"/>
        </w:rPr>
        <w:t xml:space="preserve"> </w:t>
      </w:r>
      <w:r w:rsidRPr="00D86F38">
        <w:rPr>
          <w:bCs/>
          <w:sz w:val="24"/>
          <w:szCs w:val="24"/>
        </w:rPr>
        <w:t>at: https://www.ons.gov.uk/peoplepopulationandcommunity/crimeandjustice/bulletins/domesticabuseinenglandandwalesoverview/november2022 (Accessed 13/08/2023).</w:t>
      </w:r>
    </w:p>
    <w:p w14:paraId="1634CC80"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Elkin, M. (2022) </w:t>
      </w:r>
      <w:r w:rsidRPr="00D86F38">
        <w:rPr>
          <w:bCs/>
          <w:i/>
          <w:iCs/>
          <w:sz w:val="24"/>
          <w:szCs w:val="24"/>
        </w:rPr>
        <w:t>Domestic abuse prevalence and victim characteristics.</w:t>
      </w:r>
      <w:r w:rsidRPr="00D86F38">
        <w:rPr>
          <w:bCs/>
          <w:sz w:val="24"/>
          <w:szCs w:val="24"/>
        </w:rPr>
        <w:t xml:space="preserve">  Available at: </w:t>
      </w:r>
      <w:proofErr w:type="gramStart"/>
      <w:r w:rsidRPr="00D86F38">
        <w:rPr>
          <w:bCs/>
          <w:sz w:val="24"/>
          <w:szCs w:val="24"/>
        </w:rPr>
        <w:lastRenderedPageBreak/>
        <w:t>https://www.ons.gov.uk/peoplepopulationandcommunity/crimeandjustice/datasets/domesticabuseprevalenceandvictimcharacteristicsappendixtables  (</w:t>
      </w:r>
      <w:proofErr w:type="gramEnd"/>
      <w:r w:rsidRPr="00D86F38">
        <w:rPr>
          <w:bCs/>
          <w:sz w:val="24"/>
          <w:szCs w:val="24"/>
        </w:rPr>
        <w:t>Accessed 13/08/2023).</w:t>
      </w:r>
    </w:p>
    <w:p w14:paraId="02960B2B"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GOV.UK (2023) </w:t>
      </w:r>
      <w:r w:rsidRPr="00D86F38">
        <w:rPr>
          <w:bCs/>
          <w:i/>
          <w:iCs/>
          <w:sz w:val="24"/>
          <w:szCs w:val="24"/>
        </w:rPr>
        <w:t>Children in Custody</w:t>
      </w:r>
      <w:r w:rsidRPr="00D86F38">
        <w:rPr>
          <w:bCs/>
          <w:sz w:val="24"/>
          <w:szCs w:val="24"/>
        </w:rPr>
        <w:t>. Available at:  https://www.gov.uk/children-in-custody/arriving-at-custody (Accessed 13/08/2023).</w:t>
      </w:r>
    </w:p>
    <w:p w14:paraId="51371ABB"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Health and Safety Executives (2023) </w:t>
      </w:r>
      <w:r w:rsidRPr="00D86F38">
        <w:rPr>
          <w:bCs/>
          <w:i/>
          <w:iCs/>
          <w:sz w:val="24"/>
          <w:szCs w:val="24"/>
        </w:rPr>
        <w:t>Witness statements</w:t>
      </w:r>
      <w:r w:rsidRPr="00D86F38">
        <w:rPr>
          <w:bCs/>
          <w:sz w:val="24"/>
          <w:szCs w:val="24"/>
        </w:rPr>
        <w:t>. Available at:  https://www.hse.gov.uk/enforce/enforcementguide/investigation/witness-witness.htm#P1_48 (Accessed 13/08/2023).</w:t>
      </w:r>
    </w:p>
    <w:p w14:paraId="4A0954EC"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Home Office (2012) </w:t>
      </w:r>
      <w:r w:rsidRPr="00D86F38">
        <w:rPr>
          <w:bCs/>
          <w:i/>
          <w:iCs/>
          <w:sz w:val="24"/>
          <w:szCs w:val="24"/>
        </w:rPr>
        <w:t>CROSS-GOVERNMENT DEFINITION OF DOMESTIC VIOLENCE – A CONSULTATION SUMMARY OF RESPONSES</w:t>
      </w:r>
      <w:r w:rsidRPr="00D86F38">
        <w:rPr>
          <w:bCs/>
          <w:sz w:val="24"/>
          <w:szCs w:val="24"/>
        </w:rPr>
        <w:t>. P.19. Available at: https://assets.publishing.service.gov.uk/government/uploads/system/uploads/attachment_data/file/157800/domestic-violence-definition.pdf (Accessed 13/08/2023).</w:t>
      </w:r>
    </w:p>
    <w:p w14:paraId="630BBC2C"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Home Office (2022) </w:t>
      </w:r>
      <w:r w:rsidRPr="00D86F38">
        <w:rPr>
          <w:bCs/>
          <w:i/>
          <w:iCs/>
          <w:sz w:val="24"/>
          <w:szCs w:val="24"/>
        </w:rPr>
        <w:t>Domestic Violence Protection Notices (DVPNs) and Domestic Violence Protection Orders</w:t>
      </w:r>
      <w:r w:rsidRPr="00D86F38">
        <w:rPr>
          <w:bCs/>
          <w:sz w:val="24"/>
          <w:szCs w:val="24"/>
        </w:rPr>
        <w:t xml:space="preserve"> (DVPOs) guidance.  Available at: https://www.gov.uk/government/publications/domestic-violence-protection-orders/domestic-violence-protection-notices-dvpns-and-domestic-violence-protection-orders-dvpos-guidance-sections-24-33-crime-and-security-act-2010 (Accessed 13/08/2023).</w:t>
      </w:r>
    </w:p>
    <w:p w14:paraId="543EC70A" w14:textId="74BF1661" w:rsidR="00D86F38" w:rsidRPr="00D86F38" w:rsidRDefault="00D86F38" w:rsidP="00D86F38">
      <w:pPr>
        <w:keepNext/>
        <w:spacing w:before="240" w:after="60"/>
        <w:ind w:right="237"/>
        <w:jc w:val="both"/>
        <w:rPr>
          <w:bCs/>
          <w:sz w:val="24"/>
          <w:szCs w:val="24"/>
        </w:rPr>
      </w:pPr>
      <w:r w:rsidRPr="00D86F38">
        <w:rPr>
          <w:bCs/>
          <w:sz w:val="24"/>
          <w:szCs w:val="24"/>
        </w:rPr>
        <w:t>Home</w:t>
      </w:r>
      <w:r>
        <w:rPr>
          <w:bCs/>
          <w:sz w:val="24"/>
          <w:szCs w:val="24"/>
        </w:rPr>
        <w:t xml:space="preserve"> </w:t>
      </w:r>
      <w:r w:rsidRPr="00D86F38">
        <w:rPr>
          <w:bCs/>
          <w:sz w:val="24"/>
          <w:szCs w:val="24"/>
        </w:rPr>
        <w:t xml:space="preserve">Office (2020) </w:t>
      </w:r>
      <w:r w:rsidRPr="00D86F38">
        <w:rPr>
          <w:bCs/>
          <w:i/>
          <w:iCs/>
          <w:sz w:val="24"/>
          <w:szCs w:val="24"/>
        </w:rPr>
        <w:t>PACE CODE C 2019</w:t>
      </w:r>
      <w:r w:rsidRPr="00D86F38">
        <w:rPr>
          <w:bCs/>
          <w:sz w:val="24"/>
          <w:szCs w:val="24"/>
        </w:rPr>
        <w:t>. Available at: https://www.gov.uk/government/publications/pace-code-c-2019/pace-code-c-2019-accessible (Accessed 13/08/2023).</w:t>
      </w:r>
    </w:p>
    <w:p w14:paraId="0766A96C"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Home Office (2023) </w:t>
      </w:r>
      <w:r w:rsidRPr="00D86F38">
        <w:rPr>
          <w:bCs/>
          <w:i/>
          <w:iCs/>
          <w:sz w:val="24"/>
          <w:szCs w:val="24"/>
        </w:rPr>
        <w:t>Pre-charge bail statutory guidance</w:t>
      </w:r>
      <w:r w:rsidRPr="00D86F38">
        <w:rPr>
          <w:bCs/>
          <w:sz w:val="24"/>
          <w:szCs w:val="24"/>
        </w:rPr>
        <w:t>. Available at: https://www.gov.uk/government/publications/pre-charge-bail-statutory-guidance/pre-charge-bail-statutory-guidance-accessible#breach-of-bail (Accessed 13/08/2023)</w:t>
      </w:r>
    </w:p>
    <w:p w14:paraId="087E3F19"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Jacobson, J. </w:t>
      </w:r>
      <w:proofErr w:type="spellStart"/>
      <w:r w:rsidRPr="00D86F38">
        <w:rPr>
          <w:bCs/>
          <w:sz w:val="24"/>
          <w:szCs w:val="24"/>
        </w:rPr>
        <w:t>Bhardwa</w:t>
      </w:r>
      <w:proofErr w:type="spellEnd"/>
      <w:r w:rsidRPr="00D86F38">
        <w:rPr>
          <w:bCs/>
          <w:sz w:val="24"/>
          <w:szCs w:val="24"/>
        </w:rPr>
        <w:t xml:space="preserve">, B. </w:t>
      </w:r>
      <w:proofErr w:type="spellStart"/>
      <w:r w:rsidRPr="00D86F38">
        <w:rPr>
          <w:bCs/>
          <w:sz w:val="24"/>
          <w:szCs w:val="24"/>
        </w:rPr>
        <w:t>Gyateng</w:t>
      </w:r>
      <w:proofErr w:type="spellEnd"/>
      <w:r w:rsidRPr="00D86F38">
        <w:rPr>
          <w:bCs/>
          <w:sz w:val="24"/>
          <w:szCs w:val="24"/>
        </w:rPr>
        <w:t xml:space="preserve">, T. Hunter, G. and Hough, M. (2010) </w:t>
      </w:r>
      <w:r w:rsidRPr="00D86F38">
        <w:rPr>
          <w:bCs/>
          <w:i/>
          <w:iCs/>
          <w:sz w:val="24"/>
          <w:szCs w:val="24"/>
        </w:rPr>
        <w:t>Punishing Disadvantage - a profile of children in custody.</w:t>
      </w:r>
      <w:r w:rsidRPr="00D86F38">
        <w:rPr>
          <w:bCs/>
          <w:sz w:val="24"/>
          <w:szCs w:val="24"/>
        </w:rPr>
        <w:t xml:space="preserve"> Project Report. Prison Reform Trust, London, UK. P.81. Available at: https://eprints.bbk.ac.uk/id/eprint/3771/1/3771.pdf (Accessed 13/08/2023).</w:t>
      </w:r>
    </w:p>
    <w:p w14:paraId="6E4751A9"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Justice Inspectorates (2023) </w:t>
      </w:r>
      <w:r w:rsidRPr="00D86F38">
        <w:rPr>
          <w:bCs/>
          <w:i/>
          <w:iCs/>
          <w:sz w:val="24"/>
          <w:szCs w:val="24"/>
        </w:rPr>
        <w:t>Multi-agency risk assessment conference (MARAC).</w:t>
      </w:r>
      <w:r w:rsidRPr="00D86F38">
        <w:rPr>
          <w:bCs/>
          <w:sz w:val="24"/>
          <w:szCs w:val="24"/>
        </w:rPr>
        <w:t xml:space="preserve"> Available at: </w:t>
      </w:r>
      <w:proofErr w:type="gramStart"/>
      <w:r w:rsidRPr="00D86F38">
        <w:rPr>
          <w:bCs/>
          <w:sz w:val="24"/>
          <w:szCs w:val="24"/>
        </w:rPr>
        <w:t>https://www.justiceinspectorates.gov.uk/hmicfrs/glossary/multi-agency-risk-assessment-conference/  (</w:t>
      </w:r>
      <w:proofErr w:type="gramEnd"/>
      <w:r w:rsidRPr="00D86F38">
        <w:rPr>
          <w:bCs/>
          <w:sz w:val="24"/>
          <w:szCs w:val="24"/>
        </w:rPr>
        <w:t>Accessed 13/08/2023).</w:t>
      </w:r>
    </w:p>
    <w:p w14:paraId="4114A759"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Justice Inspectorates (2023) </w:t>
      </w:r>
      <w:r w:rsidRPr="00D86F38">
        <w:rPr>
          <w:bCs/>
          <w:i/>
          <w:iCs/>
          <w:sz w:val="24"/>
          <w:szCs w:val="24"/>
        </w:rPr>
        <w:t>Public protection notice (PPN).</w:t>
      </w:r>
      <w:r w:rsidRPr="00D86F38">
        <w:rPr>
          <w:bCs/>
          <w:sz w:val="24"/>
          <w:szCs w:val="24"/>
        </w:rPr>
        <w:t xml:space="preserve"> Available at:     https://www.justiceinspectorates.gov.uk/hmicfrs/glossary/public-protectionnotice/#:~:text=Public%20protection%20notice%20%28PPN%29%20A</w:t>
      </w:r>
      <w:r w:rsidRPr="00D86F38">
        <w:rPr>
          <w:bCs/>
          <w:sz w:val="24"/>
          <w:szCs w:val="24"/>
        </w:rPr>
        <w:lastRenderedPageBreak/>
        <w:t xml:space="preserve">%20PPN%20is%20an,with%20partner%20agencies%20to%20inform%20a%20multi-agency%20response. (Accessed 13/08/2023). </w:t>
      </w:r>
    </w:p>
    <w:p w14:paraId="5064CAFC"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Jones, P. (2023) </w:t>
      </w:r>
      <w:r w:rsidRPr="00D86F38">
        <w:rPr>
          <w:bCs/>
          <w:i/>
          <w:iCs/>
          <w:sz w:val="24"/>
          <w:szCs w:val="24"/>
        </w:rPr>
        <w:t>Crime in England and Wales: year ending September 2022</w:t>
      </w:r>
      <w:r w:rsidRPr="00D86F38">
        <w:rPr>
          <w:bCs/>
          <w:sz w:val="24"/>
          <w:szCs w:val="24"/>
        </w:rPr>
        <w:t>. Office For National Statistics. Available at: https://www.ons.gov.uk/peoplepopulationandcommunity/crimeandjustice/bulletins/crimeinenglandandwales/yearendingseptember2022 (Accessed 13/08/2023).</w:t>
      </w:r>
    </w:p>
    <w:p w14:paraId="45CC1497"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Longstaff, A. Willer, J. Chapman, J. </w:t>
      </w:r>
      <w:proofErr w:type="spellStart"/>
      <w:r w:rsidRPr="00D86F38">
        <w:rPr>
          <w:bCs/>
          <w:sz w:val="24"/>
          <w:szCs w:val="24"/>
        </w:rPr>
        <w:t>Czarnomski</w:t>
      </w:r>
      <w:proofErr w:type="spellEnd"/>
      <w:r w:rsidRPr="00D86F38">
        <w:rPr>
          <w:bCs/>
          <w:sz w:val="24"/>
          <w:szCs w:val="24"/>
        </w:rPr>
        <w:t xml:space="preserve">, S. Graham, J. (2015) </w:t>
      </w:r>
      <w:r w:rsidRPr="00D86F38">
        <w:rPr>
          <w:bCs/>
          <w:i/>
          <w:iCs/>
          <w:sz w:val="24"/>
          <w:szCs w:val="24"/>
        </w:rPr>
        <w:t xml:space="preserve">Neighbourhood policing: Past, </w:t>
      </w:r>
      <w:proofErr w:type="gramStart"/>
      <w:r w:rsidRPr="00D86F38">
        <w:rPr>
          <w:bCs/>
          <w:i/>
          <w:iCs/>
          <w:sz w:val="24"/>
          <w:szCs w:val="24"/>
        </w:rPr>
        <w:t>present</w:t>
      </w:r>
      <w:proofErr w:type="gramEnd"/>
      <w:r w:rsidRPr="00D86F38">
        <w:rPr>
          <w:bCs/>
          <w:i/>
          <w:iCs/>
          <w:sz w:val="24"/>
          <w:szCs w:val="24"/>
        </w:rPr>
        <w:t xml:space="preserve"> and future.</w:t>
      </w:r>
      <w:r w:rsidRPr="00D86F38">
        <w:rPr>
          <w:bCs/>
          <w:sz w:val="24"/>
          <w:szCs w:val="24"/>
        </w:rPr>
        <w:t xml:space="preserve"> Available at: https://www.researchgate.net/profile/John_Chapman6/publication/277018498_Neighbourhood_policing_Past_present_and_future_-_A_review_of_the_literature/links/555f3bd208ae9963a117f164.pdf (Accessed 13/08/2023).</w:t>
      </w:r>
    </w:p>
    <w:p w14:paraId="413EC60A"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Luong, D. </w:t>
      </w:r>
      <w:proofErr w:type="spellStart"/>
      <w:r w:rsidRPr="00D86F38">
        <w:rPr>
          <w:bCs/>
          <w:sz w:val="24"/>
          <w:szCs w:val="24"/>
        </w:rPr>
        <w:t>Wormith</w:t>
      </w:r>
      <w:proofErr w:type="spellEnd"/>
      <w:r w:rsidRPr="00D86F38">
        <w:rPr>
          <w:bCs/>
          <w:sz w:val="24"/>
          <w:szCs w:val="24"/>
        </w:rPr>
        <w:t xml:space="preserve">, J.S. (2011) </w:t>
      </w:r>
      <w:r w:rsidRPr="00D86F38">
        <w:rPr>
          <w:bCs/>
          <w:i/>
          <w:iCs/>
          <w:sz w:val="24"/>
          <w:szCs w:val="24"/>
        </w:rPr>
        <w:t>Applying Risk/Need Assessment to Probation Practice and its Impact on the Recidivism of Young Offenders</w:t>
      </w:r>
      <w:r w:rsidRPr="00D86F38">
        <w:rPr>
          <w:bCs/>
          <w:sz w:val="24"/>
          <w:szCs w:val="24"/>
        </w:rPr>
        <w:t>, P.1182. DOI: 10.1177/</w:t>
      </w:r>
      <w:proofErr w:type="gramStart"/>
      <w:r w:rsidRPr="00D86F38">
        <w:rPr>
          <w:bCs/>
          <w:sz w:val="24"/>
          <w:szCs w:val="24"/>
        </w:rPr>
        <w:t>0093854811421596  .</w:t>
      </w:r>
      <w:proofErr w:type="gramEnd"/>
      <w:r w:rsidRPr="00D86F38">
        <w:rPr>
          <w:bCs/>
          <w:sz w:val="24"/>
          <w:szCs w:val="24"/>
        </w:rPr>
        <w:t xml:space="preserve"> Available at: https://www.researchgate.net/profile/J-Wormith/publication/254082739_Applying_RiskNeed_Assessment_to_Probation_Practice_and_its_Impact_on_the_Recidivism_of_Young_Offenders/links/0deec53c5990372407000000/Applying-Risk-Need-Assessment-to-Probation-Practice-and-its-Impact-on-the-Recidivism-of-Young-Offenders.pdf</w:t>
      </w:r>
    </w:p>
    <w:p w14:paraId="204037AA"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 (Accessed 13/08/2023)</w:t>
      </w:r>
    </w:p>
    <w:p w14:paraId="5AA439EA"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Ministry of Justice (2013) </w:t>
      </w:r>
      <w:r w:rsidRPr="00D86F38">
        <w:rPr>
          <w:bCs/>
          <w:i/>
          <w:iCs/>
          <w:sz w:val="24"/>
          <w:szCs w:val="24"/>
        </w:rPr>
        <w:t>Victim Personal Statement</w:t>
      </w:r>
      <w:r w:rsidRPr="00D86F38">
        <w:rPr>
          <w:bCs/>
          <w:sz w:val="24"/>
          <w:szCs w:val="24"/>
        </w:rPr>
        <w:t>. Available at: https://www.gov.uk/government/publications/victim-personal-statement (Accessed 13/08/2023)</w:t>
      </w:r>
    </w:p>
    <w:p w14:paraId="694EB8F2"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Norfolk County Council (2023) </w:t>
      </w:r>
      <w:r w:rsidRPr="00D86F38">
        <w:rPr>
          <w:bCs/>
          <w:i/>
          <w:iCs/>
          <w:sz w:val="24"/>
          <w:szCs w:val="24"/>
        </w:rPr>
        <w:t>Risk Assessment</w:t>
      </w:r>
      <w:r w:rsidRPr="00D86F38">
        <w:rPr>
          <w:bCs/>
          <w:sz w:val="24"/>
          <w:szCs w:val="24"/>
        </w:rPr>
        <w:t>. Available at: https://www.norfolk.gov.uk/safety/domestic-abuse/information-for-professionals/risk-assessment (Accessed 13/08/2023).</w:t>
      </w:r>
    </w:p>
    <w:p w14:paraId="0C1A0E2F"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Office for Health Improvement &amp; Disparities (2022) </w:t>
      </w:r>
      <w:r w:rsidRPr="00D86F38">
        <w:rPr>
          <w:bCs/>
          <w:i/>
          <w:iCs/>
          <w:sz w:val="24"/>
          <w:szCs w:val="24"/>
        </w:rPr>
        <w:t>Vulnerabilities: applying All Our Health.</w:t>
      </w:r>
      <w:r w:rsidRPr="00D86F38">
        <w:rPr>
          <w:bCs/>
          <w:sz w:val="24"/>
          <w:szCs w:val="24"/>
        </w:rPr>
        <w:t xml:space="preserve"> Available at: https://www.gov.uk/government/publications/vulnerabilities-applying-all-our-health/vulnerabilities-applying-all-our-health (Accessed 13/08/2023)</w:t>
      </w:r>
    </w:p>
    <w:p w14:paraId="5E9ED4A0" w14:textId="77777777" w:rsidR="00D86F38" w:rsidRPr="00D86F38" w:rsidRDefault="00D86F38" w:rsidP="00D86F38">
      <w:pPr>
        <w:keepNext/>
        <w:spacing w:before="240" w:after="60"/>
        <w:ind w:right="237"/>
        <w:jc w:val="both"/>
        <w:rPr>
          <w:bCs/>
          <w:sz w:val="24"/>
          <w:szCs w:val="24"/>
        </w:rPr>
      </w:pPr>
      <w:r w:rsidRPr="00D86F38">
        <w:rPr>
          <w:bCs/>
          <w:i/>
          <w:iCs/>
          <w:sz w:val="24"/>
          <w:szCs w:val="24"/>
        </w:rPr>
        <w:t>Police and Criminal Evidence Act 1984, c.60</w:t>
      </w:r>
      <w:r w:rsidRPr="00D86F38">
        <w:rPr>
          <w:bCs/>
          <w:sz w:val="24"/>
          <w:szCs w:val="24"/>
        </w:rPr>
        <w:t>. Available at: https://www.legislation.gov.uk/ukpga/1984/60/section/46A (Accessed 13/08/2023)</w:t>
      </w:r>
    </w:p>
    <w:p w14:paraId="0E4FD6C5" w14:textId="77777777" w:rsidR="00D86F38" w:rsidRPr="00D86F38" w:rsidRDefault="00D86F38" w:rsidP="00D86F38">
      <w:pPr>
        <w:keepNext/>
        <w:spacing w:before="240" w:after="60"/>
        <w:ind w:right="237"/>
        <w:jc w:val="both"/>
        <w:rPr>
          <w:bCs/>
          <w:sz w:val="24"/>
          <w:szCs w:val="24"/>
        </w:rPr>
      </w:pPr>
      <w:r w:rsidRPr="00D86F38">
        <w:rPr>
          <w:bCs/>
          <w:sz w:val="24"/>
          <w:szCs w:val="24"/>
        </w:rPr>
        <w:t xml:space="preserve">Scott, K. (2020) </w:t>
      </w:r>
      <w:r w:rsidRPr="00D86F38">
        <w:rPr>
          <w:bCs/>
          <w:i/>
          <w:iCs/>
          <w:sz w:val="24"/>
          <w:szCs w:val="24"/>
        </w:rPr>
        <w:t>Adverse childhood experiences</w:t>
      </w:r>
      <w:r w:rsidRPr="00D86F38">
        <w:rPr>
          <w:bCs/>
          <w:sz w:val="24"/>
          <w:szCs w:val="24"/>
        </w:rPr>
        <w:t>, P.6-11. DOI: 10.1177/1755738020964498. Available at: https://journals.sagepub.com/doi/full/10.1177/1755738020964498 (Accessed 13/08/2023).</w:t>
      </w:r>
    </w:p>
    <w:p w14:paraId="27EEF279" w14:textId="77777777" w:rsidR="00D86F38" w:rsidRPr="00D86F38" w:rsidRDefault="00D86F38" w:rsidP="00D86F38">
      <w:pPr>
        <w:keepNext/>
        <w:spacing w:before="240" w:after="60"/>
        <w:ind w:right="237"/>
        <w:jc w:val="both"/>
        <w:rPr>
          <w:bCs/>
          <w:sz w:val="24"/>
          <w:szCs w:val="24"/>
        </w:rPr>
      </w:pPr>
      <w:proofErr w:type="spellStart"/>
      <w:r w:rsidRPr="00D86F38">
        <w:rPr>
          <w:bCs/>
          <w:sz w:val="24"/>
          <w:szCs w:val="24"/>
        </w:rPr>
        <w:t>Tuffin</w:t>
      </w:r>
      <w:proofErr w:type="spellEnd"/>
      <w:r w:rsidRPr="00D86F38">
        <w:rPr>
          <w:bCs/>
          <w:sz w:val="24"/>
          <w:szCs w:val="24"/>
        </w:rPr>
        <w:t xml:space="preserve">, R.  Morris, J. Poole, A. (2006) </w:t>
      </w:r>
      <w:r w:rsidRPr="00D86F38">
        <w:rPr>
          <w:bCs/>
          <w:i/>
          <w:iCs/>
          <w:sz w:val="24"/>
          <w:szCs w:val="24"/>
        </w:rPr>
        <w:t>An evaluation of the impact of the National Reassurance Policing Programme.</w:t>
      </w:r>
      <w:r w:rsidRPr="00D86F38">
        <w:rPr>
          <w:bCs/>
          <w:sz w:val="24"/>
          <w:szCs w:val="24"/>
        </w:rPr>
        <w:t xml:space="preserve"> Home Office Research Study 296 Home Office Research, Development and Statistics Directorate, P.13. Available at: </w:t>
      </w:r>
      <w:r w:rsidRPr="00D86F38">
        <w:rPr>
          <w:bCs/>
          <w:sz w:val="24"/>
          <w:szCs w:val="24"/>
        </w:rPr>
        <w:lastRenderedPageBreak/>
        <w:t>https://sp.ukdataservice.ac.uk/doc/7450/mrdoc/pdf/7450_hors296.pdf (accessed 12/08/2023)</w:t>
      </w:r>
    </w:p>
    <w:p w14:paraId="14D8DA8F" w14:textId="77777777" w:rsidR="00D86F38" w:rsidRPr="00D86F38" w:rsidRDefault="00D86F38" w:rsidP="00D86F38">
      <w:pPr>
        <w:keepNext/>
        <w:spacing w:before="240" w:after="60"/>
        <w:ind w:right="237"/>
        <w:jc w:val="both"/>
        <w:rPr>
          <w:bCs/>
          <w:sz w:val="24"/>
          <w:szCs w:val="24"/>
        </w:rPr>
      </w:pPr>
      <w:r w:rsidRPr="00D86F38">
        <w:rPr>
          <w:bCs/>
          <w:i/>
          <w:iCs/>
          <w:sz w:val="24"/>
          <w:szCs w:val="24"/>
        </w:rPr>
        <w:t>Youth Justice and Criminal Evidence Act 1999</w:t>
      </w:r>
      <w:r w:rsidRPr="00D86F38">
        <w:rPr>
          <w:bCs/>
          <w:sz w:val="24"/>
          <w:szCs w:val="24"/>
        </w:rPr>
        <w:t>. Available at: https://www.legislation.gov.uk/ukpga/1999/23/section/27 (Accessed 12/08/2023)</w:t>
      </w:r>
    </w:p>
    <w:p w14:paraId="715FD455" w14:textId="5E45682E" w:rsidR="000047BF" w:rsidRPr="00D86F38" w:rsidRDefault="00D86F38" w:rsidP="00D86F38">
      <w:pPr>
        <w:keepNext/>
        <w:spacing w:before="240" w:after="60"/>
        <w:ind w:right="237"/>
        <w:jc w:val="both"/>
        <w:rPr>
          <w:bCs/>
          <w:sz w:val="24"/>
          <w:szCs w:val="24"/>
        </w:rPr>
      </w:pPr>
      <w:r w:rsidRPr="00D86F38">
        <w:rPr>
          <w:bCs/>
          <w:i/>
          <w:iCs/>
          <w:sz w:val="24"/>
          <w:szCs w:val="24"/>
        </w:rPr>
        <w:t>Youth Justice and Criminal Evidence Act 1999, c23</w:t>
      </w:r>
      <w:r w:rsidRPr="00D86F38">
        <w:rPr>
          <w:bCs/>
          <w:sz w:val="24"/>
          <w:szCs w:val="24"/>
        </w:rPr>
        <w:t>. Available at: https://www.legislation.gov.uk/ukpga/1999/23/part/II/chapter/I/crossheading/special-measures (Accessed 13/08/2023)</w:t>
      </w:r>
    </w:p>
    <w:p w14:paraId="0AB807FE" w14:textId="3155BD2A" w:rsidR="1E8636EB" w:rsidRDefault="1E8636EB" w:rsidP="00EA28F1">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5B9A7" w14:textId="77777777" w:rsidR="00883EE8" w:rsidRDefault="00883EE8">
      <w:r>
        <w:separator/>
      </w:r>
    </w:p>
  </w:endnote>
  <w:endnote w:type="continuationSeparator" w:id="0">
    <w:p w14:paraId="05D5DD59" w14:textId="77777777" w:rsidR="00883EE8" w:rsidRDefault="00883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72685" w14:textId="77777777" w:rsidR="00883EE8" w:rsidRDefault="00883EE8">
      <w:r>
        <w:separator/>
      </w:r>
    </w:p>
  </w:footnote>
  <w:footnote w:type="continuationSeparator" w:id="0">
    <w:p w14:paraId="4295724D" w14:textId="77777777" w:rsidR="00883EE8" w:rsidRDefault="00883EE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86C6BB6"/>
    <w:lvl w:ilvl="0" w:tplc="92E4C7E8">
      <w:start w:val="1"/>
      <w:numFmt w:val="decimal"/>
      <w:lvlText w:val="%1."/>
      <w:lvlJc w:val="left"/>
      <w:pPr>
        <w:ind w:left="720" w:hanging="360"/>
      </w:pPr>
    </w:lvl>
    <w:lvl w:ilvl="1" w:tplc="98209DEE">
      <w:start w:val="1"/>
      <w:numFmt w:val="lowerLetter"/>
      <w:lvlText w:val="%2."/>
      <w:lvlJc w:val="left"/>
      <w:pPr>
        <w:ind w:left="1440" w:hanging="360"/>
      </w:pPr>
    </w:lvl>
    <w:lvl w:ilvl="2" w:tplc="3D5C4DDE">
      <w:start w:val="1"/>
      <w:numFmt w:val="lowerRoman"/>
      <w:lvlText w:val="%3."/>
      <w:lvlJc w:val="right"/>
      <w:pPr>
        <w:ind w:left="2160" w:hanging="180"/>
      </w:pPr>
    </w:lvl>
    <w:lvl w:ilvl="3" w:tplc="D368D8C8">
      <w:start w:val="1"/>
      <w:numFmt w:val="decimal"/>
      <w:lvlText w:val="%4."/>
      <w:lvlJc w:val="left"/>
      <w:pPr>
        <w:ind w:left="2880" w:hanging="360"/>
      </w:pPr>
    </w:lvl>
    <w:lvl w:ilvl="4" w:tplc="1898F064">
      <w:start w:val="1"/>
      <w:numFmt w:val="lowerLetter"/>
      <w:lvlText w:val="%5."/>
      <w:lvlJc w:val="left"/>
      <w:pPr>
        <w:ind w:left="3600" w:hanging="360"/>
      </w:pPr>
    </w:lvl>
    <w:lvl w:ilvl="5" w:tplc="ED0221AE">
      <w:start w:val="1"/>
      <w:numFmt w:val="lowerRoman"/>
      <w:lvlText w:val="%6."/>
      <w:lvlJc w:val="right"/>
      <w:pPr>
        <w:ind w:left="4320" w:hanging="180"/>
      </w:pPr>
    </w:lvl>
    <w:lvl w:ilvl="6" w:tplc="94BEDC4C">
      <w:start w:val="1"/>
      <w:numFmt w:val="decimal"/>
      <w:lvlText w:val="%7."/>
      <w:lvlJc w:val="left"/>
      <w:pPr>
        <w:ind w:left="5040" w:hanging="360"/>
      </w:pPr>
    </w:lvl>
    <w:lvl w:ilvl="7" w:tplc="F73C7BAC">
      <w:start w:val="1"/>
      <w:numFmt w:val="lowerLetter"/>
      <w:lvlText w:val="%8."/>
      <w:lvlJc w:val="left"/>
      <w:pPr>
        <w:ind w:left="5760" w:hanging="360"/>
      </w:pPr>
    </w:lvl>
    <w:lvl w:ilvl="8" w:tplc="0C2082B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F66AC11A"/>
    <w:lvl w:ilvl="0" w:tplc="7688A3CC">
      <w:start w:val="1"/>
      <w:numFmt w:val="decimal"/>
      <w:lvlText w:val="%1."/>
      <w:lvlJc w:val="left"/>
      <w:pPr>
        <w:ind w:left="720" w:hanging="360"/>
      </w:pPr>
    </w:lvl>
    <w:lvl w:ilvl="1" w:tplc="3AA40BE8">
      <w:start w:val="1"/>
      <w:numFmt w:val="decimal"/>
      <w:lvlText w:val="%2."/>
      <w:lvlJc w:val="left"/>
      <w:pPr>
        <w:ind w:left="1440" w:hanging="360"/>
      </w:pPr>
    </w:lvl>
    <w:lvl w:ilvl="2" w:tplc="3D0203DC">
      <w:start w:val="1"/>
      <w:numFmt w:val="lowerRoman"/>
      <w:lvlText w:val="%3."/>
      <w:lvlJc w:val="right"/>
      <w:pPr>
        <w:ind w:left="2160" w:hanging="180"/>
      </w:pPr>
    </w:lvl>
    <w:lvl w:ilvl="3" w:tplc="51D60FB4">
      <w:start w:val="1"/>
      <w:numFmt w:val="decimal"/>
      <w:lvlText w:val="%4."/>
      <w:lvlJc w:val="left"/>
      <w:pPr>
        <w:ind w:left="2880" w:hanging="360"/>
      </w:pPr>
    </w:lvl>
    <w:lvl w:ilvl="4" w:tplc="C3FA0A16">
      <w:start w:val="1"/>
      <w:numFmt w:val="lowerLetter"/>
      <w:lvlText w:val="%5."/>
      <w:lvlJc w:val="left"/>
      <w:pPr>
        <w:ind w:left="3600" w:hanging="360"/>
      </w:pPr>
    </w:lvl>
    <w:lvl w:ilvl="5" w:tplc="6598DE04">
      <w:start w:val="1"/>
      <w:numFmt w:val="lowerRoman"/>
      <w:lvlText w:val="%6."/>
      <w:lvlJc w:val="right"/>
      <w:pPr>
        <w:ind w:left="4320" w:hanging="180"/>
      </w:pPr>
    </w:lvl>
    <w:lvl w:ilvl="6" w:tplc="E27EB51E">
      <w:start w:val="1"/>
      <w:numFmt w:val="decimal"/>
      <w:lvlText w:val="%7."/>
      <w:lvlJc w:val="left"/>
      <w:pPr>
        <w:ind w:left="5040" w:hanging="360"/>
      </w:pPr>
    </w:lvl>
    <w:lvl w:ilvl="7" w:tplc="B00E7D76">
      <w:start w:val="1"/>
      <w:numFmt w:val="lowerLetter"/>
      <w:lvlText w:val="%8."/>
      <w:lvlJc w:val="left"/>
      <w:pPr>
        <w:ind w:left="5760" w:hanging="360"/>
      </w:pPr>
    </w:lvl>
    <w:lvl w:ilvl="8" w:tplc="B4D2604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4439942">
    <w:abstractNumId w:val="47"/>
  </w:num>
  <w:num w:numId="2" w16cid:durableId="1783383108">
    <w:abstractNumId w:val="10"/>
  </w:num>
  <w:num w:numId="3" w16cid:durableId="261692439">
    <w:abstractNumId w:val="1"/>
    <w:lvlOverride w:ilvl="0">
      <w:lvl w:ilvl="0">
        <w:start w:val="1"/>
        <w:numFmt w:val="bullet"/>
        <w:lvlText w:val=""/>
        <w:lvlJc w:val="left"/>
        <w:pPr>
          <w:ind w:left="720" w:hanging="360"/>
        </w:pPr>
        <w:rPr>
          <w:rFonts w:ascii="Symbol" w:hAnsi="Symbol" w:hint="default"/>
        </w:rPr>
      </w:lvl>
    </w:lvlOverride>
  </w:num>
  <w:num w:numId="4" w16cid:durableId="460733712">
    <w:abstractNumId w:val="22"/>
  </w:num>
  <w:num w:numId="5" w16cid:durableId="784039474">
    <w:abstractNumId w:val="44"/>
  </w:num>
  <w:num w:numId="6" w16cid:durableId="661395555">
    <w:abstractNumId w:val="46"/>
  </w:num>
  <w:num w:numId="7" w16cid:durableId="1779057930">
    <w:abstractNumId w:val="34"/>
  </w:num>
  <w:num w:numId="8" w16cid:durableId="1040546854">
    <w:abstractNumId w:val="32"/>
  </w:num>
  <w:num w:numId="9" w16cid:durableId="632753862">
    <w:abstractNumId w:val="29"/>
  </w:num>
  <w:num w:numId="10" w16cid:durableId="657273252">
    <w:abstractNumId w:val="30"/>
  </w:num>
  <w:num w:numId="11" w16cid:durableId="1331133613">
    <w:abstractNumId w:val="9"/>
  </w:num>
  <w:num w:numId="12" w16cid:durableId="1127704462">
    <w:abstractNumId w:val="33"/>
  </w:num>
  <w:num w:numId="13" w16cid:durableId="1873880221">
    <w:abstractNumId w:val="17"/>
  </w:num>
  <w:num w:numId="14" w16cid:durableId="91514944">
    <w:abstractNumId w:val="16"/>
  </w:num>
  <w:num w:numId="15" w16cid:durableId="280720982">
    <w:abstractNumId w:val="26"/>
  </w:num>
  <w:num w:numId="16" w16cid:durableId="1602378184">
    <w:abstractNumId w:val="7"/>
  </w:num>
  <w:num w:numId="17" w16cid:durableId="220751648">
    <w:abstractNumId w:val="25"/>
  </w:num>
  <w:num w:numId="18" w16cid:durableId="2035956529">
    <w:abstractNumId w:val="15"/>
  </w:num>
  <w:num w:numId="19" w16cid:durableId="1567762596">
    <w:abstractNumId w:val="13"/>
  </w:num>
  <w:num w:numId="20" w16cid:durableId="125685903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3371234">
    <w:abstractNumId w:val="23"/>
  </w:num>
  <w:num w:numId="22" w16cid:durableId="1548057518">
    <w:abstractNumId w:val="18"/>
  </w:num>
  <w:num w:numId="23" w16cid:durableId="1102996035">
    <w:abstractNumId w:val="14"/>
  </w:num>
  <w:num w:numId="24" w16cid:durableId="2032997694">
    <w:abstractNumId w:val="11"/>
  </w:num>
  <w:num w:numId="25" w16cid:durableId="1694108610">
    <w:abstractNumId w:val="27"/>
  </w:num>
  <w:num w:numId="26" w16cid:durableId="1291202178">
    <w:abstractNumId w:val="19"/>
  </w:num>
  <w:num w:numId="27" w16cid:durableId="1711615250">
    <w:abstractNumId w:val="40"/>
  </w:num>
  <w:num w:numId="28" w16cid:durableId="302008264">
    <w:abstractNumId w:val="35"/>
  </w:num>
  <w:num w:numId="29" w16cid:durableId="1561745175">
    <w:abstractNumId w:val="39"/>
  </w:num>
  <w:num w:numId="30" w16cid:durableId="1181628654">
    <w:abstractNumId w:val="20"/>
  </w:num>
  <w:num w:numId="31" w16cid:durableId="16976251">
    <w:abstractNumId w:val="42"/>
  </w:num>
  <w:num w:numId="32" w16cid:durableId="1280842077">
    <w:abstractNumId w:val="31"/>
  </w:num>
  <w:num w:numId="33" w16cid:durableId="1790079289">
    <w:abstractNumId w:val="12"/>
  </w:num>
  <w:num w:numId="34" w16cid:durableId="2064213467">
    <w:abstractNumId w:val="43"/>
  </w:num>
  <w:num w:numId="35" w16cid:durableId="819611182">
    <w:abstractNumId w:val="38"/>
  </w:num>
  <w:num w:numId="36" w16cid:durableId="1109739890">
    <w:abstractNumId w:val="4"/>
  </w:num>
  <w:num w:numId="37" w16cid:durableId="777067069">
    <w:abstractNumId w:val="45"/>
  </w:num>
  <w:num w:numId="38" w16cid:durableId="92825428">
    <w:abstractNumId w:val="41"/>
  </w:num>
  <w:num w:numId="39" w16cid:durableId="1932081169">
    <w:abstractNumId w:val="36"/>
  </w:num>
  <w:num w:numId="40" w16cid:durableId="505905107">
    <w:abstractNumId w:val="37"/>
  </w:num>
  <w:num w:numId="41" w16cid:durableId="1276210393">
    <w:abstractNumId w:val="3"/>
  </w:num>
  <w:num w:numId="42" w16cid:durableId="235165723">
    <w:abstractNumId w:val="5"/>
  </w:num>
  <w:num w:numId="43" w16cid:durableId="808746835">
    <w:abstractNumId w:val="24"/>
  </w:num>
  <w:num w:numId="44" w16cid:durableId="4869020">
    <w:abstractNumId w:val="6"/>
  </w:num>
  <w:num w:numId="45" w16cid:durableId="1816945065">
    <w:abstractNumId w:val="2"/>
  </w:num>
  <w:num w:numId="46" w16cid:durableId="1904635747">
    <w:abstractNumId w:val="0"/>
  </w:num>
  <w:num w:numId="47" w16cid:durableId="741680410">
    <w:abstractNumId w:val="21"/>
  </w:num>
  <w:num w:numId="48" w16cid:durableId="1130826242">
    <w:abstractNumId w:val="28"/>
  </w:num>
  <w:num w:numId="49" w16cid:durableId="50902665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7BF"/>
    <w:rsid w:val="00020EEC"/>
    <w:rsid w:val="00025650"/>
    <w:rsid w:val="00026FAB"/>
    <w:rsid w:val="00027B1F"/>
    <w:rsid w:val="0003088B"/>
    <w:rsid w:val="000325D9"/>
    <w:rsid w:val="00036B9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97824"/>
    <w:rsid w:val="006A7A6D"/>
    <w:rsid w:val="006B5E67"/>
    <w:rsid w:val="006C2EB5"/>
    <w:rsid w:val="006D18A3"/>
    <w:rsid w:val="006D5970"/>
    <w:rsid w:val="006E36AF"/>
    <w:rsid w:val="006E481E"/>
    <w:rsid w:val="006E795F"/>
    <w:rsid w:val="006F3500"/>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46767"/>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3EE8"/>
    <w:rsid w:val="008859E8"/>
    <w:rsid w:val="0088737B"/>
    <w:rsid w:val="00892716"/>
    <w:rsid w:val="00893067"/>
    <w:rsid w:val="008933DE"/>
    <w:rsid w:val="00895032"/>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3F1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6F38"/>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14A0C"/>
    <w:rsid w:val="00F22AC5"/>
    <w:rsid w:val="00F254D1"/>
    <w:rsid w:val="00F32B82"/>
    <w:rsid w:val="00F4008B"/>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6131</Words>
  <Characters>34948</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Hopkins, Elyse</cp:lastModifiedBy>
  <cp:revision>2</cp:revision>
  <cp:lastPrinted>2014-08-26T08:55:00Z</cp:lastPrinted>
  <dcterms:created xsi:type="dcterms:W3CDTF">2023-08-14T13:14:00Z</dcterms:created>
  <dcterms:modified xsi:type="dcterms:W3CDTF">2023-08-14T13:14:00Z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2023-08-14T11:24:29Z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215a7ad5-f634-437c-8ace-caa768762ea6</vt:lpwstr>
  </property>
  <property fmtid="{D5CDD505-2E9C-101B-9397-08002B2CF9AE}" pid="9" name="MSIP_Label_f2acd28b-79a3-4a0f-b0ff-4b75658b1549_ContentBits">
    <vt:lpwstr>0</vt:lpwstr>
  </property>
</Properties>
</file>