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2DDB" w:rsidRDefault="00752DDB" w:rsidP="00752DDB">
      <w:pPr>
        <w:spacing w:line="240" w:lineRule="auto"/>
        <w:rPr>
          <w:rStyle w:val="Emphasis"/>
          <w:rFonts w:ascii="Arial" w:hAnsi="Arial" w:cs="Arial"/>
          <w:b/>
          <w:i w:val="0"/>
          <w:color w:val="373A3C"/>
          <w:sz w:val="28"/>
          <w:szCs w:val="21"/>
          <w:shd w:val="clear" w:color="auto" w:fill="FFFFFF"/>
        </w:rPr>
      </w:pPr>
      <w:r w:rsidRPr="00752DDB">
        <w:rPr>
          <w:rStyle w:val="Emphasis"/>
          <w:rFonts w:ascii="Arial" w:hAnsi="Arial" w:cs="Arial"/>
          <w:b/>
          <w:i w:val="0"/>
          <w:color w:val="373A3C"/>
          <w:sz w:val="28"/>
          <w:szCs w:val="21"/>
          <w:shd w:val="clear" w:color="auto" w:fill="FFFFFF"/>
        </w:rPr>
        <w:t>Critically discuss whether Boudicca was just a literary invention. Does a critical analysis of ancient literary and archaeological sources allow us to demonstrate her existence and her alleged activities without any doubt?</w:t>
      </w:r>
    </w:p>
    <w:p w:rsidR="00752DDB" w:rsidRDefault="00752DDB" w:rsidP="00752DDB">
      <w:pPr>
        <w:spacing w:line="240" w:lineRule="auto"/>
        <w:rPr>
          <w:rStyle w:val="Emphasis"/>
          <w:rFonts w:ascii="Arial" w:hAnsi="Arial" w:cs="Arial"/>
          <w:b/>
          <w:i w:val="0"/>
          <w:color w:val="373A3C"/>
          <w:sz w:val="28"/>
          <w:szCs w:val="21"/>
          <w:shd w:val="clear" w:color="auto" w:fill="FFFFFF"/>
        </w:rPr>
      </w:pPr>
    </w:p>
    <w:p w:rsidR="00591ED0" w:rsidRDefault="00752DDB" w:rsidP="00752DDB">
      <w:pPr>
        <w:spacing w:line="240" w:lineRule="auto"/>
        <w:rPr>
          <w:rStyle w:val="Emphasis"/>
          <w:rFonts w:ascii="Arial" w:hAnsi="Arial" w:cs="Arial"/>
          <w:i w:val="0"/>
          <w:color w:val="373A3C"/>
          <w:sz w:val="24"/>
          <w:szCs w:val="21"/>
          <w:shd w:val="clear" w:color="auto" w:fill="FFFFFF"/>
        </w:rPr>
      </w:pPr>
      <w:r>
        <w:rPr>
          <w:rStyle w:val="Emphasis"/>
          <w:rFonts w:ascii="Arial" w:hAnsi="Arial" w:cs="Arial"/>
          <w:i w:val="0"/>
          <w:color w:val="373A3C"/>
          <w:sz w:val="24"/>
          <w:szCs w:val="21"/>
          <w:shd w:val="clear" w:color="auto" w:fill="FFFFFF"/>
        </w:rPr>
        <w:t>The story of Boudicca is a tale which for centuries has demonstrated the spirit of a defending population protecting themselves from an invading force</w:t>
      </w:r>
      <w:r w:rsidR="000C74F3">
        <w:rPr>
          <w:rStyle w:val="Emphasis"/>
          <w:rFonts w:ascii="Arial" w:hAnsi="Arial" w:cs="Arial"/>
          <w:i w:val="0"/>
          <w:color w:val="373A3C"/>
          <w:sz w:val="24"/>
          <w:szCs w:val="21"/>
          <w:shd w:val="clear" w:color="auto" w:fill="FFFFFF"/>
        </w:rPr>
        <w:t xml:space="preserve"> and Boudicca is now considered as a champion of British liberty</w:t>
      </w:r>
      <w:r>
        <w:rPr>
          <w:rStyle w:val="Emphasis"/>
          <w:rFonts w:ascii="Arial" w:hAnsi="Arial" w:cs="Arial"/>
          <w:i w:val="0"/>
          <w:color w:val="373A3C"/>
          <w:sz w:val="24"/>
          <w:szCs w:val="21"/>
          <w:shd w:val="clear" w:color="auto" w:fill="FFFFFF"/>
        </w:rPr>
        <w:t>.</w:t>
      </w:r>
      <w:r w:rsidR="000C74F3">
        <w:rPr>
          <w:rStyle w:val="FootnoteReference"/>
          <w:rFonts w:ascii="Arial" w:hAnsi="Arial" w:cs="Arial"/>
          <w:iCs/>
          <w:color w:val="373A3C"/>
          <w:sz w:val="24"/>
          <w:szCs w:val="21"/>
          <w:shd w:val="clear" w:color="auto" w:fill="FFFFFF"/>
        </w:rPr>
        <w:footnoteReference w:id="1"/>
      </w:r>
      <w:r>
        <w:rPr>
          <w:rStyle w:val="Emphasis"/>
          <w:rFonts w:ascii="Arial" w:hAnsi="Arial" w:cs="Arial"/>
          <w:i w:val="0"/>
          <w:color w:val="373A3C"/>
          <w:sz w:val="24"/>
          <w:szCs w:val="21"/>
          <w:shd w:val="clear" w:color="auto" w:fill="FFFFFF"/>
        </w:rPr>
        <w:t xml:space="preserve"> </w:t>
      </w:r>
      <w:r w:rsidR="00C22A85">
        <w:rPr>
          <w:rStyle w:val="Emphasis"/>
          <w:rFonts w:ascii="Arial" w:hAnsi="Arial" w:cs="Arial"/>
          <w:i w:val="0"/>
          <w:color w:val="373A3C"/>
          <w:sz w:val="24"/>
          <w:szCs w:val="21"/>
          <w:shd w:val="clear" w:color="auto" w:fill="FFFFFF"/>
        </w:rPr>
        <w:t xml:space="preserve">Once more closely looked at, it is also a period in history which demonstrates the inconsistencies between ancient sources and the </w:t>
      </w:r>
      <w:r w:rsidR="004F11C5">
        <w:rPr>
          <w:rStyle w:val="Emphasis"/>
          <w:rFonts w:ascii="Arial" w:hAnsi="Arial" w:cs="Arial"/>
          <w:i w:val="0"/>
          <w:color w:val="373A3C"/>
          <w:sz w:val="24"/>
          <w:szCs w:val="21"/>
          <w:shd w:val="clear" w:color="auto" w:fill="FFFFFF"/>
        </w:rPr>
        <w:t>divisions in opinion between modern authors. The archaeology from the time also raises problems with what sources tell us and the evidence we have</w:t>
      </w:r>
      <w:r w:rsidR="00304661">
        <w:rPr>
          <w:rStyle w:val="Emphasis"/>
          <w:rFonts w:ascii="Arial" w:hAnsi="Arial" w:cs="Arial"/>
          <w:i w:val="0"/>
          <w:color w:val="373A3C"/>
          <w:sz w:val="24"/>
          <w:szCs w:val="21"/>
          <w:shd w:val="clear" w:color="auto" w:fill="FFFFFF"/>
        </w:rPr>
        <w:t xml:space="preserve">, raising questions around the reasons for these differences and how reliable these sources can be as a resource for discovering the activities that went on at the time. This essay will address these problems and inconsistencies and critically </w:t>
      </w:r>
      <w:r w:rsidR="006804E6">
        <w:rPr>
          <w:rStyle w:val="Emphasis"/>
          <w:rFonts w:ascii="Arial" w:hAnsi="Arial" w:cs="Arial"/>
          <w:i w:val="0"/>
          <w:color w:val="373A3C"/>
          <w:sz w:val="24"/>
          <w:szCs w:val="21"/>
          <w:shd w:val="clear" w:color="auto" w:fill="FFFFFF"/>
        </w:rPr>
        <w:t>discuss</w:t>
      </w:r>
      <w:r w:rsidR="00304661">
        <w:rPr>
          <w:rStyle w:val="Emphasis"/>
          <w:rFonts w:ascii="Arial" w:hAnsi="Arial" w:cs="Arial"/>
          <w:i w:val="0"/>
          <w:color w:val="373A3C"/>
          <w:sz w:val="24"/>
          <w:szCs w:val="21"/>
          <w:shd w:val="clear" w:color="auto" w:fill="FFFFFF"/>
        </w:rPr>
        <w:t xml:space="preserve"> the evidence we have for </w:t>
      </w:r>
      <w:r w:rsidR="006804E6">
        <w:rPr>
          <w:rStyle w:val="Emphasis"/>
          <w:rFonts w:ascii="Arial" w:hAnsi="Arial" w:cs="Arial"/>
          <w:i w:val="0"/>
          <w:color w:val="373A3C"/>
          <w:sz w:val="24"/>
          <w:szCs w:val="21"/>
          <w:shd w:val="clear" w:color="auto" w:fill="FFFFFF"/>
        </w:rPr>
        <w:t xml:space="preserve">Boudicca’s life and activities and analyse </w:t>
      </w:r>
      <w:r w:rsidR="00197782">
        <w:rPr>
          <w:rStyle w:val="Emphasis"/>
          <w:rFonts w:ascii="Arial" w:hAnsi="Arial" w:cs="Arial"/>
          <w:i w:val="0"/>
          <w:color w:val="373A3C"/>
          <w:sz w:val="24"/>
          <w:szCs w:val="21"/>
          <w:shd w:val="clear" w:color="auto" w:fill="FFFFFF"/>
        </w:rPr>
        <w:t>the contrasting views of both ancient and modern scholarship. There is also the interesting question of whether or not Boudicca even existed at all and could possibly have been the result of exaggeration or propaganda</w:t>
      </w:r>
      <w:r w:rsidR="00465DAD">
        <w:rPr>
          <w:rStyle w:val="Emphasis"/>
          <w:rFonts w:ascii="Arial" w:hAnsi="Arial" w:cs="Arial"/>
          <w:i w:val="0"/>
          <w:color w:val="373A3C"/>
          <w:sz w:val="24"/>
          <w:szCs w:val="21"/>
          <w:shd w:val="clear" w:color="auto" w:fill="FFFFFF"/>
        </w:rPr>
        <w:t>. This essay</w:t>
      </w:r>
      <w:r w:rsidR="00197782">
        <w:rPr>
          <w:rStyle w:val="Emphasis"/>
          <w:rFonts w:ascii="Arial" w:hAnsi="Arial" w:cs="Arial"/>
          <w:i w:val="0"/>
          <w:color w:val="373A3C"/>
          <w:sz w:val="24"/>
          <w:szCs w:val="21"/>
          <w:shd w:val="clear" w:color="auto" w:fill="FFFFFF"/>
        </w:rPr>
        <w:t xml:space="preserve"> will also address this question and critically analyse the evidence we have for both sides of this argument.</w:t>
      </w:r>
    </w:p>
    <w:p w:rsidR="00465DAD" w:rsidRDefault="00465DAD" w:rsidP="00752DDB">
      <w:pPr>
        <w:spacing w:line="240" w:lineRule="auto"/>
        <w:rPr>
          <w:rStyle w:val="Emphasis"/>
          <w:rFonts w:ascii="Arial" w:hAnsi="Arial" w:cs="Arial"/>
          <w:i w:val="0"/>
          <w:color w:val="373A3C"/>
          <w:sz w:val="24"/>
          <w:szCs w:val="21"/>
          <w:shd w:val="clear" w:color="auto" w:fill="FFFFFF"/>
        </w:rPr>
      </w:pPr>
      <w:r>
        <w:rPr>
          <w:rStyle w:val="Emphasis"/>
          <w:rFonts w:ascii="Arial" w:hAnsi="Arial" w:cs="Arial"/>
          <w:i w:val="0"/>
          <w:color w:val="373A3C"/>
          <w:sz w:val="24"/>
          <w:szCs w:val="21"/>
          <w:shd w:val="clear" w:color="auto" w:fill="FFFFFF"/>
        </w:rPr>
        <w:t>The first thing that must be considered when addressing this question is the ancient sources we have from the time</w:t>
      </w:r>
      <w:r w:rsidR="002A2706">
        <w:rPr>
          <w:rStyle w:val="Emphasis"/>
          <w:rFonts w:ascii="Arial" w:hAnsi="Arial" w:cs="Arial"/>
          <w:i w:val="0"/>
          <w:color w:val="373A3C"/>
          <w:sz w:val="24"/>
          <w:szCs w:val="21"/>
          <w:shd w:val="clear" w:color="auto" w:fill="FFFFFF"/>
        </w:rPr>
        <w:t>, which are Tacitus and Dio</w:t>
      </w:r>
      <w:bookmarkStart w:id="0" w:name="_GoBack"/>
      <w:bookmarkEnd w:id="0"/>
      <w:r>
        <w:rPr>
          <w:rStyle w:val="Emphasis"/>
          <w:rFonts w:ascii="Arial" w:hAnsi="Arial" w:cs="Arial"/>
          <w:i w:val="0"/>
          <w:color w:val="373A3C"/>
          <w:sz w:val="24"/>
          <w:szCs w:val="21"/>
          <w:shd w:val="clear" w:color="auto" w:fill="FFFFFF"/>
        </w:rPr>
        <w:t>. The first and most obvious point is that Cassius Dio lived around two centuries after Tacitus and the time Boudicca is said to have lived. This is somewhat significant because it means that the account of Tacitus is more contemporary than that of Dio. However, this certainly does not mean that the account of Tacitus is more accurate or reliable. As has been mentioned, there are several key differences in the accounts that raises questions about their reliability in telling us the events of the time as they truly happened. It should however be said that the two a</w:t>
      </w:r>
      <w:r w:rsidR="00F973A0">
        <w:rPr>
          <w:rStyle w:val="Emphasis"/>
          <w:rFonts w:ascii="Arial" w:hAnsi="Arial" w:cs="Arial"/>
          <w:i w:val="0"/>
          <w:color w:val="373A3C"/>
          <w:sz w:val="24"/>
          <w:szCs w:val="21"/>
          <w:shd w:val="clear" w:color="auto" w:fill="FFFFFF"/>
        </w:rPr>
        <w:t>uthors do agree on many of the specifics of the revolt, but the differences that do exist are major ones that mean that our understanding of the precise events of the time can be shaky.</w:t>
      </w:r>
      <w:r w:rsidR="002E4F04">
        <w:rPr>
          <w:rStyle w:val="FootnoteReference"/>
          <w:rFonts w:ascii="Arial" w:hAnsi="Arial" w:cs="Arial"/>
          <w:iCs/>
          <w:color w:val="373A3C"/>
          <w:sz w:val="24"/>
          <w:szCs w:val="21"/>
          <w:shd w:val="clear" w:color="auto" w:fill="FFFFFF"/>
        </w:rPr>
        <w:footnoteReference w:id="2"/>
      </w:r>
      <w:r w:rsidR="00F973A0">
        <w:rPr>
          <w:rStyle w:val="Emphasis"/>
          <w:rFonts w:ascii="Arial" w:hAnsi="Arial" w:cs="Arial"/>
          <w:i w:val="0"/>
          <w:color w:val="373A3C"/>
          <w:sz w:val="24"/>
          <w:szCs w:val="21"/>
          <w:shd w:val="clear" w:color="auto" w:fill="FFFFFF"/>
        </w:rPr>
        <w:t xml:space="preserve"> For the purpose of this essay I will highlight two of these differences that relate to the question, in particular, the reasons for the revolt </w:t>
      </w:r>
      <w:r w:rsidR="003C3ACC">
        <w:rPr>
          <w:rStyle w:val="Emphasis"/>
          <w:rFonts w:ascii="Arial" w:hAnsi="Arial" w:cs="Arial"/>
          <w:i w:val="0"/>
          <w:color w:val="373A3C"/>
          <w:sz w:val="24"/>
          <w:szCs w:val="21"/>
          <w:shd w:val="clear" w:color="auto" w:fill="FFFFFF"/>
        </w:rPr>
        <w:t xml:space="preserve">and Boudicca’s cause </w:t>
      </w:r>
      <w:r w:rsidR="00891C74">
        <w:rPr>
          <w:rStyle w:val="Emphasis"/>
          <w:rFonts w:ascii="Arial" w:hAnsi="Arial" w:cs="Arial"/>
          <w:i w:val="0"/>
          <w:color w:val="373A3C"/>
          <w:sz w:val="24"/>
          <w:szCs w:val="21"/>
          <w:shd w:val="clear" w:color="auto" w:fill="FFFFFF"/>
        </w:rPr>
        <w:t xml:space="preserve">of death. </w:t>
      </w:r>
      <w:r w:rsidR="003C3ACC">
        <w:rPr>
          <w:rStyle w:val="Emphasis"/>
          <w:rFonts w:ascii="Arial" w:hAnsi="Arial" w:cs="Arial"/>
          <w:i w:val="0"/>
          <w:color w:val="373A3C"/>
          <w:sz w:val="24"/>
          <w:szCs w:val="21"/>
          <w:shd w:val="clear" w:color="auto" w:fill="FFFFFF"/>
        </w:rPr>
        <w:t xml:space="preserve">Tacitus tells us that the revolt was </w:t>
      </w:r>
      <w:r w:rsidR="00891C74">
        <w:rPr>
          <w:rStyle w:val="Emphasis"/>
          <w:rFonts w:ascii="Arial" w:hAnsi="Arial" w:cs="Arial"/>
          <w:i w:val="0"/>
          <w:color w:val="373A3C"/>
          <w:sz w:val="24"/>
          <w:szCs w:val="21"/>
          <w:shd w:val="clear" w:color="auto" w:fill="FFFFFF"/>
        </w:rPr>
        <w:t xml:space="preserve">sparked by </w:t>
      </w:r>
      <w:r w:rsidR="003C3ACC">
        <w:rPr>
          <w:rStyle w:val="Emphasis"/>
          <w:rFonts w:ascii="Arial" w:hAnsi="Arial" w:cs="Arial"/>
          <w:i w:val="0"/>
          <w:color w:val="373A3C"/>
          <w:sz w:val="24"/>
          <w:szCs w:val="21"/>
          <w:shd w:val="clear" w:color="auto" w:fill="FFFFFF"/>
        </w:rPr>
        <w:t xml:space="preserve">the betrayal and ruthlessness of the Romans upon the death of Boudicca’s </w:t>
      </w:r>
      <w:r w:rsidR="009D0B54">
        <w:rPr>
          <w:rStyle w:val="Emphasis"/>
          <w:rFonts w:ascii="Arial" w:hAnsi="Arial" w:cs="Arial"/>
          <w:i w:val="0"/>
          <w:color w:val="373A3C"/>
          <w:sz w:val="24"/>
          <w:szCs w:val="21"/>
          <w:shd w:val="clear" w:color="auto" w:fill="FFFFFF"/>
        </w:rPr>
        <w:t>husband Prasutagus</w:t>
      </w:r>
      <w:r w:rsidR="00CD3B5C">
        <w:rPr>
          <w:rStyle w:val="Emphasis"/>
          <w:rFonts w:ascii="Arial" w:hAnsi="Arial" w:cs="Arial"/>
          <w:i w:val="0"/>
          <w:color w:val="373A3C"/>
          <w:sz w:val="24"/>
          <w:szCs w:val="21"/>
          <w:shd w:val="clear" w:color="auto" w:fill="FFFFFF"/>
        </w:rPr>
        <w:t>, which included the Romans whipping Boudicca and raping their daughters.</w:t>
      </w:r>
      <w:r w:rsidR="00CD3B5C">
        <w:rPr>
          <w:rStyle w:val="FootnoteReference"/>
          <w:rFonts w:ascii="Arial" w:hAnsi="Arial" w:cs="Arial"/>
          <w:iCs/>
          <w:color w:val="373A3C"/>
          <w:sz w:val="24"/>
          <w:szCs w:val="21"/>
          <w:shd w:val="clear" w:color="auto" w:fill="FFFFFF"/>
        </w:rPr>
        <w:footnoteReference w:id="3"/>
      </w:r>
      <w:r w:rsidR="00CD3B5C">
        <w:rPr>
          <w:rStyle w:val="Emphasis"/>
          <w:rFonts w:ascii="Arial" w:hAnsi="Arial" w:cs="Arial"/>
          <w:i w:val="0"/>
          <w:color w:val="373A3C"/>
          <w:sz w:val="24"/>
          <w:szCs w:val="21"/>
          <w:shd w:val="clear" w:color="auto" w:fill="FFFFFF"/>
        </w:rPr>
        <w:t xml:space="preserve"> </w:t>
      </w:r>
      <w:r w:rsidR="00B17D8C">
        <w:rPr>
          <w:rStyle w:val="Emphasis"/>
          <w:rFonts w:ascii="Arial" w:hAnsi="Arial" w:cs="Arial"/>
          <w:i w:val="0"/>
          <w:color w:val="373A3C"/>
          <w:sz w:val="24"/>
          <w:szCs w:val="21"/>
          <w:shd w:val="clear" w:color="auto" w:fill="FFFFFF"/>
        </w:rPr>
        <w:t>Tacitus claims that the revolt was the result of a group of people defending themselves from oppressive invaders to their lands. This</w:t>
      </w:r>
      <w:r w:rsidR="00C73E5E">
        <w:rPr>
          <w:rStyle w:val="Emphasis"/>
          <w:rFonts w:ascii="Arial" w:hAnsi="Arial" w:cs="Arial"/>
          <w:i w:val="0"/>
          <w:color w:val="373A3C"/>
          <w:sz w:val="24"/>
          <w:szCs w:val="21"/>
          <w:shd w:val="clear" w:color="auto" w:fill="FFFFFF"/>
        </w:rPr>
        <w:t xml:space="preserve"> is a point that is repeated by Wacher, who implies that the reason for the uprising was the betrayal by the Roman emperor when she was named the successor to her husband</w:t>
      </w:r>
      <w:r w:rsidR="00B17D8C">
        <w:rPr>
          <w:rStyle w:val="Emphasis"/>
          <w:rFonts w:ascii="Arial" w:hAnsi="Arial" w:cs="Arial"/>
          <w:i w:val="0"/>
          <w:color w:val="373A3C"/>
          <w:sz w:val="24"/>
          <w:szCs w:val="21"/>
          <w:shd w:val="clear" w:color="auto" w:fill="FFFFFF"/>
        </w:rPr>
        <w:t xml:space="preserve"> and the violent way in which it was handled</w:t>
      </w:r>
      <w:r w:rsidR="00C73E5E">
        <w:rPr>
          <w:rStyle w:val="Emphasis"/>
          <w:rFonts w:ascii="Arial" w:hAnsi="Arial" w:cs="Arial"/>
          <w:i w:val="0"/>
          <w:color w:val="373A3C"/>
          <w:sz w:val="24"/>
          <w:szCs w:val="21"/>
          <w:shd w:val="clear" w:color="auto" w:fill="FFFFFF"/>
        </w:rPr>
        <w:t>.</w:t>
      </w:r>
      <w:r w:rsidR="00C73E5E">
        <w:rPr>
          <w:rStyle w:val="FootnoteReference"/>
          <w:rFonts w:ascii="Arial" w:hAnsi="Arial" w:cs="Arial"/>
          <w:iCs/>
          <w:color w:val="373A3C"/>
          <w:sz w:val="24"/>
          <w:szCs w:val="21"/>
          <w:shd w:val="clear" w:color="auto" w:fill="FFFFFF"/>
        </w:rPr>
        <w:footnoteReference w:id="4"/>
      </w:r>
      <w:r w:rsidR="00C73E5E">
        <w:rPr>
          <w:rStyle w:val="Emphasis"/>
          <w:rFonts w:ascii="Arial" w:hAnsi="Arial" w:cs="Arial"/>
          <w:i w:val="0"/>
          <w:color w:val="373A3C"/>
          <w:sz w:val="24"/>
          <w:szCs w:val="21"/>
          <w:shd w:val="clear" w:color="auto" w:fill="FFFFFF"/>
        </w:rPr>
        <w:t xml:space="preserve"> </w:t>
      </w:r>
      <w:r w:rsidR="00CD3B5C">
        <w:rPr>
          <w:rStyle w:val="Emphasis"/>
          <w:rFonts w:ascii="Arial" w:hAnsi="Arial" w:cs="Arial"/>
          <w:i w:val="0"/>
          <w:color w:val="373A3C"/>
          <w:sz w:val="24"/>
          <w:szCs w:val="21"/>
          <w:shd w:val="clear" w:color="auto" w:fill="FFFFFF"/>
        </w:rPr>
        <w:t>Problems arise when one then reads Dio’s narrative of events, which implies that the cause was more complicated that involved both f</w:t>
      </w:r>
      <w:r w:rsidR="00B17D8C">
        <w:rPr>
          <w:rStyle w:val="Emphasis"/>
          <w:rFonts w:ascii="Arial" w:hAnsi="Arial" w:cs="Arial"/>
          <w:i w:val="0"/>
          <w:color w:val="373A3C"/>
          <w:sz w:val="24"/>
          <w:szCs w:val="21"/>
          <w:shd w:val="clear" w:color="auto" w:fill="FFFFFF"/>
        </w:rPr>
        <w:t>inancial and defensive reasons.</w:t>
      </w:r>
      <w:r w:rsidR="00CD3B5C">
        <w:rPr>
          <w:rStyle w:val="FootnoteReference"/>
          <w:rFonts w:ascii="Arial" w:hAnsi="Arial" w:cs="Arial"/>
          <w:iCs/>
          <w:color w:val="373A3C"/>
          <w:sz w:val="24"/>
          <w:szCs w:val="21"/>
          <w:shd w:val="clear" w:color="auto" w:fill="FFFFFF"/>
        </w:rPr>
        <w:footnoteReference w:id="5"/>
      </w:r>
      <w:r w:rsidR="00B17D8C">
        <w:rPr>
          <w:rStyle w:val="Emphasis"/>
          <w:rFonts w:ascii="Arial" w:hAnsi="Arial" w:cs="Arial"/>
          <w:i w:val="0"/>
          <w:color w:val="373A3C"/>
          <w:sz w:val="24"/>
          <w:szCs w:val="21"/>
          <w:shd w:val="clear" w:color="auto" w:fill="FFFFFF"/>
        </w:rPr>
        <w:t xml:space="preserve"> Indeed, Dio also has modern scholarship that defends his side of events, as can be seen in </w:t>
      </w:r>
      <w:r w:rsidR="00B17D8C">
        <w:rPr>
          <w:rStyle w:val="Emphasis"/>
          <w:rFonts w:ascii="Arial" w:hAnsi="Arial" w:cs="Arial"/>
          <w:i w:val="0"/>
          <w:color w:val="373A3C"/>
          <w:sz w:val="24"/>
          <w:szCs w:val="21"/>
          <w:shd w:val="clear" w:color="auto" w:fill="FFFFFF"/>
        </w:rPr>
        <w:lastRenderedPageBreak/>
        <w:t>the works of Frere who claims that one of the primary causes of rebellion was the financial disputes regarding money paid to the Iceni “on the ground that they were loans”.</w:t>
      </w:r>
      <w:r w:rsidR="00B17D8C">
        <w:rPr>
          <w:rStyle w:val="FootnoteReference"/>
          <w:rFonts w:ascii="Arial" w:hAnsi="Arial" w:cs="Arial"/>
          <w:iCs/>
          <w:color w:val="373A3C"/>
          <w:sz w:val="24"/>
          <w:szCs w:val="21"/>
          <w:shd w:val="clear" w:color="auto" w:fill="FFFFFF"/>
        </w:rPr>
        <w:footnoteReference w:id="6"/>
      </w:r>
      <w:r w:rsidR="00C44140">
        <w:rPr>
          <w:rStyle w:val="Emphasis"/>
          <w:rFonts w:ascii="Arial" w:hAnsi="Arial" w:cs="Arial"/>
          <w:i w:val="0"/>
          <w:color w:val="373A3C"/>
          <w:sz w:val="24"/>
          <w:szCs w:val="21"/>
          <w:shd w:val="clear" w:color="auto" w:fill="FFFFFF"/>
        </w:rPr>
        <w:t xml:space="preserve"> This demonstrates the inconsistencies within the ancient sources and how they can prove to be unreliable </w:t>
      </w:r>
      <w:r w:rsidR="00C73E5E">
        <w:rPr>
          <w:rStyle w:val="Emphasis"/>
          <w:rFonts w:ascii="Arial" w:hAnsi="Arial" w:cs="Arial"/>
          <w:i w:val="0"/>
          <w:color w:val="373A3C"/>
          <w:sz w:val="24"/>
          <w:szCs w:val="21"/>
          <w:shd w:val="clear" w:color="auto" w:fill="FFFFFF"/>
        </w:rPr>
        <w:t xml:space="preserve">when trying to prove the existence and the activities of Boudicca at the time. </w:t>
      </w:r>
      <w:r w:rsidR="0082559C">
        <w:rPr>
          <w:rStyle w:val="Emphasis"/>
          <w:rFonts w:ascii="Arial" w:hAnsi="Arial" w:cs="Arial"/>
          <w:i w:val="0"/>
          <w:color w:val="373A3C"/>
          <w:sz w:val="24"/>
          <w:szCs w:val="21"/>
          <w:shd w:val="clear" w:color="auto" w:fill="FFFFFF"/>
        </w:rPr>
        <w:t xml:space="preserve">Both Tacitus and Dio also attribute a speech to Boudicca that was delivered to her supporters although this speech also has its differences. Speeches can be a difficult resource as no one can </w:t>
      </w:r>
      <w:r w:rsidR="0009299B">
        <w:rPr>
          <w:rStyle w:val="Emphasis"/>
          <w:rFonts w:ascii="Arial" w:hAnsi="Arial" w:cs="Arial"/>
          <w:i w:val="0"/>
          <w:color w:val="373A3C"/>
          <w:sz w:val="24"/>
          <w:szCs w:val="21"/>
          <w:shd w:val="clear" w:color="auto" w:fill="FFFFFF"/>
        </w:rPr>
        <w:t>guarantee</w:t>
      </w:r>
      <w:r w:rsidR="0082559C">
        <w:rPr>
          <w:rStyle w:val="Emphasis"/>
          <w:rFonts w:ascii="Arial" w:hAnsi="Arial" w:cs="Arial"/>
          <w:i w:val="0"/>
          <w:color w:val="373A3C"/>
          <w:sz w:val="24"/>
          <w:szCs w:val="21"/>
          <w:shd w:val="clear" w:color="auto" w:fill="FFFFFF"/>
        </w:rPr>
        <w:t xml:space="preserve"> that what was said is indeed true to word. That being said, if Tacitus and Dio cannot agree on the basics of one speech then one must wonder how reliable these sources really are.</w:t>
      </w:r>
    </w:p>
    <w:p w:rsidR="0082559C" w:rsidRDefault="0082559C" w:rsidP="00752DDB">
      <w:pPr>
        <w:spacing w:line="240" w:lineRule="auto"/>
        <w:rPr>
          <w:rStyle w:val="Emphasis"/>
          <w:rFonts w:ascii="Arial" w:hAnsi="Arial" w:cs="Arial"/>
          <w:i w:val="0"/>
          <w:color w:val="373A3C"/>
          <w:sz w:val="24"/>
          <w:szCs w:val="21"/>
          <w:shd w:val="clear" w:color="auto" w:fill="FFFFFF"/>
        </w:rPr>
      </w:pPr>
      <w:r>
        <w:rPr>
          <w:rStyle w:val="Emphasis"/>
          <w:rFonts w:ascii="Arial" w:hAnsi="Arial" w:cs="Arial"/>
          <w:i w:val="0"/>
          <w:color w:val="373A3C"/>
          <w:sz w:val="24"/>
          <w:szCs w:val="21"/>
          <w:shd w:val="clear" w:color="auto" w:fill="FFFFFF"/>
        </w:rPr>
        <w:t>It is important to critically think about the reasons why these two authors have such differing views on their versions of events.</w:t>
      </w:r>
      <w:r w:rsidR="0009299B">
        <w:rPr>
          <w:rStyle w:val="Emphasis"/>
          <w:rFonts w:ascii="Arial" w:hAnsi="Arial" w:cs="Arial"/>
          <w:i w:val="0"/>
          <w:color w:val="373A3C"/>
          <w:sz w:val="24"/>
          <w:szCs w:val="21"/>
          <w:shd w:val="clear" w:color="auto" w:fill="FFFFFF"/>
        </w:rPr>
        <w:t xml:space="preserve"> Firstly, Tacitus and Dio were from different regions of the Roman Empire. This is important to highlight as these geographical differences had the potential to play a part in several factors from the information they were receiving in that part of the world at the time to their general outlook on life. Keeping this in mind, one must also question the motives of the authors and whether or not there were any political reasoning behind what they were writing. This is a point which will be addressed in more detail later on in this essay, but at this point I think it is important to point out the background of our sources and how these backgrounds may have played a role in the perception of the Boudicca revolt they wished to give across. While Tacitus was against the idea of </w:t>
      </w:r>
      <w:r w:rsidR="00635408">
        <w:rPr>
          <w:rStyle w:val="Emphasis"/>
          <w:rFonts w:ascii="Arial" w:hAnsi="Arial" w:cs="Arial"/>
          <w:i w:val="0"/>
          <w:color w:val="373A3C"/>
          <w:sz w:val="24"/>
          <w:szCs w:val="21"/>
          <w:shd w:val="clear" w:color="auto" w:fill="FFFFFF"/>
        </w:rPr>
        <w:t>an all-ruling emperor and perhaps had reason to want to make the empire look bad in certain aspects, Cassius Dio was a Greek man who lived over a hundred years after the events he was writing about.</w:t>
      </w:r>
      <w:r w:rsidR="00345C78">
        <w:rPr>
          <w:rStyle w:val="Emphasis"/>
          <w:rFonts w:ascii="Arial" w:hAnsi="Arial" w:cs="Arial"/>
          <w:i w:val="0"/>
          <w:color w:val="373A3C"/>
          <w:sz w:val="24"/>
          <w:szCs w:val="21"/>
          <w:shd w:val="clear" w:color="auto" w:fill="FFFFFF"/>
        </w:rPr>
        <w:t xml:space="preserve"> This doesn’t necessarily mean he is any less reliable, however, but is a point that should be kept in mind when studying the sources.</w:t>
      </w:r>
      <w:r w:rsidR="00011FB3">
        <w:rPr>
          <w:rStyle w:val="FootnoteReference"/>
          <w:rFonts w:ascii="Arial" w:hAnsi="Arial" w:cs="Arial"/>
          <w:iCs/>
          <w:color w:val="373A3C"/>
          <w:sz w:val="24"/>
          <w:szCs w:val="21"/>
          <w:shd w:val="clear" w:color="auto" w:fill="FFFFFF"/>
        </w:rPr>
        <w:footnoteReference w:id="7"/>
      </w:r>
      <w:r w:rsidR="00345C78">
        <w:rPr>
          <w:rStyle w:val="Emphasis"/>
          <w:rFonts w:ascii="Arial" w:hAnsi="Arial" w:cs="Arial"/>
          <w:i w:val="0"/>
          <w:color w:val="373A3C"/>
          <w:sz w:val="24"/>
          <w:szCs w:val="21"/>
          <w:shd w:val="clear" w:color="auto" w:fill="FFFFFF"/>
        </w:rPr>
        <w:t xml:space="preserve"> Likewise, the fact that Tacitus was alive </w:t>
      </w:r>
      <w:r w:rsidR="00084405">
        <w:rPr>
          <w:rStyle w:val="Emphasis"/>
          <w:rFonts w:ascii="Arial" w:hAnsi="Arial" w:cs="Arial"/>
          <w:i w:val="0"/>
          <w:color w:val="373A3C"/>
          <w:sz w:val="24"/>
          <w:szCs w:val="21"/>
          <w:shd w:val="clear" w:color="auto" w:fill="FFFFFF"/>
        </w:rPr>
        <w:t xml:space="preserve">at a more contemporary time period does not mean we should take his word any more seriously. </w:t>
      </w:r>
      <w:r w:rsidR="008D4C50">
        <w:rPr>
          <w:rStyle w:val="Emphasis"/>
          <w:rFonts w:ascii="Arial" w:hAnsi="Arial" w:cs="Arial"/>
          <w:i w:val="0"/>
          <w:color w:val="373A3C"/>
          <w:sz w:val="24"/>
          <w:szCs w:val="21"/>
          <w:shd w:val="clear" w:color="auto" w:fill="FFFFFF"/>
        </w:rPr>
        <w:t xml:space="preserve">Dio didn’t share many of the political thoughts and dislikes of certain Roman traditions as Tacitus had before him so wouldn’t have been so inclined to write from a </w:t>
      </w:r>
      <w:r w:rsidR="00E756BF">
        <w:rPr>
          <w:rStyle w:val="Emphasis"/>
          <w:rFonts w:ascii="Arial" w:hAnsi="Arial" w:cs="Arial"/>
          <w:i w:val="0"/>
          <w:color w:val="373A3C"/>
          <w:sz w:val="24"/>
          <w:szCs w:val="21"/>
          <w:shd w:val="clear" w:color="auto" w:fill="FFFFFF"/>
        </w:rPr>
        <w:t xml:space="preserve">politically </w:t>
      </w:r>
      <w:r w:rsidR="008D4C50">
        <w:rPr>
          <w:rStyle w:val="Emphasis"/>
          <w:rFonts w:ascii="Arial" w:hAnsi="Arial" w:cs="Arial"/>
          <w:i w:val="0"/>
          <w:color w:val="373A3C"/>
          <w:sz w:val="24"/>
          <w:szCs w:val="21"/>
          <w:shd w:val="clear" w:color="auto" w:fill="FFFFFF"/>
        </w:rPr>
        <w:t>biased angle</w:t>
      </w:r>
      <w:r w:rsidR="00E756BF">
        <w:rPr>
          <w:rStyle w:val="Emphasis"/>
          <w:rFonts w:ascii="Arial" w:hAnsi="Arial" w:cs="Arial"/>
          <w:i w:val="0"/>
          <w:color w:val="373A3C"/>
          <w:sz w:val="24"/>
          <w:szCs w:val="21"/>
          <w:shd w:val="clear" w:color="auto" w:fill="FFFFFF"/>
        </w:rPr>
        <w:t>, although that is not to say Dio wouldn’t have had his own reasons for doing so</w:t>
      </w:r>
      <w:r w:rsidR="008D4C50">
        <w:rPr>
          <w:rStyle w:val="Emphasis"/>
          <w:rFonts w:ascii="Arial" w:hAnsi="Arial" w:cs="Arial"/>
          <w:i w:val="0"/>
          <w:color w:val="373A3C"/>
          <w:sz w:val="24"/>
          <w:szCs w:val="21"/>
          <w:shd w:val="clear" w:color="auto" w:fill="FFFFFF"/>
        </w:rPr>
        <w:t>.</w:t>
      </w:r>
      <w:r w:rsidR="00E756BF">
        <w:rPr>
          <w:rStyle w:val="FootnoteReference"/>
          <w:rFonts w:ascii="Arial" w:hAnsi="Arial" w:cs="Arial"/>
          <w:iCs/>
          <w:color w:val="373A3C"/>
          <w:sz w:val="24"/>
          <w:szCs w:val="21"/>
          <w:shd w:val="clear" w:color="auto" w:fill="FFFFFF"/>
        </w:rPr>
        <w:footnoteReference w:id="8"/>
      </w:r>
    </w:p>
    <w:p w:rsidR="00011FB3" w:rsidRDefault="00E756BF" w:rsidP="00752DDB">
      <w:pPr>
        <w:spacing w:line="240" w:lineRule="auto"/>
        <w:rPr>
          <w:rStyle w:val="Emphasis"/>
          <w:rFonts w:ascii="Arial" w:hAnsi="Arial" w:cs="Arial"/>
          <w:i w:val="0"/>
          <w:color w:val="373A3C"/>
          <w:sz w:val="24"/>
          <w:szCs w:val="21"/>
          <w:shd w:val="clear" w:color="auto" w:fill="FFFFFF"/>
        </w:rPr>
      </w:pPr>
      <w:r>
        <w:rPr>
          <w:rStyle w:val="Emphasis"/>
          <w:rFonts w:ascii="Arial" w:hAnsi="Arial" w:cs="Arial"/>
          <w:i w:val="0"/>
          <w:color w:val="373A3C"/>
          <w:sz w:val="24"/>
          <w:szCs w:val="21"/>
          <w:shd w:val="clear" w:color="auto" w:fill="FFFFFF"/>
        </w:rPr>
        <w:t>While critically analysing</w:t>
      </w:r>
      <w:r w:rsidR="00011FB3">
        <w:rPr>
          <w:rStyle w:val="Emphasis"/>
          <w:rFonts w:ascii="Arial" w:hAnsi="Arial" w:cs="Arial"/>
          <w:i w:val="0"/>
          <w:color w:val="373A3C"/>
          <w:sz w:val="24"/>
          <w:szCs w:val="21"/>
          <w:shd w:val="clear" w:color="auto" w:fill="FFFFFF"/>
        </w:rPr>
        <w:t xml:space="preserve"> ancient sources is an absolutely essential part </w:t>
      </w:r>
      <w:r>
        <w:rPr>
          <w:rStyle w:val="Emphasis"/>
          <w:rFonts w:ascii="Arial" w:hAnsi="Arial" w:cs="Arial"/>
          <w:i w:val="0"/>
          <w:color w:val="373A3C"/>
          <w:sz w:val="24"/>
          <w:szCs w:val="21"/>
          <w:shd w:val="clear" w:color="auto" w:fill="FFFFFF"/>
        </w:rPr>
        <w:t>of understanding whether or not Boudicca exists and how much of a role she truly played if she did, it is also vital to take more modern scholarship in to account in order to fully answer the questions on how much we truly know about the reliability of what we know and the evidence available to us. Modern scholarship presents many of the same problems around this topic, including the inconsistencies between authors. Some modern scholars even try to come up wi</w:t>
      </w:r>
      <w:r w:rsidR="008C10F7">
        <w:rPr>
          <w:rStyle w:val="Emphasis"/>
          <w:rFonts w:ascii="Arial" w:hAnsi="Arial" w:cs="Arial"/>
          <w:i w:val="0"/>
          <w:color w:val="373A3C"/>
          <w:sz w:val="24"/>
          <w:szCs w:val="21"/>
          <w:shd w:val="clear" w:color="auto" w:fill="FFFFFF"/>
        </w:rPr>
        <w:t>th new theories and ideas, such as Wacher who in his work “The Coming of Rome” follows up his earlier agreement with Tacitus by suggesting the possibility of influence of the Druids playing a much bigger part in the revolt that had first been thought.</w:t>
      </w:r>
      <w:r w:rsidR="008C10F7">
        <w:rPr>
          <w:rStyle w:val="FootnoteReference"/>
          <w:rFonts w:ascii="Arial" w:hAnsi="Arial" w:cs="Arial"/>
          <w:iCs/>
          <w:color w:val="373A3C"/>
          <w:sz w:val="24"/>
          <w:szCs w:val="21"/>
          <w:shd w:val="clear" w:color="auto" w:fill="FFFFFF"/>
        </w:rPr>
        <w:footnoteReference w:id="9"/>
      </w:r>
      <w:r w:rsidR="008C10F7">
        <w:rPr>
          <w:rStyle w:val="Emphasis"/>
          <w:rFonts w:ascii="Arial" w:hAnsi="Arial" w:cs="Arial"/>
          <w:i w:val="0"/>
          <w:color w:val="373A3C"/>
          <w:sz w:val="24"/>
          <w:szCs w:val="21"/>
          <w:shd w:val="clear" w:color="auto" w:fill="FFFFFF"/>
        </w:rPr>
        <w:t xml:space="preserve"> While this is certainly an interesting idea to think about, it is important to be careful when taking in new ideas and think about the evidence we have to support the argument. Neither Dio nor Tacitus mentions a significant Druidic influence laying behind the reasoning </w:t>
      </w:r>
      <w:r w:rsidR="008C10F7">
        <w:rPr>
          <w:rStyle w:val="Emphasis"/>
          <w:rFonts w:ascii="Arial" w:hAnsi="Arial" w:cs="Arial"/>
          <w:i w:val="0"/>
          <w:color w:val="373A3C"/>
          <w:sz w:val="24"/>
          <w:szCs w:val="21"/>
          <w:shd w:val="clear" w:color="auto" w:fill="FFFFFF"/>
        </w:rPr>
        <w:lastRenderedPageBreak/>
        <w:t>for the revolt, nor is there any solid archaeological evidence to support these claims.</w:t>
      </w:r>
      <w:r w:rsidR="00B7476E">
        <w:rPr>
          <w:rStyle w:val="FootnoteReference"/>
          <w:rFonts w:ascii="Arial" w:hAnsi="Arial" w:cs="Arial"/>
          <w:iCs/>
          <w:color w:val="373A3C"/>
          <w:sz w:val="24"/>
          <w:szCs w:val="21"/>
          <w:shd w:val="clear" w:color="auto" w:fill="FFFFFF"/>
        </w:rPr>
        <w:footnoteReference w:id="10"/>
      </w:r>
    </w:p>
    <w:p w:rsidR="00CF322A" w:rsidRDefault="00BD21CE" w:rsidP="00752DDB">
      <w:pPr>
        <w:spacing w:line="240" w:lineRule="auto"/>
        <w:rPr>
          <w:rStyle w:val="Emphasis"/>
          <w:rFonts w:ascii="Arial" w:hAnsi="Arial" w:cs="Arial"/>
          <w:i w:val="0"/>
          <w:color w:val="373A3C"/>
          <w:sz w:val="24"/>
          <w:szCs w:val="21"/>
          <w:shd w:val="clear" w:color="auto" w:fill="FFFFFF"/>
        </w:rPr>
      </w:pPr>
      <w:r>
        <w:rPr>
          <w:rStyle w:val="Emphasis"/>
          <w:rFonts w:ascii="Arial" w:hAnsi="Arial" w:cs="Arial"/>
          <w:i w:val="0"/>
          <w:color w:val="373A3C"/>
          <w:sz w:val="24"/>
          <w:szCs w:val="21"/>
          <w:shd w:val="clear" w:color="auto" w:fill="FFFFFF"/>
        </w:rPr>
        <w:t>This point highlights the importance that archaeological evidence plays in critically discussing the question of Boudicca. While it is undeniable that written evidence is vital in helping us to understand the past, it is archaeological evidence that helps us prove these written assertions and prove for ourselves whether or not these things happened. [?] In relation to Boudicca, we have some but little archaeological evidence that may give us some clues as to what was really going on at the time.</w:t>
      </w:r>
      <w:r w:rsidR="000612F9">
        <w:rPr>
          <w:rStyle w:val="Emphasis"/>
          <w:rFonts w:ascii="Arial" w:hAnsi="Arial" w:cs="Arial"/>
          <w:i w:val="0"/>
          <w:color w:val="373A3C"/>
          <w:sz w:val="24"/>
          <w:szCs w:val="21"/>
          <w:shd w:val="clear" w:color="auto" w:fill="FFFFFF"/>
        </w:rPr>
        <w:t xml:space="preserve"> One of the most significant examples is the destruction of Camulodunum.</w:t>
      </w:r>
      <w:r w:rsidR="000612F9">
        <w:rPr>
          <w:rStyle w:val="FootnoteReference"/>
          <w:rFonts w:ascii="Arial" w:hAnsi="Arial" w:cs="Arial"/>
          <w:iCs/>
          <w:color w:val="373A3C"/>
          <w:sz w:val="24"/>
          <w:szCs w:val="21"/>
          <w:shd w:val="clear" w:color="auto" w:fill="FFFFFF"/>
        </w:rPr>
        <w:footnoteReference w:id="11"/>
      </w:r>
      <w:r w:rsidR="000612F9">
        <w:rPr>
          <w:rStyle w:val="Emphasis"/>
          <w:rFonts w:ascii="Arial" w:hAnsi="Arial" w:cs="Arial"/>
          <w:i w:val="0"/>
          <w:color w:val="373A3C"/>
          <w:sz w:val="24"/>
          <w:szCs w:val="21"/>
          <w:shd w:val="clear" w:color="auto" w:fill="FFFFFF"/>
        </w:rPr>
        <w:t xml:space="preserve"> Without question, there is clear archaeological evidence of fire and destruction at the site around the same time Boudicca is alleged to have destroyed it.</w:t>
      </w:r>
      <w:r w:rsidR="000612F9">
        <w:rPr>
          <w:rStyle w:val="FootnoteReference"/>
          <w:rFonts w:ascii="Arial" w:hAnsi="Arial" w:cs="Arial"/>
          <w:iCs/>
          <w:color w:val="373A3C"/>
          <w:sz w:val="24"/>
          <w:szCs w:val="21"/>
          <w:shd w:val="clear" w:color="auto" w:fill="FFFFFF"/>
        </w:rPr>
        <w:footnoteReference w:id="12"/>
      </w:r>
      <w:r w:rsidR="000612F9">
        <w:rPr>
          <w:rStyle w:val="Emphasis"/>
          <w:rFonts w:ascii="Arial" w:hAnsi="Arial" w:cs="Arial"/>
          <w:i w:val="0"/>
          <w:color w:val="373A3C"/>
          <w:sz w:val="24"/>
          <w:szCs w:val="21"/>
          <w:shd w:val="clear" w:color="auto" w:fill="FFFFFF"/>
        </w:rPr>
        <w:t xml:space="preserve"> However, what is not so clear is what exactly were the causes and reasoning behind this destruction.</w:t>
      </w:r>
      <w:r w:rsidR="00A7709B">
        <w:rPr>
          <w:rStyle w:val="Emphasis"/>
          <w:rFonts w:ascii="Arial" w:hAnsi="Arial" w:cs="Arial"/>
          <w:i w:val="0"/>
          <w:color w:val="373A3C"/>
          <w:sz w:val="24"/>
          <w:szCs w:val="21"/>
          <w:shd w:val="clear" w:color="auto" w:fill="FFFFFF"/>
        </w:rPr>
        <w:t xml:space="preserve"> While some modern authors, such as Wilson, make the point that one should assume these damages were caused by the followers of Boudicca, one must be extremely critical and cautious of claims of this sort.</w:t>
      </w:r>
      <w:r w:rsidR="00A7709B">
        <w:rPr>
          <w:rStyle w:val="FootnoteReference"/>
          <w:rFonts w:ascii="Arial" w:hAnsi="Arial" w:cs="Arial"/>
          <w:iCs/>
          <w:color w:val="373A3C"/>
          <w:sz w:val="24"/>
          <w:szCs w:val="21"/>
          <w:shd w:val="clear" w:color="auto" w:fill="FFFFFF"/>
        </w:rPr>
        <w:footnoteReference w:id="13"/>
      </w:r>
      <w:r w:rsidR="000612F9">
        <w:rPr>
          <w:rStyle w:val="Emphasis"/>
          <w:rFonts w:ascii="Arial" w:hAnsi="Arial" w:cs="Arial"/>
          <w:i w:val="0"/>
          <w:color w:val="373A3C"/>
          <w:sz w:val="24"/>
          <w:szCs w:val="21"/>
          <w:shd w:val="clear" w:color="auto" w:fill="FFFFFF"/>
        </w:rPr>
        <w:t xml:space="preserve"> </w:t>
      </w:r>
      <w:r w:rsidR="009F3125">
        <w:rPr>
          <w:rStyle w:val="Emphasis"/>
          <w:rFonts w:ascii="Arial" w:hAnsi="Arial" w:cs="Arial"/>
          <w:i w:val="0"/>
          <w:color w:val="373A3C"/>
          <w:sz w:val="24"/>
          <w:szCs w:val="21"/>
          <w:shd w:val="clear" w:color="auto" w:fill="FFFFFF"/>
        </w:rPr>
        <w:t xml:space="preserve">Although we may be told that it was indeed Boudicca who marched through Camulodunum </w:t>
      </w:r>
      <w:r w:rsidR="00A7709B">
        <w:rPr>
          <w:rStyle w:val="Emphasis"/>
          <w:rFonts w:ascii="Arial" w:hAnsi="Arial" w:cs="Arial"/>
          <w:i w:val="0"/>
          <w:color w:val="373A3C"/>
          <w:sz w:val="24"/>
          <w:szCs w:val="21"/>
          <w:shd w:val="clear" w:color="auto" w:fill="FFFFFF"/>
        </w:rPr>
        <w:t>with her army destroying everything in their path, it can’t be definitively linked to Boudicca bas</w:t>
      </w:r>
      <w:r w:rsidR="00CF322A">
        <w:rPr>
          <w:rStyle w:val="Emphasis"/>
          <w:rFonts w:ascii="Arial" w:hAnsi="Arial" w:cs="Arial"/>
          <w:i w:val="0"/>
          <w:color w:val="373A3C"/>
          <w:sz w:val="24"/>
          <w:szCs w:val="21"/>
          <w:shd w:val="clear" w:color="auto" w:fill="FFFFFF"/>
        </w:rPr>
        <w:t>ed on the evidence that exists. The only thing we know for certain is that there is evidence of destruction, nothing else. Therefore to assume that this was the result of the army of Boudicca would be jumping to conclusions. There are many theories that the damage was caused by a different group of people around the same time, or even that it was not an attack at all and simply a fire that got out of hand.</w:t>
      </w:r>
      <w:r w:rsidR="00CF322A">
        <w:rPr>
          <w:rStyle w:val="FootnoteReference"/>
          <w:rFonts w:ascii="Arial" w:hAnsi="Arial" w:cs="Arial"/>
          <w:iCs/>
          <w:color w:val="373A3C"/>
          <w:sz w:val="24"/>
          <w:szCs w:val="21"/>
          <w:shd w:val="clear" w:color="auto" w:fill="FFFFFF"/>
        </w:rPr>
        <w:footnoteReference w:id="14"/>
      </w:r>
      <w:r w:rsidR="00D057C7">
        <w:rPr>
          <w:rStyle w:val="Emphasis"/>
          <w:rFonts w:ascii="Arial" w:hAnsi="Arial" w:cs="Arial"/>
          <w:i w:val="0"/>
          <w:color w:val="373A3C"/>
          <w:sz w:val="24"/>
          <w:szCs w:val="21"/>
          <w:shd w:val="clear" w:color="auto" w:fill="FFFFFF"/>
        </w:rPr>
        <w:t xml:space="preserve"> </w:t>
      </w:r>
      <w:r w:rsidR="00971782">
        <w:rPr>
          <w:rStyle w:val="Emphasis"/>
          <w:rFonts w:ascii="Arial" w:hAnsi="Arial" w:cs="Arial"/>
          <w:i w:val="0"/>
          <w:color w:val="373A3C"/>
          <w:sz w:val="24"/>
          <w:szCs w:val="21"/>
          <w:shd w:val="clear" w:color="auto" w:fill="FFFFFF"/>
        </w:rPr>
        <w:t>Another example of this same point is the later sacking, apparently by the forces of Boudicca, of Verulamium. Much like the previous example, this site features a lot of damage that is attributed to her but in reality we have little physical evidence to prove without doubt the exact causes of this damage.</w:t>
      </w:r>
      <w:r w:rsidR="00971782">
        <w:rPr>
          <w:rStyle w:val="FootnoteReference"/>
          <w:rFonts w:ascii="Arial" w:hAnsi="Arial" w:cs="Arial"/>
          <w:iCs/>
          <w:color w:val="373A3C"/>
          <w:sz w:val="24"/>
          <w:szCs w:val="21"/>
          <w:shd w:val="clear" w:color="auto" w:fill="FFFFFF"/>
        </w:rPr>
        <w:footnoteReference w:id="15"/>
      </w:r>
      <w:r w:rsidR="00971782">
        <w:rPr>
          <w:rStyle w:val="Emphasis"/>
          <w:rFonts w:ascii="Arial" w:hAnsi="Arial" w:cs="Arial"/>
          <w:i w:val="0"/>
          <w:color w:val="373A3C"/>
          <w:sz w:val="24"/>
          <w:szCs w:val="21"/>
          <w:shd w:val="clear" w:color="auto" w:fill="FFFFFF"/>
        </w:rPr>
        <w:t xml:space="preserve"> </w:t>
      </w:r>
      <w:r w:rsidR="00F65ABE">
        <w:rPr>
          <w:rStyle w:val="Emphasis"/>
          <w:rFonts w:ascii="Arial" w:hAnsi="Arial" w:cs="Arial"/>
          <w:i w:val="0"/>
          <w:color w:val="373A3C"/>
          <w:sz w:val="24"/>
          <w:szCs w:val="21"/>
          <w:shd w:val="clear" w:color="auto" w:fill="FFFFFF"/>
        </w:rPr>
        <w:t>All of these ideas must be</w:t>
      </w:r>
      <w:r w:rsidR="00D057C7">
        <w:rPr>
          <w:rStyle w:val="Emphasis"/>
          <w:rFonts w:ascii="Arial" w:hAnsi="Arial" w:cs="Arial"/>
          <w:i w:val="0"/>
          <w:color w:val="373A3C"/>
          <w:sz w:val="24"/>
          <w:szCs w:val="21"/>
          <w:shd w:val="clear" w:color="auto" w:fill="FFFFFF"/>
        </w:rPr>
        <w:t xml:space="preserve"> thought about critically and compared with the evidence available to us. </w:t>
      </w:r>
    </w:p>
    <w:p w:rsidR="001E7D17" w:rsidRDefault="001E7D17" w:rsidP="00752DDB">
      <w:pPr>
        <w:spacing w:line="240" w:lineRule="auto"/>
        <w:rPr>
          <w:rStyle w:val="Emphasis"/>
          <w:rFonts w:ascii="Arial" w:hAnsi="Arial" w:cs="Arial"/>
          <w:i w:val="0"/>
          <w:color w:val="373A3C"/>
          <w:sz w:val="24"/>
          <w:szCs w:val="21"/>
          <w:shd w:val="clear" w:color="auto" w:fill="FFFFFF"/>
        </w:rPr>
      </w:pPr>
      <w:r>
        <w:rPr>
          <w:rStyle w:val="Emphasis"/>
          <w:rFonts w:ascii="Arial" w:hAnsi="Arial" w:cs="Arial"/>
          <w:i w:val="0"/>
          <w:color w:val="373A3C"/>
          <w:sz w:val="24"/>
          <w:szCs w:val="21"/>
          <w:shd w:val="clear" w:color="auto" w:fill="FFFFFF"/>
        </w:rPr>
        <w:t>When considering the question of how well our written sources align with the archaeological evidence currently available, one must also consider the reasons and motives why the</w:t>
      </w:r>
      <w:r w:rsidR="00AB5593">
        <w:rPr>
          <w:rStyle w:val="Emphasis"/>
          <w:rFonts w:ascii="Arial" w:hAnsi="Arial" w:cs="Arial"/>
          <w:i w:val="0"/>
          <w:color w:val="373A3C"/>
          <w:sz w:val="24"/>
          <w:szCs w:val="21"/>
          <w:shd w:val="clear" w:color="auto" w:fill="FFFFFF"/>
        </w:rPr>
        <w:t>re may be these inconsistencies. A key component in why there may be these differences between sources is the question of whether or not the author of the written works had a motive to give a certain perspective. Although I touched on this in a more general sense in relation to Tacitus and Cassius Dio, I will now turn my attention more directly to Boudicca and the reasons surrounding the specific case. As earlier mentioned, Dio was a Greek man living years after the event; the chances of him being particularly politically motivated on this subject are slim. Tacitus, however, would have been extremely politically motivated while he was writing his works.</w:t>
      </w:r>
      <w:r w:rsidR="00AB5593">
        <w:rPr>
          <w:rStyle w:val="FootnoteReference"/>
          <w:rFonts w:ascii="Arial" w:hAnsi="Arial" w:cs="Arial"/>
          <w:iCs/>
          <w:color w:val="373A3C"/>
          <w:sz w:val="24"/>
          <w:szCs w:val="21"/>
          <w:shd w:val="clear" w:color="auto" w:fill="FFFFFF"/>
        </w:rPr>
        <w:footnoteReference w:id="16"/>
      </w:r>
      <w:r w:rsidR="00AB5593">
        <w:rPr>
          <w:rStyle w:val="Emphasis"/>
          <w:rFonts w:ascii="Arial" w:hAnsi="Arial" w:cs="Arial"/>
          <w:i w:val="0"/>
          <w:color w:val="373A3C"/>
          <w:sz w:val="24"/>
          <w:szCs w:val="21"/>
          <w:shd w:val="clear" w:color="auto" w:fill="FFFFFF"/>
        </w:rPr>
        <w:t xml:space="preserve"> </w:t>
      </w:r>
      <w:r w:rsidR="005E458B">
        <w:rPr>
          <w:rStyle w:val="Emphasis"/>
          <w:rFonts w:ascii="Arial" w:hAnsi="Arial" w:cs="Arial"/>
          <w:i w:val="0"/>
          <w:color w:val="373A3C"/>
          <w:sz w:val="24"/>
          <w:szCs w:val="21"/>
          <w:shd w:val="clear" w:color="auto" w:fill="FFFFFF"/>
        </w:rPr>
        <w:t xml:space="preserve">Tacitus was no fan of the emperor and, perhaps unlike some other Roman authors, </w:t>
      </w:r>
      <w:r w:rsidR="00A6528F">
        <w:rPr>
          <w:rStyle w:val="Emphasis"/>
          <w:rFonts w:ascii="Arial" w:hAnsi="Arial" w:cs="Arial"/>
          <w:i w:val="0"/>
          <w:color w:val="373A3C"/>
          <w:sz w:val="24"/>
          <w:szCs w:val="21"/>
          <w:shd w:val="clear" w:color="auto" w:fill="FFFFFF"/>
        </w:rPr>
        <w:t xml:space="preserve">would not have felt inclined to write in support of the Principate for propaganda purposes. On the contrary, it is often claimed that Tacitus would have been much more inclined to write negatively of the Principate and the successes of the emperor for those very same propaganda purposes. Tacitus was by no means a </w:t>
      </w:r>
      <w:r w:rsidR="00A6528F">
        <w:rPr>
          <w:rStyle w:val="Emphasis"/>
          <w:rFonts w:ascii="Arial" w:hAnsi="Arial" w:cs="Arial"/>
          <w:i w:val="0"/>
          <w:color w:val="373A3C"/>
          <w:sz w:val="24"/>
          <w:szCs w:val="21"/>
          <w:shd w:val="clear" w:color="auto" w:fill="FFFFFF"/>
        </w:rPr>
        <w:lastRenderedPageBreak/>
        <w:t>quiet critic of the emperor, he wanted his views on the matter to be known.</w:t>
      </w:r>
      <w:r w:rsidR="00381E83">
        <w:rPr>
          <w:rStyle w:val="FootnoteReference"/>
          <w:rFonts w:ascii="Arial" w:hAnsi="Arial" w:cs="Arial"/>
          <w:iCs/>
          <w:color w:val="373A3C"/>
          <w:sz w:val="24"/>
          <w:szCs w:val="21"/>
          <w:shd w:val="clear" w:color="auto" w:fill="FFFFFF"/>
        </w:rPr>
        <w:footnoteReference w:id="17"/>
      </w:r>
      <w:r w:rsidR="00A6528F">
        <w:rPr>
          <w:rStyle w:val="Emphasis"/>
          <w:rFonts w:ascii="Arial" w:hAnsi="Arial" w:cs="Arial"/>
          <w:i w:val="0"/>
          <w:color w:val="373A3C"/>
          <w:sz w:val="24"/>
          <w:szCs w:val="21"/>
          <w:shd w:val="clear" w:color="auto" w:fill="FFFFFF"/>
        </w:rPr>
        <w:t xml:space="preserve"> </w:t>
      </w:r>
      <w:r w:rsidR="00381E83">
        <w:rPr>
          <w:rStyle w:val="Emphasis"/>
          <w:rFonts w:ascii="Arial" w:hAnsi="Arial" w:cs="Arial"/>
          <w:i w:val="0"/>
          <w:color w:val="373A3C"/>
          <w:sz w:val="24"/>
          <w:szCs w:val="21"/>
          <w:shd w:val="clear" w:color="auto" w:fill="FFFFFF"/>
        </w:rPr>
        <w:t xml:space="preserve">It is therefore fair to raise the question of just how reliable are these accounts from this particular story in relation to Boudicca. </w:t>
      </w:r>
      <w:r w:rsidR="008406C2">
        <w:rPr>
          <w:rStyle w:val="Emphasis"/>
          <w:rFonts w:ascii="Arial" w:hAnsi="Arial" w:cs="Arial"/>
          <w:i w:val="0"/>
          <w:color w:val="373A3C"/>
          <w:sz w:val="24"/>
          <w:szCs w:val="21"/>
          <w:shd w:val="clear" w:color="auto" w:fill="FFFFFF"/>
        </w:rPr>
        <w:t>One of the things Tacitus enjoyed most was to manipulate the activities of the empire in order to make the emperor look weak.</w:t>
      </w:r>
      <w:r w:rsidR="008406C2">
        <w:rPr>
          <w:rStyle w:val="FootnoteReference"/>
          <w:rFonts w:ascii="Arial" w:hAnsi="Arial" w:cs="Arial"/>
          <w:iCs/>
          <w:color w:val="373A3C"/>
          <w:sz w:val="24"/>
          <w:szCs w:val="21"/>
          <w:shd w:val="clear" w:color="auto" w:fill="FFFFFF"/>
        </w:rPr>
        <w:footnoteReference w:id="18"/>
      </w:r>
      <w:r w:rsidR="007D03A4">
        <w:rPr>
          <w:rStyle w:val="Emphasis"/>
          <w:rFonts w:ascii="Arial" w:hAnsi="Arial" w:cs="Arial"/>
          <w:i w:val="0"/>
          <w:color w:val="373A3C"/>
          <w:sz w:val="24"/>
          <w:szCs w:val="21"/>
          <w:shd w:val="clear" w:color="auto" w:fill="FFFFFF"/>
        </w:rPr>
        <w:t xml:space="preserve"> For this reason, one must be cautious when reading his work. It has been suggested by many modern scholars that there is the strong possibility that Tacitus may exaggerate his claims and assertions for these propaganda purposes.</w:t>
      </w:r>
      <w:r w:rsidR="00B212D6">
        <w:rPr>
          <w:rStyle w:val="FootnoteReference"/>
          <w:rFonts w:ascii="Arial" w:hAnsi="Arial" w:cs="Arial"/>
          <w:iCs/>
          <w:color w:val="373A3C"/>
          <w:sz w:val="24"/>
          <w:szCs w:val="21"/>
          <w:shd w:val="clear" w:color="auto" w:fill="FFFFFF"/>
        </w:rPr>
        <w:footnoteReference w:id="19"/>
      </w:r>
      <w:r w:rsidR="007D03A4">
        <w:rPr>
          <w:rStyle w:val="Emphasis"/>
          <w:rFonts w:ascii="Arial" w:hAnsi="Arial" w:cs="Arial"/>
          <w:i w:val="0"/>
          <w:color w:val="373A3C"/>
          <w:sz w:val="24"/>
          <w:szCs w:val="21"/>
          <w:shd w:val="clear" w:color="auto" w:fill="FFFFFF"/>
        </w:rPr>
        <w:t xml:space="preserve"> This is a particularly pertinent point in regard to his narrative of Boudicca. </w:t>
      </w:r>
      <w:r w:rsidR="00B212D6">
        <w:rPr>
          <w:rStyle w:val="Emphasis"/>
          <w:rFonts w:ascii="Arial" w:hAnsi="Arial" w:cs="Arial"/>
          <w:i w:val="0"/>
          <w:color w:val="373A3C"/>
          <w:sz w:val="24"/>
          <w:szCs w:val="21"/>
          <w:shd w:val="clear" w:color="auto" w:fill="FFFFFF"/>
        </w:rPr>
        <w:t>It would be extremely humiliating for any emperor of that time period to be made out to be bested by a woman such as Boudicca. Although Boudicca does die throughout the rebellion, even if the cause is debated among scholars, the narrative portrayed by Tacitus implies that the rebellion was a real challenge for the Romans and that she did not go down without putting up a good fight.</w:t>
      </w:r>
      <w:r w:rsidR="00B212D6">
        <w:rPr>
          <w:rStyle w:val="FootnoteReference"/>
          <w:rFonts w:ascii="Arial" w:hAnsi="Arial" w:cs="Arial"/>
          <w:iCs/>
          <w:color w:val="373A3C"/>
          <w:sz w:val="24"/>
          <w:szCs w:val="21"/>
          <w:shd w:val="clear" w:color="auto" w:fill="FFFFFF"/>
        </w:rPr>
        <w:footnoteReference w:id="20"/>
      </w:r>
      <w:r w:rsidR="00B212D6">
        <w:rPr>
          <w:rStyle w:val="Emphasis"/>
          <w:rFonts w:ascii="Arial" w:hAnsi="Arial" w:cs="Arial"/>
          <w:i w:val="0"/>
          <w:color w:val="373A3C"/>
          <w:sz w:val="24"/>
          <w:szCs w:val="21"/>
          <w:shd w:val="clear" w:color="auto" w:fill="FFFFFF"/>
        </w:rPr>
        <w:t xml:space="preserve"> This is an important point to make as </w:t>
      </w:r>
      <w:r w:rsidR="00DB6446">
        <w:rPr>
          <w:rStyle w:val="Emphasis"/>
          <w:rFonts w:ascii="Arial" w:hAnsi="Arial" w:cs="Arial"/>
          <w:i w:val="0"/>
          <w:color w:val="373A3C"/>
          <w:sz w:val="24"/>
          <w:szCs w:val="21"/>
          <w:shd w:val="clear" w:color="auto" w:fill="FFFFFF"/>
        </w:rPr>
        <w:t>the account of Tacitus makes a point of highlighting this courage and bravery on the part of the people of Britain more than any other source available to us.</w:t>
      </w:r>
      <w:r w:rsidR="004131E3">
        <w:rPr>
          <w:rStyle w:val="Emphasis"/>
          <w:rFonts w:ascii="Arial" w:hAnsi="Arial" w:cs="Arial"/>
          <w:i w:val="0"/>
          <w:color w:val="373A3C"/>
          <w:sz w:val="24"/>
          <w:szCs w:val="21"/>
          <w:shd w:val="clear" w:color="auto" w:fill="FFFFFF"/>
        </w:rPr>
        <w:t xml:space="preserve"> Therefore, while it is important to remember Tacitus as our most contemporary account on the events of Boudicca and her life from the time, it is also vital to be critical of what his possible motives would have been when documenting this rebellion to the empire of Nero.</w:t>
      </w:r>
      <w:r w:rsidR="00FE7BFC">
        <w:rPr>
          <w:rStyle w:val="Emphasis"/>
          <w:rFonts w:ascii="Arial" w:hAnsi="Arial" w:cs="Arial"/>
          <w:i w:val="0"/>
          <w:color w:val="373A3C"/>
          <w:sz w:val="24"/>
          <w:szCs w:val="21"/>
          <w:shd w:val="clear" w:color="auto" w:fill="FFFFFF"/>
        </w:rPr>
        <w:t xml:space="preserve"> Exaggerating the achievements of a rebellion certainly would have aided Tacitus in the aims he was seeking and it is indeed interesting to consider the question of whether or not Boudicca ever existed at all; some sources have claimed that she is nothing more than a literary invention on behalf of Tacitus and others sympathetic to his view in order to undermine the emperor and show just how incapable the emperor was of even quickly and easily putting down a rebellion being led by a widowed woman.</w:t>
      </w:r>
      <w:r w:rsidR="00FE7BFC">
        <w:rPr>
          <w:rStyle w:val="FootnoteReference"/>
          <w:rFonts w:ascii="Arial" w:hAnsi="Arial" w:cs="Arial"/>
          <w:iCs/>
          <w:color w:val="373A3C"/>
          <w:sz w:val="24"/>
          <w:szCs w:val="21"/>
          <w:shd w:val="clear" w:color="auto" w:fill="FFFFFF"/>
        </w:rPr>
        <w:footnoteReference w:id="21"/>
      </w:r>
    </w:p>
    <w:p w:rsidR="00FE7BFC" w:rsidRDefault="00FE7BFC" w:rsidP="00752DDB">
      <w:pPr>
        <w:spacing w:line="240" w:lineRule="auto"/>
        <w:rPr>
          <w:rStyle w:val="Emphasis"/>
          <w:rFonts w:ascii="Arial" w:hAnsi="Arial" w:cs="Arial"/>
          <w:i w:val="0"/>
          <w:color w:val="373A3C"/>
          <w:sz w:val="24"/>
          <w:szCs w:val="21"/>
          <w:shd w:val="clear" w:color="auto" w:fill="FFFFFF"/>
        </w:rPr>
      </w:pPr>
      <w:r>
        <w:rPr>
          <w:rStyle w:val="Emphasis"/>
          <w:rFonts w:ascii="Arial" w:hAnsi="Arial" w:cs="Arial"/>
          <w:i w:val="0"/>
          <w:color w:val="373A3C"/>
          <w:sz w:val="24"/>
          <w:szCs w:val="21"/>
          <w:shd w:val="clear" w:color="auto" w:fill="FFFFFF"/>
        </w:rPr>
        <w:t>All of these problems and inconsistencies between different forms of evidence raise many questions about what actually happened during the lifetime of Boudicca, whether or not she was as much of an important historical figure as she is portrayed to be</w:t>
      </w:r>
      <w:r w:rsidR="00077BC5">
        <w:rPr>
          <w:rStyle w:val="Emphasis"/>
          <w:rFonts w:ascii="Arial" w:hAnsi="Arial" w:cs="Arial"/>
          <w:i w:val="0"/>
          <w:color w:val="373A3C"/>
          <w:sz w:val="24"/>
          <w:szCs w:val="21"/>
          <w:shd w:val="clear" w:color="auto" w:fill="FFFFFF"/>
        </w:rPr>
        <w:t xml:space="preserve"> and indeed whether or not Boudicca even existed at all. Some authors have argued that it is impossible to say that such a person exists when ancient sources and references cannot even agree on the spelling of her name.</w:t>
      </w:r>
      <w:r w:rsidR="00077BC5">
        <w:rPr>
          <w:rStyle w:val="FootnoteReference"/>
          <w:rFonts w:ascii="Arial" w:hAnsi="Arial" w:cs="Arial"/>
          <w:iCs/>
          <w:color w:val="373A3C"/>
          <w:sz w:val="24"/>
          <w:szCs w:val="21"/>
          <w:shd w:val="clear" w:color="auto" w:fill="FFFFFF"/>
        </w:rPr>
        <w:footnoteReference w:id="22"/>
      </w:r>
      <w:r w:rsidR="00077BC5">
        <w:rPr>
          <w:rStyle w:val="Emphasis"/>
          <w:rFonts w:ascii="Arial" w:hAnsi="Arial" w:cs="Arial"/>
          <w:i w:val="0"/>
          <w:color w:val="373A3C"/>
          <w:sz w:val="24"/>
          <w:szCs w:val="21"/>
          <w:shd w:val="clear" w:color="auto" w:fill="FFFFFF"/>
        </w:rPr>
        <w:t xml:space="preserve"> </w:t>
      </w:r>
      <w:r w:rsidR="00E14AB4">
        <w:rPr>
          <w:rStyle w:val="Emphasis"/>
          <w:rFonts w:ascii="Arial" w:hAnsi="Arial" w:cs="Arial"/>
          <w:i w:val="0"/>
          <w:color w:val="373A3C"/>
          <w:sz w:val="24"/>
          <w:szCs w:val="21"/>
          <w:shd w:val="clear" w:color="auto" w:fill="FFFFFF"/>
        </w:rPr>
        <w:t>It is however important to be critical of these views as this can be attributed to language differences or simple miscommunication.</w:t>
      </w:r>
    </w:p>
    <w:p w:rsidR="00E14AB4" w:rsidRDefault="00E14AB4" w:rsidP="00752DDB">
      <w:pPr>
        <w:spacing w:line="240" w:lineRule="auto"/>
        <w:rPr>
          <w:rStyle w:val="Emphasis"/>
          <w:rFonts w:ascii="Arial" w:hAnsi="Arial" w:cs="Arial"/>
          <w:i w:val="0"/>
          <w:color w:val="373A3C"/>
          <w:sz w:val="24"/>
          <w:szCs w:val="21"/>
          <w:shd w:val="clear" w:color="auto" w:fill="FFFFFF"/>
        </w:rPr>
      </w:pPr>
      <w:r>
        <w:rPr>
          <w:rStyle w:val="Emphasis"/>
          <w:rFonts w:ascii="Arial" w:hAnsi="Arial" w:cs="Arial"/>
          <w:i w:val="0"/>
          <w:color w:val="373A3C"/>
          <w:sz w:val="24"/>
          <w:szCs w:val="21"/>
          <w:shd w:val="clear" w:color="auto" w:fill="FFFFFF"/>
        </w:rPr>
        <w:t xml:space="preserve">In conclusion, the story of Boudicca is certainly one riddled with inconsistencies and differences between written evidence and archaeology. </w:t>
      </w:r>
      <w:r w:rsidR="00A07EDE">
        <w:rPr>
          <w:rStyle w:val="Emphasis"/>
          <w:rFonts w:ascii="Arial" w:hAnsi="Arial" w:cs="Arial"/>
          <w:i w:val="0"/>
          <w:color w:val="373A3C"/>
          <w:sz w:val="24"/>
          <w:szCs w:val="21"/>
          <w:shd w:val="clear" w:color="auto" w:fill="FFFFFF"/>
        </w:rPr>
        <w:t xml:space="preserve">While it is easy to read Tacitus or Dio and come to the conclusion one is right and the other wrong, the sheer fact that these sources differ so greatly on some key details combined with the shaky archaeological evidence we have to demonstrate Boudicca’s existence and activities tell us that everything is not as it seems. Based on the evidence critically analysed throughout this essay, there seems to be far too many references to her name and coincidences to conclude that </w:t>
      </w:r>
      <w:r w:rsidR="0019282F">
        <w:rPr>
          <w:rStyle w:val="Emphasis"/>
          <w:rFonts w:ascii="Arial" w:hAnsi="Arial" w:cs="Arial"/>
          <w:i w:val="0"/>
          <w:color w:val="373A3C"/>
          <w:sz w:val="24"/>
          <w:szCs w:val="21"/>
          <w:shd w:val="clear" w:color="auto" w:fill="FFFFFF"/>
        </w:rPr>
        <w:t xml:space="preserve">she was nothing more than the fiction of anti-emperor propaganda. That being said, there is also not enough evidence to say for certain that the accounts we have for her activities throughout the period did in </w:t>
      </w:r>
      <w:r w:rsidR="0019282F">
        <w:rPr>
          <w:rStyle w:val="Emphasis"/>
          <w:rFonts w:ascii="Arial" w:hAnsi="Arial" w:cs="Arial"/>
          <w:i w:val="0"/>
          <w:color w:val="373A3C"/>
          <w:sz w:val="24"/>
          <w:szCs w:val="21"/>
          <w:shd w:val="clear" w:color="auto" w:fill="FFFFFF"/>
        </w:rPr>
        <w:lastRenderedPageBreak/>
        <w:t xml:space="preserve">fact happen in the way that is attributed to her. </w:t>
      </w:r>
      <w:r w:rsidR="00271505">
        <w:rPr>
          <w:rStyle w:val="Emphasis"/>
          <w:rFonts w:ascii="Arial" w:hAnsi="Arial" w:cs="Arial"/>
          <w:i w:val="0"/>
          <w:color w:val="373A3C"/>
          <w:sz w:val="24"/>
          <w:szCs w:val="21"/>
          <w:shd w:val="clear" w:color="auto" w:fill="FFFFFF"/>
        </w:rPr>
        <w:t xml:space="preserve">It is entirely possible that Boudicca did exist and did indeed revolt against the incoming Romans, but it’s just as possible these events were exaggerated or manipulated for the reasons highlighted in detail throughout this work. </w:t>
      </w:r>
      <w:r w:rsidR="009F5930">
        <w:rPr>
          <w:rStyle w:val="Emphasis"/>
          <w:rFonts w:ascii="Arial" w:hAnsi="Arial" w:cs="Arial"/>
          <w:i w:val="0"/>
          <w:color w:val="373A3C"/>
          <w:sz w:val="24"/>
          <w:szCs w:val="21"/>
          <w:shd w:val="clear" w:color="auto" w:fill="FFFFFF"/>
        </w:rPr>
        <w:t>Through critically analysing both Tacitus’ and Dio’s writings, it is easy to demonstrate the inconsistencies between the two and the political reasons for these changes. These changes are especially interesting to note when remembering that many modern scholars claim Tacitus was in fact a key resource for Dio when he was writing his own work.</w:t>
      </w:r>
      <w:r w:rsidR="009F5930">
        <w:rPr>
          <w:rStyle w:val="FootnoteReference"/>
          <w:rFonts w:ascii="Arial" w:hAnsi="Arial" w:cs="Arial"/>
          <w:iCs/>
          <w:color w:val="373A3C"/>
          <w:sz w:val="24"/>
          <w:szCs w:val="21"/>
          <w:shd w:val="clear" w:color="auto" w:fill="FFFFFF"/>
        </w:rPr>
        <w:footnoteReference w:id="23"/>
      </w:r>
      <w:r w:rsidR="00316BB4">
        <w:rPr>
          <w:rStyle w:val="Emphasis"/>
          <w:rFonts w:ascii="Arial" w:hAnsi="Arial" w:cs="Arial"/>
          <w:i w:val="0"/>
          <w:color w:val="373A3C"/>
          <w:sz w:val="24"/>
          <w:szCs w:val="21"/>
          <w:shd w:val="clear" w:color="auto" w:fill="FFFFFF"/>
        </w:rPr>
        <w:t xml:space="preserve"> While these constant contrasts between writers and archaeology means it is not possible to definitively say that without a doubt Boudicca was the strong, courageous and</w:t>
      </w:r>
      <w:r w:rsidR="004C5130">
        <w:rPr>
          <w:rStyle w:val="Emphasis"/>
          <w:rFonts w:ascii="Arial" w:hAnsi="Arial" w:cs="Arial"/>
          <w:i w:val="0"/>
          <w:color w:val="373A3C"/>
          <w:sz w:val="24"/>
          <w:szCs w:val="21"/>
          <w:shd w:val="clear" w:color="auto" w:fill="FFFFFF"/>
        </w:rPr>
        <w:t xml:space="preserve"> brave leader she is often portrayed as, the evidence and sources we do have as well as her lasting legacy shows us that a woman of that name did live in Britain around that time. What may indeed be a literary invention, however, is the legacy she left behind and just how much of a part she truly played in that legacy bestowed upon her.</w:t>
      </w: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rsidP="00752DDB">
      <w:pPr>
        <w:spacing w:line="240" w:lineRule="auto"/>
        <w:rPr>
          <w:rStyle w:val="Emphasis"/>
          <w:rFonts w:ascii="Arial" w:hAnsi="Arial" w:cs="Arial"/>
          <w:i w:val="0"/>
          <w:color w:val="373A3C"/>
          <w:sz w:val="24"/>
          <w:szCs w:val="21"/>
          <w:shd w:val="clear" w:color="auto" w:fill="FFFFFF"/>
        </w:rPr>
      </w:pPr>
    </w:p>
    <w:p w:rsidR="00C246DE" w:rsidRDefault="00C246DE">
      <w:pPr>
        <w:rPr>
          <w:i/>
          <w:sz w:val="24"/>
        </w:rPr>
      </w:pPr>
      <w:r>
        <w:rPr>
          <w:i/>
          <w:sz w:val="24"/>
        </w:rPr>
        <w:br w:type="page"/>
      </w:r>
    </w:p>
    <w:p w:rsidR="004D7A59" w:rsidRDefault="004D7A59" w:rsidP="00C246DE">
      <w:pPr>
        <w:spacing w:line="240" w:lineRule="auto"/>
        <w:jc w:val="center"/>
        <w:rPr>
          <w:b/>
          <w:sz w:val="28"/>
          <w:u w:val="single"/>
        </w:rPr>
      </w:pPr>
    </w:p>
    <w:p w:rsidR="00C246DE" w:rsidRPr="00C246DE" w:rsidRDefault="00C246DE" w:rsidP="00C246DE">
      <w:pPr>
        <w:spacing w:line="240" w:lineRule="auto"/>
        <w:jc w:val="center"/>
        <w:rPr>
          <w:b/>
          <w:sz w:val="28"/>
          <w:u w:val="single"/>
        </w:rPr>
      </w:pPr>
      <w:r w:rsidRPr="00C246DE">
        <w:rPr>
          <w:b/>
          <w:sz w:val="28"/>
          <w:u w:val="single"/>
        </w:rPr>
        <w:t>Bibliography</w:t>
      </w:r>
    </w:p>
    <w:p w:rsidR="00C246DE" w:rsidRPr="00C246DE" w:rsidRDefault="00C246DE" w:rsidP="00752DDB">
      <w:pPr>
        <w:spacing w:line="240" w:lineRule="auto"/>
        <w:rPr>
          <w:sz w:val="28"/>
          <w:u w:val="single"/>
        </w:rPr>
      </w:pPr>
    </w:p>
    <w:p w:rsidR="00C246DE" w:rsidRPr="00C246DE" w:rsidRDefault="00C246DE" w:rsidP="00752DDB">
      <w:pPr>
        <w:spacing w:line="240" w:lineRule="auto"/>
        <w:rPr>
          <w:sz w:val="28"/>
          <w:u w:val="single"/>
        </w:rPr>
      </w:pPr>
      <w:r w:rsidRPr="00C246DE">
        <w:rPr>
          <w:sz w:val="28"/>
          <w:u w:val="single"/>
        </w:rPr>
        <w:t>Ancient Sources</w:t>
      </w:r>
    </w:p>
    <w:p w:rsidR="00596CFD" w:rsidRDefault="00596CFD" w:rsidP="00752DDB">
      <w:pPr>
        <w:spacing w:line="240" w:lineRule="auto"/>
        <w:rPr>
          <w:sz w:val="28"/>
          <w:u w:val="single"/>
        </w:rPr>
      </w:pPr>
    </w:p>
    <w:p w:rsidR="00596CFD" w:rsidRPr="00596CFD" w:rsidRDefault="00596CFD" w:rsidP="00752DDB">
      <w:pPr>
        <w:spacing w:line="240" w:lineRule="auto"/>
        <w:rPr>
          <w:sz w:val="24"/>
        </w:rPr>
      </w:pPr>
      <w:r>
        <w:rPr>
          <w:sz w:val="24"/>
        </w:rPr>
        <w:t xml:space="preserve">Tacitus, </w:t>
      </w:r>
      <w:r>
        <w:rPr>
          <w:i/>
          <w:sz w:val="24"/>
        </w:rPr>
        <w:t xml:space="preserve">Annales. </w:t>
      </w:r>
      <w:r>
        <w:rPr>
          <w:sz w:val="24"/>
        </w:rPr>
        <w:t>A.J Church and W.J Brodribb (trans.). 1942. New York: RH Inc.</w:t>
      </w:r>
    </w:p>
    <w:p w:rsidR="00596CFD" w:rsidRDefault="00596CFD" w:rsidP="00752DDB">
      <w:pPr>
        <w:spacing w:line="240" w:lineRule="auto"/>
        <w:rPr>
          <w:sz w:val="24"/>
        </w:rPr>
      </w:pPr>
      <w:r>
        <w:rPr>
          <w:sz w:val="24"/>
        </w:rPr>
        <w:t xml:space="preserve">Tacitus, </w:t>
      </w:r>
      <w:r w:rsidRPr="00596CFD">
        <w:rPr>
          <w:i/>
          <w:sz w:val="24"/>
        </w:rPr>
        <w:t>Agricola</w:t>
      </w:r>
    </w:p>
    <w:p w:rsidR="00596CFD" w:rsidRPr="00596CFD" w:rsidRDefault="00596CFD" w:rsidP="00752DDB">
      <w:pPr>
        <w:spacing w:line="240" w:lineRule="auto"/>
        <w:rPr>
          <w:sz w:val="24"/>
        </w:rPr>
      </w:pPr>
      <w:r>
        <w:rPr>
          <w:sz w:val="24"/>
        </w:rPr>
        <w:t>Cassius Dio</w:t>
      </w:r>
      <w:r w:rsidR="00630115">
        <w:rPr>
          <w:sz w:val="24"/>
        </w:rPr>
        <w:t xml:space="preserve">, </w:t>
      </w:r>
      <w:r w:rsidR="00630115" w:rsidRPr="00630115">
        <w:rPr>
          <w:i/>
          <w:sz w:val="24"/>
        </w:rPr>
        <w:t>Roman History</w:t>
      </w:r>
      <w:r w:rsidR="00630115">
        <w:rPr>
          <w:sz w:val="24"/>
        </w:rPr>
        <w:t xml:space="preserve">. J Henderson and G.P </w:t>
      </w:r>
      <w:proofErr w:type="spellStart"/>
      <w:r w:rsidR="00630115">
        <w:rPr>
          <w:sz w:val="24"/>
        </w:rPr>
        <w:t>Goold</w:t>
      </w:r>
      <w:proofErr w:type="spellEnd"/>
      <w:r w:rsidR="00630115">
        <w:rPr>
          <w:sz w:val="24"/>
        </w:rPr>
        <w:t xml:space="preserve"> (trans.). 1925. London: St Edmundsbury Press</w:t>
      </w:r>
    </w:p>
    <w:p w:rsidR="00C246DE" w:rsidRDefault="00C246DE" w:rsidP="00752DDB">
      <w:pPr>
        <w:spacing w:line="240" w:lineRule="auto"/>
        <w:rPr>
          <w:sz w:val="28"/>
          <w:u w:val="single"/>
        </w:rPr>
      </w:pPr>
    </w:p>
    <w:p w:rsidR="00C246DE" w:rsidRDefault="00C246DE" w:rsidP="00752DDB">
      <w:pPr>
        <w:spacing w:line="240" w:lineRule="auto"/>
        <w:rPr>
          <w:sz w:val="28"/>
          <w:u w:val="single"/>
        </w:rPr>
      </w:pPr>
    </w:p>
    <w:p w:rsidR="00C246DE" w:rsidRDefault="00C246DE" w:rsidP="00752DDB">
      <w:pPr>
        <w:spacing w:line="240" w:lineRule="auto"/>
        <w:rPr>
          <w:sz w:val="28"/>
          <w:u w:val="single"/>
        </w:rPr>
      </w:pPr>
      <w:r w:rsidRPr="00C246DE">
        <w:rPr>
          <w:sz w:val="28"/>
          <w:u w:val="single"/>
        </w:rPr>
        <w:t>Modern Sources</w:t>
      </w:r>
    </w:p>
    <w:p w:rsidR="00C06D2B" w:rsidRDefault="00C06D2B" w:rsidP="00752DDB">
      <w:pPr>
        <w:spacing w:line="240" w:lineRule="auto"/>
        <w:rPr>
          <w:sz w:val="28"/>
          <w:u w:val="single"/>
        </w:rPr>
      </w:pPr>
    </w:p>
    <w:p w:rsidR="0008342F" w:rsidRDefault="0008342F" w:rsidP="00752DDB">
      <w:pPr>
        <w:spacing w:line="240" w:lineRule="auto"/>
        <w:rPr>
          <w:sz w:val="24"/>
        </w:rPr>
      </w:pPr>
      <w:r>
        <w:rPr>
          <w:sz w:val="24"/>
        </w:rPr>
        <w:t xml:space="preserve">Dudley, D and Webster, G. 1962. </w:t>
      </w:r>
      <w:r>
        <w:rPr>
          <w:i/>
          <w:sz w:val="24"/>
        </w:rPr>
        <w:t>The R</w:t>
      </w:r>
      <w:r w:rsidRPr="0008342F">
        <w:rPr>
          <w:i/>
          <w:sz w:val="24"/>
        </w:rPr>
        <w:t>ebellion of Boudicca</w:t>
      </w:r>
      <w:r>
        <w:rPr>
          <w:sz w:val="24"/>
        </w:rPr>
        <w:t xml:space="preserve">. London: Routledge and Kegan Paul </w:t>
      </w:r>
    </w:p>
    <w:p w:rsidR="00C06D2B" w:rsidRDefault="0008342F" w:rsidP="00752DDB">
      <w:pPr>
        <w:spacing w:line="240" w:lineRule="auto"/>
        <w:rPr>
          <w:sz w:val="24"/>
        </w:rPr>
      </w:pPr>
      <w:r>
        <w:rPr>
          <w:sz w:val="24"/>
        </w:rPr>
        <w:t xml:space="preserve">Frere, S. 1967. </w:t>
      </w:r>
      <w:r>
        <w:rPr>
          <w:i/>
          <w:sz w:val="24"/>
        </w:rPr>
        <w:t xml:space="preserve">Britannia: A History of Roman Britain. </w:t>
      </w:r>
      <w:r>
        <w:rPr>
          <w:sz w:val="24"/>
        </w:rPr>
        <w:t>London: Routledge and Kegan Paul</w:t>
      </w:r>
    </w:p>
    <w:p w:rsidR="00E6685E" w:rsidRDefault="00E6685E" w:rsidP="00752DDB">
      <w:pPr>
        <w:spacing w:line="240" w:lineRule="auto"/>
        <w:rPr>
          <w:sz w:val="24"/>
        </w:rPr>
      </w:pPr>
      <w:r>
        <w:rPr>
          <w:sz w:val="24"/>
        </w:rPr>
        <w:t xml:space="preserve">Ireland, S. 1986. </w:t>
      </w:r>
      <w:r w:rsidRPr="00E6685E">
        <w:rPr>
          <w:i/>
          <w:sz w:val="24"/>
        </w:rPr>
        <w:t>A Sourcebook to Roman Britain</w:t>
      </w:r>
      <w:r>
        <w:rPr>
          <w:sz w:val="24"/>
        </w:rPr>
        <w:t>. New York: St Martin’s Press</w:t>
      </w:r>
    </w:p>
    <w:p w:rsidR="0008342F" w:rsidRDefault="0008342F" w:rsidP="00752DDB">
      <w:pPr>
        <w:spacing w:line="240" w:lineRule="auto"/>
        <w:rPr>
          <w:sz w:val="24"/>
        </w:rPr>
      </w:pPr>
      <w:r>
        <w:rPr>
          <w:sz w:val="24"/>
        </w:rPr>
        <w:t xml:space="preserve">Liversidge, J. 1968. </w:t>
      </w:r>
      <w:r w:rsidRPr="0008342F">
        <w:rPr>
          <w:i/>
          <w:sz w:val="24"/>
        </w:rPr>
        <w:t>Britain in the Roman Empire</w:t>
      </w:r>
      <w:r>
        <w:rPr>
          <w:sz w:val="24"/>
        </w:rPr>
        <w:t>. London: Routledge and Kegan Paul</w:t>
      </w:r>
    </w:p>
    <w:p w:rsidR="0008342F" w:rsidRDefault="0008342F" w:rsidP="00752DDB">
      <w:pPr>
        <w:spacing w:line="240" w:lineRule="auto"/>
        <w:rPr>
          <w:sz w:val="24"/>
        </w:rPr>
      </w:pPr>
      <w:r>
        <w:rPr>
          <w:sz w:val="24"/>
        </w:rPr>
        <w:t xml:space="preserve">Manley, J. 2002. </w:t>
      </w:r>
      <w:r w:rsidRPr="0008342F">
        <w:rPr>
          <w:i/>
          <w:sz w:val="24"/>
        </w:rPr>
        <w:t>The Roman Invasion of Britain: A Reassessment</w:t>
      </w:r>
      <w:r>
        <w:rPr>
          <w:sz w:val="24"/>
        </w:rPr>
        <w:t>. London: Tempus</w:t>
      </w:r>
    </w:p>
    <w:p w:rsidR="00B04DAE" w:rsidRDefault="00B04DAE" w:rsidP="00752DDB">
      <w:pPr>
        <w:spacing w:line="240" w:lineRule="auto"/>
        <w:rPr>
          <w:sz w:val="24"/>
        </w:rPr>
      </w:pPr>
      <w:r>
        <w:rPr>
          <w:sz w:val="24"/>
        </w:rPr>
        <w:t xml:space="preserve">Millett, M. 1990. </w:t>
      </w:r>
      <w:r w:rsidRPr="00B04DAE">
        <w:rPr>
          <w:i/>
          <w:sz w:val="24"/>
        </w:rPr>
        <w:t>The Romanization of Britain</w:t>
      </w:r>
      <w:r>
        <w:rPr>
          <w:sz w:val="24"/>
        </w:rPr>
        <w:t>. London: Cambridge University Press</w:t>
      </w:r>
    </w:p>
    <w:p w:rsidR="00B04DAE" w:rsidRDefault="00B04DAE" w:rsidP="00752DDB">
      <w:pPr>
        <w:spacing w:line="240" w:lineRule="auto"/>
        <w:rPr>
          <w:sz w:val="24"/>
        </w:rPr>
      </w:pPr>
      <w:r>
        <w:rPr>
          <w:sz w:val="24"/>
        </w:rPr>
        <w:t xml:space="preserve">Salway, P. 1993. </w:t>
      </w:r>
      <w:r w:rsidRPr="00B04DAE">
        <w:rPr>
          <w:i/>
          <w:sz w:val="24"/>
        </w:rPr>
        <w:t>The Oxford Illustrated History of Roman Britain</w:t>
      </w:r>
      <w:r>
        <w:rPr>
          <w:sz w:val="24"/>
        </w:rPr>
        <w:t>. Frome: Oxford University Press</w:t>
      </w:r>
    </w:p>
    <w:p w:rsidR="00813397" w:rsidRDefault="00813397" w:rsidP="00752DDB">
      <w:pPr>
        <w:spacing w:line="240" w:lineRule="auto"/>
        <w:rPr>
          <w:sz w:val="24"/>
        </w:rPr>
      </w:pPr>
      <w:r>
        <w:rPr>
          <w:sz w:val="24"/>
        </w:rPr>
        <w:t xml:space="preserve">Wacher, J. 1978. </w:t>
      </w:r>
      <w:r w:rsidRPr="00813397">
        <w:rPr>
          <w:i/>
          <w:sz w:val="24"/>
        </w:rPr>
        <w:t>Roman Britain</w:t>
      </w:r>
      <w:r>
        <w:rPr>
          <w:sz w:val="24"/>
        </w:rPr>
        <w:t>. London: JM Dent</w:t>
      </w:r>
    </w:p>
    <w:p w:rsidR="00813397" w:rsidRDefault="00813397" w:rsidP="00752DDB">
      <w:pPr>
        <w:spacing w:line="240" w:lineRule="auto"/>
        <w:rPr>
          <w:sz w:val="24"/>
        </w:rPr>
      </w:pPr>
      <w:r>
        <w:rPr>
          <w:sz w:val="24"/>
        </w:rPr>
        <w:t xml:space="preserve">Wacher, J. 1979. </w:t>
      </w:r>
      <w:r w:rsidRPr="005463E6">
        <w:rPr>
          <w:i/>
          <w:sz w:val="24"/>
        </w:rPr>
        <w:t>The Coming of Rome: Britain before the Conquest</w:t>
      </w:r>
      <w:r>
        <w:rPr>
          <w:sz w:val="24"/>
        </w:rPr>
        <w:t>. Norfolk: Book Club Associates</w:t>
      </w:r>
    </w:p>
    <w:p w:rsidR="00B04DAE" w:rsidRDefault="00B04DAE" w:rsidP="00752DDB">
      <w:pPr>
        <w:spacing w:line="240" w:lineRule="auto"/>
        <w:rPr>
          <w:sz w:val="24"/>
        </w:rPr>
      </w:pPr>
      <w:r>
        <w:rPr>
          <w:sz w:val="24"/>
        </w:rPr>
        <w:t xml:space="preserve">Webster, G. 1991. </w:t>
      </w:r>
      <w:r w:rsidRPr="00B04DAE">
        <w:rPr>
          <w:i/>
          <w:sz w:val="24"/>
        </w:rPr>
        <w:t>Archaeologist at Large</w:t>
      </w:r>
      <w:r>
        <w:rPr>
          <w:sz w:val="24"/>
        </w:rPr>
        <w:t>. London: BT Batsford</w:t>
      </w:r>
    </w:p>
    <w:p w:rsidR="00B4060C" w:rsidRDefault="00011FB3" w:rsidP="00752DDB">
      <w:pPr>
        <w:spacing w:line="240" w:lineRule="auto"/>
        <w:rPr>
          <w:sz w:val="24"/>
        </w:rPr>
      </w:pPr>
      <w:r>
        <w:rPr>
          <w:sz w:val="24"/>
        </w:rPr>
        <w:t xml:space="preserve">Webster, G. 1975. </w:t>
      </w:r>
      <w:r w:rsidRPr="00011FB3">
        <w:rPr>
          <w:i/>
          <w:sz w:val="24"/>
        </w:rPr>
        <w:t>The Cornovii</w:t>
      </w:r>
      <w:r>
        <w:rPr>
          <w:sz w:val="24"/>
        </w:rPr>
        <w:t>. London: Unwin Brothers</w:t>
      </w:r>
    </w:p>
    <w:p w:rsidR="00011FB3" w:rsidRDefault="00011FB3" w:rsidP="00752DDB">
      <w:pPr>
        <w:spacing w:line="240" w:lineRule="auto"/>
        <w:rPr>
          <w:sz w:val="24"/>
        </w:rPr>
      </w:pPr>
      <w:r>
        <w:rPr>
          <w:sz w:val="24"/>
        </w:rPr>
        <w:t xml:space="preserve">Webster, G. 1978. </w:t>
      </w:r>
      <w:r w:rsidRPr="00C73D40">
        <w:rPr>
          <w:i/>
          <w:sz w:val="24"/>
        </w:rPr>
        <w:t>Boudicca: The British Revolt against Rome AD60</w:t>
      </w:r>
      <w:r>
        <w:rPr>
          <w:sz w:val="24"/>
        </w:rPr>
        <w:t xml:space="preserve">. </w:t>
      </w:r>
      <w:r w:rsidR="00C73D40">
        <w:rPr>
          <w:sz w:val="24"/>
        </w:rPr>
        <w:t>London: The Anchor Press</w:t>
      </w:r>
    </w:p>
    <w:p w:rsidR="00A7709B" w:rsidRDefault="00A7709B" w:rsidP="00752DDB">
      <w:pPr>
        <w:spacing w:line="240" w:lineRule="auto"/>
        <w:rPr>
          <w:sz w:val="24"/>
        </w:rPr>
      </w:pPr>
      <w:r>
        <w:rPr>
          <w:sz w:val="24"/>
        </w:rPr>
        <w:t xml:space="preserve">Wilson, R. 1975. </w:t>
      </w:r>
      <w:r w:rsidRPr="006848AC">
        <w:rPr>
          <w:i/>
          <w:sz w:val="24"/>
        </w:rPr>
        <w:t>Roman Remains in Britain</w:t>
      </w:r>
      <w:r>
        <w:rPr>
          <w:sz w:val="24"/>
        </w:rPr>
        <w:t>. London</w:t>
      </w:r>
      <w:r w:rsidR="006848AC">
        <w:rPr>
          <w:sz w:val="24"/>
        </w:rPr>
        <w:t>: Constable and Company</w:t>
      </w:r>
    </w:p>
    <w:p w:rsidR="001952D3" w:rsidRDefault="001952D3" w:rsidP="00752DDB">
      <w:pPr>
        <w:spacing w:line="240" w:lineRule="auto"/>
        <w:rPr>
          <w:sz w:val="24"/>
        </w:rPr>
      </w:pPr>
    </w:p>
    <w:p w:rsidR="00AB6DD6" w:rsidRDefault="00AB6DD6" w:rsidP="00AB6DD6">
      <w:pPr>
        <w:spacing w:line="240" w:lineRule="auto"/>
        <w:jc w:val="center"/>
        <w:rPr>
          <w:b/>
          <w:sz w:val="28"/>
          <w:u w:val="single"/>
        </w:rPr>
      </w:pPr>
    </w:p>
    <w:p w:rsidR="00AB6DD6" w:rsidRPr="00C246DE" w:rsidRDefault="00AB6DD6" w:rsidP="00AB6DD6">
      <w:pPr>
        <w:spacing w:line="240" w:lineRule="auto"/>
        <w:jc w:val="center"/>
        <w:rPr>
          <w:b/>
          <w:sz w:val="28"/>
          <w:u w:val="single"/>
        </w:rPr>
      </w:pPr>
      <w:r w:rsidRPr="00C246DE">
        <w:rPr>
          <w:b/>
          <w:sz w:val="28"/>
          <w:u w:val="single"/>
        </w:rPr>
        <w:t>Bibliography</w:t>
      </w:r>
      <w:r>
        <w:rPr>
          <w:b/>
          <w:sz w:val="28"/>
          <w:u w:val="single"/>
        </w:rPr>
        <w:t xml:space="preserve"> (continued)</w:t>
      </w:r>
    </w:p>
    <w:p w:rsidR="006848AC" w:rsidRDefault="006848AC" w:rsidP="00752DDB">
      <w:pPr>
        <w:spacing w:line="240" w:lineRule="auto"/>
        <w:rPr>
          <w:sz w:val="24"/>
        </w:rPr>
      </w:pPr>
    </w:p>
    <w:p w:rsidR="00661A24" w:rsidRDefault="00661A24" w:rsidP="00661A24">
      <w:pPr>
        <w:spacing w:line="240" w:lineRule="auto"/>
        <w:rPr>
          <w:sz w:val="28"/>
          <w:u w:val="single"/>
        </w:rPr>
      </w:pPr>
      <w:r w:rsidRPr="00C246DE">
        <w:rPr>
          <w:sz w:val="28"/>
          <w:u w:val="single"/>
        </w:rPr>
        <w:t>Modern Sources</w:t>
      </w:r>
      <w:r>
        <w:rPr>
          <w:sz w:val="28"/>
          <w:u w:val="single"/>
        </w:rPr>
        <w:t xml:space="preserve"> (continued)</w:t>
      </w:r>
    </w:p>
    <w:p w:rsidR="00661A24" w:rsidRDefault="00661A24" w:rsidP="00752DDB">
      <w:pPr>
        <w:spacing w:line="240" w:lineRule="auto"/>
        <w:rPr>
          <w:sz w:val="24"/>
        </w:rPr>
      </w:pPr>
    </w:p>
    <w:p w:rsidR="00AB6DD6" w:rsidRDefault="00AB6DD6" w:rsidP="00752DDB">
      <w:pPr>
        <w:spacing w:line="240" w:lineRule="auto"/>
        <w:rPr>
          <w:sz w:val="24"/>
        </w:rPr>
      </w:pPr>
    </w:p>
    <w:p w:rsidR="00B4060C" w:rsidRDefault="00B4060C" w:rsidP="00752DDB">
      <w:pPr>
        <w:spacing w:line="240" w:lineRule="auto"/>
        <w:rPr>
          <w:sz w:val="24"/>
        </w:rPr>
      </w:pPr>
      <w:r>
        <w:rPr>
          <w:sz w:val="24"/>
        </w:rPr>
        <w:t xml:space="preserve">Adler, E. ‘Boudicca’s speeches in Tacitus and Dio’ 2008. Academia </w:t>
      </w:r>
    </w:p>
    <w:p w:rsidR="00B4060C" w:rsidRDefault="002A2706" w:rsidP="00752DDB">
      <w:pPr>
        <w:spacing w:line="240" w:lineRule="auto"/>
        <w:rPr>
          <w:sz w:val="24"/>
        </w:rPr>
      </w:pPr>
      <w:hyperlink r:id="rId7" w:history="1">
        <w:r w:rsidR="00B4060C" w:rsidRPr="00BE51BA">
          <w:rPr>
            <w:rStyle w:val="Hyperlink"/>
            <w:sz w:val="24"/>
          </w:rPr>
          <w:t>http://www.academia.edu/302174/_Boudicas_Speeches_in_Tacitus_and_Dio_</w:t>
        </w:r>
      </w:hyperlink>
    </w:p>
    <w:p w:rsidR="00B4060C" w:rsidRDefault="00B4060C" w:rsidP="00752DDB">
      <w:pPr>
        <w:spacing w:line="240" w:lineRule="auto"/>
        <w:rPr>
          <w:sz w:val="24"/>
        </w:rPr>
      </w:pPr>
      <w:r>
        <w:rPr>
          <w:sz w:val="24"/>
        </w:rPr>
        <w:t>[</w:t>
      </w:r>
      <w:r w:rsidR="007D03A4">
        <w:rPr>
          <w:sz w:val="24"/>
        </w:rPr>
        <w:t>Accessed</w:t>
      </w:r>
      <w:r>
        <w:rPr>
          <w:sz w:val="24"/>
        </w:rPr>
        <w:t xml:space="preserve"> 20/10/2017]</w:t>
      </w:r>
    </w:p>
    <w:p w:rsidR="00011FB3" w:rsidRDefault="00011FB3" w:rsidP="00752DDB">
      <w:pPr>
        <w:spacing w:line="240" w:lineRule="auto"/>
        <w:rPr>
          <w:sz w:val="24"/>
        </w:rPr>
      </w:pPr>
    </w:p>
    <w:p w:rsidR="006848AC" w:rsidRDefault="006848AC" w:rsidP="00752DDB">
      <w:pPr>
        <w:spacing w:line="240" w:lineRule="auto"/>
        <w:rPr>
          <w:sz w:val="24"/>
        </w:rPr>
      </w:pPr>
    </w:p>
    <w:p w:rsidR="00011FB3" w:rsidRDefault="00011FB3" w:rsidP="00752DDB">
      <w:pPr>
        <w:spacing w:line="240" w:lineRule="auto"/>
        <w:rPr>
          <w:sz w:val="24"/>
        </w:rPr>
      </w:pPr>
      <w:r>
        <w:rPr>
          <w:sz w:val="24"/>
        </w:rPr>
        <w:t>Guyver, R. ‘Working with Boudicca texts: contemporary, juvenile and scholarly’ 2001. EBSCO</w:t>
      </w:r>
    </w:p>
    <w:p w:rsidR="00011FB3" w:rsidRDefault="002A2706" w:rsidP="00752DDB">
      <w:pPr>
        <w:spacing w:line="240" w:lineRule="auto"/>
        <w:rPr>
          <w:sz w:val="24"/>
        </w:rPr>
      </w:pPr>
      <w:hyperlink r:id="rId8" w:anchor="AN=4631559&amp;db=eue" w:history="1">
        <w:r w:rsidR="00011FB3" w:rsidRPr="00BE51BA">
          <w:rPr>
            <w:rStyle w:val="Hyperlink"/>
            <w:sz w:val="24"/>
          </w:rPr>
          <w:t>http://web.a.ebscohost.com.ezproxy.uwtsd.ac.uk/ehost/detail/detail?vid=0&amp;sid=3c732770-ef08-4539-b11e-5b77a5accf7a%40sessionmgr4007&amp;bdata=JnNpdGU9ZWhvc3QtbGl2ZQ%3d%3d#AN=4631559&amp;db=eue</w:t>
        </w:r>
      </w:hyperlink>
    </w:p>
    <w:p w:rsidR="00011FB3" w:rsidRDefault="00011FB3" w:rsidP="00752DDB">
      <w:pPr>
        <w:spacing w:line="240" w:lineRule="auto"/>
        <w:rPr>
          <w:sz w:val="24"/>
        </w:rPr>
      </w:pPr>
      <w:r>
        <w:rPr>
          <w:sz w:val="24"/>
        </w:rPr>
        <w:t>[</w:t>
      </w:r>
      <w:r w:rsidR="007D03A4">
        <w:rPr>
          <w:sz w:val="24"/>
        </w:rPr>
        <w:t>Accessed</w:t>
      </w:r>
      <w:r>
        <w:rPr>
          <w:sz w:val="24"/>
        </w:rPr>
        <w:t xml:space="preserve"> 23/10/2017]</w:t>
      </w:r>
    </w:p>
    <w:p w:rsidR="007D03A4" w:rsidRDefault="007D03A4" w:rsidP="00752DDB">
      <w:pPr>
        <w:spacing w:line="240" w:lineRule="auto"/>
        <w:rPr>
          <w:sz w:val="24"/>
        </w:rPr>
      </w:pPr>
    </w:p>
    <w:p w:rsidR="007D03A4" w:rsidRDefault="007D03A4" w:rsidP="00752DDB">
      <w:pPr>
        <w:spacing w:line="240" w:lineRule="auto"/>
        <w:rPr>
          <w:sz w:val="24"/>
        </w:rPr>
      </w:pPr>
    </w:p>
    <w:p w:rsidR="007D03A4" w:rsidRDefault="007D03A4" w:rsidP="00752DDB">
      <w:pPr>
        <w:spacing w:line="240" w:lineRule="auto"/>
        <w:rPr>
          <w:sz w:val="24"/>
        </w:rPr>
      </w:pPr>
      <w:r>
        <w:rPr>
          <w:sz w:val="24"/>
        </w:rPr>
        <w:t>O’Gorman, E. ‘Forms of ideology in Tacitus’ 2015. Newcastle University</w:t>
      </w:r>
    </w:p>
    <w:p w:rsidR="007D03A4" w:rsidRDefault="007D03A4" w:rsidP="00752DDB">
      <w:pPr>
        <w:spacing w:line="240" w:lineRule="auto"/>
        <w:rPr>
          <w:sz w:val="24"/>
        </w:rPr>
      </w:pPr>
      <w:hyperlink r:id="rId9" w:history="1">
        <w:r w:rsidRPr="00A201DE">
          <w:rPr>
            <w:rStyle w:val="Hyperlink"/>
            <w:sz w:val="24"/>
          </w:rPr>
          <w:t>http://research.ncl.ac.uk/histos/documents/2015WP01OGormanFormsofIdeologyinTacitus.pdf</w:t>
        </w:r>
      </w:hyperlink>
    </w:p>
    <w:p w:rsidR="007D03A4" w:rsidRDefault="007D03A4" w:rsidP="00752DDB">
      <w:pPr>
        <w:spacing w:line="240" w:lineRule="auto"/>
        <w:rPr>
          <w:sz w:val="24"/>
        </w:rPr>
      </w:pPr>
      <w:r>
        <w:rPr>
          <w:sz w:val="24"/>
        </w:rPr>
        <w:t>[Accessed 26/10/2017]</w:t>
      </w:r>
    </w:p>
    <w:p w:rsidR="00B04DAE" w:rsidRPr="0008342F" w:rsidRDefault="00B04DAE" w:rsidP="00752DDB">
      <w:pPr>
        <w:spacing w:line="240" w:lineRule="auto"/>
        <w:rPr>
          <w:sz w:val="24"/>
        </w:rPr>
      </w:pPr>
    </w:p>
    <w:sectPr w:rsidR="00B04DAE" w:rsidRPr="000834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74F3" w:rsidRDefault="000C74F3" w:rsidP="000C74F3">
      <w:pPr>
        <w:spacing w:after="0" w:line="240" w:lineRule="auto"/>
      </w:pPr>
      <w:r>
        <w:separator/>
      </w:r>
    </w:p>
  </w:endnote>
  <w:endnote w:type="continuationSeparator" w:id="0">
    <w:p w:rsidR="000C74F3" w:rsidRDefault="000C74F3" w:rsidP="000C74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74F3" w:rsidRDefault="000C74F3" w:rsidP="000C74F3">
      <w:pPr>
        <w:spacing w:after="0" w:line="240" w:lineRule="auto"/>
      </w:pPr>
      <w:r>
        <w:separator/>
      </w:r>
    </w:p>
  </w:footnote>
  <w:footnote w:type="continuationSeparator" w:id="0">
    <w:p w:rsidR="000C74F3" w:rsidRDefault="000C74F3" w:rsidP="000C74F3">
      <w:pPr>
        <w:spacing w:after="0" w:line="240" w:lineRule="auto"/>
      </w:pPr>
      <w:r>
        <w:continuationSeparator/>
      </w:r>
    </w:p>
  </w:footnote>
  <w:footnote w:id="1">
    <w:p w:rsidR="000C74F3" w:rsidRDefault="000C74F3">
      <w:pPr>
        <w:pStyle w:val="FootnoteText"/>
      </w:pPr>
      <w:r>
        <w:rPr>
          <w:rStyle w:val="FootnoteReference"/>
        </w:rPr>
        <w:footnoteRef/>
      </w:r>
      <w:r>
        <w:t xml:space="preserve"> Dudley and Webster 1962: 56.</w:t>
      </w:r>
    </w:p>
  </w:footnote>
  <w:footnote w:id="2">
    <w:p w:rsidR="002E4F04" w:rsidRDefault="002E4F04">
      <w:pPr>
        <w:pStyle w:val="FootnoteText"/>
      </w:pPr>
      <w:r>
        <w:rPr>
          <w:rStyle w:val="FootnoteReference"/>
        </w:rPr>
        <w:footnoteRef/>
      </w:r>
      <w:r>
        <w:t xml:space="preserve"> Alder 2008</w:t>
      </w:r>
    </w:p>
  </w:footnote>
  <w:footnote w:id="3">
    <w:p w:rsidR="00CD3B5C" w:rsidRDefault="00CD3B5C">
      <w:pPr>
        <w:pStyle w:val="FootnoteText"/>
      </w:pPr>
      <w:r>
        <w:rPr>
          <w:rStyle w:val="FootnoteReference"/>
        </w:rPr>
        <w:footnoteRef/>
      </w:r>
      <w:r>
        <w:t xml:space="preserve"> Tac. Ann. 14.31</w:t>
      </w:r>
    </w:p>
  </w:footnote>
  <w:footnote w:id="4">
    <w:p w:rsidR="00C73E5E" w:rsidRDefault="00C73E5E">
      <w:pPr>
        <w:pStyle w:val="FootnoteText"/>
      </w:pPr>
      <w:r>
        <w:rPr>
          <w:rStyle w:val="FootnoteReference"/>
        </w:rPr>
        <w:footnoteRef/>
      </w:r>
      <w:r>
        <w:t xml:space="preserve"> Wacher 1978: 38</w:t>
      </w:r>
    </w:p>
  </w:footnote>
  <w:footnote w:id="5">
    <w:p w:rsidR="00CD3B5C" w:rsidRDefault="00CD3B5C">
      <w:pPr>
        <w:pStyle w:val="FootnoteText"/>
      </w:pPr>
      <w:r>
        <w:rPr>
          <w:rStyle w:val="FootnoteReference"/>
        </w:rPr>
        <w:footnoteRef/>
      </w:r>
      <w:r>
        <w:t xml:space="preserve"> Cass. Dio 62.2</w:t>
      </w:r>
    </w:p>
  </w:footnote>
  <w:footnote w:id="6">
    <w:p w:rsidR="00B17D8C" w:rsidRDefault="00B17D8C">
      <w:pPr>
        <w:pStyle w:val="FootnoteText"/>
      </w:pPr>
      <w:r>
        <w:rPr>
          <w:rStyle w:val="FootnoteReference"/>
        </w:rPr>
        <w:footnoteRef/>
      </w:r>
      <w:r>
        <w:t xml:space="preserve"> Frere 1967: 71-72</w:t>
      </w:r>
    </w:p>
  </w:footnote>
  <w:footnote w:id="7">
    <w:p w:rsidR="00011FB3" w:rsidRDefault="00011FB3">
      <w:pPr>
        <w:pStyle w:val="FootnoteText"/>
      </w:pPr>
      <w:r>
        <w:rPr>
          <w:rStyle w:val="FootnoteReference"/>
        </w:rPr>
        <w:footnoteRef/>
      </w:r>
      <w:r>
        <w:t xml:space="preserve"> Guyver 2001</w:t>
      </w:r>
    </w:p>
  </w:footnote>
  <w:footnote w:id="8">
    <w:p w:rsidR="00E756BF" w:rsidRDefault="00E756BF">
      <w:pPr>
        <w:pStyle w:val="FootnoteText"/>
      </w:pPr>
      <w:r>
        <w:rPr>
          <w:rStyle w:val="FootnoteReference"/>
        </w:rPr>
        <w:footnoteRef/>
      </w:r>
      <w:r>
        <w:t xml:space="preserve"> Alder 2008</w:t>
      </w:r>
    </w:p>
  </w:footnote>
  <w:footnote w:id="9">
    <w:p w:rsidR="008C10F7" w:rsidRDefault="008C10F7">
      <w:pPr>
        <w:pStyle w:val="FootnoteText"/>
      </w:pPr>
      <w:r>
        <w:rPr>
          <w:rStyle w:val="FootnoteReference"/>
        </w:rPr>
        <w:footnoteRef/>
      </w:r>
      <w:r>
        <w:t xml:space="preserve"> Wacher 1979: 46-47</w:t>
      </w:r>
    </w:p>
  </w:footnote>
  <w:footnote w:id="10">
    <w:p w:rsidR="00B7476E" w:rsidRDefault="00B7476E">
      <w:pPr>
        <w:pStyle w:val="FootnoteText"/>
      </w:pPr>
      <w:r>
        <w:rPr>
          <w:rStyle w:val="FootnoteReference"/>
        </w:rPr>
        <w:footnoteRef/>
      </w:r>
      <w:r>
        <w:t xml:space="preserve"> Webster 1991: 121</w:t>
      </w:r>
    </w:p>
  </w:footnote>
  <w:footnote w:id="11">
    <w:p w:rsidR="000612F9" w:rsidRDefault="000612F9">
      <w:pPr>
        <w:pStyle w:val="FootnoteText"/>
      </w:pPr>
      <w:r>
        <w:rPr>
          <w:rStyle w:val="FootnoteReference"/>
        </w:rPr>
        <w:footnoteRef/>
      </w:r>
      <w:r>
        <w:t xml:space="preserve"> Dudley and Webster: 104-105</w:t>
      </w:r>
    </w:p>
  </w:footnote>
  <w:footnote w:id="12">
    <w:p w:rsidR="000612F9" w:rsidRDefault="000612F9">
      <w:pPr>
        <w:pStyle w:val="FootnoteText"/>
      </w:pPr>
      <w:r>
        <w:rPr>
          <w:rStyle w:val="FootnoteReference"/>
        </w:rPr>
        <w:footnoteRef/>
      </w:r>
      <w:r>
        <w:t xml:space="preserve"> Webster 1991: 114</w:t>
      </w:r>
    </w:p>
  </w:footnote>
  <w:footnote w:id="13">
    <w:p w:rsidR="00A7709B" w:rsidRDefault="00A7709B">
      <w:pPr>
        <w:pStyle w:val="FootnoteText"/>
      </w:pPr>
      <w:r>
        <w:rPr>
          <w:rStyle w:val="FootnoteReference"/>
        </w:rPr>
        <w:footnoteRef/>
      </w:r>
      <w:r>
        <w:t xml:space="preserve"> Wilson 1975: 122</w:t>
      </w:r>
    </w:p>
  </w:footnote>
  <w:footnote w:id="14">
    <w:p w:rsidR="00CF322A" w:rsidRDefault="00CF322A">
      <w:pPr>
        <w:pStyle w:val="FootnoteText"/>
      </w:pPr>
      <w:r>
        <w:rPr>
          <w:rStyle w:val="FootnoteReference"/>
        </w:rPr>
        <w:footnoteRef/>
      </w:r>
      <w:r>
        <w:t xml:space="preserve"> Guyver 2001</w:t>
      </w:r>
    </w:p>
  </w:footnote>
  <w:footnote w:id="15">
    <w:p w:rsidR="00971782" w:rsidRDefault="00971782">
      <w:pPr>
        <w:pStyle w:val="FootnoteText"/>
      </w:pPr>
      <w:r>
        <w:rPr>
          <w:rStyle w:val="FootnoteReference"/>
        </w:rPr>
        <w:footnoteRef/>
      </w:r>
      <w:r>
        <w:t xml:space="preserve"> Salway 1993: 83-84</w:t>
      </w:r>
    </w:p>
  </w:footnote>
  <w:footnote w:id="16">
    <w:p w:rsidR="00AB5593" w:rsidRDefault="00AB5593">
      <w:pPr>
        <w:pStyle w:val="FootnoteText"/>
      </w:pPr>
      <w:r>
        <w:rPr>
          <w:rStyle w:val="FootnoteReference"/>
        </w:rPr>
        <w:footnoteRef/>
      </w:r>
      <w:r>
        <w:t xml:space="preserve"> Alder 2008 </w:t>
      </w:r>
    </w:p>
  </w:footnote>
  <w:footnote w:id="17">
    <w:p w:rsidR="00381E83" w:rsidRDefault="00381E83">
      <w:pPr>
        <w:pStyle w:val="FootnoteText"/>
      </w:pPr>
      <w:r>
        <w:rPr>
          <w:rStyle w:val="FootnoteReference"/>
        </w:rPr>
        <w:footnoteRef/>
      </w:r>
      <w:r>
        <w:t xml:space="preserve"> Alder 2008</w:t>
      </w:r>
    </w:p>
  </w:footnote>
  <w:footnote w:id="18">
    <w:p w:rsidR="008406C2" w:rsidRDefault="008406C2">
      <w:pPr>
        <w:pStyle w:val="FootnoteText"/>
      </w:pPr>
      <w:r>
        <w:rPr>
          <w:rStyle w:val="FootnoteReference"/>
        </w:rPr>
        <w:footnoteRef/>
      </w:r>
      <w:r>
        <w:t xml:space="preserve"> Frere 1967: 87</w:t>
      </w:r>
    </w:p>
  </w:footnote>
  <w:footnote w:id="19">
    <w:p w:rsidR="00B212D6" w:rsidRDefault="00B212D6">
      <w:pPr>
        <w:pStyle w:val="FootnoteText"/>
      </w:pPr>
      <w:r>
        <w:rPr>
          <w:rStyle w:val="FootnoteReference"/>
        </w:rPr>
        <w:footnoteRef/>
      </w:r>
      <w:r>
        <w:t xml:space="preserve"> O’Gorman 2015</w:t>
      </w:r>
    </w:p>
  </w:footnote>
  <w:footnote w:id="20">
    <w:p w:rsidR="00B212D6" w:rsidRDefault="00B212D6">
      <w:pPr>
        <w:pStyle w:val="FootnoteText"/>
      </w:pPr>
      <w:r>
        <w:rPr>
          <w:rStyle w:val="FootnoteReference"/>
        </w:rPr>
        <w:footnoteRef/>
      </w:r>
      <w:r>
        <w:t xml:space="preserve"> Tac. Ann. 14.29-39</w:t>
      </w:r>
    </w:p>
  </w:footnote>
  <w:footnote w:id="21">
    <w:p w:rsidR="00FE7BFC" w:rsidRDefault="00FE7BFC">
      <w:pPr>
        <w:pStyle w:val="FootnoteText"/>
      </w:pPr>
      <w:r>
        <w:rPr>
          <w:rStyle w:val="FootnoteReference"/>
        </w:rPr>
        <w:footnoteRef/>
      </w:r>
      <w:r>
        <w:t xml:space="preserve"> O’Gorman 2015</w:t>
      </w:r>
    </w:p>
  </w:footnote>
  <w:footnote w:id="22">
    <w:p w:rsidR="00077BC5" w:rsidRDefault="00077BC5">
      <w:pPr>
        <w:pStyle w:val="FootnoteText"/>
      </w:pPr>
      <w:r>
        <w:rPr>
          <w:rStyle w:val="FootnoteReference"/>
        </w:rPr>
        <w:footnoteRef/>
      </w:r>
      <w:r>
        <w:t xml:space="preserve"> Wacher 1978: 39-40</w:t>
      </w:r>
    </w:p>
  </w:footnote>
  <w:footnote w:id="23">
    <w:p w:rsidR="009F5930" w:rsidRDefault="009F5930">
      <w:pPr>
        <w:pStyle w:val="FootnoteText"/>
      </w:pPr>
      <w:r>
        <w:rPr>
          <w:rStyle w:val="FootnoteReference"/>
        </w:rPr>
        <w:footnoteRef/>
      </w:r>
      <w:r>
        <w:t xml:space="preserve"> Manley 2002: 112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2DDB"/>
    <w:rsid w:val="00011FB3"/>
    <w:rsid w:val="000612F9"/>
    <w:rsid w:val="00077BC5"/>
    <w:rsid w:val="0008342F"/>
    <w:rsid w:val="00084405"/>
    <w:rsid w:val="0009299B"/>
    <w:rsid w:val="000C74F3"/>
    <w:rsid w:val="0019282F"/>
    <w:rsid w:val="001952D3"/>
    <w:rsid w:val="00197782"/>
    <w:rsid w:val="001E7D17"/>
    <w:rsid w:val="0022474D"/>
    <w:rsid w:val="00271505"/>
    <w:rsid w:val="002A2706"/>
    <w:rsid w:val="002E4F04"/>
    <w:rsid w:val="00304661"/>
    <w:rsid w:val="00316BB4"/>
    <w:rsid w:val="00345C78"/>
    <w:rsid w:val="00381E83"/>
    <w:rsid w:val="003C3ACC"/>
    <w:rsid w:val="004131E3"/>
    <w:rsid w:val="00434EA4"/>
    <w:rsid w:val="00465DAD"/>
    <w:rsid w:val="004C5130"/>
    <w:rsid w:val="004D7A59"/>
    <w:rsid w:val="004E630D"/>
    <w:rsid w:val="004F11C5"/>
    <w:rsid w:val="005463E6"/>
    <w:rsid w:val="00591ED0"/>
    <w:rsid w:val="00596CFD"/>
    <w:rsid w:val="005E458B"/>
    <w:rsid w:val="00630115"/>
    <w:rsid w:val="00635408"/>
    <w:rsid w:val="00661A24"/>
    <w:rsid w:val="006804E6"/>
    <w:rsid w:val="006848AC"/>
    <w:rsid w:val="006C765D"/>
    <w:rsid w:val="00752DDB"/>
    <w:rsid w:val="007D03A4"/>
    <w:rsid w:val="00813397"/>
    <w:rsid w:val="0082559C"/>
    <w:rsid w:val="008406C2"/>
    <w:rsid w:val="00891C74"/>
    <w:rsid w:val="008C10F7"/>
    <w:rsid w:val="008D4C50"/>
    <w:rsid w:val="008E69A1"/>
    <w:rsid w:val="008F6D92"/>
    <w:rsid w:val="00934B9F"/>
    <w:rsid w:val="00971782"/>
    <w:rsid w:val="009D0B54"/>
    <w:rsid w:val="009E231A"/>
    <w:rsid w:val="009F3125"/>
    <w:rsid w:val="009F5930"/>
    <w:rsid w:val="00A07EDE"/>
    <w:rsid w:val="00A43433"/>
    <w:rsid w:val="00A4596E"/>
    <w:rsid w:val="00A6528F"/>
    <w:rsid w:val="00A7254F"/>
    <w:rsid w:val="00A7709B"/>
    <w:rsid w:val="00AB5593"/>
    <w:rsid w:val="00AB6DD6"/>
    <w:rsid w:val="00B04C51"/>
    <w:rsid w:val="00B04DAE"/>
    <w:rsid w:val="00B17D8C"/>
    <w:rsid w:val="00B212D6"/>
    <w:rsid w:val="00B4060C"/>
    <w:rsid w:val="00B7476E"/>
    <w:rsid w:val="00BC759A"/>
    <w:rsid w:val="00BD21CE"/>
    <w:rsid w:val="00C06D2B"/>
    <w:rsid w:val="00C22A85"/>
    <w:rsid w:val="00C246DE"/>
    <w:rsid w:val="00C379B6"/>
    <w:rsid w:val="00C44140"/>
    <w:rsid w:val="00C73D40"/>
    <w:rsid w:val="00C73E5E"/>
    <w:rsid w:val="00C940CF"/>
    <w:rsid w:val="00CD3B5C"/>
    <w:rsid w:val="00CF322A"/>
    <w:rsid w:val="00D057C7"/>
    <w:rsid w:val="00DB6446"/>
    <w:rsid w:val="00E14AB4"/>
    <w:rsid w:val="00E6685E"/>
    <w:rsid w:val="00E756BF"/>
    <w:rsid w:val="00F54A16"/>
    <w:rsid w:val="00F65ABE"/>
    <w:rsid w:val="00F973A0"/>
    <w:rsid w:val="00FE7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F8ABE"/>
  <w15:chartTrackingRefBased/>
  <w15:docId w15:val="{68343CDE-0271-4ED2-B010-5BD43BB2F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52DDB"/>
    <w:rPr>
      <w:i/>
      <w:iCs/>
    </w:rPr>
  </w:style>
  <w:style w:type="paragraph" w:styleId="FootnoteText">
    <w:name w:val="footnote text"/>
    <w:basedOn w:val="Normal"/>
    <w:link w:val="FootnoteTextChar"/>
    <w:uiPriority w:val="99"/>
    <w:semiHidden/>
    <w:unhideWhenUsed/>
    <w:rsid w:val="000C74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74F3"/>
    <w:rPr>
      <w:sz w:val="20"/>
      <w:szCs w:val="20"/>
    </w:rPr>
  </w:style>
  <w:style w:type="character" w:styleId="FootnoteReference">
    <w:name w:val="footnote reference"/>
    <w:basedOn w:val="DefaultParagraphFont"/>
    <w:uiPriority w:val="99"/>
    <w:semiHidden/>
    <w:unhideWhenUsed/>
    <w:rsid w:val="000C74F3"/>
    <w:rPr>
      <w:vertAlign w:val="superscript"/>
    </w:rPr>
  </w:style>
  <w:style w:type="character" w:styleId="Hyperlink">
    <w:name w:val="Hyperlink"/>
    <w:basedOn w:val="DefaultParagraphFont"/>
    <w:uiPriority w:val="99"/>
    <w:unhideWhenUsed/>
    <w:rsid w:val="00B406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a.ebscohost.com.ezproxy.uwtsd.ac.uk/ehost/detail/detail?vid=0&amp;sid=3c732770-ef08-4539-b11e-5b77a5accf7a%40sessionmgr4007&amp;bdata=JnNpdGU9ZWhvc3QtbGl2ZQ%3d%3d" TargetMode="External"/><Relationship Id="rId3" Type="http://schemas.openxmlformats.org/officeDocument/2006/relationships/settings" Target="settings.xml"/><Relationship Id="rId7" Type="http://schemas.openxmlformats.org/officeDocument/2006/relationships/hyperlink" Target="http://www.academia.edu/302174/_Boudicas_Speeches_in_Tacitus_and_Dio_"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research.ncl.ac.uk/histos/documents/2015WP01OGormanFormsofIdeologyinTacitu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6E92A4-DF35-4F16-8FEE-76A2862967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401</TotalTime>
  <Pages>7</Pages>
  <Words>2542</Words>
  <Characters>14496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James</dc:creator>
  <cp:keywords/>
  <dc:description/>
  <cp:lastModifiedBy>Jordan James (1601891)</cp:lastModifiedBy>
  <cp:revision>153</cp:revision>
  <dcterms:created xsi:type="dcterms:W3CDTF">2017-11-14T13:21:00Z</dcterms:created>
  <dcterms:modified xsi:type="dcterms:W3CDTF">2017-11-14T22:03:00Z</dcterms:modified>
</cp:coreProperties>
</file>