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57774" w:rsidRDefault="00957774">
      <w:pPr>
        <w:spacing w:line="480" w:lineRule="auto"/>
        <w:jc w:val="center"/>
        <w:rPr>
          <w:rFonts w:ascii="Times New Roman" w:eastAsia="Times New Roman" w:hAnsi="Times New Roman" w:cs="Times New Roman"/>
          <w:b/>
          <w:sz w:val="24"/>
          <w:szCs w:val="24"/>
          <w:u w:val="single"/>
        </w:rPr>
      </w:pPr>
    </w:p>
    <w:p w14:paraId="00000002" w14:textId="77777777" w:rsidR="00957774" w:rsidRDefault="00957774">
      <w:pPr>
        <w:spacing w:line="480" w:lineRule="auto"/>
        <w:jc w:val="center"/>
        <w:rPr>
          <w:rFonts w:ascii="Times New Roman" w:eastAsia="Times New Roman" w:hAnsi="Times New Roman" w:cs="Times New Roman"/>
          <w:b/>
          <w:sz w:val="24"/>
          <w:szCs w:val="24"/>
          <w:u w:val="single"/>
        </w:rPr>
      </w:pPr>
    </w:p>
    <w:p w14:paraId="00000003" w14:textId="77777777" w:rsidR="00957774" w:rsidRDefault="00957774">
      <w:pPr>
        <w:spacing w:line="480" w:lineRule="auto"/>
        <w:jc w:val="center"/>
        <w:rPr>
          <w:rFonts w:ascii="Times New Roman" w:eastAsia="Times New Roman" w:hAnsi="Times New Roman" w:cs="Times New Roman"/>
          <w:b/>
          <w:sz w:val="24"/>
          <w:szCs w:val="24"/>
          <w:u w:val="single"/>
        </w:rPr>
      </w:pPr>
    </w:p>
    <w:p w14:paraId="00000004" w14:textId="77777777" w:rsidR="00957774" w:rsidRDefault="00957774">
      <w:pPr>
        <w:spacing w:line="480" w:lineRule="auto"/>
        <w:jc w:val="center"/>
        <w:rPr>
          <w:rFonts w:ascii="Times New Roman" w:eastAsia="Times New Roman" w:hAnsi="Times New Roman" w:cs="Times New Roman"/>
          <w:b/>
          <w:sz w:val="24"/>
          <w:szCs w:val="24"/>
          <w:u w:val="single"/>
        </w:rPr>
      </w:pPr>
    </w:p>
    <w:p w14:paraId="00000005" w14:textId="77777777" w:rsidR="00957774" w:rsidRDefault="00957774">
      <w:pPr>
        <w:spacing w:line="480" w:lineRule="auto"/>
        <w:jc w:val="center"/>
        <w:rPr>
          <w:rFonts w:ascii="Times New Roman" w:eastAsia="Times New Roman" w:hAnsi="Times New Roman" w:cs="Times New Roman"/>
          <w:b/>
          <w:sz w:val="24"/>
          <w:szCs w:val="24"/>
          <w:u w:val="single"/>
        </w:rPr>
      </w:pPr>
    </w:p>
    <w:p w14:paraId="00000006" w14:textId="77777777" w:rsidR="00957774" w:rsidRDefault="00957774">
      <w:pPr>
        <w:spacing w:line="480" w:lineRule="auto"/>
        <w:jc w:val="center"/>
        <w:rPr>
          <w:rFonts w:ascii="Times New Roman" w:eastAsia="Times New Roman" w:hAnsi="Times New Roman" w:cs="Times New Roman"/>
          <w:b/>
          <w:sz w:val="24"/>
          <w:szCs w:val="24"/>
          <w:u w:val="single"/>
        </w:rPr>
      </w:pPr>
    </w:p>
    <w:p w14:paraId="00000007" w14:textId="77777777" w:rsidR="00957774" w:rsidRDefault="00957774">
      <w:pPr>
        <w:spacing w:line="480" w:lineRule="auto"/>
        <w:jc w:val="center"/>
        <w:rPr>
          <w:rFonts w:ascii="Times New Roman" w:eastAsia="Times New Roman" w:hAnsi="Times New Roman" w:cs="Times New Roman"/>
          <w:b/>
          <w:sz w:val="24"/>
          <w:szCs w:val="24"/>
          <w:u w:val="single"/>
        </w:rPr>
      </w:pPr>
    </w:p>
    <w:p w14:paraId="00000008" w14:textId="77777777" w:rsidR="00957774" w:rsidRDefault="00957774">
      <w:pPr>
        <w:spacing w:line="480" w:lineRule="auto"/>
        <w:jc w:val="center"/>
        <w:rPr>
          <w:rFonts w:ascii="Times New Roman" w:eastAsia="Times New Roman" w:hAnsi="Times New Roman" w:cs="Times New Roman"/>
          <w:b/>
          <w:sz w:val="24"/>
          <w:szCs w:val="24"/>
          <w:u w:val="single"/>
        </w:rPr>
      </w:pPr>
    </w:p>
    <w:p w14:paraId="00000009" w14:textId="77777777" w:rsidR="00957774" w:rsidRDefault="00000000">
      <w:pPr>
        <w:spacing w:line="480" w:lineRule="auto"/>
        <w:jc w:val="center"/>
        <w:rPr>
          <w:rFonts w:ascii="Times New Roman" w:eastAsia="Times New Roman" w:hAnsi="Times New Roman" w:cs="Times New Roman"/>
          <w:b/>
        </w:rPr>
      </w:pPr>
      <w:r>
        <w:rPr>
          <w:rFonts w:ascii="Times New Roman" w:eastAsia="Times New Roman" w:hAnsi="Times New Roman" w:cs="Times New Roman"/>
          <w:b/>
        </w:rPr>
        <w:t>Corporate Social Responsibility: A Voluntary Decision or a Mandatory Law</w:t>
      </w:r>
    </w:p>
    <w:p w14:paraId="0000000A" w14:textId="77777777" w:rsidR="00957774" w:rsidRDefault="00957774">
      <w:pPr>
        <w:spacing w:line="480" w:lineRule="auto"/>
        <w:jc w:val="center"/>
        <w:rPr>
          <w:rFonts w:ascii="Times New Roman" w:eastAsia="Times New Roman" w:hAnsi="Times New Roman" w:cs="Times New Roman"/>
          <w:b/>
        </w:rPr>
      </w:pPr>
    </w:p>
    <w:p w14:paraId="0000000B" w14:textId="77777777" w:rsidR="00957774"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Elanor Morris</w:t>
      </w:r>
    </w:p>
    <w:p w14:paraId="0000000C" w14:textId="77777777" w:rsidR="00957774"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Department of Business and Management, The University of Wales Trinity Saint David</w:t>
      </w:r>
    </w:p>
    <w:p w14:paraId="0000000D" w14:textId="77777777" w:rsidR="00957774"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BMSP 6001: Globally Responsible Business</w:t>
      </w:r>
    </w:p>
    <w:p w14:paraId="0000000E" w14:textId="77777777" w:rsidR="00957774"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Jessica Shore, Dr. Alex Bell</w:t>
      </w:r>
    </w:p>
    <w:p w14:paraId="0000000F" w14:textId="77777777" w:rsidR="00957774"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February 14, 2023</w:t>
      </w:r>
    </w:p>
    <w:p w14:paraId="00000010" w14:textId="77777777" w:rsidR="00957774" w:rsidRDefault="00957774">
      <w:pPr>
        <w:spacing w:line="480" w:lineRule="auto"/>
        <w:jc w:val="center"/>
        <w:rPr>
          <w:rFonts w:ascii="Times New Roman" w:eastAsia="Times New Roman" w:hAnsi="Times New Roman" w:cs="Times New Roman"/>
        </w:rPr>
      </w:pPr>
    </w:p>
    <w:p w14:paraId="00000011" w14:textId="77777777" w:rsidR="00957774" w:rsidRDefault="00957774">
      <w:pPr>
        <w:spacing w:line="480" w:lineRule="auto"/>
        <w:jc w:val="center"/>
        <w:rPr>
          <w:rFonts w:ascii="Times New Roman" w:eastAsia="Times New Roman" w:hAnsi="Times New Roman" w:cs="Times New Roman"/>
          <w:b/>
          <w:u w:val="single"/>
        </w:rPr>
      </w:pPr>
    </w:p>
    <w:p w14:paraId="00000012" w14:textId="77777777" w:rsidR="00957774" w:rsidRDefault="00957774">
      <w:pPr>
        <w:spacing w:line="480" w:lineRule="auto"/>
        <w:jc w:val="center"/>
        <w:rPr>
          <w:rFonts w:ascii="Times New Roman" w:eastAsia="Times New Roman" w:hAnsi="Times New Roman" w:cs="Times New Roman"/>
          <w:b/>
          <w:u w:val="single"/>
        </w:rPr>
      </w:pPr>
    </w:p>
    <w:p w14:paraId="00000013" w14:textId="77777777" w:rsidR="00957774" w:rsidRDefault="00957774">
      <w:pPr>
        <w:spacing w:line="480" w:lineRule="auto"/>
        <w:jc w:val="center"/>
        <w:rPr>
          <w:rFonts w:ascii="Times New Roman" w:eastAsia="Times New Roman" w:hAnsi="Times New Roman" w:cs="Times New Roman"/>
          <w:b/>
          <w:u w:val="single"/>
        </w:rPr>
      </w:pPr>
    </w:p>
    <w:p w14:paraId="00000014" w14:textId="77777777" w:rsidR="00957774" w:rsidRDefault="00957774">
      <w:pPr>
        <w:spacing w:line="480" w:lineRule="auto"/>
        <w:jc w:val="center"/>
        <w:rPr>
          <w:rFonts w:ascii="Times New Roman" w:eastAsia="Times New Roman" w:hAnsi="Times New Roman" w:cs="Times New Roman"/>
          <w:b/>
          <w:u w:val="single"/>
        </w:rPr>
      </w:pPr>
    </w:p>
    <w:p w14:paraId="00000015" w14:textId="77777777" w:rsidR="00957774" w:rsidRDefault="00957774">
      <w:pPr>
        <w:spacing w:line="480" w:lineRule="auto"/>
        <w:jc w:val="center"/>
        <w:rPr>
          <w:rFonts w:ascii="Times New Roman" w:eastAsia="Times New Roman" w:hAnsi="Times New Roman" w:cs="Times New Roman"/>
          <w:b/>
          <w:u w:val="single"/>
        </w:rPr>
      </w:pPr>
    </w:p>
    <w:p w14:paraId="00000016" w14:textId="77777777" w:rsidR="00957774" w:rsidRDefault="00957774">
      <w:pPr>
        <w:spacing w:line="480" w:lineRule="auto"/>
        <w:jc w:val="center"/>
        <w:rPr>
          <w:rFonts w:ascii="Times New Roman" w:eastAsia="Times New Roman" w:hAnsi="Times New Roman" w:cs="Times New Roman"/>
          <w:b/>
          <w:u w:val="single"/>
        </w:rPr>
      </w:pPr>
    </w:p>
    <w:p w14:paraId="00000017" w14:textId="77777777" w:rsidR="00957774" w:rsidRDefault="00957774">
      <w:pPr>
        <w:spacing w:line="480" w:lineRule="auto"/>
        <w:rPr>
          <w:rFonts w:ascii="Times New Roman" w:eastAsia="Times New Roman" w:hAnsi="Times New Roman" w:cs="Times New Roman"/>
          <w:b/>
          <w:u w:val="single"/>
        </w:rPr>
      </w:pPr>
    </w:p>
    <w:p w14:paraId="00000018" w14:textId="77777777" w:rsidR="00957774" w:rsidRDefault="00957774">
      <w:pPr>
        <w:spacing w:line="480" w:lineRule="auto"/>
        <w:jc w:val="center"/>
        <w:rPr>
          <w:rFonts w:ascii="Times New Roman" w:eastAsia="Times New Roman" w:hAnsi="Times New Roman" w:cs="Times New Roman"/>
          <w:b/>
          <w:u w:val="single"/>
        </w:rPr>
      </w:pPr>
    </w:p>
    <w:p w14:paraId="00000019" w14:textId="77777777" w:rsidR="00957774" w:rsidRDefault="00957774">
      <w:pPr>
        <w:spacing w:line="480" w:lineRule="auto"/>
        <w:jc w:val="center"/>
        <w:rPr>
          <w:rFonts w:ascii="Times New Roman" w:eastAsia="Times New Roman" w:hAnsi="Times New Roman" w:cs="Times New Roman"/>
          <w:b/>
          <w:u w:val="single"/>
        </w:rPr>
      </w:pPr>
    </w:p>
    <w:p w14:paraId="0000001A" w14:textId="77777777" w:rsidR="00957774" w:rsidRDefault="00000000">
      <w:pPr>
        <w:spacing w:line="48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 xml:space="preserve">EXECUTIVE SUMMARY </w:t>
      </w:r>
    </w:p>
    <w:p w14:paraId="0000001B" w14:textId="77777777" w:rsidR="00957774" w:rsidRDefault="00000000">
      <w:pPr>
        <w:spacing w:line="480" w:lineRule="auto"/>
        <w:ind w:firstLine="720"/>
        <w:jc w:val="center"/>
        <w:rPr>
          <w:rFonts w:ascii="Times New Roman" w:eastAsia="Times New Roman" w:hAnsi="Times New Roman" w:cs="Times New Roman"/>
        </w:rPr>
      </w:pPr>
      <w:r>
        <w:rPr>
          <w:rFonts w:ascii="Times New Roman" w:eastAsia="Times New Roman" w:hAnsi="Times New Roman" w:cs="Times New Roman"/>
        </w:rPr>
        <w:t xml:space="preserve">This report examines the debate on whether or not Corporate Social Responsibility reporting should be a voluntary decision made by the business, or if it should be mandated by law using various viewpoints on business ethics and critical analysis. </w:t>
      </w:r>
    </w:p>
    <w:p w14:paraId="0000001C" w14:textId="77777777" w:rsidR="00957774" w:rsidRDefault="00957774">
      <w:pPr>
        <w:spacing w:line="480" w:lineRule="auto"/>
        <w:jc w:val="center"/>
        <w:rPr>
          <w:rFonts w:ascii="Times New Roman" w:eastAsia="Times New Roman" w:hAnsi="Times New Roman" w:cs="Times New Roman"/>
          <w:b/>
          <w:u w:val="single"/>
        </w:rPr>
      </w:pPr>
    </w:p>
    <w:p w14:paraId="0000001D" w14:textId="77777777" w:rsidR="00957774" w:rsidRDefault="00000000">
      <w:pPr>
        <w:spacing w:line="48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INTRODUCTION</w:t>
      </w:r>
    </w:p>
    <w:p w14:paraId="0000001E"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Milton Friedman (1970) says businesses are “artificial entities” and cannot be said to have responsibility outside of succeeding economically and pleasing stockholders. R. Edward Freeman (1984) defines stakeholders as “any group or individual affected by or can affect the achievement of an organization’s objectives”. By this definition, stakeholders can be considered just as crucial to a business’s success as stockholders, and businesses hold a responsibility to help stakeholders just as much as they do stockholders. This goes against Friedman’s Stockholder theory and questions whether businesses can and should have a social responsibility. The Triple Bottom Line theory also supports this ideology, encouraging businesses to look not only at profits but at people and the planet to maximize their success and sustainability (Miller, 2020). </w:t>
      </w:r>
    </w:p>
    <w:p w14:paraId="0000001F"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Corporate Social Responsibility, or CSR, has been criticized for not having a universal definition. 80% of CSR definitions used most frequently referenced it being a voluntary concept (</w:t>
      </w:r>
      <w:proofErr w:type="spellStart"/>
      <w:r>
        <w:rPr>
          <w:rFonts w:ascii="Times New Roman" w:eastAsia="Times New Roman" w:hAnsi="Times New Roman" w:cs="Times New Roman"/>
        </w:rPr>
        <w:t>Dahlsrud</w:t>
      </w:r>
      <w:proofErr w:type="spellEnd"/>
      <w:r>
        <w:rPr>
          <w:rFonts w:ascii="Times New Roman" w:eastAsia="Times New Roman" w:hAnsi="Times New Roman" w:cs="Times New Roman"/>
        </w:rPr>
        <w:t>, 2008); however, many countries have begun requiring businesses to not only disclose CSR reports but to take philanthropic actions to fulfill a duty of CSR required by law (Coffee et al., 2020). With less than 10 years left to rectify the effects of greenhouse gas emissions (Neuman, 2021) and a rapidly growing global population, whether businesses should be required to be transparent about their social responsibility has come into question. Without a clear guide of what exactly businesses can consider CSR, reporting between corporations can vary drastically, and many businesses only see CSR as a profit-boosting tactic and can get away with using strategies such as greenwashing (</w:t>
      </w:r>
      <w:proofErr w:type="spellStart"/>
      <w:r>
        <w:rPr>
          <w:rFonts w:ascii="Times New Roman" w:eastAsia="Times New Roman" w:hAnsi="Times New Roman" w:cs="Times New Roman"/>
        </w:rPr>
        <w:t>Seele</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Gatti</w:t>
      </w:r>
      <w:proofErr w:type="spellEnd"/>
      <w:r>
        <w:rPr>
          <w:rFonts w:ascii="Times New Roman" w:eastAsia="Times New Roman" w:hAnsi="Times New Roman" w:cs="Times New Roman"/>
        </w:rPr>
        <w:t xml:space="preserve">, 2015). Some academics have decided to use the term corporate social responsiveness instead of responsibility (Ackerman &amp; Bauer, 1976). The term responsiveness implies the carrying out of ethical actions versus simply deciding the </w:t>
      </w:r>
      <w:r>
        <w:rPr>
          <w:rFonts w:ascii="Times New Roman" w:eastAsia="Times New Roman" w:hAnsi="Times New Roman" w:cs="Times New Roman"/>
        </w:rPr>
        <w:lastRenderedPageBreak/>
        <w:t xml:space="preserve">“right” thing to do. This poses the question of whether the consequences of an action, specifically CSR reporting, would matter more than the decision itself. If CSR reporting were mandatory, the consequences would matter more than the decision. If CSR reporting were voluntary, the decision would matter more than the consequences. </w:t>
      </w:r>
    </w:p>
    <w:p w14:paraId="00000020" w14:textId="77777777" w:rsidR="00957774" w:rsidRDefault="00957774">
      <w:pPr>
        <w:spacing w:line="480" w:lineRule="auto"/>
        <w:ind w:firstLine="720"/>
        <w:rPr>
          <w:rFonts w:ascii="Times New Roman" w:eastAsia="Times New Roman" w:hAnsi="Times New Roman" w:cs="Times New Roman"/>
        </w:rPr>
      </w:pPr>
    </w:p>
    <w:p w14:paraId="00000021" w14:textId="77777777" w:rsidR="00957774" w:rsidRDefault="00000000">
      <w:pPr>
        <w:spacing w:line="480" w:lineRule="auto"/>
        <w:ind w:firstLine="720"/>
        <w:jc w:val="center"/>
        <w:rPr>
          <w:rFonts w:ascii="Times New Roman" w:eastAsia="Times New Roman" w:hAnsi="Times New Roman" w:cs="Times New Roman"/>
          <w:b/>
          <w:u w:val="single"/>
        </w:rPr>
      </w:pPr>
      <w:r>
        <w:rPr>
          <w:rFonts w:ascii="Times New Roman" w:eastAsia="Times New Roman" w:hAnsi="Times New Roman" w:cs="Times New Roman"/>
          <w:b/>
          <w:u w:val="single"/>
        </w:rPr>
        <w:t>BENEFITS OF VOLUNTARY REPORTING</w:t>
      </w:r>
    </w:p>
    <w:p w14:paraId="00000022" w14:textId="77777777" w:rsidR="00957774"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Unclear Standards for Qualitative Reporting</w:t>
      </w:r>
    </w:p>
    <w:p w14:paraId="00000023"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When businesses report financial data, there are clear-cut guidelines they must follow as to what numbers they must share with the public. However, CSR reporting is less quantitative than it is qualitative reporting. In a survey conducted by CFA Institute (2017), 55% of analysts and portfolio managers reported there was a lack of quantitative ESG (environmental, social, and governance) data to report. This means for all corporations required to report the same data, it will be much more difficult to retrieve and compile, and for every corporation to make their reporting uniform and consistent. However, if the government were to not set standards for reporting and leave it up to the individual business, it would allow firms to be more flexible in their CSR policies and reporting (</w:t>
      </w:r>
      <w:proofErr w:type="spellStart"/>
      <w:r>
        <w:rPr>
          <w:rFonts w:ascii="Times New Roman" w:eastAsia="Times New Roman" w:hAnsi="Times New Roman" w:cs="Times New Roman"/>
        </w:rPr>
        <w:t>Cominetti</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Seele</w:t>
      </w:r>
      <w:proofErr w:type="spellEnd"/>
      <w:r>
        <w:rPr>
          <w:rFonts w:ascii="Times New Roman" w:eastAsia="Times New Roman" w:hAnsi="Times New Roman" w:cs="Times New Roman"/>
        </w:rPr>
        <w:t xml:space="preserve">, 2016). The standards the government would impose upon businesses for reporting may not apply to every business, or it may limit what social actions a business wants to take in the community that it knows best. This prevents spending funds on unnecessary social causes just to appease the mandatory reporting standards when the money could go towards something that would benefit the local community. </w:t>
      </w:r>
    </w:p>
    <w:p w14:paraId="00000024" w14:textId="77777777" w:rsidR="00957774"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Differentiation Among Competitors</w:t>
      </w:r>
    </w:p>
    <w:p w14:paraId="00000025" w14:textId="77777777" w:rsidR="00957774" w:rsidRDefault="00000000">
      <w:pPr>
        <w:spacing w:line="480" w:lineRule="auto"/>
        <w:ind w:firstLine="720"/>
        <w:rPr>
          <w:rFonts w:ascii="Times New Roman" w:eastAsia="Times New Roman" w:hAnsi="Times New Roman" w:cs="Times New Roman"/>
          <w:b/>
        </w:rPr>
      </w:pPr>
      <w:r>
        <w:rPr>
          <w:rFonts w:ascii="Times New Roman" w:eastAsia="Times New Roman" w:hAnsi="Times New Roman" w:cs="Times New Roman"/>
        </w:rPr>
        <w:t>When every business is required to report its CSR, none of them stand out in the market. A company that is looking to create value for itself through social change no longer has a leg up on its competitors, and so the ethical intentions of CSR reporting no longer matter. Many prevalent definitions of CSR involve the voluntary aspect (Carroll, 1979) and define it as an ethical responsibility to go above what the law requires (</w:t>
      </w:r>
      <w:proofErr w:type="spellStart"/>
      <w:r>
        <w:rPr>
          <w:rFonts w:ascii="Times New Roman" w:eastAsia="Times New Roman" w:hAnsi="Times New Roman" w:cs="Times New Roman"/>
        </w:rPr>
        <w:t>Cominetti</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Seele</w:t>
      </w:r>
      <w:proofErr w:type="spellEnd"/>
      <w:r>
        <w:rPr>
          <w:rFonts w:ascii="Times New Roman" w:eastAsia="Times New Roman" w:hAnsi="Times New Roman" w:cs="Times New Roman"/>
        </w:rPr>
        <w:t xml:space="preserve">, 2016). However, there is no way to go above what the law requires in terms of CSR if spending is </w:t>
      </w:r>
      <w:proofErr w:type="gramStart"/>
      <w:r>
        <w:rPr>
          <w:rFonts w:ascii="Times New Roman" w:eastAsia="Times New Roman" w:hAnsi="Times New Roman" w:cs="Times New Roman"/>
        </w:rPr>
        <w:t>limited</w:t>
      </w:r>
      <w:proofErr w:type="gramEnd"/>
      <w:r>
        <w:rPr>
          <w:rFonts w:ascii="Times New Roman" w:eastAsia="Times New Roman" w:hAnsi="Times New Roman" w:cs="Times New Roman"/>
        </w:rPr>
        <w:t xml:space="preserve"> and every business is required to adhere to the same </w:t>
      </w:r>
      <w:r>
        <w:rPr>
          <w:rFonts w:ascii="Times New Roman" w:eastAsia="Times New Roman" w:hAnsi="Times New Roman" w:cs="Times New Roman"/>
        </w:rPr>
        <w:lastRenderedPageBreak/>
        <w:t xml:space="preserve">standards. Many consumers also look toward the mission statements and social views of businesses to determine where to spend their money (García-Sánchez et al., 2021). If every business’s mission is regulated and strictly enforced by the government, there is no way for consumers to differentiate which businesses are participating in CSR for the “right” or “ethical” reasons or just the legal reasons. India passed a law regulating every company that made a certain amount of profit to spend 2% of their net profits on CSR ventures (Columbia Business School, 2022). Companies that used to spend more on CSR cut back to meet the federal minimum by 33% (Columbia Business School, 2022), and many of them increased advertising spending. Many of the companies that spent a lot of money on CSR expenditures relied on that spending to be a signal to consumers that they were serving the community. The advertising spending was most likely to compensate for the lack of signaling since CSR spending was made mandatory. </w:t>
      </w:r>
    </w:p>
    <w:p w14:paraId="00000026" w14:textId="77777777" w:rsidR="00957774"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 xml:space="preserve">Improved Creativity in CSR Ventures </w:t>
      </w:r>
    </w:p>
    <w:p w14:paraId="00000027"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If the government were to pass standards for CSR reporting that apply to every business, then businesses would not have the creative freedom to spend their money on CSR ventures that applied specifically to the communities they reside in and whose consumers they serve (Reid &amp; </w:t>
      </w:r>
      <w:proofErr w:type="spellStart"/>
      <w:r>
        <w:rPr>
          <w:rFonts w:ascii="Times New Roman" w:eastAsia="Times New Roman" w:hAnsi="Times New Roman" w:cs="Times New Roman"/>
        </w:rPr>
        <w:t>Toffel</w:t>
      </w:r>
      <w:proofErr w:type="spellEnd"/>
      <w:r>
        <w:rPr>
          <w:rFonts w:ascii="Times New Roman" w:eastAsia="Times New Roman" w:hAnsi="Times New Roman" w:cs="Times New Roman"/>
        </w:rPr>
        <w:t xml:space="preserve">, 2009). If CSR reporting were to be voluntary, the decision to report would be a proactive one versus a reactive one (Matten &amp; Moon, 2008). Mandatory reporting also fails to consider the idea that managers may not be using CSR solely as a profit-making tool, but also as a way to enact real social change. Many businesses such as non-profit organizations operate mostly to develop solutions to social problems, so restricting their decision-making power in this regard could end up doing more harm than good. </w:t>
      </w:r>
    </w:p>
    <w:p w14:paraId="00000028" w14:textId="77777777" w:rsidR="00957774"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Ethical Decisions Cannot Be Forced</w:t>
      </w:r>
    </w:p>
    <w:p w14:paraId="00000029"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Even if CSR reporting were to be made mandatory, businesses making the “right decisions” in terms of social action is not guaranteed. A company can report its impact on the environment or the community, but that does not mean that impact will be positive. A company that is reporting its effects on society voluntarily most likely has something good to share, otherwise, it would be sabotaging itself. The government can pass laws requiring companies to report their CSR activities, but it cannot require them to </w:t>
      </w:r>
      <w:r>
        <w:rPr>
          <w:rFonts w:ascii="Times New Roman" w:eastAsia="Times New Roman" w:hAnsi="Times New Roman" w:cs="Times New Roman"/>
        </w:rPr>
        <w:lastRenderedPageBreak/>
        <w:t xml:space="preserve">make ethical decisions (Dave, 2017). Additionally, everyone has differing views on what an “ethical” action would consist of. Companies target different groups of stakeholders with their CSR endeavors, so if the government decides that one point of view is ethical and thus considered effective CSR, it </w:t>
      </w:r>
      <w:proofErr w:type="gramStart"/>
      <w:r>
        <w:rPr>
          <w:rFonts w:ascii="Times New Roman" w:eastAsia="Times New Roman" w:hAnsi="Times New Roman" w:cs="Times New Roman"/>
        </w:rPr>
        <w:t>would</w:t>
      </w:r>
      <w:proofErr w:type="gramEnd"/>
      <w:r>
        <w:rPr>
          <w:rFonts w:ascii="Times New Roman" w:eastAsia="Times New Roman" w:hAnsi="Times New Roman" w:cs="Times New Roman"/>
        </w:rPr>
        <w:t xml:space="preserve"> contradict what a lot of businesses and stakeholders stand for. Furthermore, the likelihood of fraudulent reports would increase if they were required (Dave, 2017). With any mandatory law comes someone who will attempt to bypass it. Requiring CSR reporting will not do much good if the reports that are published lie to the public. </w:t>
      </w:r>
    </w:p>
    <w:p w14:paraId="0000002A" w14:textId="77777777" w:rsidR="00957774" w:rsidRDefault="00957774">
      <w:pPr>
        <w:spacing w:line="480" w:lineRule="auto"/>
        <w:ind w:firstLine="720"/>
        <w:rPr>
          <w:rFonts w:ascii="Times New Roman" w:eastAsia="Times New Roman" w:hAnsi="Times New Roman" w:cs="Times New Roman"/>
        </w:rPr>
      </w:pPr>
    </w:p>
    <w:p w14:paraId="0000002B" w14:textId="77777777" w:rsidR="00957774" w:rsidRDefault="00000000">
      <w:pPr>
        <w:spacing w:line="480" w:lineRule="auto"/>
        <w:ind w:firstLine="720"/>
        <w:jc w:val="center"/>
        <w:rPr>
          <w:rFonts w:ascii="Times New Roman" w:eastAsia="Times New Roman" w:hAnsi="Times New Roman" w:cs="Times New Roman"/>
          <w:b/>
          <w:u w:val="single"/>
        </w:rPr>
      </w:pPr>
      <w:r>
        <w:rPr>
          <w:rFonts w:ascii="Times New Roman" w:eastAsia="Times New Roman" w:hAnsi="Times New Roman" w:cs="Times New Roman"/>
          <w:b/>
          <w:u w:val="single"/>
        </w:rPr>
        <w:t>BENEFITS OF MANDATORY REPORTING</w:t>
      </w:r>
    </w:p>
    <w:p w14:paraId="0000002C" w14:textId="77777777" w:rsidR="00957774"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 xml:space="preserve">Quality Control </w:t>
      </w:r>
    </w:p>
    <w:p w14:paraId="0000002D"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If the government were to set standards for CSR reporting, it would prevent poor-quality reports or reports that are confusing to read from being published. If reporting were mandatory, there would be one universal set of standards for reporting, and it would lessen the confusion of the vastly different reports from business to business. There are multiple frameworks from different organizations that each have their standards for what should be included in a sustainability report, such as the GRI, IIRC, and SASB (</w:t>
      </w:r>
      <w:proofErr w:type="spellStart"/>
      <w:r>
        <w:rPr>
          <w:rFonts w:ascii="Times New Roman" w:eastAsia="Times New Roman" w:hAnsi="Times New Roman" w:cs="Times New Roman"/>
        </w:rPr>
        <w:t>Leinaweaver</w:t>
      </w:r>
      <w:proofErr w:type="spellEnd"/>
      <w:r>
        <w:rPr>
          <w:rFonts w:ascii="Times New Roman" w:eastAsia="Times New Roman" w:hAnsi="Times New Roman" w:cs="Times New Roman"/>
        </w:rPr>
        <w:t xml:space="preserve">, 2015). These organizations’ frameworks contradict each other, thus making it more difficult to compare reports that follow each of their standards. Lock and </w:t>
      </w:r>
      <w:proofErr w:type="spellStart"/>
      <w:r>
        <w:rPr>
          <w:rFonts w:ascii="Times New Roman" w:eastAsia="Times New Roman" w:hAnsi="Times New Roman" w:cs="Times New Roman"/>
        </w:rPr>
        <w:t>Seele</w:t>
      </w:r>
      <w:proofErr w:type="spellEnd"/>
      <w:r>
        <w:rPr>
          <w:rFonts w:ascii="Times New Roman" w:eastAsia="Times New Roman" w:hAnsi="Times New Roman" w:cs="Times New Roman"/>
        </w:rPr>
        <w:t xml:space="preserve"> (2016) conducted a study where they found that the most important thing to improve the credibility of CSR reports was standardization. Other factors that improve credibility, such as understandability and clarity (Lock &amp; </w:t>
      </w:r>
      <w:proofErr w:type="spellStart"/>
      <w:r>
        <w:rPr>
          <w:rFonts w:ascii="Times New Roman" w:eastAsia="Times New Roman" w:hAnsi="Times New Roman" w:cs="Times New Roman"/>
        </w:rPr>
        <w:t>Seele</w:t>
      </w:r>
      <w:proofErr w:type="spellEnd"/>
      <w:r>
        <w:rPr>
          <w:rFonts w:ascii="Times New Roman" w:eastAsia="Times New Roman" w:hAnsi="Times New Roman" w:cs="Times New Roman"/>
        </w:rPr>
        <w:t xml:space="preserve">, 2016) would also come with universal standardization. This would not only make it easier for the businesses making the reports to have guidelines, but also easier for stakeholders and investors to understand and compare the reports of different companies just as they do with financial reports (Eccles, 2018). </w:t>
      </w:r>
    </w:p>
    <w:p w14:paraId="0000002E" w14:textId="77777777" w:rsidR="00957774"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 xml:space="preserve">Improved Transparency </w:t>
      </w:r>
    </w:p>
    <w:p w14:paraId="0000002F"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When businesses are not required to report their CSR activities, they are not required to be transparent about any wrongdoings they may have done. If uniform standards for reporting were set by </w:t>
      </w:r>
      <w:r>
        <w:rPr>
          <w:rFonts w:ascii="Times New Roman" w:eastAsia="Times New Roman" w:hAnsi="Times New Roman" w:cs="Times New Roman"/>
        </w:rPr>
        <w:lastRenderedPageBreak/>
        <w:t>the government, companies would not be able to use CSR to advance their public image without implementing appropriate practices. This would prevent false advertising, and consumers and investors would be able to see through greenwashing practices of companies. Take Shell for example, which excludes its petrochemicals business and some of its fossil fuel trading operations from its Net Carbon Footprint (</w:t>
      </w:r>
      <w:r>
        <w:rPr>
          <w:rFonts w:ascii="Times New Roman" w:eastAsia="Times New Roman" w:hAnsi="Times New Roman" w:cs="Times New Roman"/>
          <w:i/>
        </w:rPr>
        <w:t>Greenwashing Files: Shell</w:t>
      </w:r>
      <w:r>
        <w:rPr>
          <w:rFonts w:ascii="Times New Roman" w:eastAsia="Times New Roman" w:hAnsi="Times New Roman" w:cs="Times New Roman"/>
        </w:rPr>
        <w:t xml:space="preserve">, 2023). If required to report the truth and/or change their practices to align with government-mandated CSR standards, the environment as well as stakeholders would benefit. Social media is also an important factor to consider when discussing transparency. If these businesses were required to be transparent about their CSR practices, they could make their way onto social media and more consumers would be aware of these businesses’ malpractices. Big businesses have been held under the scrutiny of social media for some time now, but if every business were required to publish their CSR report, smaller businesses would no longer be able to escape any word about them being spread (Montiel, 2019). Businesses would have to be cautious while making CSR decisions if they knew that whatever they did would be exposed to the public. </w:t>
      </w:r>
    </w:p>
    <w:p w14:paraId="00000030" w14:textId="77777777" w:rsidR="00957774"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The World is Out of Time</w:t>
      </w:r>
    </w:p>
    <w:p w14:paraId="00000031"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world population is expected to increase by 2 billion people in the next thirty years (United Nations, n.d.), and the world has less than ten years to make significant changes to reverse climate change (Neuman, 2021). The current path humanity is on is not sustainable, and the main cause is corporations avoiding sustainable practices in favor of profit. Just twenty firms are responsible for one-third of all carbon emissions (Taylor &amp; Watts, 2019). Whether the decision or the consequences of implementing sustainable practices “matter(s) more ethically” is not a discussion the planet has time for. If a business is forced to measure its environmental and social impacts, it might be more inclined to make changes to better those impacts (Lee, 2022). Take, for example, the Well-Being of Future Generations (Wales) Act of 2015 (Well-being of Future Generations (Wales) Act 2015 Essentials Guide, 2015). While only in effect on public bodies as of now, it is a legally binding set of goals to improve society as a whole in Wales in aspects such as climate change and poverty reduction. The act clearly defines sustainable development, methods to enact change, and every goal they want to achieve in terms of well-being. If </w:t>
      </w:r>
      <w:r>
        <w:rPr>
          <w:rFonts w:ascii="Times New Roman" w:eastAsia="Times New Roman" w:hAnsi="Times New Roman" w:cs="Times New Roman"/>
        </w:rPr>
        <w:lastRenderedPageBreak/>
        <w:t xml:space="preserve">something like this were implemented for businesses, CSR would be </w:t>
      </w:r>
      <w:proofErr w:type="gramStart"/>
      <w:r>
        <w:rPr>
          <w:rFonts w:ascii="Times New Roman" w:eastAsia="Times New Roman" w:hAnsi="Times New Roman" w:cs="Times New Roman"/>
        </w:rPr>
        <w:t>streamlined</w:t>
      </w:r>
      <w:proofErr w:type="gramEnd"/>
      <w:r>
        <w:rPr>
          <w:rFonts w:ascii="Times New Roman" w:eastAsia="Times New Roman" w:hAnsi="Times New Roman" w:cs="Times New Roman"/>
        </w:rPr>
        <w:t xml:space="preserve"> and all CSR reports would show trends in the same direction - one where the planet lives to see another century. </w:t>
      </w:r>
    </w:p>
    <w:p w14:paraId="00000032" w14:textId="77777777" w:rsidR="00957774"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Improvement of Society, Specifically in Developing Countries</w:t>
      </w:r>
    </w:p>
    <w:p w14:paraId="00000033"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Mandatory CSR policies in developing countries can attract investment from developed countries (</w:t>
      </w:r>
      <w:proofErr w:type="spellStart"/>
      <w:r>
        <w:rPr>
          <w:rFonts w:ascii="Times New Roman" w:eastAsia="Times New Roman" w:hAnsi="Times New Roman" w:cs="Times New Roman"/>
        </w:rPr>
        <w:t>Ramdhony</w:t>
      </w:r>
      <w:proofErr w:type="spellEnd"/>
      <w:r>
        <w:rPr>
          <w:rFonts w:ascii="Times New Roman" w:eastAsia="Times New Roman" w:hAnsi="Times New Roman" w:cs="Times New Roman"/>
        </w:rPr>
        <w:t>, 2018). Buyers from developed countries are often wary of trading with developing countries due to the frequency of malpractices such as child labor and sweatshops (</w:t>
      </w:r>
      <w:proofErr w:type="spellStart"/>
      <w:r>
        <w:rPr>
          <w:rFonts w:ascii="Times New Roman" w:eastAsia="Times New Roman" w:hAnsi="Times New Roman" w:cs="Times New Roman"/>
        </w:rPr>
        <w:t>Ramdhony</w:t>
      </w:r>
      <w:proofErr w:type="spellEnd"/>
      <w:r>
        <w:rPr>
          <w:rFonts w:ascii="Times New Roman" w:eastAsia="Times New Roman" w:hAnsi="Times New Roman" w:cs="Times New Roman"/>
        </w:rPr>
        <w:t xml:space="preserve">, 2018). If mandatory CSR improves the working conditions for people in developing countries, buyers from developed countries will become aware of this and be more inclined to invest in their businesses. Implementing mandatory CSR will also generally improve the well-being of employees in the countries that choose to. Take France for example, which passed a law in 2017 called the “duty of vigilance” law, which requires companies of over 5,000 employees in France or 10,000 employees worldwide to communicate and end any practices they hold that would be environmental or human rights violations (Coffee et al., 2020). </w:t>
      </w:r>
    </w:p>
    <w:p w14:paraId="00000034" w14:textId="77777777" w:rsidR="00957774" w:rsidRDefault="00957774">
      <w:pPr>
        <w:spacing w:line="480" w:lineRule="auto"/>
        <w:rPr>
          <w:rFonts w:ascii="Times New Roman" w:eastAsia="Times New Roman" w:hAnsi="Times New Roman" w:cs="Times New Roman"/>
        </w:rPr>
      </w:pPr>
    </w:p>
    <w:p w14:paraId="00000035" w14:textId="77777777" w:rsidR="00957774" w:rsidRDefault="00000000">
      <w:pPr>
        <w:spacing w:line="48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DISCUSSION</w:t>
      </w:r>
    </w:p>
    <w:p w14:paraId="00000036"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In the debate on whether CSR reporting should be voluntary or mandatory, it would benefit businesses, consumers, and the world if reporting were mandatory. Ultimately, the urgency of social and environmental issues pushes for government-mandated CSR. Letting businesses take the time to decide whether they would like to spend money on CSR and report on their activities is not a luxury that the planet or the people on it have at this stage. While the argument for voluntary reporting may suggest that the creativity of CSR ventures would improve if businesses could decide for themselves, if the government mandated that a specific fraction of net profits had to be spent on CSR activities, this would allow businesses to keep that creative freedom while also requiring them to serve the community. In fact, China’s Company Act from 2006 only “requires a company to undertake social responsibility” (Coffee et al., 2020). Additionally, the prevention of greenwashing and fraudulent reports would be a step in the right direction with mandatory reporting. Saving the environment and the people who live in it can only be done if the main contributors to environmental decline (Taylor &amp; Watts, 2019) are honest about how </w:t>
      </w:r>
      <w:r>
        <w:rPr>
          <w:rFonts w:ascii="Times New Roman" w:eastAsia="Times New Roman" w:hAnsi="Times New Roman" w:cs="Times New Roman"/>
        </w:rPr>
        <w:lastRenderedPageBreak/>
        <w:t xml:space="preserve">much harm or help they are doing. When consumers have the opportunity to see how big corporations are treating the world they live in, they can move their capital toward companies whose actions match their promises. A point brought up when arguing in favor of voluntary reporting is that there will be little differentiation between companies if they are all required to publish CSR reports. However, every company’s CSR report has the opportunity to be different depending on how they spend their money. Consumers can then throw their spending behind businesses that report on goals that they also support. Mandatory reporting would also improve business practices in developing countries that are not considered ethical by developed countries. If businesses in developing countries are forced to publish CSR reports that show mandatory CSR spending, businesses in developed countries will be more interested in doing business with them. This will improve the economies of both developing and developed countries, as well as the conditions that employees in developing countries would be working in. </w:t>
      </w:r>
    </w:p>
    <w:p w14:paraId="00000037" w14:textId="77777777" w:rsidR="00957774" w:rsidRDefault="00957774">
      <w:pPr>
        <w:spacing w:line="480" w:lineRule="auto"/>
        <w:rPr>
          <w:rFonts w:ascii="Times New Roman" w:eastAsia="Times New Roman" w:hAnsi="Times New Roman" w:cs="Times New Roman"/>
        </w:rPr>
      </w:pPr>
    </w:p>
    <w:p w14:paraId="00000038" w14:textId="77777777" w:rsidR="00957774" w:rsidRDefault="00000000">
      <w:pPr>
        <w:spacing w:line="48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CONCLUSION</w:t>
      </w:r>
    </w:p>
    <w:p w14:paraId="00000039" w14:textId="77777777" w:rsidR="00957774"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Voluntary CSR reporting allows companies to differentiate themselves from those who do not publish reports, as well as have complete creative freedom over their CSR ventures. It also allows companies to keep their own individualized standards for reporting, and to act on their own view of what an ethical decision is. On the other hand, mandatory reporting would improve the quality of published reports, and force companies to be transparent about their CSR spending and goals. It also would expedite the process of reversing climate change and help investment and improve ethical practices in developing countries. Mandatory reporting allows companies that are already spending a portion of their profits on CSR activities to continue what they do but also requires companies that are not participating in CSR to have a chance to better society. The decision for a business to voluntarily publish CSR reports is important and may distinguish them from the crowd, but the consequences of universal mandatory reporting could change the course of humanity. </w:t>
      </w:r>
    </w:p>
    <w:p w14:paraId="0000003A" w14:textId="77777777" w:rsidR="00957774" w:rsidRDefault="00957774">
      <w:pPr>
        <w:spacing w:line="480" w:lineRule="auto"/>
        <w:jc w:val="center"/>
        <w:rPr>
          <w:rFonts w:ascii="Times New Roman" w:eastAsia="Times New Roman" w:hAnsi="Times New Roman" w:cs="Times New Roman"/>
          <w:b/>
          <w:u w:val="single"/>
        </w:rPr>
      </w:pPr>
    </w:p>
    <w:p w14:paraId="0000003B" w14:textId="77777777" w:rsidR="00957774" w:rsidRDefault="00000000">
      <w:pPr>
        <w:spacing w:line="48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REFERENCES</w:t>
      </w:r>
    </w:p>
    <w:p w14:paraId="0000003C"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Ackerman, R. A., &amp; Bauer, R. A. (1976). Corporate Social Responsiveness: The Modern Dilemma [Sic]. </w:t>
      </w:r>
      <w:r>
        <w:rPr>
          <w:rFonts w:ascii="Times New Roman" w:eastAsia="Times New Roman" w:hAnsi="Times New Roman" w:cs="Times New Roman"/>
          <w:i/>
        </w:rPr>
        <w:t>Reston</w:t>
      </w:r>
      <w:r>
        <w:rPr>
          <w:rFonts w:ascii="Times New Roman" w:eastAsia="Times New Roman" w:hAnsi="Times New Roman" w:cs="Times New Roman"/>
        </w:rPr>
        <w:t>. https://www.worldcat.org/title/corporate-social-responsiveness-the-modern-dilemma/oclc/217195621</w:t>
      </w:r>
    </w:p>
    <w:p w14:paraId="0000003D"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Carroll, A. B. (1979). A Three-Dimensional Conceptual Model of Corporate Performance. </w:t>
      </w:r>
      <w:r>
        <w:rPr>
          <w:rFonts w:ascii="Times New Roman" w:eastAsia="Times New Roman" w:hAnsi="Times New Roman" w:cs="Times New Roman"/>
          <w:i/>
        </w:rPr>
        <w:t>Academy of Management Review</w:t>
      </w:r>
      <w:r>
        <w:rPr>
          <w:rFonts w:ascii="Times New Roman" w:eastAsia="Times New Roman" w:hAnsi="Times New Roman" w:cs="Times New Roman"/>
        </w:rPr>
        <w:t xml:space="preserve">, </w:t>
      </w:r>
      <w:r>
        <w:rPr>
          <w:rFonts w:ascii="Times New Roman" w:eastAsia="Times New Roman" w:hAnsi="Times New Roman" w:cs="Times New Roman"/>
          <w:i/>
        </w:rPr>
        <w:t>4</w:t>
      </w:r>
      <w:r>
        <w:rPr>
          <w:rFonts w:ascii="Times New Roman" w:eastAsia="Times New Roman" w:hAnsi="Times New Roman" w:cs="Times New Roman"/>
        </w:rPr>
        <w:t>(4), 497–505. https://doi.org/10.5465/amr.1979.4498296</w:t>
      </w:r>
    </w:p>
    <w:p w14:paraId="0000003E"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Coffee, J. C., Jr, Lund, D. S., Judge, K., Kashyap, A., Coffee, J. C., Jr, Hill, J. G., Fox, M. B., Patel, M. S., Mitts, J., Goshen, Z., Steel, R. S., Lin, L., &amp; R. (2020, November 20). </w:t>
      </w:r>
      <w:r>
        <w:rPr>
          <w:rFonts w:ascii="Times New Roman" w:eastAsia="Times New Roman" w:hAnsi="Times New Roman" w:cs="Times New Roman"/>
          <w:i/>
        </w:rPr>
        <w:t>Mandatory Corporate Social Responsibility Legislation Around the World | CLS Blue Sky Blog</w:t>
      </w:r>
      <w:r>
        <w:rPr>
          <w:rFonts w:ascii="Times New Roman" w:eastAsia="Times New Roman" w:hAnsi="Times New Roman" w:cs="Times New Roman"/>
        </w:rPr>
        <w:t>. https://clsbluesky.law.columbia.edu/2020/11/20/mandatory-corporate-social-responsibility-legislation-around-the-world/</w:t>
      </w:r>
    </w:p>
    <w:p w14:paraId="0000003F"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Columbia Business School. (2022, January 20). </w:t>
      </w:r>
      <w:r>
        <w:rPr>
          <w:rFonts w:ascii="Times New Roman" w:eastAsia="Times New Roman" w:hAnsi="Times New Roman" w:cs="Times New Roman"/>
          <w:i/>
        </w:rPr>
        <w:t>Should Corporate Social Responsibility Be Mandated?</w:t>
      </w:r>
      <w:r>
        <w:rPr>
          <w:rFonts w:ascii="Times New Roman" w:eastAsia="Times New Roman" w:hAnsi="Times New Roman" w:cs="Times New Roman"/>
        </w:rPr>
        <w:t xml:space="preserve"> Ideas &amp; Insights. https://www8.gsb.columbia.edu/articles/chazen-global-insights/should-corporate-social-responsibility-be-mandated</w:t>
      </w:r>
    </w:p>
    <w:p w14:paraId="00000040"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Cominetti, M., &amp; </w:t>
      </w:r>
      <w:proofErr w:type="spellStart"/>
      <w:r>
        <w:rPr>
          <w:rFonts w:ascii="Times New Roman" w:eastAsia="Times New Roman" w:hAnsi="Times New Roman" w:cs="Times New Roman"/>
        </w:rPr>
        <w:t>Seele</w:t>
      </w:r>
      <w:proofErr w:type="spellEnd"/>
      <w:r>
        <w:rPr>
          <w:rFonts w:ascii="Times New Roman" w:eastAsia="Times New Roman" w:hAnsi="Times New Roman" w:cs="Times New Roman"/>
        </w:rPr>
        <w:t xml:space="preserve">, P. (2016). Hard soft law or soft hard law? A content analysis of CSR guidelines typologized along hybrid legal status. </w:t>
      </w:r>
      <w:proofErr w:type="spellStart"/>
      <w:r>
        <w:rPr>
          <w:rFonts w:ascii="Times New Roman" w:eastAsia="Times New Roman" w:hAnsi="Times New Roman" w:cs="Times New Roman"/>
          <w:i/>
        </w:rPr>
        <w:t>UmweltWirtschaftsForum</w:t>
      </w:r>
      <w:proofErr w:type="spellEnd"/>
      <w:r>
        <w:rPr>
          <w:rFonts w:ascii="Times New Roman" w:eastAsia="Times New Roman" w:hAnsi="Times New Roman" w:cs="Times New Roman"/>
        </w:rPr>
        <w:t xml:space="preserve">, </w:t>
      </w:r>
      <w:r>
        <w:rPr>
          <w:rFonts w:ascii="Times New Roman" w:eastAsia="Times New Roman" w:hAnsi="Times New Roman" w:cs="Times New Roman"/>
          <w:i/>
        </w:rPr>
        <w:t>24</w:t>
      </w:r>
      <w:r>
        <w:rPr>
          <w:rFonts w:ascii="Times New Roman" w:eastAsia="Times New Roman" w:hAnsi="Times New Roman" w:cs="Times New Roman"/>
        </w:rPr>
        <w:t>(2–3), 127–140. https://doi.org/10.1007/s00550-016-0425-4</w:t>
      </w:r>
    </w:p>
    <w:p w14:paraId="00000041" w14:textId="77777777" w:rsidR="00957774" w:rsidRDefault="00000000" w:rsidP="003E5D9E">
      <w:pPr>
        <w:spacing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Dahlsrud</w:t>
      </w:r>
      <w:proofErr w:type="spellEnd"/>
      <w:r>
        <w:rPr>
          <w:rFonts w:ascii="Times New Roman" w:eastAsia="Times New Roman" w:hAnsi="Times New Roman" w:cs="Times New Roman"/>
        </w:rPr>
        <w:t xml:space="preserve">, A. (2008). How corporate social responsibility is defined: an analysis of 37 definitions. </w:t>
      </w:r>
      <w:r>
        <w:rPr>
          <w:rFonts w:ascii="Times New Roman" w:eastAsia="Times New Roman" w:hAnsi="Times New Roman" w:cs="Times New Roman"/>
          <w:i/>
        </w:rPr>
        <w:t>Corporate Social Responsibility and Environmental Management</w:t>
      </w:r>
      <w:r>
        <w:rPr>
          <w:rFonts w:ascii="Times New Roman" w:eastAsia="Times New Roman" w:hAnsi="Times New Roman" w:cs="Times New Roman"/>
        </w:rPr>
        <w:t xml:space="preserve">, </w:t>
      </w:r>
      <w:r>
        <w:rPr>
          <w:rFonts w:ascii="Times New Roman" w:eastAsia="Times New Roman" w:hAnsi="Times New Roman" w:cs="Times New Roman"/>
          <w:i/>
        </w:rPr>
        <w:t>15</w:t>
      </w:r>
      <w:r>
        <w:rPr>
          <w:rFonts w:ascii="Times New Roman" w:eastAsia="Times New Roman" w:hAnsi="Times New Roman" w:cs="Times New Roman"/>
        </w:rPr>
        <w:t>(1), 1–13. https://doi.org/10.1002/csr.132</w:t>
      </w:r>
    </w:p>
    <w:p w14:paraId="00000042"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Dave, A. I. (2017). Voluntary vs. Mandatory CSR. </w:t>
      </w:r>
      <w:r>
        <w:rPr>
          <w:rFonts w:ascii="Times New Roman" w:eastAsia="Times New Roman" w:hAnsi="Times New Roman" w:cs="Times New Roman"/>
          <w:i/>
        </w:rPr>
        <w:t>INTERNATIONAL JOURNAL FOR INNOVATIVE RESEARCH IN MULTIDISCIPLINARY FIELD</w:t>
      </w:r>
      <w:r>
        <w:rPr>
          <w:rFonts w:ascii="Times New Roman" w:eastAsia="Times New Roman" w:hAnsi="Times New Roman" w:cs="Times New Roman"/>
        </w:rPr>
        <w:t xml:space="preserve">, </w:t>
      </w:r>
      <w:r>
        <w:rPr>
          <w:rFonts w:ascii="Times New Roman" w:eastAsia="Times New Roman" w:hAnsi="Times New Roman" w:cs="Times New Roman"/>
          <w:i/>
        </w:rPr>
        <w:t>3</w:t>
      </w:r>
      <w:r>
        <w:rPr>
          <w:rFonts w:ascii="Times New Roman" w:eastAsia="Times New Roman" w:hAnsi="Times New Roman" w:cs="Times New Roman"/>
        </w:rPr>
        <w:t>(4), 204–208. https://www.ijirmf.com/wp-content/uploads/2017/05/201704056.pdf</w:t>
      </w:r>
    </w:p>
    <w:p w14:paraId="00000043"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Eccles, R. G. (2018, November 3). </w:t>
      </w:r>
      <w:r>
        <w:rPr>
          <w:rFonts w:ascii="Times New Roman" w:eastAsia="Times New Roman" w:hAnsi="Times New Roman" w:cs="Times New Roman"/>
          <w:i/>
        </w:rPr>
        <w:t xml:space="preserve">A Debate </w:t>
      </w:r>
      <w:proofErr w:type="gramStart"/>
      <w:r>
        <w:rPr>
          <w:rFonts w:ascii="Times New Roman" w:eastAsia="Times New Roman" w:hAnsi="Times New Roman" w:cs="Times New Roman"/>
          <w:i/>
        </w:rPr>
        <w:t>At</w:t>
      </w:r>
      <w:proofErr w:type="gramEnd"/>
      <w:r>
        <w:rPr>
          <w:rFonts w:ascii="Times New Roman" w:eastAsia="Times New Roman" w:hAnsi="Times New Roman" w:cs="Times New Roman"/>
          <w:i/>
        </w:rPr>
        <w:t xml:space="preserve"> The Oxford Union: Should FASB And IASB Set Standards For Nonfinancial Information?</w:t>
      </w:r>
      <w:r>
        <w:rPr>
          <w:rFonts w:ascii="Times New Roman" w:eastAsia="Times New Roman" w:hAnsi="Times New Roman" w:cs="Times New Roman"/>
        </w:rPr>
        <w:t xml:space="preserve"> Forbes. https://www.forbes.com/sites/bobeccles/2018/11/03/a-</w:t>
      </w:r>
      <w:r>
        <w:rPr>
          <w:rFonts w:ascii="Times New Roman" w:eastAsia="Times New Roman" w:hAnsi="Times New Roman" w:cs="Times New Roman"/>
        </w:rPr>
        <w:lastRenderedPageBreak/>
        <w:t>debate-at-the-oxford-union-should-fasb-and-iasb-set-standards-for-nonfinancial-information/?sh=7eddc57e4393</w:t>
      </w:r>
    </w:p>
    <w:p w14:paraId="00000044"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ENVIRONMENTAL, SOCIAL AND GOVERNANCE (ESG) SURVEY. (2017). In </w:t>
      </w:r>
      <w:r>
        <w:rPr>
          <w:rFonts w:ascii="Times New Roman" w:eastAsia="Times New Roman" w:hAnsi="Times New Roman" w:cs="Times New Roman"/>
          <w:i/>
        </w:rPr>
        <w:t>CFA Institute</w:t>
      </w:r>
      <w:r>
        <w:rPr>
          <w:rFonts w:ascii="Times New Roman" w:eastAsia="Times New Roman" w:hAnsi="Times New Roman" w:cs="Times New Roman"/>
        </w:rPr>
        <w:t>. CFA Institute. Retrieved February 14, 2023, from https://www.cfainstitute.org/-/media/documents/survey/esg-survey-report-2017.ashx</w:t>
      </w:r>
    </w:p>
    <w:p w14:paraId="00000045"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Friedman, M. (1970). The Social Responsibility of Business Is to Increase Its Profits. </w:t>
      </w:r>
      <w:r>
        <w:rPr>
          <w:rFonts w:ascii="Times New Roman" w:eastAsia="Times New Roman" w:hAnsi="Times New Roman" w:cs="Times New Roman"/>
          <w:i/>
        </w:rPr>
        <w:t>The New York Times Magazine</w:t>
      </w:r>
      <w:r>
        <w:rPr>
          <w:rFonts w:ascii="Times New Roman" w:eastAsia="Times New Roman" w:hAnsi="Times New Roman" w:cs="Times New Roman"/>
        </w:rPr>
        <w:t>, 173–178. https://doi.org/10.1007/978-3-540-70818-6_14</w:t>
      </w:r>
    </w:p>
    <w:p w14:paraId="00000046"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Freeman, E. R. (1984). </w:t>
      </w:r>
      <w:r>
        <w:rPr>
          <w:rFonts w:ascii="Times New Roman" w:eastAsia="Times New Roman" w:hAnsi="Times New Roman" w:cs="Times New Roman"/>
          <w:i/>
        </w:rPr>
        <w:t>Strategic Management: A Stakeholder Approach</w:t>
      </w:r>
      <w:r>
        <w:rPr>
          <w:rFonts w:ascii="Times New Roman" w:eastAsia="Times New Roman" w:hAnsi="Times New Roman" w:cs="Times New Roman"/>
        </w:rPr>
        <w:t>. Pitman Publishing.</w:t>
      </w:r>
    </w:p>
    <w:p w14:paraId="00000047"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García-Sánchez, I., Hussain, N., Khan, S. N., &amp; Martínez-Ferrero, J. (2021). Do Markets Punish or Reward Corporate Social Responsibility Decoupling? </w:t>
      </w:r>
      <w:r>
        <w:rPr>
          <w:rFonts w:ascii="Times New Roman" w:eastAsia="Times New Roman" w:hAnsi="Times New Roman" w:cs="Times New Roman"/>
          <w:i/>
        </w:rPr>
        <w:t>Business &amp; Society</w:t>
      </w:r>
      <w:r>
        <w:rPr>
          <w:rFonts w:ascii="Times New Roman" w:eastAsia="Times New Roman" w:hAnsi="Times New Roman" w:cs="Times New Roman"/>
        </w:rPr>
        <w:t xml:space="preserve">, </w:t>
      </w:r>
      <w:r>
        <w:rPr>
          <w:rFonts w:ascii="Times New Roman" w:eastAsia="Times New Roman" w:hAnsi="Times New Roman" w:cs="Times New Roman"/>
          <w:i/>
        </w:rPr>
        <w:t>60</w:t>
      </w:r>
      <w:r>
        <w:rPr>
          <w:rFonts w:ascii="Times New Roman" w:eastAsia="Times New Roman" w:hAnsi="Times New Roman" w:cs="Times New Roman"/>
        </w:rPr>
        <w:t>(6), 1431–1467. https://doi.org/10.1177/0007650319898839</w:t>
      </w:r>
    </w:p>
    <w:p w14:paraId="00000048"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i/>
        </w:rPr>
        <w:t>Greenwashing Files: Shell</w:t>
      </w:r>
      <w:r>
        <w:rPr>
          <w:rFonts w:ascii="Times New Roman" w:eastAsia="Times New Roman" w:hAnsi="Times New Roman" w:cs="Times New Roman"/>
        </w:rPr>
        <w:t xml:space="preserve">. (2023, January 9). </w:t>
      </w:r>
      <w:proofErr w:type="spellStart"/>
      <w:r>
        <w:rPr>
          <w:rFonts w:ascii="Times New Roman" w:eastAsia="Times New Roman" w:hAnsi="Times New Roman" w:cs="Times New Roman"/>
        </w:rPr>
        <w:t>ClientEarth</w:t>
      </w:r>
      <w:proofErr w:type="spellEnd"/>
      <w:r>
        <w:rPr>
          <w:rFonts w:ascii="Times New Roman" w:eastAsia="Times New Roman" w:hAnsi="Times New Roman" w:cs="Times New Roman"/>
        </w:rPr>
        <w:t>. Retrieved February 14, 2023, from https://www.clientearth.org/projects/the-greenwashing-files/shell/</w:t>
      </w:r>
    </w:p>
    <w:p w14:paraId="00000049"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Lee, E. (2022, April 27). </w:t>
      </w:r>
      <w:r>
        <w:rPr>
          <w:rFonts w:ascii="Times New Roman" w:eastAsia="Times New Roman" w:hAnsi="Times New Roman" w:cs="Times New Roman"/>
          <w:i/>
        </w:rPr>
        <w:t>What is Corporate Social Responsibility?</w:t>
      </w:r>
      <w:r>
        <w:rPr>
          <w:rFonts w:ascii="Times New Roman" w:eastAsia="Times New Roman" w:hAnsi="Times New Roman" w:cs="Times New Roman"/>
        </w:rPr>
        <w:t xml:space="preserve"> CPD Online College. https://cpdonline.co.uk/knowledge-base/business/corporate-social-responsibility/</w:t>
      </w:r>
    </w:p>
    <w:p w14:paraId="0000004A" w14:textId="77777777" w:rsidR="00957774" w:rsidRDefault="00000000" w:rsidP="003E5D9E">
      <w:pPr>
        <w:spacing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Leinaweaver</w:t>
      </w:r>
      <w:proofErr w:type="spellEnd"/>
      <w:r>
        <w:rPr>
          <w:rFonts w:ascii="Times New Roman" w:eastAsia="Times New Roman" w:hAnsi="Times New Roman" w:cs="Times New Roman"/>
        </w:rPr>
        <w:t xml:space="preserve">, J. (2015, January 6). </w:t>
      </w:r>
      <w:r>
        <w:rPr>
          <w:rFonts w:ascii="Times New Roman" w:eastAsia="Times New Roman" w:hAnsi="Times New Roman" w:cs="Times New Roman"/>
          <w:i/>
        </w:rPr>
        <w:t>Is corporate sustainability reporting a great waste of time?</w:t>
      </w:r>
      <w:r>
        <w:rPr>
          <w:rFonts w:ascii="Times New Roman" w:eastAsia="Times New Roman" w:hAnsi="Times New Roman" w:cs="Times New Roman"/>
        </w:rPr>
        <w:t xml:space="preserve"> The Guardian. Retrieved February 14, 2023, from https://www.theguardian.com/sustainable-business/2015/jan/06/corporate-sustainability-reporting-waste-time</w:t>
      </w:r>
    </w:p>
    <w:p w14:paraId="0000004B"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Lock, I., &amp; </w:t>
      </w:r>
      <w:proofErr w:type="spellStart"/>
      <w:r>
        <w:rPr>
          <w:rFonts w:ascii="Times New Roman" w:eastAsia="Times New Roman" w:hAnsi="Times New Roman" w:cs="Times New Roman"/>
        </w:rPr>
        <w:t>Seele</w:t>
      </w:r>
      <w:proofErr w:type="spellEnd"/>
      <w:r>
        <w:rPr>
          <w:rFonts w:ascii="Times New Roman" w:eastAsia="Times New Roman" w:hAnsi="Times New Roman" w:cs="Times New Roman"/>
        </w:rPr>
        <w:t xml:space="preserve">, P. (2016). The credibility of CSR (corporate social responsibility) reports in Europe. Evidence from a quantitative content analysis in 11 countries. </w:t>
      </w:r>
      <w:r>
        <w:rPr>
          <w:rFonts w:ascii="Times New Roman" w:eastAsia="Times New Roman" w:hAnsi="Times New Roman" w:cs="Times New Roman"/>
          <w:i/>
        </w:rPr>
        <w:t>Journal of Cleaner Production</w:t>
      </w:r>
      <w:r>
        <w:rPr>
          <w:rFonts w:ascii="Times New Roman" w:eastAsia="Times New Roman" w:hAnsi="Times New Roman" w:cs="Times New Roman"/>
        </w:rPr>
        <w:t xml:space="preserve">, </w:t>
      </w:r>
      <w:r>
        <w:rPr>
          <w:rFonts w:ascii="Times New Roman" w:eastAsia="Times New Roman" w:hAnsi="Times New Roman" w:cs="Times New Roman"/>
          <w:i/>
        </w:rPr>
        <w:t>122</w:t>
      </w:r>
      <w:r>
        <w:rPr>
          <w:rFonts w:ascii="Times New Roman" w:eastAsia="Times New Roman" w:hAnsi="Times New Roman" w:cs="Times New Roman"/>
        </w:rPr>
        <w:t>, 186–200. https://doi.org/10.1016/j.jclepro.2016.02.060</w:t>
      </w:r>
    </w:p>
    <w:p w14:paraId="0000004C"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Matten, D., &amp; Moon, J. (2008). “Implicit” and “Explicit” CSR: A Conceptual Framework for a Comparative Understanding of Corporate Social Responsibility. </w:t>
      </w:r>
      <w:r>
        <w:rPr>
          <w:rFonts w:ascii="Times New Roman" w:eastAsia="Times New Roman" w:hAnsi="Times New Roman" w:cs="Times New Roman"/>
          <w:i/>
        </w:rPr>
        <w:t>Academy of Management Review</w:t>
      </w:r>
      <w:r>
        <w:rPr>
          <w:rFonts w:ascii="Times New Roman" w:eastAsia="Times New Roman" w:hAnsi="Times New Roman" w:cs="Times New Roman"/>
        </w:rPr>
        <w:t xml:space="preserve">, </w:t>
      </w:r>
      <w:r>
        <w:rPr>
          <w:rFonts w:ascii="Times New Roman" w:eastAsia="Times New Roman" w:hAnsi="Times New Roman" w:cs="Times New Roman"/>
          <w:i/>
        </w:rPr>
        <w:t>33</w:t>
      </w:r>
      <w:r>
        <w:rPr>
          <w:rFonts w:ascii="Times New Roman" w:eastAsia="Times New Roman" w:hAnsi="Times New Roman" w:cs="Times New Roman"/>
        </w:rPr>
        <w:t>(2), 404–424. https://doi.org/10.5465/amr.2008.31193458</w:t>
      </w:r>
    </w:p>
    <w:p w14:paraId="0000004D"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Miller, K. (2020, December 8). </w:t>
      </w:r>
      <w:r>
        <w:rPr>
          <w:rFonts w:ascii="Times New Roman" w:eastAsia="Times New Roman" w:hAnsi="Times New Roman" w:cs="Times New Roman"/>
          <w:i/>
        </w:rPr>
        <w:t>The Triple Bottom Line: What It Is &amp; Why It’s Important</w:t>
      </w:r>
      <w:r>
        <w:rPr>
          <w:rFonts w:ascii="Times New Roman" w:eastAsia="Times New Roman" w:hAnsi="Times New Roman" w:cs="Times New Roman"/>
        </w:rPr>
        <w:t>. Business Insights Blog. https://online.hbs.edu/blog/post/what-is-the-triple-bottom-line</w:t>
      </w:r>
    </w:p>
    <w:p w14:paraId="0000004E"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lastRenderedPageBreak/>
        <w:t xml:space="preserve">Montiel Justo, Alejandra Adriana &amp; Justo, Montiel. (2019). Should CSR be mandatory, voluntary or </w:t>
      </w:r>
      <w:proofErr w:type="gramStart"/>
      <w:r>
        <w:rPr>
          <w:rFonts w:ascii="Times New Roman" w:eastAsia="Times New Roman" w:hAnsi="Times New Roman" w:cs="Times New Roman"/>
        </w:rPr>
        <w:t>both?.</w:t>
      </w:r>
      <w:proofErr w:type="gramEnd"/>
      <w:r>
        <w:rPr>
          <w:rFonts w:ascii="Times New Roman" w:eastAsia="Times New Roman" w:hAnsi="Times New Roman" w:cs="Times New Roman"/>
        </w:rPr>
        <w:t xml:space="preserve"> 10.13140/RG.2.2.34532.42887. </w:t>
      </w:r>
    </w:p>
    <w:p w14:paraId="0000004F"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Neuman, S. (2021, November 4). </w:t>
      </w:r>
      <w:r>
        <w:rPr>
          <w:rFonts w:ascii="Times New Roman" w:eastAsia="Times New Roman" w:hAnsi="Times New Roman" w:cs="Times New Roman"/>
          <w:i/>
        </w:rPr>
        <w:t>Earth has 11 years to cut emissions to avoid dire climate scenarios, a report says</w:t>
      </w:r>
      <w:r>
        <w:rPr>
          <w:rFonts w:ascii="Times New Roman" w:eastAsia="Times New Roman" w:hAnsi="Times New Roman" w:cs="Times New Roman"/>
        </w:rPr>
        <w:t>. NPR. Retrieved February 14, 2023, from https://www.npr.org/2021/11/04/1052267118/climate-change-carbon-dioxide-emissions-global-carbon-budget</w:t>
      </w:r>
    </w:p>
    <w:p w14:paraId="00000050" w14:textId="77777777" w:rsidR="00957774" w:rsidRDefault="00000000" w:rsidP="003E5D9E">
      <w:pPr>
        <w:spacing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Ramdhony</w:t>
      </w:r>
      <w:proofErr w:type="spellEnd"/>
      <w:r>
        <w:rPr>
          <w:rFonts w:ascii="Times New Roman" w:eastAsia="Times New Roman" w:hAnsi="Times New Roman" w:cs="Times New Roman"/>
        </w:rPr>
        <w:t xml:space="preserve">, D. (2018). The Implications of Mandatory Corporate Social Responsibility—A Literature Review Perspective. </w:t>
      </w:r>
      <w:r>
        <w:rPr>
          <w:rFonts w:ascii="Times New Roman" w:eastAsia="Times New Roman" w:hAnsi="Times New Roman" w:cs="Times New Roman"/>
          <w:i/>
        </w:rPr>
        <w:t>Theoretical Economics Letters</w:t>
      </w:r>
      <w:r>
        <w:rPr>
          <w:rFonts w:ascii="Times New Roman" w:eastAsia="Times New Roman" w:hAnsi="Times New Roman" w:cs="Times New Roman"/>
        </w:rPr>
        <w:t xml:space="preserve">, </w:t>
      </w:r>
      <w:r>
        <w:rPr>
          <w:rFonts w:ascii="Times New Roman" w:eastAsia="Times New Roman" w:hAnsi="Times New Roman" w:cs="Times New Roman"/>
          <w:i/>
        </w:rPr>
        <w:t>08</w:t>
      </w:r>
      <w:r>
        <w:rPr>
          <w:rFonts w:ascii="Times New Roman" w:eastAsia="Times New Roman" w:hAnsi="Times New Roman" w:cs="Times New Roman"/>
        </w:rPr>
        <w:t>(03), 432–447. https://doi.org/10.4236/tel.2018.83031</w:t>
      </w:r>
    </w:p>
    <w:p w14:paraId="00000051"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Reid, E., &amp; </w:t>
      </w:r>
      <w:proofErr w:type="spellStart"/>
      <w:r>
        <w:rPr>
          <w:rFonts w:ascii="Times New Roman" w:eastAsia="Times New Roman" w:hAnsi="Times New Roman" w:cs="Times New Roman"/>
        </w:rPr>
        <w:t>Toffel</w:t>
      </w:r>
      <w:proofErr w:type="spellEnd"/>
      <w:r>
        <w:rPr>
          <w:rFonts w:ascii="Times New Roman" w:eastAsia="Times New Roman" w:hAnsi="Times New Roman" w:cs="Times New Roman"/>
        </w:rPr>
        <w:t xml:space="preserve">, M. W. (2009). Responding to Public and Private Politics: Corporate Disclosure of Climate Change Strategies. </w:t>
      </w:r>
      <w:r>
        <w:rPr>
          <w:rFonts w:ascii="Times New Roman" w:eastAsia="Times New Roman" w:hAnsi="Times New Roman" w:cs="Times New Roman"/>
          <w:i/>
        </w:rPr>
        <w:t>Social Science Research Network</w:t>
      </w:r>
      <w:r>
        <w:rPr>
          <w:rFonts w:ascii="Times New Roman" w:eastAsia="Times New Roman" w:hAnsi="Times New Roman" w:cs="Times New Roman"/>
        </w:rPr>
        <w:t>. https://doi.org/10.2139/ssrn.1237982</w:t>
      </w:r>
    </w:p>
    <w:p w14:paraId="00000052" w14:textId="77777777" w:rsidR="00957774" w:rsidRDefault="00000000" w:rsidP="003E5D9E">
      <w:pPr>
        <w:spacing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Seele</w:t>
      </w:r>
      <w:proofErr w:type="spellEnd"/>
      <w:r>
        <w:rPr>
          <w:rFonts w:ascii="Times New Roman" w:eastAsia="Times New Roman" w:hAnsi="Times New Roman" w:cs="Times New Roman"/>
        </w:rPr>
        <w:t xml:space="preserve">, P., &amp; </w:t>
      </w:r>
      <w:proofErr w:type="spellStart"/>
      <w:r>
        <w:rPr>
          <w:rFonts w:ascii="Times New Roman" w:eastAsia="Times New Roman" w:hAnsi="Times New Roman" w:cs="Times New Roman"/>
        </w:rPr>
        <w:t>Gatti</w:t>
      </w:r>
      <w:proofErr w:type="spellEnd"/>
      <w:r>
        <w:rPr>
          <w:rFonts w:ascii="Times New Roman" w:eastAsia="Times New Roman" w:hAnsi="Times New Roman" w:cs="Times New Roman"/>
        </w:rPr>
        <w:t xml:space="preserve">, L. (2017). Greenwashing Revisited: In Search of a Typology and Accusation-Based Definition Incorporating Legitimacy Strategies. </w:t>
      </w:r>
      <w:r>
        <w:rPr>
          <w:rFonts w:ascii="Times New Roman" w:eastAsia="Times New Roman" w:hAnsi="Times New Roman" w:cs="Times New Roman"/>
          <w:i/>
        </w:rPr>
        <w:t>Business Strategy and the Environment</w:t>
      </w:r>
      <w:r>
        <w:rPr>
          <w:rFonts w:ascii="Times New Roman" w:eastAsia="Times New Roman" w:hAnsi="Times New Roman" w:cs="Times New Roman"/>
        </w:rPr>
        <w:t xml:space="preserve">, </w:t>
      </w:r>
      <w:r>
        <w:rPr>
          <w:rFonts w:ascii="Times New Roman" w:eastAsia="Times New Roman" w:hAnsi="Times New Roman" w:cs="Times New Roman"/>
          <w:i/>
        </w:rPr>
        <w:t>26</w:t>
      </w:r>
      <w:r>
        <w:rPr>
          <w:rFonts w:ascii="Times New Roman" w:eastAsia="Times New Roman" w:hAnsi="Times New Roman" w:cs="Times New Roman"/>
        </w:rPr>
        <w:t>(2), 239–252. https://doi.org/10.1002/bse.1912</w:t>
      </w:r>
    </w:p>
    <w:p w14:paraId="00000053"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Taylor, M., &amp; Watts, J. (2021, August 25). </w:t>
      </w:r>
      <w:r>
        <w:rPr>
          <w:rFonts w:ascii="Times New Roman" w:eastAsia="Times New Roman" w:hAnsi="Times New Roman" w:cs="Times New Roman"/>
          <w:i/>
        </w:rPr>
        <w:t>Revealed: the 20 firms behind a third of all carbon emissions</w:t>
      </w:r>
      <w:r>
        <w:rPr>
          <w:rFonts w:ascii="Times New Roman" w:eastAsia="Times New Roman" w:hAnsi="Times New Roman" w:cs="Times New Roman"/>
        </w:rPr>
        <w:t>. The Guardian. https://www.theguardian.com/environment/2019/oct/09/revealed-20-firms-third-carbon-emissions</w:t>
      </w:r>
    </w:p>
    <w:p w14:paraId="00000054"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United Nations. (n.d.). </w:t>
      </w:r>
      <w:r>
        <w:rPr>
          <w:rFonts w:ascii="Times New Roman" w:eastAsia="Times New Roman" w:hAnsi="Times New Roman" w:cs="Times New Roman"/>
          <w:i/>
        </w:rPr>
        <w:t>Population</w:t>
      </w:r>
      <w:r>
        <w:rPr>
          <w:rFonts w:ascii="Times New Roman" w:eastAsia="Times New Roman" w:hAnsi="Times New Roman" w:cs="Times New Roman"/>
        </w:rPr>
        <w:t>. https://www.un.org/en/global-issues/population</w:t>
      </w:r>
    </w:p>
    <w:p w14:paraId="00000055" w14:textId="77777777" w:rsidR="00957774" w:rsidRDefault="00000000" w:rsidP="003E5D9E">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i/>
        </w:rPr>
        <w:t>Well-being of Future Generations (Wales) Act 2015 Essentials Guide</w:t>
      </w:r>
      <w:r>
        <w:rPr>
          <w:rFonts w:ascii="Times New Roman" w:eastAsia="Times New Roman" w:hAnsi="Times New Roman" w:cs="Times New Roman"/>
        </w:rPr>
        <w:t>. (2015). Future Generations Commissioner for Wales. Retrieved February 14, 2023, from https://www.futuregenerations.wales/about-us/future-generations-act/</w:t>
      </w:r>
    </w:p>
    <w:p w14:paraId="00000056" w14:textId="77777777" w:rsidR="00957774" w:rsidRDefault="00957774">
      <w:pPr>
        <w:spacing w:line="480" w:lineRule="auto"/>
        <w:rPr>
          <w:rFonts w:ascii="Times New Roman" w:eastAsia="Times New Roman" w:hAnsi="Times New Roman" w:cs="Times New Roman"/>
          <w:sz w:val="24"/>
          <w:szCs w:val="24"/>
        </w:rPr>
      </w:pPr>
    </w:p>
    <w:sectPr w:rsidR="00957774">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1E63B" w14:textId="77777777" w:rsidR="003237BB" w:rsidRDefault="003237BB">
      <w:pPr>
        <w:spacing w:line="240" w:lineRule="auto"/>
      </w:pPr>
      <w:r>
        <w:separator/>
      </w:r>
    </w:p>
  </w:endnote>
  <w:endnote w:type="continuationSeparator" w:id="0">
    <w:p w14:paraId="07E1A74C" w14:textId="77777777" w:rsidR="003237BB" w:rsidRDefault="003237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960DB" w14:textId="77777777" w:rsidR="003237BB" w:rsidRDefault="003237BB">
      <w:pPr>
        <w:spacing w:line="240" w:lineRule="auto"/>
      </w:pPr>
      <w:r>
        <w:separator/>
      </w:r>
    </w:p>
  </w:footnote>
  <w:footnote w:type="continuationSeparator" w:id="0">
    <w:p w14:paraId="40ABAE7A" w14:textId="77777777" w:rsidR="003237BB" w:rsidRDefault="003237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7" w14:textId="4C563BD4" w:rsidR="00957774" w:rsidRDefault="00000000">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3E5D9E">
      <w:rPr>
        <w:rFonts w:ascii="Times New Roman" w:eastAsia="Times New Roman" w:hAnsi="Times New Roman" w:cs="Times New Roman"/>
        <w:noProof/>
      </w:rPr>
      <w:t>1</w:t>
    </w:r>
    <w:r>
      <w:rPr>
        <w:rFonts w:ascii="Times New Roman" w:eastAsia="Times New Roman" w:hAnsi="Times New Roman" w:cs="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774"/>
    <w:rsid w:val="003237BB"/>
    <w:rsid w:val="003E5D9E"/>
    <w:rsid w:val="00957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680DB"/>
  <w15:docId w15:val="{49A8BAEE-41F4-410B-8AA2-C84299C2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3261</Words>
  <Characters>18594</Characters>
  <Application>Microsoft Office Word</Application>
  <DocSecurity>0</DocSecurity>
  <Lines>154</Lines>
  <Paragraphs>43</Paragraphs>
  <ScaleCrop>false</ScaleCrop>
  <Company/>
  <LinksUpToDate>false</LinksUpToDate>
  <CharactersWithSpaces>21812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Elanor Morris</cp:lastModifiedBy>
  <cp:revision>2</cp:revision>
  <dcterms:created xsi:type="dcterms:W3CDTF">2023-02-15T18:20:00Z</dcterms:created>
  <dcterms:modified xsi:type="dcterms:W3CDTF">2023-02-15T18:23:00Z</dcterms:modified>
</cp:coreProperties>
</file>