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163BD5" w14:textId="4BB91C09" w:rsidR="00647A47" w:rsidRDefault="00313D38">
      <w:r>
        <w:rPr>
          <w:sz w:val="48"/>
          <w:szCs w:val="48"/>
        </w:rPr>
        <w:t xml:space="preserve">Data Security </w:t>
      </w:r>
      <w:r w:rsidR="00C110FF">
        <w:rPr>
          <w:sz w:val="48"/>
          <w:szCs w:val="48"/>
        </w:rPr>
        <w:t xml:space="preserve">Standards, </w:t>
      </w:r>
      <w:r>
        <w:rPr>
          <w:sz w:val="48"/>
          <w:szCs w:val="48"/>
        </w:rPr>
        <w:t>Frameworks</w:t>
      </w:r>
      <w:r w:rsidR="00840199">
        <w:rPr>
          <w:sz w:val="48"/>
          <w:szCs w:val="48"/>
        </w:rPr>
        <w:t xml:space="preserve"> </w:t>
      </w:r>
      <w:r>
        <w:rPr>
          <w:sz w:val="48"/>
          <w:szCs w:val="48"/>
        </w:rPr>
        <w:t xml:space="preserve">and </w:t>
      </w:r>
      <w:r w:rsidR="00554CAD">
        <w:rPr>
          <w:sz w:val="48"/>
          <w:szCs w:val="48"/>
        </w:rPr>
        <w:t>Implementation</w:t>
      </w:r>
      <w:r>
        <w:rPr>
          <w:sz w:val="48"/>
          <w:szCs w:val="48"/>
        </w:rPr>
        <w:t xml:space="preserve"> within a Modern </w:t>
      </w:r>
      <w:r w:rsidR="00455BEB">
        <w:rPr>
          <w:sz w:val="48"/>
          <w:szCs w:val="48"/>
        </w:rPr>
        <w:t xml:space="preserve">Business </w:t>
      </w:r>
      <w:r>
        <w:rPr>
          <w:sz w:val="48"/>
          <w:szCs w:val="48"/>
        </w:rPr>
        <w:t xml:space="preserve">Network Environment </w:t>
      </w:r>
    </w:p>
    <w:p w14:paraId="60163BD6" w14:textId="77777777" w:rsidR="00647A47" w:rsidRDefault="00647A47">
      <w:pPr>
        <w:sectPr w:rsidR="00647A47">
          <w:pgSz w:w="12240" w:h="15840"/>
          <w:pgMar w:top="1080" w:right="893" w:bottom="1440" w:left="893" w:header="0" w:footer="0" w:gutter="0"/>
          <w:cols w:space="720"/>
          <w:formProt w:val="0"/>
          <w:docGrid w:linePitch="360" w:charSpace="8192"/>
        </w:sectPr>
      </w:pPr>
    </w:p>
    <w:p w14:paraId="60163BD7" w14:textId="77777777" w:rsidR="00647A47" w:rsidRDefault="00313D38">
      <w:r>
        <w:rPr>
          <w:sz w:val="24"/>
          <w:szCs w:val="24"/>
        </w:rPr>
        <w:t>Paul M Lawrence - Postgraduate Student, MSc Computer Networks and Cybersecurity</w:t>
      </w:r>
    </w:p>
    <w:p w14:paraId="60163BD8" w14:textId="77777777" w:rsidR="00647A47" w:rsidRDefault="00313D38">
      <w:r>
        <w:rPr>
          <w:sz w:val="24"/>
          <w:szCs w:val="24"/>
        </w:rPr>
        <w:t>University of Wales Trinity St David, Swansea Bay Campus SA1</w:t>
      </w:r>
    </w:p>
    <w:p w14:paraId="60163BD9" w14:textId="77777777" w:rsidR="00647A47" w:rsidRDefault="00313D38">
      <w:pPr>
        <w:pStyle w:val="Affiliation"/>
        <w:rPr>
          <w:sz w:val="24"/>
          <w:szCs w:val="24"/>
          <w:lang w:val="en-GB"/>
        </w:rPr>
      </w:pPr>
      <w:r>
        <w:rPr>
          <w:sz w:val="24"/>
          <w:szCs w:val="24"/>
          <w:lang w:val="en-GB"/>
        </w:rPr>
        <w:t>plawrence.152216@student.uwtsd.ac.uk</w:t>
      </w:r>
    </w:p>
    <w:p w14:paraId="60163BDA" w14:textId="77777777" w:rsidR="00647A47" w:rsidRDefault="00647A47"/>
    <w:p w14:paraId="60163BDB" w14:textId="77777777" w:rsidR="00647A47" w:rsidRDefault="00647A47">
      <w:pPr>
        <w:sectPr w:rsidR="00647A47">
          <w:type w:val="continuous"/>
          <w:pgSz w:w="12240" w:h="15840"/>
          <w:pgMar w:top="1080" w:right="893" w:bottom="1440" w:left="893" w:header="0" w:footer="0" w:gutter="0"/>
          <w:cols w:space="720"/>
          <w:formProt w:val="0"/>
          <w:docGrid w:linePitch="360" w:charSpace="8192"/>
        </w:sectPr>
      </w:pPr>
    </w:p>
    <w:p w14:paraId="60163BDC" w14:textId="30B505B3" w:rsidR="00647A47" w:rsidRDefault="00313D38">
      <w:pPr>
        <w:jc w:val="both"/>
        <w:rPr>
          <w:b/>
          <w:bCs/>
          <w:sz w:val="22"/>
          <w:szCs w:val="22"/>
        </w:rPr>
      </w:pPr>
      <w:r>
        <w:rPr>
          <w:i/>
          <w:iCs/>
          <w:sz w:val="22"/>
          <w:szCs w:val="22"/>
        </w:rPr>
        <w:t>Abstract</w:t>
      </w:r>
      <w:r>
        <w:rPr>
          <w:sz w:val="22"/>
          <w:szCs w:val="22"/>
        </w:rPr>
        <w:t xml:space="preserve"> </w:t>
      </w:r>
      <w:r w:rsidR="00EA57A0">
        <w:rPr>
          <w:sz w:val="22"/>
          <w:szCs w:val="22"/>
        </w:rPr>
        <w:t xml:space="preserve">– </w:t>
      </w:r>
      <w:r w:rsidR="00D026B4" w:rsidRPr="006D545C">
        <w:rPr>
          <w:sz w:val="16"/>
          <w:szCs w:val="22"/>
        </w:rPr>
        <w:t xml:space="preserve">This research paper outlines what and why an Information Security Management System (ISMS) is used </w:t>
      </w:r>
      <w:r w:rsidR="00792D46">
        <w:rPr>
          <w:sz w:val="16"/>
          <w:szCs w:val="22"/>
        </w:rPr>
        <w:t xml:space="preserve">for </w:t>
      </w:r>
      <w:r w:rsidR="00D026B4" w:rsidRPr="006D545C">
        <w:rPr>
          <w:sz w:val="16"/>
          <w:szCs w:val="22"/>
        </w:rPr>
        <w:t>within a business network</w:t>
      </w:r>
      <w:r w:rsidR="00792D46">
        <w:rPr>
          <w:sz w:val="16"/>
          <w:szCs w:val="22"/>
        </w:rPr>
        <w:t>,</w:t>
      </w:r>
      <w:r w:rsidR="00D026B4" w:rsidRPr="006D545C">
        <w:rPr>
          <w:sz w:val="16"/>
          <w:szCs w:val="22"/>
        </w:rPr>
        <w:t xml:space="preserve"> along with the difference</w:t>
      </w:r>
      <w:r w:rsidR="00792D46">
        <w:rPr>
          <w:sz w:val="16"/>
          <w:szCs w:val="22"/>
        </w:rPr>
        <w:t>s</w:t>
      </w:r>
      <w:r w:rsidR="00D026B4" w:rsidRPr="006D545C">
        <w:rPr>
          <w:sz w:val="16"/>
          <w:szCs w:val="22"/>
        </w:rPr>
        <w:t xml:space="preserve"> between </w:t>
      </w:r>
      <w:r w:rsidR="00792D46" w:rsidRPr="006D545C">
        <w:rPr>
          <w:sz w:val="16"/>
          <w:szCs w:val="22"/>
        </w:rPr>
        <w:t>an</w:t>
      </w:r>
      <w:r w:rsidR="00D026B4" w:rsidRPr="006D545C">
        <w:rPr>
          <w:sz w:val="16"/>
          <w:szCs w:val="22"/>
        </w:rPr>
        <w:t xml:space="preserve"> ISMS</w:t>
      </w:r>
      <w:r w:rsidR="00792D46">
        <w:rPr>
          <w:sz w:val="16"/>
          <w:szCs w:val="22"/>
        </w:rPr>
        <w:t>;</w:t>
      </w:r>
      <w:r w:rsidR="00D026B4" w:rsidRPr="006D545C">
        <w:rPr>
          <w:sz w:val="16"/>
          <w:szCs w:val="22"/>
        </w:rPr>
        <w:t xml:space="preserve"> standard, framework and security </w:t>
      </w:r>
      <w:r w:rsidR="00792D46" w:rsidRPr="006D545C">
        <w:rPr>
          <w:sz w:val="16"/>
          <w:szCs w:val="22"/>
        </w:rPr>
        <w:t>mode</w:t>
      </w:r>
      <w:r w:rsidR="00792D46">
        <w:rPr>
          <w:sz w:val="16"/>
          <w:szCs w:val="22"/>
        </w:rPr>
        <w:t xml:space="preserve">l. </w:t>
      </w:r>
      <w:r w:rsidR="00792D46" w:rsidRPr="006D545C">
        <w:rPr>
          <w:sz w:val="16"/>
          <w:szCs w:val="22"/>
        </w:rPr>
        <w:t>The</w:t>
      </w:r>
      <w:r w:rsidR="00D026B4" w:rsidRPr="006D545C">
        <w:rPr>
          <w:sz w:val="16"/>
          <w:szCs w:val="22"/>
        </w:rPr>
        <w:t xml:space="preserve"> focus of the</w:t>
      </w:r>
      <w:r w:rsidR="00792D46">
        <w:rPr>
          <w:sz w:val="16"/>
          <w:szCs w:val="22"/>
        </w:rPr>
        <w:t xml:space="preserve"> </w:t>
      </w:r>
      <w:r w:rsidR="00D026B4" w:rsidRPr="006D545C">
        <w:rPr>
          <w:sz w:val="16"/>
          <w:szCs w:val="22"/>
        </w:rPr>
        <w:t xml:space="preserve">research </w:t>
      </w:r>
      <w:r w:rsidR="00792D46">
        <w:rPr>
          <w:sz w:val="16"/>
          <w:szCs w:val="22"/>
        </w:rPr>
        <w:t xml:space="preserve">is </w:t>
      </w:r>
      <w:r w:rsidR="00D026B4" w:rsidRPr="006D545C">
        <w:rPr>
          <w:sz w:val="16"/>
          <w:szCs w:val="22"/>
        </w:rPr>
        <w:t>aimed at UK business ISMS; ISO 27001-27006, ISO 270017-</w:t>
      </w:r>
      <w:r w:rsidR="00CC719B" w:rsidRPr="006D545C">
        <w:rPr>
          <w:sz w:val="16"/>
          <w:szCs w:val="22"/>
        </w:rPr>
        <w:t>27018, ITIL</w:t>
      </w:r>
      <w:r w:rsidR="00D026B4" w:rsidRPr="006D545C">
        <w:rPr>
          <w:sz w:val="16"/>
          <w:szCs w:val="22"/>
        </w:rPr>
        <w:t xml:space="preserve">, PCI-DSS and Cyber Essentials. The knowledge gained </w:t>
      </w:r>
      <w:r w:rsidR="00792D46">
        <w:rPr>
          <w:sz w:val="16"/>
          <w:szCs w:val="22"/>
        </w:rPr>
        <w:t>from the research was</w:t>
      </w:r>
      <w:r w:rsidR="00D026B4" w:rsidRPr="006D545C">
        <w:rPr>
          <w:sz w:val="16"/>
          <w:szCs w:val="22"/>
        </w:rPr>
        <w:t xml:space="preserve"> then implemented within a fictious company called ‘Caribbean Coffee Ltd’ that has a hybrid Wireless Local Area Network (WLAN) and </w:t>
      </w:r>
      <w:r w:rsidR="00CC719B" w:rsidRPr="006D545C">
        <w:rPr>
          <w:sz w:val="16"/>
          <w:szCs w:val="22"/>
        </w:rPr>
        <w:t xml:space="preserve">cloud services architecture in which </w:t>
      </w:r>
      <w:r w:rsidR="006D545C" w:rsidRPr="006D545C">
        <w:rPr>
          <w:sz w:val="16"/>
          <w:szCs w:val="22"/>
        </w:rPr>
        <w:t>an</w:t>
      </w:r>
      <w:r w:rsidR="00CC719B" w:rsidRPr="006D545C">
        <w:rPr>
          <w:sz w:val="16"/>
          <w:szCs w:val="22"/>
        </w:rPr>
        <w:t xml:space="preserve"> ISMS framework was successfully developed.</w:t>
      </w:r>
    </w:p>
    <w:p w14:paraId="60163BDD" w14:textId="77777777" w:rsidR="00647A47" w:rsidRDefault="00647A47">
      <w:pPr>
        <w:jc w:val="both"/>
        <w:rPr>
          <w:b/>
          <w:bCs/>
          <w:sz w:val="10"/>
          <w:szCs w:val="24"/>
        </w:rPr>
      </w:pPr>
    </w:p>
    <w:p w14:paraId="60163BDE" w14:textId="4B80379F" w:rsidR="00647A47" w:rsidRDefault="00313D38">
      <w:pPr>
        <w:jc w:val="both"/>
        <w:rPr>
          <w:b/>
          <w:bCs/>
          <w:i/>
          <w:iCs/>
          <w:sz w:val="22"/>
          <w:szCs w:val="24"/>
        </w:rPr>
      </w:pPr>
      <w:r w:rsidRPr="00102360">
        <w:rPr>
          <w:b/>
          <w:bCs/>
          <w:i/>
          <w:iCs/>
          <w:sz w:val="18"/>
          <w:szCs w:val="24"/>
        </w:rPr>
        <w:t>Keywords-</w:t>
      </w:r>
      <w:r w:rsidR="00B17FEC" w:rsidRPr="00102360">
        <w:rPr>
          <w:b/>
          <w:bCs/>
          <w:i/>
          <w:iCs/>
          <w:sz w:val="18"/>
          <w:szCs w:val="24"/>
        </w:rPr>
        <w:t xml:space="preserve">component; </w:t>
      </w:r>
      <w:r w:rsidR="00102360" w:rsidRPr="006D545C">
        <w:rPr>
          <w:b/>
          <w:bCs/>
          <w:i/>
          <w:iCs/>
          <w:sz w:val="14"/>
          <w:szCs w:val="24"/>
        </w:rPr>
        <w:t xml:space="preserve">ISMS, ISO 27000 Series, ITIL, PCI-DSS, Cyber Essentials, Controls, Assets, Risk Treatment, Cloud Security, WLAN, Network </w:t>
      </w:r>
      <w:r w:rsidR="00497F10" w:rsidRPr="006D545C">
        <w:rPr>
          <w:b/>
          <w:bCs/>
          <w:i/>
          <w:iCs/>
          <w:sz w:val="14"/>
          <w:szCs w:val="24"/>
        </w:rPr>
        <w:t xml:space="preserve">Security </w:t>
      </w:r>
      <w:r w:rsidR="00102360" w:rsidRPr="006D545C">
        <w:rPr>
          <w:b/>
          <w:bCs/>
          <w:i/>
          <w:iCs/>
          <w:sz w:val="14"/>
          <w:szCs w:val="24"/>
        </w:rPr>
        <w:t>Architecture</w:t>
      </w:r>
      <w:r w:rsidR="00BC5968" w:rsidRPr="006D545C">
        <w:rPr>
          <w:b/>
          <w:bCs/>
          <w:i/>
          <w:iCs/>
          <w:sz w:val="14"/>
          <w:szCs w:val="24"/>
        </w:rPr>
        <w:t>, Data Security</w:t>
      </w:r>
    </w:p>
    <w:p w14:paraId="60163BDF" w14:textId="77777777" w:rsidR="00647A47" w:rsidRDefault="00647A47">
      <w:pPr>
        <w:jc w:val="both"/>
        <w:rPr>
          <w:b/>
          <w:bCs/>
          <w:i/>
          <w:iCs/>
          <w:sz w:val="22"/>
          <w:szCs w:val="24"/>
        </w:rPr>
      </w:pPr>
    </w:p>
    <w:p w14:paraId="60163BE0" w14:textId="77777777" w:rsidR="00647A47" w:rsidRDefault="00313D38">
      <w:pPr>
        <w:jc w:val="both"/>
      </w:pPr>
      <w:r>
        <w:rPr>
          <w:smallCaps/>
          <w:sz w:val="24"/>
          <w:szCs w:val="24"/>
        </w:rPr>
        <w:t>Introduction to - Data Security Management Frameworks</w:t>
      </w:r>
    </w:p>
    <w:p w14:paraId="60163BE1" w14:textId="77777777" w:rsidR="00647A47" w:rsidRDefault="00647A47">
      <w:pPr>
        <w:jc w:val="both"/>
        <w:rPr>
          <w:smallCaps/>
          <w:sz w:val="24"/>
          <w:szCs w:val="24"/>
        </w:rPr>
      </w:pPr>
    </w:p>
    <w:p w14:paraId="60163BE2" w14:textId="37A5418A" w:rsidR="00647A47" w:rsidRDefault="00313D38" w:rsidP="00C068D2">
      <w:pPr>
        <w:pStyle w:val="Affiliation"/>
        <w:jc w:val="both"/>
      </w:pPr>
      <w:r>
        <w:t xml:space="preserve">Data security frameworks within the information age we live in </w:t>
      </w:r>
      <w:r w:rsidR="00C068D2">
        <w:t>today play</w:t>
      </w:r>
      <w:r>
        <w:t xml:space="preserve"> a </w:t>
      </w:r>
      <w:r w:rsidR="00840199">
        <w:t>vital</w:t>
      </w:r>
      <w:r>
        <w:t xml:space="preserve"> </w:t>
      </w:r>
      <w:r w:rsidR="00840199">
        <w:t>role</w:t>
      </w:r>
      <w:r>
        <w:t xml:space="preserve"> </w:t>
      </w:r>
      <w:r w:rsidR="00840199">
        <w:t>with</w:t>
      </w:r>
      <w:r>
        <w:t xml:space="preserve">in training and/or guiding network security architects/engineers in </w:t>
      </w:r>
      <w:r w:rsidR="00840199">
        <w:t xml:space="preserve">safely </w:t>
      </w:r>
      <w:r>
        <w:t xml:space="preserve">securing </w:t>
      </w:r>
      <w:r w:rsidR="00D16445">
        <w:t xml:space="preserve">and effectively managing </w:t>
      </w:r>
      <w:r>
        <w:t xml:space="preserve">customer and/or business </w:t>
      </w:r>
      <w:r w:rsidR="00DA7443">
        <w:t>client’s</w:t>
      </w:r>
      <w:r>
        <w:t xml:space="preserve"> data within a </w:t>
      </w:r>
      <w:r w:rsidR="00D6667F">
        <w:t xml:space="preserve">modern </w:t>
      </w:r>
      <w:r w:rsidR="00183712">
        <w:t xml:space="preserve">computer </w:t>
      </w:r>
      <w:r>
        <w:t xml:space="preserve">network, </w:t>
      </w:r>
      <w:r w:rsidR="00C068D2">
        <w:t>either locally and</w:t>
      </w:r>
      <w:r>
        <w:t xml:space="preserve">/or remotely within a cloud architecture. </w:t>
      </w:r>
      <w:r w:rsidR="00580A59">
        <w:fldChar w:fldCharType="begin" w:fldLock="1"/>
      </w:r>
      <w:r w:rsidR="00425AB8">
        <w:instrText>ADDIN CSL_CITATION {"citationItems":[{"id":"ITEM-1","itemData":{"DOI":"10.1016/j.istr.2005.12.001","ISSN":"13634127","abstract":"This article briefly describes the introduction and evolution of Information Security Management Systems (ISMS), their application and the introduction of national and regulatory requirements to protect information and how these regulations may be mapped into an ISMS. © 2005 Elsevier Ltd. All rights reserved.","author":[{"dropping-particle":"","family":"Broderick","given":"J. Stuart","non-dropping-particle":"","parse-names":false,"suffix":""}],"container-title":"Information Security Technical Report","id":"ITEM-1","issued":{"date-parts":[["2006"]]},"title":"ISMS, security standards and security regulations","type":"article-journal"},"uris":["http://www.mendeley.com/documents/?uuid=0b355f7f-af9f-4f95-8e65-3bfc2fd884ba"]}],"mendeley":{"formattedCitation":"[1]","plainTextFormattedCitation":"[1]","previouslyFormattedCitation":"[1]"},"properties":{"noteIndex":0},"schema":"https://github.com/citation-style-language/schema/raw/master/csl-citation.json"}</w:instrText>
      </w:r>
      <w:r w:rsidR="00580A59">
        <w:fldChar w:fldCharType="separate"/>
      </w:r>
      <w:r w:rsidR="00580A59" w:rsidRPr="00580A59">
        <w:rPr>
          <w:noProof/>
        </w:rPr>
        <w:t>[1]</w:t>
      </w:r>
      <w:r w:rsidR="00580A59">
        <w:fldChar w:fldCharType="end"/>
      </w:r>
    </w:p>
    <w:p w14:paraId="60163BE3" w14:textId="77777777" w:rsidR="00647A47" w:rsidRDefault="00647A47" w:rsidP="00C068D2">
      <w:pPr>
        <w:pStyle w:val="Affiliation"/>
        <w:jc w:val="both"/>
      </w:pPr>
    </w:p>
    <w:p w14:paraId="28BDE3D2" w14:textId="150BDCA1" w:rsidR="007239FD" w:rsidRDefault="001E0F73" w:rsidP="00C068D2">
      <w:pPr>
        <w:pStyle w:val="Affiliation"/>
        <w:jc w:val="both"/>
      </w:pPr>
      <w:r>
        <w:t>Within a m</w:t>
      </w:r>
      <w:r w:rsidR="00313D38">
        <w:t>odern</w:t>
      </w:r>
      <w:r w:rsidR="00182C11">
        <w:t xml:space="preserve"> cloud driven network </w:t>
      </w:r>
      <w:r>
        <w:t>architecture</w:t>
      </w:r>
      <w:r w:rsidR="004E3202">
        <w:t>,</w:t>
      </w:r>
      <w:r>
        <w:t xml:space="preserve"> </w:t>
      </w:r>
      <w:r w:rsidR="00313D38">
        <w:t xml:space="preserve">businesses sensitive data is often transmitted across </w:t>
      </w:r>
      <w:r w:rsidR="00C74F98">
        <w:t>the highly u</w:t>
      </w:r>
      <w:r w:rsidR="00313D38">
        <w:t>nsecure public Wide Area Networks (WAN)</w:t>
      </w:r>
      <w:r w:rsidR="00425AB8">
        <w:t xml:space="preserve"> </w:t>
      </w:r>
      <w:r w:rsidR="00425AB8">
        <w:fldChar w:fldCharType="begin" w:fldLock="1"/>
      </w:r>
      <w:r w:rsidR="00425AB8">
        <w:instrText>ADDIN CSL_CITATION {"citationItems":[{"id":"ITEM-1","itemData":{"URL":"https://www.cisco.com/c/en/us/support/docs/wan/point-to-point-protocol-ppp/25647-understanding-ppp-chap.html","abstract":"CHAP PPP","accessed":{"date-parts":[["2019","1","22"]]},"author":[{"dropping-particle":"","family":"Cisco","given":"","non-dropping-particle":"","parse-names":false,"suffix":""}],"container-title":"cisco.com","id":"ITEM-1","issued":{"date-parts":[["2018"]]},"page":"1","title":"PPP CHAP Authentication - Cisco","type":"webpage"},"uris":["http://www.mendeley.com/documents/?uuid=95014ea5-77d5-376f-90e0-7d8eb2c5a398"]}],"mendeley":{"formattedCitation":"[2]","plainTextFormattedCitation":"[2]","previouslyFormattedCitation":"[2]"},"properties":{"noteIndex":0},"schema":"https://github.com/citation-style-language/schema/raw/master/csl-citation.json"}</w:instrText>
      </w:r>
      <w:r w:rsidR="00425AB8">
        <w:fldChar w:fldCharType="separate"/>
      </w:r>
      <w:r w:rsidR="00425AB8" w:rsidRPr="00425AB8">
        <w:rPr>
          <w:noProof/>
        </w:rPr>
        <w:t>[2]</w:t>
      </w:r>
      <w:r w:rsidR="00425AB8">
        <w:fldChar w:fldCharType="end"/>
      </w:r>
      <w:r w:rsidR="00313D38">
        <w:t xml:space="preserve"> </w:t>
      </w:r>
      <w:r w:rsidR="00C74F98">
        <w:t>i.e.</w:t>
      </w:r>
      <w:r w:rsidR="00313D38">
        <w:t xml:space="preserve"> the Internet</w:t>
      </w:r>
      <w:r w:rsidR="00425AB8">
        <w:t xml:space="preserve"> </w:t>
      </w:r>
      <w:r w:rsidR="00425AB8">
        <w:fldChar w:fldCharType="begin" w:fldLock="1"/>
      </w:r>
      <w:r w:rsidR="00425AB8">
        <w:instrText>ADDIN CSL_CITATION {"citationItems":[{"id":"ITEM-1","itemData":{"URL":"http://www.ciscopress.com/articles/article.asp?p=2158215&amp;seqNum=6","abstract":"LAN and WAN","accessed":{"date-parts":[["2019","5","2"]]},"author":[{"dropping-particle":"","family":"ciscopress.com","given":"","non-dropping-particle":"","parse-names":false,"suffix":""}],"container-title":"ciscopress.com","id":"ITEM-1","issued":{"date-parts":[["2013"]]},"page":"1","title":"LANs, WANs, and the Internet (1.3) &amp;gt; Exploring the Modern Computer Network: Types, Functions, and Hardware","type":"webpage"},"uris":["http://www.mendeley.com/documents/?uuid=bb2c5328-8906-31b3-8b29-e2cbe0c8b4c1"]}],"mendeley":{"formattedCitation":"[3]","plainTextFormattedCitation":"[3]","previouslyFormattedCitation":"[3]"},"properties":{"noteIndex":0},"schema":"https://github.com/citation-style-language/schema/raw/master/csl-citation.json"}</w:instrText>
      </w:r>
      <w:r w:rsidR="00425AB8">
        <w:fldChar w:fldCharType="separate"/>
      </w:r>
      <w:r w:rsidR="00425AB8" w:rsidRPr="00425AB8">
        <w:rPr>
          <w:noProof/>
        </w:rPr>
        <w:t>[3]</w:t>
      </w:r>
      <w:r w:rsidR="00425AB8">
        <w:fldChar w:fldCharType="end"/>
      </w:r>
      <w:r w:rsidR="004E3202">
        <w:t>,</w:t>
      </w:r>
      <w:r w:rsidR="00313D38">
        <w:t xml:space="preserve"> where malicious actors </w:t>
      </w:r>
      <w:r w:rsidR="00840199">
        <w:t>whom</w:t>
      </w:r>
      <w:r w:rsidR="00C74F98">
        <w:t xml:space="preserve"> </w:t>
      </w:r>
      <w:r>
        <w:t>objective is</w:t>
      </w:r>
      <w:r w:rsidR="00313D38">
        <w:t xml:space="preserve"> to steal valuable </w:t>
      </w:r>
      <w:r w:rsidR="00C068D2">
        <w:t>information</w:t>
      </w:r>
      <w:r w:rsidR="006C4A4B">
        <w:t xml:space="preserve"> by</w:t>
      </w:r>
      <w:r w:rsidR="00313D38">
        <w:t xml:space="preserve"> </w:t>
      </w:r>
      <w:r>
        <w:t>exploiting</w:t>
      </w:r>
      <w:r w:rsidR="00313D38">
        <w:t xml:space="preserve"> </w:t>
      </w:r>
      <w:r>
        <w:t xml:space="preserve">the </w:t>
      </w:r>
      <w:r w:rsidR="00840199">
        <w:t>vulnerabilities that exist</w:t>
      </w:r>
      <w:r>
        <w:t xml:space="preserve"> </w:t>
      </w:r>
      <w:r w:rsidR="00840199">
        <w:t>within the</w:t>
      </w:r>
      <w:r>
        <w:t xml:space="preserve"> </w:t>
      </w:r>
      <w:r w:rsidR="00840199">
        <w:t>Internet</w:t>
      </w:r>
      <w:r w:rsidR="00313D38">
        <w:t xml:space="preserve"> </w:t>
      </w:r>
      <w:r>
        <w:t>in order to</w:t>
      </w:r>
      <w:r w:rsidR="00313D38">
        <w:t xml:space="preserve"> intercept</w:t>
      </w:r>
      <w:r w:rsidR="004E3202">
        <w:t xml:space="preserve"> sensitive</w:t>
      </w:r>
      <w:r w:rsidR="00313D38">
        <w:t xml:space="preserve"> data</w:t>
      </w:r>
      <w:r w:rsidR="005E7311">
        <w:t xml:space="preserve"> packets</w:t>
      </w:r>
      <w:r w:rsidR="00313D38">
        <w:t xml:space="preserve"> </w:t>
      </w:r>
      <w:r w:rsidR="00840199">
        <w:t xml:space="preserve">whilst </w:t>
      </w:r>
      <w:r w:rsidR="008D3A80">
        <w:t>they are in</w:t>
      </w:r>
      <w:r w:rsidR="00313D38">
        <w:t xml:space="preserve"> transit</w:t>
      </w:r>
      <w:r w:rsidR="00425AB8">
        <w:t xml:space="preserve"> </w:t>
      </w:r>
      <w:r w:rsidR="00425AB8">
        <w:fldChar w:fldCharType="begin" w:fldLock="1"/>
      </w:r>
      <w:r w:rsidR="008D3A80">
        <w:instrText>ADDIN CSL_CITATION {"citationItems":[{"id":"ITEM-1","itemData":{"ISSN":"00130613","abstract":"(ENGLISH) (The CIA suffered a similar indignity this March.) In October a piece of software called Mirai was used to flood Dyn, an internet infrastructure company, with so much meaningless traffic that websites such as Twitter and Reddit were made inaccessible to many users. [...]the hacking of the Democratic National Committee's e-mail servers and the subsequent leaking of embarrassing communications seems to have been part of an attempt to influence the outcome of the American elections. In 2015 a group of computer-security researchers demonstrated that it was possible to take remote control of certain Jeep cars. The vulnerabilities of computers stem from the basics of information technology, the culture of software development, the breakneck pace of online business growth, the economic incentives faced by computer firms and the divided interests of governments. The latest version of","author":[{"dropping-particle":"","family":"Wicks","given":"Dave","non-dropping-particle":"","parse-names":false,"suffix":""}],"container-title":"The Economist","id":"ITEM-1","issued":{"date-parts":[["2017"]]},"title":"Why everything is hackable: Computer security is broken from top to bottom","type":"article-journal"},"uris":["http://www.mendeley.com/documents/?uuid=eea76f7c-a6fd-46ea-8852-3976b95526e2"]}],"mendeley":{"formattedCitation":"[4]","plainTextFormattedCitation":"[4]","previouslyFormattedCitation":"[4]"},"properties":{"noteIndex":0},"schema":"https://github.com/citation-style-language/schema/raw/master/csl-citation.json"}</w:instrText>
      </w:r>
      <w:r w:rsidR="00425AB8">
        <w:fldChar w:fldCharType="separate"/>
      </w:r>
      <w:r w:rsidR="00425AB8" w:rsidRPr="00425AB8">
        <w:rPr>
          <w:noProof/>
        </w:rPr>
        <w:t>[4]</w:t>
      </w:r>
      <w:r w:rsidR="00425AB8">
        <w:fldChar w:fldCharType="end"/>
      </w:r>
      <w:r w:rsidR="007239FD">
        <w:t xml:space="preserve">. </w:t>
      </w:r>
      <w:r>
        <w:t>The types of data that malicious actors</w:t>
      </w:r>
      <w:r w:rsidR="00486239">
        <w:t xml:space="preserve"> attempt to steal are of a </w:t>
      </w:r>
      <w:r w:rsidR="00313D38">
        <w:t xml:space="preserve">highly sensitive </w:t>
      </w:r>
      <w:r w:rsidR="00486239">
        <w:t>nature</w:t>
      </w:r>
      <w:r w:rsidR="00313D38">
        <w:t xml:space="preserve"> such as;</w:t>
      </w:r>
      <w:r w:rsidR="004E3202">
        <w:t xml:space="preserve"> employee</w:t>
      </w:r>
      <w:r w:rsidR="007239FD">
        <w:t>/personal data, financial</w:t>
      </w:r>
      <w:r w:rsidR="00C74F98">
        <w:t xml:space="preserve"> and network </w:t>
      </w:r>
      <w:r w:rsidR="008D3A80">
        <w:t>infrastructure/</w:t>
      </w:r>
      <w:r w:rsidR="00C74F98">
        <w:t>device</w:t>
      </w:r>
      <w:r w:rsidR="00313D38">
        <w:t xml:space="preserve"> login</w:t>
      </w:r>
      <w:r w:rsidR="00C74F98">
        <w:t xml:space="preserve"> </w:t>
      </w:r>
      <w:r w:rsidR="00C068D2">
        <w:t xml:space="preserve">credentials, </w:t>
      </w:r>
      <w:r w:rsidR="00486239">
        <w:t xml:space="preserve">intellectual property </w:t>
      </w:r>
      <w:r w:rsidR="007239FD">
        <w:t>etc. for monetary gain</w:t>
      </w:r>
      <w:r w:rsidR="00486239">
        <w:t>.</w:t>
      </w:r>
      <w:r w:rsidR="00C74F98">
        <w:t xml:space="preserve"> </w:t>
      </w:r>
      <w:r w:rsidR="004A6912">
        <w:fldChar w:fldCharType="begin" w:fldLock="1"/>
      </w:r>
      <w:r w:rsidR="004A6912">
        <w:instrText>ADDIN CSL_CITATION {"citationItems":[{"id":"ITEM-1","itemData":{"abstract":"Cloud Computing represents one of the most significant shifts in information technology many of us are likely to see in our lifetimes. Reaching the point where computing functions as a utility has great potential, promising innovations we cannot yet imagine. Customers are both excited and nervous at the prospects of Cloud Computing. They are excited by the opportunities to reduce capital costs. They are excited for a chance to divest themselves of infrastructure management, and focus on core competencies. Most of all, they are excited by the agility offered by the on-demand provisioning of computing and the ability to align information technology with business strategies and needs more readily. However, customers are also very concerned about the risks of Cloud Computing if not properly secured, and the loss of direct control over systems for which they are nonetheless accountable. To aid both cloud customers and cloud providers, CSA developed Security Guidance for Critical Areas in Cloud Computing, initially released in April 2009, and revised in December 2009. This guidance has quickly become the industry standard catalogue of best practices to secure Cloud Computing, consistently lauded for its comprehensive approach to the problem, across 13 domains of concern. Numerous organizations around the world are incorporating the guidance to manage their cloud strategies. The guidance document can be downloaded at The great breadth of recommendations provided by CSA guidance creates an implied responsibility for the reader. Not all recommendations are applicable to all uses of Cloud Computing. Some cloud services host customer information of very low sensitivity, while others represent mission critical business functions. Some cloud applications contain regulated personal information, while others instead provide cloud-based protection against external threats. It is incumbent upon the cloud customer to understand the organizational value of the system they seek to move into the cloud. Ultimately, CSA guidance must be applied within the context of the business mission, risks, rewards, and cloud threat environment using sound risk management practices. The purpose of this document, Top Threats to Cloud Computing, is to provide needed context to assist organizations in making educated risk management decisions regarding their cloud adoption strategies. In essence, this threat research document should be seen as a companion to Security Guidance for Critical Ar…","author":[{"dropping-particle":"","family":"Cloud Security Alliance","given":"","non-dropping-particle":"","parse-names":false,"suffix":""}],"container-title":"Security","id":"ITEM-1","issue":"March","issued":{"date-parts":[["2010"]]},"page":"1-14","title":"Top Threats to Cloud Computing","type":"article-journal"},"uris":["http://www.mendeley.com/documents/?uuid=535c772b-4c88-427a-856c-9efc3edc4f3c"]}],"mendeley":{"formattedCitation":"[5]","plainTextFormattedCitation":"[5]","previouslyFormattedCitation":"[5]"},"properties":{"noteIndex":0},"schema":"https://github.com/citation-style-language/schema/raw/master/csl-citation.json"}</w:instrText>
      </w:r>
      <w:r w:rsidR="004A6912">
        <w:fldChar w:fldCharType="separate"/>
      </w:r>
      <w:r w:rsidR="004A6912" w:rsidRPr="004A6912">
        <w:rPr>
          <w:noProof/>
        </w:rPr>
        <w:t>[5]</w:t>
      </w:r>
      <w:r w:rsidR="004A6912">
        <w:fldChar w:fldCharType="end"/>
      </w:r>
      <w:r w:rsidR="004A6912">
        <w:fldChar w:fldCharType="begin" w:fldLock="1"/>
      </w:r>
      <w:r w:rsidR="004A6912">
        <w:instrText>ADDIN CSL_CITATION {"citationItems":[{"id":"ITEM-1","itemData":{"ISSN":"00158259","abstract":"The article presents the story behind the cyberattack on Sony Pictures Entertainment on November 24, 2014. It describes the events leading to the cyberattack, the release of stolen confidential files onto public file-sharing sites and Sony employees' fears of identity theft. It discusses allegations on the role of North Korea which had issued threats against the film \"The Interview\" due for release that Christmas, financial losses and litigations facing Sony.","author":[{"dropping-particle":"","family":"Elkind","given":"Peter","non-dropping-particle":"","parse-names":false,"suffix":""}],"container-title":"Fortune","id":"ITEM-1","issued":{"date-parts":[["2015"]]},"title":"Inside the hack of the century","type":"article-journal"},"uris":["http://www.mendeley.com/documents/?uuid=26ddbc78-079f-4fda-9e17-43127a5f9a7b"]}],"mendeley":{"formattedCitation":"[6]","plainTextFormattedCitation":"[6]","previouslyFormattedCitation":"[6]"},"properties":{"noteIndex":0},"schema":"https://github.com/citation-style-language/schema/raw/master/csl-citation.json"}</w:instrText>
      </w:r>
      <w:r w:rsidR="004A6912">
        <w:fldChar w:fldCharType="separate"/>
      </w:r>
      <w:r w:rsidR="004A6912" w:rsidRPr="004A6912">
        <w:rPr>
          <w:noProof/>
        </w:rPr>
        <w:t>[6]</w:t>
      </w:r>
      <w:r w:rsidR="004A6912">
        <w:fldChar w:fldCharType="end"/>
      </w:r>
    </w:p>
    <w:p w14:paraId="18818E9D" w14:textId="77777777" w:rsidR="007239FD" w:rsidRDefault="007239FD" w:rsidP="00C068D2">
      <w:pPr>
        <w:pStyle w:val="Affiliation"/>
        <w:jc w:val="both"/>
      </w:pPr>
    </w:p>
    <w:p w14:paraId="72E1674F" w14:textId="21B98B71" w:rsidR="00327D8B" w:rsidRDefault="00352CE3" w:rsidP="00C068D2">
      <w:pPr>
        <w:pStyle w:val="Affiliation"/>
        <w:jc w:val="both"/>
      </w:pPr>
      <w:r>
        <w:t>Malicious actors i.e. ‘Black-Hat’ hackers</w:t>
      </w:r>
      <w:r w:rsidR="008D3A80">
        <w:t xml:space="preserve"> </w:t>
      </w:r>
      <w:r w:rsidR="008D3A80">
        <w:fldChar w:fldCharType="begin" w:fldLock="1"/>
      </w:r>
      <w:r w:rsidR="004A6912">
        <w:instrText>ADDIN CSL_CITATION {"citationItems":[{"id":"ITEM-1","itemData":{"abstract":"Here's how to distinguish the colors of the hacker rainbow.","author":[{"dropping-particle":"","family":"Zetter","given":"Kim","non-dropping-particle":"","parse-names":false,"suffix":""}],"container-title":"Wired","id":"ITEM-1","issued":{"date-parts":[["2016"]]},"title":"Hacker Lexicon: What Are White Hat, Gray Hat, and Black Hat Hackers?","type":"webpage"},"uris":["http://www.mendeley.com/documents/?uuid=36133033-d65d-4866-b4b8-68bc18f24a64"]}],"mendeley":{"formattedCitation":"[7]","plainTextFormattedCitation":"[7]","previouslyFormattedCitation":"[7]"},"properties":{"noteIndex":0},"schema":"https://github.com/citation-style-language/schema/raw/master/csl-citation.json"}</w:instrText>
      </w:r>
      <w:r w:rsidR="008D3A80">
        <w:fldChar w:fldCharType="separate"/>
      </w:r>
      <w:r w:rsidR="004A6912" w:rsidRPr="004A6912">
        <w:rPr>
          <w:noProof/>
        </w:rPr>
        <w:t>[7]</w:t>
      </w:r>
      <w:r w:rsidR="008D3A80">
        <w:fldChar w:fldCharType="end"/>
      </w:r>
      <w:r>
        <w:t xml:space="preserve"> do not only target data traversing </w:t>
      </w:r>
      <w:r w:rsidR="00F56FC0">
        <w:t xml:space="preserve">the public WAN, but </w:t>
      </w:r>
      <w:r>
        <w:t xml:space="preserve">most often target </w:t>
      </w:r>
      <w:r w:rsidR="00C74F98">
        <w:t>internal</w:t>
      </w:r>
      <w:r>
        <w:t xml:space="preserve"> LAN</w:t>
      </w:r>
      <w:r w:rsidR="00332CD5">
        <w:t xml:space="preserve"> </w:t>
      </w:r>
      <w:r w:rsidR="00332CD5">
        <w:fldChar w:fldCharType="begin" w:fldLock="1"/>
      </w:r>
      <w:r w:rsidR="00332CD5">
        <w:instrText>ADDIN CSL_CITATION {"citationItems":[{"id":"ITEM-1","itemData":{"URL":"http://www.ciscopress.com/articles/article.asp?p=2092245&amp;seqNum=2","accessed":{"date-parts":[["2018","2","14"]]},"author":[{"dropping-particle":"","family":"cisco","given":"","non-dropping-particle":"","parse-names":false,"suffix":""}],"container-title":"ciscopress.com","id":"ITEM-1","issued":{"date-parts":[["2013"]]},"page":"1","title":"Understanding LANs &amp;gt; Cisco ICND1 Foundation Learning Guide: LANs and Ethernet","type":"webpage"},"uris":["http://www.mendeley.com/documents/?uuid=40358a15-b92e-365f-a7f5-e924ebe8f50d"]}],"mendeley":{"formattedCitation":"[8]","plainTextFormattedCitation":"[8]","previouslyFormattedCitation":"[8]"},"properties":{"noteIndex":0},"schema":"https://github.com/citation-style-language/schema/raw/master/csl-citation.json"}</w:instrText>
      </w:r>
      <w:r w:rsidR="00332CD5">
        <w:fldChar w:fldCharType="separate"/>
      </w:r>
      <w:r w:rsidR="00332CD5" w:rsidRPr="00332CD5">
        <w:rPr>
          <w:noProof/>
        </w:rPr>
        <w:t>[8]</w:t>
      </w:r>
      <w:r w:rsidR="00332CD5">
        <w:fldChar w:fldCharType="end"/>
      </w:r>
      <w:r>
        <w:t xml:space="preserve"> architectures</w:t>
      </w:r>
      <w:r w:rsidR="00C74F98">
        <w:t xml:space="preserve"> </w:t>
      </w:r>
      <w:r>
        <w:t>using various exploits and techniques</w:t>
      </w:r>
      <w:r w:rsidR="006C4A4B">
        <w:t xml:space="preserve"> such as; social engineering i.e. manipulating staff to reveal their login credentials</w:t>
      </w:r>
      <w:r w:rsidR="00327D8B">
        <w:t xml:space="preserve"> or physically accessing a device within a network to upload malware </w:t>
      </w:r>
      <w:r w:rsidR="000218FC">
        <w:fldChar w:fldCharType="begin" w:fldLock="1"/>
      </w:r>
      <w:r w:rsidR="000218FC">
        <w:instrText>ADDIN CSL_CITATION {"citationItems":[{"id":"ITEM-1","itemData":{"ISBN":"978-0-387-32720-4","ISSN":"15682633","abstract":"Speed, stealth, and purpose of malware [1] threats and countermeasures are evolving quickly. This chapter describes these three facets of current mal- ware threats, and describes a few countermeasures emerging to better ad- dress such threats.","author":[{"dropping-particle":"","family":"Witten","given":"Brian","non-dropping-particle":"","parse-names":false,"suffix":""},{"dropping-particle":"","family":"Nachenberg","given":"Carey","non-dropping-particle":"","parse-names":false,"suffix":""}],"container-title":"Malware Detection","id":"ITEM-1","issued":{"date-parts":[["2007"]]},"page":"3-15","title":"Malware Evolution : A Snapshot of Threats and Countermeasures in 2005","type":"chapter"},"uris":["http://www.mendeley.com/documents/?uuid=357b4e56-5533-436b-9422-b97a80eff8f3"]}],"mendeley":{"formattedCitation":"[9]","plainTextFormattedCitation":"[9]","previouslyFormattedCitation":"[9]"},"properties":{"noteIndex":0},"schema":"https://github.com/citation-style-language/schema/raw/master/csl-citation.json"}</w:instrText>
      </w:r>
      <w:r w:rsidR="000218FC">
        <w:fldChar w:fldCharType="separate"/>
      </w:r>
      <w:r w:rsidR="000218FC" w:rsidRPr="000218FC">
        <w:rPr>
          <w:noProof/>
        </w:rPr>
        <w:t>[9]</w:t>
      </w:r>
      <w:r w:rsidR="000218FC">
        <w:fldChar w:fldCharType="end"/>
      </w:r>
      <w:r w:rsidR="007B757A">
        <w:t xml:space="preserve"> </w:t>
      </w:r>
      <w:r w:rsidR="00327D8B">
        <w:t>using a Universal Bu</w:t>
      </w:r>
      <w:r w:rsidR="00244DBA">
        <w:t>s</w:t>
      </w:r>
      <w:r w:rsidR="00327D8B">
        <w:t xml:space="preserve"> (USB) memory device</w:t>
      </w:r>
      <w:r w:rsidR="000218FC">
        <w:t xml:space="preserve"> </w:t>
      </w:r>
      <w:r w:rsidR="000218FC">
        <w:fldChar w:fldCharType="begin" w:fldLock="1"/>
      </w:r>
      <w:r w:rsidR="000218FC">
        <w:instrText>ADDIN CSL_CITATION {"citationItems":[{"id":"ITEM-1","itemData":{"URL":"https://etc.usf.edu/techease/win/hardware/what-is-usb/","abstract":"USB","accessed":{"date-parts":[["2020","1","29"]]},"author":[{"dropping-particle":"","family":"etc.usf.edu","given":"","non-dropping-particle":"","parse-names":false,"suffix":""}],"id":"ITEM-1","issued":{"date-parts":[["2019"]]},"page":"1-1","title":"What is USB? » Hardware » Windows » Tech Ease","type":"webpage"},"uris":["http://www.mendeley.com/documents/?uuid=bef5c62a-2a3f-31f9-b268-28be7a2f405c"]}],"mendeley":{"formattedCitation":"[10]","plainTextFormattedCitation":"[10]","previouslyFormattedCitation":"[10]"},"properties":{"noteIndex":0},"schema":"https://github.com/citation-style-language/schema/raw/master/csl-citation.json"}</w:instrText>
      </w:r>
      <w:r w:rsidR="000218FC">
        <w:fldChar w:fldCharType="separate"/>
      </w:r>
      <w:r w:rsidR="000218FC" w:rsidRPr="000218FC">
        <w:rPr>
          <w:noProof/>
        </w:rPr>
        <w:t>[10]</w:t>
      </w:r>
      <w:r w:rsidR="000218FC">
        <w:fldChar w:fldCharType="end"/>
      </w:r>
      <w:r w:rsidR="00327D8B">
        <w:t>.</w:t>
      </w:r>
      <w:r w:rsidR="006C4A4B">
        <w:t xml:space="preserve"> </w:t>
      </w:r>
      <w:r w:rsidR="008D3A80">
        <w:fldChar w:fldCharType="begin" w:fldLock="1"/>
      </w:r>
      <w:r w:rsidR="000218FC">
        <w:instrText>ADDIN CSL_CITATION {"citationItems":[{"id":"ITEM-1","itemData":{"URL":"https://www.symantec.com/connect/articles/security-11-part-3-various-types-network-attacks","abstract":"On this occassion I will introduce as well some types of attacks directed more at end-user than at network or host computers - we will speak hear about Phishing attempts and Social Engineering tenchniques. Of special importance would be new emerging threats and attack types as well the evolving ones. More than ever before we see attacks involving all available media - such as social portals, VoIP or Bluetooth.","accessed":{"date-parts":[["2017","12","11"]]},"author":[{"dropping-particle":"","family":"Symantec","given":"","non-dropping-particle":"","parse-names":false,"suffix":""}],"container-title":"symantec.com","id":"ITEM-1","issued":{"date-parts":[["2013"]]},"page":"1","title":"Various types of network attacks | Symantec Connect Community","type":"webpage"},"uris":["http://www.mendeley.com/documents/?uuid=741f00d7-26d5-389d-8526-e5b3b5ab188b"]},{"id":"ITEM-2","itemData":{"ISBN":"0769519172","ISSN":"1943-4723","PMID":"20436091","abstract":"It's not always what you know, it's who you know. Whether it is a good deal on a product, a free place to stay on a vacation or the extra edge to beat out competition for a job, knowing the right people helps people get the things they want. This 'knowing the right people' is a form of social engineering. Social engineering is using relationships with people to attain a goal. Unfortunately, when it comes to the security of an organization's data and infrastructure, social engineering can be as bad as 'knowing the right people' can be good. This paper will describe social engineering and some of the common techniques used by social engineers. It will suggest policies, standards and procedures for helping to combat such a threat.","author":[{"dropping-particle":"","family":"Muehleis","given":"Peter","non-dropping-particle":"","parse-names":false,"suffix":""}],"container-title":"Journal of the American Dental Association (1939)","id":"ITEM-2","issue":"5","issued":{"date-parts":[["2010"]]},"page":"500; discussion 500-501","title":"Social engineering.","type":"article-journal","volume":"141"},"uris":["http://www.mendeley.com/documents/?uuid=2d19f62d-3e97-4746-abf4-ba19d8f49d43"]}],"mendeley":{"formattedCitation":"[11], [12]","plainTextFormattedCitation":"[11], [12]","previouslyFormattedCitation":"[11], [12]"},"properties":{"noteIndex":0},"schema":"https://github.com/citation-style-language/schema/raw/master/csl-citation.json"}</w:instrText>
      </w:r>
      <w:r w:rsidR="008D3A80">
        <w:fldChar w:fldCharType="separate"/>
      </w:r>
      <w:r w:rsidR="000218FC" w:rsidRPr="000218FC">
        <w:rPr>
          <w:noProof/>
        </w:rPr>
        <w:t>[11], [12]</w:t>
      </w:r>
      <w:r w:rsidR="008D3A80">
        <w:fldChar w:fldCharType="end"/>
      </w:r>
    </w:p>
    <w:p w14:paraId="13FBDAE9" w14:textId="77777777" w:rsidR="00327D8B" w:rsidRDefault="00327D8B" w:rsidP="00C068D2">
      <w:pPr>
        <w:pStyle w:val="Affiliation"/>
        <w:jc w:val="both"/>
      </w:pPr>
    </w:p>
    <w:p w14:paraId="60163BE4" w14:textId="1D6CFE10" w:rsidR="00647A47" w:rsidRDefault="006C4A4B" w:rsidP="00C068D2">
      <w:pPr>
        <w:pStyle w:val="Affiliation"/>
        <w:jc w:val="both"/>
      </w:pPr>
      <w:r>
        <w:t>E</w:t>
      </w:r>
      <w:r w:rsidR="00C74F98">
        <w:t>xternal threats within a contained Local Area Network</w:t>
      </w:r>
      <w:r w:rsidR="00F94418">
        <w:t xml:space="preserve"> (LAN)</w:t>
      </w:r>
      <w:r w:rsidR="00C74F98">
        <w:t xml:space="preserve"> architecture from the WAN</w:t>
      </w:r>
      <w:r>
        <w:t xml:space="preserve"> are also a major risk factor for </w:t>
      </w:r>
      <w:r w:rsidR="0010542A">
        <w:t>companies such</w:t>
      </w:r>
      <w:r>
        <w:t xml:space="preserve"> as; remote exploitation</w:t>
      </w:r>
      <w:r w:rsidR="00327D8B">
        <w:t xml:space="preserve"> of known vulnerable </w:t>
      </w:r>
      <w:r w:rsidR="00327D8B">
        <w:t>ports and/or services</w:t>
      </w:r>
      <w:r>
        <w:t>, phishing E-Mails i.e. malware threats etc</w:t>
      </w:r>
      <w:r w:rsidR="00C74F98">
        <w:t>.</w:t>
      </w:r>
      <w:r w:rsidR="008D3A80">
        <w:t xml:space="preserve"> </w:t>
      </w:r>
      <w:r w:rsidR="008D3A80">
        <w:fldChar w:fldCharType="begin" w:fldLock="1"/>
      </w:r>
      <w:r w:rsidR="000218FC">
        <w:instrText>ADDIN CSL_CITATION {"citationItems":[{"id":"ITEM-1","itemData":{"URL":"https://www.symantec.com/connect/articles/security-11-part-3-various-types-network-attacks","abstract":"On this occassion I will introduce as well some types of attacks directed more at end-user than at network or host computers - we will speak hear about Phishing attempts and Social Engineering tenchniques. Of special importance would be new emerging threats and attack types as well the evolving ones. More than ever before we see attacks involving all available media - such as social portals, VoIP or Bluetooth.","accessed":{"date-parts":[["2017","12","11"]]},"author":[{"dropping-particle":"","family":"Symantec","given":"","non-dropping-particle":"","parse-names":false,"suffix":""}],"container-title":"symantec.com","id":"ITEM-1","issued":{"date-parts":[["2013"]]},"page":"1","title":"Various types of network attacks | Symantec Connect Community","type":"webpage"},"uris":["http://www.mendeley.com/documents/?uuid=741f00d7-26d5-389d-8526-e5b3b5ab188b"]},{"id":"ITEM-2","itemData":{"ISBN":"978-0-387-32720-4","ISSN":"15682633","abstract":"Speed, stealth, and purpose of malware [1] threats and countermeasures are evolving quickly. This chapter describes these three facets of current mal- ware threats, and describes a few countermeasures emerging to better ad- dress such threats.","author":[{"dropping-particle":"","family":"Witten","given":"Brian","non-dropping-particle":"","parse-names":false,"suffix":""},{"dropping-particle":"","family":"Nachenberg","given":"Carey","non-dropping-particle":"","parse-names":false,"suffix":""}],"container-title":"Malware Detection","id":"ITEM-2","issued":{"date-parts":[["2007"]]},"page":"3-15","title":"Malware Evolution : A Snapshot of Threats and Countermeasures in 2005","type":"chapter"},"uris":["http://www.mendeley.com/documents/?uuid=357b4e56-5533-436b-9422-b97a80eff8f3"]}],"mendeley":{"formattedCitation":"[9], [11]","plainTextFormattedCitation":"[9], [11]","previouslyFormattedCitation":"[9], [11]"},"properties":{"noteIndex":0},"schema":"https://github.com/citation-style-language/schema/raw/master/csl-citation.json"}</w:instrText>
      </w:r>
      <w:r w:rsidR="008D3A80">
        <w:fldChar w:fldCharType="separate"/>
      </w:r>
      <w:r w:rsidR="000218FC" w:rsidRPr="000218FC">
        <w:rPr>
          <w:noProof/>
        </w:rPr>
        <w:t>[9], [11]</w:t>
      </w:r>
      <w:r w:rsidR="008D3A80">
        <w:fldChar w:fldCharType="end"/>
      </w:r>
    </w:p>
    <w:p w14:paraId="60163BE5" w14:textId="77777777" w:rsidR="00647A47" w:rsidRDefault="00647A47" w:rsidP="00C068D2">
      <w:pPr>
        <w:pStyle w:val="Affiliation"/>
        <w:jc w:val="both"/>
      </w:pPr>
    </w:p>
    <w:p w14:paraId="24C1B41B" w14:textId="1DFE3F20" w:rsidR="00E63818" w:rsidRDefault="009C10B7" w:rsidP="00C068D2">
      <w:pPr>
        <w:pStyle w:val="Affiliation"/>
        <w:jc w:val="both"/>
      </w:pPr>
      <w:r>
        <w:t>Business d</w:t>
      </w:r>
      <w:r w:rsidR="00313D38">
        <w:t xml:space="preserve">ata theft cannot only be </w:t>
      </w:r>
      <w:r w:rsidR="00182C11">
        <w:t>utilized</w:t>
      </w:r>
      <w:r>
        <w:t xml:space="preserve"> by hackers</w:t>
      </w:r>
      <w:r w:rsidR="00313D38">
        <w:t xml:space="preserve"> to access bank accounts</w:t>
      </w:r>
      <w:r>
        <w:t>,</w:t>
      </w:r>
      <w:r w:rsidR="00327D8B">
        <w:t xml:space="preserve"> financial</w:t>
      </w:r>
      <w:r>
        <w:t xml:space="preserve"> spreadsheets </w:t>
      </w:r>
      <w:r w:rsidR="00313D38">
        <w:t xml:space="preserve">and </w:t>
      </w:r>
      <w:r>
        <w:t>intellectual property for monetary gain</w:t>
      </w:r>
      <w:r w:rsidR="004A6912">
        <w:t xml:space="preserve"> as previously discussed</w:t>
      </w:r>
      <w:r w:rsidR="00327D8B">
        <w:t>,</w:t>
      </w:r>
      <w:r>
        <w:t xml:space="preserve"> </w:t>
      </w:r>
      <w:r w:rsidR="00313D38">
        <w:t xml:space="preserve">but also </w:t>
      </w:r>
      <w:r w:rsidR="006C2E62">
        <w:t xml:space="preserve">employee </w:t>
      </w:r>
      <w:r w:rsidR="00313D38">
        <w:t>personal</w:t>
      </w:r>
      <w:r w:rsidR="008100D0">
        <w:t xml:space="preserve"> data</w:t>
      </w:r>
      <w:r w:rsidR="00313D38">
        <w:t xml:space="preserve"> and</w:t>
      </w:r>
      <w:r>
        <w:t xml:space="preserve"> </w:t>
      </w:r>
      <w:r w:rsidR="008100D0">
        <w:t>generic</w:t>
      </w:r>
      <w:r w:rsidR="00313D38">
        <w:t xml:space="preserve"> business data can be</w:t>
      </w:r>
      <w:r w:rsidR="008100D0">
        <w:t xml:space="preserve"> </w:t>
      </w:r>
      <w:r w:rsidR="00313D38">
        <w:t xml:space="preserve">obtained </w:t>
      </w:r>
      <w:r>
        <w:t>and</w:t>
      </w:r>
      <w:r w:rsidR="008100D0">
        <w:t xml:space="preserve"> </w:t>
      </w:r>
      <w:r>
        <w:t xml:space="preserve"> sold </w:t>
      </w:r>
      <w:r w:rsidR="00313D38">
        <w:t xml:space="preserve">as a </w:t>
      </w:r>
      <w:r w:rsidR="00C068D2">
        <w:t>commodity</w:t>
      </w:r>
      <w:r w:rsidR="00313D38">
        <w:t xml:space="preserve"> to</w:t>
      </w:r>
      <w:r>
        <w:t xml:space="preserve"> unscrupulous </w:t>
      </w:r>
      <w:r w:rsidR="00313D38">
        <w:t xml:space="preserve"> data mining companies</w:t>
      </w:r>
      <w:r w:rsidR="001A60BF">
        <w:t xml:space="preserve"> that operate</w:t>
      </w:r>
      <w:r w:rsidR="00313D38">
        <w:t xml:space="preserve"> within the field of data analytics</w:t>
      </w:r>
      <w:r>
        <w:t>,</w:t>
      </w:r>
      <w:r w:rsidR="00313D38">
        <w:t xml:space="preserve"> </w:t>
      </w:r>
      <w:r w:rsidR="008100D0">
        <w:t xml:space="preserve">that utilize data very efficiently by aggregating masses of raw data from various sources </w:t>
      </w:r>
      <w:r w:rsidR="00313D38">
        <w:t xml:space="preserve">for; targeted marketing, election </w:t>
      </w:r>
      <w:r w:rsidR="002C51C2">
        <w:t>swaying</w:t>
      </w:r>
      <w:r w:rsidR="00313D38">
        <w:t xml:space="preserve"> </w:t>
      </w:r>
      <w:r w:rsidR="00641624">
        <w:t xml:space="preserve">and/or propaganda </w:t>
      </w:r>
      <w:r w:rsidR="002C51C2">
        <w:t>along</w:t>
      </w:r>
      <w:r>
        <w:t xml:space="preserve"> with</w:t>
      </w:r>
      <w:r w:rsidR="002C51C2">
        <w:t xml:space="preserve"> </w:t>
      </w:r>
      <w:r w:rsidR="00313D38">
        <w:t xml:space="preserve">many </w:t>
      </w:r>
      <w:r w:rsidR="002C51C2">
        <w:t>other</w:t>
      </w:r>
      <w:r w:rsidR="00313D38">
        <w:t xml:space="preserve"> </w:t>
      </w:r>
      <w:r w:rsidR="00C068D2">
        <w:t>industries</w:t>
      </w:r>
      <w:r w:rsidR="00313D38">
        <w:t xml:space="preserve"> who can </w:t>
      </w:r>
      <w:r>
        <w:t xml:space="preserve">subsequently </w:t>
      </w:r>
      <w:r w:rsidR="001A60BF">
        <w:t>profiteer</w:t>
      </w:r>
      <w:r w:rsidR="00313D38">
        <w:t xml:space="preserve"> from such personal/business </w:t>
      </w:r>
      <w:r w:rsidR="00C068D2">
        <w:t>information</w:t>
      </w:r>
      <w:r w:rsidR="00313D38">
        <w:t xml:space="preserve"> once it has been </w:t>
      </w:r>
      <w:r w:rsidR="0016006A" w:rsidRPr="0016006A">
        <w:t>organized</w:t>
      </w:r>
      <w:r w:rsidR="002C51C2">
        <w:t xml:space="preserve">, and </w:t>
      </w:r>
      <w:r w:rsidR="0016006A">
        <w:t xml:space="preserve">analyzed </w:t>
      </w:r>
      <w:r w:rsidR="002C51C2">
        <w:t>the</w:t>
      </w:r>
      <w:r>
        <w:t>n</w:t>
      </w:r>
      <w:r w:rsidR="002C51C2">
        <w:t xml:space="preserve"> </w:t>
      </w:r>
      <w:r w:rsidR="0016006A">
        <w:t xml:space="preserve">visualized into graphs etc to understand the data patterns monetary value potential within industries around the globe </w:t>
      </w:r>
      <w:r w:rsidR="00313D38">
        <w:t xml:space="preserve">. </w:t>
      </w:r>
      <w:r w:rsidR="00E63818">
        <w:fldChar w:fldCharType="begin" w:fldLock="1"/>
      </w:r>
      <w:r w:rsidR="000218FC">
        <w:instrText>ADDIN CSL_CITATION {"citationItems":[{"id":"ITEM-1","itemData":{"DOI":"10.1080/713827180","ISSN":"10876545","abstract":"Data preparation is a fundamental stage of data analysis. While a lot of low-quality information is available in various data sources and on the Web, many organizations or companies are interested in how to transform the data into cleaned forms which can be used for high-profit purposes. This goal generates an urgent need for data analysis aimed at cleaning the raw data. In this paper, we first show the importance of data preparation in data analysis, then introduce some research achievements in the area of data preparation. Finally, we suggest some future directions of research and development. © 2003 Taylor and Francis Group, LLC.","author":[{"dropping-particle":"","family":"Zhang","given":"Shichao","non-dropping-particle":"","parse-names":false,"suffix":""},{"dropping-particle":"","family":"Zhang","given":"Chengqi","non-dropping-particle":"","parse-names":false,"suffix":""},{"dropping-particle":"","family":"Yang","given":"Qiang","non-dropping-particle":"","parse-names":false,"suffix":""}],"container-title":"Applied Artificial Intelligence","id":"ITEM-1","issued":{"date-parts":[["2003"]]},"title":"Data preparation for data mining","type":"article-journal"},"uris":["http://www.mendeley.com/documents/?uuid=f0f975b3-aa76-4698-b3db-a5a63c5f545f"]},{"id":"ITEM-2","itemData":{"DOI":"10.2165/00002018-200730070-00010","ISSN":"01145916","PMID":"17604416","abstract":"Data mining is the discovery of interesting, unexpected or valuable structures in large datasets. As such, it has two rather different aspects. One of these concerns large-scale, 'global' structures, and the aim is to model the shapes, or features of the shapes, of distributions. The other concerns small-scale, 'local' structures, and the aim is to detect these anomalies and decide if they are real or chance occurrences. In the context of signal detection in the pharmaceutical sector, most interest lies in the second of the above two aspects; however, signal detection occurs relative to an assumed background model, therefore, some discussion of the first aspect is also necessary. This paper gives a lightning overview of data mining and its relation to statistics, with particular emphasis on tools for the detection of adverse drug reactions. © 2007 Adis Data Information BV. All rights reserved.","author":[{"dropping-particle":"","family":"Hand","given":"David J.","non-dropping-particle":"","parse-names":false,"suffix":""}],"container-title":"Drug Safety","id":"ITEM-2","issued":{"date-parts":[["2007"]]},"title":"Principles of data mining","type":"paper-conference"},"uris":["http://www.mendeley.com/documents/?uuid=5d89b390-dab9-4d12-9bfa-d04553d6daf3"]},{"id":"ITEM-3","itemData":{"DOI":"10.1109/ISPLC.2012.6201332","ISBN":"978-1-4673-0361-3","ISSN":"14337851","PMID":"11221713","abstract":"Data mining. Advanced course on knowledge technologies : course notes","author":[{"dropping-particle":"","family":"Mining","given":"Data","non-dropping-particle":"","parse-names":false,"suffix":""},{"dropping-particle":"","family":"Mining","given":"Text","non-dropping-particle":"","parse-names":false,"suffix":""}],"container-title":"Text","id":"ITEM-3","issued":{"date-parts":[["2017"]]},"title":"A Programmers Guide to Data Mining","type":"article-journal"},"uris":["http://www.mendeley.com/documents/?uuid=c7c4ab61-85c3-42a1-b0fa-508d1196a0fd"]}],"mendeley":{"formattedCitation":"[13]–[15]","plainTextFormattedCitation":"[13]–[15]","previouslyFormattedCitation":"[13]–[15]"},"properties":{"noteIndex":0},"schema":"https://github.com/citation-style-language/schema/raw/master/csl-citation.json"}</w:instrText>
      </w:r>
      <w:r w:rsidR="00E63818">
        <w:fldChar w:fldCharType="separate"/>
      </w:r>
      <w:r w:rsidR="000218FC" w:rsidRPr="000218FC">
        <w:rPr>
          <w:noProof/>
        </w:rPr>
        <w:t>[13]–[15]</w:t>
      </w:r>
      <w:r w:rsidR="00E63818">
        <w:fldChar w:fldCharType="end"/>
      </w:r>
    </w:p>
    <w:p w14:paraId="1A868AE5" w14:textId="77777777" w:rsidR="00E63818" w:rsidRDefault="00E63818" w:rsidP="00C068D2">
      <w:pPr>
        <w:pStyle w:val="Affiliation"/>
        <w:jc w:val="both"/>
      </w:pPr>
    </w:p>
    <w:p w14:paraId="60163BE6" w14:textId="3DA17AE6" w:rsidR="00647A47" w:rsidRDefault="00C068D2" w:rsidP="00C068D2">
      <w:pPr>
        <w:pStyle w:val="Affiliation"/>
        <w:jc w:val="both"/>
      </w:pPr>
      <w:r>
        <w:t>Therefore,</w:t>
      </w:r>
      <w:r w:rsidR="00313D38">
        <w:t xml:space="preserve"> raw data can be described as the new oil</w:t>
      </w:r>
      <w:r w:rsidR="00A02884">
        <w:t xml:space="preserve"> </w:t>
      </w:r>
      <w:r w:rsidR="00A02884">
        <w:fldChar w:fldCharType="begin" w:fldLock="1"/>
      </w:r>
      <w:r w:rsidR="000218FC">
        <w:instrText>ADDIN CSL_CITATION {"citationItems":[{"id":"ITEM-1","itemData":{"abstract":"Recently, on a CNBC Squawk Box segment, “The Pulse of Silicon Valley,” host Joe Kernan posed the question, “What is the next really big thing?” to Ann Winblad, the legendary investor and senior partner at Hummer-Winblad. Her response: “Data is the new oil.” Winblad talked about predictive analytics as the new hot spot for venture investing and discussed the growth of companies that can derive value from the huge amounts of data being stored.","author":[{"dropping-particle":"","family":"Rotella","given":"Perry","non-dropping-particle":"","parse-names":false,"suffix":""}],"container-title":"Forbes","id":"ITEM-1","issued":{"date-parts":[["2012"]]},"title":"Is Data The New Oil?","type":"article-journal"},"uris":["http://www.mendeley.com/documents/?uuid=9bc5e317-dbec-4079-bbb5-48c1c871a797"]}],"mendeley":{"formattedCitation":"[16]","plainTextFormattedCitation":"[16]","previouslyFormattedCitation":"[16]"},"properties":{"noteIndex":0},"schema":"https://github.com/citation-style-language/schema/raw/master/csl-citation.json"}</w:instrText>
      </w:r>
      <w:r w:rsidR="00A02884">
        <w:fldChar w:fldCharType="separate"/>
      </w:r>
      <w:r w:rsidR="000218FC" w:rsidRPr="000218FC">
        <w:rPr>
          <w:noProof/>
        </w:rPr>
        <w:t>[16]</w:t>
      </w:r>
      <w:r w:rsidR="00A02884">
        <w:fldChar w:fldCharType="end"/>
      </w:r>
      <w:r w:rsidR="00313D38">
        <w:t xml:space="preserve"> within the 21</w:t>
      </w:r>
      <w:r w:rsidR="00313D38">
        <w:rPr>
          <w:vertAlign w:val="superscript"/>
        </w:rPr>
        <w:t>st</w:t>
      </w:r>
      <w:r w:rsidR="00313D38">
        <w:t xml:space="preserve"> </w:t>
      </w:r>
      <w:r>
        <w:t>century because</w:t>
      </w:r>
      <w:r w:rsidR="00313D38">
        <w:t xml:space="preserve"> of its high </w:t>
      </w:r>
      <w:r>
        <w:t>monetary</w:t>
      </w:r>
      <w:r w:rsidR="00313D38">
        <w:t xml:space="preserve"> value within todays data analytics market</w:t>
      </w:r>
      <w:r w:rsidR="00E63818">
        <w:t xml:space="preserve"> </w:t>
      </w:r>
      <w:r w:rsidR="00E63818">
        <w:fldChar w:fldCharType="begin" w:fldLock="1"/>
      </w:r>
      <w:r w:rsidR="000218FC">
        <w:instrText>ADDIN CSL_CITATION {"citationItems":[{"id":"ITEM-1","itemData":{"DOI":"10.1126/science.1243089","ISSN":"10959203","abstract":"The quality and quantity of data on economic activity are expanding rapidly. Empirical research increasingly relies on newly available large-scale administrative data or private sector data that often is obtained through collaboration with private firms. Here we highlight some challenges in accessing and using these new data. We also discuss how new data sets may change the statistical methods used by economists and the types of questions posed in empirical research.","author":[{"dropping-particle":"","family":"Einav","given":"Liran","non-dropping-particle":"","parse-names":false,"suffix":""},{"dropping-particle":"","family":"Levin","given":"Jonathan","non-dropping-particle":"","parse-names":false,"suffix":""}],"container-title":"Science","id":"ITEM-1","issued":{"date-parts":[["2014"]]},"title":"Economics in the age of big data","type":"article"},"uris":["http://www.mendeley.com/documents/?uuid=86a53aff-15e8-42ba-a1e3-98e53b822265"]}],"mendeley":{"formattedCitation":"[17]","plainTextFormattedCitation":"[17]","previouslyFormattedCitation":"[17]"},"properties":{"noteIndex":0},"schema":"https://github.com/citation-style-language/schema/raw/master/csl-citation.json"}</w:instrText>
      </w:r>
      <w:r w:rsidR="00E63818">
        <w:fldChar w:fldCharType="separate"/>
      </w:r>
      <w:r w:rsidR="000218FC" w:rsidRPr="000218FC">
        <w:rPr>
          <w:noProof/>
        </w:rPr>
        <w:t>[17]</w:t>
      </w:r>
      <w:r w:rsidR="00E63818">
        <w:fldChar w:fldCharType="end"/>
      </w:r>
      <w:r w:rsidR="00313D38">
        <w:t>.</w:t>
      </w:r>
      <w:r w:rsidR="00E63818">
        <w:t xml:space="preserve"> </w:t>
      </w:r>
    </w:p>
    <w:p w14:paraId="60163BE7" w14:textId="77777777" w:rsidR="00647A47" w:rsidRDefault="00647A47" w:rsidP="00C068D2">
      <w:pPr>
        <w:pStyle w:val="Affiliation"/>
        <w:jc w:val="both"/>
      </w:pPr>
    </w:p>
    <w:p w14:paraId="60163BE8" w14:textId="61D7AEAD" w:rsidR="00647A47" w:rsidRDefault="00C068D2" w:rsidP="00C068D2">
      <w:pPr>
        <w:pStyle w:val="Affiliation"/>
        <w:jc w:val="both"/>
      </w:pPr>
      <w:commentRangeStart w:id="0"/>
      <w:r>
        <w:t>Because</w:t>
      </w:r>
      <w:r w:rsidR="00313D38">
        <w:t xml:space="preserve"> </w:t>
      </w:r>
      <w:commentRangeEnd w:id="0"/>
      <w:r w:rsidR="00ED5F45">
        <w:rPr>
          <w:rStyle w:val="CommentReference"/>
          <w:lang w:val="en-GB"/>
        </w:rPr>
        <w:commentReference w:id="0"/>
      </w:r>
      <w:r w:rsidR="00313D38">
        <w:t xml:space="preserve">data is both highly profitable and can also be used maliciously within the wrong hands, </w:t>
      </w:r>
      <w:r>
        <w:t>there are</w:t>
      </w:r>
      <w:r w:rsidR="00313D38">
        <w:t xml:space="preserve"> laws and regulations</w:t>
      </w:r>
      <w:r w:rsidR="008179EA">
        <w:t xml:space="preserve"> within various countries and/or continents</w:t>
      </w:r>
      <w:r w:rsidR="00313D38">
        <w:t xml:space="preserve"> that have been put in place to regulate how data is stored</w:t>
      </w:r>
      <w:r w:rsidR="00050B9F">
        <w:t xml:space="preserve"> and secured</w:t>
      </w:r>
      <w:r w:rsidR="00313D38">
        <w:t xml:space="preserve"> within various corporate network</w:t>
      </w:r>
      <w:r w:rsidR="008179EA">
        <w:t>s</w:t>
      </w:r>
      <w:r w:rsidR="00313D38">
        <w:t xml:space="preserve"> </w:t>
      </w:r>
      <w:r w:rsidR="00381FC4">
        <w:t>across many</w:t>
      </w:r>
      <w:r w:rsidR="00313D38">
        <w:t xml:space="preserve"> industries to protect consumers around the globe. Th</w:t>
      </w:r>
      <w:r w:rsidR="00347B47">
        <w:t>e</w:t>
      </w:r>
      <w:r w:rsidR="00313D38">
        <w:t xml:space="preserve"> </w:t>
      </w:r>
      <w:r w:rsidR="00DB2D9C">
        <w:t>governance of</w:t>
      </w:r>
      <w:r w:rsidR="00313D38">
        <w:t xml:space="preserve"> data</w:t>
      </w:r>
      <w:r w:rsidR="00050B9F">
        <w:t xml:space="preserve"> protection</w:t>
      </w:r>
      <w:r w:rsidR="00313D38">
        <w:t xml:space="preserve"> laws</w:t>
      </w:r>
      <w:r w:rsidR="00347B47">
        <w:t xml:space="preserve"> and ethics</w:t>
      </w:r>
      <w:r w:rsidR="00313D38">
        <w:t xml:space="preserve"> vary between </w:t>
      </w:r>
      <w:r>
        <w:t>countries</w:t>
      </w:r>
      <w:r w:rsidR="00313D38">
        <w:t xml:space="preserve"> and/or </w:t>
      </w:r>
      <w:r>
        <w:t>continents</w:t>
      </w:r>
      <w:r w:rsidR="00313D38">
        <w:t xml:space="preserve">, </w:t>
      </w:r>
      <w:r w:rsidR="00347B47">
        <w:t xml:space="preserve">they </w:t>
      </w:r>
      <w:r w:rsidR="00313D38">
        <w:t xml:space="preserve">outline </w:t>
      </w:r>
      <w:r w:rsidR="00005698">
        <w:t xml:space="preserve">how </w:t>
      </w:r>
      <w:r w:rsidR="00395AF8">
        <w:t>a company</w:t>
      </w:r>
      <w:r w:rsidR="00313D38">
        <w:t xml:space="preserve"> that is storing data pertaining to sensitive information such as; </w:t>
      </w:r>
      <w:r>
        <w:t>intellectual</w:t>
      </w:r>
      <w:r w:rsidR="00313D38">
        <w:t xml:space="preserve"> property, personal </w:t>
      </w:r>
      <w:r>
        <w:t>information</w:t>
      </w:r>
      <w:r w:rsidR="00313D38">
        <w:t xml:space="preserve"> and passwords should be </w:t>
      </w:r>
      <w:r w:rsidR="00347B47">
        <w:t>secured</w:t>
      </w:r>
      <w:r w:rsidR="00313D38">
        <w:t xml:space="preserve">. </w:t>
      </w:r>
      <w:r w:rsidR="00DC598A">
        <w:t xml:space="preserve"> </w:t>
      </w:r>
      <w:r w:rsidR="00DC598A">
        <w:fldChar w:fldCharType="begin" w:fldLock="1"/>
      </w:r>
      <w:r w:rsidR="000218FC">
        <w:instrText>ADDIN CSL_CITATION {"citationItems":[{"id":"ITEM-1","itemData":{"abstract":"Governments and companies are able to move beyond 'data mining' to ‘reality mining’, which penetrates everyday experience, communication and even thought. To help stimulate a debate, we wish to highlight specific trends due to the digital era which raise the most important ethical and practical questions for the application of data protection principles. Privacy and data protection are part of the solution, not the problem. For the time being, technology is controlled by humans. It is not easy to classify neatly these potential developments as good or bad, desirable or harmful, advantageous or detrimental, even less so when a number of potential trends have to be seen in context. Policy makers, technology developers, business developers and all of us must seriously consider if and how we want to influence the development of technology and its application. But equally important is that the EU consider urgently the ethics and the place for human dignity in the technologies of the future. Data protection principles have proven capable of safeguarding individuals and their privacy from the risks of irresponsible data processing. But today's trends may require a completely fresh approach. So we are opening a new debate to what extent the application of the principles such as fairness and legitimacy is sufficient. The data protection community can play a new role using existing tools like prior checks and authorisations - because no other bodies are equipped to scrutinise such data processing. With technology, global innovation and human connectedness developing at breakneck speed, we have an opportunity to attract attention, to trigger interest and to build a consensus.","author":[{"dropping-particle":"","family":"European Data Protection Supervisor","given":"","non-dropping-particle":"","parse-names":false,"suffix":""}],"container-title":"European Data Protection Supervisor","id":"ITEM-1","issued":{"date-parts":[["2015"]]},"title":"Towards a new digital ethics. Data, dignity and technology","type":"report"},"uris":["http://www.mendeley.com/documents/?uuid=b606b585-e562-4aba-870b-a470ea6e26a2"]},{"id":"ITEM-2","itemData":{"DOI":"10.1016/j.clsr.2017.09.001","ISSN":"02673649","abstract":"Although the protection of personal data is harmonized within the EU by Directive 95/46/EC and will be further harmonized by the General Data Protection Regulation (GDPR) in 2018, there are significant differences in the ways in which EU member states implemented the protection of privacy and personal data in national laws, policies, and practices. This paper presents the main findings of a research project that compares the protection of privacy and personal data in eight EU member states: France, Germany, the UK, Ireland, Romania, Italy, Sweden, and the Netherlands. The comparison focuses on five major themes: awareness and trust, government policies for personal data protection, the applicable laws and regulations, implementation of those laws and regulations, and supervision and enforcement. The comparison of privacy and data protection regimes across the EU shows some remarkable findings, revealing which countries are frontrunners and which countries are lagging behind on specific aspects. For instance, the roles of and interplay between governments, civil rights organizations, and data protections authorities vary from country to country. Furthermore, with regard to privacy and data protection there are differences in the intensity and scope of political debates, information campaigns, media attention, and public debate. New concepts like privacy impact assessments, privacy by design, data breach notifications and big data are on the agenda in some but not in all countries. Significant differences exist in (the levels of) enforcement by the different data protection authorities, due to different legal competencies, available budgets and personnel, policies, and cultural factors.","author":[{"dropping-particle":"","family":"Custers","given":"Bart","non-dropping-particle":"","parse-names":false,"suffix":""},{"dropping-particle":"","family":"Dechesne","given":"Francien","non-dropping-particle":"","parse-names":false,"suffix":""},{"dropping-particle":"","family":"Sears","given":"Alan M.","non-dropping-particle":"","parse-names":false,"suffix":""},{"dropping-particle":"","family":"Tani","given":"Tommaso","non-dropping-particle":"","parse-names":false,"suffix":""},{"dropping-particle":"","family":"Hof","given":"Simone","non-dropping-particle":"van der","parse-names":false,"suffix":""}],"container-title":"Computer Law and Security Review","id":"ITEM-2","issued":{"date-parts":[["2018"]]},"title":"A comparison of data protection legislation and policies across the EU","type":"article-journal"},"uris":["http://www.mendeley.com/documents/?uuid=7472e216-f5c3-48fe-8706-05d6e59f1ce0"]},{"id":"ITEM-3","itemData":{"DOI":"10.2811/58814","ISBN":"0012-9658","abstract":"The issue of scaling impinges on every aspect of landscape ecology and much of ecology in general. Consequently, the topic has invited a vast commentary. One result of scaling research is so-called scaling laws that describe how observations scale (e.g., as power laws). Importantly, such scaling rules seldom derive from a process-based understanding of why they emerge. Alternatively, the task of scaling is often addressed via simulation models. This is a scaling operation about which we are somewhat less confident, although recent advances in computing power and computational statistics provide for some promising new solutions. Here, I focus on methods for scaling simulations developed at fine grain and small extent, to their implications over much larger extent. The intent in scaling is to simplify the model while retaining those details essential for larger-scale applications. This approach should lead to scaling rules that are well founded in fine-scale ecological process and yet useful for making predictions at the larger scales of management and environmental policy.","author":[{"dropping-particle":"","family":"FRA","given":"","non-dropping-particle":"","parse-names":false,"suffix":""},{"dropping-particle":"","family":"EDPS","given":"","non-dropping-particle":"","parse-names":false,"suffix":""}],"container-title":"Luxembourg: Publications Office of the European Union","id":"ITEM-3","issued":{"date-parts":[["2018"]]},"title":"Handbook on European data protection law 2018","type":"book"},"uris":["http://www.mendeley.com/documents/?uuid=8c7d9e98-522b-4a6d-a369-80546aad216c"]}],"mendeley":{"formattedCitation":"[18]–[20]","plainTextFormattedCitation":"[18]–[20]","previouslyFormattedCitation":"[18]–[20]"},"properties":{"noteIndex":0},"schema":"https://github.com/citation-style-language/schema/raw/master/csl-citation.json"}</w:instrText>
      </w:r>
      <w:r w:rsidR="00DC598A">
        <w:fldChar w:fldCharType="separate"/>
      </w:r>
      <w:r w:rsidR="000218FC" w:rsidRPr="000218FC">
        <w:rPr>
          <w:noProof/>
        </w:rPr>
        <w:t>[18]–[20]</w:t>
      </w:r>
      <w:r w:rsidR="00DC598A">
        <w:fldChar w:fldCharType="end"/>
      </w:r>
    </w:p>
    <w:p w14:paraId="60163BE9" w14:textId="77777777" w:rsidR="00647A47" w:rsidRDefault="00647A47" w:rsidP="00C068D2">
      <w:pPr>
        <w:pStyle w:val="Affiliation"/>
        <w:jc w:val="both"/>
      </w:pPr>
    </w:p>
    <w:p w14:paraId="60163BEB" w14:textId="2572D532" w:rsidR="00647A47" w:rsidRPr="00572072" w:rsidRDefault="00313D38" w:rsidP="00572072">
      <w:pPr>
        <w:pStyle w:val="Affiliation"/>
        <w:jc w:val="both"/>
      </w:pPr>
      <w:r>
        <w:t>Within the European Union (EU) such governance is called</w:t>
      </w:r>
      <w:r w:rsidR="0036751B">
        <w:t>;</w:t>
      </w:r>
      <w:r>
        <w:t xml:space="preserve"> the General Data Protection Regulation (GDPR) </w:t>
      </w:r>
      <w:r w:rsidR="00DC598A">
        <w:fldChar w:fldCharType="begin" w:fldLock="1"/>
      </w:r>
      <w:r w:rsidR="000218FC">
        <w:instrText>ADDIN CSL_CITATION {"citationItems":[{"id":"ITEM-1","itemData":{"DOI":"http://eur-lex.europa.eu/pri/en/oj/dat/2003/l_285/l_28520031101en00330037.pdf","ISBN":"683/2004","ISSN":"1098-6596","PMID":"25246403","abstract":"The GDPR is a far-reaching legal instrument that will have a significant impact on all\r\ncompanies involved in the processing of personal data, including many outside the\r\nEU. It will increase the penalties for noncompliance, with fines of up to €20 million or\r\n4 percent of annual worldwide turnover. In addition, supervisory authorities will have\r\na number of broad powers.\r\nCompanies should review the GDPR and begin preparing for compliance with the new\r\nlegal framework for data protection in the EU.\r\nThis guide, by providing a brief overview of the new rules imposed by this legislation\r\nand the key changes it will make, will help users prepare for the GDPR. The guide also\r\nincludes a short glossary of terms used in the GDPR, and each section sets out a short\r\nto-do list for compliance. The guide will shortly be followed by further guidance, briefings\r\nand practical checklists on the GDPR.","author":[{"dropping-particle":"","family":"Day","given":"Jones","non-dropping-particle":"","parse-names":false,"suffix":""}],"container-title":"GDPR Guide","id":"ITEM-1","issued":{"date-parts":[["2017"]]},"page":"4-24","title":"General Data Protection Regulation Guide","type":"article"},"uris":["http://www.mendeley.com/documents/?uuid=1931ac12-96f8-402f-8226-53fccab57ef1"]}],"mendeley":{"formattedCitation":"[21]","plainTextFormattedCitation":"[21]","previouslyFormattedCitation":"[21]"},"properties":{"noteIndex":0},"schema":"https://github.com/citation-style-language/schema/raw/master/csl-citation.json"}</w:instrText>
      </w:r>
      <w:r w:rsidR="00DC598A">
        <w:fldChar w:fldCharType="separate"/>
      </w:r>
      <w:r w:rsidR="000218FC" w:rsidRPr="000218FC">
        <w:rPr>
          <w:noProof/>
        </w:rPr>
        <w:t>[21]</w:t>
      </w:r>
      <w:r w:rsidR="00DC598A">
        <w:fldChar w:fldCharType="end"/>
      </w:r>
      <w:r w:rsidR="00DC598A">
        <w:t xml:space="preserve"> </w:t>
      </w:r>
      <w:r>
        <w:t xml:space="preserve">law that was introduced in May of 2018. GDPR states that if customer/client data is breached and/or stolen, the </w:t>
      </w:r>
      <w:r w:rsidR="00C068D2">
        <w:t>company</w:t>
      </w:r>
      <w:r>
        <w:t xml:space="preserve"> housing the information is held accountable for the loss, thus </w:t>
      </w:r>
      <w:r w:rsidR="00C068D2">
        <w:t>incurring</w:t>
      </w:r>
      <w:r>
        <w:t xml:space="preserve"> fines of up to; </w:t>
      </w:r>
      <w:r w:rsidR="00FD46B9">
        <w:t xml:space="preserve">20 </w:t>
      </w:r>
      <w:r w:rsidR="008D03D1">
        <w:t>m</w:t>
      </w:r>
      <w:r w:rsidR="00FD46B9">
        <w:t>illion euros</w:t>
      </w:r>
      <w:r>
        <w:t xml:space="preserve"> or </w:t>
      </w:r>
      <w:r w:rsidR="00FD46B9">
        <w:t>4</w:t>
      </w:r>
      <w:r>
        <w:t xml:space="preserve">% </w:t>
      </w:r>
      <w:r w:rsidR="00FD46B9">
        <w:t>of annual turnover depending on which amount is the highest</w:t>
      </w:r>
      <w:r>
        <w:t xml:space="preserve">. Breaching GDPR law can cripple and even bankrupt Small-to-Medium sized </w:t>
      </w:r>
      <w:r w:rsidR="000B7340">
        <w:t>Enterprises</w:t>
      </w:r>
      <w:r>
        <w:t xml:space="preserve"> (SM</w:t>
      </w:r>
      <w:r w:rsidR="000B7340">
        <w:t>E</w:t>
      </w:r>
      <w:r>
        <w:t>)</w:t>
      </w:r>
      <w:r w:rsidR="000218FC">
        <w:t xml:space="preserve"> </w:t>
      </w:r>
      <w:r w:rsidR="000218FC">
        <w:fldChar w:fldCharType="begin" w:fldLock="1"/>
      </w:r>
      <w:r w:rsidR="00B46018">
        <w:instrText>ADDIN CSL_CITATION {"citationItems":[{"id":"ITEM-1","itemData":{"abstract":"A small and midsize business (SMB) is a business which, due to its size, has different IT requirements—and often faces different IT challenges—than do large enterprises, and whose IT resources (usually budget and staff) are often highly constrained. For the purposes of its research, Gartner defines SMBs by the number of employees and annual revenue they have. The attribute used most often is number of employees; small businesses are usually defined as organizations with fewer than 100 employees; midsize enterprises are those organizations with 100 to 999 employees. The second most popular attribute used to define the SMB market is annual revenue: small business is usually defined as organizations with less than $50 million in annual revenue; midsize enterprise is defined as organizations that make more than $50 million, but less than $1 billion in annual revenue.","author":[{"dropping-particle":"","family":"Gartner","given":"","non-dropping-particle":"","parse-names":false,"suffix":""}],"container-title":"Gartner","id":"ITEM-1","issued":{"date-parts":[["2017"]]},"title":"What is SMB? - Gartner Defines Small and Midsize Businesses","type":"webpage"},"uris":["http://www.mendeley.com/documents/?uuid=4552ac25-ccbe-44ae-a1d6-43f4c7212d29"]}],"mendeley":{"formattedCitation":"[22]","plainTextFormattedCitation":"[22]","previouslyFormattedCitation":"[22]"},"properties":{"noteIndex":0},"schema":"https://github.com/citation-style-language/schema/raw/master/csl-citation.json"}</w:instrText>
      </w:r>
      <w:r w:rsidR="000218FC">
        <w:fldChar w:fldCharType="separate"/>
      </w:r>
      <w:r w:rsidR="000218FC" w:rsidRPr="000218FC">
        <w:rPr>
          <w:noProof/>
        </w:rPr>
        <w:t>[22]</w:t>
      </w:r>
      <w:r w:rsidR="000218FC">
        <w:fldChar w:fldCharType="end"/>
      </w:r>
      <w:r>
        <w:t xml:space="preserve">. </w:t>
      </w:r>
      <w:r w:rsidR="00C068D2">
        <w:t>T</w:t>
      </w:r>
      <w:r>
        <w:t>hat</w:t>
      </w:r>
      <w:r w:rsidR="00C068D2">
        <w:t xml:space="preserve"> i</w:t>
      </w:r>
      <w:r>
        <w:t xml:space="preserve">s why protecting client/customer data is </w:t>
      </w:r>
      <w:r w:rsidR="00C068D2">
        <w:t>paramount</w:t>
      </w:r>
      <w:r>
        <w:t xml:space="preserve"> for companies in </w:t>
      </w:r>
      <w:r w:rsidR="00C068D2">
        <w:t>today’s</w:t>
      </w:r>
      <w:r>
        <w:t xml:space="preserve"> digital ecosystem. GDPR is widely regarded</w:t>
      </w:r>
      <w:r w:rsidR="005344CC">
        <w:t xml:space="preserve"> by data security professionals</w:t>
      </w:r>
      <w:r>
        <w:t xml:space="preserve"> as the most robust </w:t>
      </w:r>
      <w:r w:rsidR="00C068D2">
        <w:t>and stringent</w:t>
      </w:r>
      <w:r>
        <w:t xml:space="preserve"> data </w:t>
      </w:r>
      <w:r w:rsidR="00C068D2">
        <w:t>protection</w:t>
      </w:r>
      <w:r>
        <w:t xml:space="preserve"> law in the world.</w:t>
      </w:r>
      <w:r w:rsidR="00DC598A">
        <w:t xml:space="preserve"> </w:t>
      </w:r>
      <w:r w:rsidR="00DC598A">
        <w:fldChar w:fldCharType="begin" w:fldLock="1"/>
      </w:r>
      <w:r w:rsidR="000218FC">
        <w:instrText>ADDIN CSL_CITATION {"citationItems":[{"id":"ITEM-1","itemData":{"DOI":"http://eur-lex.europa.eu/pri/en/oj/dat/2003/l_285/l_28520031101en00330037.pdf","ISBN":"683/2004","ISSN":"1098-6596","PMID":"25246403","abstract":"The GDPR is a far-reaching legal instrument that will have a significant impact on all\r\ncompanies involved in the processing of personal data, including many outside the\r\nEU. It will increase the penalties for noncompliance, with fines of up to €20 million or\r\n4 percent of annual worldwide turnover. In addition, supervisory authorities will have\r\na number of broad powers.\r\nCompanies should review the GDPR and begin preparing for compliance with the new\r\nlegal framework for data protection in the EU.\r\nThis guide, by providing a brief overview of the new rules imposed by this legislation\r\nand the key changes it will make, will help users prepare for the GDPR. The guide also\r\nincludes a short glossary of terms used in the GDPR, and each section sets out a short\r\nto-do list for compliance. The guide will shortly be followed by further guidance, briefings\r\nand practical checklists on the GDPR.","author":[{"dropping-particle":"","family":"Day","given":"Jones","non-dropping-particle":"","parse-names":false,"suffix":""}],"container-title":"GDPR Guide","id":"ITEM-1","issued":{"date-parts":[["2017"]]},"page":"4-24","title":"General Data Protection Regulation Guide","type":"article"},"uris":["http://www.mendeley.com/documents/?uuid=1931ac12-96f8-402f-8226-53fccab57ef1"]},{"id":"ITEM-2","itemData":{"DOI":"10.1016/j.clsr.2017.09.001","ISSN":"02673649","abstract":"Although the protection of personal data is harmonized within the EU by Directive 95/46/EC and will be further harmonized by the General Data Protection Regulation (GDPR) in 2018, there are significant differences in the ways in which EU member states implemented the protection of privacy and personal data in national laws, policies, and practices. This paper presents the main findings of a research project that compares the protection of privacy and personal data in eight EU member states: France, Germany, the UK, Ireland, Romania, Italy, Sweden, and the Netherlands. The comparison focuses on five major themes: awareness and trust, government policies for personal data protection, the applicable laws and regulations, implementation of those laws and regulations, and supervision and enforcement. The comparison of privacy and data protection regimes across the EU shows some remarkable findings, revealing which countries are frontrunners and which countries are lagging behind on specific aspects. For instance, the roles of and interplay between governments, civil rights organizations, and data protections authorities vary from country to country. Furthermore, with regard to privacy and data protection there are differences in the intensity and scope of political debates, information campaigns, media attention, and public debate. New concepts like privacy impact assessments, privacy by design, data breach notifications and big data are on the agenda in some but not in all countries. Significant differences exist in (the levels of) enforcement by the different data protection authorities, due to different legal competencies, available budgets and personnel, policies, and cultural factors.","author":[{"dropping-particle":"","family":"Custers","given":"Bart","non-dropping-particle":"","parse-names":false,"suffix":""},{"dropping-particle":"","family":"Dechesne","given":"Francien","non-dropping-particle":"","parse-names":false,"suffix":""},{"dropping-particle":"","family":"Sears","given":"Alan M.","non-dropping-particle":"","parse-names":false,"suffix":""},{"dropping-particle":"","family":"Tani","given":"Tommaso","non-dropping-particle":"","parse-names":false,"suffix":""},{"dropping-particle":"","family":"Hof","given":"Simone","non-dropping-particle":"van der","parse-names":false,"suffix":""}],"container-title":"Computer Law and Security Review","id":"ITEM-2","issued":{"date-parts":[["2018"]]},"title":"A comparison of data protection legislation and policies across the EU","type":"article-journal"},"uris":["http://www.mendeley.com/documents/?uuid=7472e216-f5c3-48fe-8706-05d6e59f1ce0"]}],"mendeley":{"formattedCitation":"[19], [21]","plainTextFormattedCitation":"[19], [21]","previouslyFormattedCitation":"[19], [21]"},"properties":{"noteIndex":0},"schema":"https://github.com/citation-style-language/schema/raw/master/csl-citation.json"}</w:instrText>
      </w:r>
      <w:r w:rsidR="00DC598A">
        <w:fldChar w:fldCharType="separate"/>
      </w:r>
      <w:r w:rsidR="000218FC" w:rsidRPr="000218FC">
        <w:rPr>
          <w:noProof/>
        </w:rPr>
        <w:t>[19], [21]</w:t>
      </w:r>
      <w:r w:rsidR="00DC598A">
        <w:fldChar w:fldCharType="end"/>
      </w:r>
    </w:p>
    <w:p w14:paraId="60163BEC" w14:textId="4E3AB555" w:rsidR="00647A47" w:rsidRDefault="00313D38">
      <w:pPr>
        <w:keepNext/>
        <w:keepLines/>
        <w:numPr>
          <w:ilvl w:val="0"/>
          <w:numId w:val="4"/>
        </w:numPr>
        <w:tabs>
          <w:tab w:val="left" w:pos="216"/>
        </w:tabs>
        <w:spacing w:after="80"/>
        <w:outlineLvl w:val="0"/>
      </w:pPr>
      <w:r>
        <w:rPr>
          <w:sz w:val="24"/>
          <w:szCs w:val="24"/>
        </w:rPr>
        <w:lastRenderedPageBreak/>
        <w:t>Data Security Frameworks and Models</w:t>
      </w:r>
    </w:p>
    <w:p w14:paraId="40C048BA" w14:textId="407C21CB" w:rsidR="0036751B" w:rsidRDefault="00313D38" w:rsidP="00C068D2">
      <w:pPr>
        <w:pStyle w:val="Affiliation"/>
        <w:jc w:val="both"/>
        <w:rPr>
          <w:rStyle w:val="StrongEmphasis"/>
          <w:b w:val="0"/>
          <w:bCs w:val="0"/>
          <w:color w:val="282828"/>
          <w:szCs w:val="18"/>
        </w:rPr>
      </w:pPr>
      <w:r>
        <w:t xml:space="preserve">Data security frameworks and models have been developed by various </w:t>
      </w:r>
      <w:r w:rsidR="00182C11">
        <w:t>organization</w:t>
      </w:r>
      <w:r>
        <w:t xml:space="preserve"> around the world</w:t>
      </w:r>
      <w:r w:rsidR="00316E05">
        <w:t>. They</w:t>
      </w:r>
      <w:r>
        <w:t xml:space="preserve"> are </w:t>
      </w:r>
      <w:r w:rsidR="00C068D2">
        <w:t>tailored</w:t>
      </w:r>
      <w:r>
        <w:t xml:space="preserve"> to provide guidance to network security architects</w:t>
      </w:r>
      <w:r w:rsidR="00251230">
        <w:t>/engineers</w:t>
      </w:r>
      <w:r>
        <w:t xml:space="preserve"> in order to</w:t>
      </w:r>
      <w:r w:rsidR="002E6FEA">
        <w:t xml:space="preserve"> aid within</w:t>
      </w:r>
      <w:r>
        <w:t xml:space="preserve"> design</w:t>
      </w:r>
      <w:r w:rsidR="002E6FEA">
        <w:t>ing a</w:t>
      </w:r>
      <w:r>
        <w:t xml:space="preserve"> secure </w:t>
      </w:r>
      <w:r w:rsidR="00C068D2">
        <w:t>networks</w:t>
      </w:r>
      <w:r w:rsidR="002E6FEA">
        <w:t xml:space="preserve"> </w:t>
      </w:r>
      <w:r>
        <w:t>according to the</w:t>
      </w:r>
      <w:r w:rsidR="002E6FEA">
        <w:t xml:space="preserve"> business requirements and</w:t>
      </w:r>
      <w:r>
        <w:t xml:space="preserve"> type of; industry, data and </w:t>
      </w:r>
      <w:r w:rsidR="00C068D2">
        <w:t>network</w:t>
      </w:r>
      <w:r>
        <w:t xml:space="preserve"> </w:t>
      </w:r>
      <w:r w:rsidR="00C068D2">
        <w:t>infrastructure</w:t>
      </w:r>
      <w:r>
        <w:t xml:space="preserve"> </w:t>
      </w:r>
      <w:r w:rsidR="00C068D2">
        <w:t>environment</w:t>
      </w:r>
      <w:r>
        <w:t xml:space="preserve"> that the data is being stored within, these frameworks </w:t>
      </w:r>
      <w:r w:rsidR="00893091">
        <w:t>are referred</w:t>
      </w:r>
      <w:r>
        <w:t xml:space="preserve"> to as </w:t>
      </w:r>
      <w:r w:rsidRPr="00855764">
        <w:rPr>
          <w:rStyle w:val="StrongEmphasis"/>
          <w:b w:val="0"/>
          <w:bCs w:val="0"/>
          <w:color w:val="282828"/>
          <w:szCs w:val="18"/>
        </w:rPr>
        <w:t>Information Security Management Systems (ISMS)</w:t>
      </w:r>
      <w:r w:rsidR="00A02884">
        <w:rPr>
          <w:rStyle w:val="StrongEmphasis"/>
          <w:b w:val="0"/>
          <w:bCs w:val="0"/>
          <w:color w:val="282828"/>
          <w:szCs w:val="18"/>
        </w:rPr>
        <w:t xml:space="preserve"> </w:t>
      </w:r>
      <w:r w:rsidR="00A02884">
        <w:rPr>
          <w:rStyle w:val="StrongEmphasis"/>
          <w:b w:val="0"/>
          <w:bCs w:val="0"/>
          <w:color w:val="282828"/>
          <w:szCs w:val="18"/>
        </w:rPr>
        <w:fldChar w:fldCharType="begin" w:fldLock="1"/>
      </w:r>
      <w:r w:rsidR="00B46018">
        <w:rPr>
          <w:rStyle w:val="StrongEmphasis"/>
          <w:b w:val="0"/>
          <w:bCs w:val="0"/>
          <w:color w:val="282828"/>
          <w:szCs w:val="18"/>
        </w:rPr>
        <w:instrText>ADDIN CSL_CITATION {"citationItems":[{"id":"ITEM-1","itemData":{"DOI":"10.1016/j.procs.2016.09.221","ISSN":"18770509","abstract":"Adjustment and cost-effectiveness are key elements of a successful Information Security Management System (ISMS). ISMS-Processes, as basic elements of every ISMS, need to be aligned to the organization and its mission. As of today, a specific ISMS process framework does not exist. ISMS processes are not in focus of current research. This article aims to fill this research gap by presenting results of a process mapping study regarding ISMS processes in the most important and widely accepted international standards for Information Security Management. Authors propose a set of ISMS processes within an ISMS process framework which should be implemented at an individually appropriate maturity level.","author":[{"dropping-particle":"","family":"Haufe","given":"Knut","non-dropping-particle":"","parse-names":false,"suffix":""},{"dropping-particle":"","family":"Colomo-Palacios","given":"Ricardo","non-dropping-particle":"","parse-names":false,"suffix":""},{"dropping-particle":"","family":"Dzombeta","given":"Srdan","non-dropping-particle":"","parse-names":false,"suffix":""},{"dropping-particle":"","family":"Brandis","given":"Knud","non-dropping-particle":"","parse-names":false,"suffix":""},{"dropping-particle":"","family":"Stantchev","given":"Vladimir","non-dropping-particle":"","parse-names":false,"suffix":""}],"container-title":"Procedia Computer Science","id":"ITEM-1","issued":{"date-parts":[["2016"]]},"title":"Security Management Standards: A Mapping","type":"paper-conference"},"uris":["http://www.mendeley.com/documents/?uuid=208eda41-0b9b-4780-81e6-6d5dc93c80c6"]}],"mendeley":{"formattedCitation":"[23]","plainTextFormattedCitation":"[23]","previouslyFormattedCitation":"[23]"},"properties":{"noteIndex":0},"schema":"https://github.com/citation-style-language/schema/raw/master/csl-citation.json"}</w:instrText>
      </w:r>
      <w:r w:rsidR="00A02884">
        <w:rPr>
          <w:rStyle w:val="StrongEmphasis"/>
          <w:b w:val="0"/>
          <w:bCs w:val="0"/>
          <w:color w:val="282828"/>
          <w:szCs w:val="18"/>
        </w:rPr>
        <w:fldChar w:fldCharType="separate"/>
      </w:r>
      <w:r w:rsidR="000218FC" w:rsidRPr="000218FC">
        <w:rPr>
          <w:rStyle w:val="StrongEmphasis"/>
          <w:b w:val="0"/>
          <w:bCs w:val="0"/>
          <w:noProof/>
          <w:color w:val="282828"/>
          <w:szCs w:val="18"/>
        </w:rPr>
        <w:t>[23]</w:t>
      </w:r>
      <w:r w:rsidR="00A02884">
        <w:rPr>
          <w:rStyle w:val="StrongEmphasis"/>
          <w:b w:val="0"/>
          <w:bCs w:val="0"/>
          <w:color w:val="282828"/>
          <w:szCs w:val="18"/>
        </w:rPr>
        <w:fldChar w:fldCharType="end"/>
      </w:r>
      <w:r w:rsidR="00A02884">
        <w:rPr>
          <w:rStyle w:val="StrongEmphasis"/>
          <w:b w:val="0"/>
          <w:bCs w:val="0"/>
          <w:color w:val="282828"/>
          <w:szCs w:val="18"/>
        </w:rPr>
        <w:t xml:space="preserve"> </w:t>
      </w:r>
      <w:r w:rsidR="00071CE3">
        <w:rPr>
          <w:rStyle w:val="StrongEmphasis"/>
          <w:b w:val="0"/>
          <w:bCs w:val="0"/>
          <w:color w:val="282828"/>
          <w:szCs w:val="18"/>
        </w:rPr>
        <w:t>that consist of controls that are designed to protect a businesses data assets</w:t>
      </w:r>
      <w:r w:rsidR="00412BAD">
        <w:rPr>
          <w:rStyle w:val="StrongEmphasis"/>
          <w:b w:val="0"/>
          <w:bCs w:val="0"/>
          <w:color w:val="282828"/>
          <w:szCs w:val="18"/>
        </w:rPr>
        <w:t xml:space="preserve">. </w:t>
      </w:r>
      <w:r w:rsidR="00A02884">
        <w:rPr>
          <w:rStyle w:val="StrongEmphasis"/>
          <w:b w:val="0"/>
          <w:bCs w:val="0"/>
          <w:color w:val="282828"/>
          <w:szCs w:val="18"/>
        </w:rPr>
        <w:fldChar w:fldCharType="begin" w:fldLock="1"/>
      </w:r>
      <w:r w:rsidR="00B46018">
        <w:rPr>
          <w:rStyle w:val="StrongEmphasis"/>
          <w:b w:val="0"/>
          <w:bCs w:val="0"/>
          <w:color w:val="282828"/>
          <w:szCs w:val="18"/>
        </w:rPr>
        <w:instrText>ADDIN CSL_CITATION {"citationItems":[{"id":"ITEM-1","itemData":{"DOI":"10.1016/j.procs.2016.09.221","ISSN":"18770509","abstract":"Adjustment and cost-effectiveness are key elements of a successful Information Security Management System (ISMS). ISMS-Processes, as basic elements of every ISMS, need to be aligned to the organization and its mission. As of today, a specific ISMS process framework does not exist. ISMS processes are not in focus of current research. This article aims to fill this research gap by presenting results of a process mapping study regarding ISMS processes in the most important and widely accepted international standards for Information Security Management. Authors propose a set of ISMS processes within an ISMS process framework which should be implemented at an individually appropriate maturity level.","author":[{"dropping-particle":"","family":"Haufe","given":"Knut","non-dropping-particle":"","parse-names":false,"suffix":""},{"dropping-particle":"","family":"Colomo-Palacios","given":"Ricardo","non-dropping-particle":"","parse-names":false,"suffix":""},{"dropping-particle":"","family":"Dzombeta","given":"Srdan","non-dropping-particle":"","parse-names":false,"suffix":""},{"dropping-particle":"","family":"Brandis","given":"Knud","non-dropping-particle":"","parse-names":false,"suffix":""},{"dropping-particle":"","family":"Stantchev","given":"Vladimir","non-dropping-particle":"","parse-names":false,"suffix":""}],"container-title":"Procedia Computer Science","id":"ITEM-1","issued":{"date-parts":[["2016"]]},"title":"Security Management Standards: A Mapping","type":"paper-conference"},"uris":["http://www.mendeley.com/documents/?uuid=208eda41-0b9b-4780-81e6-6d5dc93c80c6"]},{"id":"ITEM-2","itemData":{"DOI":"10.1016/j.istr.2005.12.001","ISSN":"13634127","abstract":"This article briefly describes the introduction and evolution of Information Security Management Systems (ISMS), their application and the introduction of national and regulatory requirements to protect information and how these regulations may be mapped into an ISMS. © 2005 Elsevier Ltd. All rights reserved.","author":[{"dropping-particle":"","family":"Broderick","given":"J. Stuart","non-dropping-particle":"","parse-names":false,"suffix":""}],"container-title":"Information Security Technical Report","id":"ITEM-2","issued":{"date-parts":[["2006"]]},"title":"ISMS, security standards and security regulations","type":"article-journal"},"uris":["http://www.mendeley.com/documents/?uuid=0b355f7f-af9f-4f95-8e65-3bfc2fd884ba"]}],"mendeley":{"formattedCitation":"[1], [23]","plainTextFormattedCitation":"[1], [23]","previouslyFormattedCitation":"[1], [23]"},"properties":{"noteIndex":0},"schema":"https://github.com/citation-style-language/schema/raw/master/csl-citation.json"}</w:instrText>
      </w:r>
      <w:r w:rsidR="00A02884">
        <w:rPr>
          <w:rStyle w:val="StrongEmphasis"/>
          <w:b w:val="0"/>
          <w:bCs w:val="0"/>
          <w:color w:val="282828"/>
          <w:szCs w:val="18"/>
        </w:rPr>
        <w:fldChar w:fldCharType="separate"/>
      </w:r>
      <w:r w:rsidR="000218FC" w:rsidRPr="000218FC">
        <w:rPr>
          <w:rStyle w:val="StrongEmphasis"/>
          <w:b w:val="0"/>
          <w:bCs w:val="0"/>
          <w:noProof/>
          <w:color w:val="282828"/>
          <w:szCs w:val="18"/>
        </w:rPr>
        <w:t>[1], [23]</w:t>
      </w:r>
      <w:r w:rsidR="00A02884">
        <w:rPr>
          <w:rStyle w:val="StrongEmphasis"/>
          <w:b w:val="0"/>
          <w:bCs w:val="0"/>
          <w:color w:val="282828"/>
          <w:szCs w:val="18"/>
        </w:rPr>
        <w:fldChar w:fldCharType="end"/>
      </w:r>
    </w:p>
    <w:p w14:paraId="09AEFD1D" w14:textId="77777777" w:rsidR="0036751B" w:rsidRDefault="0036751B" w:rsidP="00C068D2">
      <w:pPr>
        <w:pStyle w:val="Affiliation"/>
        <w:jc w:val="both"/>
        <w:rPr>
          <w:rStyle w:val="StrongEmphasis"/>
          <w:b w:val="0"/>
          <w:bCs w:val="0"/>
          <w:color w:val="282828"/>
          <w:szCs w:val="18"/>
        </w:rPr>
      </w:pPr>
    </w:p>
    <w:p w14:paraId="60163BED" w14:textId="23D0D09F" w:rsidR="00647A47" w:rsidRDefault="00412BAD" w:rsidP="00C068D2">
      <w:pPr>
        <w:pStyle w:val="Affiliation"/>
        <w:jc w:val="both"/>
        <w:rPr>
          <w:rStyle w:val="StrongEmphasis"/>
          <w:b w:val="0"/>
          <w:bCs w:val="0"/>
          <w:color w:val="282828"/>
          <w:szCs w:val="18"/>
        </w:rPr>
      </w:pPr>
      <w:r>
        <w:rPr>
          <w:rStyle w:val="StrongEmphasis"/>
          <w:b w:val="0"/>
          <w:bCs w:val="0"/>
          <w:color w:val="282828"/>
          <w:szCs w:val="18"/>
        </w:rPr>
        <w:t>Data security frameworks outline</w:t>
      </w:r>
      <w:r w:rsidR="000A5CEF">
        <w:rPr>
          <w:rStyle w:val="StrongEmphasis"/>
          <w:b w:val="0"/>
          <w:bCs w:val="0"/>
          <w:color w:val="282828"/>
          <w:szCs w:val="18"/>
        </w:rPr>
        <w:t xml:space="preserve"> all stages of </w:t>
      </w:r>
      <w:r w:rsidR="00316E05">
        <w:rPr>
          <w:rStyle w:val="StrongEmphasis"/>
          <w:b w:val="0"/>
          <w:bCs w:val="0"/>
          <w:color w:val="282828"/>
          <w:szCs w:val="18"/>
        </w:rPr>
        <w:t xml:space="preserve">a computer </w:t>
      </w:r>
      <w:r w:rsidR="000A5CEF">
        <w:rPr>
          <w:rStyle w:val="StrongEmphasis"/>
          <w:b w:val="0"/>
          <w:bCs w:val="0"/>
          <w:color w:val="282828"/>
          <w:szCs w:val="18"/>
        </w:rPr>
        <w:t xml:space="preserve">network security architecture </w:t>
      </w:r>
      <w:r w:rsidR="00A860F2">
        <w:rPr>
          <w:rStyle w:val="StrongEmphasis"/>
          <w:b w:val="0"/>
          <w:bCs w:val="0"/>
          <w:color w:val="282828"/>
          <w:szCs w:val="18"/>
        </w:rPr>
        <w:t>from</w:t>
      </w:r>
      <w:r w:rsidR="000A5CEF">
        <w:rPr>
          <w:rStyle w:val="StrongEmphasis"/>
          <w:b w:val="0"/>
          <w:bCs w:val="0"/>
          <w:color w:val="282828"/>
          <w:szCs w:val="18"/>
        </w:rPr>
        <w:t>; planning, desig</w:t>
      </w:r>
      <w:r>
        <w:rPr>
          <w:rStyle w:val="StrongEmphasis"/>
          <w:b w:val="0"/>
          <w:bCs w:val="0"/>
          <w:color w:val="282828"/>
          <w:szCs w:val="18"/>
        </w:rPr>
        <w:t>n</w:t>
      </w:r>
      <w:r w:rsidR="000A5CEF">
        <w:rPr>
          <w:rStyle w:val="StrongEmphasis"/>
          <w:b w:val="0"/>
          <w:bCs w:val="0"/>
          <w:color w:val="282828"/>
          <w:szCs w:val="18"/>
        </w:rPr>
        <w:t>, develop</w:t>
      </w:r>
      <w:r>
        <w:rPr>
          <w:rStyle w:val="StrongEmphasis"/>
          <w:b w:val="0"/>
          <w:bCs w:val="0"/>
          <w:color w:val="282828"/>
          <w:szCs w:val="18"/>
        </w:rPr>
        <w:t>ment</w:t>
      </w:r>
      <w:r w:rsidR="000A5CEF">
        <w:rPr>
          <w:rStyle w:val="StrongEmphasis"/>
          <w:b w:val="0"/>
          <w:bCs w:val="0"/>
          <w:color w:val="282828"/>
          <w:szCs w:val="18"/>
        </w:rPr>
        <w:t>, risk evaluation</w:t>
      </w:r>
      <w:r w:rsidR="00A16D9A">
        <w:rPr>
          <w:rStyle w:val="StrongEmphasis"/>
          <w:b w:val="0"/>
          <w:bCs w:val="0"/>
          <w:color w:val="282828"/>
          <w:szCs w:val="18"/>
        </w:rPr>
        <w:t xml:space="preserve"> and risk treatment</w:t>
      </w:r>
      <w:r w:rsidR="000A5CEF">
        <w:rPr>
          <w:rStyle w:val="StrongEmphasis"/>
          <w:b w:val="0"/>
          <w:bCs w:val="0"/>
          <w:color w:val="282828"/>
          <w:szCs w:val="18"/>
        </w:rPr>
        <w:t xml:space="preserve"> of the business assets</w:t>
      </w:r>
      <w:r w:rsidR="00316E05">
        <w:rPr>
          <w:rStyle w:val="StrongEmphasis"/>
          <w:b w:val="0"/>
          <w:bCs w:val="0"/>
          <w:color w:val="282828"/>
          <w:szCs w:val="18"/>
        </w:rPr>
        <w:t>,</w:t>
      </w:r>
      <w:r w:rsidR="000A5CEF">
        <w:rPr>
          <w:rStyle w:val="StrongEmphasis"/>
          <w:b w:val="0"/>
          <w:bCs w:val="0"/>
          <w:color w:val="282828"/>
          <w:szCs w:val="18"/>
        </w:rPr>
        <w:t xml:space="preserve"> through to the implementation stage, </w:t>
      </w:r>
      <w:r w:rsidR="008C2176">
        <w:rPr>
          <w:rStyle w:val="StrongEmphasis"/>
          <w:b w:val="0"/>
          <w:bCs w:val="0"/>
          <w:color w:val="282828"/>
          <w:szCs w:val="18"/>
        </w:rPr>
        <w:t>security auditing</w:t>
      </w:r>
      <w:r w:rsidR="000A5CEF">
        <w:rPr>
          <w:rStyle w:val="StrongEmphasis"/>
          <w:b w:val="0"/>
          <w:bCs w:val="0"/>
          <w:color w:val="282828"/>
          <w:szCs w:val="18"/>
        </w:rPr>
        <w:t xml:space="preserve"> and documentation</w:t>
      </w:r>
      <w:r>
        <w:rPr>
          <w:rStyle w:val="StrongEmphasis"/>
          <w:b w:val="0"/>
          <w:bCs w:val="0"/>
          <w:color w:val="282828"/>
          <w:szCs w:val="18"/>
        </w:rPr>
        <w:t xml:space="preserve"> of the network along with continuous monitoring</w:t>
      </w:r>
      <w:r w:rsidR="0036751B">
        <w:rPr>
          <w:rStyle w:val="StrongEmphasis"/>
          <w:b w:val="0"/>
          <w:bCs w:val="0"/>
          <w:color w:val="282828"/>
          <w:szCs w:val="18"/>
        </w:rPr>
        <w:t xml:space="preserve"> and change-controls</w:t>
      </w:r>
      <w:r w:rsidR="000A5CEF">
        <w:rPr>
          <w:rStyle w:val="StrongEmphasis"/>
          <w:b w:val="0"/>
          <w:bCs w:val="0"/>
          <w:color w:val="282828"/>
          <w:szCs w:val="18"/>
        </w:rPr>
        <w:t>.</w:t>
      </w:r>
      <w:r w:rsidR="001E5029">
        <w:rPr>
          <w:rStyle w:val="StrongEmphasis"/>
          <w:b w:val="0"/>
          <w:bCs w:val="0"/>
          <w:color w:val="282828"/>
          <w:szCs w:val="18"/>
        </w:rPr>
        <w:t xml:space="preserve"> </w:t>
      </w:r>
      <w:r w:rsidR="001E5029" w:rsidRPr="006A3640">
        <w:rPr>
          <w:rStyle w:val="StrongEmphasis"/>
          <w:b w:val="0"/>
          <w:bCs w:val="0"/>
          <w:color w:val="282828"/>
          <w:szCs w:val="18"/>
        </w:rPr>
        <w:t xml:space="preserve">The asset controls within </w:t>
      </w:r>
      <w:r w:rsidR="00AD3598" w:rsidRPr="006A3640">
        <w:rPr>
          <w:rStyle w:val="StrongEmphasis"/>
          <w:b w:val="0"/>
          <w:bCs w:val="0"/>
          <w:color w:val="282828"/>
          <w:szCs w:val="18"/>
        </w:rPr>
        <w:t>an</w:t>
      </w:r>
      <w:r w:rsidR="001E5029" w:rsidRPr="006A3640">
        <w:rPr>
          <w:rStyle w:val="StrongEmphasis"/>
          <w:b w:val="0"/>
          <w:bCs w:val="0"/>
          <w:color w:val="282828"/>
          <w:szCs w:val="18"/>
        </w:rPr>
        <w:t xml:space="preserve"> ISMS </w:t>
      </w:r>
      <w:r w:rsidR="006B25FF" w:rsidRPr="006A3640">
        <w:rPr>
          <w:rStyle w:val="StrongEmphasis"/>
          <w:b w:val="0"/>
          <w:bCs w:val="0"/>
          <w:color w:val="282828"/>
          <w:szCs w:val="18"/>
        </w:rPr>
        <w:t>stem from</w:t>
      </w:r>
      <w:r w:rsidR="001E5029" w:rsidRPr="006A3640">
        <w:rPr>
          <w:rStyle w:val="StrongEmphasis"/>
          <w:b w:val="0"/>
          <w:bCs w:val="0"/>
          <w:color w:val="282828"/>
          <w:szCs w:val="18"/>
        </w:rPr>
        <w:t xml:space="preserve"> the</w:t>
      </w:r>
      <w:r w:rsidR="004A4D73">
        <w:rPr>
          <w:rStyle w:val="StrongEmphasis"/>
          <w:b w:val="0"/>
          <w:bCs w:val="0"/>
          <w:color w:val="282828"/>
          <w:szCs w:val="18"/>
        </w:rPr>
        <w:t xml:space="preserve"> foundations of the</w:t>
      </w:r>
      <w:r w:rsidR="001E5029" w:rsidRPr="006A3640">
        <w:rPr>
          <w:rStyle w:val="StrongEmphasis"/>
          <w:b w:val="0"/>
          <w:bCs w:val="0"/>
          <w:color w:val="282828"/>
          <w:szCs w:val="18"/>
        </w:rPr>
        <w:t xml:space="preserve"> </w:t>
      </w:r>
      <w:r w:rsidR="00A860F2" w:rsidRPr="006A3640">
        <w:rPr>
          <w:rStyle w:val="StrongEmphasis"/>
          <w:b w:val="0"/>
          <w:bCs w:val="0"/>
          <w:color w:val="282828"/>
          <w:szCs w:val="18"/>
        </w:rPr>
        <w:t>network security pillars; Confidentiality</w:t>
      </w:r>
      <w:r w:rsidR="001E5029" w:rsidRPr="006A3640">
        <w:rPr>
          <w:rStyle w:val="StrongEmphasis"/>
          <w:b w:val="0"/>
          <w:bCs w:val="0"/>
          <w:color w:val="282828"/>
          <w:szCs w:val="18"/>
        </w:rPr>
        <w:t>, Availability and Integrity (CIA) triad</w:t>
      </w:r>
      <w:r w:rsidR="00A02884">
        <w:rPr>
          <w:rStyle w:val="StrongEmphasis"/>
          <w:b w:val="0"/>
          <w:bCs w:val="0"/>
          <w:color w:val="282828"/>
          <w:szCs w:val="18"/>
        </w:rPr>
        <w:t xml:space="preserve"> </w:t>
      </w:r>
      <w:r w:rsidR="00A02884">
        <w:rPr>
          <w:rStyle w:val="StrongEmphasis"/>
          <w:b w:val="0"/>
          <w:bCs w:val="0"/>
          <w:color w:val="282828"/>
          <w:szCs w:val="18"/>
        </w:rPr>
        <w:fldChar w:fldCharType="begin" w:fldLock="1"/>
      </w:r>
      <w:r w:rsidR="00B46018">
        <w:rPr>
          <w:rStyle w:val="StrongEmphasis"/>
          <w:b w:val="0"/>
          <w:bCs w:val="0"/>
          <w:color w:val="282828"/>
          <w:szCs w:val="18"/>
        </w:rPr>
        <w:instrText>ADDIN CSL_CITATION {"citationItems":[{"id":"ITEM-1","itemData":{"abstract":"In this article, we will learn about the famous CIA Triad i.e. Confidentiality, Integrity, and Availability. Though these terms sound simple, they have good outreach and security posture is adequate for an organization if the concepts of CIA are well maintained.","author":[{"dropping-particle":"","family":"Infosec","given":"","non-dropping-particle":"","parse-names":false,"suffix":""}],"container-title":"infosec","id":"ITEM-1","issued":{"date-parts":[["2017"]]},"page":"1","title":"CIA Triad","type":"article"},"uris":["http://www.mendeley.com/documents/?uuid=2ec9dc87-2175-466d-ad24-1c69e2cca6d0"]}],"mendeley":{"formattedCitation":"[24]","plainTextFormattedCitation":"[24]","previouslyFormattedCitation":"[24]"},"properties":{"noteIndex":0},"schema":"https://github.com/citation-style-language/schema/raw/master/csl-citation.json"}</w:instrText>
      </w:r>
      <w:r w:rsidR="00A02884">
        <w:rPr>
          <w:rStyle w:val="StrongEmphasis"/>
          <w:b w:val="0"/>
          <w:bCs w:val="0"/>
          <w:color w:val="282828"/>
          <w:szCs w:val="18"/>
        </w:rPr>
        <w:fldChar w:fldCharType="separate"/>
      </w:r>
      <w:r w:rsidR="000218FC" w:rsidRPr="000218FC">
        <w:rPr>
          <w:rStyle w:val="StrongEmphasis"/>
          <w:b w:val="0"/>
          <w:bCs w:val="0"/>
          <w:noProof/>
          <w:color w:val="282828"/>
          <w:szCs w:val="18"/>
        </w:rPr>
        <w:t>[24]</w:t>
      </w:r>
      <w:r w:rsidR="00A02884">
        <w:rPr>
          <w:rStyle w:val="StrongEmphasis"/>
          <w:b w:val="0"/>
          <w:bCs w:val="0"/>
          <w:color w:val="282828"/>
          <w:szCs w:val="18"/>
        </w:rPr>
        <w:fldChar w:fldCharType="end"/>
      </w:r>
      <w:r w:rsidR="001E5029" w:rsidRPr="006A3640">
        <w:rPr>
          <w:rStyle w:val="StrongEmphasis"/>
          <w:b w:val="0"/>
          <w:bCs w:val="0"/>
          <w:color w:val="282828"/>
          <w:szCs w:val="18"/>
        </w:rPr>
        <w:t>.</w:t>
      </w:r>
    </w:p>
    <w:p w14:paraId="5897657F" w14:textId="431D8C28" w:rsidR="00127CA9" w:rsidRDefault="00127CA9" w:rsidP="00C068D2">
      <w:pPr>
        <w:pStyle w:val="Affiliation"/>
        <w:jc w:val="both"/>
        <w:rPr>
          <w:rStyle w:val="StrongEmphasis"/>
          <w:b w:val="0"/>
          <w:bCs w:val="0"/>
          <w:color w:val="282828"/>
          <w:szCs w:val="18"/>
        </w:rPr>
      </w:pPr>
    </w:p>
    <w:p w14:paraId="5F96BE42" w14:textId="155A612B" w:rsidR="00127CA9" w:rsidRDefault="00AD3598" w:rsidP="00C068D2">
      <w:pPr>
        <w:pStyle w:val="Affiliation"/>
        <w:jc w:val="both"/>
        <w:rPr>
          <w:rStyle w:val="StrongEmphasis"/>
          <w:b w:val="0"/>
          <w:bCs w:val="0"/>
          <w:i/>
          <w:iCs/>
          <w:color w:val="282828"/>
          <w:szCs w:val="18"/>
        </w:rPr>
      </w:pPr>
      <w:r>
        <w:rPr>
          <w:rStyle w:val="StrongEmphasis"/>
          <w:b w:val="0"/>
          <w:bCs w:val="0"/>
          <w:color w:val="282828"/>
          <w:szCs w:val="18"/>
        </w:rPr>
        <w:t>The</w:t>
      </w:r>
      <w:r w:rsidR="00127CA9">
        <w:rPr>
          <w:rStyle w:val="StrongEmphasis"/>
          <w:b w:val="0"/>
          <w:bCs w:val="0"/>
          <w:color w:val="282828"/>
          <w:szCs w:val="18"/>
        </w:rPr>
        <w:t xml:space="preserve"> </w:t>
      </w:r>
      <w:r>
        <w:rPr>
          <w:rStyle w:val="StrongEmphasis"/>
          <w:b w:val="0"/>
          <w:bCs w:val="0"/>
          <w:color w:val="282828"/>
          <w:szCs w:val="18"/>
        </w:rPr>
        <w:t>foundations</w:t>
      </w:r>
      <w:r w:rsidR="00472E2E">
        <w:rPr>
          <w:rStyle w:val="StrongEmphasis"/>
          <w:b w:val="0"/>
          <w:bCs w:val="0"/>
          <w:color w:val="282828"/>
          <w:szCs w:val="18"/>
        </w:rPr>
        <w:t xml:space="preserve"> of a</w:t>
      </w:r>
      <w:r>
        <w:rPr>
          <w:rStyle w:val="StrongEmphasis"/>
          <w:b w:val="0"/>
          <w:bCs w:val="0"/>
          <w:color w:val="282828"/>
          <w:szCs w:val="18"/>
        </w:rPr>
        <w:t xml:space="preserve"> generic</w:t>
      </w:r>
      <w:r w:rsidR="00472E2E">
        <w:rPr>
          <w:rStyle w:val="StrongEmphasis"/>
          <w:b w:val="0"/>
          <w:bCs w:val="0"/>
          <w:color w:val="282828"/>
          <w:szCs w:val="18"/>
        </w:rPr>
        <w:t xml:space="preserve"> ISMS framework</w:t>
      </w:r>
      <w:r w:rsidR="00127CA9">
        <w:rPr>
          <w:rStyle w:val="StrongEmphasis"/>
          <w:b w:val="0"/>
          <w:bCs w:val="0"/>
          <w:color w:val="282828"/>
          <w:szCs w:val="18"/>
        </w:rPr>
        <w:t xml:space="preserve"> can be broken down into five distinct categories that </w:t>
      </w:r>
      <w:r w:rsidR="00472E2E">
        <w:rPr>
          <w:rStyle w:val="StrongEmphasis"/>
          <w:b w:val="0"/>
          <w:bCs w:val="0"/>
          <w:color w:val="282828"/>
          <w:szCs w:val="18"/>
        </w:rPr>
        <w:t xml:space="preserve">each outline the lifecycle of an ISMS and how it should be implemented within an IT business solution. These categories can be found in </w:t>
      </w:r>
      <w:r w:rsidR="00B9654B">
        <w:rPr>
          <w:rStyle w:val="StrongEmphasis"/>
          <w:b w:val="0"/>
          <w:bCs w:val="0"/>
          <w:i/>
          <w:iCs/>
          <w:color w:val="282828"/>
          <w:szCs w:val="18"/>
        </w:rPr>
        <w:t>figure</w:t>
      </w:r>
      <w:r w:rsidR="00472E2E" w:rsidRPr="00472E2E">
        <w:rPr>
          <w:rStyle w:val="StrongEmphasis"/>
          <w:b w:val="0"/>
          <w:bCs w:val="0"/>
          <w:i/>
          <w:iCs/>
          <w:color w:val="282828"/>
          <w:szCs w:val="18"/>
        </w:rPr>
        <w:t xml:space="preserve"> </w:t>
      </w:r>
      <w:r>
        <w:rPr>
          <w:rStyle w:val="StrongEmphasis"/>
          <w:b w:val="0"/>
          <w:bCs w:val="0"/>
          <w:i/>
          <w:iCs/>
          <w:color w:val="282828"/>
          <w:szCs w:val="18"/>
        </w:rPr>
        <w:t>1</w:t>
      </w:r>
      <w:r w:rsidR="00472E2E" w:rsidRPr="00472E2E">
        <w:rPr>
          <w:rStyle w:val="StrongEmphasis"/>
          <w:b w:val="0"/>
          <w:bCs w:val="0"/>
          <w:i/>
          <w:iCs/>
          <w:color w:val="282828"/>
          <w:szCs w:val="18"/>
        </w:rPr>
        <w:t>.</w:t>
      </w:r>
    </w:p>
    <w:p w14:paraId="698586C3" w14:textId="428FD85B" w:rsidR="00782A3A" w:rsidRDefault="00782A3A" w:rsidP="00C068D2">
      <w:pPr>
        <w:pStyle w:val="Affiliation"/>
        <w:jc w:val="both"/>
        <w:rPr>
          <w:rStyle w:val="StrongEmphasis"/>
          <w:b w:val="0"/>
          <w:bCs w:val="0"/>
          <w:i/>
          <w:iCs/>
          <w:color w:val="282828"/>
          <w:szCs w:val="18"/>
        </w:rPr>
      </w:pPr>
    </w:p>
    <w:p w14:paraId="1ED0145B" w14:textId="77777777" w:rsidR="00AD3598" w:rsidRDefault="00782A3A" w:rsidP="00AD3598">
      <w:pPr>
        <w:pStyle w:val="Affiliation"/>
        <w:keepNext/>
      </w:pPr>
      <w:r>
        <w:rPr>
          <w:rStyle w:val="StrongEmphasis"/>
          <w:b w:val="0"/>
          <w:bCs w:val="0"/>
          <w:noProof/>
          <w:color w:val="282828"/>
          <w:szCs w:val="18"/>
          <w:lang w:val="en-GB" w:eastAsia="en-GB"/>
        </w:rPr>
        <w:drawing>
          <wp:inline distT="0" distB="0" distL="0" distR="0" wp14:anchorId="106FC025" wp14:editId="7E728E40">
            <wp:extent cx="2389782" cy="1835539"/>
            <wp:effectExtent l="19050" t="19050" r="10795" b="1270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b="13499"/>
                    <a:stretch/>
                  </pic:blipFill>
                  <pic:spPr bwMode="auto">
                    <a:xfrm>
                      <a:off x="0" y="0"/>
                      <a:ext cx="2849878" cy="2188929"/>
                    </a:xfrm>
                    <a:prstGeom prst="rect">
                      <a:avLst/>
                    </a:prstGeom>
                    <a:noFill/>
                    <a:ln w="6350">
                      <a:solidFill>
                        <a:schemeClr val="tx1"/>
                      </a:solidFill>
                    </a:ln>
                    <a:extLst>
                      <a:ext uri="{53640926-AAD7-44D8-BBD7-CCE9431645EC}">
                        <a14:shadowObscured xmlns:a14="http://schemas.microsoft.com/office/drawing/2010/main"/>
                      </a:ext>
                    </a:extLst>
                  </pic:spPr>
                </pic:pic>
              </a:graphicData>
            </a:graphic>
          </wp:inline>
        </w:drawing>
      </w:r>
    </w:p>
    <w:p w14:paraId="2193B914" w14:textId="706B229C" w:rsidR="00472E2E" w:rsidRPr="00894FB1" w:rsidRDefault="00AD3598" w:rsidP="00894FB1">
      <w:pPr>
        <w:pStyle w:val="Caption"/>
        <w:rPr>
          <w:rStyle w:val="StrongEmphasis"/>
          <w:b w:val="0"/>
          <w:bCs w:val="0"/>
          <w:color w:val="282828"/>
          <w:sz w:val="18"/>
          <w:szCs w:val="12"/>
        </w:rPr>
      </w:pPr>
      <w:r w:rsidRPr="00AD3598">
        <w:rPr>
          <w:sz w:val="18"/>
          <w:szCs w:val="18"/>
        </w:rPr>
        <w:t xml:space="preserve">Figure </w:t>
      </w:r>
      <w:r w:rsidRPr="00AD3598">
        <w:rPr>
          <w:sz w:val="18"/>
          <w:szCs w:val="18"/>
        </w:rPr>
        <w:fldChar w:fldCharType="begin"/>
      </w:r>
      <w:r w:rsidRPr="00AD3598">
        <w:rPr>
          <w:sz w:val="18"/>
          <w:szCs w:val="18"/>
        </w:rPr>
        <w:instrText xml:space="preserve"> SEQ Figure \* ARABIC </w:instrText>
      </w:r>
      <w:r w:rsidRPr="00AD3598">
        <w:rPr>
          <w:sz w:val="18"/>
          <w:szCs w:val="18"/>
        </w:rPr>
        <w:fldChar w:fldCharType="separate"/>
      </w:r>
      <w:r w:rsidR="003F457E">
        <w:rPr>
          <w:noProof/>
          <w:sz w:val="18"/>
          <w:szCs w:val="18"/>
        </w:rPr>
        <w:t>1</w:t>
      </w:r>
      <w:r w:rsidRPr="00AD3598">
        <w:rPr>
          <w:sz w:val="18"/>
          <w:szCs w:val="18"/>
        </w:rPr>
        <w:fldChar w:fldCharType="end"/>
      </w:r>
      <w:r w:rsidRPr="00AD3598">
        <w:rPr>
          <w:sz w:val="18"/>
          <w:szCs w:val="18"/>
        </w:rPr>
        <w:t xml:space="preserve">: 5 Stages of a Generic ISMS </w:t>
      </w:r>
      <w:r w:rsidR="00A02884">
        <w:rPr>
          <w:sz w:val="18"/>
          <w:szCs w:val="18"/>
        </w:rPr>
        <w:fldChar w:fldCharType="begin" w:fldLock="1"/>
      </w:r>
      <w:r w:rsidR="00B46018">
        <w:rPr>
          <w:sz w:val="18"/>
          <w:szCs w:val="18"/>
        </w:rPr>
        <w:instrText>ADDIN CSL_CITATION {"citationItems":[{"id":"ITEM-1","itemData":{"URL":"https://www.bmc.com/blogs/itil-information-security-management/","accessed":{"date-parts":[["2020","1","29"]]},"author":[{"dropping-particle":"","family":"BMC","given":"","non-dropping-particle":"","parse-names":false,"suffix":""}],"id":"ITEM-1","issued":{"date-parts":[["2019"]]},"page":"1-1","title":"ITIL® Information Security Management – BMC Blogs","type":"webpage"},"uris":["http://www.mendeley.com/documents/?uuid=72ac6369-618b-3a13-8fdc-5ce66fb2a30b"]}],"mendeley":{"formattedCitation":"[25]","plainTextFormattedCitation":"[25]","previouslyFormattedCitation":"[25]"},"properties":{"noteIndex":0},"schema":"https://github.com/citation-style-language/schema/raw/master/csl-citation.json"}</w:instrText>
      </w:r>
      <w:r w:rsidR="00A02884">
        <w:rPr>
          <w:sz w:val="18"/>
          <w:szCs w:val="18"/>
        </w:rPr>
        <w:fldChar w:fldCharType="separate"/>
      </w:r>
      <w:r w:rsidR="000218FC" w:rsidRPr="000218FC">
        <w:rPr>
          <w:i w:val="0"/>
          <w:noProof/>
          <w:sz w:val="18"/>
          <w:szCs w:val="18"/>
        </w:rPr>
        <w:t>[25]</w:t>
      </w:r>
      <w:r w:rsidR="00A02884">
        <w:rPr>
          <w:sz w:val="18"/>
          <w:szCs w:val="18"/>
        </w:rPr>
        <w:fldChar w:fldCharType="end"/>
      </w:r>
    </w:p>
    <w:p w14:paraId="1D720292" w14:textId="559729B8" w:rsidR="00AD3598" w:rsidRDefault="00B9654B" w:rsidP="008819D9">
      <w:pPr>
        <w:pStyle w:val="Affiliation"/>
        <w:jc w:val="both"/>
        <w:rPr>
          <w:rStyle w:val="StrongEmphasis"/>
          <w:b w:val="0"/>
          <w:bCs w:val="0"/>
          <w:i/>
          <w:iCs/>
          <w:color w:val="282828"/>
          <w:szCs w:val="18"/>
        </w:rPr>
      </w:pPr>
      <w:r>
        <w:rPr>
          <w:rStyle w:val="StrongEmphasis"/>
          <w:b w:val="0"/>
          <w:bCs w:val="0"/>
          <w:color w:val="282828"/>
          <w:szCs w:val="18"/>
        </w:rPr>
        <w:t xml:space="preserve">The scope of the generic ISMS categories can be found in </w:t>
      </w:r>
      <w:r w:rsidRPr="00B9654B">
        <w:rPr>
          <w:rStyle w:val="StrongEmphasis"/>
          <w:b w:val="0"/>
          <w:bCs w:val="0"/>
          <w:i/>
          <w:iCs/>
          <w:color w:val="282828"/>
          <w:szCs w:val="18"/>
        </w:rPr>
        <w:t xml:space="preserve">Table </w:t>
      </w:r>
      <w:r w:rsidR="00AD3598">
        <w:rPr>
          <w:rStyle w:val="StrongEmphasis"/>
          <w:b w:val="0"/>
          <w:bCs w:val="0"/>
          <w:i/>
          <w:iCs/>
          <w:color w:val="282828"/>
          <w:szCs w:val="18"/>
        </w:rPr>
        <w:t>1</w:t>
      </w:r>
      <w:r>
        <w:rPr>
          <w:rStyle w:val="StrongEmphasis"/>
          <w:b w:val="0"/>
          <w:bCs w:val="0"/>
          <w:i/>
          <w:iCs/>
          <w:color w:val="282828"/>
          <w:szCs w:val="18"/>
        </w:rPr>
        <w:t>.</w:t>
      </w:r>
    </w:p>
    <w:p w14:paraId="23286970" w14:textId="77777777" w:rsidR="008819D9" w:rsidRPr="008819D9" w:rsidRDefault="008819D9" w:rsidP="008819D9">
      <w:pPr>
        <w:pStyle w:val="Affiliation"/>
        <w:jc w:val="both"/>
        <w:rPr>
          <w:i/>
          <w:iCs/>
          <w:color w:val="282828"/>
          <w:szCs w:val="18"/>
        </w:rPr>
      </w:pPr>
    </w:p>
    <w:p w14:paraId="76E3C7FC" w14:textId="77777777" w:rsidR="008819D9" w:rsidRDefault="00B9654B" w:rsidP="008819D9">
      <w:pPr>
        <w:pStyle w:val="Affiliation"/>
        <w:keepNext/>
        <w:jc w:val="both"/>
      </w:pPr>
      <w:r>
        <w:rPr>
          <w:rStyle w:val="StrongEmphasis"/>
          <w:b w:val="0"/>
          <w:bCs w:val="0"/>
          <w:noProof/>
          <w:color w:val="282828"/>
          <w:szCs w:val="18"/>
          <w:lang w:val="en-GB" w:eastAsia="en-GB"/>
        </w:rPr>
        <w:drawing>
          <wp:inline distT="0" distB="0" distL="0" distR="0" wp14:anchorId="088CE7CA" wp14:editId="26391574">
            <wp:extent cx="3205480" cy="2834640"/>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05480" cy="2834640"/>
                    </a:xfrm>
                    <a:prstGeom prst="rect">
                      <a:avLst/>
                    </a:prstGeom>
                    <a:noFill/>
                    <a:ln>
                      <a:noFill/>
                    </a:ln>
                  </pic:spPr>
                </pic:pic>
              </a:graphicData>
            </a:graphic>
          </wp:inline>
        </w:drawing>
      </w:r>
    </w:p>
    <w:p w14:paraId="7503E9DE" w14:textId="249B23A0" w:rsidR="00855764" w:rsidRPr="00894FB1" w:rsidRDefault="008819D9" w:rsidP="00823B96">
      <w:pPr>
        <w:pStyle w:val="Caption"/>
        <w:rPr>
          <w:color w:val="282828"/>
          <w:sz w:val="16"/>
          <w:szCs w:val="10"/>
        </w:rPr>
      </w:pPr>
      <w:r w:rsidRPr="00894FB1">
        <w:rPr>
          <w:sz w:val="16"/>
          <w:szCs w:val="16"/>
        </w:rPr>
        <w:t xml:space="preserve">Table </w:t>
      </w:r>
      <w:r w:rsidR="00490B23">
        <w:rPr>
          <w:sz w:val="16"/>
          <w:szCs w:val="16"/>
        </w:rPr>
        <w:fldChar w:fldCharType="begin"/>
      </w:r>
      <w:r w:rsidR="00490B23">
        <w:rPr>
          <w:sz w:val="16"/>
          <w:szCs w:val="16"/>
        </w:rPr>
        <w:instrText xml:space="preserve"> SEQ Table \* ARABIC </w:instrText>
      </w:r>
      <w:r w:rsidR="00490B23">
        <w:rPr>
          <w:sz w:val="16"/>
          <w:szCs w:val="16"/>
        </w:rPr>
        <w:fldChar w:fldCharType="separate"/>
      </w:r>
      <w:r w:rsidR="00387812">
        <w:rPr>
          <w:noProof/>
          <w:sz w:val="16"/>
          <w:szCs w:val="16"/>
        </w:rPr>
        <w:t>1</w:t>
      </w:r>
      <w:r w:rsidR="00490B23">
        <w:rPr>
          <w:sz w:val="16"/>
          <w:szCs w:val="16"/>
        </w:rPr>
        <w:fldChar w:fldCharType="end"/>
      </w:r>
      <w:r w:rsidRPr="00894FB1">
        <w:rPr>
          <w:sz w:val="16"/>
          <w:szCs w:val="16"/>
        </w:rPr>
        <w:t>: The 5 Stages of a Generic ISMS System Defined</w:t>
      </w:r>
      <w:r w:rsidR="00A02884" w:rsidRPr="00894FB1">
        <w:rPr>
          <w:sz w:val="16"/>
          <w:szCs w:val="16"/>
        </w:rPr>
        <w:t xml:space="preserve"> </w:t>
      </w:r>
      <w:r w:rsidR="00894FB1" w:rsidRPr="00894FB1">
        <w:rPr>
          <w:sz w:val="16"/>
          <w:szCs w:val="16"/>
        </w:rPr>
        <w:t xml:space="preserve"> </w:t>
      </w:r>
      <w:r w:rsidR="00894FB1" w:rsidRPr="00894FB1">
        <w:rPr>
          <w:sz w:val="16"/>
          <w:szCs w:val="16"/>
        </w:rPr>
        <w:fldChar w:fldCharType="begin" w:fldLock="1"/>
      </w:r>
      <w:r w:rsidR="00B46018">
        <w:rPr>
          <w:sz w:val="16"/>
          <w:szCs w:val="16"/>
        </w:rPr>
        <w:instrText>ADDIN CSL_CITATION {"citationItems":[{"id":"ITEM-1","itemData":{"DOI":"10.1016/j.cose.2016.06.002","ISSN":"01674048","abstract":"The development of an information security policy involves more than mere policy formulation and implementation. Unless organisations explicitly recognise the various steps required in the development of a security policy, they run the risk of developing a policy that is poorly thought out, incomplete, redundant and irrelevant, and which will not be fully supported by the users. This paper argues that an information security policy has an entire life cycle through which it must pass during its useful lifetime. A formal content analysis of information security policy development methods was conducted using secondary sources. Based on the results of the content analysis, a conceptual framework was subsequently developed. The proposed framework outlines the various constructs required in the development and implementation of an effective information security policy. In the course of this study, a survey of 310 security professionals was conducted in order to validate and refine the concepts contained in the key component of the framework: the ISPDLC.","author":[{"dropping-particle":"V.","family":"Flowerday","given":"Stephen","non-dropping-particle":"","parse-names":false,"suffix":""},{"dropping-particle":"","family":"Tuyikeze","given":"Tite","non-dropping-particle":"","parse-names":false,"suffix":""}],"container-title":"Computers and Security","id":"ITEM-1","issued":{"date-parts":[["2016"]]},"title":"Information security policy development and implementation: The what, how and who","type":"article-journal"},"uris":["http://www.mendeley.com/documents/?uuid=fd460606-7868-46ca-8899-7289a9bad16d"]},{"id":"ITEM-2","itemData":{"URL":"https://www.invensislearning.com/resources/itil/overview-of-information-security-management","accessed":{"date-parts":[["2020","1","29"]]},"author":[{"dropping-particle":"","family":"Invensis","given":"","non-dropping-particle":"","parse-names":false,"suffix":""}],"id":"ITEM-2","issued":{"date-parts":[["2019"]]},"page":"1-5","title":"An overview of Information Security Management in ITIL | Invensis Learning","type":"webpage"},"uris":["http://www.mendeley.com/documents/?uuid=90dc56e4-dbd7-3553-98eb-d8e1b344d536"]},{"id":"ITEM-3","itemData":{"DOI":"10.1016/j.procs.2016.09.221","ISSN":"18770509","abstract":"Adjustment and cost-effectiveness are key elements of a successful Information Security Management System (ISMS). ISMS-Processes, as basic elements of every ISMS, need to be aligned to the organization and its mission. As of today, a specific ISMS process framework does not exist. ISMS processes are not in focus of current research. This article aims to fill this research gap by presenting results of a process mapping study regarding ISMS processes in the most important and widely accepted international standards for Information Security Management. Authors propose a set of ISMS processes within an ISMS process framework which should be implemented at an individually appropriate maturity level.","author":[{"dropping-particle":"","family":"Haufe","given":"Knut","non-dropping-particle":"","parse-names":false,"suffix":""},{"dropping-particle":"","family":"Colomo-Palacios","given":"Ricardo","non-dropping-particle":"","parse-names":false,"suffix":""},{"dropping-particle":"","family":"Dzombeta","given":"Srdan","non-dropping-particle":"","parse-names":false,"suffix":""},{"dropping-particle":"","family":"Brandis","given":"Knud","non-dropping-particle":"","parse-names":false,"suffix":""},{"dropping-particle":"","family":"Stantchev","given":"Vladimir","non-dropping-particle":"","parse-names":false,"suffix":""}],"container-title":"Procedia Computer Science","id":"ITEM-3","issued":{"date-parts":[["2016"]]},"title":"Security Management Standards: A Mapping","type":"paper-conference"},"uris":["http://www.mendeley.com/documents/?uuid=208eda41-0b9b-4780-81e6-6d5dc93c80c6"]}],"mendeley":{"formattedCitation":"[23], [26], [27]","manualFormatting":"[20], [22], [23], [24]","plainTextFormattedCitation":"[23], [26], [27]","previouslyFormattedCitation":"[23], [26], [27]"},"properties":{"noteIndex":0},"schema":"https://github.com/citation-style-language/schema/raw/master/csl-citation.json"}</w:instrText>
      </w:r>
      <w:r w:rsidR="00894FB1" w:rsidRPr="00894FB1">
        <w:rPr>
          <w:sz w:val="16"/>
          <w:szCs w:val="16"/>
        </w:rPr>
        <w:fldChar w:fldCharType="separate"/>
      </w:r>
      <w:r w:rsidR="00894FB1" w:rsidRPr="00894FB1">
        <w:rPr>
          <w:i w:val="0"/>
          <w:noProof/>
          <w:sz w:val="16"/>
          <w:szCs w:val="16"/>
        </w:rPr>
        <w:t>[20],</w:t>
      </w:r>
      <w:r w:rsidR="00894FB1">
        <w:rPr>
          <w:i w:val="0"/>
          <w:noProof/>
          <w:sz w:val="16"/>
          <w:szCs w:val="16"/>
        </w:rPr>
        <w:t xml:space="preserve"> [22],</w:t>
      </w:r>
      <w:r w:rsidR="00894FB1" w:rsidRPr="00894FB1">
        <w:rPr>
          <w:i w:val="0"/>
          <w:noProof/>
          <w:sz w:val="16"/>
          <w:szCs w:val="16"/>
        </w:rPr>
        <w:t xml:space="preserve"> [23], [24]</w:t>
      </w:r>
      <w:r w:rsidR="00894FB1" w:rsidRPr="00894FB1">
        <w:rPr>
          <w:sz w:val="16"/>
          <w:szCs w:val="16"/>
        </w:rPr>
        <w:fldChar w:fldCharType="end"/>
      </w:r>
    </w:p>
    <w:p w14:paraId="70385982" w14:textId="6C2FA742" w:rsidR="00FC1BF0" w:rsidRDefault="00B9654B" w:rsidP="002B23B2">
      <w:pPr>
        <w:pStyle w:val="Affiliation"/>
        <w:jc w:val="both"/>
      </w:pPr>
      <w:r>
        <w:t>F</w:t>
      </w:r>
      <w:r w:rsidR="00313D38">
        <w:t xml:space="preserve">our industry </w:t>
      </w:r>
      <w:r w:rsidR="00182C11">
        <w:t>recognized</w:t>
      </w:r>
      <w:r w:rsidR="00313D38">
        <w:t xml:space="preserve"> data security </w:t>
      </w:r>
      <w:r w:rsidR="008819D9">
        <w:t>ISMS;</w:t>
      </w:r>
      <w:r w:rsidR="002C13FE">
        <w:t xml:space="preserve"> ISO 27000</w:t>
      </w:r>
      <w:r w:rsidR="008819D9">
        <w:t xml:space="preserve"> universal standard</w:t>
      </w:r>
      <w:r w:rsidR="00894FB1">
        <w:t xml:space="preserve"> </w:t>
      </w:r>
      <w:r w:rsidR="00FC1BF0">
        <w:fldChar w:fldCharType="begin" w:fldLock="1"/>
      </w:r>
      <w:r w:rsidR="00B46018">
        <w:instrText>ADDIN CSL_CITATION {"citationItems":[{"id":"ITEM-1","itemData":{"abstract":"ISO/IEC 27000:2016 the overview of information security management systems, and terms and definitions commonly used in the ISMS family of standards. This International Standard is applicable to all types and sizes of organization (e.g. commercial enterprises, government agencies, not-for-profit organizations).","author":[{"dropping-particle":"","family":"ISO/IEC","given":"","non-dropping-particle":"","parse-names":false,"suffix":""}],"container-title":"ISO.org [Online]","id":"ITEM-1","issued":{"date-parts":[["2016"]]},"title":"ISO/IEC 27000:2016(E) Information technology — Security techniques — Information security management systems — Overview and vocabulary","type":"article"},"uris":["http://www.mendeley.com/documents/?uuid=e2a7f514-75bf-4cb6-8596-852f8b4d8b2d"]}],"mendeley":{"formattedCitation":"[28]","plainTextFormattedCitation":"[28]","previouslyFormattedCitation":"[28]"},"properties":{"noteIndex":0},"schema":"https://github.com/citation-style-language/schema/raw/master/csl-citation.json"}</w:instrText>
      </w:r>
      <w:r w:rsidR="00FC1BF0">
        <w:fldChar w:fldCharType="separate"/>
      </w:r>
      <w:r w:rsidR="000218FC" w:rsidRPr="000218FC">
        <w:rPr>
          <w:noProof/>
        </w:rPr>
        <w:t>[28]</w:t>
      </w:r>
      <w:r w:rsidR="00FC1BF0">
        <w:fldChar w:fldCharType="end"/>
      </w:r>
      <w:r w:rsidR="002C13FE">
        <w:t>, ITILv4 framework</w:t>
      </w:r>
      <w:r w:rsidR="00FC1BF0">
        <w:t xml:space="preserve"> </w:t>
      </w:r>
      <w:r w:rsidR="00FC1BF0">
        <w:fldChar w:fldCharType="begin" w:fldLock="1"/>
      </w:r>
      <w:r w:rsidR="00B46018">
        <w:instrText>ADDIN CSL_CITATION {"citationItems":[{"id":"ITEM-1","itemData":{"URL":"https://www.bmc.com/blogs/itil-information-security-management/","accessed":{"date-parts":[["2020","1","29"]]},"author":[{"dropping-particle":"","family":"BMC","given":"","non-dropping-particle":"","parse-names":false,"suffix":""}],"id":"ITEM-1","issued":{"date-parts":[["2019"]]},"page":"1-1","title":"ITIL® Information Security Management – BMC Blogs","type":"webpage"},"uris":["http://www.mendeley.com/documents/?uuid=72ac6369-618b-3a13-8fdc-5ce66fb2a30b"]}],"mendeley":{"formattedCitation":"[25]","plainTextFormattedCitation":"[25]","previouslyFormattedCitation":"[25]"},"properties":{"noteIndex":0},"schema":"https://github.com/citation-style-language/schema/raw/master/csl-citation.json"}</w:instrText>
      </w:r>
      <w:r w:rsidR="00FC1BF0">
        <w:fldChar w:fldCharType="separate"/>
      </w:r>
      <w:r w:rsidR="000218FC" w:rsidRPr="000218FC">
        <w:rPr>
          <w:noProof/>
        </w:rPr>
        <w:t>[25]</w:t>
      </w:r>
      <w:r w:rsidR="00FC1BF0">
        <w:fldChar w:fldCharType="end"/>
      </w:r>
      <w:r w:rsidR="00313D38">
        <w:t>,</w:t>
      </w:r>
      <w:r w:rsidR="002C13FE">
        <w:t xml:space="preserve"> Cyber Essentials</w:t>
      </w:r>
      <w:r w:rsidR="00FC1BF0">
        <w:t xml:space="preserve"> </w:t>
      </w:r>
      <w:r w:rsidR="00FC1BF0">
        <w:fldChar w:fldCharType="begin" w:fldLock="1"/>
      </w:r>
      <w:r w:rsidR="00B46018">
        <w:instrText>ADDIN CSL_CITATION {"citationItems":[{"id":"ITEM-1","itemData":{"URL":"https://www.cyberessentials.ncsc.gov.uk/getting-certified/","accessed":{"date-parts":[["2020","1","29"]]},"author":[{"dropping-particle":"","family":"NCSC UK","given":"","non-dropping-particle":"","parse-names":false,"suffix":""}],"id":"ITEM-1","issued":{"date-parts":[["2019"]]},"page":"1-1","title":"Cyber Essentials :: Certification","type":"webpage"},"uris":["http://www.mendeley.com/documents/?uuid=c1390aff-e066-3ba4-96e8-24159b23f9d4"]}],"mendeley":{"formattedCitation":"[29]","plainTextFormattedCitation":"[29]","previouslyFormattedCitation":"[29]"},"properties":{"noteIndex":0},"schema":"https://github.com/citation-style-language/schema/raw/master/csl-citation.json"}</w:instrText>
      </w:r>
      <w:r w:rsidR="00FC1BF0">
        <w:fldChar w:fldCharType="separate"/>
      </w:r>
      <w:r w:rsidR="000218FC" w:rsidRPr="000218FC">
        <w:rPr>
          <w:noProof/>
        </w:rPr>
        <w:t>[29]</w:t>
      </w:r>
      <w:r w:rsidR="00FC1BF0">
        <w:fldChar w:fldCharType="end"/>
      </w:r>
      <w:r w:rsidR="002C13FE">
        <w:t xml:space="preserve"> and PCI-DSS</w:t>
      </w:r>
      <w:r w:rsidR="00FC1BF0">
        <w:t xml:space="preserve"> </w:t>
      </w:r>
      <w:r w:rsidR="00FC1BF0">
        <w:fldChar w:fldCharType="begin" w:fldLock="1"/>
      </w:r>
      <w:r w:rsidR="00B46018">
        <w:instrText>ADDIN CSL_CITATION {"citationItems":[{"id":"ITEM-1","itemData":{"URL":"https://www.itgovernance.co.uk/pci_dss","abstract":"PCI-DSS","accessed":{"date-parts":[["2020","1","29"]]},"author":[{"dropping-particle":"","family":"IT Governance UK","given":"","non-dropping-particle":"","parse-names":false,"suffix":""}],"id":"ITEM-1","issued":{"date-parts":[["2019"]]},"page":"1-1","title":"The PCI DSS | IT Governance UK | IT Governance UK","type":"webpage"},"uris":["http://www.mendeley.com/documents/?uuid=cf2857ec-895e-37ac-877f-f12a88a89f2d"]}],"mendeley":{"formattedCitation":"[30]","plainTextFormattedCitation":"[30]","previouslyFormattedCitation":"[30]"},"properties":{"noteIndex":0},"schema":"https://github.com/citation-style-language/schema/raw/master/csl-citation.json"}</w:instrText>
      </w:r>
      <w:r w:rsidR="00FC1BF0">
        <w:fldChar w:fldCharType="separate"/>
      </w:r>
      <w:r w:rsidR="000218FC" w:rsidRPr="000218FC">
        <w:rPr>
          <w:noProof/>
        </w:rPr>
        <w:t>[30]</w:t>
      </w:r>
      <w:r w:rsidR="00FC1BF0">
        <w:fldChar w:fldCharType="end"/>
      </w:r>
      <w:r w:rsidR="002C13FE">
        <w:t xml:space="preserve"> security models</w:t>
      </w:r>
      <w:r w:rsidR="00313D38">
        <w:t xml:space="preserve"> </w:t>
      </w:r>
      <w:r w:rsidR="002C13FE">
        <w:t>were researched,</w:t>
      </w:r>
      <w:r w:rsidR="00BC6F01">
        <w:t xml:space="preserve"> </w:t>
      </w:r>
      <w:r w:rsidR="00182C11">
        <w:t>analyzed</w:t>
      </w:r>
      <w:r w:rsidR="00313D38">
        <w:t xml:space="preserve">, </w:t>
      </w:r>
      <w:r w:rsidR="00AF2237">
        <w:t>summarized, critiqued</w:t>
      </w:r>
      <w:r w:rsidR="00313D38">
        <w:t xml:space="preserve"> and discussed</w:t>
      </w:r>
      <w:r w:rsidR="00823B96">
        <w:t xml:space="preserve"> in order to develop a robust customized ISMS for a fictious company for the purpose of this paper</w:t>
      </w:r>
      <w:r w:rsidR="002C13FE">
        <w:t>.</w:t>
      </w:r>
      <w:r w:rsidR="00DA7443">
        <w:t xml:space="preserve"> </w:t>
      </w:r>
    </w:p>
    <w:p w14:paraId="61C08481" w14:textId="77777777" w:rsidR="00FC1BF0" w:rsidRDefault="00FC1BF0" w:rsidP="002B23B2">
      <w:pPr>
        <w:pStyle w:val="Affiliation"/>
        <w:jc w:val="both"/>
      </w:pPr>
    </w:p>
    <w:p w14:paraId="3249BB39" w14:textId="3CCEB9F3" w:rsidR="002B23B2" w:rsidRDefault="00DA7443" w:rsidP="002B23B2">
      <w:pPr>
        <w:pStyle w:val="Affiliation"/>
        <w:jc w:val="both"/>
      </w:pPr>
      <w:r>
        <w:t xml:space="preserve">The research pertaining to the above ISMS can be found in </w:t>
      </w:r>
      <w:r w:rsidRPr="00DA7443">
        <w:rPr>
          <w:i/>
          <w:iCs/>
        </w:rPr>
        <w:t>Appendix -A</w:t>
      </w:r>
      <w:r>
        <w:t xml:space="preserve"> of this paper</w:t>
      </w:r>
      <w:r w:rsidR="00894FB1">
        <w:t>.</w:t>
      </w:r>
    </w:p>
    <w:p w14:paraId="761B5433" w14:textId="77777777" w:rsidR="00894FB1" w:rsidRPr="002B23B2" w:rsidRDefault="00894FB1" w:rsidP="002B23B2">
      <w:pPr>
        <w:pStyle w:val="Affiliation"/>
        <w:jc w:val="both"/>
      </w:pPr>
    </w:p>
    <w:p w14:paraId="60163C03" w14:textId="0E6FAFF2" w:rsidR="00647A47" w:rsidRPr="007C3D78" w:rsidRDefault="007C3D78" w:rsidP="004D0D41">
      <w:pPr>
        <w:pStyle w:val="ListParagraph"/>
        <w:numPr>
          <w:ilvl w:val="0"/>
          <w:numId w:val="5"/>
        </w:numPr>
        <w:spacing w:after="80"/>
        <w:rPr>
          <w:sz w:val="24"/>
        </w:rPr>
      </w:pPr>
      <w:r w:rsidRPr="007C3D78">
        <w:rPr>
          <w:sz w:val="24"/>
        </w:rPr>
        <w:t>Caribbean</w:t>
      </w:r>
      <w:r w:rsidR="00313D38" w:rsidRPr="007C3D78">
        <w:rPr>
          <w:sz w:val="24"/>
        </w:rPr>
        <w:t xml:space="preserve"> Coffee Ltd </w:t>
      </w:r>
      <w:r w:rsidR="004730D7">
        <w:rPr>
          <w:sz w:val="24"/>
        </w:rPr>
        <w:t xml:space="preserve">- </w:t>
      </w:r>
      <w:r w:rsidR="00313D38" w:rsidRPr="007C3D78">
        <w:rPr>
          <w:sz w:val="24"/>
        </w:rPr>
        <w:t xml:space="preserve">Data Security Architecture </w:t>
      </w:r>
      <w:r w:rsidR="004D0D41" w:rsidRPr="007C3D78">
        <w:rPr>
          <w:sz w:val="24"/>
        </w:rPr>
        <w:t>and Framework</w:t>
      </w:r>
      <w:r w:rsidR="00044742">
        <w:rPr>
          <w:sz w:val="24"/>
        </w:rPr>
        <w:t xml:space="preserve"> – Case Study</w:t>
      </w:r>
    </w:p>
    <w:p w14:paraId="29FB693F" w14:textId="2C59525F" w:rsidR="00001F57" w:rsidRDefault="00044742" w:rsidP="008100D0">
      <w:pPr>
        <w:spacing w:after="80"/>
        <w:jc w:val="both"/>
        <w:rPr>
          <w:szCs w:val="16"/>
        </w:rPr>
      </w:pPr>
      <w:r>
        <w:rPr>
          <w:szCs w:val="16"/>
        </w:rPr>
        <w:t>Caribbean Coffee Ltd are a SME based within Jamaica</w:t>
      </w:r>
      <w:r w:rsidR="00AD6605">
        <w:rPr>
          <w:szCs w:val="16"/>
        </w:rPr>
        <w:t>,</w:t>
      </w:r>
      <w:r>
        <w:rPr>
          <w:szCs w:val="16"/>
        </w:rPr>
        <w:t xml:space="preserve"> that sell </w:t>
      </w:r>
      <w:r w:rsidR="00E875CC">
        <w:rPr>
          <w:szCs w:val="16"/>
        </w:rPr>
        <w:t xml:space="preserve">a very popular </w:t>
      </w:r>
      <w:r w:rsidR="00001F57">
        <w:rPr>
          <w:szCs w:val="16"/>
        </w:rPr>
        <w:t>sought-after</w:t>
      </w:r>
      <w:r w:rsidR="00E875CC">
        <w:rPr>
          <w:szCs w:val="16"/>
        </w:rPr>
        <w:t xml:space="preserve"> proprietary coffee blend called</w:t>
      </w:r>
      <w:r w:rsidR="00001F57">
        <w:rPr>
          <w:szCs w:val="16"/>
        </w:rPr>
        <w:t>;</w:t>
      </w:r>
      <w:r w:rsidR="00E875CC">
        <w:rPr>
          <w:szCs w:val="16"/>
        </w:rPr>
        <w:t xml:space="preserve"> ‘Blue Mountain Peak’</w:t>
      </w:r>
      <w:r w:rsidR="00001F57">
        <w:rPr>
          <w:szCs w:val="16"/>
        </w:rPr>
        <w:t>,</w:t>
      </w:r>
      <w:r w:rsidR="00E875CC">
        <w:rPr>
          <w:szCs w:val="16"/>
        </w:rPr>
        <w:t xml:space="preserve"> to</w:t>
      </w:r>
      <w:r>
        <w:rPr>
          <w:szCs w:val="16"/>
        </w:rPr>
        <w:t xml:space="preserve"> international</w:t>
      </w:r>
      <w:r w:rsidR="00E875CC">
        <w:rPr>
          <w:szCs w:val="16"/>
        </w:rPr>
        <w:t xml:space="preserve"> customers/clients</w:t>
      </w:r>
      <w:r>
        <w:rPr>
          <w:szCs w:val="16"/>
        </w:rPr>
        <w:t xml:space="preserve"> </w:t>
      </w:r>
      <w:r w:rsidR="00660693">
        <w:rPr>
          <w:szCs w:val="16"/>
        </w:rPr>
        <w:t>within Europe</w:t>
      </w:r>
      <w:r w:rsidR="00AD6605">
        <w:rPr>
          <w:szCs w:val="16"/>
        </w:rPr>
        <w:t>,</w:t>
      </w:r>
      <w:r w:rsidR="00660693">
        <w:rPr>
          <w:szCs w:val="16"/>
        </w:rPr>
        <w:t xml:space="preserve"> </w:t>
      </w:r>
      <w:r>
        <w:rPr>
          <w:szCs w:val="16"/>
        </w:rPr>
        <w:t xml:space="preserve">using their </w:t>
      </w:r>
      <w:r w:rsidR="00001F57">
        <w:rPr>
          <w:szCs w:val="16"/>
        </w:rPr>
        <w:t>cloud-based</w:t>
      </w:r>
      <w:r>
        <w:rPr>
          <w:szCs w:val="16"/>
        </w:rPr>
        <w:t xml:space="preserve"> web platform</w:t>
      </w:r>
      <w:r w:rsidR="00FF347D">
        <w:rPr>
          <w:szCs w:val="16"/>
        </w:rPr>
        <w:t xml:space="preserve"> that customers utilise to make payments and view marketing information</w:t>
      </w:r>
      <w:r w:rsidR="00DA7443">
        <w:rPr>
          <w:szCs w:val="16"/>
        </w:rPr>
        <w:t xml:space="preserve"> pertaining to the company</w:t>
      </w:r>
      <w:r>
        <w:rPr>
          <w:szCs w:val="16"/>
        </w:rPr>
        <w:t>.</w:t>
      </w:r>
      <w:r w:rsidR="00001F57">
        <w:rPr>
          <w:szCs w:val="16"/>
        </w:rPr>
        <w:t xml:space="preserve"> The </w:t>
      </w:r>
      <w:r w:rsidR="00DC1592">
        <w:rPr>
          <w:szCs w:val="16"/>
        </w:rPr>
        <w:t>c</w:t>
      </w:r>
      <w:r w:rsidR="00001F57">
        <w:rPr>
          <w:szCs w:val="16"/>
        </w:rPr>
        <w:t xml:space="preserve">offee blend </w:t>
      </w:r>
      <w:r w:rsidR="002702BE">
        <w:rPr>
          <w:szCs w:val="16"/>
        </w:rPr>
        <w:t xml:space="preserve">intellectual property </w:t>
      </w:r>
      <w:r w:rsidR="00001F57">
        <w:rPr>
          <w:szCs w:val="16"/>
        </w:rPr>
        <w:t>recipe is worth billions</w:t>
      </w:r>
      <w:r w:rsidR="00B54731">
        <w:rPr>
          <w:szCs w:val="16"/>
        </w:rPr>
        <w:t>,</w:t>
      </w:r>
      <w:r w:rsidR="00001F57">
        <w:rPr>
          <w:szCs w:val="16"/>
        </w:rPr>
        <w:t xml:space="preserve"> so protecting the blends surreptitious ingredients is a high priority for the company. </w:t>
      </w:r>
    </w:p>
    <w:p w14:paraId="5A119484" w14:textId="0D208ABD" w:rsidR="0096234B" w:rsidRDefault="00001F57" w:rsidP="008100D0">
      <w:pPr>
        <w:spacing w:after="80"/>
        <w:jc w:val="both"/>
        <w:rPr>
          <w:szCs w:val="16"/>
        </w:rPr>
      </w:pPr>
      <w:r>
        <w:rPr>
          <w:szCs w:val="16"/>
        </w:rPr>
        <w:t>Within</w:t>
      </w:r>
      <w:r w:rsidR="00044742">
        <w:rPr>
          <w:szCs w:val="16"/>
        </w:rPr>
        <w:t xml:space="preserve"> their head office</w:t>
      </w:r>
      <w:r w:rsidR="00E875CC">
        <w:rPr>
          <w:szCs w:val="16"/>
        </w:rPr>
        <w:t>,</w:t>
      </w:r>
      <w:r w:rsidR="00044742">
        <w:rPr>
          <w:szCs w:val="16"/>
        </w:rPr>
        <w:t xml:space="preserve"> all </w:t>
      </w:r>
      <w:r w:rsidR="00DA7443">
        <w:rPr>
          <w:szCs w:val="16"/>
        </w:rPr>
        <w:t>departments</w:t>
      </w:r>
      <w:r>
        <w:rPr>
          <w:szCs w:val="16"/>
        </w:rPr>
        <w:t>; Marketing, Sales, Production, Accounting and Management,</w:t>
      </w:r>
      <w:r w:rsidR="00044742">
        <w:rPr>
          <w:szCs w:val="16"/>
        </w:rPr>
        <w:t xml:space="preserve"> </w:t>
      </w:r>
      <w:r w:rsidR="008800FA">
        <w:rPr>
          <w:szCs w:val="16"/>
        </w:rPr>
        <w:t xml:space="preserve">that comprise of 30 staff within the head office are </w:t>
      </w:r>
      <w:r w:rsidR="00E875CC">
        <w:rPr>
          <w:szCs w:val="16"/>
        </w:rPr>
        <w:t xml:space="preserve">currently </w:t>
      </w:r>
      <w:r w:rsidR="00044742">
        <w:rPr>
          <w:szCs w:val="16"/>
        </w:rPr>
        <w:t>access</w:t>
      </w:r>
      <w:r w:rsidR="008800FA">
        <w:rPr>
          <w:szCs w:val="16"/>
        </w:rPr>
        <w:t>ing</w:t>
      </w:r>
      <w:r w:rsidR="00044742">
        <w:rPr>
          <w:szCs w:val="16"/>
        </w:rPr>
        <w:t xml:space="preserve"> the </w:t>
      </w:r>
      <w:r>
        <w:rPr>
          <w:szCs w:val="16"/>
        </w:rPr>
        <w:t>company’s</w:t>
      </w:r>
      <w:r w:rsidR="00044742">
        <w:rPr>
          <w:szCs w:val="16"/>
        </w:rPr>
        <w:t xml:space="preserve"> </w:t>
      </w:r>
      <w:r w:rsidR="00E01F0D">
        <w:rPr>
          <w:szCs w:val="16"/>
        </w:rPr>
        <w:t>‘L</w:t>
      </w:r>
      <w:r w:rsidR="00BA12C2">
        <w:rPr>
          <w:szCs w:val="16"/>
        </w:rPr>
        <w:t>egacy</w:t>
      </w:r>
      <w:r w:rsidR="00E01F0D">
        <w:rPr>
          <w:szCs w:val="16"/>
        </w:rPr>
        <w:t>’</w:t>
      </w:r>
      <w:r w:rsidR="00BA12C2">
        <w:rPr>
          <w:szCs w:val="16"/>
        </w:rPr>
        <w:t xml:space="preserve"> </w:t>
      </w:r>
      <w:r w:rsidR="00E01F0D">
        <w:rPr>
          <w:szCs w:val="16"/>
        </w:rPr>
        <w:fldChar w:fldCharType="begin" w:fldLock="1"/>
      </w:r>
      <w:r w:rsidR="00E01F0D">
        <w:rPr>
          <w:szCs w:val="16"/>
        </w:rPr>
        <w:instrText>ADDIN CSL_CITATION {"citationItems":[{"id":"ITEM-1","itemData":{"URL":"https://www.altexsoft.com/whitepapers/legacy-system-modernization-how-to-transform-the-enterprise-for-digital-future/","accessed":{"date-parts":[["2020","1","29"]]},"author":[{"dropping-particle":"","family":"Altexsoft","given":"","non-dropping-particle":"","parse-names":false,"suffix":""}],"id":"ITEM-1","issued":{"date-parts":[["2019"]]},"page":"1-10","title":"Whitepaper - Legacy System Modernization: How to Transform the Enterprise | AltexSoft","type":"webpage"},"uris":["http://www.mendeley.com/documents/?uuid=7c3c48e2-dbdb-31d0-8eae-26414c87af8c"]}],"mendeley":{"formattedCitation":"[31]","plainTextFormattedCitation":"[31]","previouslyFormattedCitation":"[31]"},"properties":{"noteIndex":0},"schema":"https://github.com/citation-style-language/schema/raw/master/csl-citation.json"}</w:instrText>
      </w:r>
      <w:r w:rsidR="00E01F0D">
        <w:rPr>
          <w:szCs w:val="16"/>
        </w:rPr>
        <w:fldChar w:fldCharType="separate"/>
      </w:r>
      <w:r w:rsidR="00E01F0D" w:rsidRPr="00E01F0D">
        <w:rPr>
          <w:noProof/>
          <w:szCs w:val="16"/>
        </w:rPr>
        <w:t>[31]</w:t>
      </w:r>
      <w:r w:rsidR="00E01F0D">
        <w:rPr>
          <w:szCs w:val="16"/>
        </w:rPr>
        <w:fldChar w:fldCharType="end"/>
      </w:r>
      <w:r w:rsidR="0096234B">
        <w:rPr>
          <w:szCs w:val="16"/>
        </w:rPr>
        <w:t>Wireless LAN (WLAN)</w:t>
      </w:r>
      <w:r w:rsidR="00E01F0D">
        <w:rPr>
          <w:szCs w:val="16"/>
        </w:rPr>
        <w:t xml:space="preserve"> </w:t>
      </w:r>
      <w:r w:rsidR="00E01F0D">
        <w:rPr>
          <w:szCs w:val="16"/>
        </w:rPr>
        <w:fldChar w:fldCharType="begin" w:fldLock="1"/>
      </w:r>
      <w:r w:rsidR="003B3084">
        <w:rPr>
          <w:szCs w:val="16"/>
        </w:rPr>
        <w:instrText>ADDIN CSL_CITATION {"citationItems":[{"id":"ITEM-1","itemData":{"abstract":"It is the review paper of Architecture of Wireless local area networks. In this paper we are discussing the architecture of wlan. A wireless LAN (WLAN) is a local area network based on wireless technology. Most modern local area networks now employ some wireless network infrastructure because it allows existing networks to be extended without the expense of additional cabling, and allows users of portable network devices to maintain connectivity with the network as they move around. Wireless networks can be set up quickly and can be configured in either ad hoc or infrastructure mode. In ad hoc mode, two or more portable computers can communicate with each other in the wireless equivalent of a peer-topeer network. There is no connection to a wired network and a wireless access point is not required. In this paper I also explaining the advantages, architecture, layers, frame format of wireless Local Area Networks","author":[{"dropping-particle":"","family":"Mittal","given":"Ishu","non-dropping-particle":"","parse-names":false,"suffix":""},{"dropping-particle":"","family":"Anand","given":"Anshul","non-dropping-particle":"","parse-names":false,"suffix":""}],"container-title":"International Journal of Computer Trends and Technology","id":"ITEM-1","issue":"3","issued":{"date-parts":[["2014"]]},"page":"148-151","title":"WLAN Architecture","type":"article-journal","volume":"8"},"uris":["http://www.mendeley.com/documents/?uuid=0173168c-599c-4481-ad1a-eec7ccf1b7ae"]}],"mendeley":{"formattedCitation":"[32]","plainTextFormattedCitation":"[32]","previouslyFormattedCitation":"[32]"},"properties":{"noteIndex":0},"schema":"https://github.com/citation-style-language/schema/raw/master/csl-citation.json"}</w:instrText>
      </w:r>
      <w:r w:rsidR="00E01F0D">
        <w:rPr>
          <w:szCs w:val="16"/>
        </w:rPr>
        <w:fldChar w:fldCharType="separate"/>
      </w:r>
      <w:r w:rsidR="00E01F0D" w:rsidRPr="00E01F0D">
        <w:rPr>
          <w:noProof/>
          <w:szCs w:val="16"/>
        </w:rPr>
        <w:t>[32]</w:t>
      </w:r>
      <w:r w:rsidR="00E01F0D">
        <w:rPr>
          <w:szCs w:val="16"/>
        </w:rPr>
        <w:fldChar w:fldCharType="end"/>
      </w:r>
      <w:r w:rsidR="00BA12C2">
        <w:rPr>
          <w:szCs w:val="16"/>
        </w:rPr>
        <w:t xml:space="preserve"> that was built 15 years ago</w:t>
      </w:r>
      <w:r w:rsidR="0096234B">
        <w:rPr>
          <w:szCs w:val="16"/>
        </w:rPr>
        <w:t xml:space="preserve"> using</w:t>
      </w:r>
      <w:r w:rsidR="00DA7443">
        <w:rPr>
          <w:szCs w:val="16"/>
        </w:rPr>
        <w:t xml:space="preserve"> internal</w:t>
      </w:r>
      <w:r w:rsidR="0096234B">
        <w:rPr>
          <w:szCs w:val="16"/>
        </w:rPr>
        <w:t xml:space="preserve"> company laptops/tablets</w:t>
      </w:r>
      <w:r w:rsidR="00A17049">
        <w:rPr>
          <w:szCs w:val="16"/>
        </w:rPr>
        <w:t>, whereas all managers and heads of departments utilise wired desktop computers within their offices which they complain restricts them to confines of their office</w:t>
      </w:r>
      <w:r w:rsidR="00E875CC">
        <w:rPr>
          <w:szCs w:val="16"/>
        </w:rPr>
        <w:t xml:space="preserve">. The </w:t>
      </w:r>
      <w:r w:rsidR="00BA12C2">
        <w:rPr>
          <w:szCs w:val="16"/>
        </w:rPr>
        <w:t>enterprises</w:t>
      </w:r>
      <w:r w:rsidR="00E875CC">
        <w:rPr>
          <w:szCs w:val="16"/>
        </w:rPr>
        <w:t xml:space="preserve"> </w:t>
      </w:r>
      <w:r>
        <w:rPr>
          <w:szCs w:val="16"/>
        </w:rPr>
        <w:t xml:space="preserve">Chief Executive Officer (CEO) </w:t>
      </w:r>
      <w:r w:rsidR="00E875CC">
        <w:rPr>
          <w:szCs w:val="16"/>
        </w:rPr>
        <w:t xml:space="preserve">has recently come under pressure </w:t>
      </w:r>
      <w:r>
        <w:rPr>
          <w:szCs w:val="16"/>
        </w:rPr>
        <w:t xml:space="preserve">by </w:t>
      </w:r>
      <w:commentRangeStart w:id="1"/>
      <w:r>
        <w:rPr>
          <w:szCs w:val="16"/>
        </w:rPr>
        <w:t>her</w:t>
      </w:r>
      <w:commentRangeEnd w:id="1"/>
      <w:r w:rsidR="00ED5F45">
        <w:rPr>
          <w:rStyle w:val="CommentReference"/>
        </w:rPr>
        <w:commentReference w:id="1"/>
      </w:r>
      <w:r>
        <w:rPr>
          <w:szCs w:val="16"/>
        </w:rPr>
        <w:t xml:space="preserve"> staff </w:t>
      </w:r>
      <w:r w:rsidR="00E875CC">
        <w:rPr>
          <w:szCs w:val="16"/>
        </w:rPr>
        <w:t xml:space="preserve">to allow </w:t>
      </w:r>
      <w:r>
        <w:rPr>
          <w:szCs w:val="16"/>
        </w:rPr>
        <w:t>them</w:t>
      </w:r>
      <w:r w:rsidR="00E875CC">
        <w:rPr>
          <w:szCs w:val="16"/>
        </w:rPr>
        <w:t xml:space="preserve"> to access the</w:t>
      </w:r>
      <w:r w:rsidR="00AD6605">
        <w:rPr>
          <w:szCs w:val="16"/>
        </w:rPr>
        <w:t xml:space="preserve"> companies </w:t>
      </w:r>
      <w:r w:rsidR="009E6A23">
        <w:rPr>
          <w:szCs w:val="16"/>
        </w:rPr>
        <w:t>Amazon Web Service (AWS)</w:t>
      </w:r>
      <w:r w:rsidR="00712299">
        <w:rPr>
          <w:szCs w:val="16"/>
        </w:rPr>
        <w:t xml:space="preserve"> </w:t>
      </w:r>
      <w:r w:rsidR="00712299">
        <w:rPr>
          <w:szCs w:val="16"/>
        </w:rPr>
        <w:fldChar w:fldCharType="begin" w:fldLock="1"/>
      </w:r>
      <w:r w:rsidR="003B3084">
        <w:rPr>
          <w:szCs w:val="16"/>
        </w:rPr>
        <w:instrText>ADDIN CSL_CITATION {"citationItems":[{"id":"ITEM-1","itemData":{"abstract":"Amazon Web Services offers reliable, scalable, and inexpensive cloud computing services. Free to join, pay only for what you use.","author":[{"dropping-particle":"","family":"Amazon","given":"","non-dropping-particle":"","parse-names":false,"suffix":""}],"container-title":"Amazon Web Services, Inc.","id":"ITEM-1","issued":{"date-parts":[["2016"]]},"title":"Amazon Web Services (AWS)- Cloud Computing Services","type":"webpage"},"uris":["http://www.mendeley.com/documents/?uuid=ed1d4d59-d717-4ea5-9341-6a36cd948b26"]}],"mendeley":{"formattedCitation":"[33]","plainTextFormattedCitation":"[33]","previouslyFormattedCitation":"[33]"},"properties":{"noteIndex":0},"schema":"https://github.com/citation-style-language/schema/raw/master/csl-citation.json"}</w:instrText>
      </w:r>
      <w:r w:rsidR="00712299">
        <w:rPr>
          <w:szCs w:val="16"/>
        </w:rPr>
        <w:fldChar w:fldCharType="separate"/>
      </w:r>
      <w:r w:rsidR="00E01F0D" w:rsidRPr="00E01F0D">
        <w:rPr>
          <w:noProof/>
          <w:szCs w:val="16"/>
        </w:rPr>
        <w:t>[33]</w:t>
      </w:r>
      <w:r w:rsidR="00712299">
        <w:rPr>
          <w:szCs w:val="16"/>
        </w:rPr>
        <w:fldChar w:fldCharType="end"/>
      </w:r>
      <w:r w:rsidR="009E6A23">
        <w:rPr>
          <w:szCs w:val="16"/>
        </w:rPr>
        <w:t xml:space="preserve"> </w:t>
      </w:r>
      <w:r w:rsidR="00AD6605">
        <w:rPr>
          <w:szCs w:val="16"/>
        </w:rPr>
        <w:t>Virtual Private Cloud (VPC)</w:t>
      </w:r>
      <w:r w:rsidR="00712299">
        <w:rPr>
          <w:szCs w:val="16"/>
        </w:rPr>
        <w:t xml:space="preserve"> </w:t>
      </w:r>
      <w:r w:rsidR="00712299">
        <w:rPr>
          <w:szCs w:val="16"/>
        </w:rPr>
        <w:fldChar w:fldCharType="begin" w:fldLock="1"/>
      </w:r>
      <w:r w:rsidR="003B3084">
        <w:rPr>
          <w:szCs w:val="16"/>
        </w:rPr>
        <w:instrText>ADDIN CSL_CITATION {"citationItems":[{"id":"ITEM-1","itemData":{"DOI":"10.1002/9781119549000.ch2","author":[{"dropping-particle":"","family":"Chauhan","given":"Sidhartha","non-dropping-particle":"","parse-names":false,"suffix":""},{"dropping-particle":"","family":"Devine","given":"James","non-dropping-particle":"","parse-names":false,"suffix":""},{"dropping-particle":"","family":"Halachmi","given":"Alan","non-dropping-particle":"","parse-names":false,"suffix":""},{"dropping-particle":"","family":"Lehwess","given":"Matt","non-dropping-particle":"","parse-names":false,"suffix":""},{"dropping-particle":"","family":"Matthews","given":"Nick","non-dropping-particle":"","parse-names":false,"suffix":""},{"dropping-particle":"","family":"Morad","given":"Steve","non-dropping-particle":"","parse-names":false,"suffix":""},{"dropping-particle":"","family":"Seymour","given":"Steve","non-dropping-particle":"","parse-names":false,"suffix":""}],"container-title":"AWS® Certified Advanced Networking Official Study Guide","id":"ITEM-1","issued":{"date-parts":[["2018"]]},"title":"Amazon Virtual Private Cloud (Amazon VPC) and Networking Fundamentals","type":"chapter"},"uris":["http://www.mendeley.com/documents/?uuid=b7a8fbd6-b2ab-4e8d-9a00-f5c675f26f6c"]}],"mendeley":{"formattedCitation":"[34]","plainTextFormattedCitation":"[34]","previouslyFormattedCitation":"[34]"},"properties":{"noteIndex":0},"schema":"https://github.com/citation-style-language/schema/raw/master/csl-citation.json"}</w:instrText>
      </w:r>
      <w:r w:rsidR="00712299">
        <w:rPr>
          <w:szCs w:val="16"/>
        </w:rPr>
        <w:fldChar w:fldCharType="separate"/>
      </w:r>
      <w:r w:rsidR="00E01F0D" w:rsidRPr="00E01F0D">
        <w:rPr>
          <w:noProof/>
          <w:szCs w:val="16"/>
        </w:rPr>
        <w:t>[34]</w:t>
      </w:r>
      <w:r w:rsidR="00712299">
        <w:rPr>
          <w:szCs w:val="16"/>
        </w:rPr>
        <w:fldChar w:fldCharType="end"/>
      </w:r>
      <w:r w:rsidR="00E875CC">
        <w:rPr>
          <w:szCs w:val="16"/>
        </w:rPr>
        <w:t xml:space="preserve"> </w:t>
      </w:r>
      <w:r w:rsidR="00D300FF">
        <w:rPr>
          <w:szCs w:val="16"/>
        </w:rPr>
        <w:t>Infrastructure</w:t>
      </w:r>
      <w:r w:rsidR="009E6A23">
        <w:rPr>
          <w:szCs w:val="16"/>
        </w:rPr>
        <w:t xml:space="preserve"> as a Service (IaaS)</w:t>
      </w:r>
      <w:r w:rsidR="00712299">
        <w:rPr>
          <w:szCs w:val="16"/>
        </w:rPr>
        <w:t xml:space="preserve"> </w:t>
      </w:r>
      <w:r w:rsidR="00712299">
        <w:rPr>
          <w:szCs w:val="16"/>
        </w:rPr>
        <w:fldChar w:fldCharType="begin" w:fldLock="1"/>
      </w:r>
      <w:r w:rsidR="003B3084">
        <w:rPr>
          <w:szCs w:val="16"/>
        </w:rPr>
        <w:instrText>ADDIN CSL_CITATION {"citationItems":[{"id":"ITEM-1","itemData":{"DOI":"10.1007/978-3-642-15681-6_7","ISBN":"3642156800","ISSN":"03029743","abstract":"Infrastructure-as-a-Service (IaaS) gains increasing importance as a new, flexible provisioning model for IT resources. However, its uptake in the enterprise environment is not without its challenges; among the most important ones are organizational issues. This paper presents an IaaS acceptance model based on multiple theoretical dimensions , which focuses on organizational drivers and barriers to IaaS deployment. It was challenged in a series of expert interviews and the resulting hypotheses give new insights into IaaS adoption drivers and represent a solid foundation for future empirical studies. © 2010 Springer-Verlag.","author":[{"dropping-particle":"","family":"Heinle","given":"Christoph","non-dropping-particle":"","parse-names":false,"suffix":""},{"dropping-particle":"","family":"Strebel","given":"Jörg","non-dropping-particle":"","parse-names":false,"suffix":""}],"container-title":"Lecture Notes in Computer Science (including subseries Lecture Notes in Artificial Intelligence and Lecture Notes in Bioinformatics)","id":"ITEM-1","issued":{"date-parts":[["2010"]]},"page":"93-104","title":"IaaS adoption determinants in enterprises","type":"paper-conference","volume":"6296 LNCS"},"uris":["http://www.mendeley.com/documents/?uuid=489685ce-ede1-48ec-8402-e7cb798bd2f3"]}],"mendeley":{"formattedCitation":"[35]","plainTextFormattedCitation":"[35]","previouslyFormattedCitation":"[35]"},"properties":{"noteIndex":0},"schema":"https://github.com/citation-style-language/schema/raw/master/csl-citation.json"}</w:instrText>
      </w:r>
      <w:r w:rsidR="00712299">
        <w:rPr>
          <w:szCs w:val="16"/>
        </w:rPr>
        <w:fldChar w:fldCharType="separate"/>
      </w:r>
      <w:r w:rsidR="00E01F0D" w:rsidRPr="00E01F0D">
        <w:rPr>
          <w:noProof/>
          <w:szCs w:val="16"/>
        </w:rPr>
        <w:t>[35]</w:t>
      </w:r>
      <w:r w:rsidR="00712299">
        <w:rPr>
          <w:szCs w:val="16"/>
        </w:rPr>
        <w:fldChar w:fldCharType="end"/>
      </w:r>
      <w:r w:rsidR="00E875CC">
        <w:rPr>
          <w:szCs w:val="16"/>
        </w:rPr>
        <w:t xml:space="preserve"> using</w:t>
      </w:r>
      <w:r>
        <w:rPr>
          <w:szCs w:val="16"/>
        </w:rPr>
        <w:t xml:space="preserve"> their personal devices which they </w:t>
      </w:r>
      <w:r w:rsidR="00DA7443">
        <w:rPr>
          <w:szCs w:val="16"/>
        </w:rPr>
        <w:t xml:space="preserve">can then </w:t>
      </w:r>
      <w:r>
        <w:rPr>
          <w:szCs w:val="16"/>
        </w:rPr>
        <w:t xml:space="preserve">utilise to work </w:t>
      </w:r>
      <w:r w:rsidR="00AD6605">
        <w:rPr>
          <w:szCs w:val="16"/>
        </w:rPr>
        <w:t xml:space="preserve">on site and/or </w:t>
      </w:r>
      <w:r>
        <w:rPr>
          <w:szCs w:val="16"/>
        </w:rPr>
        <w:t>remotely</w:t>
      </w:r>
      <w:r w:rsidR="0096234B">
        <w:rPr>
          <w:szCs w:val="16"/>
        </w:rPr>
        <w:t xml:space="preserve"> from home</w:t>
      </w:r>
      <w:r>
        <w:rPr>
          <w:szCs w:val="16"/>
        </w:rPr>
        <w:t xml:space="preserve">. </w:t>
      </w:r>
    </w:p>
    <w:p w14:paraId="519E3D30" w14:textId="49EE971C" w:rsidR="00660693" w:rsidRDefault="00001F57" w:rsidP="008100D0">
      <w:pPr>
        <w:spacing w:after="80"/>
        <w:jc w:val="both"/>
        <w:rPr>
          <w:szCs w:val="16"/>
        </w:rPr>
      </w:pPr>
      <w:r>
        <w:rPr>
          <w:szCs w:val="16"/>
        </w:rPr>
        <w:lastRenderedPageBreak/>
        <w:t xml:space="preserve">Although </w:t>
      </w:r>
      <w:r w:rsidR="0096234B">
        <w:rPr>
          <w:szCs w:val="16"/>
        </w:rPr>
        <w:t xml:space="preserve">a Bring Your Own Device (BYOD) </w:t>
      </w:r>
      <w:r w:rsidR="000C10AE">
        <w:rPr>
          <w:szCs w:val="16"/>
        </w:rPr>
        <w:fldChar w:fldCharType="begin" w:fldLock="1"/>
      </w:r>
      <w:r w:rsidR="003B3084">
        <w:rPr>
          <w:szCs w:val="16"/>
        </w:rPr>
        <w:instrText>ADDIN CSL_CITATION {"citationItems":[{"id":"ITEM-1","itemData":{"DOI":"10.1016/j.protcy.2013.12.005","ISSN":"22120173","abstract":"Bring Your Own Device (BYOD) has become one of the most influential trends that has or will touch each and every IT organization. The term has come to define a megatrend occurring in IT that requires sweeping changes to the way devices are used in the workplace. What is BYOD? Does it mean employees pay for their own devices they use for work? Possibly, but the BYOD trend means much more. It is about end users being able to use the compute and communication devices they choose to increase productivity and mobility. These can be devices purchased by the employer, purchased by the employee, or both. BYOD means any device, with any ownership, used anywhere. This document discusses how this trend will affect businesses, explores the challenges it creates for IT, and outlines the Cisco® technologies that are part of the solution. Cisco offers a comprehensive architecture to address these challenges, allowing end users the freedom to bring their choice of device to work while still affording IT the controls to ensure security and prevent data loss.","author":[{"dropping-particle":"","family":"Disterer","given":"Georg","non-dropping-particle":"","parse-names":false,"suffix":""},{"dropping-particle":"","family":"Kleiner","given":"Carsten","non-dropping-particle":"","parse-names":false,"suffix":""}],"container-title":"Procedia Technology","id":"ITEM-1","issued":{"date-parts":[["2013"]]},"title":"BYOD Bring Your Own Device","type":"article-journal"},"uris":["http://www.mendeley.com/documents/?uuid=1989a42b-8c17-4a06-8d58-1cf1f23e90b5"]}],"mendeley":{"formattedCitation":"[36]","plainTextFormattedCitation":"[36]","previouslyFormattedCitation":"[36]"},"properties":{"noteIndex":0},"schema":"https://github.com/citation-style-language/schema/raw/master/csl-citation.json"}</w:instrText>
      </w:r>
      <w:r w:rsidR="000C10AE">
        <w:rPr>
          <w:szCs w:val="16"/>
        </w:rPr>
        <w:fldChar w:fldCharType="separate"/>
      </w:r>
      <w:r w:rsidR="00E01F0D" w:rsidRPr="00E01F0D">
        <w:rPr>
          <w:noProof/>
          <w:szCs w:val="16"/>
        </w:rPr>
        <w:t>[36]</w:t>
      </w:r>
      <w:r w:rsidR="000C10AE">
        <w:rPr>
          <w:szCs w:val="16"/>
        </w:rPr>
        <w:fldChar w:fldCharType="end"/>
      </w:r>
      <w:r w:rsidR="000C10AE">
        <w:rPr>
          <w:szCs w:val="16"/>
        </w:rPr>
        <w:t xml:space="preserve"> </w:t>
      </w:r>
      <w:r w:rsidR="0096234B">
        <w:rPr>
          <w:szCs w:val="16"/>
        </w:rPr>
        <w:t xml:space="preserve">scheme </w:t>
      </w:r>
      <w:r>
        <w:rPr>
          <w:szCs w:val="16"/>
        </w:rPr>
        <w:t>will bring a number of benefits to the company such as</w:t>
      </w:r>
      <w:r w:rsidR="00DA7443">
        <w:rPr>
          <w:szCs w:val="16"/>
        </w:rPr>
        <w:t>;</w:t>
      </w:r>
      <w:r>
        <w:rPr>
          <w:szCs w:val="16"/>
        </w:rPr>
        <w:t xml:space="preserve"> an attractive place to work for highly skilled professionals whom have dependants and/or disabilities</w:t>
      </w:r>
      <w:r w:rsidR="0096234B">
        <w:rPr>
          <w:szCs w:val="16"/>
        </w:rPr>
        <w:t>,</w:t>
      </w:r>
      <w:r>
        <w:rPr>
          <w:szCs w:val="16"/>
        </w:rPr>
        <w:t xml:space="preserve"> </w:t>
      </w:r>
      <w:r w:rsidR="00660693">
        <w:rPr>
          <w:szCs w:val="16"/>
        </w:rPr>
        <w:t xml:space="preserve">along with flexible working hours </w:t>
      </w:r>
      <w:r w:rsidR="00B54731">
        <w:rPr>
          <w:szCs w:val="16"/>
        </w:rPr>
        <w:t xml:space="preserve">for all employees </w:t>
      </w:r>
      <w:r w:rsidR="00660693">
        <w:rPr>
          <w:szCs w:val="16"/>
        </w:rPr>
        <w:t xml:space="preserve">and </w:t>
      </w:r>
      <w:r w:rsidR="0096234B">
        <w:rPr>
          <w:szCs w:val="16"/>
        </w:rPr>
        <w:t xml:space="preserve">also the </w:t>
      </w:r>
      <w:r w:rsidR="00660693">
        <w:rPr>
          <w:szCs w:val="16"/>
        </w:rPr>
        <w:t>economic benefits of</w:t>
      </w:r>
      <w:r w:rsidR="0096234B">
        <w:rPr>
          <w:szCs w:val="16"/>
        </w:rPr>
        <w:t xml:space="preserve"> the company not having to</w:t>
      </w:r>
      <w:r w:rsidR="00660693">
        <w:rPr>
          <w:szCs w:val="16"/>
        </w:rPr>
        <w:t xml:space="preserve"> </w:t>
      </w:r>
      <w:r w:rsidR="00B54731">
        <w:rPr>
          <w:szCs w:val="16"/>
        </w:rPr>
        <w:t>purchas</w:t>
      </w:r>
      <w:r w:rsidR="0096234B">
        <w:rPr>
          <w:szCs w:val="16"/>
        </w:rPr>
        <w:t>e</w:t>
      </w:r>
      <w:r w:rsidR="00660693">
        <w:rPr>
          <w:szCs w:val="16"/>
        </w:rPr>
        <w:t xml:space="preserve"> end devices for employees to utilise.</w:t>
      </w:r>
      <w:r w:rsidR="00712299">
        <w:rPr>
          <w:szCs w:val="16"/>
        </w:rPr>
        <w:t xml:space="preserve"> </w:t>
      </w:r>
      <w:r w:rsidR="00712299">
        <w:rPr>
          <w:szCs w:val="16"/>
        </w:rPr>
        <w:fldChar w:fldCharType="begin" w:fldLock="1"/>
      </w:r>
      <w:r w:rsidR="003B3084">
        <w:rPr>
          <w:szCs w:val="16"/>
        </w:rPr>
        <w:instrText>ADDIN CSL_CITATION {"citationItems":[{"id":"ITEM-1","itemData":{"URL":"https://www.solarvista.com/resources/the-advantages-and-disadvantages-of-byod","abstract":"The BYOD (“Bring Your Own Device”) debate is one that has received much coverage in recent months with some in the service sector as well as other industries arguing that BYOD is the only way forward for businesses looking to compete effectively and offer the most efficient customer service and increased employee satisfaction. But what is BYOD? What is the impact on the business, the workers, and the customers?","accessed":{"date-parts":[["2017","12","11"]]},"author":[{"dropping-particle":"","family":"Adams","given":"Paul","non-dropping-particle":"","parse-names":false,"suffix":""}],"container-title":"solarvista.com","id":"ITEM-1","issued":{"date-parts":[["2016"]]},"page":"1","title":"The advantages and disadvantages of BYOD.","type":"webpage"},"uris":["http://www.mendeley.com/documents/?uuid=ddc3fd60-b004-3ed0-8d6a-1dc6153b50ad"]}],"mendeley":{"formattedCitation":"[37]","plainTextFormattedCitation":"[37]","previouslyFormattedCitation":"[37]"},"properties":{"noteIndex":0},"schema":"https://github.com/citation-style-language/schema/raw/master/csl-citation.json"}</w:instrText>
      </w:r>
      <w:r w:rsidR="00712299">
        <w:rPr>
          <w:szCs w:val="16"/>
        </w:rPr>
        <w:fldChar w:fldCharType="separate"/>
      </w:r>
      <w:r w:rsidR="00E01F0D" w:rsidRPr="00E01F0D">
        <w:rPr>
          <w:noProof/>
          <w:szCs w:val="16"/>
        </w:rPr>
        <w:t>[37]</w:t>
      </w:r>
      <w:r w:rsidR="00712299">
        <w:rPr>
          <w:szCs w:val="16"/>
        </w:rPr>
        <w:fldChar w:fldCharType="end"/>
      </w:r>
    </w:p>
    <w:p w14:paraId="04BFEA0A" w14:textId="4A41633B" w:rsidR="00B54731" w:rsidRDefault="00660693" w:rsidP="008100D0">
      <w:pPr>
        <w:spacing w:after="80"/>
        <w:jc w:val="both"/>
        <w:rPr>
          <w:szCs w:val="16"/>
        </w:rPr>
      </w:pPr>
      <w:r>
        <w:rPr>
          <w:szCs w:val="16"/>
        </w:rPr>
        <w:t xml:space="preserve">The Chief Technical Officer (CTO) is very apprehensive about implementing </w:t>
      </w:r>
      <w:r w:rsidR="009609D5">
        <w:rPr>
          <w:szCs w:val="16"/>
        </w:rPr>
        <w:t>the Bring Your Own Device (BYOD)</w:t>
      </w:r>
      <w:r>
        <w:rPr>
          <w:szCs w:val="16"/>
        </w:rPr>
        <w:t xml:space="preserve"> scheme</w:t>
      </w:r>
      <w:r w:rsidR="009609D5">
        <w:rPr>
          <w:szCs w:val="16"/>
        </w:rPr>
        <w:t>,</w:t>
      </w:r>
      <w:r>
        <w:rPr>
          <w:szCs w:val="16"/>
        </w:rPr>
        <w:t xml:space="preserve"> because there is no existing </w:t>
      </w:r>
      <w:r w:rsidR="00B13927">
        <w:rPr>
          <w:szCs w:val="16"/>
        </w:rPr>
        <w:t xml:space="preserve">data </w:t>
      </w:r>
      <w:commentRangeStart w:id="2"/>
      <w:r w:rsidR="00B13927">
        <w:rPr>
          <w:szCs w:val="16"/>
        </w:rPr>
        <w:t>securty</w:t>
      </w:r>
      <w:commentRangeEnd w:id="2"/>
      <w:r w:rsidR="00ED5F45">
        <w:rPr>
          <w:rStyle w:val="CommentReference"/>
        </w:rPr>
        <w:commentReference w:id="2"/>
      </w:r>
      <w:r>
        <w:rPr>
          <w:szCs w:val="16"/>
        </w:rPr>
        <w:t xml:space="preserve"> policy that can </w:t>
      </w:r>
      <w:r w:rsidR="009609D5">
        <w:rPr>
          <w:szCs w:val="16"/>
        </w:rPr>
        <w:t xml:space="preserve">ensure the </w:t>
      </w:r>
      <w:r>
        <w:rPr>
          <w:szCs w:val="16"/>
        </w:rPr>
        <w:t>secur</w:t>
      </w:r>
      <w:r w:rsidR="009609D5">
        <w:rPr>
          <w:szCs w:val="16"/>
        </w:rPr>
        <w:t>ity of</w:t>
      </w:r>
      <w:r>
        <w:rPr>
          <w:szCs w:val="16"/>
        </w:rPr>
        <w:t xml:space="preserve"> the </w:t>
      </w:r>
      <w:r w:rsidR="00B13927">
        <w:rPr>
          <w:szCs w:val="16"/>
        </w:rPr>
        <w:t>compan</w:t>
      </w:r>
      <w:r w:rsidR="009609D5">
        <w:rPr>
          <w:szCs w:val="16"/>
        </w:rPr>
        <w:t>ies</w:t>
      </w:r>
      <w:r w:rsidR="00B13927">
        <w:rPr>
          <w:szCs w:val="16"/>
        </w:rPr>
        <w:t xml:space="preserve"> intellectual property</w:t>
      </w:r>
      <w:r w:rsidR="009609D5">
        <w:rPr>
          <w:szCs w:val="16"/>
        </w:rPr>
        <w:t>, personal</w:t>
      </w:r>
      <w:r w:rsidR="0096234B">
        <w:rPr>
          <w:szCs w:val="16"/>
        </w:rPr>
        <w:t>,</w:t>
      </w:r>
      <w:r w:rsidR="009609D5">
        <w:rPr>
          <w:szCs w:val="16"/>
        </w:rPr>
        <w:t xml:space="preserve"> staff</w:t>
      </w:r>
      <w:r w:rsidR="00B13927">
        <w:rPr>
          <w:szCs w:val="16"/>
        </w:rPr>
        <w:t xml:space="preserve">, </w:t>
      </w:r>
      <w:r w:rsidR="009609D5">
        <w:rPr>
          <w:szCs w:val="16"/>
        </w:rPr>
        <w:t xml:space="preserve">customer </w:t>
      </w:r>
      <w:r w:rsidR="00B13927">
        <w:rPr>
          <w:szCs w:val="16"/>
        </w:rPr>
        <w:t xml:space="preserve">and financial </w:t>
      </w:r>
      <w:r w:rsidR="009609D5">
        <w:rPr>
          <w:szCs w:val="16"/>
        </w:rPr>
        <w:t>data</w:t>
      </w:r>
      <w:r w:rsidR="00B13927">
        <w:rPr>
          <w:szCs w:val="16"/>
        </w:rPr>
        <w:t xml:space="preserve"> housed within their </w:t>
      </w:r>
      <w:r w:rsidR="009E6A23">
        <w:rPr>
          <w:szCs w:val="16"/>
        </w:rPr>
        <w:t>Cloud Service Provider (</w:t>
      </w:r>
      <w:r w:rsidR="00B13927">
        <w:rPr>
          <w:szCs w:val="16"/>
        </w:rPr>
        <w:t>CSP</w:t>
      </w:r>
      <w:r w:rsidR="009E6A23">
        <w:rPr>
          <w:szCs w:val="16"/>
        </w:rPr>
        <w:t>)</w:t>
      </w:r>
      <w:r w:rsidR="00B46018">
        <w:rPr>
          <w:szCs w:val="16"/>
        </w:rPr>
        <w:t xml:space="preserve"> </w:t>
      </w:r>
      <w:r w:rsidR="00B46018">
        <w:rPr>
          <w:szCs w:val="16"/>
        </w:rPr>
        <w:fldChar w:fldCharType="begin" w:fldLock="1"/>
      </w:r>
      <w:r w:rsidR="003B3084">
        <w:rPr>
          <w:szCs w:val="16"/>
        </w:rPr>
        <w:instrText>ADDIN CSL_CITATION {"citationItems":[{"id":"ITEM-1","itemData":{"URL":"https://azure.microsoft.com/en-gb/overview/what-is-a-cloud-provider/","abstract":"azure CSP definition","accessed":{"date-parts":[["2019","4","30"]]},"author":[{"dropping-particle":"","family":"Microsoft Azure","given":"","non-dropping-particle":"","parse-names":false,"suffix":""}],"container-title":"azure.microsoft.com","id":"ITEM-1","issued":{"date-parts":[["2019"]]},"page":"1","title":"What is a Cloud Service Provider – Definition | Microsoft Azure","type":"webpage"},"uris":["http://www.mendeley.com/documents/?uuid=5345d838-7e2c-3f4c-8b07-36c91b168829"]}],"mendeley":{"formattedCitation":"[38]","plainTextFormattedCitation":"[38]","previouslyFormattedCitation":"[38]"},"properties":{"noteIndex":0},"schema":"https://github.com/citation-style-language/schema/raw/master/csl-citation.json"}</w:instrText>
      </w:r>
      <w:r w:rsidR="00B46018">
        <w:rPr>
          <w:szCs w:val="16"/>
        </w:rPr>
        <w:fldChar w:fldCharType="separate"/>
      </w:r>
      <w:r w:rsidR="00E01F0D" w:rsidRPr="00E01F0D">
        <w:rPr>
          <w:noProof/>
          <w:szCs w:val="16"/>
        </w:rPr>
        <w:t>[38]</w:t>
      </w:r>
      <w:r w:rsidR="00B46018">
        <w:rPr>
          <w:szCs w:val="16"/>
        </w:rPr>
        <w:fldChar w:fldCharType="end"/>
      </w:r>
      <w:r w:rsidR="00B46018">
        <w:rPr>
          <w:szCs w:val="16"/>
        </w:rPr>
        <w:t xml:space="preserve"> </w:t>
      </w:r>
      <w:r w:rsidR="00B13927">
        <w:rPr>
          <w:szCs w:val="16"/>
        </w:rPr>
        <w:t>; AWS</w:t>
      </w:r>
      <w:r w:rsidR="00B46018">
        <w:rPr>
          <w:szCs w:val="16"/>
        </w:rPr>
        <w:t xml:space="preserve"> </w:t>
      </w:r>
      <w:r w:rsidR="009609D5">
        <w:rPr>
          <w:szCs w:val="16"/>
        </w:rPr>
        <w:t>whom provide all their</w:t>
      </w:r>
      <w:r w:rsidR="00DA7443">
        <w:rPr>
          <w:szCs w:val="16"/>
        </w:rPr>
        <w:t xml:space="preserve"> internal and external IT services</w:t>
      </w:r>
      <w:r w:rsidR="009E6A23">
        <w:rPr>
          <w:szCs w:val="16"/>
        </w:rPr>
        <w:t xml:space="preserve"> via a self-managed IaaS cloud model as previously discussed</w:t>
      </w:r>
      <w:r w:rsidR="00DA7443">
        <w:rPr>
          <w:szCs w:val="16"/>
        </w:rPr>
        <w:t>.</w:t>
      </w:r>
      <w:r w:rsidR="000C10AE">
        <w:rPr>
          <w:szCs w:val="16"/>
        </w:rPr>
        <w:t xml:space="preserve"> </w:t>
      </w:r>
      <w:r w:rsidR="000C10AE">
        <w:rPr>
          <w:szCs w:val="16"/>
        </w:rPr>
        <w:fldChar w:fldCharType="begin" w:fldLock="1"/>
      </w:r>
      <w:r w:rsidR="003B3084">
        <w:rPr>
          <w:szCs w:val="16"/>
        </w:rPr>
        <w:instrText>ADDIN CSL_CITATION {"citationItems":[{"id":"ITEM-1","itemData":{"DOI":"10.1016/S1353-4858(12)70013-2","ISSN":"13534858","abstract":"Trends such as the influx of consumer devices into the workplace will require more flexible and creative solutions from IT staff in order to maintain security while enabling access to collaborative technologies. Trends such as the influx of consumer devices into the workplace will require more flexible and creative solutions from IT staff for maintaining security while enabling access to collaborative technologies. Given the desire of workers to bring the devices they use at home into the workplace, enterprises need to adopt a 'bring your own device' (BYOD) vision - that is, securing the network and data regardless of how workers access information.","author":[{"dropping-particle":"","family":"Thomson","given":"Gordon","non-dropping-particle":"","parse-names":false,"suffix":""}],"container-title":"Network Security","id":"ITEM-1","issued":{"date-parts":[["2012"]]},"title":"BYOD: Enabling the chaos","type":"article-journal"},"uris":["http://www.mendeley.com/documents/?uuid=abf45eb3-33db-4a0a-bad6-dcfe6d39f478"]},{"id":"ITEM-2","itemData":{"DOI":"10.1109/MITP.2012.93","ISSN":"15209202","abstract":"Clearly, there are several important advantages for employees and employers when employees bring their own devices to work. But there are also significant concerns about security privacy. Companies and individuals involved, or thinking about getting involved with BYOD should think carefully about the risks as well as the rewards. © 1999-2012 IEEE.","author":[{"dropping-particle":"","family":"Miller","given":"Keith W.","non-dropping-particle":"","parse-names":false,"suffix":""},{"dropping-particle":"","family":"Voas","given":"Jeffrey","non-dropping-particle":"","parse-names":false,"suffix":""},{"dropping-particle":"","family":"Hurlburt","given":"George F.","non-dropping-particle":"","parse-names":false,"suffix":""}],"container-title":"IT Professional","id":"ITEM-2","issued":{"date-parts":[["2012"]]},"title":"BYOD: Security and privacy considerations","type":"article"},"uris":["http://www.mendeley.com/documents/?uuid=cee19f60-254f-44ad-b149-80ca716b75ef"]}],"mendeley":{"formattedCitation":"[39], [40]","plainTextFormattedCitation":"[39], [40]","previouslyFormattedCitation":"[39], [40]"},"properties":{"noteIndex":0},"schema":"https://github.com/citation-style-language/schema/raw/master/csl-citation.json"}</w:instrText>
      </w:r>
      <w:r w:rsidR="000C10AE">
        <w:rPr>
          <w:szCs w:val="16"/>
        </w:rPr>
        <w:fldChar w:fldCharType="separate"/>
      </w:r>
      <w:r w:rsidR="00E01F0D" w:rsidRPr="00E01F0D">
        <w:rPr>
          <w:noProof/>
          <w:szCs w:val="16"/>
        </w:rPr>
        <w:t>[39], [40]</w:t>
      </w:r>
      <w:r w:rsidR="000C10AE">
        <w:rPr>
          <w:szCs w:val="16"/>
        </w:rPr>
        <w:fldChar w:fldCharType="end"/>
      </w:r>
    </w:p>
    <w:p w14:paraId="57328CAD" w14:textId="77777777" w:rsidR="000C10AE" w:rsidRDefault="00B54731" w:rsidP="008100D0">
      <w:pPr>
        <w:spacing w:after="80"/>
        <w:jc w:val="both"/>
        <w:rPr>
          <w:szCs w:val="16"/>
        </w:rPr>
      </w:pPr>
      <w:r>
        <w:rPr>
          <w:szCs w:val="16"/>
        </w:rPr>
        <w:t>Therefore,</w:t>
      </w:r>
      <w:r w:rsidR="00A8783B">
        <w:rPr>
          <w:szCs w:val="16"/>
        </w:rPr>
        <w:t xml:space="preserve"> the CTO has acquired the services of a </w:t>
      </w:r>
      <w:r>
        <w:rPr>
          <w:szCs w:val="16"/>
        </w:rPr>
        <w:t>third-party</w:t>
      </w:r>
      <w:r w:rsidR="00A8783B">
        <w:rPr>
          <w:szCs w:val="16"/>
        </w:rPr>
        <w:t xml:space="preserve"> </w:t>
      </w:r>
      <w:r w:rsidR="00B11902">
        <w:rPr>
          <w:szCs w:val="16"/>
        </w:rPr>
        <w:t xml:space="preserve">data security </w:t>
      </w:r>
      <w:r w:rsidR="00A8783B">
        <w:rPr>
          <w:szCs w:val="16"/>
        </w:rPr>
        <w:t>consultan</w:t>
      </w:r>
      <w:r w:rsidR="00DA7443">
        <w:rPr>
          <w:szCs w:val="16"/>
        </w:rPr>
        <w:t xml:space="preserve">cy company; </w:t>
      </w:r>
      <w:r w:rsidR="00B246CF">
        <w:rPr>
          <w:szCs w:val="16"/>
        </w:rPr>
        <w:t>‘Matrix Security’</w:t>
      </w:r>
      <w:r w:rsidR="00A8783B">
        <w:rPr>
          <w:szCs w:val="16"/>
        </w:rPr>
        <w:t xml:space="preserve"> whom</w:t>
      </w:r>
      <w:r w:rsidR="00DA7443">
        <w:rPr>
          <w:szCs w:val="16"/>
        </w:rPr>
        <w:t xml:space="preserve"> employ</w:t>
      </w:r>
      <w:r w:rsidR="00A8783B">
        <w:rPr>
          <w:szCs w:val="16"/>
        </w:rPr>
        <w:t xml:space="preserve"> network securty architect</w:t>
      </w:r>
      <w:r w:rsidR="00DA7443">
        <w:rPr>
          <w:szCs w:val="16"/>
        </w:rPr>
        <w:t>s</w:t>
      </w:r>
      <w:r w:rsidR="00A8783B">
        <w:rPr>
          <w:szCs w:val="16"/>
        </w:rPr>
        <w:t xml:space="preserve"> to perform</w:t>
      </w:r>
      <w:r w:rsidR="00DA7443">
        <w:rPr>
          <w:szCs w:val="16"/>
        </w:rPr>
        <w:t xml:space="preserve"> a</w:t>
      </w:r>
      <w:r w:rsidR="00A8783B">
        <w:rPr>
          <w:szCs w:val="16"/>
        </w:rPr>
        <w:t xml:space="preserve"> security audit of the </w:t>
      </w:r>
      <w:r w:rsidR="00DA7443">
        <w:rPr>
          <w:szCs w:val="16"/>
        </w:rPr>
        <w:t xml:space="preserve">companies </w:t>
      </w:r>
      <w:r w:rsidR="00BA12C2">
        <w:rPr>
          <w:szCs w:val="16"/>
        </w:rPr>
        <w:t>cybersecurity and network infrastructure.</w:t>
      </w:r>
    </w:p>
    <w:p w14:paraId="2F229309" w14:textId="4C8EFA10" w:rsidR="0096234B" w:rsidRDefault="00BA12C2" w:rsidP="008100D0">
      <w:pPr>
        <w:spacing w:after="80"/>
        <w:jc w:val="both"/>
        <w:rPr>
          <w:szCs w:val="16"/>
        </w:rPr>
      </w:pPr>
      <w:r>
        <w:rPr>
          <w:szCs w:val="16"/>
        </w:rPr>
        <w:t xml:space="preserve">Matrix Security </w:t>
      </w:r>
      <w:r w:rsidR="00DA7443">
        <w:rPr>
          <w:szCs w:val="16"/>
        </w:rPr>
        <w:t xml:space="preserve">have been tasked with; </w:t>
      </w:r>
      <w:r w:rsidR="00A8783B">
        <w:rPr>
          <w:szCs w:val="16"/>
        </w:rPr>
        <w:t>creat</w:t>
      </w:r>
      <w:r w:rsidR="00DA7443">
        <w:rPr>
          <w:szCs w:val="16"/>
        </w:rPr>
        <w:t>ing</w:t>
      </w:r>
      <w:r w:rsidR="00A8783B">
        <w:rPr>
          <w:szCs w:val="16"/>
        </w:rPr>
        <w:t xml:space="preserve"> a</w:t>
      </w:r>
      <w:r w:rsidR="00A80193">
        <w:rPr>
          <w:szCs w:val="16"/>
        </w:rPr>
        <w:t xml:space="preserve"> security</w:t>
      </w:r>
      <w:r w:rsidR="00A8783B">
        <w:rPr>
          <w:szCs w:val="16"/>
        </w:rPr>
        <w:t xml:space="preserve"> policy</w:t>
      </w:r>
      <w:r w:rsidR="000C10AE">
        <w:rPr>
          <w:szCs w:val="16"/>
        </w:rPr>
        <w:t xml:space="preserve"> </w:t>
      </w:r>
      <w:r w:rsidR="000C10AE">
        <w:rPr>
          <w:szCs w:val="16"/>
        </w:rPr>
        <w:fldChar w:fldCharType="begin" w:fldLock="1"/>
      </w:r>
      <w:r w:rsidR="003B3084">
        <w:rPr>
          <w:szCs w:val="16"/>
        </w:rPr>
        <w:instrText>ADDIN CSL_CITATION {"citationItems":[{"id":"ITEM-1","itemData":{"DOI":"10.1016/j.cose.2015.10.006","ISSN":"01674048","abstract":"The Internet and information technology have influenced human life significantly. However, information security is still an important concern for both users and organizations. Technology cannot solely guarantee a secure environment for information; the human aspects of information security should be taken into consideration, besides the technological aspects. The lack of information security awareness, ignorance, negligence, apathy, mischief, and resistance are the root of users' mistakes. In this research, a novel model shows how complying with organizational information security policies shapes and mitigates the risk of employees' behaviour. The significant aspect of this research is derived from the conceptualization of different aspects of involvement, such as information security knowledge sharing, collaboration, intervention and experience, as well as attachment, commitment, and personal norms that are important elements in the Social Bond Theory. The results of the data analysis revealed that information security knowledge sharing, collaboration, intervention and experience all have a significant effect on employees' attitude towards compliance with organizational information security policies. However, attachment does not have a significant effect on employees' attitude towards information security policy compliance. In addition, the findings have shown that commitment and personal norms affect employees' attitude. Attitude towards compliance with information security organizational policies also has a significant effect on the behavioural intention regarding information security compliance.","author":[{"dropping-particle":"","family":"Sohrabi Safa","given":"Nader","non-dropping-particle":"","parse-names":false,"suffix":""},{"dropping-particle":"","family":"Solms","given":"Rossouw","non-dropping-particle":"Von","parse-names":false,"suffix":""},{"dropping-particle":"","family":"Furnell","given":"Steven","non-dropping-particle":"","parse-names":false,"suffix":""}],"container-title":"Computers and Security","id":"ITEM-1","issued":{"date-parts":[["2016"]]},"title":"Information security policy compliance model in organizations","type":"article-journal"},"uris":["http://www.mendeley.com/documents/?uuid=3d6a57a6-74e6-4c0b-a56d-593497fd38a8"]}],"mendeley":{"formattedCitation":"[41]","plainTextFormattedCitation":"[41]","previouslyFormattedCitation":"[41]"},"properties":{"noteIndex":0},"schema":"https://github.com/citation-style-language/schema/raw/master/csl-citation.json"}</w:instrText>
      </w:r>
      <w:r w:rsidR="000C10AE">
        <w:rPr>
          <w:szCs w:val="16"/>
        </w:rPr>
        <w:fldChar w:fldCharType="separate"/>
      </w:r>
      <w:r w:rsidR="00E01F0D" w:rsidRPr="00E01F0D">
        <w:rPr>
          <w:noProof/>
          <w:szCs w:val="16"/>
        </w:rPr>
        <w:t>[41]</w:t>
      </w:r>
      <w:r w:rsidR="000C10AE">
        <w:rPr>
          <w:szCs w:val="16"/>
        </w:rPr>
        <w:fldChar w:fldCharType="end"/>
      </w:r>
      <w:r w:rsidR="00A80193">
        <w:rPr>
          <w:szCs w:val="16"/>
        </w:rPr>
        <w:t>, redesign</w:t>
      </w:r>
      <w:r w:rsidR="00DA7443">
        <w:rPr>
          <w:szCs w:val="16"/>
        </w:rPr>
        <w:t>ing</w:t>
      </w:r>
      <w:r w:rsidR="00A80193">
        <w:rPr>
          <w:szCs w:val="16"/>
        </w:rPr>
        <w:t xml:space="preserve"> </w:t>
      </w:r>
      <w:r w:rsidR="0096234B">
        <w:rPr>
          <w:szCs w:val="16"/>
        </w:rPr>
        <w:t xml:space="preserve">the </w:t>
      </w:r>
      <w:r w:rsidR="001C2A58">
        <w:rPr>
          <w:szCs w:val="16"/>
        </w:rPr>
        <w:t>network</w:t>
      </w:r>
      <w:r w:rsidR="00A80193">
        <w:rPr>
          <w:szCs w:val="16"/>
        </w:rPr>
        <w:t>, implement</w:t>
      </w:r>
      <w:r w:rsidR="00DA7443">
        <w:rPr>
          <w:szCs w:val="16"/>
        </w:rPr>
        <w:t>ing the</w:t>
      </w:r>
      <w:r w:rsidR="00A80193">
        <w:rPr>
          <w:szCs w:val="16"/>
        </w:rPr>
        <w:t xml:space="preserve"> changes and then</w:t>
      </w:r>
      <w:r w:rsidR="00B54731">
        <w:rPr>
          <w:szCs w:val="16"/>
        </w:rPr>
        <w:t xml:space="preserve"> test</w:t>
      </w:r>
      <w:r w:rsidR="00DA7443">
        <w:rPr>
          <w:szCs w:val="16"/>
        </w:rPr>
        <w:t>ing</w:t>
      </w:r>
      <w:r w:rsidR="00B54731">
        <w:rPr>
          <w:szCs w:val="16"/>
        </w:rPr>
        <w:t xml:space="preserve"> the implementation</w:t>
      </w:r>
      <w:r w:rsidR="00A80193">
        <w:rPr>
          <w:szCs w:val="16"/>
        </w:rPr>
        <w:t>s</w:t>
      </w:r>
      <w:r w:rsidR="00B54731">
        <w:rPr>
          <w:szCs w:val="16"/>
        </w:rPr>
        <w:t xml:space="preserve"> </w:t>
      </w:r>
      <w:r w:rsidR="0096234B">
        <w:rPr>
          <w:szCs w:val="16"/>
        </w:rPr>
        <w:t>using</w:t>
      </w:r>
      <w:r w:rsidR="00A80193">
        <w:rPr>
          <w:szCs w:val="16"/>
        </w:rPr>
        <w:t xml:space="preserve"> network modelling software</w:t>
      </w:r>
      <w:r w:rsidR="0096234B">
        <w:rPr>
          <w:szCs w:val="16"/>
        </w:rPr>
        <w:t xml:space="preserve"> such as Cisco Packet Tracer (PT)</w:t>
      </w:r>
      <w:r w:rsidR="00DA7443">
        <w:rPr>
          <w:szCs w:val="16"/>
        </w:rPr>
        <w:t xml:space="preserve"> </w:t>
      </w:r>
      <w:r w:rsidR="000C10AE">
        <w:rPr>
          <w:szCs w:val="16"/>
        </w:rPr>
        <w:fldChar w:fldCharType="begin" w:fldLock="1"/>
      </w:r>
      <w:r w:rsidR="003B3084">
        <w:rPr>
          <w:szCs w:val="16"/>
        </w:rPr>
        <w:instrText>ADDIN CSL_CITATION {"citationItems":[{"id":"ITEM-1","itemData":{"author":[{"dropping-particle":"","family":"Cisco","given":"","non-dropping-particle":"","parse-names":false,"suffix":""}],"id":"ITEM-1","issued":{"date-parts":[["0"]]},"title":"Packet Tracer - Network Simulator","type":"article"},"uris":["http://www.mendeley.com/documents/?uuid=8fe7ffc0-7cb8-42c1-b080-a6765f308ee5"]}],"mendeley":{"formattedCitation":"[42]","plainTextFormattedCitation":"[42]","previouslyFormattedCitation":"[42]"},"properties":{"noteIndex":0},"schema":"https://github.com/citation-style-language/schema/raw/master/csl-citation.json"}</w:instrText>
      </w:r>
      <w:r w:rsidR="000C10AE">
        <w:rPr>
          <w:szCs w:val="16"/>
        </w:rPr>
        <w:fldChar w:fldCharType="separate"/>
      </w:r>
      <w:r w:rsidR="00E01F0D" w:rsidRPr="00E01F0D">
        <w:rPr>
          <w:noProof/>
          <w:szCs w:val="16"/>
        </w:rPr>
        <w:t>[42]</w:t>
      </w:r>
      <w:r w:rsidR="000C10AE">
        <w:rPr>
          <w:szCs w:val="16"/>
        </w:rPr>
        <w:fldChar w:fldCharType="end"/>
      </w:r>
      <w:r w:rsidR="000C10AE">
        <w:rPr>
          <w:szCs w:val="16"/>
        </w:rPr>
        <w:t xml:space="preserve"> </w:t>
      </w:r>
      <w:r w:rsidR="00DA7443">
        <w:rPr>
          <w:szCs w:val="16"/>
        </w:rPr>
        <w:t>before implementing the changes within the live network</w:t>
      </w:r>
      <w:r w:rsidR="0096234B">
        <w:rPr>
          <w:szCs w:val="16"/>
        </w:rPr>
        <w:t xml:space="preserve">. </w:t>
      </w:r>
    </w:p>
    <w:p w14:paraId="0353FDFE" w14:textId="3167A230" w:rsidR="0096234B" w:rsidRDefault="0096234B" w:rsidP="008100D0">
      <w:pPr>
        <w:spacing w:after="80"/>
        <w:jc w:val="both"/>
        <w:rPr>
          <w:szCs w:val="16"/>
        </w:rPr>
      </w:pPr>
      <w:r>
        <w:rPr>
          <w:szCs w:val="16"/>
        </w:rPr>
        <w:t xml:space="preserve">The ISMS should </w:t>
      </w:r>
      <w:r w:rsidR="00B54731">
        <w:rPr>
          <w:szCs w:val="16"/>
        </w:rPr>
        <w:t xml:space="preserve"> </w:t>
      </w:r>
      <w:r>
        <w:rPr>
          <w:szCs w:val="16"/>
        </w:rPr>
        <w:t xml:space="preserve">be designed so that the </w:t>
      </w:r>
      <w:r w:rsidR="00B54731">
        <w:rPr>
          <w:szCs w:val="16"/>
        </w:rPr>
        <w:t xml:space="preserve">company can be </w:t>
      </w:r>
      <w:r>
        <w:rPr>
          <w:szCs w:val="16"/>
        </w:rPr>
        <w:t xml:space="preserve">secured using industry best practices within data security to harden the security for such a BYOD scheme within their network and also </w:t>
      </w:r>
      <w:r w:rsidR="00B54731">
        <w:rPr>
          <w:szCs w:val="16"/>
        </w:rPr>
        <w:t xml:space="preserve"> </w:t>
      </w:r>
      <w:r>
        <w:rPr>
          <w:szCs w:val="16"/>
        </w:rPr>
        <w:t>become certified by</w:t>
      </w:r>
      <w:r w:rsidR="00B54731">
        <w:rPr>
          <w:szCs w:val="16"/>
        </w:rPr>
        <w:t xml:space="preserve"> an industry leading ISMS organization</w:t>
      </w:r>
      <w:r>
        <w:rPr>
          <w:szCs w:val="16"/>
        </w:rPr>
        <w:t>,</w:t>
      </w:r>
      <w:r w:rsidR="00B54731">
        <w:rPr>
          <w:szCs w:val="16"/>
        </w:rPr>
        <w:t xml:space="preserve"> </w:t>
      </w:r>
      <w:r w:rsidR="00AD6605">
        <w:rPr>
          <w:szCs w:val="16"/>
        </w:rPr>
        <w:t xml:space="preserve">along with </w:t>
      </w:r>
      <w:r w:rsidR="00B54731">
        <w:rPr>
          <w:szCs w:val="16"/>
        </w:rPr>
        <w:t>gain</w:t>
      </w:r>
      <w:r w:rsidR="00AD6605">
        <w:rPr>
          <w:szCs w:val="16"/>
        </w:rPr>
        <w:t>ing</w:t>
      </w:r>
      <w:r w:rsidR="00B54731">
        <w:rPr>
          <w:szCs w:val="16"/>
        </w:rPr>
        <w:t xml:space="preserve"> cybersecurity insurance</w:t>
      </w:r>
      <w:r w:rsidR="000C10AE">
        <w:rPr>
          <w:szCs w:val="16"/>
        </w:rPr>
        <w:t xml:space="preserve"> </w:t>
      </w:r>
      <w:r w:rsidR="000C10AE">
        <w:rPr>
          <w:szCs w:val="16"/>
        </w:rPr>
        <w:fldChar w:fldCharType="begin" w:fldLock="1"/>
      </w:r>
      <w:r w:rsidR="003B3084">
        <w:rPr>
          <w:szCs w:val="16"/>
        </w:rPr>
        <w:instrText>ADDIN CSL_CITATION {"citationItems":[{"id":"ITEM-1","itemData":{"DOI":"10.1145/2425248.2425271","ISSN":"01635999","abstract":"A recent conjecture in cyber-insurance research states that for compulsory monopolistic insurance scenarios, charging fines and rebates on fair premiums will incentivize network users to invest in self-defense investments, thereby making cyber-space more robust. Assuming the validity of the conjecture in this paper, we adopt a topological perspective in proposing a mechanism that accounts for (i) the positive externalities posed (through self-defense investments) by network users on their peers, and (ii) network location (based on centrality measures) of users, and provides an appropriate way to proportionally allocate fines/rebates on user premiums. We mathematically justify (via a game-theoretic analysis) that optimal fine/rebates per user should be allocated in proportion to the Bonacich or eigenvector centrality value of the user. Copyright is held by author/owner(s).","author":[{"dropping-particle":"","family":"Pal","given":"Ranjan","non-dropping-particle":"","parse-names":false,"suffix":""},{"dropping-particle":"","family":"Hui","given":"Pan","non-dropping-particle":"","parse-names":false,"suffix":""}],"container-title":"Performance Evaluation Review","id":"ITEM-1","issued":{"date-parts":[["2012"]]},"title":"Cyber-insurance for cybersecurity a topological take on modulating insurance premiums","type":"article-journal"},"uris":["http://www.mendeley.com/documents/?uuid=12f7ae49-deb7-436d-97be-dc0cb583678d"]},{"id":"ITEM-2","itemData":{"DOI":"10.1016/j.bushor.2012.02.004","ISSN":"00076813","abstract":"Firms have increasingly been turning to cyber risk insurance in order to better manage cyber threats and any resulting legal liability from data breaches. But how useful is this tactic? Herein, I analyze the impact of cyber attacks on firms, some of the applicable U.S. law shaping private sector responses to data breaches, and the extent to which cyber risk insurance helps mitigate the cyber threat. Ultimately, I argue that firms must take a proactive stance toward managing cyber attacks-not only for their wellbeing, but also to enhance overall cybersecurity and help secure critical national infrastructure. © 2012 Kelley School of Business, Indiana University.","author":[{"dropping-particle":"","family":"Shackelford","given":"Scott J.","non-dropping-particle":"","parse-names":false,"suffix":""}],"container-title":"Business Horizons","id":"ITEM-2","issued":{"date-parts":[["2012"]]},"title":"Should your firm invest in cyber risk insurance?","type":"article-journal"},"uris":["http://www.mendeley.com/documents/?uuid=f920b8e1-46a8-49d7-84f7-39ea57106092"]}],"mendeley":{"formattedCitation":"[43], [44]","plainTextFormattedCitation":"[43], [44]","previouslyFormattedCitation":"[43], [44]"},"properties":{"noteIndex":0},"schema":"https://github.com/citation-style-language/schema/raw/master/csl-citation.json"}</w:instrText>
      </w:r>
      <w:r w:rsidR="000C10AE">
        <w:rPr>
          <w:szCs w:val="16"/>
        </w:rPr>
        <w:fldChar w:fldCharType="separate"/>
      </w:r>
      <w:r w:rsidR="00E01F0D" w:rsidRPr="00E01F0D">
        <w:rPr>
          <w:noProof/>
          <w:szCs w:val="16"/>
        </w:rPr>
        <w:t>[43], [44]</w:t>
      </w:r>
      <w:r w:rsidR="000C10AE">
        <w:rPr>
          <w:szCs w:val="16"/>
        </w:rPr>
        <w:fldChar w:fldCharType="end"/>
      </w:r>
      <w:r w:rsidR="00B54731">
        <w:rPr>
          <w:szCs w:val="16"/>
        </w:rPr>
        <w:t xml:space="preserve"> to protect against a potential breach of company data</w:t>
      </w:r>
      <w:r w:rsidR="00A8783B">
        <w:rPr>
          <w:szCs w:val="16"/>
        </w:rPr>
        <w:t xml:space="preserve"> before </w:t>
      </w:r>
      <w:r>
        <w:rPr>
          <w:szCs w:val="16"/>
        </w:rPr>
        <w:t xml:space="preserve">the </w:t>
      </w:r>
      <w:r w:rsidR="00AD6605">
        <w:rPr>
          <w:szCs w:val="16"/>
        </w:rPr>
        <w:t xml:space="preserve">BYOD </w:t>
      </w:r>
      <w:r>
        <w:rPr>
          <w:szCs w:val="16"/>
        </w:rPr>
        <w:t>schem</w:t>
      </w:r>
      <w:r w:rsidR="00AD6605">
        <w:rPr>
          <w:szCs w:val="16"/>
        </w:rPr>
        <w:t>e</w:t>
      </w:r>
      <w:r w:rsidR="00A8783B">
        <w:rPr>
          <w:szCs w:val="16"/>
        </w:rPr>
        <w:t xml:space="preserve"> is rolled out across the company.</w:t>
      </w:r>
      <w:r w:rsidR="001C2A58">
        <w:rPr>
          <w:szCs w:val="16"/>
        </w:rPr>
        <w:t xml:space="preserve"> The company has a budget </w:t>
      </w:r>
      <w:r w:rsidR="00B11902">
        <w:rPr>
          <w:szCs w:val="16"/>
        </w:rPr>
        <w:t xml:space="preserve">of </w:t>
      </w:r>
      <w:r w:rsidR="00444349">
        <w:rPr>
          <w:szCs w:val="16"/>
        </w:rPr>
        <w:t>£40</w:t>
      </w:r>
      <w:r w:rsidR="00B11902">
        <w:rPr>
          <w:szCs w:val="16"/>
        </w:rPr>
        <w:t>,000 for</w:t>
      </w:r>
      <w:r w:rsidR="00444349">
        <w:rPr>
          <w:szCs w:val="16"/>
        </w:rPr>
        <w:t xml:space="preserve"> BYOD data security project.</w:t>
      </w:r>
    </w:p>
    <w:p w14:paraId="54C300A8" w14:textId="385D852D" w:rsidR="00001F57" w:rsidRPr="008E0180" w:rsidRDefault="00DB4042" w:rsidP="008E0180">
      <w:pPr>
        <w:pStyle w:val="ListParagraph"/>
        <w:numPr>
          <w:ilvl w:val="0"/>
          <w:numId w:val="17"/>
        </w:numPr>
        <w:spacing w:after="80"/>
        <w:rPr>
          <w:szCs w:val="16"/>
        </w:rPr>
      </w:pPr>
      <w:r w:rsidRPr="008E0180">
        <w:rPr>
          <w:szCs w:val="16"/>
        </w:rPr>
        <w:t xml:space="preserve">ISMS Implementation </w:t>
      </w:r>
      <w:r w:rsidR="00D56211" w:rsidRPr="008E0180">
        <w:rPr>
          <w:szCs w:val="16"/>
        </w:rPr>
        <w:t>Architecture</w:t>
      </w:r>
    </w:p>
    <w:p w14:paraId="156BF4BA" w14:textId="4DFD04B8" w:rsidR="008D186E" w:rsidRDefault="00FF347D" w:rsidP="00DB4042">
      <w:pPr>
        <w:spacing w:after="80"/>
        <w:jc w:val="both"/>
        <w:rPr>
          <w:szCs w:val="16"/>
        </w:rPr>
      </w:pPr>
      <w:r>
        <w:rPr>
          <w:szCs w:val="16"/>
        </w:rPr>
        <w:t xml:space="preserve">After </w:t>
      </w:r>
      <w:r w:rsidR="00E441F4">
        <w:rPr>
          <w:szCs w:val="16"/>
        </w:rPr>
        <w:t xml:space="preserve">analysing the companies </w:t>
      </w:r>
      <w:r w:rsidR="00BA12C2">
        <w:rPr>
          <w:szCs w:val="16"/>
        </w:rPr>
        <w:t xml:space="preserve">internal </w:t>
      </w:r>
      <w:r w:rsidR="00C12DF3">
        <w:rPr>
          <w:szCs w:val="16"/>
        </w:rPr>
        <w:t>network</w:t>
      </w:r>
      <w:r w:rsidR="00BA12C2">
        <w:rPr>
          <w:szCs w:val="16"/>
        </w:rPr>
        <w:t xml:space="preserve">, </w:t>
      </w:r>
      <w:r w:rsidR="00E441F4">
        <w:rPr>
          <w:szCs w:val="16"/>
        </w:rPr>
        <w:t xml:space="preserve">cloud architecture </w:t>
      </w:r>
      <w:r w:rsidR="007C423E">
        <w:rPr>
          <w:szCs w:val="16"/>
        </w:rPr>
        <w:fldChar w:fldCharType="begin" w:fldLock="1"/>
      </w:r>
      <w:r w:rsidR="003B3084">
        <w:rPr>
          <w:szCs w:val="16"/>
        </w:rPr>
        <w:instrText>ADDIN CSL_CITATION {"citationItems":[{"id":"ITEM-1","itemData":{"DOI":"10.1109/ICCEET.2012.6203873","ISBN":"9781467302111","abstract":"With the advent internet in the 1990s to the present day facilities of ubiquitous computing, the internet has changed the computing world in a drastic way. It has traveled from the concept of parallel computing to distributed computing to grid computing and recently to cloud computing. Although the idea of cloud computing has been around for quite some time, it is an emerging field of computer science. Cloud computing can be defined as a computing environment where computing needs by one party can be outsourced to another party and when need be arise to use the computing power or resources like database or emails, they can access them via internet. Cloud computing is a recent trend in IT that moves computing and data away from desktop and portable PCs into large data centers. The main advantage of cloud computing is that customers do not have to pay for infrastructure, its installation, required man power to handle such infrastructure and maintenance. In this paper we will discuss what makes all this possible, what is the architectural design of cloud computing and its applications. © 2012 IEEE.","author":[{"dropping-particle":"","family":"Jadeja","given":"Yashpalsinh","non-dropping-particle":"","parse-names":false,"suffix":""},{"dropping-particle":"","family":"Modi","given":"Kirit","non-dropping-particle":"","parse-names":false,"suffix":""}],"container-title":"2012 International Conference on Computing, Electronics and Electrical Technologies, ICCEET 2012","id":"ITEM-1","issued":{"date-parts":[["2012"]]},"title":"Cloud computing - Concepts, architecture and challenges","type":"paper-conference"},"uris":["http://www.mendeley.com/documents/?uuid=9fc8decb-85e7-4385-a663-4d156fbf6dd9"]}],"mendeley":{"formattedCitation":"[45]","plainTextFormattedCitation":"[45]","previouslyFormattedCitation":"[45]"},"properties":{"noteIndex":0},"schema":"https://github.com/citation-style-language/schema/raw/master/csl-citation.json"}</w:instrText>
      </w:r>
      <w:r w:rsidR="007C423E">
        <w:rPr>
          <w:szCs w:val="16"/>
        </w:rPr>
        <w:fldChar w:fldCharType="separate"/>
      </w:r>
      <w:r w:rsidR="00E01F0D" w:rsidRPr="00E01F0D">
        <w:rPr>
          <w:noProof/>
          <w:szCs w:val="16"/>
        </w:rPr>
        <w:t>[45]</w:t>
      </w:r>
      <w:r w:rsidR="007C423E">
        <w:rPr>
          <w:szCs w:val="16"/>
        </w:rPr>
        <w:fldChar w:fldCharType="end"/>
      </w:r>
      <w:r w:rsidR="007C423E">
        <w:rPr>
          <w:szCs w:val="16"/>
        </w:rPr>
        <w:t xml:space="preserve"> </w:t>
      </w:r>
      <w:r w:rsidR="00C12DF3">
        <w:rPr>
          <w:szCs w:val="16"/>
        </w:rPr>
        <w:t xml:space="preserve">and </w:t>
      </w:r>
      <w:r w:rsidR="00E441F4">
        <w:rPr>
          <w:szCs w:val="16"/>
        </w:rPr>
        <w:t>business model outlined above</w:t>
      </w:r>
      <w:r w:rsidR="00C12DF3">
        <w:rPr>
          <w:szCs w:val="16"/>
        </w:rPr>
        <w:t xml:space="preserve">, </w:t>
      </w:r>
      <w:r w:rsidR="00E441F4">
        <w:rPr>
          <w:szCs w:val="16"/>
        </w:rPr>
        <w:t>it has been decided</w:t>
      </w:r>
      <w:r w:rsidR="00394FE7">
        <w:rPr>
          <w:szCs w:val="16"/>
        </w:rPr>
        <w:t xml:space="preserve"> that from the knowledge gained within the </w:t>
      </w:r>
      <w:r w:rsidR="008D186E">
        <w:rPr>
          <w:i/>
          <w:iCs/>
          <w:szCs w:val="16"/>
        </w:rPr>
        <w:t>Appendix- A</w:t>
      </w:r>
      <w:r w:rsidR="004D2761">
        <w:rPr>
          <w:i/>
          <w:iCs/>
          <w:szCs w:val="16"/>
        </w:rPr>
        <w:t>;</w:t>
      </w:r>
      <w:r w:rsidR="00F90D33">
        <w:rPr>
          <w:i/>
          <w:iCs/>
          <w:szCs w:val="16"/>
        </w:rPr>
        <w:t xml:space="preserve"> </w:t>
      </w:r>
      <w:r w:rsidR="00394FE7" w:rsidRPr="00394FE7">
        <w:rPr>
          <w:i/>
          <w:iCs/>
          <w:szCs w:val="16"/>
        </w:rPr>
        <w:t xml:space="preserve">Data </w:t>
      </w:r>
      <w:r w:rsidR="00F90D33" w:rsidRPr="00394FE7">
        <w:rPr>
          <w:i/>
          <w:iCs/>
          <w:szCs w:val="16"/>
        </w:rPr>
        <w:t>Security</w:t>
      </w:r>
      <w:r w:rsidR="00394FE7" w:rsidRPr="00394FE7">
        <w:rPr>
          <w:i/>
          <w:iCs/>
          <w:szCs w:val="16"/>
        </w:rPr>
        <w:t xml:space="preserve"> Frameworks and Models</w:t>
      </w:r>
      <w:r w:rsidR="00394FE7">
        <w:rPr>
          <w:szCs w:val="16"/>
        </w:rPr>
        <w:t xml:space="preserve"> </w:t>
      </w:r>
      <w:r w:rsidR="008D186E" w:rsidRPr="008D186E">
        <w:rPr>
          <w:i/>
          <w:iCs/>
          <w:szCs w:val="16"/>
        </w:rPr>
        <w:t>Research</w:t>
      </w:r>
      <w:r w:rsidR="008D186E">
        <w:rPr>
          <w:szCs w:val="16"/>
        </w:rPr>
        <w:t xml:space="preserve"> </w:t>
      </w:r>
      <w:r w:rsidR="00394FE7">
        <w:rPr>
          <w:szCs w:val="16"/>
        </w:rPr>
        <w:t xml:space="preserve">section of this paper, </w:t>
      </w:r>
      <w:r w:rsidR="00E441F4">
        <w:rPr>
          <w:szCs w:val="16"/>
        </w:rPr>
        <w:t xml:space="preserve">the most cost effective and secure </w:t>
      </w:r>
      <w:r w:rsidR="00F90D33">
        <w:rPr>
          <w:szCs w:val="16"/>
        </w:rPr>
        <w:t xml:space="preserve">ISMS </w:t>
      </w:r>
      <w:r w:rsidR="00E441F4">
        <w:rPr>
          <w:szCs w:val="16"/>
        </w:rPr>
        <w:t xml:space="preserve">solution to implement </w:t>
      </w:r>
      <w:r w:rsidR="00F90D33">
        <w:rPr>
          <w:szCs w:val="16"/>
        </w:rPr>
        <w:t>within</w:t>
      </w:r>
      <w:r w:rsidR="00E441F4">
        <w:rPr>
          <w:szCs w:val="16"/>
        </w:rPr>
        <w:t xml:space="preserve"> ‘Caribbean Coffee Ltd’ </w:t>
      </w:r>
      <w:r w:rsidR="002E7F21">
        <w:rPr>
          <w:szCs w:val="16"/>
        </w:rPr>
        <w:t>will</w:t>
      </w:r>
      <w:r w:rsidR="00E441F4">
        <w:rPr>
          <w:szCs w:val="16"/>
        </w:rPr>
        <w:t xml:space="preserve"> be a hybrid of the ITIL </w:t>
      </w:r>
      <w:r w:rsidR="00F90D33">
        <w:rPr>
          <w:szCs w:val="16"/>
        </w:rPr>
        <w:t>framework</w:t>
      </w:r>
      <w:r w:rsidR="00484134">
        <w:rPr>
          <w:szCs w:val="16"/>
        </w:rPr>
        <w:t xml:space="preserve"> with integration of</w:t>
      </w:r>
      <w:r w:rsidR="002E7F21">
        <w:rPr>
          <w:szCs w:val="16"/>
        </w:rPr>
        <w:t xml:space="preserve"> </w:t>
      </w:r>
      <w:r w:rsidR="00E441F4">
        <w:rPr>
          <w:szCs w:val="16"/>
        </w:rPr>
        <w:t>the ISO 27017-27018</w:t>
      </w:r>
      <w:r w:rsidR="00AE7864">
        <w:rPr>
          <w:szCs w:val="16"/>
        </w:rPr>
        <w:t xml:space="preserve"> </w:t>
      </w:r>
      <w:r w:rsidR="00AE7864">
        <w:rPr>
          <w:szCs w:val="16"/>
        </w:rPr>
        <w:fldChar w:fldCharType="begin" w:fldLock="1"/>
      </w:r>
      <w:r w:rsidR="003B3084">
        <w:rPr>
          <w:szCs w:val="16"/>
        </w:rPr>
        <w:instrText>ADDIN CSL_CITATION {"citationItems":[{"id":"ITEM-1","itemData":{"URL":"https://www.iso.org/standard/43757.html","accessed":{"date-parts":[["2020","1","29"]]},"author":[{"dropping-particle":"","family":"ISO.org","given":"","non-dropping-particle":"","parse-names":false,"suffix":""}],"id":"ITEM-1","issued":{"date-parts":[["2019"]]},"page":"1-1","title":"ISO - ISO/IEC 27017:2015 - Information technology — Security techniques — Code of practice for information security controls based on ISO/IEC 27002 for cloud services","type":"webpage"},"uris":["http://www.mendeley.com/documents/?uuid=91d808e4-ab3b-38f7-91dd-1e7a331710aa"]},{"id":"ITEM-2","itemData":{"URL":"https://www.bsigroup.com/en-GB/Security-controls-for-cloud-services-ISO-IEC27017/","abstract":"BSI 270","accessed":{"date-parts":[["2020","1","29"]]},"author":[{"dropping-particle":"","family":"BSI-Group","given":"","non-dropping-particle":"","parse-names":false,"suffix":""}],"id":"ITEM-2","issued":{"date-parts":[["2019"]]},"page":"1-1","title":"Security controls for cloud services ISO/IEC 27017 | BSI","type":"webpage"},"uris":["http://www.mendeley.com/documents/?uuid=054ae2c8-7b57-36c3-9881-399ea3a883a4"]}],"mendeley":{"formattedCitation":"[46], [47]","plainTextFormattedCitation":"[46], [47]","previouslyFormattedCitation":"[46], [47]"},"properties":{"noteIndex":0},"schema":"https://github.com/citation-style-language/schema/raw/master/csl-citation.json"}</w:instrText>
      </w:r>
      <w:r w:rsidR="00AE7864">
        <w:rPr>
          <w:szCs w:val="16"/>
        </w:rPr>
        <w:fldChar w:fldCharType="separate"/>
      </w:r>
      <w:r w:rsidR="00E01F0D" w:rsidRPr="00E01F0D">
        <w:rPr>
          <w:noProof/>
          <w:szCs w:val="16"/>
        </w:rPr>
        <w:t>[46], [47]</w:t>
      </w:r>
      <w:r w:rsidR="00AE7864">
        <w:rPr>
          <w:szCs w:val="16"/>
        </w:rPr>
        <w:fldChar w:fldCharType="end"/>
      </w:r>
      <w:r w:rsidR="00E441F4">
        <w:rPr>
          <w:szCs w:val="16"/>
        </w:rPr>
        <w:t xml:space="preserve"> specialist cloud services </w:t>
      </w:r>
      <w:r w:rsidR="002E7F21">
        <w:rPr>
          <w:szCs w:val="16"/>
        </w:rPr>
        <w:t>standard</w:t>
      </w:r>
      <w:r w:rsidR="009E6ACF">
        <w:rPr>
          <w:szCs w:val="16"/>
        </w:rPr>
        <w:t>,</w:t>
      </w:r>
      <w:r w:rsidR="002E7F21">
        <w:rPr>
          <w:szCs w:val="16"/>
        </w:rPr>
        <w:t xml:space="preserve"> </w:t>
      </w:r>
      <w:r w:rsidR="00A22242">
        <w:rPr>
          <w:szCs w:val="16"/>
        </w:rPr>
        <w:t>along with the</w:t>
      </w:r>
      <w:r w:rsidR="002E7F21">
        <w:rPr>
          <w:szCs w:val="16"/>
        </w:rPr>
        <w:t xml:space="preserve"> </w:t>
      </w:r>
      <w:r w:rsidR="00E441F4">
        <w:rPr>
          <w:szCs w:val="16"/>
        </w:rPr>
        <w:t xml:space="preserve"> </w:t>
      </w:r>
      <w:r w:rsidR="002E7F21" w:rsidRPr="00AE7864">
        <w:rPr>
          <w:szCs w:val="16"/>
        </w:rPr>
        <w:t xml:space="preserve">ISO 27701 – </w:t>
      </w:r>
      <w:r w:rsidR="002E7F21" w:rsidRPr="00AE7864">
        <w:rPr>
          <w:i/>
          <w:iCs/>
          <w:szCs w:val="16"/>
        </w:rPr>
        <w:t>Privacy Information Management</w:t>
      </w:r>
      <w:r w:rsidR="002E7F21" w:rsidRPr="00AE7864">
        <w:rPr>
          <w:szCs w:val="16"/>
        </w:rPr>
        <w:t xml:space="preserve"> </w:t>
      </w:r>
      <w:r w:rsidR="004434BE" w:rsidRPr="00AE7864">
        <w:rPr>
          <w:szCs w:val="16"/>
        </w:rPr>
        <w:t>specific</w:t>
      </w:r>
      <w:r w:rsidR="00AE7864">
        <w:rPr>
          <w:szCs w:val="16"/>
        </w:rPr>
        <w:t xml:space="preserve"> </w:t>
      </w:r>
      <w:r w:rsidR="00AE7864">
        <w:rPr>
          <w:szCs w:val="16"/>
        </w:rPr>
        <w:fldChar w:fldCharType="begin" w:fldLock="1"/>
      </w:r>
      <w:r w:rsidR="003B3084">
        <w:rPr>
          <w:szCs w:val="16"/>
        </w:rPr>
        <w:instrText>ADDIN CSL_CITATION {"citationItems":[{"id":"ITEM-1","itemData":{"URL":"https://www.iso.org/obp/ui/#iso:std:iso-iec:27701:ed-1:v1:en","abstract":"ISO GDPR","accessed":{"date-parts":[["2020","1","29"]]},"author":[{"dropping-particle":"","family":"ISO","given":"","non-dropping-particle":"","parse-names":false,"suffix":""}],"id":"ITEM-1","issued":{"date-parts":[["2019"]]},"page":"1-1","title":"ISO/IEC 27701:2019(en), Security techniques — Extension to ISO/IEC 27001 and ISO/IEC 27002 for privacy information management — Requirements and guidelines","type":"webpage"},"uris":["http://www.mendeley.com/documents/?uuid=6b1d6ed6-6691-3bb6-b166-8c74e01798d1"]}],"mendeley":{"formattedCitation":"[48]","plainTextFormattedCitation":"[48]","previouslyFormattedCitation":"[48]"},"properties":{"noteIndex":0},"schema":"https://github.com/citation-style-language/schema/raw/master/csl-citation.json"}</w:instrText>
      </w:r>
      <w:r w:rsidR="00AE7864">
        <w:rPr>
          <w:szCs w:val="16"/>
        </w:rPr>
        <w:fldChar w:fldCharType="separate"/>
      </w:r>
      <w:r w:rsidR="00E01F0D" w:rsidRPr="00E01F0D">
        <w:rPr>
          <w:noProof/>
          <w:szCs w:val="16"/>
        </w:rPr>
        <w:t>[48]</w:t>
      </w:r>
      <w:r w:rsidR="00AE7864">
        <w:rPr>
          <w:szCs w:val="16"/>
        </w:rPr>
        <w:fldChar w:fldCharType="end"/>
      </w:r>
      <w:r w:rsidR="004434BE">
        <w:rPr>
          <w:szCs w:val="16"/>
        </w:rPr>
        <w:t xml:space="preserve"> </w:t>
      </w:r>
      <w:r w:rsidR="002E7F21" w:rsidRPr="002E7F21">
        <w:rPr>
          <w:szCs w:val="16"/>
        </w:rPr>
        <w:t xml:space="preserve">standard </w:t>
      </w:r>
      <w:r w:rsidR="002E7F21">
        <w:rPr>
          <w:szCs w:val="16"/>
        </w:rPr>
        <w:t xml:space="preserve">because of the </w:t>
      </w:r>
      <w:r w:rsidR="008D186E">
        <w:rPr>
          <w:szCs w:val="16"/>
        </w:rPr>
        <w:t>large</w:t>
      </w:r>
      <w:r w:rsidR="002E7F21">
        <w:rPr>
          <w:szCs w:val="16"/>
        </w:rPr>
        <w:t xml:space="preserve"> amount of </w:t>
      </w:r>
      <w:r w:rsidR="008D186E">
        <w:rPr>
          <w:szCs w:val="16"/>
        </w:rPr>
        <w:t>customer/</w:t>
      </w:r>
      <w:r w:rsidR="002E7F21">
        <w:rPr>
          <w:szCs w:val="16"/>
        </w:rPr>
        <w:t xml:space="preserve">client data that is stored from Europe that is </w:t>
      </w:r>
      <w:r w:rsidR="00BA12C2">
        <w:rPr>
          <w:szCs w:val="16"/>
        </w:rPr>
        <w:t>subject</w:t>
      </w:r>
      <w:r w:rsidR="00432300">
        <w:rPr>
          <w:szCs w:val="16"/>
        </w:rPr>
        <w:t xml:space="preserve"> </w:t>
      </w:r>
      <w:r w:rsidR="002E7F21">
        <w:rPr>
          <w:szCs w:val="16"/>
        </w:rPr>
        <w:t xml:space="preserve">to GDPR laws. These specialist ISO standards </w:t>
      </w:r>
      <w:r w:rsidR="00E441F4">
        <w:rPr>
          <w:szCs w:val="16"/>
        </w:rPr>
        <w:t>will fully integrate with the ITIL ISMS</w:t>
      </w:r>
      <w:r w:rsidR="00AE7864">
        <w:rPr>
          <w:szCs w:val="16"/>
        </w:rPr>
        <w:t xml:space="preserve"> framework</w:t>
      </w:r>
      <w:r w:rsidR="00E441F4">
        <w:rPr>
          <w:szCs w:val="16"/>
        </w:rPr>
        <w:t xml:space="preserve"> because </w:t>
      </w:r>
      <w:r w:rsidR="00432300">
        <w:rPr>
          <w:szCs w:val="16"/>
        </w:rPr>
        <w:t xml:space="preserve">they are </w:t>
      </w:r>
      <w:r w:rsidR="00E441F4">
        <w:rPr>
          <w:szCs w:val="16"/>
        </w:rPr>
        <w:t xml:space="preserve">heavily based on the ISO 27000 standard that the cloud security model </w:t>
      </w:r>
      <w:r w:rsidR="00432300">
        <w:rPr>
          <w:szCs w:val="16"/>
        </w:rPr>
        <w:t xml:space="preserve">and GDPR privacy model </w:t>
      </w:r>
      <w:r w:rsidR="00E441F4">
        <w:rPr>
          <w:szCs w:val="16"/>
        </w:rPr>
        <w:t xml:space="preserve">was developed to </w:t>
      </w:r>
      <w:r w:rsidR="00475E96">
        <w:rPr>
          <w:szCs w:val="16"/>
        </w:rPr>
        <w:t>be utilised</w:t>
      </w:r>
      <w:r w:rsidR="00E441F4">
        <w:rPr>
          <w:szCs w:val="16"/>
        </w:rPr>
        <w:t xml:space="preserve"> with.</w:t>
      </w:r>
      <w:r w:rsidR="00C12DF3">
        <w:rPr>
          <w:szCs w:val="16"/>
        </w:rPr>
        <w:t xml:space="preserve"> </w:t>
      </w:r>
    </w:p>
    <w:p w14:paraId="0C04BD8A" w14:textId="42CE89A9" w:rsidR="00C06084" w:rsidRDefault="00C12DF3" w:rsidP="00DB4042">
      <w:pPr>
        <w:spacing w:after="80"/>
        <w:jc w:val="both"/>
        <w:rPr>
          <w:szCs w:val="16"/>
        </w:rPr>
      </w:pPr>
      <w:r>
        <w:rPr>
          <w:szCs w:val="16"/>
        </w:rPr>
        <w:t>This</w:t>
      </w:r>
      <w:r w:rsidR="00AE7864">
        <w:rPr>
          <w:szCs w:val="16"/>
        </w:rPr>
        <w:t xml:space="preserve"> hybrid</w:t>
      </w:r>
      <w:r>
        <w:rPr>
          <w:szCs w:val="16"/>
        </w:rPr>
        <w:t xml:space="preserve"> ISMS solution is suited for a</w:t>
      </w:r>
      <w:r w:rsidR="000B1C8D">
        <w:rPr>
          <w:szCs w:val="16"/>
        </w:rPr>
        <w:t>n</w:t>
      </w:r>
      <w:r>
        <w:rPr>
          <w:szCs w:val="16"/>
        </w:rPr>
        <w:t xml:space="preserve"> SME such as ‘Caribbean Coffee Ltd’</w:t>
      </w:r>
      <w:r w:rsidR="00AE7864">
        <w:rPr>
          <w:szCs w:val="16"/>
        </w:rPr>
        <w:t xml:space="preserve"> and its business requirements in</w:t>
      </w:r>
      <w:r>
        <w:rPr>
          <w:szCs w:val="16"/>
        </w:rPr>
        <w:t xml:space="preserve"> order to </w:t>
      </w:r>
      <w:r w:rsidR="00AE7864">
        <w:rPr>
          <w:szCs w:val="16"/>
        </w:rPr>
        <w:t xml:space="preserve">secure the company from future cyber-attacks and also to  </w:t>
      </w:r>
      <w:r>
        <w:rPr>
          <w:szCs w:val="16"/>
        </w:rPr>
        <w:t xml:space="preserve">get </w:t>
      </w:r>
      <w:r w:rsidR="00AE7864">
        <w:rPr>
          <w:szCs w:val="16"/>
        </w:rPr>
        <w:t>certifies within a timely manner</w:t>
      </w:r>
      <w:r>
        <w:rPr>
          <w:szCs w:val="16"/>
        </w:rPr>
        <w:t xml:space="preserve"> </w:t>
      </w:r>
      <w:r w:rsidR="00AE7864">
        <w:rPr>
          <w:szCs w:val="16"/>
        </w:rPr>
        <w:t xml:space="preserve">for </w:t>
      </w:r>
      <w:r>
        <w:rPr>
          <w:szCs w:val="16"/>
        </w:rPr>
        <w:t xml:space="preserve"> insurance purposes outlined in </w:t>
      </w:r>
      <w:r w:rsidRPr="00394FE7">
        <w:rPr>
          <w:i/>
          <w:iCs/>
          <w:szCs w:val="16"/>
        </w:rPr>
        <w:t>ISMS;</w:t>
      </w:r>
      <w:r>
        <w:rPr>
          <w:i/>
          <w:iCs/>
          <w:szCs w:val="16"/>
        </w:rPr>
        <w:t xml:space="preserve"> </w:t>
      </w:r>
      <w:r w:rsidRPr="00394FE7">
        <w:rPr>
          <w:i/>
          <w:iCs/>
          <w:szCs w:val="16"/>
        </w:rPr>
        <w:t>Data Security Frameworks and Models</w:t>
      </w:r>
      <w:r>
        <w:rPr>
          <w:szCs w:val="16"/>
        </w:rPr>
        <w:t xml:space="preserve"> </w:t>
      </w:r>
      <w:r>
        <w:rPr>
          <w:szCs w:val="16"/>
        </w:rPr>
        <w:t>research section of this paper</w:t>
      </w:r>
      <w:r w:rsidR="00AE7864">
        <w:rPr>
          <w:szCs w:val="16"/>
        </w:rPr>
        <w:t xml:space="preserve"> in the event there was a security data security breach within the network</w:t>
      </w:r>
      <w:r>
        <w:rPr>
          <w:szCs w:val="16"/>
        </w:rPr>
        <w:t>.</w:t>
      </w:r>
    </w:p>
    <w:p w14:paraId="0883E619" w14:textId="77777777" w:rsidR="0011420B" w:rsidRDefault="0011420B" w:rsidP="00DB4042">
      <w:pPr>
        <w:spacing w:after="80"/>
        <w:jc w:val="both"/>
        <w:rPr>
          <w:szCs w:val="16"/>
        </w:rPr>
      </w:pPr>
    </w:p>
    <w:p w14:paraId="4E6E02CD" w14:textId="4A8BE3A4" w:rsidR="00464189" w:rsidRDefault="008E0180" w:rsidP="00464189">
      <w:pPr>
        <w:pStyle w:val="ListParagraph"/>
        <w:numPr>
          <w:ilvl w:val="3"/>
          <w:numId w:val="5"/>
        </w:numPr>
        <w:spacing w:after="80"/>
        <w:rPr>
          <w:szCs w:val="16"/>
        </w:rPr>
      </w:pPr>
      <w:r>
        <w:rPr>
          <w:szCs w:val="16"/>
        </w:rPr>
        <w:t>Service Strategy</w:t>
      </w:r>
    </w:p>
    <w:p w14:paraId="7BF9EB39" w14:textId="519B73AA" w:rsidR="007D0A0E" w:rsidRDefault="00C81D1C" w:rsidP="009334FC">
      <w:pPr>
        <w:spacing w:after="80"/>
        <w:jc w:val="both"/>
        <w:rPr>
          <w:szCs w:val="16"/>
        </w:rPr>
      </w:pPr>
      <w:r>
        <w:rPr>
          <w:szCs w:val="16"/>
        </w:rPr>
        <w:t xml:space="preserve">The identified markets for ‘Caribbean Coffee Ltd’ are coffee chains/shops around the globe along with individual customers whom wish to purchase the product. </w:t>
      </w:r>
      <w:r w:rsidR="005D7F95">
        <w:rPr>
          <w:szCs w:val="16"/>
        </w:rPr>
        <w:t>T</w:t>
      </w:r>
      <w:r>
        <w:rPr>
          <w:szCs w:val="16"/>
        </w:rPr>
        <w:t>he data security strategy for this company will be one that has a large online presence for t</w:t>
      </w:r>
      <w:r w:rsidR="009C2B99">
        <w:rPr>
          <w:szCs w:val="16"/>
        </w:rPr>
        <w:t>he</w:t>
      </w:r>
      <w:r>
        <w:rPr>
          <w:szCs w:val="16"/>
        </w:rPr>
        <w:t xml:space="preserve"> market</w:t>
      </w:r>
      <w:r w:rsidR="009C2B99">
        <w:rPr>
          <w:szCs w:val="16"/>
        </w:rPr>
        <w:t>ing staff to promote</w:t>
      </w:r>
      <w:r>
        <w:rPr>
          <w:szCs w:val="16"/>
        </w:rPr>
        <w:t xml:space="preserve"> the</w:t>
      </w:r>
      <w:r w:rsidR="00F97043">
        <w:rPr>
          <w:szCs w:val="16"/>
        </w:rPr>
        <w:t xml:space="preserve">ir intellectual property </w:t>
      </w:r>
      <w:r>
        <w:rPr>
          <w:szCs w:val="16"/>
        </w:rPr>
        <w:t xml:space="preserve"> </w:t>
      </w:r>
      <w:r w:rsidR="00F97043">
        <w:rPr>
          <w:szCs w:val="16"/>
        </w:rPr>
        <w:t xml:space="preserve">coffee blend which is the primary strategic asset of this </w:t>
      </w:r>
      <w:r w:rsidR="00432D18">
        <w:rPr>
          <w:szCs w:val="16"/>
        </w:rPr>
        <w:t>company</w:t>
      </w:r>
      <w:r>
        <w:rPr>
          <w:szCs w:val="16"/>
        </w:rPr>
        <w:t xml:space="preserve"> along with relaying with customers through a web portal </w:t>
      </w:r>
      <w:r w:rsidR="0035160C">
        <w:rPr>
          <w:szCs w:val="16"/>
        </w:rPr>
        <w:t xml:space="preserve">and/or E-Mail </w:t>
      </w:r>
      <w:r w:rsidR="008D186E">
        <w:rPr>
          <w:szCs w:val="16"/>
        </w:rPr>
        <w:t xml:space="preserve">server </w:t>
      </w:r>
      <w:r>
        <w:rPr>
          <w:szCs w:val="16"/>
        </w:rPr>
        <w:t>so that they can</w:t>
      </w:r>
      <w:r w:rsidR="002C1298">
        <w:rPr>
          <w:szCs w:val="16"/>
        </w:rPr>
        <w:t xml:space="preserve"> request</w:t>
      </w:r>
      <w:r>
        <w:rPr>
          <w:szCs w:val="16"/>
        </w:rPr>
        <w:t xml:space="preserve"> </w:t>
      </w:r>
      <w:r w:rsidR="002C1298">
        <w:rPr>
          <w:szCs w:val="16"/>
        </w:rPr>
        <w:t>large</w:t>
      </w:r>
      <w:r>
        <w:rPr>
          <w:szCs w:val="16"/>
        </w:rPr>
        <w:t xml:space="preserve"> purchas</w:t>
      </w:r>
      <w:r w:rsidR="008D186E">
        <w:rPr>
          <w:szCs w:val="16"/>
        </w:rPr>
        <w:t>ing</w:t>
      </w:r>
      <w:r>
        <w:rPr>
          <w:szCs w:val="16"/>
        </w:rPr>
        <w:t xml:space="preserve"> orders and also pay for their product</w:t>
      </w:r>
      <w:r w:rsidR="008D186E">
        <w:rPr>
          <w:szCs w:val="16"/>
        </w:rPr>
        <w:t>s</w:t>
      </w:r>
      <w:r>
        <w:rPr>
          <w:szCs w:val="16"/>
        </w:rPr>
        <w:t xml:space="preserve"> remotely</w:t>
      </w:r>
      <w:r w:rsidR="005D7F95">
        <w:rPr>
          <w:szCs w:val="16"/>
        </w:rPr>
        <w:t xml:space="preserve"> along with the appropriate staff accessing the secure VPC</w:t>
      </w:r>
      <w:r w:rsidR="002D1ACB">
        <w:rPr>
          <w:szCs w:val="16"/>
        </w:rPr>
        <w:t xml:space="preserve"> server</w:t>
      </w:r>
      <w:r w:rsidR="005D7F95">
        <w:rPr>
          <w:szCs w:val="16"/>
        </w:rPr>
        <w:t xml:space="preserve"> for business </w:t>
      </w:r>
      <w:r w:rsidR="002D1ACB">
        <w:rPr>
          <w:szCs w:val="16"/>
        </w:rPr>
        <w:t>needs</w:t>
      </w:r>
      <w:r w:rsidR="007758BA">
        <w:rPr>
          <w:szCs w:val="16"/>
        </w:rPr>
        <w:t xml:space="preserve"> both internally </w:t>
      </w:r>
      <w:r w:rsidR="002C1298">
        <w:rPr>
          <w:szCs w:val="16"/>
        </w:rPr>
        <w:t>and/</w:t>
      </w:r>
      <w:r w:rsidR="007758BA">
        <w:rPr>
          <w:szCs w:val="16"/>
        </w:rPr>
        <w:t>or remotely</w:t>
      </w:r>
      <w:r>
        <w:rPr>
          <w:szCs w:val="16"/>
        </w:rPr>
        <w:t>.</w:t>
      </w:r>
    </w:p>
    <w:p w14:paraId="53B12BAE" w14:textId="77777777" w:rsidR="00572072" w:rsidRDefault="00572072" w:rsidP="009334FC">
      <w:pPr>
        <w:spacing w:after="80"/>
        <w:jc w:val="both"/>
        <w:rPr>
          <w:szCs w:val="16"/>
        </w:rPr>
      </w:pPr>
    </w:p>
    <w:p w14:paraId="1DEFBA2C" w14:textId="17E36674" w:rsidR="008E0180" w:rsidRDefault="008E0180" w:rsidP="00464189">
      <w:pPr>
        <w:pStyle w:val="ListParagraph"/>
        <w:numPr>
          <w:ilvl w:val="3"/>
          <w:numId w:val="5"/>
        </w:numPr>
        <w:spacing w:after="80"/>
        <w:rPr>
          <w:szCs w:val="16"/>
        </w:rPr>
      </w:pPr>
      <w:r>
        <w:rPr>
          <w:szCs w:val="16"/>
        </w:rPr>
        <w:t>Service Design</w:t>
      </w:r>
    </w:p>
    <w:p w14:paraId="3D9FDDCB" w14:textId="08CE30FD" w:rsidR="009F3D23" w:rsidRDefault="009F3D23" w:rsidP="009F3D23">
      <w:pPr>
        <w:spacing w:after="80"/>
        <w:jc w:val="both"/>
        <w:rPr>
          <w:szCs w:val="16"/>
        </w:rPr>
      </w:pPr>
      <w:r>
        <w:rPr>
          <w:szCs w:val="16"/>
        </w:rPr>
        <w:t xml:space="preserve">The data </w:t>
      </w:r>
      <w:r w:rsidR="00244DBA">
        <w:rPr>
          <w:szCs w:val="16"/>
        </w:rPr>
        <w:t>security</w:t>
      </w:r>
      <w:r>
        <w:rPr>
          <w:szCs w:val="16"/>
        </w:rPr>
        <w:t xml:space="preserve"> assets within the company that were </w:t>
      </w:r>
      <w:r w:rsidR="00800592">
        <w:rPr>
          <w:szCs w:val="16"/>
        </w:rPr>
        <w:t xml:space="preserve">extrapolated from </w:t>
      </w:r>
      <w:r>
        <w:rPr>
          <w:szCs w:val="16"/>
        </w:rPr>
        <w:t xml:space="preserve">the </w:t>
      </w:r>
      <w:r w:rsidR="00800592">
        <w:rPr>
          <w:szCs w:val="16"/>
        </w:rPr>
        <w:t xml:space="preserve">case study business requirements </w:t>
      </w:r>
      <w:r w:rsidR="000546C0">
        <w:rPr>
          <w:szCs w:val="16"/>
        </w:rPr>
        <w:t xml:space="preserve">and </w:t>
      </w:r>
      <w:r w:rsidR="000546C0" w:rsidRPr="000546C0">
        <w:rPr>
          <w:i/>
          <w:iCs/>
          <w:szCs w:val="16"/>
        </w:rPr>
        <w:t>Service</w:t>
      </w:r>
      <w:r w:rsidRPr="009F3D23">
        <w:rPr>
          <w:i/>
          <w:iCs/>
          <w:szCs w:val="16"/>
        </w:rPr>
        <w:t xml:space="preserve"> Strategy </w:t>
      </w:r>
      <w:r w:rsidRPr="003A0129">
        <w:rPr>
          <w:szCs w:val="16"/>
        </w:rPr>
        <w:t>section</w:t>
      </w:r>
      <w:r>
        <w:rPr>
          <w:szCs w:val="16"/>
        </w:rPr>
        <w:t xml:space="preserve"> of this paper are as follows;</w:t>
      </w:r>
    </w:p>
    <w:p w14:paraId="30D56D07" w14:textId="6463A2F9" w:rsidR="009F3D23" w:rsidRDefault="009F3D23" w:rsidP="007D0A0E">
      <w:pPr>
        <w:pStyle w:val="ListParagraph"/>
        <w:numPr>
          <w:ilvl w:val="0"/>
          <w:numId w:val="18"/>
        </w:numPr>
        <w:spacing w:after="80"/>
        <w:jc w:val="both"/>
        <w:rPr>
          <w:szCs w:val="16"/>
        </w:rPr>
      </w:pPr>
      <w:r w:rsidRPr="00E01F0D">
        <w:rPr>
          <w:b/>
          <w:bCs/>
          <w:szCs w:val="16"/>
        </w:rPr>
        <w:t>Business Data</w:t>
      </w:r>
      <w:r>
        <w:rPr>
          <w:szCs w:val="16"/>
        </w:rPr>
        <w:t xml:space="preserve"> i.e. intellectual property, financial records, customer information, employee/VPC logging data such as usernames and password, staff E-mail addresses etc.</w:t>
      </w:r>
    </w:p>
    <w:p w14:paraId="5D701A40" w14:textId="77777777" w:rsidR="00C1206E" w:rsidRPr="007D0A0E" w:rsidRDefault="00C1206E" w:rsidP="00C1206E">
      <w:pPr>
        <w:pStyle w:val="ListParagraph"/>
        <w:spacing w:after="80"/>
        <w:ind w:left="360"/>
        <w:jc w:val="both"/>
        <w:rPr>
          <w:szCs w:val="16"/>
        </w:rPr>
      </w:pPr>
    </w:p>
    <w:p w14:paraId="06C47FD6" w14:textId="77777777" w:rsidR="009F3D23" w:rsidRPr="00F011CE" w:rsidRDefault="009F3D23" w:rsidP="009F3D23">
      <w:pPr>
        <w:pStyle w:val="ListParagraph"/>
        <w:numPr>
          <w:ilvl w:val="0"/>
          <w:numId w:val="18"/>
        </w:numPr>
        <w:spacing w:after="80"/>
        <w:jc w:val="both"/>
        <w:rPr>
          <w:szCs w:val="16"/>
        </w:rPr>
      </w:pPr>
      <w:r w:rsidRPr="00E01F0D">
        <w:rPr>
          <w:b/>
          <w:bCs/>
          <w:szCs w:val="16"/>
        </w:rPr>
        <w:t>Personal Data</w:t>
      </w:r>
      <w:r>
        <w:rPr>
          <w:szCs w:val="16"/>
        </w:rPr>
        <w:t xml:space="preserve"> i.e. employee names, addresses, bank details, telephone numbers, National Insurance (NI) numbers etc.</w:t>
      </w:r>
    </w:p>
    <w:p w14:paraId="3B68E380" w14:textId="77777777" w:rsidR="009F3D23" w:rsidRPr="002B74BF" w:rsidRDefault="009F3D23" w:rsidP="009F3D23">
      <w:pPr>
        <w:spacing w:after="80" w:line="72" w:lineRule="auto"/>
        <w:jc w:val="both"/>
        <w:rPr>
          <w:szCs w:val="16"/>
        </w:rPr>
      </w:pPr>
    </w:p>
    <w:p w14:paraId="41EC662A" w14:textId="563D66E6" w:rsidR="009F3D23" w:rsidRDefault="009F3D23" w:rsidP="009F3D23">
      <w:pPr>
        <w:pStyle w:val="ListParagraph"/>
        <w:numPr>
          <w:ilvl w:val="0"/>
          <w:numId w:val="18"/>
        </w:numPr>
        <w:spacing w:after="80"/>
        <w:jc w:val="both"/>
        <w:rPr>
          <w:szCs w:val="16"/>
        </w:rPr>
      </w:pPr>
      <w:r w:rsidRPr="00E01F0D">
        <w:rPr>
          <w:b/>
          <w:bCs/>
          <w:szCs w:val="16"/>
        </w:rPr>
        <w:t>Network Documentation</w:t>
      </w:r>
      <w:r>
        <w:rPr>
          <w:szCs w:val="16"/>
        </w:rPr>
        <w:t xml:space="preserve"> i.e. a detailed topology of the organisations network such as; Internet Protocol (IP) addressing, hardware configuration i.e. firewall, router, switches, Access Points (AP), VPC server, remote device login</w:t>
      </w:r>
      <w:r w:rsidR="00264A8B">
        <w:rPr>
          <w:szCs w:val="16"/>
        </w:rPr>
        <w:t xml:space="preserve"> username/</w:t>
      </w:r>
      <w:r>
        <w:rPr>
          <w:szCs w:val="16"/>
        </w:rPr>
        <w:t xml:space="preserve">passwords, Virtual Private Network (VPN) and AP password and encryption standards, end device Operating System (OS) </w:t>
      </w:r>
      <w:r w:rsidR="00264A8B">
        <w:rPr>
          <w:szCs w:val="16"/>
        </w:rPr>
        <w:t>version identity</w:t>
      </w:r>
      <w:r>
        <w:rPr>
          <w:szCs w:val="16"/>
        </w:rPr>
        <w:t xml:space="preserve"> and security software utilised.</w:t>
      </w:r>
    </w:p>
    <w:p w14:paraId="251829BC" w14:textId="77777777" w:rsidR="009F3D23" w:rsidRPr="00596624" w:rsidRDefault="009F3D23" w:rsidP="009F3D23">
      <w:pPr>
        <w:pStyle w:val="ListParagraph"/>
        <w:rPr>
          <w:szCs w:val="16"/>
        </w:rPr>
      </w:pPr>
    </w:p>
    <w:p w14:paraId="2B05C7EC" w14:textId="28D9C2B0" w:rsidR="009F3D23" w:rsidRDefault="009F3D23" w:rsidP="009F3D23">
      <w:pPr>
        <w:pStyle w:val="ListParagraph"/>
        <w:numPr>
          <w:ilvl w:val="0"/>
          <w:numId w:val="18"/>
        </w:numPr>
        <w:spacing w:after="80"/>
        <w:jc w:val="both"/>
        <w:rPr>
          <w:szCs w:val="16"/>
        </w:rPr>
      </w:pPr>
      <w:r w:rsidRPr="00E01F0D">
        <w:rPr>
          <w:b/>
          <w:bCs/>
          <w:szCs w:val="16"/>
        </w:rPr>
        <w:t>Organisation Management</w:t>
      </w:r>
      <w:r w:rsidR="0038013D">
        <w:rPr>
          <w:szCs w:val="16"/>
        </w:rPr>
        <w:t xml:space="preserve">; </w:t>
      </w:r>
      <w:r>
        <w:rPr>
          <w:szCs w:val="16"/>
        </w:rPr>
        <w:t xml:space="preserve">CEO, CTO, Chief Financial Officer (CFO), </w:t>
      </w:r>
      <w:r w:rsidR="0038013D">
        <w:rPr>
          <w:szCs w:val="16"/>
        </w:rPr>
        <w:t xml:space="preserve">Chief Operations Officer (COO), </w:t>
      </w:r>
      <w:r w:rsidR="00785D1F">
        <w:rPr>
          <w:szCs w:val="16"/>
        </w:rPr>
        <w:t>Customer</w:t>
      </w:r>
      <w:r w:rsidR="0038013D">
        <w:rPr>
          <w:szCs w:val="16"/>
        </w:rPr>
        <w:t xml:space="preserve"> Relations Officer (</w:t>
      </w:r>
      <w:r w:rsidR="00785D1F">
        <w:rPr>
          <w:szCs w:val="16"/>
        </w:rPr>
        <w:t>C</w:t>
      </w:r>
      <w:r w:rsidR="0038013D">
        <w:rPr>
          <w:szCs w:val="16"/>
        </w:rPr>
        <w:t xml:space="preserve">RO), </w:t>
      </w:r>
      <w:r>
        <w:rPr>
          <w:szCs w:val="16"/>
        </w:rPr>
        <w:t xml:space="preserve">department managers and general staff permissions and data attributes </w:t>
      </w:r>
      <w:r w:rsidR="00373011">
        <w:rPr>
          <w:szCs w:val="16"/>
        </w:rPr>
        <w:t xml:space="preserve">for accessing business data </w:t>
      </w:r>
      <w:r>
        <w:rPr>
          <w:szCs w:val="16"/>
        </w:rPr>
        <w:t>within the network</w:t>
      </w:r>
      <w:r w:rsidR="00373011">
        <w:rPr>
          <w:szCs w:val="16"/>
        </w:rPr>
        <w:t xml:space="preserve"> remotely</w:t>
      </w:r>
      <w:r>
        <w:rPr>
          <w:szCs w:val="16"/>
        </w:rPr>
        <w:t>.</w:t>
      </w:r>
      <w:r w:rsidR="004D2761">
        <w:rPr>
          <w:szCs w:val="16"/>
        </w:rPr>
        <w:t xml:space="preserve"> A hierarchical business management </w:t>
      </w:r>
      <w:r w:rsidR="004D2761" w:rsidRPr="00254562">
        <w:rPr>
          <w:szCs w:val="16"/>
        </w:rPr>
        <w:t xml:space="preserve">Data Flow Diagram </w:t>
      </w:r>
      <w:r w:rsidR="004D2761">
        <w:rPr>
          <w:szCs w:val="16"/>
        </w:rPr>
        <w:t xml:space="preserve">(DFD) can be found in </w:t>
      </w:r>
      <w:r w:rsidR="004D2761" w:rsidRPr="004D2761">
        <w:rPr>
          <w:i/>
          <w:iCs/>
          <w:szCs w:val="16"/>
        </w:rPr>
        <w:t>Appendix - B</w:t>
      </w:r>
      <w:r w:rsidR="004D2761">
        <w:rPr>
          <w:szCs w:val="16"/>
        </w:rPr>
        <w:t xml:space="preserve"> of this paper.</w:t>
      </w:r>
    </w:p>
    <w:p w14:paraId="49999668" w14:textId="77777777" w:rsidR="00622278" w:rsidRPr="00622278" w:rsidRDefault="00622278" w:rsidP="00622278">
      <w:pPr>
        <w:pStyle w:val="ListParagraph"/>
        <w:rPr>
          <w:szCs w:val="16"/>
        </w:rPr>
      </w:pPr>
    </w:p>
    <w:p w14:paraId="6CE5DE99" w14:textId="346A4B1F" w:rsidR="00622278" w:rsidRDefault="00622278" w:rsidP="009F3D23">
      <w:pPr>
        <w:pStyle w:val="ListParagraph"/>
        <w:numPr>
          <w:ilvl w:val="0"/>
          <w:numId w:val="18"/>
        </w:numPr>
        <w:spacing w:after="80"/>
        <w:jc w:val="both"/>
        <w:rPr>
          <w:szCs w:val="16"/>
        </w:rPr>
      </w:pPr>
      <w:r w:rsidRPr="00E01F0D">
        <w:rPr>
          <w:b/>
          <w:bCs/>
          <w:szCs w:val="16"/>
        </w:rPr>
        <w:t>Internetworking Devices</w:t>
      </w:r>
      <w:r w:rsidR="00E01F0D">
        <w:rPr>
          <w:b/>
          <w:bCs/>
          <w:szCs w:val="16"/>
        </w:rPr>
        <w:t xml:space="preserve"> and </w:t>
      </w:r>
      <w:r w:rsidRPr="00E01F0D">
        <w:rPr>
          <w:b/>
          <w:bCs/>
          <w:szCs w:val="16"/>
        </w:rPr>
        <w:t>Technologies</w:t>
      </w:r>
      <w:r>
        <w:rPr>
          <w:szCs w:val="16"/>
        </w:rPr>
        <w:t xml:space="preserve"> i.e. Routers, Switches, Access Points, end devices and AWS leased cloud infrastructure.</w:t>
      </w:r>
    </w:p>
    <w:p w14:paraId="24E999BF" w14:textId="77777777" w:rsidR="009F3D23" w:rsidRPr="00283B5A" w:rsidRDefault="009F3D23" w:rsidP="009F3D23">
      <w:pPr>
        <w:pStyle w:val="ListParagraph"/>
        <w:rPr>
          <w:szCs w:val="16"/>
        </w:rPr>
      </w:pPr>
    </w:p>
    <w:p w14:paraId="4C7CA0F5" w14:textId="1C381912" w:rsidR="00C950A2" w:rsidRDefault="009F3D23" w:rsidP="009F3D23">
      <w:pPr>
        <w:spacing w:after="80"/>
        <w:jc w:val="both"/>
        <w:rPr>
          <w:szCs w:val="16"/>
        </w:rPr>
      </w:pPr>
      <w:r>
        <w:rPr>
          <w:szCs w:val="16"/>
        </w:rPr>
        <w:t xml:space="preserve">Utilising the identified strategic assets, a risk management strategy was developed utilising a </w:t>
      </w:r>
      <w:r w:rsidR="00332CD5">
        <w:rPr>
          <w:szCs w:val="16"/>
        </w:rPr>
        <w:t xml:space="preserve"> risk management Data Flow Diagram (DFD) to create a </w:t>
      </w:r>
      <w:r>
        <w:rPr>
          <w:szCs w:val="16"/>
        </w:rPr>
        <w:t>risk probability matrix so that risk</w:t>
      </w:r>
      <w:r w:rsidR="00332CD5">
        <w:rPr>
          <w:szCs w:val="16"/>
        </w:rPr>
        <w:t>s to the project can be identified and risk</w:t>
      </w:r>
      <w:r>
        <w:rPr>
          <w:szCs w:val="16"/>
        </w:rPr>
        <w:t xml:space="preserve"> treatment</w:t>
      </w:r>
      <w:r w:rsidR="00332CD5">
        <w:rPr>
          <w:szCs w:val="16"/>
        </w:rPr>
        <w:t>/mitigation</w:t>
      </w:r>
      <w:r>
        <w:rPr>
          <w:szCs w:val="16"/>
        </w:rPr>
        <w:t xml:space="preserve"> can be implemented </w:t>
      </w:r>
      <w:r w:rsidR="00C950A2">
        <w:rPr>
          <w:szCs w:val="16"/>
        </w:rPr>
        <w:t xml:space="preserve">in the form of protection mechanism for secure </w:t>
      </w:r>
      <w:r w:rsidR="00332CD5">
        <w:rPr>
          <w:szCs w:val="16"/>
        </w:rPr>
        <w:t>data</w:t>
      </w:r>
      <w:r w:rsidR="00C950A2">
        <w:rPr>
          <w:szCs w:val="16"/>
        </w:rPr>
        <w:t xml:space="preserve"> access controls </w:t>
      </w:r>
      <w:r>
        <w:rPr>
          <w:szCs w:val="16"/>
        </w:rPr>
        <w:t>to the identified moderate-to-severe risk</w:t>
      </w:r>
      <w:r w:rsidR="00C950A2">
        <w:rPr>
          <w:szCs w:val="16"/>
        </w:rPr>
        <w:t>s.</w:t>
      </w:r>
    </w:p>
    <w:p w14:paraId="2F269504" w14:textId="7C73E65D" w:rsidR="00332CD5" w:rsidRDefault="00332CD5" w:rsidP="009F3D23">
      <w:pPr>
        <w:spacing w:after="80"/>
        <w:jc w:val="both"/>
        <w:rPr>
          <w:szCs w:val="16"/>
        </w:rPr>
      </w:pPr>
      <w:r>
        <w:rPr>
          <w:szCs w:val="16"/>
        </w:rPr>
        <w:lastRenderedPageBreak/>
        <w:t xml:space="preserve">The risk management DFD can be found in </w:t>
      </w:r>
      <w:r w:rsidRPr="00332CD5">
        <w:rPr>
          <w:i/>
          <w:iCs/>
          <w:szCs w:val="16"/>
        </w:rPr>
        <w:t xml:space="preserve">figure </w:t>
      </w:r>
      <w:r w:rsidR="00267254">
        <w:rPr>
          <w:i/>
          <w:iCs/>
          <w:szCs w:val="16"/>
        </w:rPr>
        <w:t>2</w:t>
      </w:r>
      <w:r w:rsidRPr="00332CD5">
        <w:rPr>
          <w:i/>
          <w:iCs/>
          <w:szCs w:val="16"/>
        </w:rPr>
        <w:t>.</w:t>
      </w:r>
    </w:p>
    <w:p w14:paraId="138ED6A4" w14:textId="77777777" w:rsidR="00332CD5" w:rsidRDefault="00332CD5" w:rsidP="00332CD5">
      <w:pPr>
        <w:keepNext/>
        <w:spacing w:after="80"/>
        <w:jc w:val="both"/>
      </w:pPr>
      <w:r>
        <w:rPr>
          <w:noProof/>
          <w:szCs w:val="16"/>
          <w:lang w:eastAsia="en-GB"/>
        </w:rPr>
        <w:drawing>
          <wp:inline distT="0" distB="0" distL="0" distR="0" wp14:anchorId="302BD986" wp14:editId="242A294F">
            <wp:extent cx="3200400" cy="1676400"/>
            <wp:effectExtent l="19050" t="19050" r="19050" b="190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00400" cy="1676400"/>
                    </a:xfrm>
                    <a:prstGeom prst="rect">
                      <a:avLst/>
                    </a:prstGeom>
                    <a:noFill/>
                    <a:ln w="6350">
                      <a:solidFill>
                        <a:schemeClr val="tx1"/>
                      </a:solidFill>
                    </a:ln>
                  </pic:spPr>
                </pic:pic>
              </a:graphicData>
            </a:graphic>
          </wp:inline>
        </w:drawing>
      </w:r>
    </w:p>
    <w:p w14:paraId="168A20B8" w14:textId="0C49F940" w:rsidR="00D17281" w:rsidRPr="00332CD5" w:rsidRDefault="00332CD5" w:rsidP="00332CD5">
      <w:pPr>
        <w:pStyle w:val="Caption"/>
        <w:rPr>
          <w:i w:val="0"/>
          <w:iCs w:val="0"/>
          <w:sz w:val="18"/>
          <w:szCs w:val="10"/>
        </w:rPr>
      </w:pPr>
      <w:r w:rsidRPr="00332CD5">
        <w:rPr>
          <w:sz w:val="18"/>
          <w:szCs w:val="18"/>
        </w:rPr>
        <w:t xml:space="preserve">Figure </w:t>
      </w:r>
      <w:r w:rsidRPr="00332CD5">
        <w:rPr>
          <w:sz w:val="18"/>
          <w:szCs w:val="18"/>
        </w:rPr>
        <w:fldChar w:fldCharType="begin"/>
      </w:r>
      <w:r w:rsidRPr="00332CD5">
        <w:rPr>
          <w:sz w:val="18"/>
          <w:szCs w:val="18"/>
        </w:rPr>
        <w:instrText xml:space="preserve"> SEQ Figure \* ARABIC </w:instrText>
      </w:r>
      <w:r w:rsidRPr="00332CD5">
        <w:rPr>
          <w:sz w:val="18"/>
          <w:szCs w:val="18"/>
        </w:rPr>
        <w:fldChar w:fldCharType="separate"/>
      </w:r>
      <w:r w:rsidR="003F457E">
        <w:rPr>
          <w:noProof/>
          <w:sz w:val="18"/>
          <w:szCs w:val="18"/>
        </w:rPr>
        <w:t>2</w:t>
      </w:r>
      <w:r w:rsidRPr="00332CD5">
        <w:rPr>
          <w:sz w:val="18"/>
          <w:szCs w:val="18"/>
        </w:rPr>
        <w:fldChar w:fldCharType="end"/>
      </w:r>
      <w:r w:rsidRPr="00332CD5">
        <w:rPr>
          <w:noProof/>
          <w:sz w:val="18"/>
          <w:szCs w:val="18"/>
        </w:rPr>
        <w:t>: Project Risk Managemt DFD</w:t>
      </w:r>
      <w:r>
        <w:rPr>
          <w:i w:val="0"/>
          <w:iCs w:val="0"/>
          <w:noProof/>
          <w:sz w:val="18"/>
          <w:szCs w:val="18"/>
        </w:rPr>
        <w:t xml:space="preserve"> </w:t>
      </w:r>
      <w:r>
        <w:rPr>
          <w:i w:val="0"/>
          <w:iCs w:val="0"/>
          <w:noProof/>
          <w:sz w:val="18"/>
          <w:szCs w:val="18"/>
        </w:rPr>
        <w:fldChar w:fldCharType="begin" w:fldLock="1"/>
      </w:r>
      <w:r w:rsidR="003B3084">
        <w:rPr>
          <w:i w:val="0"/>
          <w:iCs w:val="0"/>
          <w:noProof/>
          <w:sz w:val="18"/>
          <w:szCs w:val="18"/>
        </w:rPr>
        <w:instrText>ADDIN CSL_CITATION {"citationItems":[{"id":"ITEM-1","itemData":{"URL":"https://www.lucidchart.com/documents/edit/b39e61e5-cc01-4622-b0ea-2c143041fb4a","abstract":"BYOD DFD ","accessed":{"date-parts":[["2017","12","11"]]},"author":[{"dropping-particle":"","family":"Paul Lawrence","given":"","non-dropping-particle":"","parse-names":false,"suffix":""}],"container-title":"lucichart.com","id":"ITEM-1","issued":{"date-parts":[["2017"]]},"page":"1","title":"BYOD DFD: Lucidchart","type":"webpage"},"uris":["http://www.mendeley.com/documents/?uuid=008f7053-e6fc-37ef-b29f-263cda129e84"]}],"mendeley":{"formattedCitation":"[49]","plainTextFormattedCitation":"[49]","previouslyFormattedCitation":"[49]"},"properties":{"noteIndex":0},"schema":"https://github.com/citation-style-language/schema/raw/master/csl-citation.json"}</w:instrText>
      </w:r>
      <w:r>
        <w:rPr>
          <w:i w:val="0"/>
          <w:iCs w:val="0"/>
          <w:noProof/>
          <w:sz w:val="18"/>
          <w:szCs w:val="18"/>
        </w:rPr>
        <w:fldChar w:fldCharType="separate"/>
      </w:r>
      <w:r w:rsidR="00E01F0D" w:rsidRPr="00E01F0D">
        <w:rPr>
          <w:i w:val="0"/>
          <w:iCs w:val="0"/>
          <w:noProof/>
          <w:sz w:val="18"/>
          <w:szCs w:val="18"/>
        </w:rPr>
        <w:t>[49]</w:t>
      </w:r>
      <w:r>
        <w:rPr>
          <w:i w:val="0"/>
          <w:iCs w:val="0"/>
          <w:noProof/>
          <w:sz w:val="18"/>
          <w:szCs w:val="18"/>
        </w:rPr>
        <w:fldChar w:fldCharType="end"/>
      </w:r>
    </w:p>
    <w:p w14:paraId="6A75FCF5" w14:textId="09A701BB" w:rsidR="00332CD5" w:rsidRPr="00E01F0D" w:rsidRDefault="009F3D23" w:rsidP="009F3D23">
      <w:pPr>
        <w:spacing w:after="80"/>
        <w:jc w:val="both"/>
        <w:rPr>
          <w:i/>
          <w:iCs/>
          <w:szCs w:val="16"/>
        </w:rPr>
      </w:pPr>
      <w:r w:rsidRPr="00332CD5">
        <w:rPr>
          <w:szCs w:val="16"/>
        </w:rPr>
        <w:t xml:space="preserve">The risk matrix for </w:t>
      </w:r>
      <w:r w:rsidR="008D186E" w:rsidRPr="00332CD5">
        <w:rPr>
          <w:szCs w:val="16"/>
        </w:rPr>
        <w:t>‘Caribbean Coffee Ltd’</w:t>
      </w:r>
      <w:r w:rsidRPr="00332CD5">
        <w:rPr>
          <w:szCs w:val="16"/>
        </w:rPr>
        <w:t xml:space="preserve"> can be found in </w:t>
      </w:r>
      <w:r w:rsidRPr="00332CD5">
        <w:rPr>
          <w:i/>
          <w:iCs/>
          <w:szCs w:val="16"/>
        </w:rPr>
        <w:t xml:space="preserve">figure </w:t>
      </w:r>
      <w:r w:rsidR="00332CD5">
        <w:rPr>
          <w:i/>
          <w:iCs/>
          <w:szCs w:val="16"/>
        </w:rPr>
        <w:t>3.</w:t>
      </w:r>
    </w:p>
    <w:p w14:paraId="53B9156E" w14:textId="77777777" w:rsidR="00332CD5" w:rsidRDefault="00AF22FD" w:rsidP="00332CD5">
      <w:pPr>
        <w:keepNext/>
        <w:spacing w:after="80"/>
        <w:jc w:val="both"/>
      </w:pPr>
      <w:r>
        <w:rPr>
          <w:noProof/>
          <w:sz w:val="48"/>
          <w:szCs w:val="48"/>
          <w:lang w:eastAsia="en-GB"/>
        </w:rPr>
        <w:drawing>
          <wp:inline distT="0" distB="0" distL="0" distR="0" wp14:anchorId="230FF8BE" wp14:editId="2606E883">
            <wp:extent cx="3200400" cy="2863215"/>
            <wp:effectExtent l="19050" t="19050" r="19050" b="133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00400" cy="2863215"/>
                    </a:xfrm>
                    <a:prstGeom prst="rect">
                      <a:avLst/>
                    </a:prstGeom>
                    <a:noFill/>
                    <a:ln w="6350">
                      <a:solidFill>
                        <a:schemeClr val="tx1"/>
                      </a:solidFill>
                    </a:ln>
                  </pic:spPr>
                </pic:pic>
              </a:graphicData>
            </a:graphic>
          </wp:inline>
        </w:drawing>
      </w:r>
    </w:p>
    <w:p w14:paraId="538F8261" w14:textId="7C397509" w:rsidR="009F3D23" w:rsidRPr="00332CD5" w:rsidRDefault="00332CD5" w:rsidP="00332CD5">
      <w:pPr>
        <w:pStyle w:val="Caption"/>
        <w:rPr>
          <w:i w:val="0"/>
          <w:iCs w:val="0"/>
          <w:sz w:val="18"/>
          <w:szCs w:val="10"/>
        </w:rPr>
      </w:pPr>
      <w:r w:rsidRPr="00332CD5">
        <w:rPr>
          <w:sz w:val="18"/>
          <w:szCs w:val="18"/>
        </w:rPr>
        <w:t xml:space="preserve">Figure </w:t>
      </w:r>
      <w:r w:rsidRPr="00332CD5">
        <w:rPr>
          <w:sz w:val="18"/>
          <w:szCs w:val="18"/>
        </w:rPr>
        <w:fldChar w:fldCharType="begin"/>
      </w:r>
      <w:r w:rsidRPr="00332CD5">
        <w:rPr>
          <w:sz w:val="18"/>
          <w:szCs w:val="18"/>
        </w:rPr>
        <w:instrText xml:space="preserve"> SEQ Figure \* ARABIC </w:instrText>
      </w:r>
      <w:r w:rsidRPr="00332CD5">
        <w:rPr>
          <w:sz w:val="18"/>
          <w:szCs w:val="18"/>
        </w:rPr>
        <w:fldChar w:fldCharType="separate"/>
      </w:r>
      <w:r w:rsidR="003F457E">
        <w:rPr>
          <w:noProof/>
          <w:sz w:val="18"/>
          <w:szCs w:val="18"/>
        </w:rPr>
        <w:t>3</w:t>
      </w:r>
      <w:r w:rsidRPr="00332CD5">
        <w:rPr>
          <w:sz w:val="18"/>
          <w:szCs w:val="18"/>
        </w:rPr>
        <w:fldChar w:fldCharType="end"/>
      </w:r>
      <w:r w:rsidRPr="00332CD5">
        <w:rPr>
          <w:sz w:val="18"/>
          <w:szCs w:val="18"/>
        </w:rPr>
        <w:t>: Risk Probability Matrix</w:t>
      </w:r>
    </w:p>
    <w:p w14:paraId="4389A612" w14:textId="4BB8A8DF" w:rsidR="009F3D23" w:rsidRDefault="009F3D23" w:rsidP="009F3D23">
      <w:pPr>
        <w:spacing w:after="80"/>
        <w:jc w:val="both"/>
        <w:rPr>
          <w:szCs w:val="16"/>
        </w:rPr>
      </w:pPr>
      <w:r w:rsidRPr="0035160C">
        <w:rPr>
          <w:b/>
          <w:bCs/>
          <w:szCs w:val="16"/>
        </w:rPr>
        <w:t>Risk 1 – BYOD</w:t>
      </w:r>
      <w:r>
        <w:rPr>
          <w:szCs w:val="16"/>
        </w:rPr>
        <w:t xml:space="preserve"> – This strategy was identified as extremely high risk </w:t>
      </w:r>
      <w:r w:rsidR="007D0A0E">
        <w:rPr>
          <w:szCs w:val="16"/>
        </w:rPr>
        <w:t xml:space="preserve">to implement </w:t>
      </w:r>
      <w:r>
        <w:rPr>
          <w:szCs w:val="16"/>
        </w:rPr>
        <w:t>within the current network</w:t>
      </w:r>
      <w:r w:rsidR="007D0A0E">
        <w:rPr>
          <w:szCs w:val="16"/>
        </w:rPr>
        <w:t xml:space="preserve"> infrastructure, </w:t>
      </w:r>
      <w:r>
        <w:rPr>
          <w:szCs w:val="16"/>
        </w:rPr>
        <w:t xml:space="preserve">because staff will have access to the LAN and WAN cloud VPC servers from their personal devices along with the highly sensitive business data housed within the VPC </w:t>
      </w:r>
      <w:r w:rsidR="003B5994">
        <w:rPr>
          <w:szCs w:val="16"/>
        </w:rPr>
        <w:t xml:space="preserve">Storage Area Network (SAN) </w:t>
      </w:r>
      <w:r w:rsidR="003B5994">
        <w:rPr>
          <w:szCs w:val="16"/>
        </w:rPr>
        <w:fldChar w:fldCharType="begin" w:fldLock="1"/>
      </w:r>
      <w:r w:rsidR="003B3084">
        <w:rPr>
          <w:szCs w:val="16"/>
        </w:rPr>
        <w:instrText>ADDIN CSL_CITATION {"citationItems":[{"id":"ITEM-1","itemData":{"URL":"https://docs.broadcom.com/docs/12380347","abstract":"SAN design","accessed":{"date-parts":[["2019","1","22"]]},"author":[{"dropping-particle":"","family":"Broadcom","given":"","non-dropping-particle":"","parse-names":false,"suffix":""}],"container-title":"broadcom.com","id":"ITEM-1","issued":{"date-parts":[["2017"]]},"page":"1","title":"SAN Design and Best Practices (1857 KB)","type":"webpage"},"uris":["http://www.mendeley.com/documents/?uuid=7fe3fef7-3d33-3ff7-a818-853915582682"]}],"mendeley":{"formattedCitation":"[50]","plainTextFormattedCitation":"[50]","previouslyFormattedCitation":"[50]"},"properties":{"noteIndex":0},"schema":"https://github.com/citation-style-language/schema/raw/master/csl-citation.json"}</w:instrText>
      </w:r>
      <w:r w:rsidR="003B5994">
        <w:rPr>
          <w:szCs w:val="16"/>
        </w:rPr>
        <w:fldChar w:fldCharType="separate"/>
      </w:r>
      <w:r w:rsidR="00E01F0D" w:rsidRPr="00E01F0D">
        <w:rPr>
          <w:noProof/>
          <w:szCs w:val="16"/>
        </w:rPr>
        <w:t>[50]</w:t>
      </w:r>
      <w:r w:rsidR="003B5994">
        <w:rPr>
          <w:szCs w:val="16"/>
        </w:rPr>
        <w:fldChar w:fldCharType="end"/>
      </w:r>
      <w:r w:rsidR="003B5994">
        <w:rPr>
          <w:szCs w:val="16"/>
        </w:rPr>
        <w:t xml:space="preserve"> </w:t>
      </w:r>
      <w:r>
        <w:rPr>
          <w:szCs w:val="16"/>
        </w:rPr>
        <w:t xml:space="preserve">that could be downloaded to their devices which could then be accessed </w:t>
      </w:r>
      <w:r w:rsidR="00800592">
        <w:rPr>
          <w:szCs w:val="16"/>
        </w:rPr>
        <w:t xml:space="preserve">remotely </w:t>
      </w:r>
      <w:r>
        <w:rPr>
          <w:szCs w:val="16"/>
        </w:rPr>
        <w:t xml:space="preserve">from outside of the LAN network. </w:t>
      </w:r>
    </w:p>
    <w:p w14:paraId="69D22A49" w14:textId="5FA03AA8" w:rsidR="00AB26D2" w:rsidRDefault="009F3D23" w:rsidP="009F3D23">
      <w:pPr>
        <w:spacing w:after="80"/>
        <w:jc w:val="both"/>
        <w:rPr>
          <w:szCs w:val="16"/>
        </w:rPr>
      </w:pPr>
      <w:r>
        <w:rPr>
          <w:szCs w:val="16"/>
        </w:rPr>
        <w:t xml:space="preserve">This poses a risk </w:t>
      </w:r>
      <w:r w:rsidR="00AB26D2">
        <w:rPr>
          <w:szCs w:val="16"/>
        </w:rPr>
        <w:t xml:space="preserve">in the event </w:t>
      </w:r>
      <w:r>
        <w:rPr>
          <w:szCs w:val="16"/>
        </w:rPr>
        <w:t xml:space="preserve">a </w:t>
      </w:r>
      <w:r w:rsidR="00332CD5">
        <w:rPr>
          <w:szCs w:val="16"/>
        </w:rPr>
        <w:t>BYOD</w:t>
      </w:r>
      <w:r>
        <w:rPr>
          <w:szCs w:val="16"/>
        </w:rPr>
        <w:t xml:space="preserve"> device </w:t>
      </w:r>
      <w:r w:rsidR="00AB26D2">
        <w:rPr>
          <w:szCs w:val="16"/>
        </w:rPr>
        <w:t>was</w:t>
      </w:r>
      <w:r>
        <w:rPr>
          <w:szCs w:val="16"/>
        </w:rPr>
        <w:t xml:space="preserve"> lost/stolen that contains highly sensitive business data that could be accessed by anyone</w:t>
      </w:r>
      <w:r w:rsidR="00AB26D2">
        <w:rPr>
          <w:szCs w:val="16"/>
        </w:rPr>
        <w:t>.</w:t>
      </w:r>
    </w:p>
    <w:p w14:paraId="12B4CA6C" w14:textId="0E89379B" w:rsidR="009F3D23" w:rsidRDefault="00701372" w:rsidP="009F3D23">
      <w:pPr>
        <w:spacing w:after="80"/>
        <w:jc w:val="both"/>
        <w:rPr>
          <w:szCs w:val="16"/>
        </w:rPr>
      </w:pPr>
      <w:r>
        <w:rPr>
          <w:szCs w:val="16"/>
        </w:rPr>
        <w:t xml:space="preserve">Also, there is a possibility </w:t>
      </w:r>
      <w:r w:rsidR="000B4BCE">
        <w:rPr>
          <w:szCs w:val="16"/>
        </w:rPr>
        <w:t>that</w:t>
      </w:r>
      <w:r>
        <w:rPr>
          <w:szCs w:val="16"/>
        </w:rPr>
        <w:t xml:space="preserve"> a</w:t>
      </w:r>
      <w:r w:rsidR="009F3D23">
        <w:rPr>
          <w:szCs w:val="16"/>
        </w:rPr>
        <w:t xml:space="preserve"> disgruntled and/or dishonest employee </w:t>
      </w:r>
      <w:r w:rsidR="000B4BCE">
        <w:rPr>
          <w:szCs w:val="16"/>
        </w:rPr>
        <w:t>could steal and</w:t>
      </w:r>
      <w:r w:rsidR="009F3D23">
        <w:rPr>
          <w:szCs w:val="16"/>
        </w:rPr>
        <w:t xml:space="preserve"> the</w:t>
      </w:r>
      <w:r w:rsidR="000B4BCE">
        <w:rPr>
          <w:szCs w:val="16"/>
        </w:rPr>
        <w:t>n sell</w:t>
      </w:r>
      <w:r w:rsidR="009F3D23">
        <w:rPr>
          <w:szCs w:val="16"/>
        </w:rPr>
        <w:t xml:space="preserve"> intellectual property and all other sensitive data housed within </w:t>
      </w:r>
      <w:r w:rsidR="00127D4D">
        <w:rPr>
          <w:szCs w:val="16"/>
        </w:rPr>
        <w:t>the company</w:t>
      </w:r>
      <w:r w:rsidR="009F3D23">
        <w:rPr>
          <w:szCs w:val="16"/>
        </w:rPr>
        <w:t xml:space="preserve"> to competitors </w:t>
      </w:r>
      <w:r w:rsidR="008956E7">
        <w:rPr>
          <w:szCs w:val="16"/>
        </w:rPr>
        <w:t>and/</w:t>
      </w:r>
      <w:r w:rsidR="009F3D23">
        <w:rPr>
          <w:szCs w:val="16"/>
        </w:rPr>
        <w:t>or data analytics companies</w:t>
      </w:r>
      <w:r w:rsidR="00AB26D2">
        <w:rPr>
          <w:szCs w:val="16"/>
        </w:rPr>
        <w:t xml:space="preserve"> is also a major concern with the </w:t>
      </w:r>
      <w:r w:rsidR="008956E7">
        <w:rPr>
          <w:szCs w:val="16"/>
        </w:rPr>
        <w:t xml:space="preserve">proposed </w:t>
      </w:r>
      <w:r w:rsidR="00AB26D2">
        <w:rPr>
          <w:szCs w:val="16"/>
        </w:rPr>
        <w:t>BYOD architecture</w:t>
      </w:r>
      <w:r w:rsidR="009F3D23">
        <w:rPr>
          <w:szCs w:val="16"/>
        </w:rPr>
        <w:t>.</w:t>
      </w:r>
    </w:p>
    <w:p w14:paraId="69F6D766" w14:textId="362D8154" w:rsidR="00254562" w:rsidRPr="000C757C" w:rsidRDefault="009F3D23" w:rsidP="00254562">
      <w:pPr>
        <w:spacing w:after="80"/>
        <w:jc w:val="both"/>
        <w:rPr>
          <w:szCs w:val="16"/>
        </w:rPr>
      </w:pPr>
      <w:r w:rsidRPr="00F22E20">
        <w:rPr>
          <w:b/>
          <w:bCs/>
          <w:szCs w:val="16"/>
        </w:rPr>
        <w:t xml:space="preserve">Risk Treatment </w:t>
      </w:r>
      <w:r w:rsidR="003165EA" w:rsidRPr="00F22E20">
        <w:rPr>
          <w:b/>
          <w:bCs/>
          <w:szCs w:val="16"/>
        </w:rPr>
        <w:t xml:space="preserve">- </w:t>
      </w:r>
      <w:r w:rsidR="003165EA" w:rsidRPr="003165EA">
        <w:rPr>
          <w:szCs w:val="16"/>
        </w:rPr>
        <w:t xml:space="preserve">The </w:t>
      </w:r>
      <w:r w:rsidR="008956E7">
        <w:rPr>
          <w:szCs w:val="16"/>
        </w:rPr>
        <w:t xml:space="preserve">proposed </w:t>
      </w:r>
      <w:r w:rsidR="003165EA" w:rsidRPr="003165EA">
        <w:rPr>
          <w:szCs w:val="16"/>
        </w:rPr>
        <w:t xml:space="preserve">BYOD scheme is a severe risk if implemented within the current network infrastructure. </w:t>
      </w:r>
      <w:r w:rsidR="002E65AA" w:rsidRPr="003165EA">
        <w:rPr>
          <w:szCs w:val="16"/>
        </w:rPr>
        <w:t>So,</w:t>
      </w:r>
      <w:r w:rsidR="003165EA" w:rsidRPr="003165EA">
        <w:rPr>
          <w:szCs w:val="16"/>
        </w:rPr>
        <w:t xml:space="preserve"> to mitigate the risk, an off</w:t>
      </w:r>
      <w:r w:rsidR="00A95722">
        <w:rPr>
          <w:szCs w:val="16"/>
        </w:rPr>
        <w:t>-premise</w:t>
      </w:r>
      <w:r w:rsidR="003165EA" w:rsidRPr="003165EA">
        <w:rPr>
          <w:szCs w:val="16"/>
        </w:rPr>
        <w:t xml:space="preserve"> cloud</w:t>
      </w:r>
      <w:r w:rsidR="00A95722">
        <w:rPr>
          <w:szCs w:val="16"/>
        </w:rPr>
        <w:t>;</w:t>
      </w:r>
      <w:r w:rsidR="003165EA" w:rsidRPr="003165EA">
        <w:rPr>
          <w:szCs w:val="16"/>
        </w:rPr>
        <w:t xml:space="preserve"> </w:t>
      </w:r>
      <w:r w:rsidR="002B3BB7">
        <w:rPr>
          <w:szCs w:val="16"/>
        </w:rPr>
        <w:t xml:space="preserve">AWS </w:t>
      </w:r>
      <w:r w:rsidR="003165EA" w:rsidRPr="003165EA">
        <w:rPr>
          <w:szCs w:val="16"/>
        </w:rPr>
        <w:t>Mobile Device Management (MDM)</w:t>
      </w:r>
      <w:r w:rsidR="00332CD5">
        <w:rPr>
          <w:szCs w:val="16"/>
        </w:rPr>
        <w:t xml:space="preserve"> </w:t>
      </w:r>
      <w:r w:rsidR="00332CD5">
        <w:rPr>
          <w:szCs w:val="16"/>
        </w:rPr>
        <w:fldChar w:fldCharType="begin" w:fldLock="1"/>
      </w:r>
      <w:r w:rsidR="003B3084">
        <w:rPr>
          <w:szCs w:val="16"/>
        </w:rPr>
        <w:instrText>ADDIN CSL_CITATION {"citationItems":[{"id":"ITEM-1","itemData":{"URL":"https://aws.amazon.com/marketplace/pp/ZOHO-Corporation-Private-Limited-Mobile-Device-Man/B01LYRDNG0","abstract":"AWS MDM","accessed":{"date-parts":[["2020","1","29"]]},"author":[{"dropping-particle":"","family":"AWS","given":"","non-dropping-particle":"","parse-names":false,"suffix":""}],"id":"ITEM-1","issued":{"date-parts":[["2019"]]},"page":"1-1","title":"AWS Marketplace: Mobile Device Manager Plus Cloud","type":"webpage"},"uris":["http://www.mendeley.com/documents/?uuid=06ea55c2-c6b9-32db-8c4a-4beda510d478"]}],"mendeley":{"formattedCitation":"[51]","plainTextFormattedCitation":"[51]","previouslyFormattedCitation":"[51]"},"properties":{"noteIndex":0},"schema":"https://github.com/citation-style-language/schema/raw/master/csl-citation.json"}</w:instrText>
      </w:r>
      <w:r w:rsidR="00332CD5">
        <w:rPr>
          <w:szCs w:val="16"/>
        </w:rPr>
        <w:fldChar w:fldCharType="separate"/>
      </w:r>
      <w:r w:rsidR="00E01F0D" w:rsidRPr="00E01F0D">
        <w:rPr>
          <w:noProof/>
          <w:szCs w:val="16"/>
        </w:rPr>
        <w:t>[51]</w:t>
      </w:r>
      <w:r w:rsidR="00332CD5">
        <w:rPr>
          <w:szCs w:val="16"/>
        </w:rPr>
        <w:fldChar w:fldCharType="end"/>
      </w:r>
      <w:r w:rsidR="003165EA">
        <w:rPr>
          <w:szCs w:val="16"/>
        </w:rPr>
        <w:t xml:space="preserve"> </w:t>
      </w:r>
      <w:r w:rsidR="00902BB2">
        <w:rPr>
          <w:szCs w:val="16"/>
        </w:rPr>
        <w:t>Software as a Service (SaaS)</w:t>
      </w:r>
      <w:r w:rsidR="00332CD5">
        <w:rPr>
          <w:szCs w:val="16"/>
        </w:rPr>
        <w:t xml:space="preserve"> </w:t>
      </w:r>
      <w:r w:rsidR="00902BB2">
        <w:rPr>
          <w:szCs w:val="16"/>
        </w:rPr>
        <w:t xml:space="preserve"> </w:t>
      </w:r>
      <w:r w:rsidR="002C6EBA">
        <w:rPr>
          <w:szCs w:val="16"/>
        </w:rPr>
        <w:fldChar w:fldCharType="begin" w:fldLock="1"/>
      </w:r>
      <w:r w:rsidR="003B3084">
        <w:rPr>
          <w:szCs w:val="16"/>
        </w:rPr>
        <w:instrText>ADDIN CSL_CITATION {"citationItems":[{"id":"ITEM-1","itemData":{"DOI":"10.1007/s11576-008-0095-0","ISBN":"0937-6429","ISSN":"0937-6429","abstract":"This chapter discusses the Software-as-a-Service (SaaS) Business Model, SaaS and Security, SaaS and Open Source, and customer agreements for SaaS Offerings. Some of the principle SaaS categories are outsourced business functions, data management, collaboration environments, vertical market SaaS vendors, and e-mail and calendar. The benefits that customers typically look for when they purchase SaaS services are short-term fee savings, scale up, simplicity of management, staff savings, freedom from corporate IS, readily available remote access, and expertise. Customers are interested in and concerned about the SaaS vendor's ability to provide data, and system security. In SaaS agreements that involve large fees, termination clauses and termination payments are often the subject of negotiation.","author":[{"dropping-particle":"","family":"Brown, C. W., &amp; Nyarko","given":"K.","non-dropping-particle":"","parse-names":false,"suffix":""}],"container-title":"Cloud Computing Service and Deployment Models: Layers and Management: Layers and Management","id":"ITEM-1","issued":{"date-parts":[["2012"]]},"page":"50","title":"Software as a Service (SaaS).","type":"article-journal"},"uris":["http://www.mendeley.com/documents/?uuid=b4db6a13-6a34-4a3a-9f06-767a7e5349d7"]}],"mendeley":{"formattedCitation":"[52]","plainTextFormattedCitation":"[52]","previouslyFormattedCitation":"[52]"},"properties":{"noteIndex":0},"schema":"https://github.com/citation-style-language/schema/raw/master/csl-citation.json"}</w:instrText>
      </w:r>
      <w:r w:rsidR="002C6EBA">
        <w:rPr>
          <w:szCs w:val="16"/>
        </w:rPr>
        <w:fldChar w:fldCharType="separate"/>
      </w:r>
      <w:r w:rsidR="00E01F0D" w:rsidRPr="00E01F0D">
        <w:rPr>
          <w:noProof/>
          <w:szCs w:val="16"/>
        </w:rPr>
        <w:t>[52]</w:t>
      </w:r>
      <w:r w:rsidR="002C6EBA">
        <w:rPr>
          <w:szCs w:val="16"/>
        </w:rPr>
        <w:fldChar w:fldCharType="end"/>
      </w:r>
      <w:r w:rsidR="002C6EBA">
        <w:rPr>
          <w:szCs w:val="16"/>
        </w:rPr>
        <w:t xml:space="preserve"> </w:t>
      </w:r>
      <w:r w:rsidR="003165EA">
        <w:rPr>
          <w:szCs w:val="16"/>
        </w:rPr>
        <w:t>server will be utilised to prevent unauthorised devices accessing the network</w:t>
      </w:r>
      <w:r w:rsidR="00254562">
        <w:rPr>
          <w:szCs w:val="16"/>
        </w:rPr>
        <w:t>.</w:t>
      </w:r>
    </w:p>
    <w:p w14:paraId="0F529759" w14:textId="77777777" w:rsidR="005D37BD" w:rsidRDefault="009F3D23" w:rsidP="009F3D23">
      <w:pPr>
        <w:spacing w:after="80"/>
        <w:jc w:val="both"/>
        <w:rPr>
          <w:szCs w:val="16"/>
        </w:rPr>
      </w:pPr>
      <w:r w:rsidRPr="0035160C">
        <w:rPr>
          <w:b/>
          <w:bCs/>
          <w:szCs w:val="16"/>
        </w:rPr>
        <w:t>Risk 2 –</w:t>
      </w:r>
      <w:r>
        <w:rPr>
          <w:b/>
          <w:bCs/>
          <w:szCs w:val="16"/>
        </w:rPr>
        <w:t>Online Payments</w:t>
      </w:r>
      <w:r>
        <w:rPr>
          <w:szCs w:val="16"/>
        </w:rPr>
        <w:t xml:space="preserve"> – This was identified as a severe risk because processing and storing customer/client financial data </w:t>
      </w:r>
      <w:r w:rsidR="00646D02">
        <w:rPr>
          <w:szCs w:val="16"/>
        </w:rPr>
        <w:t xml:space="preserve">across the unsecure Internet </w:t>
      </w:r>
      <w:r>
        <w:rPr>
          <w:szCs w:val="16"/>
        </w:rPr>
        <w:t xml:space="preserve">can have </w:t>
      </w:r>
      <w:r w:rsidR="00646D02">
        <w:rPr>
          <w:szCs w:val="16"/>
        </w:rPr>
        <w:t xml:space="preserve">serious security </w:t>
      </w:r>
      <w:r>
        <w:rPr>
          <w:szCs w:val="16"/>
        </w:rPr>
        <w:t>implications</w:t>
      </w:r>
      <w:r w:rsidR="00646D02">
        <w:rPr>
          <w:szCs w:val="16"/>
        </w:rPr>
        <w:t xml:space="preserve"> if the correct security technologies and infrastructure is not utilised</w:t>
      </w:r>
      <w:r w:rsidR="0087154E">
        <w:rPr>
          <w:szCs w:val="16"/>
        </w:rPr>
        <w:t>,</w:t>
      </w:r>
      <w:r w:rsidR="00646D02">
        <w:rPr>
          <w:szCs w:val="16"/>
        </w:rPr>
        <w:t xml:space="preserve"> which can be very expensive to maintain and monitor. </w:t>
      </w:r>
    </w:p>
    <w:p w14:paraId="49C58C4E" w14:textId="00A9622A" w:rsidR="009F3D23" w:rsidRDefault="005D37BD" w:rsidP="009F3D23">
      <w:pPr>
        <w:spacing w:after="80"/>
        <w:jc w:val="both"/>
        <w:rPr>
          <w:szCs w:val="16"/>
        </w:rPr>
      </w:pPr>
      <w:r>
        <w:rPr>
          <w:szCs w:val="16"/>
        </w:rPr>
        <w:t>Furthermore</w:t>
      </w:r>
      <w:r w:rsidR="00646D02">
        <w:rPr>
          <w:szCs w:val="16"/>
        </w:rPr>
        <w:t>, the company would have to comply and certify with the PCI-DSS</w:t>
      </w:r>
      <w:r>
        <w:rPr>
          <w:szCs w:val="16"/>
        </w:rPr>
        <w:t xml:space="preserve"> </w:t>
      </w:r>
      <w:r>
        <w:rPr>
          <w:szCs w:val="16"/>
        </w:rPr>
        <w:fldChar w:fldCharType="begin" w:fldLock="1"/>
      </w:r>
      <w:r w:rsidR="00B46018">
        <w:rPr>
          <w:szCs w:val="16"/>
        </w:rPr>
        <w:instrText>ADDIN CSL_CITATION {"citationItems":[{"id":"ITEM-1","itemData":{"URL":"https://www.itgovernance.co.uk/pci_dss","abstract":"PCI-DSS","accessed":{"date-parts":[["2020","1","29"]]},"author":[{"dropping-particle":"","family":"IT Governance UK","given":"","non-dropping-particle":"","parse-names":false,"suffix":""}],"id":"ITEM-1","issued":{"date-parts":[["2019"]]},"page":"1-1","title":"The PCI DSS | IT Governance UK | IT Governance UK","type":"webpage"},"uris":["http://www.mendeley.com/documents/?uuid=cf2857ec-895e-37ac-877f-f12a88a89f2d"]}],"mendeley":{"formattedCitation":"[30]","plainTextFormattedCitation":"[30]","previouslyFormattedCitation":"[30]"},"properties":{"noteIndex":0},"schema":"https://github.com/citation-style-language/schema/raw/master/csl-citation.json"}</w:instrText>
      </w:r>
      <w:r>
        <w:rPr>
          <w:szCs w:val="16"/>
        </w:rPr>
        <w:fldChar w:fldCharType="separate"/>
      </w:r>
      <w:r w:rsidR="000218FC" w:rsidRPr="000218FC">
        <w:rPr>
          <w:noProof/>
          <w:szCs w:val="16"/>
        </w:rPr>
        <w:t>[30]</w:t>
      </w:r>
      <w:r>
        <w:rPr>
          <w:szCs w:val="16"/>
        </w:rPr>
        <w:fldChar w:fldCharType="end"/>
      </w:r>
      <w:r w:rsidR="00646D02">
        <w:rPr>
          <w:szCs w:val="16"/>
        </w:rPr>
        <w:t xml:space="preserve"> security model identified within </w:t>
      </w:r>
      <w:r w:rsidR="00AA1905" w:rsidRPr="00AA1905">
        <w:rPr>
          <w:i/>
          <w:iCs/>
          <w:szCs w:val="16"/>
        </w:rPr>
        <w:t>Appendix - A</w:t>
      </w:r>
      <w:r w:rsidR="00646D02">
        <w:rPr>
          <w:szCs w:val="16"/>
        </w:rPr>
        <w:t xml:space="preserve"> of this paper</w:t>
      </w:r>
      <w:r w:rsidR="001E7088">
        <w:rPr>
          <w:szCs w:val="16"/>
        </w:rPr>
        <w:t>,</w:t>
      </w:r>
      <w:r w:rsidR="00646D02">
        <w:rPr>
          <w:szCs w:val="16"/>
        </w:rPr>
        <w:t xml:space="preserve"> </w:t>
      </w:r>
      <w:r w:rsidR="00D311DD">
        <w:rPr>
          <w:szCs w:val="16"/>
        </w:rPr>
        <w:t xml:space="preserve">to be able to process this type of </w:t>
      </w:r>
      <w:r w:rsidR="002E65AA">
        <w:rPr>
          <w:szCs w:val="16"/>
        </w:rPr>
        <w:t>high risk data</w:t>
      </w:r>
      <w:r w:rsidR="00D311DD">
        <w:rPr>
          <w:szCs w:val="16"/>
        </w:rPr>
        <w:t xml:space="preserve"> to </w:t>
      </w:r>
      <w:r w:rsidR="001E7088" w:rsidRPr="00497807">
        <w:rPr>
          <w:szCs w:val="16"/>
        </w:rPr>
        <w:t>qualify</w:t>
      </w:r>
      <w:r w:rsidR="001E7088">
        <w:rPr>
          <w:szCs w:val="16"/>
        </w:rPr>
        <w:t xml:space="preserve"> for</w:t>
      </w:r>
      <w:r w:rsidR="00D311DD">
        <w:rPr>
          <w:szCs w:val="16"/>
        </w:rPr>
        <w:t xml:space="preserve"> cybersecurity </w:t>
      </w:r>
      <w:r w:rsidR="001E7088">
        <w:rPr>
          <w:szCs w:val="16"/>
        </w:rPr>
        <w:t xml:space="preserve">insurance </w:t>
      </w:r>
      <w:r w:rsidR="00646D02">
        <w:rPr>
          <w:szCs w:val="16"/>
        </w:rPr>
        <w:t xml:space="preserve">which is also very time consuming and </w:t>
      </w:r>
      <w:r w:rsidR="00DD6D4F">
        <w:rPr>
          <w:szCs w:val="16"/>
        </w:rPr>
        <w:t>expensive</w:t>
      </w:r>
      <w:r w:rsidR="00646D02">
        <w:rPr>
          <w:szCs w:val="16"/>
        </w:rPr>
        <w:t xml:space="preserve"> to </w:t>
      </w:r>
      <w:r w:rsidR="00DD6D4F">
        <w:rPr>
          <w:szCs w:val="16"/>
        </w:rPr>
        <w:t xml:space="preserve">implement </w:t>
      </w:r>
      <w:r w:rsidR="002E65AA">
        <w:rPr>
          <w:szCs w:val="16"/>
        </w:rPr>
        <w:t>and</w:t>
      </w:r>
      <w:r w:rsidR="00DD6D4F">
        <w:rPr>
          <w:szCs w:val="16"/>
        </w:rPr>
        <w:t xml:space="preserve"> maintain</w:t>
      </w:r>
      <w:r w:rsidR="00646D02">
        <w:rPr>
          <w:szCs w:val="16"/>
        </w:rPr>
        <w:t>. Companies whom process payments internally also attract malicious actors</w:t>
      </w:r>
      <w:r w:rsidR="00004D49">
        <w:rPr>
          <w:szCs w:val="16"/>
        </w:rPr>
        <w:t xml:space="preserve"> making them</w:t>
      </w:r>
      <w:r w:rsidR="00646D02">
        <w:rPr>
          <w:szCs w:val="16"/>
        </w:rPr>
        <w:t xml:space="preserve"> a </w:t>
      </w:r>
      <w:r w:rsidR="00004D49">
        <w:rPr>
          <w:szCs w:val="16"/>
        </w:rPr>
        <w:t xml:space="preserve">high value </w:t>
      </w:r>
      <w:r w:rsidR="00646D02">
        <w:rPr>
          <w:szCs w:val="16"/>
        </w:rPr>
        <w:t xml:space="preserve">target </w:t>
      </w:r>
      <w:r w:rsidR="00004D49">
        <w:rPr>
          <w:szCs w:val="16"/>
        </w:rPr>
        <w:t>because of</w:t>
      </w:r>
      <w:r w:rsidR="00646D02">
        <w:rPr>
          <w:szCs w:val="16"/>
        </w:rPr>
        <w:t xml:space="preserve"> the </w:t>
      </w:r>
      <w:r w:rsidR="00004D49">
        <w:rPr>
          <w:szCs w:val="16"/>
        </w:rPr>
        <w:t>large financial</w:t>
      </w:r>
      <w:r w:rsidR="00646D02">
        <w:rPr>
          <w:szCs w:val="16"/>
        </w:rPr>
        <w:t xml:space="preserve"> reward of</w:t>
      </w:r>
      <w:r w:rsidR="00004D49">
        <w:rPr>
          <w:szCs w:val="16"/>
        </w:rPr>
        <w:t xml:space="preserve"> accessing</w:t>
      </w:r>
      <w:r w:rsidR="00646D02">
        <w:rPr>
          <w:szCs w:val="16"/>
        </w:rPr>
        <w:t xml:space="preserve"> raw financial information</w:t>
      </w:r>
      <w:r w:rsidR="003165EA">
        <w:rPr>
          <w:szCs w:val="16"/>
        </w:rPr>
        <w:t xml:space="preserve"> making it a high probability of a malicious attack</w:t>
      </w:r>
      <w:r w:rsidR="00D311DD">
        <w:rPr>
          <w:szCs w:val="16"/>
        </w:rPr>
        <w:t>.</w:t>
      </w:r>
    </w:p>
    <w:p w14:paraId="693E81E7" w14:textId="5720C665" w:rsidR="002E65AA" w:rsidRDefault="009F3D23" w:rsidP="009F3D23">
      <w:pPr>
        <w:spacing w:after="80"/>
        <w:jc w:val="both"/>
        <w:rPr>
          <w:szCs w:val="16"/>
        </w:rPr>
      </w:pPr>
      <w:r w:rsidRPr="00F22E20">
        <w:rPr>
          <w:b/>
          <w:bCs/>
          <w:szCs w:val="16"/>
        </w:rPr>
        <w:t xml:space="preserve">Risk Treatment </w:t>
      </w:r>
      <w:r w:rsidR="006A094D">
        <w:rPr>
          <w:b/>
          <w:bCs/>
          <w:szCs w:val="16"/>
        </w:rPr>
        <w:t>–</w:t>
      </w:r>
      <w:r w:rsidRPr="00F22E20">
        <w:rPr>
          <w:b/>
          <w:bCs/>
          <w:szCs w:val="16"/>
        </w:rPr>
        <w:t xml:space="preserve"> </w:t>
      </w:r>
      <w:r w:rsidR="006A094D" w:rsidRPr="0087154E">
        <w:rPr>
          <w:szCs w:val="16"/>
        </w:rPr>
        <w:t>This risk was considered</w:t>
      </w:r>
      <w:r w:rsidR="006A094D">
        <w:rPr>
          <w:b/>
          <w:bCs/>
          <w:szCs w:val="16"/>
        </w:rPr>
        <w:t xml:space="preserve"> </w:t>
      </w:r>
      <w:r w:rsidR="0087154E" w:rsidRPr="00C26A75">
        <w:rPr>
          <w:szCs w:val="16"/>
        </w:rPr>
        <w:t>to</w:t>
      </w:r>
      <w:r w:rsidR="00D311DD">
        <w:rPr>
          <w:szCs w:val="16"/>
        </w:rPr>
        <w:t>o</w:t>
      </w:r>
      <w:r w:rsidR="00C26A75">
        <w:rPr>
          <w:szCs w:val="16"/>
        </w:rPr>
        <w:t xml:space="preserve"> severe and </w:t>
      </w:r>
      <w:r w:rsidR="0087154E" w:rsidRPr="00C26A75">
        <w:rPr>
          <w:szCs w:val="16"/>
        </w:rPr>
        <w:t xml:space="preserve"> expensive to secure </w:t>
      </w:r>
      <w:r w:rsidR="00D311DD">
        <w:rPr>
          <w:szCs w:val="16"/>
        </w:rPr>
        <w:t>because of</w:t>
      </w:r>
      <w:r w:rsidR="0087154E" w:rsidRPr="00C26A75">
        <w:rPr>
          <w:szCs w:val="16"/>
        </w:rPr>
        <w:t xml:space="preserve"> </w:t>
      </w:r>
      <w:r w:rsidR="00C26A75">
        <w:rPr>
          <w:szCs w:val="16"/>
        </w:rPr>
        <w:t>the GDPR</w:t>
      </w:r>
      <w:r w:rsidR="005D37BD">
        <w:rPr>
          <w:szCs w:val="16"/>
        </w:rPr>
        <w:t xml:space="preserve"> </w:t>
      </w:r>
      <w:r w:rsidR="005D37BD">
        <w:rPr>
          <w:szCs w:val="16"/>
        </w:rPr>
        <w:fldChar w:fldCharType="begin" w:fldLock="1"/>
      </w:r>
      <w:r w:rsidR="000218FC">
        <w:rPr>
          <w:szCs w:val="16"/>
        </w:rPr>
        <w:instrText>ADDIN CSL_CITATION {"citationItems":[{"id":"ITEM-1","itemData":{"DOI":"http://eur-lex.europa.eu/pri/en/oj/dat/2003/l_285/l_28520031101en00330037.pdf","ISBN":"683/2004","ISSN":"1098-6596","PMID":"25246403","abstract":"The GDPR is a far-reaching legal instrument that will have a significant impact on all\r\ncompanies involved in the processing of personal data, including many outside the\r\nEU. It will increase the penalties for noncompliance, with fines of up to €20 million or\r\n4 percent of annual worldwide turnover. In addition, supervisory authorities will have\r\na number of broad powers.\r\nCompanies should review the GDPR and begin preparing for compliance with the new\r\nlegal framework for data protection in the EU.\r\nThis guide, by providing a brief overview of the new rules imposed by this legislation\r\nand the key changes it will make, will help users prepare for the GDPR. The guide also\r\nincludes a short glossary of terms used in the GDPR, and each section sets out a short\r\nto-do list for compliance. The guide will shortly be followed by further guidance, briefings\r\nand practical checklists on the GDPR.","author":[{"dropping-particle":"","family":"Day","given":"Jones","non-dropping-particle":"","parse-names":false,"suffix":""}],"container-title":"GDPR Guide","id":"ITEM-1","issued":{"date-parts":[["2017"]]},"page":"4-24","title":"General Data Protection Regulation Guide","type":"article"},"uris":["http://www.mendeley.com/documents/?uuid=1931ac12-96f8-402f-8226-53fccab57ef1"]}],"mendeley":{"formattedCitation":"[21]","plainTextFormattedCitation":"[21]","previouslyFormattedCitation":"[21]"},"properties":{"noteIndex":0},"schema":"https://github.com/citation-style-language/schema/raw/master/csl-citation.json"}</w:instrText>
      </w:r>
      <w:r w:rsidR="005D37BD">
        <w:rPr>
          <w:szCs w:val="16"/>
        </w:rPr>
        <w:fldChar w:fldCharType="separate"/>
      </w:r>
      <w:r w:rsidR="000218FC" w:rsidRPr="000218FC">
        <w:rPr>
          <w:noProof/>
          <w:szCs w:val="16"/>
        </w:rPr>
        <w:t>[21]</w:t>
      </w:r>
      <w:r w:rsidR="005D37BD">
        <w:rPr>
          <w:szCs w:val="16"/>
        </w:rPr>
        <w:fldChar w:fldCharType="end"/>
      </w:r>
      <w:r w:rsidR="00C26A75">
        <w:rPr>
          <w:szCs w:val="16"/>
        </w:rPr>
        <w:t xml:space="preserve"> implications if the </w:t>
      </w:r>
      <w:r w:rsidR="00C26A75" w:rsidRPr="000218FC">
        <w:rPr>
          <w:szCs w:val="16"/>
        </w:rPr>
        <w:t>customer/client financial data was breached and</w:t>
      </w:r>
      <w:r w:rsidR="002E65AA" w:rsidRPr="000218FC">
        <w:rPr>
          <w:szCs w:val="16"/>
        </w:rPr>
        <w:t xml:space="preserve"> also</w:t>
      </w:r>
      <w:r w:rsidR="00C26A75" w:rsidRPr="000218FC">
        <w:rPr>
          <w:szCs w:val="16"/>
        </w:rPr>
        <w:t xml:space="preserve"> the attractive target the company would become for malicious actors if this </w:t>
      </w:r>
      <w:r w:rsidR="002E65AA" w:rsidRPr="000218FC">
        <w:rPr>
          <w:szCs w:val="16"/>
        </w:rPr>
        <w:t xml:space="preserve">high risk </w:t>
      </w:r>
      <w:r w:rsidR="00C26A75" w:rsidRPr="000218FC">
        <w:rPr>
          <w:szCs w:val="16"/>
        </w:rPr>
        <w:t xml:space="preserve">data was stored within the </w:t>
      </w:r>
      <w:r w:rsidR="00A77FC8" w:rsidRPr="000218FC">
        <w:rPr>
          <w:szCs w:val="16"/>
        </w:rPr>
        <w:t>companies</w:t>
      </w:r>
      <w:r w:rsidR="00C26A75" w:rsidRPr="000218FC">
        <w:rPr>
          <w:szCs w:val="16"/>
        </w:rPr>
        <w:t xml:space="preserve"> network that would</w:t>
      </w:r>
      <w:r w:rsidR="00A77FC8" w:rsidRPr="000218FC">
        <w:rPr>
          <w:szCs w:val="16"/>
        </w:rPr>
        <w:t xml:space="preserve"> also</w:t>
      </w:r>
      <w:r w:rsidR="00C26A75" w:rsidRPr="000218FC">
        <w:rPr>
          <w:szCs w:val="16"/>
        </w:rPr>
        <w:t xml:space="preserve"> put all of the other business</w:t>
      </w:r>
      <w:r w:rsidR="005C7C29" w:rsidRPr="000218FC">
        <w:rPr>
          <w:szCs w:val="16"/>
        </w:rPr>
        <w:t xml:space="preserve"> data</w:t>
      </w:r>
      <w:r w:rsidR="00C26A75" w:rsidRPr="000218FC">
        <w:rPr>
          <w:szCs w:val="16"/>
        </w:rPr>
        <w:t xml:space="preserve"> assets at risk.</w:t>
      </w:r>
    </w:p>
    <w:p w14:paraId="5101B1BC" w14:textId="426280AC" w:rsidR="009F3D23" w:rsidRPr="0077660F" w:rsidRDefault="002E65AA" w:rsidP="009F3D23">
      <w:pPr>
        <w:spacing w:after="80"/>
        <w:jc w:val="both"/>
        <w:rPr>
          <w:b/>
          <w:bCs/>
          <w:szCs w:val="16"/>
        </w:rPr>
      </w:pPr>
      <w:r>
        <w:rPr>
          <w:szCs w:val="16"/>
        </w:rPr>
        <w:t>Therefore,</w:t>
      </w:r>
      <w:r w:rsidR="00C26A75">
        <w:rPr>
          <w:szCs w:val="16"/>
        </w:rPr>
        <w:t xml:space="preserve"> it was decided </w:t>
      </w:r>
      <w:r>
        <w:rPr>
          <w:szCs w:val="16"/>
        </w:rPr>
        <w:t xml:space="preserve">to </w:t>
      </w:r>
      <w:r w:rsidR="001E7088">
        <w:rPr>
          <w:szCs w:val="16"/>
        </w:rPr>
        <w:t>remove the risk by</w:t>
      </w:r>
      <w:r w:rsidR="00C26A75">
        <w:rPr>
          <w:szCs w:val="16"/>
        </w:rPr>
        <w:t xml:space="preserve"> </w:t>
      </w:r>
      <w:r w:rsidR="001E7088">
        <w:rPr>
          <w:szCs w:val="16"/>
        </w:rPr>
        <w:t>outsourcing</w:t>
      </w:r>
      <w:r w:rsidR="00C26A75">
        <w:rPr>
          <w:szCs w:val="16"/>
        </w:rPr>
        <w:t xml:space="preserve"> the </w:t>
      </w:r>
      <w:r w:rsidR="001E7088">
        <w:rPr>
          <w:szCs w:val="16"/>
        </w:rPr>
        <w:t xml:space="preserve">online </w:t>
      </w:r>
      <w:r w:rsidR="00C26A75">
        <w:rPr>
          <w:szCs w:val="16"/>
        </w:rPr>
        <w:t>payments to a 3</w:t>
      </w:r>
      <w:r w:rsidR="00C26A75" w:rsidRPr="00C26A75">
        <w:rPr>
          <w:szCs w:val="16"/>
          <w:vertAlign w:val="superscript"/>
        </w:rPr>
        <w:t>rd</w:t>
      </w:r>
      <w:r w:rsidR="00C26A75">
        <w:rPr>
          <w:szCs w:val="16"/>
        </w:rPr>
        <w:t xml:space="preserve"> party merchant</w:t>
      </w:r>
      <w:r w:rsidR="00D311DD">
        <w:rPr>
          <w:szCs w:val="16"/>
        </w:rPr>
        <w:t>;</w:t>
      </w:r>
      <w:r w:rsidR="00C26A75">
        <w:rPr>
          <w:szCs w:val="16"/>
        </w:rPr>
        <w:t xml:space="preserve"> </w:t>
      </w:r>
      <w:r w:rsidR="00D311DD">
        <w:rPr>
          <w:szCs w:val="16"/>
        </w:rPr>
        <w:t>‘</w:t>
      </w:r>
      <w:r w:rsidR="006A720F">
        <w:rPr>
          <w:szCs w:val="16"/>
        </w:rPr>
        <w:t>PayPal</w:t>
      </w:r>
      <w:r w:rsidR="00D311DD">
        <w:rPr>
          <w:szCs w:val="16"/>
        </w:rPr>
        <w:t>’</w:t>
      </w:r>
      <w:r w:rsidR="005D37BD">
        <w:rPr>
          <w:szCs w:val="16"/>
        </w:rPr>
        <w:t xml:space="preserve"> </w:t>
      </w:r>
      <w:r w:rsidR="005D37BD">
        <w:rPr>
          <w:szCs w:val="16"/>
        </w:rPr>
        <w:fldChar w:fldCharType="begin" w:fldLock="1"/>
      </w:r>
      <w:r w:rsidR="003B3084">
        <w:rPr>
          <w:szCs w:val="16"/>
        </w:rPr>
        <w:instrText>ADDIN CSL_CITATION {"citationItems":[{"id":"ITEM-1","itemData":{"DOI":"10.1201/b20160-12","abstract":"PayPal is the faster, safer way to send money, make an online payment, receive money or set up a merchant account.","author":[{"dropping-particle":"","family":"Sherif","given":"Mostafa Hashem","non-dropping-particle":"","parse-names":false,"suffix":""}],"container-title":"Protocols for Secure Electronic Commerce","id":"ITEM-1","issued":{"date-parts":[["2016"]]},"title":"PayPal","type":"chapter"},"uris":["http://www.mendeley.com/documents/?uuid=ce9afcb0-790c-409a-9d3e-34a37941909a"]}],"mendeley":{"formattedCitation":"[53]","plainTextFormattedCitation":"[53]","previouslyFormattedCitation":"[53]"},"properties":{"noteIndex":0},"schema":"https://github.com/citation-style-language/schema/raw/master/csl-citation.json"}</w:instrText>
      </w:r>
      <w:r w:rsidR="005D37BD">
        <w:rPr>
          <w:szCs w:val="16"/>
        </w:rPr>
        <w:fldChar w:fldCharType="separate"/>
      </w:r>
      <w:r w:rsidR="00E01F0D" w:rsidRPr="00E01F0D">
        <w:rPr>
          <w:noProof/>
          <w:szCs w:val="16"/>
        </w:rPr>
        <w:t>[53]</w:t>
      </w:r>
      <w:r w:rsidR="005D37BD">
        <w:rPr>
          <w:szCs w:val="16"/>
        </w:rPr>
        <w:fldChar w:fldCharType="end"/>
      </w:r>
      <w:r w:rsidR="00D311DD">
        <w:rPr>
          <w:szCs w:val="16"/>
        </w:rPr>
        <w:t xml:space="preserve"> </w:t>
      </w:r>
      <w:r w:rsidR="00C26A75">
        <w:rPr>
          <w:szCs w:val="16"/>
        </w:rPr>
        <w:t>whom</w:t>
      </w:r>
      <w:r>
        <w:rPr>
          <w:szCs w:val="16"/>
        </w:rPr>
        <w:t xml:space="preserve"> specialise in processing high risk </w:t>
      </w:r>
      <w:r w:rsidR="006A720F">
        <w:rPr>
          <w:szCs w:val="16"/>
        </w:rPr>
        <w:t xml:space="preserve">payment </w:t>
      </w:r>
      <w:r>
        <w:rPr>
          <w:szCs w:val="16"/>
        </w:rPr>
        <w:t xml:space="preserve">data </w:t>
      </w:r>
      <w:r w:rsidR="006A720F">
        <w:rPr>
          <w:szCs w:val="16"/>
        </w:rPr>
        <w:t>from all of the major credit/debit card companies as they already</w:t>
      </w:r>
      <w:r w:rsidR="00C26A75">
        <w:rPr>
          <w:szCs w:val="16"/>
        </w:rPr>
        <w:t xml:space="preserve"> ha</w:t>
      </w:r>
      <w:r w:rsidR="00D311DD">
        <w:rPr>
          <w:szCs w:val="16"/>
        </w:rPr>
        <w:t>ve</w:t>
      </w:r>
      <w:r w:rsidR="00C26A75">
        <w:rPr>
          <w:szCs w:val="16"/>
        </w:rPr>
        <w:t xml:space="preserve"> the correct infrastructure in place to secure the data along with the PCI-DSS certification and cybersecurity insurance</w:t>
      </w:r>
      <w:r w:rsidR="005C7C29">
        <w:rPr>
          <w:szCs w:val="16"/>
        </w:rPr>
        <w:t xml:space="preserve"> in the event their network was breached in which ‘</w:t>
      </w:r>
      <w:r w:rsidR="006A720F">
        <w:rPr>
          <w:szCs w:val="16"/>
        </w:rPr>
        <w:t>PayPal</w:t>
      </w:r>
      <w:r w:rsidR="005C7C29">
        <w:rPr>
          <w:szCs w:val="16"/>
        </w:rPr>
        <w:t>’ would be subject to GDPR fines</w:t>
      </w:r>
      <w:r w:rsidR="00757125">
        <w:rPr>
          <w:szCs w:val="16"/>
        </w:rPr>
        <w:t xml:space="preserve"> and </w:t>
      </w:r>
      <w:r w:rsidR="00CC7B33">
        <w:rPr>
          <w:szCs w:val="16"/>
        </w:rPr>
        <w:t xml:space="preserve">customer/client </w:t>
      </w:r>
      <w:r w:rsidR="00757125">
        <w:rPr>
          <w:szCs w:val="16"/>
        </w:rPr>
        <w:t>compensation</w:t>
      </w:r>
      <w:r w:rsidR="005C7C29">
        <w:rPr>
          <w:szCs w:val="16"/>
        </w:rPr>
        <w:t xml:space="preserve"> not ‘Caribbean Coffee Ltd’</w:t>
      </w:r>
      <w:r w:rsidR="00D311DD">
        <w:rPr>
          <w:szCs w:val="16"/>
        </w:rPr>
        <w:t>.</w:t>
      </w:r>
      <w:r w:rsidR="00C26A75">
        <w:rPr>
          <w:szCs w:val="16"/>
        </w:rPr>
        <w:t xml:space="preserve"> </w:t>
      </w:r>
    </w:p>
    <w:p w14:paraId="490C4AD2" w14:textId="2E16380F" w:rsidR="009F3D23" w:rsidRDefault="009F3D23" w:rsidP="009F3D23">
      <w:pPr>
        <w:spacing w:after="80"/>
        <w:jc w:val="both"/>
        <w:rPr>
          <w:szCs w:val="16"/>
        </w:rPr>
      </w:pPr>
      <w:r w:rsidRPr="0035160C">
        <w:rPr>
          <w:b/>
          <w:bCs/>
          <w:szCs w:val="16"/>
        </w:rPr>
        <w:t xml:space="preserve">Risk 3 – </w:t>
      </w:r>
      <w:r>
        <w:rPr>
          <w:b/>
          <w:bCs/>
          <w:szCs w:val="16"/>
        </w:rPr>
        <w:t>Malware</w:t>
      </w:r>
      <w:r>
        <w:rPr>
          <w:szCs w:val="16"/>
        </w:rPr>
        <w:t xml:space="preserve"> – </w:t>
      </w:r>
      <w:r w:rsidR="00497807">
        <w:rPr>
          <w:szCs w:val="16"/>
        </w:rPr>
        <w:t xml:space="preserve">Malware is responsible for </w:t>
      </w:r>
      <w:r w:rsidR="000B4BCE">
        <w:rPr>
          <w:szCs w:val="16"/>
        </w:rPr>
        <w:t>the majority</w:t>
      </w:r>
      <w:r w:rsidR="00497807">
        <w:rPr>
          <w:szCs w:val="16"/>
        </w:rPr>
        <w:t xml:space="preserve"> of cybersecurity breaches around the glo</w:t>
      </w:r>
      <w:r w:rsidR="00605EA8">
        <w:rPr>
          <w:szCs w:val="16"/>
        </w:rPr>
        <w:t>be</w:t>
      </w:r>
      <w:r w:rsidR="000B4BCE">
        <w:rPr>
          <w:szCs w:val="16"/>
        </w:rPr>
        <w:t>,</w:t>
      </w:r>
      <w:r w:rsidR="00605EA8">
        <w:rPr>
          <w:szCs w:val="16"/>
        </w:rPr>
        <w:t xml:space="preserve"> </w:t>
      </w:r>
      <w:r w:rsidR="00497807">
        <w:rPr>
          <w:szCs w:val="16"/>
        </w:rPr>
        <w:t xml:space="preserve">that is why malware is viewed as a severe risk to the </w:t>
      </w:r>
      <w:r w:rsidR="000B4BCE">
        <w:rPr>
          <w:szCs w:val="16"/>
        </w:rPr>
        <w:t>data security of ‘Caribbean Coffee Ltd’.</w:t>
      </w:r>
      <w:r w:rsidR="00497807">
        <w:rPr>
          <w:szCs w:val="16"/>
        </w:rPr>
        <w:t xml:space="preserve"> </w:t>
      </w:r>
      <w:r w:rsidR="00605EA8">
        <w:rPr>
          <w:szCs w:val="16"/>
        </w:rPr>
        <w:t>The most common types of Malware as of 2019 are; Trojan-horses</w:t>
      </w:r>
      <w:r w:rsidR="002225FA">
        <w:rPr>
          <w:szCs w:val="16"/>
        </w:rPr>
        <w:t xml:space="preserve"> </w:t>
      </w:r>
      <w:r w:rsidR="002225FA">
        <w:rPr>
          <w:szCs w:val="16"/>
        </w:rPr>
        <w:fldChar w:fldCharType="begin" w:fldLock="1"/>
      </w:r>
      <w:r w:rsidR="002225FA">
        <w:rPr>
          <w:szCs w:val="16"/>
        </w:rPr>
        <w:instrText>ADDIN CSL_CITATION {"citationItems":[{"id":"ITEM-1","itemData":{"DOI":"10.1109/MSP.2009.181","ISSN":"15407993","abstract":"This paper presents the generation of virus emerging from email to cellphones. Most of these early threats were self-replicating but not self-transporting, spreading from computer to computer via infected floppy disks. As more viruses were discovered, most known malware existed only in researchers' collections and not in users' machines. Malware was shift from virus to worm called Trojan horse. And different anti-virus companies deploying new tools to protect users from malware.","author":[{"dropping-particle":"","family":"Ford","given":"Richard","non-dropping-particle":"","parse-names":false,"suffix":""},{"dropping-particle":"","family":"Allen","given":"William H.","non-dropping-particle":"","parse-names":false,"suffix":""}],"container-title":"IEEE Security and Privacy","id":"ITEM-1","issued":{"date-parts":[["2009"]]},"title":"Malware shall greatly increase</w:instrText>
      </w:r>
      <w:r w:rsidR="002225FA">
        <w:rPr>
          <w:rFonts w:ascii="Cambria Math" w:hAnsi="Cambria Math" w:cs="Cambria Math"/>
          <w:szCs w:val="16"/>
        </w:rPr>
        <w:instrText>⋯</w:instrText>
      </w:r>
      <w:r w:rsidR="002225FA">
        <w:rPr>
          <w:szCs w:val="16"/>
        </w:rPr>
        <w:instrText>","type":"article-journal"},"uris":["http://www.mendeley.com/documents/?uuid=e5b66ee0-cd59-4874-9450-9c1f88459cb8"]}],"mendeley":{"formattedCitation":"[54]","plainTextFormattedCitation":"[54]","previouslyFormattedCitation":"[54]"},"properties":{"noteIndex":0},"schema":"https://github.com/citation-style-language/schema/raw/master/csl-citation.json"}</w:instrText>
      </w:r>
      <w:r w:rsidR="002225FA">
        <w:rPr>
          <w:szCs w:val="16"/>
        </w:rPr>
        <w:fldChar w:fldCharType="separate"/>
      </w:r>
      <w:r w:rsidR="002225FA" w:rsidRPr="002225FA">
        <w:rPr>
          <w:noProof/>
          <w:szCs w:val="16"/>
        </w:rPr>
        <w:t>[54]</w:t>
      </w:r>
      <w:r w:rsidR="002225FA">
        <w:rPr>
          <w:szCs w:val="16"/>
        </w:rPr>
        <w:fldChar w:fldCharType="end"/>
      </w:r>
      <w:r w:rsidR="00605EA8">
        <w:rPr>
          <w:szCs w:val="16"/>
        </w:rPr>
        <w:t>, Ransomware</w:t>
      </w:r>
      <w:r w:rsidR="002225FA">
        <w:rPr>
          <w:szCs w:val="16"/>
        </w:rPr>
        <w:t xml:space="preserve"> </w:t>
      </w:r>
      <w:r w:rsidR="002225FA">
        <w:rPr>
          <w:szCs w:val="16"/>
        </w:rPr>
        <w:fldChar w:fldCharType="begin" w:fldLock="1"/>
      </w:r>
      <w:r w:rsidR="002225FA">
        <w:rPr>
          <w:szCs w:val="16"/>
        </w:rPr>
        <w:instrText>ADDIN CSL_CITATION {"citationItems":[{"id":"ITEM-1","itemData":{"abstract":"Ransomware is a type of malware that restricts access to a computer system that it infects in some way, and demands that the user pay a ransom to the operators of the malware to remove the restriction. Some forms of ransomware systematically encrypt files on the system's hard drive (cryptoviral extortion, a threat originally envisioned by Adam Young and Moti Yung) using a large key that may be technologically infeasible to breach without paying the ransom, while some may simply lock the system and display messages intended to coax the user into paying. Ransomware typically propagates as a trojan, whose payload is disguised as a seemingly legitimate file. While initially popular in Russia, the use of ransomware scams has grown internationally;[1][2][3] in June 2013, security software vendor McAfee released data showing that it had collected over 250,000 unique samples of ransomware in the first quarter of 2013—more than double the number it had obtained in the first quarter of 2012.[4] Wide-ranging attacks involving encryption-based ransomware began to increase through trojans such as CryptoLocker, which had procured an estimated US$3 million before it was taken down by authorities,[5] and Cryptowall, which has procured an estimated $15 million as of June 2015.[6]","author":[{"dropping-particle":"","family":"et al.. Dunn","given":"John E","non-dropping-particle":"","parse-names":false,"suffix":""}],"container-title":"Wikipedia","id":"ITEM-1","issued":{"date-parts":[["2012"]]},"page":"7","title":"Ransomware","type":"article"},"uris":["http://www.mendeley.com/documents/?uuid=516669d4-8d46-499e-8a9b-5f5e90a20d01"]}],"mendeley":{"formattedCitation":"[55]","plainTextFormattedCitation":"[55]","previouslyFormattedCitation":"[55]"},"properties":{"noteIndex":0},"schema":"https://github.com/citation-style-language/schema/raw/master/csl-citation.json"}</w:instrText>
      </w:r>
      <w:r w:rsidR="002225FA">
        <w:rPr>
          <w:szCs w:val="16"/>
        </w:rPr>
        <w:fldChar w:fldCharType="separate"/>
      </w:r>
      <w:r w:rsidR="002225FA" w:rsidRPr="002225FA">
        <w:rPr>
          <w:noProof/>
          <w:szCs w:val="16"/>
        </w:rPr>
        <w:t>[55]</w:t>
      </w:r>
      <w:r w:rsidR="002225FA">
        <w:rPr>
          <w:szCs w:val="16"/>
        </w:rPr>
        <w:fldChar w:fldCharType="end"/>
      </w:r>
      <w:r w:rsidR="00605EA8">
        <w:rPr>
          <w:szCs w:val="16"/>
        </w:rPr>
        <w:t>, Crypto</w:t>
      </w:r>
      <w:r w:rsidR="00FE63B0">
        <w:rPr>
          <w:szCs w:val="16"/>
        </w:rPr>
        <w:t>-</w:t>
      </w:r>
      <w:r w:rsidR="00605EA8">
        <w:rPr>
          <w:szCs w:val="16"/>
        </w:rPr>
        <w:t>mining</w:t>
      </w:r>
      <w:r w:rsidR="002225FA">
        <w:rPr>
          <w:szCs w:val="16"/>
        </w:rPr>
        <w:t xml:space="preserve"> </w:t>
      </w:r>
      <w:r w:rsidR="002225FA">
        <w:rPr>
          <w:szCs w:val="16"/>
        </w:rPr>
        <w:fldChar w:fldCharType="begin" w:fldLock="1"/>
      </w:r>
      <w:r w:rsidR="00F351C4">
        <w:rPr>
          <w:szCs w:val="16"/>
        </w:rPr>
        <w:instrText>ADDIN CSL_CITATION {"citationItems":[{"id":"ITEM-1","itemData":{"DOI":"10.1109/PST.2018.8514167","ISBN":"9781538674932","abstract":"With the rise in worth and popularity of cryptocurrencies, a new opportunity for criminal gain is being exploited and with little currently offered in the way of defence. The cost of mining (i.e., earning cryptocurrency through CPU-intensive calculations that underpin the blockchain technology) can be prohibitively expensive, with hardware costs and electrical overheads previously offering a loss compared to the cryptocurrency gained. Off-loading these costs along a distributed network of machines via malware offers an instantly profitable scenario, though standard Anti-virus (AV) products offer some defences against file-based threats. However, newer fileless malicious attacks, occurring through the browser on seemingly legitimate websites, can easily evade detection and surreptitiously engage the victim machine in computationally-expensive cryptomining (cryptojacking). With no current academic literature on the dynamic opcode analysis of cryptomining, to the best of our knowledge, we present the first such experimental study. Indeed, this is the first such work presenting opcode analysis on non-executable files. Our results show that browser-based cryptomining within our dataset can be detected by dynamic opcode analysis, with accuracies of up to 100%. Further to this, our model can distinguish between cryptomining sites, weaponized benign sites, de-weaponized cryptomining sites and real world benign sites. As it is process-based, our technique offers an opportunity to rapidly detect, prevent and mitigate such attacks, a novel contribution which should encourage further future work.","author":[{"dropping-particle":"","family":"Carlin","given":"Domhnall","non-dropping-particle":"","parse-names":false,"suffix":""},{"dropping-particle":"","family":"Orkane","given":"Philip","non-dropping-particle":"","parse-names":false,"suffix":""},{"dropping-particle":"","family":"Sezer","given":"Sakir","non-dropping-particle":"","parse-names":false,"suffix":""},{"dropping-particle":"","family":"Burgess","given":"Jonah","non-dropping-particle":"","parse-names":false,"suffix":""}],"container-title":"2018 16th Annual Conference on Privacy, Security and Trust, PST 2018","id":"ITEM-1","issued":{"date-parts":[["2018"]]},"title":"Detecting Cryptomining Using Dynamic Analysis","type":"paper-conference"},"uris":["http://www.mendeley.com/documents/?uuid=2a1e4e46-51ab-4b3e-bcc4-3b53ea72995f"]}],"mendeley":{"formattedCitation":"[56]","plainTextFormattedCitation":"[56]","previouslyFormattedCitation":"[56]"},"properties":{"noteIndex":0},"schema":"https://github.com/citation-style-language/schema/raw/master/csl-citation.json"}</w:instrText>
      </w:r>
      <w:r w:rsidR="002225FA">
        <w:rPr>
          <w:szCs w:val="16"/>
        </w:rPr>
        <w:fldChar w:fldCharType="separate"/>
      </w:r>
      <w:r w:rsidR="002225FA" w:rsidRPr="002225FA">
        <w:rPr>
          <w:noProof/>
          <w:szCs w:val="16"/>
        </w:rPr>
        <w:t>[56]</w:t>
      </w:r>
      <w:r w:rsidR="002225FA">
        <w:rPr>
          <w:szCs w:val="16"/>
        </w:rPr>
        <w:fldChar w:fldCharType="end"/>
      </w:r>
      <w:r w:rsidR="00605EA8">
        <w:rPr>
          <w:szCs w:val="16"/>
        </w:rPr>
        <w:t xml:space="preserve"> and Spyware</w:t>
      </w:r>
      <w:r w:rsidR="002225FA">
        <w:rPr>
          <w:szCs w:val="16"/>
        </w:rPr>
        <w:t xml:space="preserve"> </w:t>
      </w:r>
      <w:r w:rsidR="002225FA">
        <w:rPr>
          <w:szCs w:val="16"/>
        </w:rPr>
        <w:fldChar w:fldCharType="begin" w:fldLock="1"/>
      </w:r>
      <w:r w:rsidR="00F351C4">
        <w:rPr>
          <w:szCs w:val="16"/>
        </w:rPr>
        <w:instrText>ADDIN CSL_CITATION {"citationItems":[{"id":"ITEM-1","itemData":{"abstract":"When you start to think about all the things that could go wrong when browsing the Internet, the web starts to look like a pretty scary place. Luckily, Internet users as a whole are getting far more savvy, and better at recognizing risky online behavior. While pages with a dozen download buttons – or auto-checked boxes that tricked us into downloading things we didn’t want – are no longer quite as effective as they once were, that doesn’t mean there aren’t hackers out there right now trying to come up with new methods of deception. In order to protect ourselves from these threats it’s important to understand just what they are, and how they differ.","author":[{"dropping-particle":"","family":"Clark","given":"Bryan","non-dropping-particle":"","parse-names":false,"suffix":""}],"container-title":"MakeUseOf","id":"ITEM-1","issued":{"date-parts":[["2015"]]},"title":"Viruses, Spyware, Malware, etc. Explained: Understanding Online Threats","type":"webpage"},"uris":["http://www.mendeley.com/documents/?uuid=97e78a1f-eaf9-4ad6-9c14-63783b222088"]}],"mendeley":{"formattedCitation":"[57]","plainTextFormattedCitation":"[57]","previouslyFormattedCitation":"[57]"},"properties":{"noteIndex":0},"schema":"https://github.com/citation-style-language/schema/raw/master/csl-citation.json"}</w:instrText>
      </w:r>
      <w:r w:rsidR="002225FA">
        <w:rPr>
          <w:szCs w:val="16"/>
        </w:rPr>
        <w:fldChar w:fldCharType="separate"/>
      </w:r>
      <w:r w:rsidR="002225FA" w:rsidRPr="002225FA">
        <w:rPr>
          <w:noProof/>
          <w:szCs w:val="16"/>
        </w:rPr>
        <w:t>[57]</w:t>
      </w:r>
      <w:r w:rsidR="002225FA">
        <w:rPr>
          <w:szCs w:val="16"/>
        </w:rPr>
        <w:fldChar w:fldCharType="end"/>
      </w:r>
      <w:r w:rsidR="00605EA8">
        <w:rPr>
          <w:szCs w:val="16"/>
        </w:rPr>
        <w:t xml:space="preserve"> i.e. keylogging.</w:t>
      </w:r>
    </w:p>
    <w:p w14:paraId="7F4E2517" w14:textId="734CDA26" w:rsidR="007C755F" w:rsidRDefault="009F3D23" w:rsidP="009F3D23">
      <w:pPr>
        <w:spacing w:after="80"/>
        <w:jc w:val="both"/>
        <w:rPr>
          <w:szCs w:val="16"/>
        </w:rPr>
      </w:pPr>
      <w:r w:rsidRPr="00F22E20">
        <w:rPr>
          <w:b/>
          <w:bCs/>
          <w:szCs w:val="16"/>
        </w:rPr>
        <w:t xml:space="preserve">Risk Treatment </w:t>
      </w:r>
      <w:r w:rsidR="00497807">
        <w:rPr>
          <w:b/>
          <w:bCs/>
          <w:szCs w:val="16"/>
        </w:rPr>
        <w:t>–</w:t>
      </w:r>
      <w:r w:rsidRPr="00F22E20">
        <w:rPr>
          <w:b/>
          <w:bCs/>
          <w:szCs w:val="16"/>
        </w:rPr>
        <w:t xml:space="preserve"> </w:t>
      </w:r>
      <w:r w:rsidR="00497807" w:rsidRPr="001D56D4">
        <w:rPr>
          <w:szCs w:val="16"/>
        </w:rPr>
        <w:t xml:space="preserve">To prevent </w:t>
      </w:r>
      <w:r w:rsidR="001D56D4" w:rsidRPr="001D56D4">
        <w:rPr>
          <w:szCs w:val="16"/>
        </w:rPr>
        <w:t xml:space="preserve">the highly sensitive business </w:t>
      </w:r>
      <w:r w:rsidR="00497807" w:rsidRPr="001D56D4">
        <w:rPr>
          <w:szCs w:val="16"/>
        </w:rPr>
        <w:t>data being transmitted across the Internet insecurely</w:t>
      </w:r>
      <w:r w:rsidR="001D56D4" w:rsidRPr="001D56D4">
        <w:rPr>
          <w:szCs w:val="16"/>
        </w:rPr>
        <w:t xml:space="preserve"> where a</w:t>
      </w:r>
      <w:r w:rsidR="000546C0">
        <w:rPr>
          <w:szCs w:val="16"/>
        </w:rPr>
        <w:t xml:space="preserve"> network-layer</w:t>
      </w:r>
      <w:r w:rsidR="001D56D4" w:rsidRPr="001D56D4">
        <w:rPr>
          <w:szCs w:val="16"/>
        </w:rPr>
        <w:t xml:space="preserve"> Man-In-The-Middle (MITM)</w:t>
      </w:r>
      <w:r w:rsidR="00785053">
        <w:rPr>
          <w:szCs w:val="16"/>
        </w:rPr>
        <w:t xml:space="preserve"> </w:t>
      </w:r>
      <w:r w:rsidR="00785053">
        <w:rPr>
          <w:szCs w:val="16"/>
        </w:rPr>
        <w:fldChar w:fldCharType="begin" w:fldLock="1"/>
      </w:r>
      <w:r w:rsidR="00F351C4">
        <w:rPr>
          <w:szCs w:val="16"/>
        </w:rPr>
        <w:instrText>ADDIN CSL_CITATION {"citationItems":[{"id":"ITEM-1","itemData":{"URL":"https://us.norton.com/internetsecurity-wifi-what-is-a-man-in-the-middle-attack.html","abstract":"MITM attack","accessed":{"date-parts":[["2019","1","22"]]},"author":[{"dropping-particle":"","family":"Norton","given":"","non-dropping-particle":"","parse-names":false,"suffix":""}],"container-title":"norton.com","id":"ITEM-1","issued":{"date-parts":[["2018"]]},"page":"1","title":"What is a man-in-the-middle attack?","type":"webpage"},"uris":["http://www.mendeley.com/documents/?uuid=5941a9c8-74db-34a9-88fc-6c795143c9fe"]}],"mendeley":{"formattedCitation":"[58]","plainTextFormattedCitation":"[58]","previouslyFormattedCitation":"[58]"},"properties":{"noteIndex":0},"schema":"https://github.com/citation-style-language/schema/raw/master/csl-citation.json"}</w:instrText>
      </w:r>
      <w:r w:rsidR="00785053">
        <w:rPr>
          <w:szCs w:val="16"/>
        </w:rPr>
        <w:fldChar w:fldCharType="separate"/>
      </w:r>
      <w:r w:rsidR="002225FA" w:rsidRPr="002225FA">
        <w:rPr>
          <w:noProof/>
          <w:szCs w:val="16"/>
        </w:rPr>
        <w:t>[58]</w:t>
      </w:r>
      <w:r w:rsidR="00785053">
        <w:rPr>
          <w:szCs w:val="16"/>
        </w:rPr>
        <w:fldChar w:fldCharType="end"/>
      </w:r>
      <w:r w:rsidR="001D56D4" w:rsidRPr="001D56D4">
        <w:rPr>
          <w:szCs w:val="16"/>
        </w:rPr>
        <w:t xml:space="preserve"> attack could </w:t>
      </w:r>
      <w:r w:rsidR="00A77FC8">
        <w:rPr>
          <w:szCs w:val="16"/>
        </w:rPr>
        <w:t xml:space="preserve">be </w:t>
      </w:r>
      <w:r w:rsidR="00FC44D4">
        <w:rPr>
          <w:szCs w:val="16"/>
        </w:rPr>
        <w:t>leveraged</w:t>
      </w:r>
      <w:r w:rsidR="001D56D4" w:rsidRPr="001D56D4">
        <w:rPr>
          <w:szCs w:val="16"/>
        </w:rPr>
        <w:t xml:space="preserve"> </w:t>
      </w:r>
      <w:r w:rsidR="001D56D4">
        <w:rPr>
          <w:szCs w:val="16"/>
        </w:rPr>
        <w:t>and/or remote exploitation attack</w:t>
      </w:r>
      <w:r w:rsidR="001F64AA">
        <w:rPr>
          <w:szCs w:val="16"/>
        </w:rPr>
        <w:t>,</w:t>
      </w:r>
      <w:r w:rsidR="00A02AA9">
        <w:rPr>
          <w:szCs w:val="16"/>
        </w:rPr>
        <w:t xml:space="preserve"> a hardware firewall will be implemented at the WAN boundary of the network</w:t>
      </w:r>
      <w:r w:rsidR="001D56D4">
        <w:rPr>
          <w:szCs w:val="16"/>
        </w:rPr>
        <w:t xml:space="preserve"> </w:t>
      </w:r>
      <w:r w:rsidR="00A02AA9">
        <w:rPr>
          <w:szCs w:val="16"/>
        </w:rPr>
        <w:t xml:space="preserve">containing an IPS. A secure </w:t>
      </w:r>
      <w:r w:rsidR="000546C0">
        <w:rPr>
          <w:szCs w:val="16"/>
        </w:rPr>
        <w:t>s</w:t>
      </w:r>
      <w:r w:rsidR="001D56D4">
        <w:rPr>
          <w:szCs w:val="16"/>
        </w:rPr>
        <w:t>ite-to-</w:t>
      </w:r>
      <w:r w:rsidR="00A02AA9">
        <w:rPr>
          <w:szCs w:val="16"/>
        </w:rPr>
        <w:t>site Virtual</w:t>
      </w:r>
      <w:r w:rsidR="001D56D4">
        <w:rPr>
          <w:szCs w:val="16"/>
        </w:rPr>
        <w:t xml:space="preserve"> Private Network (VPN)</w:t>
      </w:r>
      <w:r w:rsidR="00785053">
        <w:rPr>
          <w:szCs w:val="16"/>
        </w:rPr>
        <w:t xml:space="preserve"> </w:t>
      </w:r>
      <w:r w:rsidR="00785053">
        <w:rPr>
          <w:szCs w:val="16"/>
        </w:rPr>
        <w:fldChar w:fldCharType="begin" w:fldLock="1"/>
      </w:r>
      <w:r w:rsidR="00F351C4">
        <w:rPr>
          <w:szCs w:val="16"/>
        </w:rPr>
        <w:instrText>ADDIN CSL_CITATION {"citationItems":[{"id":"ITEM-1","itemData":{"abstract":"VPN overview","author":[{"dropping-particle":"","family":"Cisco","given":"","non-dropping-particle":"","parse-names":false,"suffix":""}],"id":"ITEM-1","issued":{"date-parts":[["2013"]]},"number-of-pages":"1","title":"VPN Overview","type":"report"},"uris":["http://www.mendeley.com/documents/?uuid=b7f656cb-447f-396e-a983-4fe16b804a57"]}],"mendeley":{"formattedCitation":"[59]","plainTextFormattedCitation":"[59]","previouslyFormattedCitation":"[59]"},"properties":{"noteIndex":0},"schema":"https://github.com/citation-style-language/schema/raw/master/csl-citation.json"}</w:instrText>
      </w:r>
      <w:r w:rsidR="00785053">
        <w:rPr>
          <w:szCs w:val="16"/>
        </w:rPr>
        <w:fldChar w:fldCharType="separate"/>
      </w:r>
      <w:r w:rsidR="002225FA" w:rsidRPr="002225FA">
        <w:rPr>
          <w:noProof/>
          <w:szCs w:val="16"/>
        </w:rPr>
        <w:t>[59]</w:t>
      </w:r>
      <w:r w:rsidR="00785053">
        <w:rPr>
          <w:szCs w:val="16"/>
        </w:rPr>
        <w:fldChar w:fldCharType="end"/>
      </w:r>
      <w:r w:rsidR="001D56D4">
        <w:rPr>
          <w:szCs w:val="16"/>
        </w:rPr>
        <w:t xml:space="preserve"> </w:t>
      </w:r>
      <w:r w:rsidR="00785053">
        <w:rPr>
          <w:szCs w:val="16"/>
        </w:rPr>
        <w:fldChar w:fldCharType="begin" w:fldLock="1"/>
      </w:r>
      <w:r w:rsidR="00F351C4">
        <w:rPr>
          <w:szCs w:val="16"/>
        </w:rPr>
        <w:instrText>ADDIN CSL_CITATION {"citationItems":[{"id":"ITEM-1","itemData":{"ISBN":"1587051117","abstract":"Published April 07, 2005, 384 pages. SUMMARY: The definitive design and deployment guide for secure virtual private networks Learn about IPSec protocols and Cisco IOS IPSec packet processing Understand the differences between IPSec tunnel mode and transport mode Evaluate the IPSec features that improve VPN scalability and fault tolerance, such as dead peer detection and control plane keepalives Overcome the challenges of working with NAT and PMTUD Explore IPSec remote-access features, including extended authentication, mode-configuration, and digital certificates Examine the pros and cons of various IPSec connection models such as native IPSec, GRE, and remote access Apply fault tolerance methods to IPSec VPN designs Employ mechanisms to alleviate the configuration complexity of a large- scale IPSec VPN, including Tunnel End-Point Discovery (TED) and Dynamic Multipoint VPNs (DMVPN) Add services to IPSec VPNs, including voice and multicast Understand how network-based VPNs operate and how to integrate IPSec VPNs with MPLS VPNs Among the many functions that networking technologies permit is the ability for organizations to easily and securely communicate with branch offices, mobile users, telecommuters, and business partners. Such connectivity is now vital to maintaining a competitive level of business productivity. Although several technologies exist that can enable interconnectivity among business sites, Internet-based virtual private networks (VPNs) have evolved as the most effective means to link corporate network resources to remote employees, offices, and mobile workers. VPNs provide productivity enhancements, efficient and convenient remote access to network resources, site-to-site connectivity, a high level of security, and tremendous cost savings. \"IPSec VPN Design\" is the first book to present a detailed examination of the design aspects of IPSec protocols that enable secure VPN communication. Divided into three parts, the book provides a solid understanding of design and architectural issues of large-scale, secure VPN solutions. Part I includes a comprehensive introduction to the general architecture of IPSec, including its protocols and Cisco IOS(R) IPSec implementation details. Part II examines IPSec VPN design principles covering hub-and-spoke, full-mesh, and fault-tolerant designs. This part of the book also covers dynamic configuration models used to simplify IPSec VPN designs. Part III addresses design issues in adding services to an IPSe…","author":[{"dropping-particle":"","family":"Bollapragada","given":"Vijay","non-dropping-particle":"","parse-names":false,"suffix":""},{"dropping-particle":"","family":"Khalid","given":"Mohamed","non-dropping-particle":"","parse-names":false,"suffix":""},{"dropping-particle":"","family":"Wainner","given":"Scott","non-dropping-particle":"","parse-names":false,"suffix":""}],"container-title":"xtemp01","id":"ITEM-1","issued":{"date-parts":[["2005"]]},"title":"IPSec VPN Design","type":"book"},"uris":["http://www.mendeley.com/documents/?uuid=65d9368c-09a0-49e2-8e25-3cb25af5f4d5"]}],"mendeley":{"formattedCitation":"[60]","plainTextFormattedCitation":"[60]","previouslyFormattedCitation":"[60]"},"properties":{"noteIndex":0},"schema":"https://github.com/citation-style-language/schema/raw/master/csl-citation.json"}</w:instrText>
      </w:r>
      <w:r w:rsidR="00785053">
        <w:rPr>
          <w:szCs w:val="16"/>
        </w:rPr>
        <w:fldChar w:fldCharType="separate"/>
      </w:r>
      <w:r w:rsidR="002225FA" w:rsidRPr="002225FA">
        <w:rPr>
          <w:noProof/>
          <w:szCs w:val="16"/>
        </w:rPr>
        <w:t>[60]</w:t>
      </w:r>
      <w:r w:rsidR="00785053">
        <w:rPr>
          <w:szCs w:val="16"/>
        </w:rPr>
        <w:fldChar w:fldCharType="end"/>
      </w:r>
      <w:r w:rsidR="00785053">
        <w:rPr>
          <w:szCs w:val="16"/>
        </w:rPr>
        <w:t xml:space="preserve"> </w:t>
      </w:r>
      <w:r w:rsidR="001D56D4">
        <w:rPr>
          <w:szCs w:val="16"/>
        </w:rPr>
        <w:t>will</w:t>
      </w:r>
      <w:r w:rsidR="00A02AA9">
        <w:rPr>
          <w:szCs w:val="16"/>
        </w:rPr>
        <w:t xml:space="preserve"> also be</w:t>
      </w:r>
      <w:r w:rsidR="001D56D4">
        <w:rPr>
          <w:szCs w:val="16"/>
        </w:rPr>
        <w:t xml:space="preserve"> </w:t>
      </w:r>
      <w:r w:rsidR="00640167">
        <w:rPr>
          <w:szCs w:val="16"/>
        </w:rPr>
        <w:t>implemented, from</w:t>
      </w:r>
      <w:r w:rsidR="001D56D4">
        <w:rPr>
          <w:szCs w:val="16"/>
        </w:rPr>
        <w:t xml:space="preserve"> the LAN to the CSP VPC</w:t>
      </w:r>
      <w:r w:rsidR="001F64AA">
        <w:rPr>
          <w:szCs w:val="16"/>
        </w:rPr>
        <w:t xml:space="preserve"> utilizing AES-256 </w:t>
      </w:r>
      <w:r w:rsidR="00785053">
        <w:rPr>
          <w:szCs w:val="16"/>
        </w:rPr>
        <w:fldChar w:fldCharType="begin" w:fldLock="1"/>
      </w:r>
      <w:r w:rsidR="00F351C4">
        <w:rPr>
          <w:szCs w:val="16"/>
        </w:rPr>
        <w:instrText>ADDIN CSL_CITATION {"citationItems":[{"id":"ITEM-1","itemData":{"DOI":"10.1007/978-1-4614-2104-7","ISBN":"978-1-4614-2104-7","abstract":"The Advanced Encryption Standard (AES) is the encryption standard approved in 2000 under the auspices of the US government, originally for civilian cryptographic use. In 2003 the United States government approved the use of AES for classified and secret information. Versions of AES for 192 bit and 256 bit keys are approved for top secret information. The National Institute of Standards and Technology, which led the 3 year approval process for AES, has certified in excess of 1000 products incorporating AES [10].","author":[{"dropping-particle":"","family":"Robertazzi","given":"Thomas","non-dropping-particle":"","parse-names":false,"suffix":""}],"container-title":"Basics of Computer Networking","id":"ITEM-1","issued":{"date-parts":[["2012"]]},"page":"73-77","title":"Advanced Encryption Standard (AES)","type":"chapter"},"uris":["http://www.mendeley.com/documents/?uuid=36d12989-b9df-458c-9941-2d337babd920"]}],"mendeley":{"formattedCitation":"[61]","plainTextFormattedCitation":"[61]","previouslyFormattedCitation":"[61]"},"properties":{"noteIndex":0},"schema":"https://github.com/citation-style-language/schema/raw/master/csl-citation.json"}</w:instrText>
      </w:r>
      <w:r w:rsidR="00785053">
        <w:rPr>
          <w:szCs w:val="16"/>
        </w:rPr>
        <w:fldChar w:fldCharType="separate"/>
      </w:r>
      <w:r w:rsidR="002225FA" w:rsidRPr="002225FA">
        <w:rPr>
          <w:noProof/>
          <w:szCs w:val="16"/>
        </w:rPr>
        <w:t>[61]</w:t>
      </w:r>
      <w:r w:rsidR="00785053">
        <w:rPr>
          <w:szCs w:val="16"/>
        </w:rPr>
        <w:fldChar w:fldCharType="end"/>
      </w:r>
      <w:r w:rsidR="00785053">
        <w:rPr>
          <w:szCs w:val="16"/>
        </w:rPr>
        <w:t xml:space="preserve"> </w:t>
      </w:r>
      <w:r w:rsidR="001F64AA">
        <w:rPr>
          <w:szCs w:val="16"/>
        </w:rPr>
        <w:t xml:space="preserve">for secure </w:t>
      </w:r>
      <w:r w:rsidR="00FC44D4">
        <w:rPr>
          <w:szCs w:val="16"/>
        </w:rPr>
        <w:t xml:space="preserve">encrypted </w:t>
      </w:r>
      <w:r w:rsidR="001F64AA">
        <w:rPr>
          <w:szCs w:val="16"/>
        </w:rPr>
        <w:t>communications from the cloud server to the LAN.</w:t>
      </w:r>
      <w:r w:rsidR="007C755F">
        <w:rPr>
          <w:szCs w:val="16"/>
        </w:rPr>
        <w:t xml:space="preserve"> </w:t>
      </w:r>
      <w:r w:rsidR="00A02AA9">
        <w:rPr>
          <w:szCs w:val="16"/>
        </w:rPr>
        <w:t>Each end device accessing the network will also contain a</w:t>
      </w:r>
      <w:r w:rsidR="00A46CB1">
        <w:rPr>
          <w:szCs w:val="16"/>
        </w:rPr>
        <w:t>nti</w:t>
      </w:r>
      <w:r w:rsidR="00A02AA9">
        <w:rPr>
          <w:szCs w:val="16"/>
        </w:rPr>
        <w:t>-malware software</w:t>
      </w:r>
      <w:r w:rsidR="00055F07">
        <w:rPr>
          <w:szCs w:val="16"/>
        </w:rPr>
        <w:t xml:space="preserve"> to prevent the highly dangerous ransomware encrypting the sensitive business data within the BYOD device</w:t>
      </w:r>
      <w:r w:rsidR="00785053">
        <w:rPr>
          <w:szCs w:val="16"/>
        </w:rPr>
        <w:t>.</w:t>
      </w:r>
    </w:p>
    <w:p w14:paraId="724FDF69" w14:textId="77777777" w:rsidR="00785053" w:rsidRDefault="009F3D23" w:rsidP="009F3D23">
      <w:pPr>
        <w:spacing w:after="80"/>
        <w:jc w:val="both"/>
        <w:rPr>
          <w:szCs w:val="16"/>
        </w:rPr>
      </w:pPr>
      <w:r w:rsidRPr="0035160C">
        <w:rPr>
          <w:b/>
          <w:bCs/>
          <w:szCs w:val="16"/>
        </w:rPr>
        <w:lastRenderedPageBreak/>
        <w:t>Risk 4 – Availability</w:t>
      </w:r>
      <w:r>
        <w:rPr>
          <w:szCs w:val="16"/>
        </w:rPr>
        <w:t xml:space="preserve"> –</w:t>
      </w:r>
      <w:r w:rsidR="005D72C5">
        <w:rPr>
          <w:szCs w:val="16"/>
        </w:rPr>
        <w:t xml:space="preserve"> </w:t>
      </w:r>
      <w:r w:rsidR="00417877">
        <w:rPr>
          <w:szCs w:val="16"/>
        </w:rPr>
        <w:t xml:space="preserve">This was recognised as a severe risk </w:t>
      </w:r>
      <w:r w:rsidR="00A46CB1">
        <w:rPr>
          <w:szCs w:val="16"/>
        </w:rPr>
        <w:t xml:space="preserve">to the </w:t>
      </w:r>
      <w:r w:rsidR="00785053">
        <w:rPr>
          <w:szCs w:val="16"/>
        </w:rPr>
        <w:t>company</w:t>
      </w:r>
      <w:r w:rsidR="00A46CB1">
        <w:rPr>
          <w:szCs w:val="16"/>
        </w:rPr>
        <w:t xml:space="preserve"> because of the </w:t>
      </w:r>
      <w:r w:rsidR="00417877">
        <w:rPr>
          <w:szCs w:val="16"/>
        </w:rPr>
        <w:t xml:space="preserve"> </w:t>
      </w:r>
      <w:r w:rsidR="00B85D46">
        <w:rPr>
          <w:szCs w:val="16"/>
        </w:rPr>
        <w:t>high probability</w:t>
      </w:r>
      <w:r w:rsidR="00A46CB1">
        <w:rPr>
          <w:szCs w:val="16"/>
        </w:rPr>
        <w:t xml:space="preserve"> of internetworking equipment failure due to the legacy technology that is currently installed within the company</w:t>
      </w:r>
      <w:r w:rsidR="00785053">
        <w:rPr>
          <w:szCs w:val="16"/>
        </w:rPr>
        <w:t xml:space="preserve">, </w:t>
      </w:r>
      <w:r w:rsidR="00B85D46">
        <w:rPr>
          <w:szCs w:val="16"/>
        </w:rPr>
        <w:t xml:space="preserve">along with the </w:t>
      </w:r>
      <w:r w:rsidR="00A46CB1">
        <w:rPr>
          <w:szCs w:val="16"/>
        </w:rPr>
        <w:t xml:space="preserve">out of date configurations and internetworking </w:t>
      </w:r>
      <w:r w:rsidR="00785053">
        <w:rPr>
          <w:szCs w:val="16"/>
        </w:rPr>
        <w:t xml:space="preserve">OS </w:t>
      </w:r>
      <w:r w:rsidR="00A46CB1">
        <w:rPr>
          <w:szCs w:val="16"/>
        </w:rPr>
        <w:t>firmware installed within them that could easily be exploited by malicious actors.</w:t>
      </w:r>
    </w:p>
    <w:p w14:paraId="1FF44622" w14:textId="60D92F55" w:rsidR="00A46CB1" w:rsidRDefault="00A46CB1" w:rsidP="009F3D23">
      <w:pPr>
        <w:spacing w:after="80"/>
        <w:jc w:val="both"/>
        <w:rPr>
          <w:szCs w:val="16"/>
        </w:rPr>
      </w:pPr>
      <w:r>
        <w:rPr>
          <w:szCs w:val="16"/>
        </w:rPr>
        <w:t xml:space="preserve">Furthermore, the legacy hardware was not built to handle </w:t>
      </w:r>
      <w:r w:rsidR="00055F07">
        <w:rPr>
          <w:szCs w:val="16"/>
        </w:rPr>
        <w:t>large</w:t>
      </w:r>
      <w:r>
        <w:rPr>
          <w:szCs w:val="16"/>
        </w:rPr>
        <w:t xml:space="preserve"> volumes of data and </w:t>
      </w:r>
      <w:r w:rsidR="00055F07">
        <w:rPr>
          <w:szCs w:val="16"/>
        </w:rPr>
        <w:t xml:space="preserve"> data stream </w:t>
      </w:r>
      <w:r>
        <w:rPr>
          <w:szCs w:val="16"/>
        </w:rPr>
        <w:t>throughput within the LAN,WLAN and the WAN</w:t>
      </w:r>
      <w:r w:rsidR="00055F07">
        <w:rPr>
          <w:szCs w:val="16"/>
        </w:rPr>
        <w:t>-</w:t>
      </w:r>
      <w:r>
        <w:rPr>
          <w:szCs w:val="16"/>
        </w:rPr>
        <w:t>to</w:t>
      </w:r>
      <w:r w:rsidR="00055F07">
        <w:rPr>
          <w:szCs w:val="16"/>
        </w:rPr>
        <w:t>-</w:t>
      </w:r>
      <w:r>
        <w:rPr>
          <w:szCs w:val="16"/>
        </w:rPr>
        <w:t>AWS cloud, so if the BYOD scheme was implemented and a large number of end devices connected to the network</w:t>
      </w:r>
      <w:r w:rsidR="00785053">
        <w:rPr>
          <w:szCs w:val="16"/>
        </w:rPr>
        <w:t>,</w:t>
      </w:r>
      <w:r>
        <w:rPr>
          <w:szCs w:val="16"/>
        </w:rPr>
        <w:t xml:space="preserve"> there is a </w:t>
      </w:r>
      <w:r w:rsidR="00B85D46">
        <w:rPr>
          <w:szCs w:val="16"/>
        </w:rPr>
        <w:t>severe</w:t>
      </w:r>
      <w:r>
        <w:rPr>
          <w:szCs w:val="16"/>
        </w:rPr>
        <w:t xml:space="preserve"> risk of hardware failure </w:t>
      </w:r>
      <w:r w:rsidR="00785053">
        <w:rPr>
          <w:szCs w:val="16"/>
        </w:rPr>
        <w:t>causing a network outage,</w:t>
      </w:r>
      <w:r>
        <w:rPr>
          <w:szCs w:val="16"/>
        </w:rPr>
        <w:t xml:space="preserve"> </w:t>
      </w:r>
      <w:r w:rsidR="00B85D46">
        <w:rPr>
          <w:szCs w:val="16"/>
        </w:rPr>
        <w:t>that</w:t>
      </w:r>
      <w:r>
        <w:rPr>
          <w:szCs w:val="16"/>
        </w:rPr>
        <w:t xml:space="preserve"> would </w:t>
      </w:r>
      <w:r w:rsidR="00785053">
        <w:rPr>
          <w:szCs w:val="16"/>
        </w:rPr>
        <w:t>prevent</w:t>
      </w:r>
      <w:r>
        <w:rPr>
          <w:szCs w:val="16"/>
        </w:rPr>
        <w:t xml:space="preserve"> the business from accessing their data within the VPC and  therefore </w:t>
      </w:r>
      <w:r w:rsidR="00B85D46">
        <w:rPr>
          <w:szCs w:val="16"/>
        </w:rPr>
        <w:t xml:space="preserve">be </w:t>
      </w:r>
      <w:r>
        <w:rPr>
          <w:szCs w:val="16"/>
        </w:rPr>
        <w:t>unable to conduct</w:t>
      </w:r>
      <w:r w:rsidR="00B85D46">
        <w:rPr>
          <w:szCs w:val="16"/>
        </w:rPr>
        <w:t xml:space="preserve"> their day-to-day</w:t>
      </w:r>
      <w:r>
        <w:rPr>
          <w:szCs w:val="16"/>
        </w:rPr>
        <w:t xml:space="preserve"> business.</w:t>
      </w:r>
    </w:p>
    <w:p w14:paraId="4FD428CE" w14:textId="77777777" w:rsidR="00055F07" w:rsidRDefault="00A46CB1" w:rsidP="00A46CB1">
      <w:pPr>
        <w:spacing w:after="80"/>
        <w:jc w:val="both"/>
        <w:rPr>
          <w:szCs w:val="16"/>
        </w:rPr>
      </w:pPr>
      <w:r w:rsidRPr="00573895">
        <w:rPr>
          <w:b/>
          <w:bCs/>
          <w:szCs w:val="16"/>
        </w:rPr>
        <w:t>Risk Treatment</w:t>
      </w:r>
      <w:r>
        <w:rPr>
          <w:szCs w:val="16"/>
        </w:rPr>
        <w:t xml:space="preserve"> – To mitigate this risk it is recommended that the network infrastructure within the offices be upgraded </w:t>
      </w:r>
      <w:r w:rsidR="009D2445">
        <w:rPr>
          <w:szCs w:val="16"/>
        </w:rPr>
        <w:t>to</w:t>
      </w:r>
      <w:r>
        <w:rPr>
          <w:szCs w:val="16"/>
        </w:rPr>
        <w:t xml:space="preserve"> modern network equipment built to handle high volumes of data throughput and end device connectivity</w:t>
      </w:r>
      <w:r w:rsidR="009D2445">
        <w:rPr>
          <w:szCs w:val="16"/>
        </w:rPr>
        <w:t xml:space="preserve"> along with strong security encryption for the WLAN to prevent data-link layer MITM attacks</w:t>
      </w:r>
      <w:r>
        <w:rPr>
          <w:szCs w:val="16"/>
        </w:rPr>
        <w:t>.</w:t>
      </w:r>
    </w:p>
    <w:p w14:paraId="3951A25B" w14:textId="1530AF3B" w:rsidR="00A46CB1" w:rsidRPr="00D773E7" w:rsidRDefault="00A46CB1" w:rsidP="00A46CB1">
      <w:pPr>
        <w:spacing w:after="80"/>
        <w:jc w:val="both"/>
        <w:rPr>
          <w:b/>
          <w:bCs/>
          <w:szCs w:val="16"/>
        </w:rPr>
      </w:pPr>
      <w:r>
        <w:rPr>
          <w:szCs w:val="16"/>
        </w:rPr>
        <w:t xml:space="preserve">In the short term this will </w:t>
      </w:r>
      <w:r w:rsidR="00055F07">
        <w:rPr>
          <w:szCs w:val="16"/>
        </w:rPr>
        <w:t xml:space="preserve">be economically expensive to implement the BYOD scheme </w:t>
      </w:r>
      <w:r>
        <w:rPr>
          <w:szCs w:val="16"/>
        </w:rPr>
        <w:t xml:space="preserve">but in the long term the new equipment will be able to handle large volumes of data with high throughput rates along with </w:t>
      </w:r>
      <w:r w:rsidR="00517BB2">
        <w:rPr>
          <w:szCs w:val="16"/>
        </w:rPr>
        <w:t>a very large number of BYOD</w:t>
      </w:r>
      <w:r>
        <w:rPr>
          <w:szCs w:val="16"/>
        </w:rPr>
        <w:t xml:space="preserve"> device connection</w:t>
      </w:r>
      <w:r w:rsidR="00517BB2">
        <w:rPr>
          <w:szCs w:val="16"/>
        </w:rPr>
        <w:t xml:space="preserve">s </w:t>
      </w:r>
      <w:r>
        <w:rPr>
          <w:szCs w:val="16"/>
        </w:rPr>
        <w:t>within the 802.11 WLAN portion of the network that will also allow for scalability and emerging technologies such as; wireless</w:t>
      </w:r>
      <w:r w:rsidR="00093C9E">
        <w:rPr>
          <w:szCs w:val="16"/>
        </w:rPr>
        <w:t xml:space="preserve"> 802.11ax</w:t>
      </w:r>
      <w:r>
        <w:rPr>
          <w:szCs w:val="16"/>
        </w:rPr>
        <w:t xml:space="preserve"> 5G</w:t>
      </w:r>
      <w:r w:rsidR="00093C9E">
        <w:rPr>
          <w:szCs w:val="16"/>
        </w:rPr>
        <w:t xml:space="preserve"> (WiFi-6) </w:t>
      </w:r>
      <w:r>
        <w:rPr>
          <w:szCs w:val="16"/>
        </w:rPr>
        <w:t xml:space="preserve"> </w:t>
      </w:r>
      <w:r w:rsidR="00D075BC">
        <w:rPr>
          <w:szCs w:val="16"/>
        </w:rPr>
        <w:t>that is optimised for LAN IaaS cloud architectures</w:t>
      </w:r>
      <w:r w:rsidR="00093C9E">
        <w:rPr>
          <w:szCs w:val="16"/>
        </w:rPr>
        <w:t xml:space="preserve"> and Internet of Things (IoT) compatible </w:t>
      </w:r>
      <w:r w:rsidR="00D075BC">
        <w:rPr>
          <w:szCs w:val="16"/>
        </w:rPr>
        <w:t xml:space="preserve"> </w:t>
      </w:r>
      <w:r>
        <w:rPr>
          <w:szCs w:val="16"/>
        </w:rPr>
        <w:t>to futureproof the companies business assets.</w:t>
      </w:r>
      <w:r w:rsidR="00055F07">
        <w:rPr>
          <w:szCs w:val="16"/>
        </w:rPr>
        <w:t xml:space="preserve"> That’s why upgrading the hardware can be viewed as an investment to the company for future growth, security and network stability.</w:t>
      </w:r>
    </w:p>
    <w:p w14:paraId="77CCDFE8" w14:textId="3A2780EE" w:rsidR="008A34D1" w:rsidRDefault="00A46CB1" w:rsidP="009F3D23">
      <w:pPr>
        <w:spacing w:after="80"/>
        <w:jc w:val="both"/>
        <w:rPr>
          <w:szCs w:val="16"/>
        </w:rPr>
      </w:pPr>
      <w:r>
        <w:rPr>
          <w:szCs w:val="16"/>
        </w:rPr>
        <w:t xml:space="preserve">The VPC the business data and LAN services provided by the  </w:t>
      </w:r>
      <w:r w:rsidR="00517BB2">
        <w:rPr>
          <w:szCs w:val="16"/>
        </w:rPr>
        <w:t xml:space="preserve">CSP </w:t>
      </w:r>
      <w:r>
        <w:rPr>
          <w:szCs w:val="16"/>
        </w:rPr>
        <w:t>are housed within</w:t>
      </w:r>
      <w:r w:rsidR="00517BB2">
        <w:rPr>
          <w:szCs w:val="16"/>
        </w:rPr>
        <w:t xml:space="preserve"> AWS </w:t>
      </w:r>
      <w:r w:rsidR="00417877">
        <w:rPr>
          <w:szCs w:val="16"/>
        </w:rPr>
        <w:t xml:space="preserve">vast </w:t>
      </w:r>
      <w:r w:rsidR="00CB7A2D">
        <w:rPr>
          <w:szCs w:val="16"/>
        </w:rPr>
        <w:t xml:space="preserve">load balanced datacentre </w:t>
      </w:r>
      <w:r w:rsidR="00417877">
        <w:rPr>
          <w:szCs w:val="16"/>
        </w:rPr>
        <w:t>infrastructure that provides customers with a Service Level Agreement  (</w:t>
      </w:r>
      <w:r w:rsidR="005D72C5">
        <w:rPr>
          <w:szCs w:val="16"/>
        </w:rPr>
        <w:t>SLA</w:t>
      </w:r>
      <w:r w:rsidR="00417877">
        <w:rPr>
          <w:szCs w:val="16"/>
        </w:rPr>
        <w:t>)</w:t>
      </w:r>
      <w:r w:rsidR="003B3084">
        <w:rPr>
          <w:szCs w:val="16"/>
        </w:rPr>
        <w:t xml:space="preserve"> </w:t>
      </w:r>
      <w:r w:rsidR="003B3084">
        <w:rPr>
          <w:szCs w:val="16"/>
        </w:rPr>
        <w:fldChar w:fldCharType="begin" w:fldLock="1"/>
      </w:r>
      <w:r w:rsidR="00F351C4">
        <w:rPr>
          <w:szCs w:val="16"/>
        </w:rPr>
        <w:instrText>ADDIN CSL_CITATION {"citationItems":[{"id":"ITEM-1","itemData":{"abstract":"Cloud computing that provides cheap and pay-as-you-go com- puting resources is rapidly gaining momentum as an alternative to tra- ditional IT Infrastructure. As more and more consumers delegate their tasks to cloud providers, Service Level Agreements(SLA) between con- sumers and providers emerge as a key aspect. Due to the dynamic na- ture of the cloud, continuous monitoring on Quality of Service (QoS) attributes is necessary to enforce SLAs. Also numerous other factors such as trust (on the cloud provider) come into consideration, particu- larly for enterprise customers that may outsource its critical data. This complex nature of the cloud landscape warrants a sophisticated means of managing SLAs. This paper proposes a mechanism for managing SLAs in a cloud computing environment using the Web Service Level Agree- ment(WSLA) framework, developed for SLA monitoring and SLA en- forcement in a Service Oriented Architecture (SOA). We use the third party support feature of WSLA to delegate monitoring and enforcement tasks to other entities in order to solve the trust issues. We also present a real world use case to validate our proposal.","author":[{"dropping-particle":"","family":"Patel","given":"Pankesh","non-dropping-particle":"","parse-names":false,"suffix":""},{"dropping-particle":"","family":"Ranabahu","given":"Ajith","non-dropping-particle":"","parse-names":false,"suffix":""},{"dropping-particle":"","family":"Sheth","given":"Amit","non-dropping-particle":"","parse-names":false,"suffix":""}],"container-title":"Cloud Workshops at OOPSLA09","id":"ITEM-1","issued":{"date-parts":[["2009"]]},"title":"Service Level Agreement in Cloud Computing","type":"article-journal"},"uris":["http://www.mendeley.com/documents/?uuid=8008fedf-c281-442d-b1ec-2379b388b0a2"]}],"mendeley":{"formattedCitation":"[62]","plainTextFormattedCitation":"[62]","previouslyFormattedCitation":"[62]"},"properties":{"noteIndex":0},"schema":"https://github.com/citation-style-language/schema/raw/master/csl-citation.json"}</w:instrText>
      </w:r>
      <w:r w:rsidR="003B3084">
        <w:rPr>
          <w:szCs w:val="16"/>
        </w:rPr>
        <w:fldChar w:fldCharType="separate"/>
      </w:r>
      <w:r w:rsidR="002225FA" w:rsidRPr="002225FA">
        <w:rPr>
          <w:noProof/>
          <w:szCs w:val="16"/>
        </w:rPr>
        <w:t>[62]</w:t>
      </w:r>
      <w:r w:rsidR="003B3084">
        <w:rPr>
          <w:szCs w:val="16"/>
        </w:rPr>
        <w:fldChar w:fldCharType="end"/>
      </w:r>
      <w:r w:rsidR="00417877">
        <w:rPr>
          <w:szCs w:val="16"/>
        </w:rPr>
        <w:t xml:space="preserve"> that promises that their networks will be available </w:t>
      </w:r>
      <w:r w:rsidR="00CB7A2D">
        <w:rPr>
          <w:szCs w:val="16"/>
        </w:rPr>
        <w:t xml:space="preserve">a minimum of </w:t>
      </w:r>
      <w:r w:rsidR="00417877">
        <w:rPr>
          <w:szCs w:val="16"/>
        </w:rPr>
        <w:t>99.999% of the time which equates to 5 minutes downtime per year</w:t>
      </w:r>
      <w:r w:rsidR="003B3084">
        <w:rPr>
          <w:szCs w:val="16"/>
        </w:rPr>
        <w:t xml:space="preserve"> this type of SLA is referred to as the ‘Five Nines’</w:t>
      </w:r>
      <w:r w:rsidR="008A34D1">
        <w:rPr>
          <w:szCs w:val="16"/>
        </w:rPr>
        <w:t xml:space="preserve"> </w:t>
      </w:r>
      <w:r w:rsidR="008A34D1">
        <w:rPr>
          <w:szCs w:val="16"/>
        </w:rPr>
        <w:fldChar w:fldCharType="begin" w:fldLock="1"/>
      </w:r>
      <w:r w:rsidR="00F351C4">
        <w:rPr>
          <w:szCs w:val="16"/>
        </w:rPr>
        <w:instrText>ADDIN CSL_CITATION {"citationItems":[{"id":"ITEM-1","itemData":{"URL":"https://www.cisco.com/c/en/us/support/docs/availability/high-availability/15117-sla.html","accessed":{"date-parts":[["2020","1","29"]]},"author":[{"dropping-particle":"","family":"Cisco","given":"","non-dropping-particle":"","parse-names":false,"suffix":""}],"id":"ITEM-1","issued":{"date-parts":[["0"]]},"title":"Service Level Management: Best Practices White Paper - Cisco","type":"webpage"},"uris":["http://www.mendeley.com/documents/?uuid=37796330-fd78-3ee9-a2e4-9d4072b76e12"]}],"mendeley":{"formattedCitation":"[63]","plainTextFormattedCitation":"[63]","previouslyFormattedCitation":"[63]"},"properties":{"noteIndex":0},"schema":"https://github.com/citation-style-language/schema/raw/master/csl-citation.json"}</w:instrText>
      </w:r>
      <w:r w:rsidR="008A34D1">
        <w:rPr>
          <w:szCs w:val="16"/>
        </w:rPr>
        <w:fldChar w:fldCharType="separate"/>
      </w:r>
      <w:r w:rsidR="002225FA" w:rsidRPr="002225FA">
        <w:rPr>
          <w:noProof/>
          <w:szCs w:val="16"/>
        </w:rPr>
        <w:t>[63]</w:t>
      </w:r>
      <w:r w:rsidR="008A34D1">
        <w:rPr>
          <w:szCs w:val="16"/>
        </w:rPr>
        <w:fldChar w:fldCharType="end"/>
      </w:r>
      <w:r>
        <w:rPr>
          <w:szCs w:val="16"/>
        </w:rPr>
        <w:t>.</w:t>
      </w:r>
    </w:p>
    <w:p w14:paraId="0E91415E" w14:textId="77777777" w:rsidR="006372DE" w:rsidRDefault="009F3D23" w:rsidP="009F3D23">
      <w:pPr>
        <w:spacing w:after="80"/>
        <w:jc w:val="both"/>
        <w:rPr>
          <w:szCs w:val="16"/>
        </w:rPr>
      </w:pPr>
      <w:r w:rsidRPr="0035160C">
        <w:rPr>
          <w:b/>
          <w:bCs/>
          <w:szCs w:val="16"/>
        </w:rPr>
        <w:t>Risk 5 –</w:t>
      </w:r>
      <w:r>
        <w:rPr>
          <w:b/>
          <w:bCs/>
          <w:szCs w:val="16"/>
        </w:rPr>
        <w:t>Budget</w:t>
      </w:r>
      <w:r>
        <w:rPr>
          <w:szCs w:val="16"/>
        </w:rPr>
        <w:t xml:space="preserve">– </w:t>
      </w:r>
      <w:r w:rsidR="00AB747D">
        <w:rPr>
          <w:szCs w:val="16"/>
        </w:rPr>
        <w:t xml:space="preserve">The budget was quantified as a severe risk with a probability </w:t>
      </w:r>
      <w:r w:rsidR="00C06084">
        <w:rPr>
          <w:szCs w:val="16"/>
        </w:rPr>
        <w:t>of ‘possible’</w:t>
      </w:r>
      <w:r w:rsidR="00AB747D">
        <w:rPr>
          <w:szCs w:val="16"/>
        </w:rPr>
        <w:t xml:space="preserve"> because the company has allowed a $</w:t>
      </w:r>
      <w:r w:rsidR="00444349">
        <w:rPr>
          <w:szCs w:val="16"/>
        </w:rPr>
        <w:t>40</w:t>
      </w:r>
      <w:r w:rsidR="00AB747D">
        <w:rPr>
          <w:szCs w:val="16"/>
        </w:rPr>
        <w:t xml:space="preserve">,000 budget for the </w:t>
      </w:r>
      <w:r w:rsidR="00C06084">
        <w:rPr>
          <w:szCs w:val="16"/>
        </w:rPr>
        <w:t>data security ISMS framework, device hardening security</w:t>
      </w:r>
      <w:r w:rsidR="00AB747D">
        <w:rPr>
          <w:szCs w:val="16"/>
        </w:rPr>
        <w:t xml:space="preserve"> audi</w:t>
      </w:r>
      <w:r w:rsidR="005F41B1">
        <w:rPr>
          <w:szCs w:val="16"/>
        </w:rPr>
        <w:t>t of t</w:t>
      </w:r>
      <w:r w:rsidR="0032433B">
        <w:rPr>
          <w:szCs w:val="16"/>
        </w:rPr>
        <w:t xml:space="preserve">he </w:t>
      </w:r>
      <w:r w:rsidR="00981638">
        <w:rPr>
          <w:szCs w:val="16"/>
        </w:rPr>
        <w:t>company.</w:t>
      </w:r>
      <w:r w:rsidR="00AB747D">
        <w:rPr>
          <w:szCs w:val="16"/>
        </w:rPr>
        <w:t xml:space="preserve"> </w:t>
      </w:r>
    </w:p>
    <w:p w14:paraId="2DD64DBB" w14:textId="77777777" w:rsidR="006372DE" w:rsidRDefault="00AB747D" w:rsidP="006372DE">
      <w:pPr>
        <w:spacing w:after="80"/>
        <w:jc w:val="both"/>
        <w:rPr>
          <w:szCs w:val="16"/>
        </w:rPr>
      </w:pPr>
      <w:r>
        <w:rPr>
          <w:szCs w:val="16"/>
        </w:rPr>
        <w:t xml:space="preserve">Because </w:t>
      </w:r>
      <w:r w:rsidR="006372DE">
        <w:rPr>
          <w:szCs w:val="16"/>
        </w:rPr>
        <w:t>all</w:t>
      </w:r>
      <w:r w:rsidR="005F41B1">
        <w:rPr>
          <w:szCs w:val="16"/>
        </w:rPr>
        <w:t xml:space="preserve"> of</w:t>
      </w:r>
      <w:r>
        <w:rPr>
          <w:szCs w:val="16"/>
        </w:rPr>
        <w:t xml:space="preserve"> the</w:t>
      </w:r>
      <w:r w:rsidR="00C06084">
        <w:rPr>
          <w:szCs w:val="16"/>
        </w:rPr>
        <w:t xml:space="preserve"> legacy</w:t>
      </w:r>
      <w:r>
        <w:rPr>
          <w:szCs w:val="16"/>
        </w:rPr>
        <w:t xml:space="preserve"> infrastructure </w:t>
      </w:r>
      <w:r w:rsidR="00C06084">
        <w:rPr>
          <w:szCs w:val="16"/>
        </w:rPr>
        <w:t>currently</w:t>
      </w:r>
      <w:r>
        <w:rPr>
          <w:szCs w:val="16"/>
        </w:rPr>
        <w:t xml:space="preserve"> in </w:t>
      </w:r>
      <w:r w:rsidR="006372DE">
        <w:rPr>
          <w:szCs w:val="16"/>
        </w:rPr>
        <w:t>installed within the companies network</w:t>
      </w:r>
      <w:r>
        <w:rPr>
          <w:szCs w:val="16"/>
        </w:rPr>
        <w:t xml:space="preserve"> </w:t>
      </w:r>
      <w:r w:rsidR="00C06084">
        <w:rPr>
          <w:szCs w:val="16"/>
        </w:rPr>
        <w:t>has to be replaced</w:t>
      </w:r>
      <w:r w:rsidR="006372DE">
        <w:rPr>
          <w:szCs w:val="16"/>
        </w:rPr>
        <w:t>,</w:t>
      </w:r>
      <w:r w:rsidR="00C06084">
        <w:rPr>
          <w:szCs w:val="16"/>
        </w:rPr>
        <w:t xml:space="preserve"> </w:t>
      </w:r>
      <w:r>
        <w:rPr>
          <w:szCs w:val="16"/>
        </w:rPr>
        <w:t>it is estimated that the cost of the project including consultancy and implementation fees will be $</w:t>
      </w:r>
      <w:r w:rsidR="00444349">
        <w:rPr>
          <w:szCs w:val="16"/>
        </w:rPr>
        <w:t>6</w:t>
      </w:r>
      <w:r>
        <w:rPr>
          <w:szCs w:val="16"/>
        </w:rPr>
        <w:t>0,000</w:t>
      </w:r>
      <w:r w:rsidR="00DF500E">
        <w:rPr>
          <w:szCs w:val="16"/>
        </w:rPr>
        <w:t xml:space="preserve"> which is 50% more than the allotted budget for the </w:t>
      </w:r>
      <w:r w:rsidR="00001936">
        <w:rPr>
          <w:szCs w:val="16"/>
        </w:rPr>
        <w:t>project</w:t>
      </w:r>
      <w:r w:rsidR="006372DE" w:rsidRPr="006372DE">
        <w:rPr>
          <w:szCs w:val="16"/>
        </w:rPr>
        <w:t xml:space="preserve"> </w:t>
      </w:r>
    </w:p>
    <w:p w14:paraId="0F5BE5ED" w14:textId="5D84F07E" w:rsidR="009F3D23" w:rsidRDefault="006372DE" w:rsidP="009F3D23">
      <w:pPr>
        <w:spacing w:after="80"/>
        <w:jc w:val="both"/>
        <w:rPr>
          <w:szCs w:val="16"/>
        </w:rPr>
      </w:pPr>
      <w:r>
        <w:rPr>
          <w:szCs w:val="16"/>
        </w:rPr>
        <w:t xml:space="preserve">If the full risk treatment plan is given the go ahead by the CEO, Matrix security will also offer a 3 year free SLA warranty that would apply to availability and configuration issues within the WLAN/LAN if they were to arise within that time frame. </w:t>
      </w:r>
      <w:r>
        <w:rPr>
          <w:szCs w:val="16"/>
        </w:rPr>
        <w:fldChar w:fldCharType="begin" w:fldLock="1"/>
      </w:r>
      <w:r w:rsidR="00F351C4">
        <w:rPr>
          <w:szCs w:val="16"/>
        </w:rPr>
        <w:instrText>ADDIN CSL_CITATION {"citationItems":[{"id":"ITEM-1","itemData":{"DOI":"10.15358/0935-0381-2008-10-562","ISSN":"09350381","abstract":"Een waar internationaal gezelschap bestaande uit acht bibliothecarissen uit Nederland, België, Duitsland, Tsjechië en Engeland nam deel aan 'continuing education course C16' getiteld 'Co-operation and competition between libraries: developing service level agreements'.","author":[{"dropping-particle":"","family":"Meschke","given":"Martina","non-dropping-particle":"","parse-names":false,"suffix":""}],"container-title":"Controlling","id":"ITEM-1","issued":{"date-parts":[["2008"]]},"title":"Service Level Agreement (SLA)","type":"article-journal"},"uris":["http://www.mendeley.com/documents/?uuid=a7869748-fa93-4297-b3d7-678efb502b26"]}],"mendeley":{"formattedCitation":"[64]","plainTextFormattedCitation":"[64]","previouslyFormattedCitation":"[64]"},"properties":{"noteIndex":0},"schema":"https://github.com/citation-style-language/schema/raw/master/csl-citation.json"}</w:instrText>
      </w:r>
      <w:r>
        <w:rPr>
          <w:szCs w:val="16"/>
        </w:rPr>
        <w:fldChar w:fldCharType="separate"/>
      </w:r>
      <w:r w:rsidR="002225FA" w:rsidRPr="002225FA">
        <w:rPr>
          <w:noProof/>
          <w:szCs w:val="16"/>
        </w:rPr>
        <w:t>[64]</w:t>
      </w:r>
      <w:r>
        <w:rPr>
          <w:szCs w:val="16"/>
        </w:rPr>
        <w:fldChar w:fldCharType="end"/>
      </w:r>
    </w:p>
    <w:p w14:paraId="562479E5" w14:textId="2A440946" w:rsidR="00C06084" w:rsidRDefault="009F3D23" w:rsidP="00CB37B9">
      <w:pPr>
        <w:spacing w:after="80"/>
        <w:jc w:val="both"/>
        <w:rPr>
          <w:szCs w:val="16"/>
        </w:rPr>
      </w:pPr>
      <w:r w:rsidRPr="00F22E20">
        <w:rPr>
          <w:b/>
          <w:bCs/>
          <w:szCs w:val="16"/>
        </w:rPr>
        <w:t xml:space="preserve">Risk Treatment </w:t>
      </w:r>
      <w:r w:rsidR="0032433B">
        <w:rPr>
          <w:b/>
          <w:bCs/>
          <w:szCs w:val="16"/>
        </w:rPr>
        <w:t>–</w:t>
      </w:r>
      <w:r w:rsidRPr="00F22E20">
        <w:rPr>
          <w:b/>
          <w:bCs/>
          <w:szCs w:val="16"/>
        </w:rPr>
        <w:t xml:space="preserve"> </w:t>
      </w:r>
      <w:r w:rsidR="0032433B" w:rsidRPr="0032433B">
        <w:rPr>
          <w:szCs w:val="16"/>
        </w:rPr>
        <w:t>To mitigate against the project not going forward</w:t>
      </w:r>
      <w:r w:rsidR="0032433B">
        <w:rPr>
          <w:szCs w:val="16"/>
        </w:rPr>
        <w:t xml:space="preserve"> due to funding issues,</w:t>
      </w:r>
      <w:r w:rsidR="0032433B" w:rsidRPr="0032433B">
        <w:rPr>
          <w:szCs w:val="16"/>
        </w:rPr>
        <w:t xml:space="preserve"> the consultancy and </w:t>
      </w:r>
      <w:r w:rsidR="0032433B">
        <w:rPr>
          <w:szCs w:val="16"/>
        </w:rPr>
        <w:t xml:space="preserve">network </w:t>
      </w:r>
      <w:r w:rsidR="0032433B" w:rsidRPr="0032433B">
        <w:rPr>
          <w:szCs w:val="16"/>
        </w:rPr>
        <w:t>implementation fee estimation of $</w:t>
      </w:r>
      <w:r w:rsidR="00444349">
        <w:rPr>
          <w:szCs w:val="16"/>
        </w:rPr>
        <w:t>60</w:t>
      </w:r>
      <w:r w:rsidR="0032433B" w:rsidRPr="0032433B">
        <w:rPr>
          <w:szCs w:val="16"/>
        </w:rPr>
        <w:t xml:space="preserve">,000 will be requested </w:t>
      </w:r>
      <w:r w:rsidR="0032433B" w:rsidRPr="0032433B">
        <w:rPr>
          <w:szCs w:val="16"/>
        </w:rPr>
        <w:t xml:space="preserve">before the project is </w:t>
      </w:r>
      <w:r w:rsidR="0032433B">
        <w:rPr>
          <w:szCs w:val="16"/>
        </w:rPr>
        <w:t>started</w:t>
      </w:r>
      <w:r w:rsidR="00C06084">
        <w:rPr>
          <w:szCs w:val="16"/>
        </w:rPr>
        <w:t xml:space="preserve"> during the next project meeting</w:t>
      </w:r>
      <w:r w:rsidR="00001936">
        <w:rPr>
          <w:szCs w:val="16"/>
        </w:rPr>
        <w:t>, along with an option of using refurbished second hand equipment to lower the costs</w:t>
      </w:r>
      <w:r w:rsidR="006372DE">
        <w:rPr>
          <w:szCs w:val="16"/>
        </w:rPr>
        <w:t>,</w:t>
      </w:r>
      <w:r w:rsidR="00001936">
        <w:rPr>
          <w:szCs w:val="16"/>
        </w:rPr>
        <w:t xml:space="preserve"> or to utilise new equipment as planned in order to futureproof the companies network </w:t>
      </w:r>
      <w:r w:rsidR="006372DE">
        <w:rPr>
          <w:szCs w:val="16"/>
        </w:rPr>
        <w:t xml:space="preserve">that will also </w:t>
      </w:r>
      <w:r w:rsidR="00001936">
        <w:rPr>
          <w:szCs w:val="16"/>
        </w:rPr>
        <w:t xml:space="preserve">provide </w:t>
      </w:r>
      <w:r w:rsidR="00E77C9F">
        <w:rPr>
          <w:szCs w:val="16"/>
        </w:rPr>
        <w:t xml:space="preserve">a </w:t>
      </w:r>
      <w:r w:rsidR="00C07202">
        <w:rPr>
          <w:szCs w:val="16"/>
        </w:rPr>
        <w:t>3</w:t>
      </w:r>
      <w:r w:rsidR="00E77C9F">
        <w:rPr>
          <w:szCs w:val="16"/>
        </w:rPr>
        <w:t xml:space="preserve"> year </w:t>
      </w:r>
      <w:r w:rsidR="00001936">
        <w:rPr>
          <w:szCs w:val="16"/>
        </w:rPr>
        <w:t>warranty for the installed equipment</w:t>
      </w:r>
      <w:r w:rsidR="00E77C9F">
        <w:rPr>
          <w:szCs w:val="16"/>
        </w:rPr>
        <w:t xml:space="preserve"> to the company</w:t>
      </w:r>
      <w:r w:rsidR="00001936">
        <w:rPr>
          <w:szCs w:val="16"/>
        </w:rPr>
        <w:t>.</w:t>
      </w:r>
    </w:p>
    <w:p w14:paraId="10A5391D" w14:textId="77777777" w:rsidR="00223F83" w:rsidRDefault="00223F83" w:rsidP="00CB37B9">
      <w:pPr>
        <w:spacing w:after="80"/>
        <w:jc w:val="both"/>
        <w:rPr>
          <w:szCs w:val="16"/>
        </w:rPr>
      </w:pPr>
    </w:p>
    <w:p w14:paraId="263A11ED" w14:textId="67926F3A" w:rsidR="00254562" w:rsidRPr="00D773E7" w:rsidRDefault="00254562" w:rsidP="00D773E7">
      <w:pPr>
        <w:pStyle w:val="ListParagraph"/>
        <w:numPr>
          <w:ilvl w:val="0"/>
          <w:numId w:val="24"/>
        </w:numPr>
        <w:spacing w:after="80"/>
        <w:rPr>
          <w:szCs w:val="16"/>
        </w:rPr>
      </w:pPr>
      <w:r w:rsidRPr="00D773E7">
        <w:rPr>
          <w:szCs w:val="16"/>
        </w:rPr>
        <w:t xml:space="preserve">Architectural Technologies and </w:t>
      </w:r>
      <w:r w:rsidR="00D773E7" w:rsidRPr="00D773E7">
        <w:rPr>
          <w:szCs w:val="16"/>
        </w:rPr>
        <w:t>I</w:t>
      </w:r>
      <w:r w:rsidRPr="00D773E7">
        <w:rPr>
          <w:szCs w:val="16"/>
        </w:rPr>
        <w:t xml:space="preserve">mplementation </w:t>
      </w:r>
      <w:r w:rsidR="00D773E7" w:rsidRPr="00D773E7">
        <w:rPr>
          <w:szCs w:val="16"/>
        </w:rPr>
        <w:t>C</w:t>
      </w:r>
      <w:r w:rsidRPr="00D773E7">
        <w:rPr>
          <w:szCs w:val="16"/>
        </w:rPr>
        <w:t>onsideration</w:t>
      </w:r>
    </w:p>
    <w:p w14:paraId="06389157" w14:textId="606F8FD5" w:rsidR="00483C9E" w:rsidRDefault="00483C9E" w:rsidP="00483C9E">
      <w:pPr>
        <w:spacing w:after="80"/>
        <w:jc w:val="both"/>
        <w:rPr>
          <w:szCs w:val="16"/>
        </w:rPr>
      </w:pPr>
      <w:r>
        <w:rPr>
          <w:szCs w:val="16"/>
        </w:rPr>
        <w:t>After analysing the risk management and treatment solution previously discussed. The network architecture and technology implementation will be designed using this information.</w:t>
      </w:r>
    </w:p>
    <w:p w14:paraId="32EDBA04" w14:textId="07BE7AAA" w:rsidR="00483C9E" w:rsidRPr="00483C9E" w:rsidRDefault="00483C9E" w:rsidP="00483C9E">
      <w:pPr>
        <w:spacing w:after="80"/>
        <w:jc w:val="both"/>
        <w:rPr>
          <w:szCs w:val="16"/>
        </w:rPr>
      </w:pPr>
      <w:r>
        <w:rPr>
          <w:szCs w:val="16"/>
        </w:rPr>
        <w:t>The technology implementation</w:t>
      </w:r>
      <w:r w:rsidR="00570ECA">
        <w:rPr>
          <w:szCs w:val="16"/>
        </w:rPr>
        <w:t>s</w:t>
      </w:r>
      <w:r>
        <w:rPr>
          <w:szCs w:val="16"/>
        </w:rPr>
        <w:t xml:space="preserve"> from the</w:t>
      </w:r>
      <w:r w:rsidR="00570ECA">
        <w:rPr>
          <w:szCs w:val="16"/>
        </w:rPr>
        <w:t xml:space="preserve"> scope</w:t>
      </w:r>
      <w:r w:rsidR="007141F0">
        <w:rPr>
          <w:szCs w:val="16"/>
        </w:rPr>
        <w:t xml:space="preserve"> extrapolated from the</w:t>
      </w:r>
      <w:r>
        <w:rPr>
          <w:szCs w:val="16"/>
        </w:rPr>
        <w:t xml:space="preserve"> case study </w:t>
      </w:r>
      <w:r w:rsidR="007141F0">
        <w:rPr>
          <w:szCs w:val="16"/>
        </w:rPr>
        <w:t>company background along with</w:t>
      </w:r>
      <w:r w:rsidR="00570ECA">
        <w:rPr>
          <w:szCs w:val="16"/>
        </w:rPr>
        <w:t xml:space="preserve"> stages 1 and 2 of the ITIL lifecycle </w:t>
      </w:r>
      <w:r>
        <w:rPr>
          <w:szCs w:val="16"/>
        </w:rPr>
        <w:t>are as follows;</w:t>
      </w:r>
    </w:p>
    <w:p w14:paraId="234B0C88" w14:textId="410FC1F4" w:rsidR="00254562" w:rsidRPr="00254562" w:rsidRDefault="00254562" w:rsidP="00254562">
      <w:pPr>
        <w:spacing w:after="80"/>
        <w:jc w:val="both"/>
        <w:rPr>
          <w:szCs w:val="16"/>
        </w:rPr>
      </w:pPr>
      <w:r w:rsidRPr="00254562">
        <w:rPr>
          <w:b/>
          <w:bCs/>
          <w:szCs w:val="16"/>
        </w:rPr>
        <w:t>BYOD;</w:t>
      </w:r>
      <w:r>
        <w:rPr>
          <w:szCs w:val="16"/>
        </w:rPr>
        <w:t xml:space="preserve"> The MDM SaaS application</w:t>
      </w:r>
      <w:r w:rsidRPr="00254562">
        <w:rPr>
          <w:szCs w:val="16"/>
        </w:rPr>
        <w:t xml:space="preserve"> will be installed within a </w:t>
      </w:r>
      <w:r w:rsidR="00587C2C">
        <w:rPr>
          <w:szCs w:val="16"/>
        </w:rPr>
        <w:t>Ubuntu Linux OS</w:t>
      </w:r>
      <w:r w:rsidR="00D6065A">
        <w:rPr>
          <w:szCs w:val="16"/>
        </w:rPr>
        <w:t xml:space="preserve"> </w:t>
      </w:r>
      <w:r w:rsidR="00D6065A">
        <w:rPr>
          <w:szCs w:val="16"/>
        </w:rPr>
        <w:fldChar w:fldCharType="begin" w:fldLock="1"/>
      </w:r>
      <w:r w:rsidR="00F351C4">
        <w:rPr>
          <w:szCs w:val="16"/>
        </w:rPr>
        <w:instrText>ADDIN CSL_CITATION {"citationItems":[{"id":"ITEM-1","itemData":{"URL":"https://www.ubuntu.com/download/server","accessed":{"date-parts":[["2019","4","23"]]},"author":[{"dropping-particle":"","family":"Ubuntu","given":"","non-dropping-particle":"","parse-names":false,"suffix":""}],"container-title":"ubuntu.com","id":"ITEM-1","issued":{"date-parts":[["2019"]]},"page":"1","title":"Linux - Ubuntu Server","type":"webpage"},"uris":["http://www.mendeley.com/documents/?uuid=7d3f744a-885e-3dcb-923b-cdd48bb627c5"]}],"mendeley":{"formattedCitation":"[65]","plainTextFormattedCitation":"[65]","previouslyFormattedCitation":"[65]"},"properties":{"noteIndex":0},"schema":"https://github.com/citation-style-language/schema/raw/master/csl-citation.json"}</w:instrText>
      </w:r>
      <w:r w:rsidR="00D6065A">
        <w:rPr>
          <w:szCs w:val="16"/>
        </w:rPr>
        <w:fldChar w:fldCharType="separate"/>
      </w:r>
      <w:r w:rsidR="002225FA" w:rsidRPr="002225FA">
        <w:rPr>
          <w:noProof/>
          <w:szCs w:val="16"/>
        </w:rPr>
        <w:t>[65]</w:t>
      </w:r>
      <w:r w:rsidR="00D6065A">
        <w:rPr>
          <w:szCs w:val="16"/>
        </w:rPr>
        <w:fldChar w:fldCharType="end"/>
      </w:r>
      <w:r w:rsidR="00D6065A">
        <w:rPr>
          <w:szCs w:val="16"/>
        </w:rPr>
        <w:t xml:space="preserve"> server</w:t>
      </w:r>
      <w:r w:rsidRPr="00254562">
        <w:rPr>
          <w:szCs w:val="16"/>
        </w:rPr>
        <w:t xml:space="preserve"> </w:t>
      </w:r>
      <w:r w:rsidR="00587C2C">
        <w:rPr>
          <w:szCs w:val="16"/>
        </w:rPr>
        <w:t xml:space="preserve">containerised </w:t>
      </w:r>
      <w:r w:rsidR="00D6065A">
        <w:rPr>
          <w:szCs w:val="16"/>
        </w:rPr>
        <w:fldChar w:fldCharType="begin" w:fldLock="1"/>
      </w:r>
      <w:r w:rsidR="00F351C4">
        <w:rPr>
          <w:szCs w:val="16"/>
        </w:rPr>
        <w:instrText>ADDIN CSL_CITATION {"citationItems":[{"id":"ITEM-1","itemData":{"DOI":"10.1109/MCC.2015.51","ISSN":"23256095","abstract":"Containerisation is widely discussed as a lightweight virtualisation solution. Apart from exhibiting benefits over traditional virtual machines in the cloud, containers are especially relevant for Platform-as-a-Service (PaaS) clouds to manage and orchestrate applications through containers as an application packaging mechanism. We discuss the requirements that arise from having to facilitate applications through distributed multi-cloud platforms. Index","author":[{"dropping-particle":"","family":"Pahl","given":"Claus","non-dropping-particle":"","parse-names":false,"suffix":""}],"container-title":"IEEE Cloud Computing","id":"ITEM-1","issued":{"date-parts":[["2015"]]},"title":"Containerization and the PaaS Cloud","type":"article-journal"},"uris":["http://www.mendeley.com/documents/?uuid=88ff52aa-5f4c-4fca-b36d-af48d550fbdd"]}],"mendeley":{"formattedCitation":"[66]","plainTextFormattedCitation":"[66]","previouslyFormattedCitation":"[66]"},"properties":{"noteIndex":0},"schema":"https://github.com/citation-style-language/schema/raw/master/csl-citation.json"}</w:instrText>
      </w:r>
      <w:r w:rsidR="00D6065A">
        <w:rPr>
          <w:szCs w:val="16"/>
        </w:rPr>
        <w:fldChar w:fldCharType="separate"/>
      </w:r>
      <w:r w:rsidR="002225FA" w:rsidRPr="002225FA">
        <w:rPr>
          <w:noProof/>
          <w:szCs w:val="16"/>
        </w:rPr>
        <w:t>[66]</w:t>
      </w:r>
      <w:r w:rsidR="00D6065A">
        <w:rPr>
          <w:szCs w:val="16"/>
        </w:rPr>
        <w:fldChar w:fldCharType="end"/>
      </w:r>
      <w:r w:rsidR="00D6065A">
        <w:rPr>
          <w:szCs w:val="16"/>
        </w:rPr>
        <w:t xml:space="preserve"> </w:t>
      </w:r>
      <w:r w:rsidR="00587C2C">
        <w:rPr>
          <w:szCs w:val="16"/>
        </w:rPr>
        <w:t>within</w:t>
      </w:r>
      <w:r w:rsidR="00D6065A">
        <w:rPr>
          <w:szCs w:val="16"/>
        </w:rPr>
        <w:t xml:space="preserve"> the industry standard open-source containerisation software</w:t>
      </w:r>
      <w:r w:rsidR="00587C2C">
        <w:rPr>
          <w:szCs w:val="16"/>
        </w:rPr>
        <w:t xml:space="preserve"> </w:t>
      </w:r>
      <w:r w:rsidR="00D6065A">
        <w:rPr>
          <w:szCs w:val="16"/>
        </w:rPr>
        <w:t>‘</w:t>
      </w:r>
      <w:r w:rsidR="00587C2C">
        <w:rPr>
          <w:szCs w:val="16"/>
        </w:rPr>
        <w:t>Docker</w:t>
      </w:r>
      <w:r w:rsidR="00D6065A">
        <w:rPr>
          <w:szCs w:val="16"/>
        </w:rPr>
        <w:t xml:space="preserve">’ </w:t>
      </w:r>
      <w:r w:rsidR="00D6065A">
        <w:rPr>
          <w:szCs w:val="16"/>
        </w:rPr>
        <w:fldChar w:fldCharType="begin" w:fldLock="1"/>
      </w:r>
      <w:r w:rsidR="00F351C4">
        <w:rPr>
          <w:szCs w:val="16"/>
        </w:rPr>
        <w:instrText>ADDIN CSL_CITATION {"citationItems":[{"id":"ITEM-1","itemData":{"URL":"https://docs.docker.com/v17.09/engine/userguide/networking/","abstract":"Net docker","accessed":{"date-parts":[["2019","1","22"]]},"author":[{"dropping-particle":"","family":"Docker","given":"","non-dropping-particle":"","parse-names":false,"suffix":""}],"container-title":"Docker Inc","id":"ITEM-1","issued":{"date-parts":[["2018"]]},"page":"1","title":"Docker container networking | Docker Documentation","type":"webpage"},"uris":["http://www.mendeley.com/documents/?uuid=c6abb8ad-6541-3f77-a559-e0f2c1fe15bd"]}],"mendeley":{"formattedCitation":"[67]","plainTextFormattedCitation":"[67]","previouslyFormattedCitation":"[67]"},"properties":{"noteIndex":0},"schema":"https://github.com/citation-style-language/schema/raw/master/csl-citation.json"}</w:instrText>
      </w:r>
      <w:r w:rsidR="00D6065A">
        <w:rPr>
          <w:szCs w:val="16"/>
        </w:rPr>
        <w:fldChar w:fldCharType="separate"/>
      </w:r>
      <w:r w:rsidR="002225FA" w:rsidRPr="002225FA">
        <w:rPr>
          <w:noProof/>
          <w:szCs w:val="16"/>
        </w:rPr>
        <w:t>[67]</w:t>
      </w:r>
      <w:r w:rsidR="00D6065A">
        <w:rPr>
          <w:szCs w:val="16"/>
        </w:rPr>
        <w:fldChar w:fldCharType="end"/>
      </w:r>
      <w:r w:rsidR="00587C2C">
        <w:rPr>
          <w:szCs w:val="16"/>
        </w:rPr>
        <w:t xml:space="preserve"> for AWS, </w:t>
      </w:r>
      <w:r w:rsidRPr="00254562">
        <w:rPr>
          <w:szCs w:val="16"/>
        </w:rPr>
        <w:t>that will also provide; Secure File services</w:t>
      </w:r>
      <w:r w:rsidR="00D6065A">
        <w:rPr>
          <w:szCs w:val="16"/>
        </w:rPr>
        <w:t xml:space="preserve"> </w:t>
      </w:r>
      <w:r w:rsidR="00D6065A">
        <w:rPr>
          <w:szCs w:val="16"/>
        </w:rPr>
        <w:fldChar w:fldCharType="begin" w:fldLock="1"/>
      </w:r>
      <w:r w:rsidR="00F351C4">
        <w:rPr>
          <w:szCs w:val="16"/>
        </w:rPr>
        <w:instrText>ADDIN CSL_CITATION {"citationItems":[{"id":"ITEM-1","itemData":{"URL":"https://docs.microsoft.com/en-us/previous-versions/windows/it-pro/windows-server-2012-r2-and-2012/hh831487(v%3Dws.11)","abstract":"File Services","accessed":{"date-parts":[["2019","5","1"]]},"author":[{"dropping-particle":"","family":"Microsoft","given":"","non-dropping-particle":"","parse-names":false,"suffix":""}],"container-title":"docs.microsoft.com","id":"ITEM-1","issued":{"date-parts":[["2016"]]},"title":"File and Storage Services Overview | Microsoft Docs","type":"webpage"},"uris":["http://www.mendeley.com/documents/?uuid=af0f47ae-73a5-3097-bc29-6fdbf2a4ef5b"]}],"mendeley":{"formattedCitation":"[68]","plainTextFormattedCitation":"[68]","previouslyFormattedCitation":"[68]"},"properties":{"noteIndex":0},"schema":"https://github.com/citation-style-language/schema/raw/master/csl-citation.json"}</w:instrText>
      </w:r>
      <w:r w:rsidR="00D6065A">
        <w:rPr>
          <w:szCs w:val="16"/>
        </w:rPr>
        <w:fldChar w:fldCharType="separate"/>
      </w:r>
      <w:r w:rsidR="002225FA" w:rsidRPr="002225FA">
        <w:rPr>
          <w:noProof/>
          <w:szCs w:val="16"/>
        </w:rPr>
        <w:t>[68]</w:t>
      </w:r>
      <w:r w:rsidR="00D6065A">
        <w:rPr>
          <w:szCs w:val="16"/>
        </w:rPr>
        <w:fldChar w:fldCharType="end"/>
      </w:r>
      <w:r w:rsidRPr="00254562">
        <w:rPr>
          <w:szCs w:val="16"/>
        </w:rPr>
        <w:t>, Authentication Authorization and Accounting (AAA)</w:t>
      </w:r>
      <w:r w:rsidR="00D6065A">
        <w:rPr>
          <w:szCs w:val="16"/>
        </w:rPr>
        <w:t xml:space="preserve"> </w:t>
      </w:r>
      <w:r w:rsidR="00D6065A">
        <w:rPr>
          <w:szCs w:val="16"/>
        </w:rPr>
        <w:fldChar w:fldCharType="begin" w:fldLock="1"/>
      </w:r>
      <w:r w:rsidR="00F351C4">
        <w:rPr>
          <w:szCs w:val="16"/>
        </w:rPr>
        <w:instrText>ADDIN CSL_CITATION {"citationItems":[{"id":"ITEM-1","itemData":{"URL":"http://searchsecurity.techtarget.com/definition/AAA-server","abstract":"DEFINITION\r\nAAA server (authentication, authorization, and accounting)\r\n\r\nPosted by: Margaret Rouse\r\nWhatIs.com\r\n   \r\n\r\nSponsored News\r\nOne More Reason to Use HCI: Bolstering Security\r\n–VMware\r\nSimpler IT: From Building Blocks to Converged Systems\r\n–Dell EMC\r\nSee More\r\n\r\nVendor Resources\r\nCreate A Simpler, Secure, more Agile Network\r\n–Nokia\r\nAn AAA server is a server program that handles user requests for access to computer resources and, for an enterprise, provides authentication, authorization, and accounting (AAA) services. The AAA server typically interacts with network access and gateway servers and with databases and directories containing user information. The current standard by which devices or applications communicate with an AAA server is the Remote Authentication Dial-In User Service (RADIUS).","accessed":{"date-parts":[["2017","12","11"]]},"author":[{"dropping-particle":"","family":"security.techtarget","given":"","non-dropping-particle":"","parse-names":false,"suffix":""}],"container-title":"techtarget.com","id":"ITEM-1","issued":{"date-parts":[["2017"]]},"page":"1","title":"What is AAA server (authentication, authorization, and accounting)? - Definition from WhatIs.com","type":"webpage"},"uris":["http://www.mendeley.com/documents/?uuid=157b0dbc-e2c1-3e53-be2d-a4121c8bfba3"]}],"mendeley":{"formattedCitation":"[69]","plainTextFormattedCitation":"[69]","previouslyFormattedCitation":"[69]"},"properties":{"noteIndex":0},"schema":"https://github.com/citation-style-language/schema/raw/master/csl-citation.json"}</w:instrText>
      </w:r>
      <w:r w:rsidR="00D6065A">
        <w:rPr>
          <w:szCs w:val="16"/>
        </w:rPr>
        <w:fldChar w:fldCharType="separate"/>
      </w:r>
      <w:r w:rsidR="002225FA" w:rsidRPr="002225FA">
        <w:rPr>
          <w:noProof/>
          <w:szCs w:val="16"/>
        </w:rPr>
        <w:t>[69]</w:t>
      </w:r>
      <w:r w:rsidR="00D6065A">
        <w:rPr>
          <w:szCs w:val="16"/>
        </w:rPr>
        <w:fldChar w:fldCharType="end"/>
      </w:r>
      <w:r w:rsidRPr="00254562">
        <w:rPr>
          <w:szCs w:val="16"/>
        </w:rPr>
        <w:t>, Active Directory (AD)</w:t>
      </w:r>
      <w:r w:rsidR="00D6065A">
        <w:rPr>
          <w:szCs w:val="16"/>
        </w:rPr>
        <w:t xml:space="preserve"> </w:t>
      </w:r>
      <w:r w:rsidR="00D6065A">
        <w:rPr>
          <w:szCs w:val="16"/>
        </w:rPr>
        <w:fldChar w:fldCharType="begin" w:fldLock="1"/>
      </w:r>
      <w:r w:rsidR="00F351C4">
        <w:rPr>
          <w:szCs w:val="16"/>
        </w:rPr>
        <w:instrText>ADDIN CSL_CITATION {"citationItems":[{"id":"ITEM-1","itemData":{"DOI":"10.1002/9781119549277.ch9","abstract":"Active Directory Domain Services (AD DS) stores directory data and manages communication between users and domains, including user logon processes, authentication, and directory searches. An Active Directory domain controller is a server that is running AD DS. More...","author":[{"dropping-particle":"","family":"Svidergol","given":"Brian","non-dropping-particle":"","parse-names":false,"suffix":""},{"dropping-particle":"","family":"Meloski","given":"Vladimir","non-dropping-particle":"","parse-names":false,"suffix":""},{"dropping-particle":"","family":"Wright","given":"Byron","non-dropping-particle":"","parse-names":false,"suffix":""},{"dropping-particle":"","family":"Martinez","given":"Santos","non-dropping-particle":"","parse-names":false,"suffix":""},{"dropping-particle":"","family":"Bassett","given":"Doug","non-dropping-particle":"","parse-names":false,"suffix":""}],"container-title":"Mastering Windows Server® 2016","id":"ITEM-1","issued":{"date-parts":[["2018"]]},"title":"Active Directory Domain Services","type":"chapter"},"uris":["http://www.mendeley.com/documents/?uuid=bd471980-7520-4188-906d-fb7e9a5064b7"]}],"mendeley":{"formattedCitation":"[70]","plainTextFormattedCitation":"[70]","previouslyFormattedCitation":"[70]"},"properties":{"noteIndex":0},"schema":"https://github.com/citation-style-language/schema/raw/master/csl-citation.json"}</w:instrText>
      </w:r>
      <w:r w:rsidR="00D6065A">
        <w:rPr>
          <w:szCs w:val="16"/>
        </w:rPr>
        <w:fldChar w:fldCharType="separate"/>
      </w:r>
      <w:r w:rsidR="002225FA" w:rsidRPr="002225FA">
        <w:rPr>
          <w:noProof/>
          <w:szCs w:val="16"/>
        </w:rPr>
        <w:t>[70]</w:t>
      </w:r>
      <w:r w:rsidR="00D6065A">
        <w:rPr>
          <w:szCs w:val="16"/>
        </w:rPr>
        <w:fldChar w:fldCharType="end"/>
      </w:r>
      <w:r w:rsidRPr="00254562">
        <w:rPr>
          <w:szCs w:val="16"/>
        </w:rPr>
        <w:t>, Domain Name Services (DNS)</w:t>
      </w:r>
      <w:r>
        <w:rPr>
          <w:szCs w:val="16"/>
        </w:rPr>
        <w:t xml:space="preserve"> </w:t>
      </w:r>
      <w:r w:rsidR="00D6065A">
        <w:rPr>
          <w:szCs w:val="16"/>
        </w:rPr>
        <w:fldChar w:fldCharType="begin" w:fldLock="1"/>
      </w:r>
      <w:r w:rsidR="00F351C4">
        <w:rPr>
          <w:szCs w:val="16"/>
        </w:rPr>
        <w:instrText>ADDIN CSL_CITATION {"citationItems":[{"id":"ITEM-1","itemData":{"URL":"http://ccm.net/contents/271-dns-domain-name-system","accessed":{"date-parts":[["2018","2","14"]]},"author":[{"dropping-particle":"","family":"ccm","given":"","non-dropping-particle":"","parse-names":false,"suffix":""}],"container-title":"cccm.net","id":"ITEM-1","issued":{"date-parts":[["2018"]]},"page":"1","title":"DNS (Domain Name System)","type":"webpage"},"uris":["http://www.mendeley.com/documents/?uuid=52eb3b25-8630-3430-a4fd-9d896c93bd63"]}],"mendeley":{"formattedCitation":"[71]","plainTextFormattedCitation":"[71]","previouslyFormattedCitation":"[71]"},"properties":{"noteIndex":0},"schema":"https://github.com/citation-style-language/schema/raw/master/csl-citation.json"}</w:instrText>
      </w:r>
      <w:r w:rsidR="00D6065A">
        <w:rPr>
          <w:szCs w:val="16"/>
        </w:rPr>
        <w:fldChar w:fldCharType="separate"/>
      </w:r>
      <w:r w:rsidR="002225FA" w:rsidRPr="002225FA">
        <w:rPr>
          <w:noProof/>
          <w:szCs w:val="16"/>
        </w:rPr>
        <w:t>[71]</w:t>
      </w:r>
      <w:r w:rsidR="00D6065A">
        <w:rPr>
          <w:szCs w:val="16"/>
        </w:rPr>
        <w:fldChar w:fldCharType="end"/>
      </w:r>
      <w:r>
        <w:rPr>
          <w:szCs w:val="16"/>
        </w:rPr>
        <w:t>to the LAN</w:t>
      </w:r>
      <w:r w:rsidRPr="00254562">
        <w:rPr>
          <w:szCs w:val="16"/>
        </w:rPr>
        <w:t xml:space="preserve">. </w:t>
      </w:r>
    </w:p>
    <w:p w14:paraId="50B1538A" w14:textId="0C747E15" w:rsidR="00483C9E" w:rsidRDefault="00254562" w:rsidP="00254562">
      <w:pPr>
        <w:spacing w:after="80"/>
        <w:jc w:val="both"/>
        <w:rPr>
          <w:szCs w:val="16"/>
        </w:rPr>
      </w:pPr>
      <w:r w:rsidRPr="00254562">
        <w:rPr>
          <w:szCs w:val="16"/>
        </w:rPr>
        <w:t xml:space="preserve">An AWS MDM server </w:t>
      </w:r>
      <w:r>
        <w:rPr>
          <w:szCs w:val="16"/>
        </w:rPr>
        <w:t>will be</w:t>
      </w:r>
      <w:r w:rsidRPr="00254562">
        <w:rPr>
          <w:szCs w:val="16"/>
        </w:rPr>
        <w:t xml:space="preserve"> utilised to consolidate the cloud security with the existing AWS VPC</w:t>
      </w:r>
      <w:r w:rsidR="00F14C73">
        <w:rPr>
          <w:szCs w:val="16"/>
        </w:rPr>
        <w:t xml:space="preserve">. AWS MDM was </w:t>
      </w:r>
      <w:r w:rsidR="00A957E5">
        <w:rPr>
          <w:szCs w:val="16"/>
        </w:rPr>
        <w:t>chosen,</w:t>
      </w:r>
      <w:r w:rsidR="00F14C73">
        <w:rPr>
          <w:szCs w:val="16"/>
        </w:rPr>
        <w:t xml:space="preserve"> not only </w:t>
      </w:r>
      <w:r w:rsidR="00F14C73" w:rsidRPr="00254562">
        <w:rPr>
          <w:szCs w:val="16"/>
        </w:rPr>
        <w:t>for its security merits reported by security professionals</w:t>
      </w:r>
      <w:r w:rsidR="00F14C73">
        <w:rPr>
          <w:szCs w:val="16"/>
        </w:rPr>
        <w:t xml:space="preserve"> but also for </w:t>
      </w:r>
      <w:r w:rsidR="00483C9E">
        <w:rPr>
          <w:szCs w:val="16"/>
        </w:rPr>
        <w:t xml:space="preserve">its </w:t>
      </w:r>
      <w:r w:rsidR="00D6065A">
        <w:rPr>
          <w:szCs w:val="16"/>
        </w:rPr>
        <w:t>compatibility</w:t>
      </w:r>
      <w:r w:rsidR="00483C9E">
        <w:rPr>
          <w:szCs w:val="16"/>
        </w:rPr>
        <w:t xml:space="preserve"> with the AWS infrastructure in currently in place.</w:t>
      </w:r>
    </w:p>
    <w:p w14:paraId="7103EFBA" w14:textId="0828FF27" w:rsidR="00483C9E" w:rsidRDefault="00483C9E" w:rsidP="00254562">
      <w:pPr>
        <w:spacing w:after="80"/>
        <w:jc w:val="both"/>
        <w:rPr>
          <w:szCs w:val="16"/>
        </w:rPr>
      </w:pPr>
      <w:r>
        <w:rPr>
          <w:szCs w:val="16"/>
        </w:rPr>
        <w:t>The VPC</w:t>
      </w:r>
      <w:r w:rsidR="00254562">
        <w:rPr>
          <w:szCs w:val="16"/>
        </w:rPr>
        <w:t xml:space="preserve"> will consist of two spokes</w:t>
      </w:r>
      <w:r>
        <w:rPr>
          <w:szCs w:val="16"/>
        </w:rPr>
        <w:t>;</w:t>
      </w:r>
      <w:r w:rsidR="00477DBD">
        <w:rPr>
          <w:szCs w:val="16"/>
        </w:rPr>
        <w:t xml:space="preserve"> </w:t>
      </w:r>
      <w:r w:rsidR="00477DBD">
        <w:rPr>
          <w:szCs w:val="16"/>
        </w:rPr>
        <w:fldChar w:fldCharType="begin" w:fldLock="1"/>
      </w:r>
      <w:r w:rsidR="00F351C4">
        <w:rPr>
          <w:szCs w:val="16"/>
        </w:rPr>
        <w:instrText>ADDIN CSL_CITATION {"citationItems":[{"id":"ITEM-1","itemData":{"URL":"https://aws.amazon.com/blogs/aws/new-use-an-aws-transit-gateway-to-simplify-your-network-architecture/","accessed":{"date-parts":[["2020","1","29"]]},"author":[{"dropping-particle":"","family":"VPC SPokes","given":"","non-dropping-particle":"","parse-names":false,"suffix":""}],"id":"ITEM-1","issued":{"date-parts":[["0"]]},"title":" AWS Cloud Architecture - Transit Gateway VPC Security Spokes","type":"webpage"},"uris":["http://www.mendeley.com/documents/?uuid=f51aa159-c745-398c-a056-5de214ba80f0"]},{"id":"ITEM-2","itemData":{"URL":"https://docs.aws.amazon.com/solutions/latest/cisco-based-transit-vpc/components.html","accessed":{"date-parts":[["2020","1","29"]]},"author":[{"dropping-particle":"","family":"AWS","given":"","non-dropping-particle":"","parse-names":false,"suffix":""}],"id":"ITEM-2","issued":{"date-parts":[["2019"]]},"page":"1-1","title":"Transit VPC Components - Transit Network VPC (Cisco CSR)","type":"webpage"},"uris":["http://www.mendeley.com/documents/?uuid=6fa12b0f-8b8b-3d25-9642-7d78539d4c5a"]}],"mendeley":{"formattedCitation":"[72], [73]","plainTextFormattedCitation":"[72], [73]","previouslyFormattedCitation":"[72], [73]"},"properties":{"noteIndex":0},"schema":"https://github.com/citation-style-language/schema/raw/master/csl-citation.json"}</w:instrText>
      </w:r>
      <w:r w:rsidR="00477DBD">
        <w:rPr>
          <w:szCs w:val="16"/>
        </w:rPr>
        <w:fldChar w:fldCharType="separate"/>
      </w:r>
      <w:r w:rsidR="002225FA" w:rsidRPr="002225FA">
        <w:rPr>
          <w:noProof/>
          <w:szCs w:val="16"/>
        </w:rPr>
        <w:t>[72], [73]</w:t>
      </w:r>
      <w:r w:rsidR="00477DBD">
        <w:rPr>
          <w:szCs w:val="16"/>
        </w:rPr>
        <w:fldChar w:fldCharType="end"/>
      </w:r>
    </w:p>
    <w:p w14:paraId="4FD0FE3E" w14:textId="3542CD74" w:rsidR="00483C9E" w:rsidRDefault="00254562" w:rsidP="00483C9E">
      <w:pPr>
        <w:pStyle w:val="ListParagraph"/>
        <w:numPr>
          <w:ilvl w:val="0"/>
          <w:numId w:val="22"/>
        </w:numPr>
        <w:spacing w:after="80"/>
        <w:jc w:val="both"/>
        <w:rPr>
          <w:szCs w:val="16"/>
        </w:rPr>
      </w:pPr>
      <w:r w:rsidRPr="00483C9E">
        <w:rPr>
          <w:b/>
          <w:bCs/>
          <w:szCs w:val="16"/>
        </w:rPr>
        <w:t>Spoke 1</w:t>
      </w:r>
      <w:r w:rsidR="00483C9E">
        <w:rPr>
          <w:b/>
          <w:bCs/>
          <w:szCs w:val="16"/>
        </w:rPr>
        <w:t>;</w:t>
      </w:r>
      <w:r w:rsidRPr="00483C9E">
        <w:rPr>
          <w:szCs w:val="16"/>
        </w:rPr>
        <w:t xml:space="preserve"> will contain the internal services for the organisation that can only be accessed via a Virtual Private </w:t>
      </w:r>
      <w:r w:rsidR="00F14C73" w:rsidRPr="00483C9E">
        <w:rPr>
          <w:szCs w:val="16"/>
        </w:rPr>
        <w:t>Network</w:t>
      </w:r>
      <w:r w:rsidR="00B02093">
        <w:rPr>
          <w:szCs w:val="16"/>
        </w:rPr>
        <w:t xml:space="preserve"> (VPN)</w:t>
      </w:r>
      <w:r w:rsidRPr="00483C9E">
        <w:rPr>
          <w:szCs w:val="16"/>
        </w:rPr>
        <w:t xml:space="preserve">. </w:t>
      </w:r>
    </w:p>
    <w:p w14:paraId="33B3C81D" w14:textId="77777777" w:rsidR="00483C9E" w:rsidRDefault="00483C9E" w:rsidP="00483C9E">
      <w:pPr>
        <w:pStyle w:val="ListParagraph"/>
        <w:spacing w:after="80"/>
        <w:ind w:left="360"/>
        <w:jc w:val="both"/>
        <w:rPr>
          <w:szCs w:val="16"/>
        </w:rPr>
      </w:pPr>
    </w:p>
    <w:p w14:paraId="112C8BA2" w14:textId="24C030D6" w:rsidR="00254562" w:rsidRDefault="00254562" w:rsidP="00483C9E">
      <w:pPr>
        <w:pStyle w:val="ListParagraph"/>
        <w:numPr>
          <w:ilvl w:val="0"/>
          <w:numId w:val="22"/>
        </w:numPr>
        <w:spacing w:after="80"/>
        <w:jc w:val="both"/>
        <w:rPr>
          <w:szCs w:val="16"/>
        </w:rPr>
      </w:pPr>
      <w:r w:rsidRPr="00483C9E">
        <w:rPr>
          <w:b/>
          <w:bCs/>
          <w:szCs w:val="16"/>
        </w:rPr>
        <w:t>Spoke</w:t>
      </w:r>
      <w:r w:rsidR="00483C9E" w:rsidRPr="00483C9E">
        <w:rPr>
          <w:b/>
          <w:bCs/>
          <w:szCs w:val="16"/>
        </w:rPr>
        <w:t xml:space="preserve"> 2</w:t>
      </w:r>
      <w:r w:rsidR="00483C9E">
        <w:rPr>
          <w:b/>
          <w:bCs/>
          <w:szCs w:val="16"/>
        </w:rPr>
        <w:t>;</w:t>
      </w:r>
      <w:r w:rsidR="00AE64A4">
        <w:rPr>
          <w:szCs w:val="16"/>
        </w:rPr>
        <w:t xml:space="preserve"> This spoke </w:t>
      </w:r>
      <w:r w:rsidRPr="00483C9E">
        <w:rPr>
          <w:szCs w:val="16"/>
        </w:rPr>
        <w:t>will be an offsite cloud D</w:t>
      </w:r>
      <w:r w:rsidR="00AE64A4">
        <w:rPr>
          <w:szCs w:val="16"/>
        </w:rPr>
        <w:t>e</w:t>
      </w:r>
      <w:r w:rsidRPr="00483C9E">
        <w:rPr>
          <w:szCs w:val="16"/>
        </w:rPr>
        <w:t>-</w:t>
      </w:r>
      <w:r w:rsidR="00F14C73" w:rsidRPr="00483C9E">
        <w:rPr>
          <w:szCs w:val="16"/>
        </w:rPr>
        <w:t>Militarized</w:t>
      </w:r>
      <w:r w:rsidRPr="00483C9E">
        <w:rPr>
          <w:szCs w:val="16"/>
        </w:rPr>
        <w:t xml:space="preserve"> Zone (DMZ)</w:t>
      </w:r>
      <w:r w:rsidR="00FB5CD2">
        <w:rPr>
          <w:szCs w:val="16"/>
        </w:rPr>
        <w:t xml:space="preserve"> </w:t>
      </w:r>
      <w:r w:rsidR="00FB5CD2">
        <w:rPr>
          <w:szCs w:val="16"/>
        </w:rPr>
        <w:fldChar w:fldCharType="begin" w:fldLock="1"/>
      </w:r>
      <w:r w:rsidR="00F351C4">
        <w:rPr>
          <w:szCs w:val="16"/>
        </w:rPr>
        <w:instrText>ADDIN CSL_CITATION {"citationItems":[{"id":"ITEM-1","itemData":{"abstract":"The majority of non-computer professionals think of a DMZ as the strip of land that serves as the buffer between North and South Korea along the 39 th parallel north created as part of the Korean Armistice Agreement in 1953. In the computersecurity field; however, the DMZ (Demilitarized Zone) is either a logical or physical sub-network that contains most of a network's externally connected services which connect to the Internet. The primary purpose of the DMZ is to provide another layer of security for a local area network (LAN). If a rogue actor is able to obtain access to services located in the DMZ, they are not able to gain full access to the main part of the network. What is the Purpose of a DMZ? In most computer networks, the most vulnerable components are those computer hosts that are responsible for providing end-user services such as web, DNS (Domain Name System), and email servers. Due to the odds of one of these servers becoming compromised through published or newly discovered exploits, when employing the DMZ concept they are configured to reside within their own sub-network. This allows the remainder of the network to be protected if a rogue actor or hacker is able to succeed in attacking any of the servers. Any computer host that is placed in the DMZ will have limited connectivity to other hosts that solely reside within the internal network. The DMZ does permit communication across hosts located within the DMZ and to the external network or Internet. This aspect of the DMZ allows servers to provide services to both the external and internal networks. In this configuration, a computer firewall is used to monitor and control the network traffic between the servers located within the DMZ and internal network client computers. Unfortunately, DMZ configurations will not provide much if any protection against internal network attackssuch as email spoofing or network traffic analysis or packet sniffing.","author":[{"dropping-particle":"","family":"Idc-online","given":"","non-dropping-particle":"","parse-names":false,"suffix":""}],"container-title":"idc-online.com","id":"ITEM-1","issued":{"date-parts":[["2010"]]},"title":"DMZ - Services","type":"article-journal"},"uris":["http://www.mendeley.com/documents/?uuid=dee6f876-aa2b-474f-90c3-8208b44a91c8"]}],"mendeley":{"formattedCitation":"[74]","plainTextFormattedCitation":"[74]","previouslyFormattedCitation":"[74]"},"properties":{"noteIndex":0},"schema":"https://github.com/citation-style-language/schema/raw/master/csl-citation.json"}</w:instrText>
      </w:r>
      <w:r w:rsidR="00FB5CD2">
        <w:rPr>
          <w:szCs w:val="16"/>
        </w:rPr>
        <w:fldChar w:fldCharType="separate"/>
      </w:r>
      <w:r w:rsidR="002225FA" w:rsidRPr="002225FA">
        <w:rPr>
          <w:noProof/>
          <w:szCs w:val="16"/>
        </w:rPr>
        <w:t>[74]</w:t>
      </w:r>
      <w:r w:rsidR="00FB5CD2">
        <w:rPr>
          <w:szCs w:val="16"/>
        </w:rPr>
        <w:fldChar w:fldCharType="end"/>
      </w:r>
      <w:r w:rsidRPr="00483C9E">
        <w:rPr>
          <w:szCs w:val="16"/>
        </w:rPr>
        <w:t xml:space="preserve"> where the </w:t>
      </w:r>
      <w:r w:rsidR="00FB5CD2">
        <w:t>Hyper Text Transport Protocol Secure (</w:t>
      </w:r>
      <w:r w:rsidR="00FB5CD2">
        <w:rPr>
          <w:szCs w:val="16"/>
        </w:rPr>
        <w:t xml:space="preserve">HTTPS) </w:t>
      </w:r>
      <w:r w:rsidR="00FB5CD2">
        <w:rPr>
          <w:szCs w:val="16"/>
        </w:rPr>
        <w:fldChar w:fldCharType="begin" w:fldLock="1"/>
      </w:r>
      <w:r w:rsidR="00F351C4">
        <w:rPr>
          <w:szCs w:val="16"/>
        </w:rPr>
        <w:instrText>ADDIN CSL_CITATION {"citationItems":[{"id":"ITEM-1","itemData":{"DOI":"10.1097/wnn.0000000000000150","ISSN":"1543-3633","abstract":"This memo describes a syntax for securing messages sent using the Hypertext Transfer Protocol (HTTP), which forms the basis for the World Wide Web. Secure HTTP (S-HTTP) provides independently applicable security services for transaction confidentiality, authenticity/integrity and non-repudiability of origin. The protocol emphasizes maximum flexibility in choice of key management mechanisms, security policies and cryptographic algorithms by supporting option negotiation between parties for each transaction.","author":[{"dropping-particle":"","family":"Kosakowski","given":"Heather L.","non-dropping-particle":"","parse-names":false,"suffix":""},{"dropping-particle":"","family":"Saxe","given":"Rebecca","non-dropping-particle":"","parse-names":false,"suffix":""}],"container-title":"Cognitive And Behavioral Neurology","id":"ITEM-1","issued":{"date-parts":[["2018"]]},"title":"https","type":"article-journal"},"uris":["http://www.mendeley.com/documents/?uuid=124ed928-6d79-4a0d-84de-5fab768aca44"]}],"mendeley":{"formattedCitation":"[75]","plainTextFormattedCitation":"[75]","previouslyFormattedCitation":"[75]"},"properties":{"noteIndex":0},"schema":"https://github.com/citation-style-language/schema/raw/master/csl-citation.json"}</w:instrText>
      </w:r>
      <w:r w:rsidR="00FB5CD2">
        <w:rPr>
          <w:szCs w:val="16"/>
        </w:rPr>
        <w:fldChar w:fldCharType="separate"/>
      </w:r>
      <w:r w:rsidR="002225FA" w:rsidRPr="002225FA">
        <w:rPr>
          <w:noProof/>
          <w:szCs w:val="16"/>
        </w:rPr>
        <w:t>[75]</w:t>
      </w:r>
      <w:r w:rsidR="00FB5CD2">
        <w:rPr>
          <w:szCs w:val="16"/>
        </w:rPr>
        <w:fldChar w:fldCharType="end"/>
      </w:r>
      <w:r w:rsidR="00FB5CD2">
        <w:rPr>
          <w:szCs w:val="16"/>
        </w:rPr>
        <w:t xml:space="preserve"> </w:t>
      </w:r>
      <w:r w:rsidRPr="00483C9E">
        <w:rPr>
          <w:szCs w:val="16"/>
        </w:rPr>
        <w:t>web portal</w:t>
      </w:r>
      <w:r w:rsidR="00F14C73" w:rsidRPr="00483C9E">
        <w:rPr>
          <w:szCs w:val="16"/>
        </w:rPr>
        <w:t xml:space="preserve"> </w:t>
      </w:r>
      <w:r w:rsidR="00FB5CD2">
        <w:rPr>
          <w:szCs w:val="16"/>
        </w:rPr>
        <w:fldChar w:fldCharType="begin" w:fldLock="1"/>
      </w:r>
      <w:r w:rsidR="00F351C4">
        <w:rPr>
          <w:szCs w:val="16"/>
        </w:rPr>
        <w:instrText>ADDIN CSL_CITATION {"citationItems":[{"id":"ITEM-1","itemData":{"URL":"https://azure.microsoft.com/en-gb/features/azure-portal/","accessed":{"date-parts":[["2020","1","29"]]},"author":[{"dropping-particle":"","family":"Microsoft","given":"","non-dropping-particle":"","parse-names":false,"suffix":""}],"id":"ITEM-1","issued":{"date-parts":[["2019"]]},"page":"1-1","title":"Microsoft Azure Portal | Microsoft Azure","type":"webpage"},"uris":["http://www.mendeley.com/documents/?uuid=fafc6c85-53e4-390b-b4bd-15929ecd4f23"]}],"mendeley":{"formattedCitation":"[76]","plainTextFormattedCitation":"[76]","previouslyFormattedCitation":"[76]"},"properties":{"noteIndex":0},"schema":"https://github.com/citation-style-language/schema/raw/master/csl-citation.json"}</w:instrText>
      </w:r>
      <w:r w:rsidR="00FB5CD2">
        <w:rPr>
          <w:szCs w:val="16"/>
        </w:rPr>
        <w:fldChar w:fldCharType="separate"/>
      </w:r>
      <w:r w:rsidR="002225FA" w:rsidRPr="002225FA">
        <w:rPr>
          <w:noProof/>
          <w:szCs w:val="16"/>
        </w:rPr>
        <w:t>[76]</w:t>
      </w:r>
      <w:r w:rsidR="00FB5CD2">
        <w:rPr>
          <w:szCs w:val="16"/>
        </w:rPr>
        <w:fldChar w:fldCharType="end"/>
      </w:r>
      <w:r w:rsidR="00FB5CD2">
        <w:rPr>
          <w:szCs w:val="16"/>
        </w:rPr>
        <w:t xml:space="preserve"> </w:t>
      </w:r>
      <w:r w:rsidR="00F14C73" w:rsidRPr="00483C9E">
        <w:rPr>
          <w:szCs w:val="16"/>
        </w:rPr>
        <w:t>will have a public IP</w:t>
      </w:r>
      <w:r w:rsidR="00FB5CD2">
        <w:rPr>
          <w:szCs w:val="16"/>
        </w:rPr>
        <w:t xml:space="preserve"> address </w:t>
      </w:r>
      <w:r w:rsidR="00FB5CD2">
        <w:rPr>
          <w:szCs w:val="16"/>
        </w:rPr>
        <w:fldChar w:fldCharType="begin" w:fldLock="1"/>
      </w:r>
      <w:r w:rsidR="00F351C4">
        <w:rPr>
          <w:szCs w:val="16"/>
        </w:rPr>
        <w:instrText>ADDIN CSL_CITATION {"citationItems":[{"id":"ITEM-1","itemData":{"URL":"https://www.cisco.com/c/en/us/support/docs/ip/routing-information-protocol-rip/13788-3.html","abstract":"This document provides basic information needed in order to configure your router for routing IP, such as how addresses are broken down and how subnetting works. You learn how to assign each interface on the router an IP address with a unique subnet. There are examples included in order to help tie everything together.","accessed":{"date-parts":[["2017","12","11"]]},"author":[{"dropping-particle":"","family":"cisco.com","given":"","non-dropping-particle":"","parse-names":false,"suffix":""}],"container-title":"cisco.com","id":"ITEM-1","issued":{"date-parts":[["2016"]]},"page":"1","title":"IP Addressing and Subnetting for New Users - Cisco","type":"webpage"},"uris":["http://www.mendeley.com/documents/?uuid=6f04af1e-c87d-3636-a451-e045bcb56b24"]}],"mendeley":{"formattedCitation":"[77]","plainTextFormattedCitation":"[77]","previouslyFormattedCitation":"[77]"},"properties":{"noteIndex":0},"schema":"https://github.com/citation-style-language/schema/raw/master/csl-citation.json"}</w:instrText>
      </w:r>
      <w:r w:rsidR="00FB5CD2">
        <w:rPr>
          <w:szCs w:val="16"/>
        </w:rPr>
        <w:fldChar w:fldCharType="separate"/>
      </w:r>
      <w:r w:rsidR="002225FA" w:rsidRPr="002225FA">
        <w:rPr>
          <w:noProof/>
          <w:szCs w:val="16"/>
        </w:rPr>
        <w:t>[77]</w:t>
      </w:r>
      <w:r w:rsidR="00FB5CD2">
        <w:rPr>
          <w:szCs w:val="16"/>
        </w:rPr>
        <w:fldChar w:fldCharType="end"/>
      </w:r>
      <w:r w:rsidR="00F14C73" w:rsidRPr="00483C9E">
        <w:rPr>
          <w:szCs w:val="16"/>
        </w:rPr>
        <w:t xml:space="preserve"> for clients/Customers to access </w:t>
      </w:r>
      <w:r w:rsidR="00483C9E">
        <w:rPr>
          <w:szCs w:val="16"/>
        </w:rPr>
        <w:t xml:space="preserve">to provide </w:t>
      </w:r>
      <w:r w:rsidR="00FB5CD2">
        <w:rPr>
          <w:szCs w:val="16"/>
        </w:rPr>
        <w:t xml:space="preserve">virtual network </w:t>
      </w:r>
      <w:r w:rsidR="00483C9E">
        <w:rPr>
          <w:szCs w:val="16"/>
        </w:rPr>
        <w:t>segmentation from the highly sensitive information contained within spoke</w:t>
      </w:r>
      <w:r w:rsidR="00FB5CD2">
        <w:rPr>
          <w:szCs w:val="16"/>
        </w:rPr>
        <w:t>-1</w:t>
      </w:r>
      <w:r w:rsidR="00483C9E">
        <w:rPr>
          <w:szCs w:val="16"/>
        </w:rPr>
        <w:t xml:space="preserve"> as an added security precaution.</w:t>
      </w:r>
    </w:p>
    <w:p w14:paraId="6AC213D4" w14:textId="77777777" w:rsidR="00E52C91" w:rsidRPr="00E52C91" w:rsidRDefault="00E52C91" w:rsidP="00E52C91">
      <w:pPr>
        <w:pStyle w:val="ListParagraph"/>
        <w:rPr>
          <w:szCs w:val="16"/>
        </w:rPr>
      </w:pPr>
    </w:p>
    <w:p w14:paraId="7CEEA879" w14:textId="209068C1" w:rsidR="00E52C91" w:rsidRDefault="00FC71B1" w:rsidP="00E52C91">
      <w:pPr>
        <w:spacing w:after="80"/>
        <w:jc w:val="both"/>
        <w:rPr>
          <w:szCs w:val="16"/>
        </w:rPr>
      </w:pPr>
      <w:r>
        <w:rPr>
          <w:szCs w:val="16"/>
        </w:rPr>
        <w:t xml:space="preserve">Each VPC spoke will have a virtual firewall </w:t>
      </w:r>
      <w:r w:rsidR="00477DBD">
        <w:rPr>
          <w:szCs w:val="16"/>
        </w:rPr>
        <w:t xml:space="preserve"> </w:t>
      </w:r>
      <w:r w:rsidR="00477DBD">
        <w:rPr>
          <w:szCs w:val="16"/>
        </w:rPr>
        <w:fldChar w:fldCharType="begin" w:fldLock="1"/>
      </w:r>
      <w:r w:rsidR="00F351C4">
        <w:rPr>
          <w:szCs w:val="16"/>
        </w:rPr>
        <w:instrText>ADDIN CSL_CITATION {"citationItems":[{"id":"ITEM-1","itemData":{"DOI":"10.1109/ICICT.2013.6732787","ISBN":"9781479926220","abstract":"Cloud Computing (CC) uses virtualization to provide computing resources on demand via Internet. Small and large organizations benefit from CC because of reduced operating costs and increase in business agility. The migrating Virtual Machine (VM) is vulnerable from attacks such as fake migration initiations, service interruptions, manipulation of data or other network attacks. Hence, during live migration any security lax in VM firewall policy can put the VM at risk. A malicious VM can further pose threat to other VMs in its host and consequently for VMs in LAN. Hardware firewalls only protect VM before and after migration. Plus, they are blind to virtual traffic. Hence, virtual firewalls (VFs) are used to secure VMs. Mostly; they are deployed at Virtual Machine Monitor-level (VMM) under Cloud provider's control. Source VMM-Ievel VF provides security to VM before the migration incurs and the destination VMM-level VF starts securing VM after migration is completed. It thus, becomes possible for attacker to use the intermediate migrating window to launch attacks on VM. This research contributes towards providing understanding of having open source virtual firewall at VM-Ievel for migrating VMs to reduce attack window of VM during the migration. The final contribution is the validation and uptime evaluation of the implemented Packet Filter firewall for VM at VM-level during migration in City Network data center. Such an approach would enable hardened security for overall VM migration. © 2013 IEEE.","author":[{"dropping-particle":"","family":"Anwar","given":"Mahwish","non-dropping-particle":"","parse-names":false,"suffix":""}],"container-title":"ICICT 2013 - Proceedings of the 2013 5th International Conference on Information and Communication Technologies: Using Technology to Create a Better World","id":"ITEM-1","issued":{"date-parts":[["2013"]]},"title":"Virtual firewalling for migrating virtual machines in cloud computing","type":"paper-conference"},"uris":["http://www.mendeley.com/documents/?uuid=ac9ecb20-acf1-449b-84e8-9e112418a503"]}],"mendeley":{"formattedCitation":"[78]","plainTextFormattedCitation":"[78]","previouslyFormattedCitation":"[78]"},"properties":{"noteIndex":0},"schema":"https://github.com/citation-style-language/schema/raw/master/csl-citation.json"}</w:instrText>
      </w:r>
      <w:r w:rsidR="00477DBD">
        <w:rPr>
          <w:szCs w:val="16"/>
        </w:rPr>
        <w:fldChar w:fldCharType="separate"/>
      </w:r>
      <w:r w:rsidR="002225FA" w:rsidRPr="002225FA">
        <w:rPr>
          <w:noProof/>
          <w:szCs w:val="16"/>
        </w:rPr>
        <w:t>[78]</w:t>
      </w:r>
      <w:r w:rsidR="00477DBD">
        <w:rPr>
          <w:szCs w:val="16"/>
        </w:rPr>
        <w:fldChar w:fldCharType="end"/>
      </w:r>
      <w:r w:rsidR="00AE64A4">
        <w:rPr>
          <w:szCs w:val="16"/>
        </w:rPr>
        <w:t>instance configured</w:t>
      </w:r>
      <w:r>
        <w:rPr>
          <w:szCs w:val="16"/>
        </w:rPr>
        <w:t xml:space="preserve"> for additional security of the cloud infrastructure</w:t>
      </w:r>
      <w:r w:rsidR="00CA20B2">
        <w:rPr>
          <w:szCs w:val="16"/>
        </w:rPr>
        <w:t xml:space="preserve"> as per the ISO 270017-18 cloud security guidelines</w:t>
      </w:r>
      <w:r>
        <w:rPr>
          <w:szCs w:val="16"/>
        </w:rPr>
        <w:t xml:space="preserve">. </w:t>
      </w:r>
      <w:r w:rsidR="00E52C91">
        <w:rPr>
          <w:szCs w:val="16"/>
        </w:rPr>
        <w:t>The cloud VPC</w:t>
      </w:r>
      <w:r>
        <w:rPr>
          <w:szCs w:val="16"/>
        </w:rPr>
        <w:t xml:space="preserve"> spoke</w:t>
      </w:r>
      <w:r w:rsidR="00E52C91">
        <w:rPr>
          <w:szCs w:val="16"/>
        </w:rPr>
        <w:t xml:space="preserve"> security architecture can be found in </w:t>
      </w:r>
      <w:r w:rsidR="00E52C91" w:rsidRPr="00A957E5">
        <w:rPr>
          <w:i/>
          <w:iCs/>
          <w:szCs w:val="16"/>
        </w:rPr>
        <w:t xml:space="preserve">figure </w:t>
      </w:r>
      <w:r w:rsidR="00A957E5">
        <w:rPr>
          <w:i/>
          <w:iCs/>
          <w:szCs w:val="16"/>
        </w:rPr>
        <w:t>4</w:t>
      </w:r>
      <w:r w:rsidR="00E52C91" w:rsidRPr="00A957E5">
        <w:rPr>
          <w:i/>
          <w:iCs/>
          <w:szCs w:val="16"/>
        </w:rPr>
        <w:t>.</w:t>
      </w:r>
    </w:p>
    <w:p w14:paraId="7D3FB9C1" w14:textId="10C62A89" w:rsidR="00E52C91" w:rsidRDefault="00E52C91" w:rsidP="00E52C91">
      <w:pPr>
        <w:spacing w:after="80"/>
        <w:jc w:val="both"/>
        <w:rPr>
          <w:szCs w:val="16"/>
        </w:rPr>
      </w:pPr>
    </w:p>
    <w:p w14:paraId="6A7A238D" w14:textId="77777777" w:rsidR="00477DBD" w:rsidRDefault="001F1936" w:rsidP="00477DBD">
      <w:pPr>
        <w:keepNext/>
        <w:spacing w:after="80"/>
        <w:jc w:val="both"/>
      </w:pPr>
      <w:r>
        <w:rPr>
          <w:noProof/>
          <w:szCs w:val="16"/>
          <w:lang w:eastAsia="en-GB"/>
        </w:rPr>
        <w:lastRenderedPageBreak/>
        <w:drawing>
          <wp:inline distT="0" distB="0" distL="0" distR="0" wp14:anchorId="6C6056ED" wp14:editId="3E602EA8">
            <wp:extent cx="3204845" cy="1180632"/>
            <wp:effectExtent l="19050" t="19050" r="14605" b="196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204845" cy="1180632"/>
                    </a:xfrm>
                    <a:prstGeom prst="rect">
                      <a:avLst/>
                    </a:prstGeom>
                    <a:noFill/>
                    <a:ln w="6350">
                      <a:solidFill>
                        <a:schemeClr val="tx1"/>
                      </a:solidFill>
                    </a:ln>
                  </pic:spPr>
                </pic:pic>
              </a:graphicData>
            </a:graphic>
          </wp:inline>
        </w:drawing>
      </w:r>
    </w:p>
    <w:p w14:paraId="4C99DC34" w14:textId="03D20E22" w:rsidR="00A66C22" w:rsidRPr="009B1286" w:rsidRDefault="00477DBD" w:rsidP="00477DBD">
      <w:pPr>
        <w:pStyle w:val="Caption"/>
        <w:rPr>
          <w:sz w:val="18"/>
          <w:szCs w:val="10"/>
        </w:rPr>
      </w:pPr>
      <w:r w:rsidRPr="00477DBD">
        <w:rPr>
          <w:sz w:val="18"/>
          <w:szCs w:val="18"/>
        </w:rPr>
        <w:t xml:space="preserve">Figure </w:t>
      </w:r>
      <w:r w:rsidRPr="00477DBD">
        <w:rPr>
          <w:sz w:val="18"/>
          <w:szCs w:val="18"/>
        </w:rPr>
        <w:fldChar w:fldCharType="begin"/>
      </w:r>
      <w:r w:rsidRPr="00477DBD">
        <w:rPr>
          <w:sz w:val="18"/>
          <w:szCs w:val="18"/>
        </w:rPr>
        <w:instrText xml:space="preserve"> SEQ Figure \* ARABIC </w:instrText>
      </w:r>
      <w:r w:rsidRPr="00477DBD">
        <w:rPr>
          <w:sz w:val="18"/>
          <w:szCs w:val="18"/>
        </w:rPr>
        <w:fldChar w:fldCharType="separate"/>
      </w:r>
      <w:r w:rsidR="003F457E">
        <w:rPr>
          <w:noProof/>
          <w:sz w:val="18"/>
          <w:szCs w:val="18"/>
        </w:rPr>
        <w:t>4</w:t>
      </w:r>
      <w:r w:rsidRPr="00477DBD">
        <w:rPr>
          <w:sz w:val="18"/>
          <w:szCs w:val="18"/>
        </w:rPr>
        <w:fldChar w:fldCharType="end"/>
      </w:r>
      <w:r w:rsidRPr="00477DBD">
        <w:rPr>
          <w:sz w:val="18"/>
          <w:szCs w:val="18"/>
        </w:rPr>
        <w:t>: VPC Spokes Private and Public</w:t>
      </w:r>
      <w:r>
        <w:rPr>
          <w:sz w:val="18"/>
          <w:szCs w:val="18"/>
        </w:rPr>
        <w:t xml:space="preserve"> </w:t>
      </w:r>
      <w:r w:rsidR="009B1286">
        <w:rPr>
          <w:sz w:val="18"/>
          <w:szCs w:val="18"/>
        </w:rPr>
        <w:fldChar w:fldCharType="begin" w:fldLock="1"/>
      </w:r>
      <w:r w:rsidR="00F351C4">
        <w:rPr>
          <w:sz w:val="18"/>
          <w:szCs w:val="18"/>
        </w:rPr>
        <w:instrText>ADDIN CSL_CITATION {"citationItems":[{"id":"ITEM-1","itemData":{"URL":"https://campus.barracuda.com/product/cloudgenfirewall/doc/73718963/aws-reference-architecture-transit-vpc-using-cloudgen-firewall/","abstract":"AWS spoke diagram","accessed":{"date-parts":[["2020","1","29"]]},"author":[{"dropping-particle":"","family":"Barracuda","given":"","non-dropping-particle":"","parse-names":false,"suffix":""}],"id":"ITEM-1","issued":{"date-parts":[["2019"]]},"page":"1-1","title":"AWS Reference VPC Security Architecture - Transit VPC using CloudGen Firewall | Barracuda Campus","type":"webpage"},"uris":["http://www.mendeley.com/documents/?uuid=fdbbe433-b0cb-35d8-b840-ca4383ca330e"]}],"mendeley":{"formattedCitation":"[79]","plainTextFormattedCitation":"[79]","previouslyFormattedCitation":"[79]"},"properties":{"noteIndex":0},"schema":"https://github.com/citation-style-language/schema/raw/master/csl-citation.json"}</w:instrText>
      </w:r>
      <w:r w:rsidR="009B1286">
        <w:rPr>
          <w:sz w:val="18"/>
          <w:szCs w:val="18"/>
        </w:rPr>
        <w:fldChar w:fldCharType="separate"/>
      </w:r>
      <w:r w:rsidR="002225FA" w:rsidRPr="002225FA">
        <w:rPr>
          <w:i w:val="0"/>
          <w:noProof/>
          <w:sz w:val="18"/>
          <w:szCs w:val="18"/>
        </w:rPr>
        <w:t>[79]</w:t>
      </w:r>
      <w:r w:rsidR="009B1286">
        <w:rPr>
          <w:sz w:val="18"/>
          <w:szCs w:val="18"/>
        </w:rPr>
        <w:fldChar w:fldCharType="end"/>
      </w:r>
    </w:p>
    <w:p w14:paraId="0BDFB34A" w14:textId="0955735C" w:rsidR="00254562" w:rsidRPr="00254562" w:rsidRDefault="00254562" w:rsidP="00254562">
      <w:pPr>
        <w:spacing w:after="80"/>
        <w:jc w:val="both"/>
        <w:rPr>
          <w:szCs w:val="16"/>
        </w:rPr>
      </w:pPr>
      <w:r w:rsidRPr="00254562">
        <w:rPr>
          <w:szCs w:val="16"/>
        </w:rPr>
        <w:t>Authorised devices will also be secured</w:t>
      </w:r>
      <w:r w:rsidR="00E406CC">
        <w:rPr>
          <w:szCs w:val="16"/>
        </w:rPr>
        <w:t xml:space="preserve"> by the MDM server</w:t>
      </w:r>
      <w:r w:rsidRPr="00254562">
        <w:rPr>
          <w:szCs w:val="16"/>
        </w:rPr>
        <w:t xml:space="preserve"> before being allowed to access the LAN with anti-malware software ‘Norton Security; Enterprise’</w:t>
      </w:r>
      <w:r w:rsidR="00A957E5">
        <w:rPr>
          <w:szCs w:val="16"/>
        </w:rPr>
        <w:t xml:space="preserve"> </w:t>
      </w:r>
      <w:r w:rsidR="00A957E5">
        <w:rPr>
          <w:szCs w:val="16"/>
        </w:rPr>
        <w:fldChar w:fldCharType="begin" w:fldLock="1"/>
      </w:r>
      <w:r w:rsidR="00F351C4">
        <w:rPr>
          <w:szCs w:val="16"/>
        </w:rPr>
        <w:instrText>ADDIN CSL_CITATION {"citationItems":[{"id":"ITEM-1","itemData":{"URL":"https://www.symantec.com/products/endpoint","abstract":"The world’s most advanced single-agent endpoint security. Our multilayered defense protects all your endpoints to future-proof your security.","accessed":{"date-parts":[["2017","12","11"]]},"author":[{"dropping-particle":"","family":"Symantec","given":"","non-dropping-particle":"","parse-names":false,"suffix":""}],"container-title":"symantec.com","id":"ITEM-1","issued":{"date-parts":[["2017"]]},"page":"1","title":"Endpoint Security Solutions | Symantec","type":"webpage"},"uris":["http://www.mendeley.com/documents/?uuid=dd0f31fc-ade9-38b6-a564-7be9cb5059d1"]}],"mendeley":{"formattedCitation":"[80]","plainTextFormattedCitation":"[80]","previouslyFormattedCitation":"[80]"},"properties":{"noteIndex":0},"schema":"https://github.com/citation-style-language/schema/raw/master/csl-citation.json"}</w:instrText>
      </w:r>
      <w:r w:rsidR="00A957E5">
        <w:rPr>
          <w:szCs w:val="16"/>
        </w:rPr>
        <w:fldChar w:fldCharType="separate"/>
      </w:r>
      <w:r w:rsidR="002225FA" w:rsidRPr="002225FA">
        <w:rPr>
          <w:noProof/>
          <w:szCs w:val="16"/>
        </w:rPr>
        <w:t>[80]</w:t>
      </w:r>
      <w:r w:rsidR="00A957E5">
        <w:rPr>
          <w:szCs w:val="16"/>
        </w:rPr>
        <w:fldChar w:fldCharType="end"/>
      </w:r>
      <w:r w:rsidRPr="00254562">
        <w:rPr>
          <w:szCs w:val="16"/>
        </w:rPr>
        <w:t xml:space="preserve"> that will scan, clean, update/patch OS and remove any security threats contained within the device along with applying user and network security policies for each department such as; user permission and restrictions for accessing medium-to-highly sensitive business data</w:t>
      </w:r>
      <w:r w:rsidR="00630020">
        <w:rPr>
          <w:szCs w:val="16"/>
        </w:rPr>
        <w:t xml:space="preserve"> and </w:t>
      </w:r>
      <w:r w:rsidRPr="00254562">
        <w:rPr>
          <w:szCs w:val="16"/>
        </w:rPr>
        <w:t>location access for  medium-to-highly sensitive data</w:t>
      </w:r>
      <w:r w:rsidR="00630020">
        <w:rPr>
          <w:szCs w:val="16"/>
        </w:rPr>
        <w:t>. A</w:t>
      </w:r>
      <w:r w:rsidRPr="00254562">
        <w:rPr>
          <w:szCs w:val="16"/>
        </w:rPr>
        <w:t>n encrypted partition</w:t>
      </w:r>
      <w:r w:rsidR="00E818E3">
        <w:rPr>
          <w:szCs w:val="16"/>
        </w:rPr>
        <w:t xml:space="preserve"> </w:t>
      </w:r>
      <w:r w:rsidR="00E818E3">
        <w:rPr>
          <w:szCs w:val="16"/>
        </w:rPr>
        <w:fldChar w:fldCharType="begin" w:fldLock="1"/>
      </w:r>
      <w:r w:rsidR="00F351C4">
        <w:rPr>
          <w:szCs w:val="16"/>
        </w:rPr>
        <w:instrText>ADDIN CSL_CITATION {"citationItems":[{"id":"ITEM-1","itemData":{"DOI":"10.1109/ARES.2009.78","ISBN":"9780769535647","abstract":"Cloud computing allows delivering information technology power on demand. Be it either the hosting of a certain web application or the outsourcing of an entire server or data center by means of virtualization. Applying these techniques however goes along with handing over the ultimate control of data to a third party. This paper investigates the application of Nimbus as a cloud resource and shows an example implementation for retaining data control to the user based on virtual machine images encrypted on the client side. This means that the procedures involved for verifying validity and accessing the virtual machine have to be entirely provided by the user. We provide a sample implementation of a secure virtual machine consisting of an encrypted partition, containing the data to be hosted, and a boot system, containing the logic to verify and access the encrypted partition. Further details of the implementation are described and applied on a cloud resource available within the AustrianGrid project. The methods presented in this paper form the basis for subsequent research on single point of access grid resp. cloud resources. The results will be applied in the AustrianGrid Phase 2 research project \"Grid-supported Breath Gas Analysis of Molecular Oriented Diseases\". © 2008 IEEE.","author":[{"dropping-particle":"","family":"Descher","given":"Marco","non-dropping-particle":"","parse-names":false,"suffix":""},{"dropping-particle":"","family":"Masser","given":"Philip","non-dropping-particle":"","parse-names":false,"suffix":""},{"dropping-particle":"","family":"Feilhauer","given":"Thomas","non-dropping-particle":"","parse-names":false,"suffix":""},{"dropping-particle":"","family":"Tjoa","given":"A. Min","non-dropping-particle":"","parse-names":false,"suffix":""},{"dropping-particle":"","family":"Huemer","given":"David","non-dropping-particle":"","parse-names":false,"suffix":""}],"container-title":"Proceedings - International Conference on Availability, Reliability and Security, ARES 2009","id":"ITEM-1","issued":{"date-parts":[["2009"]]},"title":"Retaining data control to the client in infrastructure clouds","type":"paper-conference"},"uris":["http://www.mendeley.com/documents/?uuid=8217f8ea-b878-4408-b511-fc1d25069ea8"]}],"mendeley":{"formattedCitation":"[81]","plainTextFormattedCitation":"[81]","previouslyFormattedCitation":"[81]"},"properties":{"noteIndex":0},"schema":"https://github.com/citation-style-language/schema/raw/master/csl-citation.json"}</w:instrText>
      </w:r>
      <w:r w:rsidR="00E818E3">
        <w:rPr>
          <w:szCs w:val="16"/>
        </w:rPr>
        <w:fldChar w:fldCharType="separate"/>
      </w:r>
      <w:r w:rsidR="002225FA" w:rsidRPr="002225FA">
        <w:rPr>
          <w:noProof/>
          <w:szCs w:val="16"/>
        </w:rPr>
        <w:t>[81]</w:t>
      </w:r>
      <w:r w:rsidR="00E818E3">
        <w:rPr>
          <w:szCs w:val="16"/>
        </w:rPr>
        <w:fldChar w:fldCharType="end"/>
      </w:r>
      <w:r w:rsidRPr="00254562">
        <w:rPr>
          <w:szCs w:val="16"/>
        </w:rPr>
        <w:t xml:space="preserve"> </w:t>
      </w:r>
      <w:r w:rsidR="00630020">
        <w:rPr>
          <w:szCs w:val="16"/>
        </w:rPr>
        <w:t xml:space="preserve">will also be created locally within a BYOD device during the MDM server registration and security implantation. The partition will </w:t>
      </w:r>
      <w:r w:rsidR="00B311C5">
        <w:rPr>
          <w:szCs w:val="16"/>
        </w:rPr>
        <w:t>utilise</w:t>
      </w:r>
      <w:r w:rsidRPr="00254562">
        <w:rPr>
          <w:szCs w:val="16"/>
        </w:rPr>
        <w:t xml:space="preserve"> military grade encryption; Advanced Encryption Standard – 256-bit (AES-256)</w:t>
      </w:r>
      <w:r w:rsidR="00E818E3">
        <w:rPr>
          <w:szCs w:val="16"/>
        </w:rPr>
        <w:t xml:space="preserve"> </w:t>
      </w:r>
      <w:r w:rsidR="00E818E3">
        <w:rPr>
          <w:szCs w:val="16"/>
        </w:rPr>
        <w:fldChar w:fldCharType="begin" w:fldLock="1"/>
      </w:r>
      <w:r w:rsidR="00F351C4">
        <w:rPr>
          <w:szCs w:val="16"/>
        </w:rPr>
        <w:instrText>ADDIN CSL_CITATION {"citationItems":[{"id":"ITEM-1","itemData":{"abstract":" The Advanced Encryption Standard (AES) specifies a FIPS-approved cryptographic algorithm that can be used to protect electronic data. The AES algorithm is a symmetric block cipher that can encrypt (encipher) and decrypt (decipher) information. Encryption converts data to an unintelligible form called ciphertext; decrypting the ciphertext converts the data back into its original form, called plaintext. The AES algorithm is capable of using cryptographic keys of 128, 192, and 256 bits to encrypt and decrypt data in blocks of 128 bits.","author":[{"dropping-particle":"","family":"(N.I.S.T.)","given":"U S Department of Commerce / the National Technical Information Service","non-dropping-particle":"","parse-names":false,"suffix":""}],"container-title":"Federal Information Processing Standards Publication (FIPS)","id":"ITEM-1","issued":{"date-parts":[["2001"]]},"number-of-pages":"1-47","title":"Advanced Encryption Standard (AES)","type":"report","volume":"FIPS Pub 1"},"uris":["http://www.mendeley.com/documents/?uuid=a68a2775-28c7-4e3c-b53e-2487efde5bcc"]}],"mendeley":{"formattedCitation":"[82]","plainTextFormattedCitation":"[82]","previouslyFormattedCitation":"[82]"},"properties":{"noteIndex":0},"schema":"https://github.com/citation-style-language/schema/raw/master/csl-citation.json"}</w:instrText>
      </w:r>
      <w:r w:rsidR="00E818E3">
        <w:rPr>
          <w:szCs w:val="16"/>
        </w:rPr>
        <w:fldChar w:fldCharType="separate"/>
      </w:r>
      <w:r w:rsidR="002225FA" w:rsidRPr="002225FA">
        <w:rPr>
          <w:noProof/>
          <w:szCs w:val="16"/>
        </w:rPr>
        <w:t>[82]</w:t>
      </w:r>
      <w:r w:rsidR="00E818E3">
        <w:rPr>
          <w:szCs w:val="16"/>
        </w:rPr>
        <w:fldChar w:fldCharType="end"/>
      </w:r>
      <w:r w:rsidRPr="00254562">
        <w:rPr>
          <w:szCs w:val="16"/>
        </w:rPr>
        <w:t xml:space="preserve"> within </w:t>
      </w:r>
      <w:r w:rsidR="00B311C5">
        <w:rPr>
          <w:szCs w:val="16"/>
        </w:rPr>
        <w:t>each BYOD</w:t>
      </w:r>
      <w:r w:rsidRPr="00254562">
        <w:rPr>
          <w:szCs w:val="16"/>
        </w:rPr>
        <w:t xml:space="preserve"> device</w:t>
      </w:r>
      <w:r w:rsidR="00630020">
        <w:rPr>
          <w:szCs w:val="16"/>
        </w:rPr>
        <w:t xml:space="preserve"> that is registered</w:t>
      </w:r>
      <w:r w:rsidR="00EF061A">
        <w:rPr>
          <w:szCs w:val="16"/>
        </w:rPr>
        <w:t xml:space="preserve"> and authenticated</w:t>
      </w:r>
      <w:r w:rsidR="00630020">
        <w:rPr>
          <w:szCs w:val="16"/>
        </w:rPr>
        <w:t xml:space="preserve"> to </w:t>
      </w:r>
      <w:r w:rsidR="00EF061A">
        <w:rPr>
          <w:szCs w:val="16"/>
        </w:rPr>
        <w:t xml:space="preserve">utilise </w:t>
      </w:r>
      <w:r w:rsidR="00630020">
        <w:rPr>
          <w:szCs w:val="16"/>
        </w:rPr>
        <w:t>the LAN by the AAA and MDM servers</w:t>
      </w:r>
      <w:r w:rsidRPr="00254562">
        <w:rPr>
          <w:szCs w:val="16"/>
        </w:rPr>
        <w:t xml:space="preserve">. </w:t>
      </w:r>
    </w:p>
    <w:p w14:paraId="1FEDD88E" w14:textId="19324C8A" w:rsidR="00254562" w:rsidRPr="00254562" w:rsidRDefault="00254562" w:rsidP="00254562">
      <w:pPr>
        <w:spacing w:after="80"/>
        <w:jc w:val="both"/>
        <w:rPr>
          <w:szCs w:val="16"/>
        </w:rPr>
      </w:pPr>
      <w:r w:rsidRPr="00254562">
        <w:rPr>
          <w:szCs w:val="16"/>
        </w:rPr>
        <w:t xml:space="preserve">The files identified by the CEO as medium-to-highly sensitive will be </w:t>
      </w:r>
      <w:r w:rsidR="00B311C5">
        <w:rPr>
          <w:szCs w:val="16"/>
        </w:rPr>
        <w:t>‘</w:t>
      </w:r>
      <w:r w:rsidRPr="00254562">
        <w:rPr>
          <w:szCs w:val="16"/>
        </w:rPr>
        <w:t>tagged</w:t>
      </w:r>
      <w:r w:rsidR="00B311C5">
        <w:rPr>
          <w:szCs w:val="16"/>
        </w:rPr>
        <w:t>’</w:t>
      </w:r>
      <w:r w:rsidRPr="00254562">
        <w:rPr>
          <w:szCs w:val="16"/>
        </w:rPr>
        <w:t xml:space="preserve"> by the AAA server</w:t>
      </w:r>
      <w:r w:rsidR="00B311C5">
        <w:rPr>
          <w:szCs w:val="16"/>
        </w:rPr>
        <w:t xml:space="preserve"> </w:t>
      </w:r>
      <w:r w:rsidR="001433FE">
        <w:rPr>
          <w:szCs w:val="16"/>
        </w:rPr>
        <w:t>within the</w:t>
      </w:r>
      <w:r w:rsidR="00B311C5">
        <w:rPr>
          <w:szCs w:val="16"/>
        </w:rPr>
        <w:t xml:space="preserve"> metadata</w:t>
      </w:r>
      <w:r w:rsidR="00E818E3">
        <w:rPr>
          <w:szCs w:val="16"/>
        </w:rPr>
        <w:t xml:space="preserve"> </w:t>
      </w:r>
      <w:r w:rsidR="00E818E3">
        <w:rPr>
          <w:szCs w:val="16"/>
        </w:rPr>
        <w:fldChar w:fldCharType="begin" w:fldLock="1"/>
      </w:r>
      <w:r w:rsidR="00F351C4">
        <w:rPr>
          <w:szCs w:val="16"/>
        </w:rPr>
        <w:instrText>ADDIN CSL_CITATION {"citationItems":[{"id":"ITEM-1","itemData":{"DOI":"10.1109/NGMAST.2015.10","ISBN":"9781479986606","abstract":"This paper describes Internet of Things (IoT) and Machine-to-Machine (M2M) communications as the enablers of smart city initiatives. The challenges in modern cities are briefly identified. Utilization of IoT based applications and services could mitigate these challenges. The paper then introduces an architecture based on oneM2M standards for smart cities. The key elements of the architecture are described along with the common service functions. The main contributions of the work are – (i) uniform metadata exchange with things using Sensor Markup Language and its extensions, (ii) uniform description of heterogeneous things for configuration management, (iii) OMA Lightweight M2M based device management framework, (iv) resource discovery framework and (v) Machine-to-Machine Measurement framework based M2M data processing and analytics. The core functionalities of these frameworks are exposed to the consumers through RESTful web services. An application scenario on crowdsourcing in the smart cities is highlighted. Finally the paper concludes with future research directions.","author":[{"dropping-particle":"","family":"Datta","given":"Soumya Kanti","non-dropping-particle":"","parse-names":false,"suffix":""},{"dropping-particle":"","family":"Bonnet","given":"Christian","non-dropping-particle":"","parse-names":false,"suffix":""}],"container-title":"Proceedings - NGMAST 2015: The 9th International Conference on Next Generation Mobile Applications, Services and Technologies","id":"ITEM-1","issued":{"date-parts":[["2016"]]},"title":"Internet of Things and M2M Communications as Enablers of Smart City Initiatives","type":"paper-conference"},"uris":["http://www.mendeley.com/documents/?uuid=c3b64e25-033a-4ebd-a8a0-df4f3a129670"]}],"mendeley":{"formattedCitation":"[83]","plainTextFormattedCitation":"[83]","previouslyFormattedCitation":"[83]"},"properties":{"noteIndex":0},"schema":"https://github.com/citation-style-language/schema/raw/master/csl-citation.json"}</w:instrText>
      </w:r>
      <w:r w:rsidR="00E818E3">
        <w:rPr>
          <w:szCs w:val="16"/>
        </w:rPr>
        <w:fldChar w:fldCharType="separate"/>
      </w:r>
      <w:r w:rsidR="002225FA" w:rsidRPr="002225FA">
        <w:rPr>
          <w:noProof/>
          <w:szCs w:val="16"/>
        </w:rPr>
        <w:t>[83]</w:t>
      </w:r>
      <w:r w:rsidR="00E818E3">
        <w:rPr>
          <w:szCs w:val="16"/>
        </w:rPr>
        <w:fldChar w:fldCharType="end"/>
      </w:r>
      <w:r w:rsidR="001433FE">
        <w:rPr>
          <w:szCs w:val="16"/>
        </w:rPr>
        <w:t xml:space="preserve"> of the file,</w:t>
      </w:r>
      <w:r w:rsidRPr="00254562">
        <w:rPr>
          <w:szCs w:val="16"/>
        </w:rPr>
        <w:t xml:space="preserve"> that </w:t>
      </w:r>
      <w:r w:rsidR="00B311C5">
        <w:rPr>
          <w:szCs w:val="16"/>
        </w:rPr>
        <w:t xml:space="preserve">will </w:t>
      </w:r>
      <w:r w:rsidRPr="00254562">
        <w:rPr>
          <w:szCs w:val="16"/>
        </w:rPr>
        <w:t>restrict use to the company LAN during work hours. These files will also be hashed using Secure Hashing Algorithm – 256-bit (SHA-256)</w:t>
      </w:r>
      <w:r w:rsidR="00E818E3">
        <w:rPr>
          <w:szCs w:val="16"/>
        </w:rPr>
        <w:t xml:space="preserve"> </w:t>
      </w:r>
      <w:r w:rsidR="00E818E3">
        <w:rPr>
          <w:szCs w:val="16"/>
        </w:rPr>
        <w:fldChar w:fldCharType="begin" w:fldLock="1"/>
      </w:r>
      <w:r w:rsidR="00F351C4">
        <w:rPr>
          <w:szCs w:val="16"/>
        </w:rPr>
        <w:instrText>ADDIN CSL_CITATION {"citationItems":[{"id":"ITEM-1","itemData":{"URL":"https://automationrhapsody.com/md5-sha-1-sha-256-sha-512-speed-performance/","abstract":"Speed performance comparison of MD5, SHA-1, SHA-256 and SHA-512 cryptographic hash functions in Java","author":[{"dropping-particle":"","family":"Latinov","given":"Lyudmil","non-dropping-particle":"","parse-names":false,"suffix":""}],"container-title":"automationrhapsody.com","id":"ITEM-1","issued":{"date-parts":[["2017"]]},"title":"MD5, SHA-1, SHA-256 and SHA-512 speed performance","type":"webpage"},"uris":["http://www.mendeley.com/documents/?uuid=b08e9402-3670-41ab-94e1-415f3a980c30"]}],"mendeley":{"formattedCitation":"[84]","plainTextFormattedCitation":"[84]","previouslyFormattedCitation":"[84]"},"properties":{"noteIndex":0},"schema":"https://github.com/citation-style-language/schema/raw/master/csl-citation.json"}</w:instrText>
      </w:r>
      <w:r w:rsidR="00E818E3">
        <w:rPr>
          <w:szCs w:val="16"/>
        </w:rPr>
        <w:fldChar w:fldCharType="separate"/>
      </w:r>
      <w:r w:rsidR="002225FA" w:rsidRPr="002225FA">
        <w:rPr>
          <w:noProof/>
          <w:szCs w:val="16"/>
        </w:rPr>
        <w:t>[84]</w:t>
      </w:r>
      <w:r w:rsidR="00E818E3">
        <w:rPr>
          <w:szCs w:val="16"/>
        </w:rPr>
        <w:fldChar w:fldCharType="end"/>
      </w:r>
      <w:r w:rsidRPr="00254562">
        <w:rPr>
          <w:szCs w:val="16"/>
        </w:rPr>
        <w:t xml:space="preserve"> to maintain their integrity</w:t>
      </w:r>
      <w:r w:rsidR="00B311C5">
        <w:rPr>
          <w:szCs w:val="16"/>
        </w:rPr>
        <w:t xml:space="preserve"> along with logging and rehashing after any changes are made</w:t>
      </w:r>
      <w:r w:rsidRPr="00254562">
        <w:rPr>
          <w:szCs w:val="16"/>
        </w:rPr>
        <w:t xml:space="preserve">. </w:t>
      </w:r>
    </w:p>
    <w:p w14:paraId="65AAB771" w14:textId="734059EE" w:rsidR="00B311C5" w:rsidRDefault="00B311C5" w:rsidP="00254562">
      <w:pPr>
        <w:spacing w:after="80"/>
        <w:jc w:val="both"/>
        <w:rPr>
          <w:szCs w:val="16"/>
        </w:rPr>
      </w:pPr>
      <w:r>
        <w:rPr>
          <w:szCs w:val="16"/>
        </w:rPr>
        <w:t xml:space="preserve">The files identified as </w:t>
      </w:r>
      <w:r w:rsidR="001433FE">
        <w:rPr>
          <w:szCs w:val="16"/>
        </w:rPr>
        <w:t>‘</w:t>
      </w:r>
      <w:r>
        <w:rPr>
          <w:szCs w:val="16"/>
        </w:rPr>
        <w:t>highly classified</w:t>
      </w:r>
      <w:r w:rsidR="001433FE">
        <w:rPr>
          <w:szCs w:val="16"/>
        </w:rPr>
        <w:t>’</w:t>
      </w:r>
      <w:r>
        <w:rPr>
          <w:szCs w:val="16"/>
        </w:rPr>
        <w:t xml:space="preserve"> by the CEO </w:t>
      </w:r>
      <w:r w:rsidR="001433FE">
        <w:rPr>
          <w:szCs w:val="16"/>
        </w:rPr>
        <w:t xml:space="preserve">such as the intellectual property </w:t>
      </w:r>
      <w:r>
        <w:rPr>
          <w:szCs w:val="16"/>
        </w:rPr>
        <w:t>will not be download</w:t>
      </w:r>
      <w:r w:rsidR="00AA2B99">
        <w:rPr>
          <w:szCs w:val="16"/>
        </w:rPr>
        <w:t>able</w:t>
      </w:r>
      <w:r>
        <w:rPr>
          <w:szCs w:val="16"/>
        </w:rPr>
        <w:t xml:space="preserve"> from the VPC spoke</w:t>
      </w:r>
      <w:r w:rsidR="00AA2B99">
        <w:rPr>
          <w:szCs w:val="16"/>
        </w:rPr>
        <w:t xml:space="preserve"> file server</w:t>
      </w:r>
      <w:r>
        <w:rPr>
          <w:szCs w:val="16"/>
        </w:rPr>
        <w:t xml:space="preserve"> to BYOD devices but viewed only on a highly restricted bases from the LAN during office hours.</w:t>
      </w:r>
    </w:p>
    <w:p w14:paraId="3DDA414A" w14:textId="3DEC93BA" w:rsidR="00AA2B99" w:rsidRDefault="00E818E3" w:rsidP="00254562">
      <w:pPr>
        <w:spacing w:after="80"/>
        <w:jc w:val="both"/>
        <w:rPr>
          <w:szCs w:val="16"/>
        </w:rPr>
      </w:pPr>
      <w:r>
        <w:rPr>
          <w:szCs w:val="16"/>
        </w:rPr>
        <w:t>AD and MDM u</w:t>
      </w:r>
      <w:r w:rsidR="00AA2B99">
        <w:rPr>
          <w:szCs w:val="16"/>
        </w:rPr>
        <w:t>ser groups and privileges will be created to create a hierarchy permission to what staff member can access information. The data security file permission groups are as follows;</w:t>
      </w:r>
      <w:r>
        <w:rPr>
          <w:szCs w:val="16"/>
        </w:rPr>
        <w:t xml:space="preserve"> </w:t>
      </w:r>
      <w:r>
        <w:rPr>
          <w:szCs w:val="16"/>
        </w:rPr>
        <w:fldChar w:fldCharType="begin" w:fldLock="1"/>
      </w:r>
      <w:r w:rsidR="00F351C4">
        <w:rPr>
          <w:szCs w:val="16"/>
        </w:rPr>
        <w:instrText>ADDIN CSL_CITATION {"citationItems":[{"id":"ITEM-1","itemData":{"URL":"https://docs.informatica.com/master-data-management/multidomain-mdm/10-1-hotfix-1/informatica-mdm-hub-security-guide/users_and_user_groups/users_and_user_groups_overview.html","abstract":"MDM user groups","accessed":{"date-parts":[["2020","1","29"]]},"author":[{"dropping-particle":"","family":"Informatica","given":"","non-dropping-particle":"","parse-names":false,"suffix":""}],"id":"ITEM-1","issued":{"date-parts":[["2019"]]},"page":"1-1","title":"Users and User Groups MDM Overview","type":"webpage"},"uris":["http://www.mendeley.com/documents/?uuid=eddb22de-be47-3880-97cf-5ae644521b5c"]}],"mendeley":{"formattedCitation":"[85]","plainTextFormattedCitation":"[85]","previouslyFormattedCitation":"[85]"},"properties":{"noteIndex":0},"schema":"https://github.com/citation-style-language/schema/raw/master/csl-citation.json"}</w:instrText>
      </w:r>
      <w:r>
        <w:rPr>
          <w:szCs w:val="16"/>
        </w:rPr>
        <w:fldChar w:fldCharType="separate"/>
      </w:r>
      <w:r w:rsidR="002225FA" w:rsidRPr="002225FA">
        <w:rPr>
          <w:noProof/>
          <w:szCs w:val="16"/>
        </w:rPr>
        <w:t>[85]</w:t>
      </w:r>
      <w:r>
        <w:rPr>
          <w:szCs w:val="16"/>
        </w:rPr>
        <w:fldChar w:fldCharType="end"/>
      </w:r>
      <w:r>
        <w:rPr>
          <w:szCs w:val="16"/>
        </w:rPr>
        <w:fldChar w:fldCharType="begin" w:fldLock="1"/>
      </w:r>
      <w:r w:rsidR="00F351C4">
        <w:rPr>
          <w:szCs w:val="16"/>
        </w:rPr>
        <w:instrText>ADDIN CSL_CITATION {"citationItems":[{"id":"ITEM-1","itemData":{"DOI":"10.1016/j.cose.2015.06.011","ISSN":"01674048","abstract":"With the rapid increase of smartphones and tablets, security concerns have also been on the rise. Employees find it desirable to use personal mobile devices for their work and make no distinction between using their carriers' services versus their organizations' Wi-Fi. Bring Your Own Device (BYOD) is an extension of corporate networks and thus it is essential to secure BYODs to protect enterprise networks (Wang and Vangury, 2014). In this paper, risks of allowing BYOD balanced by its benefits will be examined. The paper has three overarching objectives. The first is to address the security concerns of BYOD, which necessitate technology, policy management, and people integration instead of the traditional technology alone approach. The second is to propose a BYOD Security Framework as the solution to BYOD security concerns. The framework has three pillars: People, Policy Management, and Technology. It will be demonstrated that these three pillars are necessary in order to secure BYOD implementations in enterprises. The final objective is to validate the framework. This is done via an empirical survey conducted on a pool of 114 industry security practitioners. The resulting dataset is analyzed to dAUg etermine the association between the level of the BYOD Security Framework elements being de facto implemented in organizations and the frequency of security breaches associated with BYOD in those organizations to confirm key elements of the framework.","author":[{"dropping-particle":"","family":"Zahadat","given":"Nima","non-dropping-particle":"","parse-names":false,"suffix":""},{"dropping-particle":"","family":"Blessner","given":"Paul","non-dropping-particle":"","parse-names":false,"suffix":""},{"dropping-particle":"","family":"Blackburn","given":"Timothy","non-dropping-particle":"","parse-names":false,"suffix":""},{"dropping-particle":"","family":"Olson","given":"Bill A.","non-dropping-particle":"","parse-names":false,"suffix":""}],"container-title":"Computers and Security","id":"ITEM-1","issued":{"date-parts":[["2015"]]},"title":"BYOD security engineering: A framework and its analysis","type":"article-journal"},"uris":["http://www.mendeley.com/documents/?uuid=a9a4d2c4-af62-4629-b040-a666a362504b"]}],"mendeley":{"formattedCitation":"[86]","plainTextFormattedCitation":"[86]","previouslyFormattedCitation":"[86]"},"properties":{"noteIndex":0},"schema":"https://github.com/citation-style-language/schema/raw/master/csl-citation.json"}</w:instrText>
      </w:r>
      <w:r>
        <w:rPr>
          <w:szCs w:val="16"/>
        </w:rPr>
        <w:fldChar w:fldCharType="separate"/>
      </w:r>
      <w:r w:rsidR="002225FA" w:rsidRPr="002225FA">
        <w:rPr>
          <w:noProof/>
          <w:szCs w:val="16"/>
        </w:rPr>
        <w:t>[86]</w:t>
      </w:r>
      <w:r>
        <w:rPr>
          <w:szCs w:val="16"/>
        </w:rPr>
        <w:fldChar w:fldCharType="end"/>
      </w:r>
      <w:r>
        <w:rPr>
          <w:szCs w:val="16"/>
        </w:rPr>
        <w:fldChar w:fldCharType="begin" w:fldLock="1"/>
      </w:r>
      <w:r w:rsidR="00F351C4">
        <w:rPr>
          <w:szCs w:val="16"/>
        </w:rPr>
        <w:instrText>ADDIN CSL_CITATION {"citationItems":[{"id":"ITEM-1","itemData":{"URL":"https://msdn.microsoft.com/en-us/library/bb742424.aspx","abstract":"Keeping track of everything on your network is a time-consuming task. Even on small networks, users tend to have difficulty finding network file and printer shares. Without some kind of network directory, medium and large networks are impossible to manage, and users will often have a difficult time finding resources on the network.","accessed":{"date-parts":[["2017","12","11"]]},"author":[{"dropping-particle":"","family":"Microsoft","given":"","non-dropping-particle":"","parse-names":false,"suffix":""}],"container-title":"microsoft.com","id":"ITEM-1","issued":{"date-parts":[["2017"]]},"page":"1","title":"Active Directory","type":"webpage"},"uris":["http://www.mendeley.com/documents/?uuid=985e13fd-5fe8-3115-ac98-a229dfe30c65"]}],"mendeley":{"formattedCitation":"[87]","plainTextFormattedCitation":"[87]","previouslyFormattedCitation":"[87]"},"properties":{"noteIndex":0},"schema":"https://github.com/citation-style-language/schema/raw/master/csl-citation.json"}</w:instrText>
      </w:r>
      <w:r>
        <w:rPr>
          <w:szCs w:val="16"/>
        </w:rPr>
        <w:fldChar w:fldCharType="separate"/>
      </w:r>
      <w:r w:rsidR="002225FA" w:rsidRPr="002225FA">
        <w:rPr>
          <w:noProof/>
          <w:szCs w:val="16"/>
        </w:rPr>
        <w:t>[87]</w:t>
      </w:r>
      <w:r>
        <w:rPr>
          <w:szCs w:val="16"/>
        </w:rPr>
        <w:fldChar w:fldCharType="end"/>
      </w:r>
    </w:p>
    <w:p w14:paraId="3275BCA3" w14:textId="212D7B8C" w:rsidR="00AA2B99" w:rsidRDefault="00AA2B99" w:rsidP="00254562">
      <w:pPr>
        <w:spacing w:after="80"/>
        <w:jc w:val="both"/>
        <w:rPr>
          <w:szCs w:val="16"/>
        </w:rPr>
      </w:pPr>
      <w:r w:rsidRPr="00AA2B99">
        <w:rPr>
          <w:b/>
          <w:bCs/>
          <w:szCs w:val="16"/>
        </w:rPr>
        <w:t>Full control;</w:t>
      </w:r>
      <w:r>
        <w:rPr>
          <w:szCs w:val="16"/>
        </w:rPr>
        <w:t xml:space="preserve"> This group will have; read, write and executable permissions to all </w:t>
      </w:r>
      <w:r w:rsidR="001D6CC3">
        <w:rPr>
          <w:szCs w:val="16"/>
        </w:rPr>
        <w:t>data</w:t>
      </w:r>
      <w:r>
        <w:rPr>
          <w:szCs w:val="16"/>
        </w:rPr>
        <w:t xml:space="preserve"> </w:t>
      </w:r>
      <w:r w:rsidR="001D6CC3">
        <w:rPr>
          <w:szCs w:val="16"/>
        </w:rPr>
        <w:t xml:space="preserve">housed </w:t>
      </w:r>
      <w:r>
        <w:rPr>
          <w:szCs w:val="16"/>
        </w:rPr>
        <w:t>within the file server</w:t>
      </w:r>
      <w:r w:rsidR="001D6CC3">
        <w:rPr>
          <w:szCs w:val="16"/>
        </w:rPr>
        <w:t xml:space="preserve"> pertaining to the staff members department within the company,</w:t>
      </w:r>
      <w:r>
        <w:rPr>
          <w:szCs w:val="16"/>
        </w:rPr>
        <w:t xml:space="preserve"> apart from the Intellectual property that only the CEO has authorisation to </w:t>
      </w:r>
      <w:r w:rsidR="001D6CC3">
        <w:rPr>
          <w:szCs w:val="16"/>
        </w:rPr>
        <w:t xml:space="preserve">read, </w:t>
      </w:r>
      <w:r>
        <w:rPr>
          <w:szCs w:val="16"/>
        </w:rPr>
        <w:t>write</w:t>
      </w:r>
      <w:r w:rsidR="001D6CC3">
        <w:rPr>
          <w:szCs w:val="16"/>
        </w:rPr>
        <w:t xml:space="preserve"> and execute</w:t>
      </w:r>
      <w:r>
        <w:rPr>
          <w:szCs w:val="16"/>
        </w:rPr>
        <w:t xml:space="preserve"> to th</w:t>
      </w:r>
      <w:r w:rsidR="001D6CC3">
        <w:rPr>
          <w:szCs w:val="16"/>
        </w:rPr>
        <w:t>at highly encrypted directory</w:t>
      </w:r>
      <w:r>
        <w:rPr>
          <w:szCs w:val="16"/>
        </w:rPr>
        <w:t>.</w:t>
      </w:r>
    </w:p>
    <w:p w14:paraId="5DD872EA" w14:textId="48AABBDB" w:rsidR="00AA2B99" w:rsidRDefault="00AA2B99" w:rsidP="00254562">
      <w:pPr>
        <w:spacing w:after="80"/>
        <w:jc w:val="both"/>
        <w:rPr>
          <w:szCs w:val="16"/>
        </w:rPr>
      </w:pPr>
      <w:r w:rsidRPr="00AA2B99">
        <w:rPr>
          <w:b/>
          <w:bCs/>
          <w:szCs w:val="16"/>
        </w:rPr>
        <w:t>Partial Control;</w:t>
      </w:r>
      <w:r>
        <w:rPr>
          <w:szCs w:val="16"/>
        </w:rPr>
        <w:t xml:space="preserve"> This group will have; read, write and executable permissions to medium</w:t>
      </w:r>
      <w:r w:rsidR="001D6CC3">
        <w:rPr>
          <w:szCs w:val="16"/>
        </w:rPr>
        <w:t>-to-high</w:t>
      </w:r>
      <w:r>
        <w:rPr>
          <w:szCs w:val="16"/>
        </w:rPr>
        <w:t xml:space="preserve"> classified </w:t>
      </w:r>
      <w:r w:rsidR="001D6CC3">
        <w:rPr>
          <w:szCs w:val="16"/>
        </w:rPr>
        <w:t>data</w:t>
      </w:r>
      <w:r>
        <w:rPr>
          <w:szCs w:val="16"/>
        </w:rPr>
        <w:t xml:space="preserve"> housed within the file server and only have privileges to read highly classified documents pertaining to the department the group member works within.</w:t>
      </w:r>
    </w:p>
    <w:p w14:paraId="57A2A0EF" w14:textId="7E67FCF9" w:rsidR="00AA2B99" w:rsidRDefault="00AA2B99" w:rsidP="00254562">
      <w:pPr>
        <w:spacing w:after="80"/>
        <w:jc w:val="both"/>
        <w:rPr>
          <w:szCs w:val="16"/>
        </w:rPr>
      </w:pPr>
      <w:r w:rsidRPr="00AA2B99">
        <w:rPr>
          <w:b/>
          <w:bCs/>
          <w:szCs w:val="16"/>
        </w:rPr>
        <w:t>Restricted Access;</w:t>
      </w:r>
      <w:r>
        <w:rPr>
          <w:szCs w:val="16"/>
        </w:rPr>
        <w:t xml:space="preserve"> This group will have; read, write and executable </w:t>
      </w:r>
      <w:r w:rsidR="001D6CC3">
        <w:rPr>
          <w:szCs w:val="16"/>
        </w:rPr>
        <w:t>privileges</w:t>
      </w:r>
      <w:r>
        <w:rPr>
          <w:szCs w:val="16"/>
        </w:rPr>
        <w:t xml:space="preserve"> to low </w:t>
      </w:r>
      <w:r w:rsidR="001D6CC3">
        <w:rPr>
          <w:szCs w:val="16"/>
        </w:rPr>
        <w:t>classified data housed within the file server and have restricted access ot read only low-to-medium classified data if approved by their department manager for a limited time.</w:t>
      </w:r>
    </w:p>
    <w:p w14:paraId="11072D1A" w14:textId="1FE32FC4" w:rsidR="001D6CC3" w:rsidRDefault="001D6CC3" w:rsidP="00254562">
      <w:pPr>
        <w:spacing w:after="80"/>
        <w:jc w:val="both"/>
        <w:rPr>
          <w:szCs w:val="16"/>
        </w:rPr>
      </w:pPr>
      <w:r>
        <w:rPr>
          <w:szCs w:val="16"/>
        </w:rPr>
        <w:t>The above groups will be applied to the staff hierarchy within the company</w:t>
      </w:r>
      <w:r w:rsidR="00F423D9">
        <w:rPr>
          <w:szCs w:val="16"/>
        </w:rPr>
        <w:t xml:space="preserve"> management </w:t>
      </w:r>
      <w:r w:rsidR="00E818E3">
        <w:rPr>
          <w:szCs w:val="16"/>
        </w:rPr>
        <w:t>hierarchy depicted</w:t>
      </w:r>
      <w:r w:rsidR="001517E6">
        <w:rPr>
          <w:szCs w:val="16"/>
        </w:rPr>
        <w:t xml:space="preserve"> in </w:t>
      </w:r>
      <w:r w:rsidR="001517E6" w:rsidRPr="00F423D9">
        <w:rPr>
          <w:i/>
          <w:iCs/>
          <w:szCs w:val="16"/>
        </w:rPr>
        <w:t>Appendix</w:t>
      </w:r>
      <w:r w:rsidR="001517E6">
        <w:rPr>
          <w:szCs w:val="16"/>
        </w:rPr>
        <w:t xml:space="preserve"> </w:t>
      </w:r>
      <w:r w:rsidR="00F423D9" w:rsidRPr="00F423D9">
        <w:rPr>
          <w:i/>
          <w:iCs/>
          <w:szCs w:val="16"/>
        </w:rPr>
        <w:t>– B</w:t>
      </w:r>
      <w:r w:rsidR="00F423D9">
        <w:rPr>
          <w:szCs w:val="16"/>
        </w:rPr>
        <w:t xml:space="preserve"> </w:t>
      </w:r>
      <w:r w:rsidR="001517E6">
        <w:rPr>
          <w:szCs w:val="16"/>
        </w:rPr>
        <w:t>of this paper.</w:t>
      </w:r>
      <w:r>
        <w:rPr>
          <w:szCs w:val="16"/>
        </w:rPr>
        <w:t xml:space="preserve"> The CFO COO </w:t>
      </w:r>
      <w:r w:rsidR="00785D1F">
        <w:rPr>
          <w:szCs w:val="16"/>
        </w:rPr>
        <w:t xml:space="preserve">and CRO </w:t>
      </w:r>
      <w:r>
        <w:rPr>
          <w:szCs w:val="16"/>
        </w:rPr>
        <w:t>will have full control pertaining to data that is relevant to their departments. The CTO will have full access to all department data for data security reasons. Whilst the CEO will have full control of all data within the company including the intellectual property as previously discussed.</w:t>
      </w:r>
    </w:p>
    <w:p w14:paraId="27F2B642" w14:textId="74236A77" w:rsidR="001D6CC3" w:rsidRDefault="001D6CC3" w:rsidP="00254562">
      <w:pPr>
        <w:spacing w:after="80"/>
        <w:jc w:val="both"/>
        <w:rPr>
          <w:szCs w:val="16"/>
        </w:rPr>
      </w:pPr>
      <w:r>
        <w:rPr>
          <w:szCs w:val="16"/>
        </w:rPr>
        <w:t xml:space="preserve">Managers within each department will have partial control to the data pertaining to their job roles. Whilst the general office staff will have restricted access to the data pertaining to their department and job roles. This data securty </w:t>
      </w:r>
      <w:r w:rsidR="00A06EE3">
        <w:rPr>
          <w:szCs w:val="16"/>
        </w:rPr>
        <w:t>permissions</w:t>
      </w:r>
      <w:r>
        <w:rPr>
          <w:szCs w:val="16"/>
        </w:rPr>
        <w:t xml:space="preserve"> hierarchy is paramount to control </w:t>
      </w:r>
      <w:r w:rsidR="00A06EE3">
        <w:rPr>
          <w:szCs w:val="16"/>
        </w:rPr>
        <w:t>the access</w:t>
      </w:r>
      <w:r>
        <w:rPr>
          <w:szCs w:val="16"/>
        </w:rPr>
        <w:t xml:space="preserve"> to data </w:t>
      </w:r>
      <w:r w:rsidR="00A06EE3">
        <w:rPr>
          <w:szCs w:val="16"/>
        </w:rPr>
        <w:t>within an organisations network which also allows for traceability in the event an internal breach occurred.</w:t>
      </w:r>
    </w:p>
    <w:p w14:paraId="1DCD03B7" w14:textId="77777777" w:rsidR="0037769C" w:rsidRDefault="00254562" w:rsidP="00254562">
      <w:pPr>
        <w:spacing w:after="80"/>
        <w:jc w:val="both"/>
        <w:rPr>
          <w:szCs w:val="16"/>
        </w:rPr>
      </w:pPr>
      <w:r w:rsidRPr="00254562">
        <w:rPr>
          <w:szCs w:val="16"/>
        </w:rPr>
        <w:t xml:space="preserve">Once a device is enrolled to the MDM server, the network administration team will have remote access to each device to update policies/patches and/or to wipe all company data housed within encrypted partition of the device in the event the employee </w:t>
      </w:r>
      <w:r w:rsidR="00B311C5">
        <w:rPr>
          <w:szCs w:val="16"/>
        </w:rPr>
        <w:t>leaves</w:t>
      </w:r>
      <w:r w:rsidRPr="00254562">
        <w:rPr>
          <w:szCs w:val="16"/>
        </w:rPr>
        <w:t xml:space="preserve"> the company, violate</w:t>
      </w:r>
      <w:r w:rsidR="00B311C5">
        <w:rPr>
          <w:szCs w:val="16"/>
        </w:rPr>
        <w:t>s</w:t>
      </w:r>
      <w:r w:rsidRPr="00254562">
        <w:rPr>
          <w:szCs w:val="16"/>
        </w:rPr>
        <w:t xml:space="preserve"> the network usage policy and/or</w:t>
      </w:r>
      <w:r w:rsidR="00B311C5">
        <w:rPr>
          <w:szCs w:val="16"/>
        </w:rPr>
        <w:t xml:space="preserve"> a</w:t>
      </w:r>
      <w:r w:rsidRPr="00254562">
        <w:rPr>
          <w:szCs w:val="16"/>
        </w:rPr>
        <w:t xml:space="preserve"> device was lost/stolen.</w:t>
      </w:r>
    </w:p>
    <w:p w14:paraId="02997BAF" w14:textId="35D21D78" w:rsidR="00254562" w:rsidRPr="00254562" w:rsidRDefault="00626C4E" w:rsidP="00254562">
      <w:pPr>
        <w:spacing w:after="80"/>
        <w:jc w:val="both"/>
        <w:rPr>
          <w:szCs w:val="16"/>
        </w:rPr>
      </w:pPr>
      <w:r>
        <w:rPr>
          <w:szCs w:val="16"/>
        </w:rPr>
        <w:t>USB ports within BYOD devices</w:t>
      </w:r>
      <w:r w:rsidR="00254562" w:rsidRPr="00254562">
        <w:rPr>
          <w:szCs w:val="16"/>
        </w:rPr>
        <w:t xml:space="preserve"> will also be disabled whilst connected to the company network.</w:t>
      </w:r>
    </w:p>
    <w:p w14:paraId="552A8F9C" w14:textId="5D1440C5" w:rsidR="00254562" w:rsidRPr="00254562" w:rsidRDefault="00254562" w:rsidP="00254562">
      <w:pPr>
        <w:spacing w:after="80"/>
        <w:jc w:val="both"/>
        <w:rPr>
          <w:szCs w:val="16"/>
        </w:rPr>
      </w:pPr>
      <w:r w:rsidRPr="00254562">
        <w:rPr>
          <w:szCs w:val="16"/>
        </w:rPr>
        <w:t>All saved user and internetworking device passwords and username details will be stored as hashed versions of themselves utilising SHA-256 to prevent malicious actors accessing accounts/devices in the event of a data breach.</w:t>
      </w:r>
    </w:p>
    <w:p w14:paraId="5CD445DD" w14:textId="3426E83C" w:rsidR="00254562" w:rsidRDefault="00254562" w:rsidP="00254562">
      <w:pPr>
        <w:spacing w:after="80"/>
        <w:jc w:val="both"/>
        <w:rPr>
          <w:szCs w:val="16"/>
        </w:rPr>
      </w:pPr>
      <w:r w:rsidRPr="00254562">
        <w:rPr>
          <w:szCs w:val="16"/>
        </w:rPr>
        <w:t>Screen capture prevention</w:t>
      </w:r>
      <w:r w:rsidR="00837912">
        <w:rPr>
          <w:szCs w:val="16"/>
        </w:rPr>
        <w:t xml:space="preserve"> – Digital Rights Management (DRM)</w:t>
      </w:r>
      <w:r w:rsidRPr="00254562">
        <w:rPr>
          <w:szCs w:val="16"/>
        </w:rPr>
        <w:t xml:space="preserve"> software</w:t>
      </w:r>
      <w:r w:rsidR="00837912">
        <w:rPr>
          <w:szCs w:val="16"/>
        </w:rPr>
        <w:t xml:space="preserve"> </w:t>
      </w:r>
      <w:r w:rsidRPr="00254562">
        <w:rPr>
          <w:szCs w:val="16"/>
        </w:rPr>
        <w:t xml:space="preserve"> such as</w:t>
      </w:r>
      <w:r w:rsidR="00837912">
        <w:rPr>
          <w:szCs w:val="16"/>
        </w:rPr>
        <w:t>;</w:t>
      </w:r>
      <w:r w:rsidRPr="00254562">
        <w:rPr>
          <w:szCs w:val="16"/>
        </w:rPr>
        <w:t xml:space="preserve"> ‘Lizard Lock’</w:t>
      </w:r>
      <w:r w:rsidR="00837912">
        <w:rPr>
          <w:szCs w:val="16"/>
        </w:rPr>
        <w:t xml:space="preserve"> </w:t>
      </w:r>
      <w:r w:rsidRPr="00254562">
        <w:rPr>
          <w:szCs w:val="16"/>
        </w:rPr>
        <w:t xml:space="preserve"> will also be utilised for the medium-to-highly sensitive </w:t>
      </w:r>
      <w:r w:rsidR="00E52C91">
        <w:rPr>
          <w:szCs w:val="16"/>
        </w:rPr>
        <w:t>P</w:t>
      </w:r>
      <w:r w:rsidR="00E52C91" w:rsidRPr="00E52C91">
        <w:rPr>
          <w:szCs w:val="16"/>
        </w:rPr>
        <w:t xml:space="preserve">ortable </w:t>
      </w:r>
      <w:r w:rsidR="00E52C91">
        <w:rPr>
          <w:szCs w:val="16"/>
        </w:rPr>
        <w:t>D</w:t>
      </w:r>
      <w:r w:rsidR="00E52C91" w:rsidRPr="00E52C91">
        <w:rPr>
          <w:szCs w:val="16"/>
        </w:rPr>
        <w:t xml:space="preserve">ocument </w:t>
      </w:r>
      <w:r w:rsidR="00E52C91">
        <w:rPr>
          <w:szCs w:val="16"/>
        </w:rPr>
        <w:t>F</w:t>
      </w:r>
      <w:r w:rsidR="00E52C91" w:rsidRPr="00E52C91">
        <w:rPr>
          <w:szCs w:val="16"/>
        </w:rPr>
        <w:t>orma</w:t>
      </w:r>
      <w:r w:rsidR="00E52C91">
        <w:rPr>
          <w:szCs w:val="16"/>
        </w:rPr>
        <w:t>t (PDF) files,</w:t>
      </w:r>
      <w:r w:rsidRPr="00254562">
        <w:rPr>
          <w:szCs w:val="16"/>
        </w:rPr>
        <w:t xml:space="preserve"> to stop users capturing the contents of the screen to bypass the security measures in place to view outside of the LAN.</w:t>
      </w:r>
    </w:p>
    <w:p w14:paraId="3D89624B" w14:textId="0E7C7C42" w:rsidR="00483C9E" w:rsidRPr="00254562" w:rsidRDefault="00483C9E" w:rsidP="00254562">
      <w:pPr>
        <w:spacing w:after="80"/>
        <w:jc w:val="both"/>
        <w:rPr>
          <w:szCs w:val="16"/>
        </w:rPr>
      </w:pPr>
      <w:r w:rsidRPr="00254562">
        <w:rPr>
          <w:szCs w:val="16"/>
        </w:rPr>
        <w:t>Wi-Fi Protected Access – 2 (WPA-2) Enterprise</w:t>
      </w:r>
      <w:r w:rsidR="00837912">
        <w:rPr>
          <w:szCs w:val="16"/>
        </w:rPr>
        <w:t xml:space="preserve"> </w:t>
      </w:r>
      <w:r w:rsidR="00837912">
        <w:rPr>
          <w:szCs w:val="16"/>
        </w:rPr>
        <w:fldChar w:fldCharType="begin" w:fldLock="1"/>
      </w:r>
      <w:r w:rsidR="00F351C4">
        <w:rPr>
          <w:szCs w:val="16"/>
        </w:rPr>
        <w:instrText>ADDIN CSL_CITATION {"citationItems":[{"id":"ITEM-1","itemData":{"URL":"http://www.ciscopress.com/articles/article.asp?p=1576225","abstract":"Enterprise (EAP/RADIUS) Mode: This mode provides the security needed for wireless networks in business environments. Though more complicated to set up, it offers individualized and centralized control over access to your Wi-Fi network. Users are assigned login credentials they must present when connecting to the network, which can be modified or revoked by administrators at anytime.","accessed":{"date-parts":[["2017","12","11"]]},"author":[{"dropping-particle":"","family":"Cisco","given":"","non-dropping-particle":"","parse-names":false,"suffix":""}],"container-title":"ciscopress","id":"ITEM-1","issued":{"date-parts":[["2010"]]},"page":"1","title":"WPA2-Enterprise Wi-Fi Encryption &amp;gt; Two Modes of WPA/WPA2: Personal (PSK) versus Enterprise","type":"webpage"},"uris":["http://www.mendeley.com/documents/?uuid=4ec24430-b184-3469-8f41-82bfb42509b8"]}],"mendeley":{"formattedCitation":"[88]","plainTextFormattedCitation":"[88]","previouslyFormattedCitation":"[88]"},"properties":{"noteIndex":0},"schema":"https://github.com/citation-style-language/schema/raw/master/csl-citation.json"}</w:instrText>
      </w:r>
      <w:r w:rsidR="00837912">
        <w:rPr>
          <w:szCs w:val="16"/>
        </w:rPr>
        <w:fldChar w:fldCharType="separate"/>
      </w:r>
      <w:r w:rsidR="002225FA" w:rsidRPr="002225FA">
        <w:rPr>
          <w:noProof/>
          <w:szCs w:val="16"/>
        </w:rPr>
        <w:t>[88]</w:t>
      </w:r>
      <w:r w:rsidR="00837912">
        <w:rPr>
          <w:szCs w:val="16"/>
        </w:rPr>
        <w:fldChar w:fldCharType="end"/>
      </w:r>
      <w:r w:rsidRPr="00254562">
        <w:rPr>
          <w:szCs w:val="16"/>
        </w:rPr>
        <w:t xml:space="preserve"> will also be utilised for authenticating users and applying network</w:t>
      </w:r>
      <w:r>
        <w:rPr>
          <w:szCs w:val="16"/>
        </w:rPr>
        <w:t>/</w:t>
      </w:r>
      <w:r w:rsidRPr="00254562">
        <w:rPr>
          <w:szCs w:val="16"/>
        </w:rPr>
        <w:t>data privileges within the AAA</w:t>
      </w:r>
      <w:r w:rsidR="0089460E">
        <w:rPr>
          <w:szCs w:val="16"/>
        </w:rPr>
        <w:t xml:space="preserve"> - </w:t>
      </w:r>
      <w:r w:rsidR="0089460E" w:rsidRPr="0089460E">
        <w:rPr>
          <w:szCs w:val="16"/>
        </w:rPr>
        <w:t>Remote Authentication Dial-In User Service (</w:t>
      </w:r>
      <w:r w:rsidR="00702E8D" w:rsidRPr="0089460E">
        <w:rPr>
          <w:szCs w:val="16"/>
        </w:rPr>
        <w:t>RADIUS</w:t>
      </w:r>
      <w:r w:rsidR="00702E8D">
        <w:rPr>
          <w:szCs w:val="16"/>
        </w:rPr>
        <w:t>)</w:t>
      </w:r>
      <w:r w:rsidR="00837912">
        <w:rPr>
          <w:szCs w:val="16"/>
        </w:rPr>
        <w:t xml:space="preserve"> </w:t>
      </w:r>
      <w:r w:rsidR="00837912">
        <w:rPr>
          <w:szCs w:val="16"/>
        </w:rPr>
        <w:fldChar w:fldCharType="begin" w:fldLock="1"/>
      </w:r>
      <w:r w:rsidR="00F351C4">
        <w:rPr>
          <w:szCs w:val="16"/>
        </w:rPr>
        <w:instrText>ADDIN CSL_CITATION {"citationItems":[{"id":"ITEM-1","itemData":{"URL":"https://documentation.meraki.com/MR/Encryption_and_Authentication/Configuring_RADIUS_Authentication_with_WPA2-Enterprise","abstract":"Cisco Meraki MR access points offer a number of authentication methods for wireless association, including the use of external authentication servers to support WPA2-Enterprise. This article outlines Dashboard configuration to use a RADIUS server for WPA2-Enterprise authentication, RADIUS server requirements, and an example server configuration using Windows NPS.","accessed":{"date-parts":[["2017","12","11"]]},"author":[{"dropping-particle":"","family":"meraki.com","given":"","non-dropping-particle":"","parse-names":false,"suffix":""}],"container-title":"meraki.com","id":"ITEM-1","issued":{"date-parts":[["2017"]]},"page":"1","title":"RADIUS Authentication with WPA2-Enterprise - Cisco Meraki","type":"webpage"},"uris":["http://www.mendeley.com/documents/?uuid=411756e5-5472-351a-8336-1682e9eb1a9e"]}],"mendeley":{"formattedCitation":"[89]","plainTextFormattedCitation":"[89]","previouslyFormattedCitation":"[89]"},"properties":{"noteIndex":0},"schema":"https://github.com/citation-style-language/schema/raw/master/csl-citation.json"}</w:instrText>
      </w:r>
      <w:r w:rsidR="00837912">
        <w:rPr>
          <w:szCs w:val="16"/>
        </w:rPr>
        <w:fldChar w:fldCharType="separate"/>
      </w:r>
      <w:r w:rsidR="002225FA" w:rsidRPr="002225FA">
        <w:rPr>
          <w:noProof/>
          <w:szCs w:val="16"/>
        </w:rPr>
        <w:t>[89]</w:t>
      </w:r>
      <w:r w:rsidR="00837912">
        <w:rPr>
          <w:szCs w:val="16"/>
        </w:rPr>
        <w:fldChar w:fldCharType="end"/>
      </w:r>
      <w:r w:rsidR="00702E8D">
        <w:rPr>
          <w:szCs w:val="16"/>
        </w:rPr>
        <w:t xml:space="preserve"> </w:t>
      </w:r>
      <w:r w:rsidR="00702E8D" w:rsidRPr="0089460E">
        <w:rPr>
          <w:szCs w:val="16"/>
        </w:rPr>
        <w:t>and</w:t>
      </w:r>
      <w:r w:rsidRPr="00254562">
        <w:rPr>
          <w:szCs w:val="16"/>
        </w:rPr>
        <w:t xml:space="preserve"> AD </w:t>
      </w:r>
      <w:r w:rsidR="00587C2C">
        <w:rPr>
          <w:szCs w:val="16"/>
        </w:rPr>
        <w:t xml:space="preserve">Ubuntu </w:t>
      </w:r>
      <w:r w:rsidR="00CA20B2">
        <w:rPr>
          <w:szCs w:val="16"/>
        </w:rPr>
        <w:t xml:space="preserve">Linux </w:t>
      </w:r>
      <w:r w:rsidR="00CA20B2" w:rsidRPr="00254562">
        <w:rPr>
          <w:szCs w:val="16"/>
        </w:rPr>
        <w:t>server</w:t>
      </w:r>
      <w:r w:rsidRPr="00254562">
        <w:rPr>
          <w:szCs w:val="16"/>
        </w:rPr>
        <w:t xml:space="preserve"> located within </w:t>
      </w:r>
      <w:r>
        <w:rPr>
          <w:szCs w:val="16"/>
        </w:rPr>
        <w:t>spoke-1 of the</w:t>
      </w:r>
      <w:r w:rsidRPr="00254562">
        <w:rPr>
          <w:szCs w:val="16"/>
        </w:rPr>
        <w:t xml:space="preserve"> VPC as a </w:t>
      </w:r>
      <w:r w:rsidR="00587C2C">
        <w:rPr>
          <w:szCs w:val="16"/>
        </w:rPr>
        <w:t xml:space="preserve">container as previously </w:t>
      </w:r>
      <w:r w:rsidR="000E6CEE">
        <w:rPr>
          <w:szCs w:val="16"/>
        </w:rPr>
        <w:t>discussed.</w:t>
      </w:r>
      <w:r w:rsidR="000E6CEE" w:rsidRPr="00254562">
        <w:rPr>
          <w:szCs w:val="16"/>
        </w:rPr>
        <w:t xml:space="preserve"> This</w:t>
      </w:r>
      <w:r w:rsidRPr="00254562">
        <w:rPr>
          <w:szCs w:val="16"/>
        </w:rPr>
        <w:t xml:space="preserve"> </w:t>
      </w:r>
      <w:r>
        <w:rPr>
          <w:szCs w:val="16"/>
        </w:rPr>
        <w:t xml:space="preserve">WLAN </w:t>
      </w:r>
      <w:r w:rsidRPr="00254562">
        <w:rPr>
          <w:szCs w:val="16"/>
        </w:rPr>
        <w:t xml:space="preserve">security strategy </w:t>
      </w:r>
      <w:r w:rsidR="000E6CEE">
        <w:rPr>
          <w:szCs w:val="16"/>
        </w:rPr>
        <w:t xml:space="preserve">will </w:t>
      </w:r>
      <w:r w:rsidRPr="00254562">
        <w:rPr>
          <w:szCs w:val="16"/>
        </w:rPr>
        <w:t xml:space="preserve">not only </w:t>
      </w:r>
      <w:r w:rsidR="000E6CEE">
        <w:rPr>
          <w:szCs w:val="16"/>
        </w:rPr>
        <w:t>apply</w:t>
      </w:r>
      <w:r w:rsidRPr="00254562">
        <w:rPr>
          <w:szCs w:val="16"/>
        </w:rPr>
        <w:t xml:space="preserve"> user permissions and </w:t>
      </w:r>
      <w:r w:rsidR="007213CE" w:rsidRPr="00254562">
        <w:rPr>
          <w:szCs w:val="16"/>
        </w:rPr>
        <w:t>policies,</w:t>
      </w:r>
      <w:r w:rsidRPr="00254562">
        <w:rPr>
          <w:szCs w:val="16"/>
        </w:rPr>
        <w:t xml:space="preserve"> but</w:t>
      </w:r>
      <w:r>
        <w:rPr>
          <w:szCs w:val="16"/>
        </w:rPr>
        <w:t xml:space="preserve"> it</w:t>
      </w:r>
      <w:r w:rsidRPr="00254562">
        <w:rPr>
          <w:szCs w:val="16"/>
        </w:rPr>
        <w:t xml:space="preserve"> also prevents datalink-layer MITM and replay attacks within the WLAN portion of the network</w:t>
      </w:r>
      <w:r w:rsidR="00837912">
        <w:rPr>
          <w:szCs w:val="16"/>
        </w:rPr>
        <w:t xml:space="preserve"> as previously discussed</w:t>
      </w:r>
      <w:r w:rsidRPr="00254562">
        <w:rPr>
          <w:szCs w:val="16"/>
        </w:rPr>
        <w:t>.</w:t>
      </w:r>
    </w:p>
    <w:p w14:paraId="5689193C" w14:textId="142C2B24" w:rsidR="00254562" w:rsidRPr="00254562" w:rsidRDefault="00254562" w:rsidP="00254562">
      <w:pPr>
        <w:spacing w:after="80"/>
        <w:jc w:val="both"/>
        <w:rPr>
          <w:szCs w:val="16"/>
        </w:rPr>
      </w:pPr>
      <w:r w:rsidRPr="00254562">
        <w:rPr>
          <w:szCs w:val="16"/>
        </w:rPr>
        <w:t>Norton Security; Enterprise will also be utilised to secure the server</w:t>
      </w:r>
      <w:r w:rsidR="007C755F">
        <w:rPr>
          <w:szCs w:val="16"/>
        </w:rPr>
        <w:t>s</w:t>
      </w:r>
      <w:r w:rsidRPr="00254562">
        <w:rPr>
          <w:szCs w:val="16"/>
        </w:rPr>
        <w:t xml:space="preserve"> located within the VPC</w:t>
      </w:r>
      <w:r w:rsidR="00CA20B2">
        <w:rPr>
          <w:szCs w:val="16"/>
        </w:rPr>
        <w:t xml:space="preserve"> docker containers as per the ISO 270017-270018 standard</w:t>
      </w:r>
      <w:r w:rsidRPr="00254562">
        <w:rPr>
          <w:szCs w:val="16"/>
        </w:rPr>
        <w:t xml:space="preserve">. </w:t>
      </w:r>
    </w:p>
    <w:p w14:paraId="6D2062CD" w14:textId="18699239" w:rsidR="00D773E7" w:rsidRDefault="00254562" w:rsidP="00254562">
      <w:pPr>
        <w:spacing w:after="80"/>
        <w:jc w:val="both"/>
        <w:rPr>
          <w:szCs w:val="16"/>
        </w:rPr>
      </w:pPr>
      <w:r w:rsidRPr="00254562">
        <w:rPr>
          <w:szCs w:val="16"/>
        </w:rPr>
        <w:t xml:space="preserve">Guests </w:t>
      </w:r>
      <w:r w:rsidR="00661A96">
        <w:rPr>
          <w:szCs w:val="16"/>
        </w:rPr>
        <w:t>and unregistered BYOD devices accessing the WLAN</w:t>
      </w:r>
      <w:r w:rsidRPr="00254562">
        <w:rPr>
          <w:szCs w:val="16"/>
        </w:rPr>
        <w:t xml:space="preserve"> will be given a temporary one-time access username</w:t>
      </w:r>
      <w:r w:rsidR="00661A96">
        <w:rPr>
          <w:szCs w:val="16"/>
        </w:rPr>
        <w:t xml:space="preserve">/password along with a </w:t>
      </w:r>
      <w:r w:rsidR="00661A96" w:rsidRPr="00254562">
        <w:rPr>
          <w:szCs w:val="16"/>
        </w:rPr>
        <w:t>De-</w:t>
      </w:r>
      <w:r w:rsidR="00A43C20">
        <w:rPr>
          <w:szCs w:val="16"/>
        </w:rPr>
        <w:t>M</w:t>
      </w:r>
      <w:r w:rsidR="00661A96" w:rsidRPr="00254562">
        <w:rPr>
          <w:szCs w:val="16"/>
        </w:rPr>
        <w:t xml:space="preserve">ilitarized Zone </w:t>
      </w:r>
      <w:r w:rsidR="00661A96">
        <w:rPr>
          <w:szCs w:val="16"/>
        </w:rPr>
        <w:t xml:space="preserve">(DMZ) IP address so that they can </w:t>
      </w:r>
      <w:r w:rsidRPr="00254562">
        <w:rPr>
          <w:szCs w:val="16"/>
        </w:rPr>
        <w:t xml:space="preserve"> access the Internet </w:t>
      </w:r>
      <w:r w:rsidR="00661A96">
        <w:rPr>
          <w:szCs w:val="16"/>
        </w:rPr>
        <w:t xml:space="preserve">and the AAA server before MDM registration of a BYOD device </w:t>
      </w:r>
      <w:r w:rsidRPr="00254562">
        <w:rPr>
          <w:szCs w:val="16"/>
        </w:rPr>
        <w:t>but not the VPC services</w:t>
      </w:r>
      <w:r w:rsidR="00661A96">
        <w:rPr>
          <w:szCs w:val="16"/>
        </w:rPr>
        <w:t xml:space="preserve"> located in spoke 1</w:t>
      </w:r>
      <w:r w:rsidRPr="00254562">
        <w:rPr>
          <w:szCs w:val="16"/>
        </w:rPr>
        <w:t>. A</w:t>
      </w:r>
      <w:r w:rsidR="00661A96">
        <w:rPr>
          <w:szCs w:val="16"/>
        </w:rPr>
        <w:t xml:space="preserve"> traditional</w:t>
      </w:r>
      <w:r w:rsidRPr="00254562">
        <w:rPr>
          <w:szCs w:val="16"/>
        </w:rPr>
        <w:t xml:space="preserve"> DMZ was not implemented</w:t>
      </w:r>
      <w:r w:rsidR="007C755F">
        <w:rPr>
          <w:szCs w:val="16"/>
        </w:rPr>
        <w:t xml:space="preserve"> locally within the LAN</w:t>
      </w:r>
      <w:r w:rsidRPr="00254562">
        <w:rPr>
          <w:szCs w:val="16"/>
        </w:rPr>
        <w:t xml:space="preserve"> because </w:t>
      </w:r>
      <w:r w:rsidR="007C755F" w:rsidRPr="00254562">
        <w:rPr>
          <w:szCs w:val="16"/>
        </w:rPr>
        <w:t xml:space="preserve">there </w:t>
      </w:r>
      <w:r w:rsidR="00661A96">
        <w:rPr>
          <w:szCs w:val="16"/>
        </w:rPr>
        <w:t>are</w:t>
      </w:r>
      <w:r w:rsidR="007C755F" w:rsidRPr="00254562">
        <w:rPr>
          <w:szCs w:val="16"/>
        </w:rPr>
        <w:t xml:space="preserve"> no internal servers to </w:t>
      </w:r>
      <w:r w:rsidR="007213CE" w:rsidRPr="00254562">
        <w:rPr>
          <w:szCs w:val="16"/>
        </w:rPr>
        <w:t>secure</w:t>
      </w:r>
      <w:r w:rsidR="007213CE">
        <w:rPr>
          <w:szCs w:val="16"/>
        </w:rPr>
        <w:t xml:space="preserve"> as</w:t>
      </w:r>
      <w:r w:rsidR="007C755F">
        <w:rPr>
          <w:szCs w:val="16"/>
        </w:rPr>
        <w:t xml:space="preserve"> </w:t>
      </w:r>
      <w:r w:rsidR="008B1A84" w:rsidRPr="00254562">
        <w:rPr>
          <w:szCs w:val="16"/>
        </w:rPr>
        <w:t>all</w:t>
      </w:r>
      <w:r w:rsidRPr="00254562">
        <w:rPr>
          <w:szCs w:val="16"/>
        </w:rPr>
        <w:t xml:space="preserve"> the services </w:t>
      </w:r>
      <w:r w:rsidR="008B1A84">
        <w:rPr>
          <w:szCs w:val="16"/>
        </w:rPr>
        <w:t>will be</w:t>
      </w:r>
      <w:r w:rsidRPr="00254562">
        <w:rPr>
          <w:szCs w:val="16"/>
        </w:rPr>
        <w:t xml:space="preserve"> hosted externally within the VPC </w:t>
      </w:r>
      <w:r w:rsidR="007C755F">
        <w:rPr>
          <w:szCs w:val="16"/>
        </w:rPr>
        <w:t xml:space="preserve">where a VPC </w:t>
      </w:r>
      <w:r w:rsidR="00661A96">
        <w:rPr>
          <w:szCs w:val="16"/>
        </w:rPr>
        <w:t>spoke (spoke-2)</w:t>
      </w:r>
      <w:r w:rsidR="007C755F">
        <w:rPr>
          <w:szCs w:val="16"/>
        </w:rPr>
        <w:t xml:space="preserve"> will be used as the DMZ for the web portal as previously </w:t>
      </w:r>
      <w:r w:rsidR="007213CE">
        <w:rPr>
          <w:szCs w:val="16"/>
        </w:rPr>
        <w:t>discussed</w:t>
      </w:r>
      <w:r w:rsidR="007C755F">
        <w:rPr>
          <w:szCs w:val="16"/>
        </w:rPr>
        <w:t>.</w:t>
      </w:r>
    </w:p>
    <w:p w14:paraId="36E991C7" w14:textId="6D647936" w:rsidR="00661A96" w:rsidRDefault="00661A96" w:rsidP="00254562">
      <w:pPr>
        <w:spacing w:after="80"/>
        <w:jc w:val="both"/>
        <w:rPr>
          <w:szCs w:val="16"/>
        </w:rPr>
      </w:pPr>
      <w:r>
        <w:rPr>
          <w:szCs w:val="16"/>
        </w:rPr>
        <w:lastRenderedPageBreak/>
        <w:t>A</w:t>
      </w:r>
      <w:r w:rsidR="00213507">
        <w:rPr>
          <w:szCs w:val="16"/>
        </w:rPr>
        <w:t xml:space="preserve">n extended </w:t>
      </w:r>
      <w:r>
        <w:rPr>
          <w:szCs w:val="16"/>
        </w:rPr>
        <w:t>Access Control List (ACL)</w:t>
      </w:r>
      <w:r w:rsidR="00837912">
        <w:rPr>
          <w:szCs w:val="16"/>
        </w:rPr>
        <w:t xml:space="preserve"> </w:t>
      </w:r>
      <w:r w:rsidR="00837912">
        <w:rPr>
          <w:szCs w:val="16"/>
        </w:rPr>
        <w:fldChar w:fldCharType="begin" w:fldLock="1"/>
      </w:r>
      <w:r w:rsidR="00F351C4">
        <w:rPr>
          <w:szCs w:val="16"/>
        </w:rPr>
        <w:instrText>ADDIN CSL_CITATION {"citationItems":[{"id":"ITEM-1","itemData":{"abstract":"Information About Access Control Lists Access control lists (ACLs) identify traffic flows by one or more characteristics, including source and destination IP address, IP protocol, ports, EtherType, and other parameters, depending on the type of ACL. ACLs are used in a variety of features. ACLs are made up of one or more access control entries (ACEs). An ACE is a single entry in an ACL that specifies a permit or deny rule. • ACL Types, page 20-1 • Access Control Entry Order, page 20-2 • Access Control Implicit Deny, page 20-3 • IP Addresses Used for ACLs When You Use NAT, page 20-3 • Where to Go Next, page 20-3 ACL Types The ASA uses five types of ACLs: • Standard ACLs—Identify the destination IP addresses of OSPF routes and can be used in a route map for OSPF redistribution. Standard ACLs cannot be applied to interfaces to control traffic. For more information, see Chapter 23, \" Standard Access Control Lists. \" • Extended ACLs—Use one or more access control entries (ACE) in which you can specify the line number to insert the ACE, the source and destination addresses, and, depending upon the ACE type, the protocol, the ports (for TCP or UDP), or the IPCMP type (for ICMP). For more information, see Chapter 21, \" Extended Access Control Lists. \" • EtherType ACLs—Use one or more ACEs that specify an EtherType. For more information, see Chapter 22, \" EtherType Access Control Lists. \"","author":[{"dropping-particle":"","family":"Cisco.com","given":"","non-dropping-particle":"","parse-names":false,"suffix":""}],"container-title":"cisco.com","id":"ITEM-1","issued":{"date-parts":[["2014"]]},"title":"Access Control Lists (ACL)","type":"article-journal"},"uris":["http://www.mendeley.com/documents/?uuid=9de684da-8d25-497a-ac82-46744849b36a"]}],"mendeley":{"formattedCitation":"[90]","plainTextFormattedCitation":"[90]","previouslyFormattedCitation":"[90]"},"properties":{"noteIndex":0},"schema":"https://github.com/citation-style-language/schema/raw/master/csl-citation.json"}</w:instrText>
      </w:r>
      <w:r w:rsidR="00837912">
        <w:rPr>
          <w:szCs w:val="16"/>
        </w:rPr>
        <w:fldChar w:fldCharType="separate"/>
      </w:r>
      <w:r w:rsidR="002225FA" w:rsidRPr="002225FA">
        <w:rPr>
          <w:noProof/>
          <w:szCs w:val="16"/>
        </w:rPr>
        <w:t>[90]</w:t>
      </w:r>
      <w:r w:rsidR="00837912">
        <w:rPr>
          <w:szCs w:val="16"/>
        </w:rPr>
        <w:fldChar w:fldCharType="end"/>
      </w:r>
      <w:r>
        <w:rPr>
          <w:szCs w:val="16"/>
        </w:rPr>
        <w:t xml:space="preserve"> will also be implemented at the boundary routers to prevent guests and/or unauthorised </w:t>
      </w:r>
      <w:r w:rsidR="00ED1D87">
        <w:rPr>
          <w:szCs w:val="16"/>
        </w:rPr>
        <w:t xml:space="preserve">BYOD </w:t>
      </w:r>
      <w:r>
        <w:rPr>
          <w:szCs w:val="16"/>
        </w:rPr>
        <w:t>devices from accessing the distribution layer of the network with a DMZ temporary IP address</w:t>
      </w:r>
      <w:r w:rsidR="0089460E">
        <w:rPr>
          <w:szCs w:val="16"/>
        </w:rPr>
        <w:t>, and only permitting HTTPS (ports 443 and 8080)</w:t>
      </w:r>
      <w:r w:rsidR="00503958">
        <w:rPr>
          <w:szCs w:val="16"/>
        </w:rPr>
        <w:t xml:space="preserve"> </w:t>
      </w:r>
      <w:r w:rsidR="00503958">
        <w:rPr>
          <w:szCs w:val="16"/>
        </w:rPr>
        <w:fldChar w:fldCharType="begin" w:fldLock="1"/>
      </w:r>
      <w:r w:rsidR="00E74CA0">
        <w:rPr>
          <w:szCs w:val="16"/>
        </w:rPr>
        <w:instrText>ADDIN CSL_CITATION {"citationItems":[{"id":"ITEM-1","itemData":{"URL":"https://www.ibm.com/support/knowledgecenter/en/SSFKSJ_7.1.0/com.ibm.mq.doc/sy10660_.htm","abstract":"SSL/TLS","accessed":{"date-parts":[["2019","1","22"]]},"author":[{"dropping-particle":"","family":"IBM","given":"","non-dropping-particle":"","parse-names":false,"suffix":""}],"container-title":"ibm.com","id":"ITEM-1","issued":{"date-parts":[["2017"]]},"page":"1","title":"SSL/TLS handshake","type":"webpage"},"uris":["http://www.mendeley.com/documents/?uuid=d88d009d-c644-326a-b14c-c4b3b6f2e7d0"]}],"mendeley":{"formattedCitation":"[91]","plainTextFormattedCitation":"[91]","previouslyFormattedCitation":"[91]"},"properties":{"noteIndex":0},"schema":"https://github.com/citation-style-language/schema/raw/master/csl-citation.json"}</w:instrText>
      </w:r>
      <w:r w:rsidR="00503958">
        <w:rPr>
          <w:szCs w:val="16"/>
        </w:rPr>
        <w:fldChar w:fldCharType="separate"/>
      </w:r>
      <w:r w:rsidR="00503958" w:rsidRPr="00503958">
        <w:rPr>
          <w:noProof/>
          <w:szCs w:val="16"/>
        </w:rPr>
        <w:t>[91]</w:t>
      </w:r>
      <w:r w:rsidR="00503958">
        <w:rPr>
          <w:szCs w:val="16"/>
        </w:rPr>
        <w:fldChar w:fldCharType="end"/>
      </w:r>
      <w:r w:rsidR="0089460E">
        <w:rPr>
          <w:szCs w:val="16"/>
        </w:rPr>
        <w:t xml:space="preserve"> Internet  access and AAA RADIUS server port 1812 for authentication before being allowed access to the primary VPC spoke 1.</w:t>
      </w:r>
    </w:p>
    <w:p w14:paraId="7F2C457D" w14:textId="3292ED43" w:rsidR="00254562" w:rsidRPr="00254562" w:rsidRDefault="00254562" w:rsidP="00254562">
      <w:pPr>
        <w:spacing w:after="80"/>
        <w:jc w:val="both"/>
        <w:rPr>
          <w:szCs w:val="16"/>
        </w:rPr>
      </w:pPr>
      <w:r w:rsidRPr="00254562">
        <w:rPr>
          <w:szCs w:val="16"/>
        </w:rPr>
        <w:t xml:space="preserve">User logs </w:t>
      </w:r>
      <w:r w:rsidR="00D773E7" w:rsidRPr="00254562">
        <w:rPr>
          <w:szCs w:val="16"/>
        </w:rPr>
        <w:t>generated by</w:t>
      </w:r>
      <w:r w:rsidRPr="00254562">
        <w:rPr>
          <w:szCs w:val="16"/>
        </w:rPr>
        <w:t xml:space="preserve"> the AAA server will be utilised alongside the Intrusion Prevention System (IPS)</w:t>
      </w:r>
      <w:r w:rsidR="00837912">
        <w:rPr>
          <w:szCs w:val="16"/>
        </w:rPr>
        <w:t xml:space="preserve"> </w:t>
      </w:r>
      <w:r w:rsidR="00837912">
        <w:rPr>
          <w:szCs w:val="16"/>
        </w:rPr>
        <w:fldChar w:fldCharType="begin" w:fldLock="1"/>
      </w:r>
      <w:r w:rsidR="00E74CA0">
        <w:rPr>
          <w:szCs w:val="16"/>
        </w:rPr>
        <w:instrText>ADDIN CSL_CITATION {"citationItems":[{"id":"ITEM-1","itemData":{"abstract":"New research is going towards find new protection system that offer advanced features that protect computer systems from any attack . This paper describes how intrusion prevention system work , some features that intrusion prevention system have , advantages and disadvantages of intrusion prevention system , some different between intrusion prevention system and intrusion detection system .","author":[{"dropping-particle":"","family":"Abdelkarim","given":"Amjad Abdallah","non-dropping-particle":"","parse-names":false,"suffix":""},{"dropping-particle":"","family":"Nasereddin","given":"Hebah H O","non-dropping-particle":"","parse-names":false,"suffix":""}],"container-title":"INTERNATIONAL JOURNAL Of ACADEMIC RESEARCH","id":"ITEM-1","issue":"1","issued":{"date-parts":[["2011"]]},"page":"432-434","title":"Intrusion Prevention System","type":"article-journal","volume":"3"},"uris":["http://www.mendeley.com/documents/?uuid=7f95b03b-e07f-4d93-8d36-3b5bcc85abe9"]}],"mendeley":{"formattedCitation":"[92]","plainTextFormattedCitation":"[92]","previouslyFormattedCitation":"[92]"},"properties":{"noteIndex":0},"schema":"https://github.com/citation-style-language/schema/raw/master/csl-citation.json"}</w:instrText>
      </w:r>
      <w:r w:rsidR="00837912">
        <w:rPr>
          <w:szCs w:val="16"/>
        </w:rPr>
        <w:fldChar w:fldCharType="separate"/>
      </w:r>
      <w:r w:rsidR="00503958" w:rsidRPr="00503958">
        <w:rPr>
          <w:noProof/>
          <w:szCs w:val="16"/>
        </w:rPr>
        <w:t>[92]</w:t>
      </w:r>
      <w:r w:rsidR="00837912">
        <w:rPr>
          <w:szCs w:val="16"/>
        </w:rPr>
        <w:fldChar w:fldCharType="end"/>
      </w:r>
      <w:r w:rsidRPr="00254562">
        <w:rPr>
          <w:szCs w:val="16"/>
        </w:rPr>
        <w:t xml:space="preserve"> logs to identify the source of a network data breach in the event the network was compromised.</w:t>
      </w:r>
    </w:p>
    <w:p w14:paraId="6072C4D1" w14:textId="208ABBB8" w:rsidR="00254562" w:rsidRPr="00254562" w:rsidRDefault="00254562" w:rsidP="00254562">
      <w:pPr>
        <w:spacing w:after="80"/>
        <w:jc w:val="both"/>
        <w:rPr>
          <w:szCs w:val="16"/>
        </w:rPr>
      </w:pPr>
      <w:r w:rsidRPr="00254562">
        <w:rPr>
          <w:szCs w:val="16"/>
        </w:rPr>
        <w:t>A DFD</w:t>
      </w:r>
      <w:r w:rsidR="004D2761">
        <w:rPr>
          <w:szCs w:val="16"/>
        </w:rPr>
        <w:t xml:space="preserve"> </w:t>
      </w:r>
      <w:r w:rsidRPr="00254562">
        <w:rPr>
          <w:szCs w:val="16"/>
        </w:rPr>
        <w:t xml:space="preserve">outlining the logic of the MDM BYOD data security can be found in </w:t>
      </w:r>
      <w:r w:rsidRPr="00837912">
        <w:rPr>
          <w:i/>
          <w:iCs/>
          <w:szCs w:val="16"/>
        </w:rPr>
        <w:t>Appendix – B</w:t>
      </w:r>
      <w:r w:rsidRPr="00254562">
        <w:rPr>
          <w:szCs w:val="16"/>
        </w:rPr>
        <w:t xml:space="preserve"> of this paper.</w:t>
      </w:r>
    </w:p>
    <w:p w14:paraId="2DF5823C" w14:textId="4EDEF636" w:rsidR="00254562" w:rsidRPr="00254562" w:rsidRDefault="00254562" w:rsidP="00254562">
      <w:pPr>
        <w:spacing w:after="80"/>
        <w:jc w:val="both"/>
        <w:rPr>
          <w:szCs w:val="16"/>
        </w:rPr>
      </w:pPr>
      <w:r w:rsidRPr="00254562">
        <w:rPr>
          <w:szCs w:val="16"/>
        </w:rPr>
        <w:t xml:space="preserve">A network usage security policy </w:t>
      </w:r>
      <w:r w:rsidR="007C755F">
        <w:rPr>
          <w:szCs w:val="16"/>
        </w:rPr>
        <w:t xml:space="preserve">related to </w:t>
      </w:r>
      <w:r w:rsidR="007213CE">
        <w:rPr>
          <w:szCs w:val="16"/>
        </w:rPr>
        <w:t>the BYOD</w:t>
      </w:r>
      <w:r w:rsidR="007C755F">
        <w:rPr>
          <w:szCs w:val="16"/>
        </w:rPr>
        <w:t xml:space="preserve"> scheme </w:t>
      </w:r>
      <w:r w:rsidRPr="00254562">
        <w:rPr>
          <w:szCs w:val="16"/>
        </w:rPr>
        <w:t xml:space="preserve">was also created for staff to read and sign to outline the security boundaries along with their individual user responsibilities within the network as per the ITIL guidelines. </w:t>
      </w:r>
    </w:p>
    <w:p w14:paraId="3F2B19F2" w14:textId="64C4AEE7" w:rsidR="007C755F" w:rsidRPr="000A58FE" w:rsidRDefault="00254562" w:rsidP="0038176D">
      <w:pPr>
        <w:spacing w:after="80"/>
        <w:jc w:val="both"/>
        <w:rPr>
          <w:szCs w:val="16"/>
        </w:rPr>
      </w:pPr>
      <w:r w:rsidRPr="00254562">
        <w:rPr>
          <w:szCs w:val="16"/>
        </w:rPr>
        <w:t xml:space="preserve">The network security policy can be found in </w:t>
      </w:r>
      <w:r w:rsidRPr="00837912">
        <w:rPr>
          <w:i/>
          <w:iCs/>
          <w:szCs w:val="16"/>
        </w:rPr>
        <w:t>Appendix – C</w:t>
      </w:r>
      <w:r w:rsidRPr="00254562">
        <w:rPr>
          <w:szCs w:val="16"/>
        </w:rPr>
        <w:t xml:space="preserve"> of this paper.</w:t>
      </w:r>
    </w:p>
    <w:p w14:paraId="57F123E7" w14:textId="1AA5D780" w:rsidR="007C755F" w:rsidRPr="00D773E7" w:rsidRDefault="007C755F" w:rsidP="00D773E7">
      <w:pPr>
        <w:pStyle w:val="ListParagraph"/>
        <w:numPr>
          <w:ilvl w:val="0"/>
          <w:numId w:val="24"/>
        </w:numPr>
        <w:spacing w:after="80"/>
        <w:rPr>
          <w:szCs w:val="16"/>
        </w:rPr>
      </w:pPr>
      <w:r w:rsidRPr="00D773E7">
        <w:rPr>
          <w:szCs w:val="16"/>
        </w:rPr>
        <w:t>Malware Threats and Secure Connectivity</w:t>
      </w:r>
    </w:p>
    <w:p w14:paraId="02B517B6" w14:textId="0490323F" w:rsidR="007C755F" w:rsidRDefault="007C755F" w:rsidP="007C755F">
      <w:pPr>
        <w:pStyle w:val="Affiliation"/>
        <w:jc w:val="both"/>
      </w:pPr>
      <w:r>
        <w:t>As previously discussed a hardware firewall</w:t>
      </w:r>
      <w:r w:rsidR="00837912">
        <w:t xml:space="preserve"> that will contain an </w:t>
      </w:r>
      <w:r w:rsidR="00837912" w:rsidRPr="007C755F">
        <w:t xml:space="preserve">IPS </w:t>
      </w:r>
      <w:r w:rsidR="00837912">
        <w:t xml:space="preserve">along with a security edge router </w:t>
      </w:r>
      <w:r w:rsidRPr="007C755F">
        <w:t xml:space="preserve"> will be implemented to </w:t>
      </w:r>
      <w:r w:rsidR="0055287E" w:rsidRPr="007C755F">
        <w:t>analyz</w:t>
      </w:r>
      <w:r w:rsidR="0055287E">
        <w:t>e</w:t>
      </w:r>
      <w:r w:rsidRPr="007C755F">
        <w:t xml:space="preserve"> and filter known suspicious packets entering the LAN </w:t>
      </w:r>
      <w:r>
        <w:t xml:space="preserve">proactively that will be </w:t>
      </w:r>
      <w:r w:rsidRPr="007C755F">
        <w:t>configured for  Signature-Based Detection (SBD)</w:t>
      </w:r>
      <w:r w:rsidR="00837912">
        <w:t xml:space="preserve"> </w:t>
      </w:r>
      <w:r w:rsidRPr="007C755F">
        <w:t>, Anomaly-Based Detection (ABD), and Policy-Based Detection (PBD)</w:t>
      </w:r>
      <w:r w:rsidR="00F351C4" w:rsidRPr="00F351C4">
        <w:t xml:space="preserve"> </w:t>
      </w:r>
      <w:r w:rsidR="00F351C4">
        <w:fldChar w:fldCharType="begin" w:fldLock="1"/>
      </w:r>
      <w:r w:rsidR="00E74CA0">
        <w:instrText>ADDIN CSL_CITATION {"citationItems":[{"id":"ITEM-1","itemData":{"URL":"https://www.paloaltonetworks.com/cyberpedia/what-is-an-intrusion-prevention-system-ips","abstract":"IPS SIGNATURE","accessed":{"date-parts":[["2019","5","2"]]},"author":[{"dropping-particle":"","family":"pala-altone-networks","given":"","non-dropping-particle":"","parse-names":false,"suffix":""}],"container-title":"paloaltonetworks.com","id":"ITEM-1","issued":{"date-parts":[["2019"]]},"page":"1","title":"What is an Intrusion Prevention System? - Palo Alto Networks","type":"webpage"},"uris":["http://www.mendeley.com/documents/?uuid=e3be3c80-b41d-3a6d-b9a6-23057cd272dc"]},{"id":"ITEM-2","itemData":{"ISBN":"Natl. Inst. Stand. Technol. Spec. Publ. 800-94","abstract":"Accordingly, for brevity the term and prevention system (IDPS) is used throughout the rest of this to refer to both and IPS technologies. ES-1 Page 10. TO AND PREVENTION SYSTEMS (IDPS)","author":[{"dropping-particle":"","family":"Scarfone","given":"Karen","non-dropping-particle":"","parse-names":false,"suffix":""},{"dropping-particle":"","family":"Mell","given":"Peter","non-dropping-particle":"","parse-names":false,"suffix":""}],"container-title":"Nist Special Publication","id":"ITEM-2","issued":{"date-parts":[["2007"]]},"title":"Guide to Intrusion Detection and Prevention Systems ( IDPS ) Recommendations of the National Institute of Standards and Technology","type":"article-journal"},"uris":["http://www.mendeley.com/documents/?uuid=ea7651d6-8f88-4041-80ff-77dbf1fa7082"]}],"mendeley":{"formattedCitation":"[93], [94]","plainTextFormattedCitation":"[93], [94]","previouslyFormattedCitation":"[93], [94]"},"properties":{"noteIndex":0},"schema":"https://github.com/citation-style-language/schema/raw/master/csl-citation.json"}</w:instrText>
      </w:r>
      <w:r w:rsidR="00F351C4">
        <w:fldChar w:fldCharType="separate"/>
      </w:r>
      <w:r w:rsidR="00503958" w:rsidRPr="00503958">
        <w:rPr>
          <w:noProof/>
        </w:rPr>
        <w:t>[93], [94]</w:t>
      </w:r>
      <w:r w:rsidR="00F351C4">
        <w:fldChar w:fldCharType="end"/>
      </w:r>
      <w:r w:rsidRPr="007C755F">
        <w:t xml:space="preserve"> along with firewall rules preventing staff from </w:t>
      </w:r>
      <w:r w:rsidR="0055287E" w:rsidRPr="007C755F">
        <w:t>utilizing</w:t>
      </w:r>
      <w:r w:rsidRPr="007C755F">
        <w:t xml:space="preserve"> social media websites/unsecure websites and  personal E-Mail that contain a majority of ‘Trojan-Horse’ and ‘Ransomware’ malware. An exception to the rule will be applied to the marketing department who </w:t>
      </w:r>
      <w:r w:rsidR="0055287E" w:rsidRPr="007C755F">
        <w:t>utilize</w:t>
      </w:r>
      <w:r w:rsidRPr="007C755F">
        <w:t xml:space="preserve"> these websites as part of their job role, so their</w:t>
      </w:r>
      <w:r w:rsidR="00E406CC">
        <w:t xml:space="preserve"> Virtual LAN</w:t>
      </w:r>
      <w:r w:rsidRPr="007C755F">
        <w:t xml:space="preserve"> </w:t>
      </w:r>
      <w:r w:rsidR="00E406CC">
        <w:t>(</w:t>
      </w:r>
      <w:r w:rsidRPr="007C755F">
        <w:t>VLAN</w:t>
      </w:r>
      <w:r w:rsidR="00E406CC">
        <w:t>)</w:t>
      </w:r>
      <w:r w:rsidR="00F351C4">
        <w:t xml:space="preserve"> </w:t>
      </w:r>
      <w:r w:rsidR="00F351C4">
        <w:fldChar w:fldCharType="begin" w:fldLock="1"/>
      </w:r>
      <w:r w:rsidR="00E74CA0">
        <w:instrText>ADDIN CSL_CITATION {"citationItems":[{"id":"ITEM-1","itemData":{"URL":"https://www.cisco.com/c/en/us/td/docs/switches/lan/catalyst4500/12-2/25ew/configuration/guide/conf/vlans.html","abstract":"A VLAN is a group of devices on one or more LANs that are configured to communicate as if they were attached to the same wire, when in fact they are located on a number of different LAN segments. Because VLANs are based on logical instead of physical connections, they are extremely flexible.","accessed":{"date-parts":[["2017","12","11"]]},"author":[{"dropping-particle":"","family":"Cisco","given":"","non-dropping-particle":"","parse-names":false,"suffix":""}],"container-title":"cisco.com","id":"ITEM-1","issued":{"date-parts":[["2016"]]},"page":"1","title":"Understanding VLANS","type":"webpage"},"uris":["http://www.mendeley.com/documents/?uuid=9ce24eb1-f196-3497-8df1-91962b8a8fca"]}],"mendeley":{"formattedCitation":"[95]","plainTextFormattedCitation":"[95]","previouslyFormattedCitation":"[95]"},"properties":{"noteIndex":0},"schema":"https://github.com/citation-style-language/schema/raw/master/csl-citation.json"}</w:instrText>
      </w:r>
      <w:r w:rsidR="00F351C4">
        <w:fldChar w:fldCharType="separate"/>
      </w:r>
      <w:r w:rsidR="00503958" w:rsidRPr="00503958">
        <w:rPr>
          <w:noProof/>
        </w:rPr>
        <w:t>[95]</w:t>
      </w:r>
      <w:r w:rsidR="00F351C4">
        <w:fldChar w:fldCharType="end"/>
      </w:r>
      <w:r w:rsidRPr="007C755F">
        <w:t xml:space="preserve"> will have higher security scrutiny by the software and hardware firewalls</w:t>
      </w:r>
      <w:r w:rsidR="00E406CC">
        <w:t>/IPS</w:t>
      </w:r>
      <w:r w:rsidRPr="007C755F">
        <w:t xml:space="preserve"> to prevent malware from these websites entering the LAN. </w:t>
      </w:r>
    </w:p>
    <w:p w14:paraId="187A96C7" w14:textId="77777777" w:rsidR="007C755F" w:rsidRPr="007C755F" w:rsidRDefault="007C755F" w:rsidP="007C755F">
      <w:pPr>
        <w:pStyle w:val="Affiliation"/>
        <w:jc w:val="both"/>
      </w:pPr>
    </w:p>
    <w:p w14:paraId="785B5ACF" w14:textId="41055E19" w:rsidR="007C755F" w:rsidRDefault="009167E1" w:rsidP="007C755F">
      <w:pPr>
        <w:pStyle w:val="Affiliation"/>
        <w:jc w:val="both"/>
      </w:pPr>
      <w:r>
        <w:t>An</w:t>
      </w:r>
      <w:r w:rsidR="007C755F">
        <w:t xml:space="preserve"> IPS will also be implemented within the </w:t>
      </w:r>
      <w:r w:rsidR="007C755F" w:rsidRPr="007C755F">
        <w:t xml:space="preserve">VPC </w:t>
      </w:r>
      <w:r w:rsidR="007C755F">
        <w:t>with identical configurations to the LAN IPS and firewall</w:t>
      </w:r>
      <w:r w:rsidR="007C755F" w:rsidRPr="007C755F">
        <w:t xml:space="preserve"> additional security will be implemented within the VPC firewall with security groups configured depending on user permissions granted by the AAA server</w:t>
      </w:r>
    </w:p>
    <w:p w14:paraId="182B9D6C" w14:textId="77777777" w:rsidR="007C755F" w:rsidRPr="007C755F" w:rsidRDefault="007C755F" w:rsidP="007C755F">
      <w:pPr>
        <w:pStyle w:val="Affiliation"/>
        <w:jc w:val="both"/>
      </w:pPr>
    </w:p>
    <w:p w14:paraId="07ECB60B" w14:textId="7169AC23" w:rsidR="000063B2" w:rsidRDefault="007C755F" w:rsidP="007C755F">
      <w:pPr>
        <w:pStyle w:val="Affiliation"/>
        <w:jc w:val="both"/>
      </w:pPr>
      <w:r w:rsidRPr="007C755F">
        <w:t xml:space="preserve">All Internet activity outside of the VPC will </w:t>
      </w:r>
      <w:r w:rsidR="00F834B4" w:rsidRPr="007C755F">
        <w:t>utilize</w:t>
      </w:r>
      <w:r w:rsidRPr="007C755F">
        <w:t xml:space="preserve"> split </w:t>
      </w:r>
      <w:r w:rsidR="00F834B4" w:rsidRPr="007C755F">
        <w:t>tunneling</w:t>
      </w:r>
      <w:r w:rsidR="00F351C4">
        <w:t xml:space="preserve"> </w:t>
      </w:r>
      <w:r w:rsidR="00F351C4">
        <w:fldChar w:fldCharType="begin" w:fldLock="1"/>
      </w:r>
      <w:r w:rsidR="00E74CA0">
        <w:instrText>ADDIN CSL_CITATION {"citationItems":[{"id":"ITEM-1","itemData":{"URL":"https://packetpushers.net/simplifying-wan-complexity-active-monitoring/","abstract":"HUB Diagram","accessed":{"date-parts":[["2019","4","30"]]},"author":[{"dropping-particle":"","family":"Packet Pushers","given":"","non-dropping-particle":"","parse-names":false,"suffix":""}],"container-title":"packetpushers.net","id":"ITEM-1","issued":{"date-parts":[["2016"]]},"page":"1","title":"Hub and Spoke Site-to-Site VPN Split Tunnel WAN Cloud Topology Diagram","type":"webpage"},"uris":["http://www.mendeley.com/documents/?uuid=cb10f694-09d6-30f3-ad06-240d2695d568"]}],"mendeley":{"formattedCitation":"[96]","plainTextFormattedCitation":"[96]","previouslyFormattedCitation":"[96]"},"properties":{"noteIndex":0},"schema":"https://github.com/citation-style-language/schema/raw/master/csl-citation.json"}</w:instrText>
      </w:r>
      <w:r w:rsidR="00F351C4">
        <w:fldChar w:fldCharType="separate"/>
      </w:r>
      <w:r w:rsidR="00503958" w:rsidRPr="00503958">
        <w:rPr>
          <w:noProof/>
        </w:rPr>
        <w:t>[96]</w:t>
      </w:r>
      <w:r w:rsidR="00F351C4">
        <w:fldChar w:fldCharType="end"/>
      </w:r>
      <w:r w:rsidRPr="007C755F">
        <w:t xml:space="preserve"> to prevent Internet traffic traversing the VPN to further harden the data security</w:t>
      </w:r>
      <w:r w:rsidR="009A32DF">
        <w:t>, latency</w:t>
      </w:r>
      <w:r w:rsidRPr="007C755F">
        <w:t xml:space="preserve"> and availability within the network.</w:t>
      </w:r>
    </w:p>
    <w:p w14:paraId="389D4BBB" w14:textId="056F07A0" w:rsidR="009A32DF" w:rsidRDefault="009A32DF" w:rsidP="007C755F">
      <w:pPr>
        <w:pStyle w:val="Affiliation"/>
        <w:jc w:val="both"/>
      </w:pPr>
    </w:p>
    <w:p w14:paraId="50781140" w14:textId="0EA45BBD" w:rsidR="009A32DF" w:rsidRPr="009A32DF" w:rsidRDefault="009A32DF" w:rsidP="00D773E7">
      <w:pPr>
        <w:pStyle w:val="Affiliation"/>
        <w:numPr>
          <w:ilvl w:val="0"/>
          <w:numId w:val="24"/>
        </w:numPr>
        <w:rPr>
          <w:b/>
          <w:bCs/>
        </w:rPr>
      </w:pPr>
      <w:r>
        <w:t>Availability</w:t>
      </w:r>
    </w:p>
    <w:p w14:paraId="018FF159" w14:textId="77777777" w:rsidR="009A32DF" w:rsidRPr="009A32DF" w:rsidRDefault="009A32DF" w:rsidP="009A32DF">
      <w:pPr>
        <w:pStyle w:val="Affiliation"/>
        <w:spacing w:line="72" w:lineRule="auto"/>
        <w:jc w:val="both"/>
        <w:rPr>
          <w:b/>
          <w:bCs/>
        </w:rPr>
      </w:pPr>
    </w:p>
    <w:p w14:paraId="293AAF8D" w14:textId="0C723F41" w:rsidR="009A32DF" w:rsidRDefault="00661A96" w:rsidP="009A32DF">
      <w:pPr>
        <w:pStyle w:val="Affiliation"/>
        <w:jc w:val="both"/>
      </w:pPr>
      <w:r>
        <w:t xml:space="preserve">To </w:t>
      </w:r>
      <w:r w:rsidR="009A32DF" w:rsidRPr="009A32DF">
        <w:t xml:space="preserve">prevent bottlenecks within the LAN, redundancy measures will include; two separate 3Gb/s Internet Service Providers (ISP) connected to two LAN routers along with a distribution layer mesh of Layer-3 switches providing an 8Gb/s </w:t>
      </w:r>
      <w:r w:rsidR="00367B24">
        <w:t>‘</w:t>
      </w:r>
      <w:r w:rsidR="00367B24" w:rsidRPr="009A32DF">
        <w:t>EtherChannel</w:t>
      </w:r>
      <w:r w:rsidR="00367B24">
        <w:t>’</w:t>
      </w:r>
      <w:r w:rsidR="00F351C4">
        <w:t xml:space="preserve"> </w:t>
      </w:r>
      <w:r w:rsidR="00F351C4">
        <w:fldChar w:fldCharType="begin" w:fldLock="1"/>
      </w:r>
      <w:r w:rsidR="00E74CA0">
        <w:instrText>ADDIN CSL_CITATION {"citationItems":[{"id":"ITEM-1","itemData":{"abstract":"This chapter describes how to configure EtherChannels on the Catalyst 6500 series switch Layer 2 or\nLayer 3 LAN ports. \n","author":[{"dropping-particle":"","family":"Cisco","given":"","non-dropping-particle":"","parse-names":false,"suffix":""}],"container-title":"cisco.com","id":"ITEM-1","issued":{"date-parts":[["2013"]]},"page":"2","title":"Etherchannel Layer-2 and 3","type":"article-journal"},"uris":["http://www.mendeley.com/documents/?uuid=ac067c8c-ae8f-49ed-8f55-d0afd9ca06b8"]}],"mendeley":{"formattedCitation":"[97]","plainTextFormattedCitation":"[97]","previouslyFormattedCitation":"[97]"},"properties":{"noteIndex":0},"schema":"https://github.com/citation-style-language/schema/raw/master/csl-citation.json"}</w:instrText>
      </w:r>
      <w:r w:rsidR="00F351C4">
        <w:fldChar w:fldCharType="separate"/>
      </w:r>
      <w:r w:rsidR="00503958" w:rsidRPr="00503958">
        <w:rPr>
          <w:noProof/>
        </w:rPr>
        <w:t>[97]</w:t>
      </w:r>
      <w:r w:rsidR="00F351C4">
        <w:fldChar w:fldCharType="end"/>
      </w:r>
      <w:r w:rsidR="009A32DF" w:rsidRPr="009A32DF">
        <w:t xml:space="preserve"> throughput pipe</w:t>
      </w:r>
      <w:r w:rsidR="00C209F3">
        <w:t xml:space="preserve"> using the open standard Link Aggregation Control Protocol (LACP)</w:t>
      </w:r>
      <w:r w:rsidR="00F351C4">
        <w:t xml:space="preserve"> </w:t>
      </w:r>
      <w:r w:rsidR="00F351C4">
        <w:fldChar w:fldCharType="begin" w:fldLock="1"/>
      </w:r>
      <w:r w:rsidR="00E74CA0">
        <w:instrText>ADDIN CSL_CITATION {"citationItems":[{"id":"ITEM-1","itemData":{"URL":"http://www.omnisecu.com/cisco-certified-network-associate-ccna/etherchannel-pagp-and-lacp-modes.php","abstract":"There are two protocols used for negotiating EtherChannel and Link Aggregation. We can configure Etherchannel in three ways in Cisco Switches.\r\n\r\nPort Aggregation Protocol (PAgP) - Cisco Proprietary protocol\r\nIEEE Link Aggregation Protocol (LACP) - Industry Standard","accessed":{"date-parts":[["2017","12","11"]]},"author":[{"dropping-particle":"","family":"Ominsecu","given":"","non-dropping-particle":"","parse-names":false,"suffix":""}],"container-title":"ominsecu.com","id":"ITEM-1","issued":{"date-parts":[["2017"]]},"page":"1","title":"EtherChannel PAgP and LACP modes","type":"webpage"},"uris":["http://www.mendeley.com/documents/?uuid=f81c2849-3fd0-3043-97d2-7ad7d623fac1"]}],"mendeley":{"formattedCitation":"[98]","plainTextFormattedCitation":"[98]","previouslyFormattedCitation":"[98]"},"properties":{"noteIndex":0},"schema":"https://github.com/citation-style-language/schema/raw/master/csl-citation.json"}</w:instrText>
      </w:r>
      <w:r w:rsidR="00F351C4">
        <w:fldChar w:fldCharType="separate"/>
      </w:r>
      <w:r w:rsidR="00503958" w:rsidRPr="00503958">
        <w:rPr>
          <w:noProof/>
        </w:rPr>
        <w:t>[98]</w:t>
      </w:r>
      <w:r w:rsidR="00F351C4">
        <w:fldChar w:fldCharType="end"/>
      </w:r>
      <w:r w:rsidR="009A32DF" w:rsidRPr="009A32DF">
        <w:t>. All layer-3 devices will also be configured using Gateway Load Balancing Protocol (GLBP)</w:t>
      </w:r>
      <w:r w:rsidR="00F351C4">
        <w:t xml:space="preserve"> </w:t>
      </w:r>
      <w:r w:rsidR="00F351C4">
        <w:fldChar w:fldCharType="begin" w:fldLock="1"/>
      </w:r>
      <w:r w:rsidR="00E74CA0">
        <w:instrText>ADDIN CSL_CITATION {"citationItems":[{"id":"ITEM-1","itemData":{"URL":"https://www.cisco.com/en/US/docs/ios/12_2t/12_2t15/feature/guide/ft_glbp.html","accessed":{"date-parts":[["2020","1","29"]]},"author":[{"dropping-particle":"","family":"Cisco","given":"","non-dropping-particle":"","parse-names":false,"suffix":""}],"id":"ITEM-1","issued":{"date-parts":[["2014"]]},"page":"1-1","title":"GLBP - Gateway Load Balancing Protocol - Cisco Systems","type":"webpage"},"uris":["http://www.mendeley.com/documents/?uuid=e5bc6e48-eda2-349f-bd6c-190a7d0dd407"]}],"mendeley":{"formattedCitation":"[99]","plainTextFormattedCitation":"[99]","previouslyFormattedCitation":"[99]"},"properties":{"noteIndex":0},"schema":"https://github.com/citation-style-language/schema/raw/master/csl-citation.json"}</w:instrText>
      </w:r>
      <w:r w:rsidR="00F351C4">
        <w:fldChar w:fldCharType="separate"/>
      </w:r>
      <w:r w:rsidR="00503958" w:rsidRPr="00503958">
        <w:rPr>
          <w:noProof/>
        </w:rPr>
        <w:t>[99]</w:t>
      </w:r>
      <w:r w:rsidR="00F351C4">
        <w:fldChar w:fldCharType="end"/>
      </w:r>
      <w:r w:rsidR="009A32DF" w:rsidRPr="009A32DF">
        <w:t xml:space="preserve"> with Message Digest 5 (MD5) </w:t>
      </w:r>
      <w:r w:rsidR="00F351C4">
        <w:fldChar w:fldCharType="begin" w:fldLock="1"/>
      </w:r>
      <w:r w:rsidR="00E74CA0">
        <w:instrText>ADDIN CSL_CITATION {"citationItems":[{"id":"ITEM-1","itemData":{"URL":"https://www.cisco.com/c/en/us/support/docs/ip/open-shortest-path-first-ospf/13697-25.html","abstract":"This document shows sample configurations for Open Shortest Path First (OSPF) authentication which allows the flexibility to authenticate OSPF neighbors. You can enable authentication in OSPF in order to exchange routing update information in a secure manner. OSPF authentication can either be none (or null), simple, or MD5. The authentication method \"none\" means that no authentication is used for OSPF and it is the default method. With simple authentication, the password goes in clear-text over the network. With MD5 authentication, the password does not pass over the network. MD5 is a message-digest algorithm specified in RFC 1321. MD5 is considered the most secure OSPF authentication mode. When you configure authentication, you must configure an entire area with the same type of authentication. Starting with Cisco IOS® Software Release 12.0(8), authentication is supported on a per-interface basis. This is also mentioned in RFC 2328 leavingcisco.com, Appendix D. This feature is added in Cisco bug ID CSCdk33792 (registered customers only)","accessed":{"date-parts":[["2017","12","11"]]},"author":[{"dropping-particle":"","family":"Cisco.com","given":"","non-dropping-particle":"","parse-names":false,"suffix":""}],"container-title":"cisco.com","id":"ITEM-1","issued":{"date-parts":[["2005"]]},"page":"1","title":"OSPF MD5 Authentication Overview","type":"webpage"},"uris":["http://www.mendeley.com/documents/?uuid=c1f66178-f13a-3608-9f61-071979b64f89"]}],"mendeley":{"formattedCitation":"[100]","plainTextFormattedCitation":"[100]","previouslyFormattedCitation":"[100]"},"properties":{"noteIndex":0},"schema":"https://github.com/citation-style-language/schema/raw/master/csl-citation.json"}</w:instrText>
      </w:r>
      <w:r w:rsidR="00F351C4">
        <w:fldChar w:fldCharType="separate"/>
      </w:r>
      <w:r w:rsidR="00503958" w:rsidRPr="00503958">
        <w:rPr>
          <w:noProof/>
        </w:rPr>
        <w:t>[100]</w:t>
      </w:r>
      <w:r w:rsidR="00F351C4">
        <w:fldChar w:fldCharType="end"/>
      </w:r>
      <w:r w:rsidR="00F351C4">
        <w:t xml:space="preserve"> </w:t>
      </w:r>
      <w:r w:rsidR="009A32DF" w:rsidRPr="009A32DF">
        <w:t xml:space="preserve">security configured within the reliable Open Shortest Path First (OSPF) </w:t>
      </w:r>
      <w:r w:rsidR="00F351C4">
        <w:fldChar w:fldCharType="begin" w:fldLock="1"/>
      </w:r>
      <w:r w:rsidR="00E74CA0">
        <w:instrText>ADDIN CSL_CITATION {"citationItems":[{"id":"ITEM-1","itemData":{"URL":"https://www.cisco.com/c/en/us/products/ios-nx-os-software/open-shortest-path-first-ospf/index.html","accessed":{"date-parts":[["2018","2","14"]]},"author":[{"dropping-particle":"","family":"cisco","given":"","non-dropping-particle":"","parse-names":false,"suffix":""}],"container-title":"cisco.com","id":"ITEM-1","issued":{"date-parts":[["2017"]]},"page":"1","title":"Open Shortest Path First (OSPF) - Cisco","type":"webpage"},"uris":["http://www.mendeley.com/documents/?uuid=076093b4-3d6e-344e-9140-98707b264dd8"]}],"mendeley":{"formattedCitation":"[101]","plainTextFormattedCitation":"[101]","previouslyFormattedCitation":"[101]"},"properties":{"noteIndex":0},"schema":"https://github.com/citation-style-language/schema/raw/master/csl-citation.json"}</w:instrText>
      </w:r>
      <w:r w:rsidR="00F351C4">
        <w:fldChar w:fldCharType="separate"/>
      </w:r>
      <w:r w:rsidR="00503958" w:rsidRPr="00503958">
        <w:rPr>
          <w:noProof/>
        </w:rPr>
        <w:t>[101]</w:t>
      </w:r>
      <w:r w:rsidR="00F351C4">
        <w:fldChar w:fldCharType="end"/>
      </w:r>
      <w:r w:rsidR="009A32DF" w:rsidRPr="009A32DF">
        <w:t xml:space="preserve">layer-3 routing protocol to prevent rogue devices being introduced to the network by malicious actors. </w:t>
      </w:r>
      <w:r w:rsidR="00C209F3">
        <w:t xml:space="preserve"> VLAN’s will also be implemented as previously discussed to create more broadcast domains</w:t>
      </w:r>
      <w:r w:rsidR="00F351C4">
        <w:t xml:space="preserve"> </w:t>
      </w:r>
      <w:r w:rsidR="00F351C4">
        <w:fldChar w:fldCharType="begin" w:fldLock="1"/>
      </w:r>
      <w:r w:rsidR="00E74CA0">
        <w:instrText>ADDIN CSL_CITATION {"citationItems":[{"id":"ITEM-1","itemData":{"abstract":"Abstract: In traditional Local Area Network (LAN), all devices connected on switches belong to one broadcast domain. Virtual Private Local Area Network (VLAN) technology segments a physical LAN into different groups called VALNs and allows only devices on the same VLAN to communicate with one another while restricting devices on other VLANs from sending network traffic. This technology adds security in the LAN and controls network broadcast domain. Virtual LANs (VLANs) offer a method of dividing one physical LAN into multiple broadcast domains. However, VLAN-enabled switches cannot, by themselves, forward traffic across VLAN boundaries. For inter-VLAN communication, a Layer 3 router is required. This research paper discusses the VLAN protocol and different ways and possible protocols involved in creating and implementing Inter-VLAN routing for effective distribution of network services in Ebonyi State University","author":[{"dropping-particle":"","family":"Agwu","given":"Chukwuemeka Odi","non-dropping-particle":"","parse-names":false,"suffix":""},{"dropping-particle":"","family":"Nwogbaga","given":"Nweso Emmanuel","non-dropping-particle":"","parse-names":false,"suffix":""},{"dropping-particle":"","family":"Ojiugwo","given":"Chukwuka N","non-dropping-particle":"","parse-names":false,"suffix":""}],"container-title":"Jaringan Komputer","id":"ITEM-1","issued":{"date-parts":[["2013"]]},"title":"The Proposed Roles of VLAN and Inter-VLAN Routing in Effective Distribution of Network Services in Ebonyi State University","type":"article-journal"},"uris":["http://www.mendeley.com/documents/?uuid=2048d250-d4d0-4145-be06-9f045e4ca952"]}],"mendeley":{"formattedCitation":"[102]","plainTextFormattedCitation":"[102]","previouslyFormattedCitation":"[102]"},"properties":{"noteIndex":0},"schema":"https://github.com/citation-style-language/schema/raw/master/csl-citation.json"}</w:instrText>
      </w:r>
      <w:r w:rsidR="00F351C4">
        <w:fldChar w:fldCharType="separate"/>
      </w:r>
      <w:r w:rsidR="00503958" w:rsidRPr="00503958">
        <w:rPr>
          <w:noProof/>
        </w:rPr>
        <w:t>[102]</w:t>
      </w:r>
      <w:r w:rsidR="00F351C4">
        <w:fldChar w:fldCharType="end"/>
      </w:r>
      <w:r w:rsidR="00C209F3">
        <w:t xml:space="preserve"> within the LAN to prevent frame collisions at Layer-2.</w:t>
      </w:r>
    </w:p>
    <w:p w14:paraId="07476397" w14:textId="77777777" w:rsidR="00661A96" w:rsidRPr="009A32DF" w:rsidRDefault="00661A96" w:rsidP="009A32DF">
      <w:pPr>
        <w:pStyle w:val="Affiliation"/>
        <w:jc w:val="both"/>
      </w:pPr>
    </w:p>
    <w:p w14:paraId="4B6D6BE5" w14:textId="0C691CD2" w:rsidR="009A32DF" w:rsidRDefault="009A32DF" w:rsidP="009A32DF">
      <w:pPr>
        <w:pStyle w:val="Affiliation"/>
        <w:jc w:val="both"/>
      </w:pPr>
      <w:r w:rsidRPr="009A32DF">
        <w:t xml:space="preserve">After </w:t>
      </w:r>
      <w:r w:rsidR="004D5AD6">
        <w:t>these</w:t>
      </w:r>
      <w:r w:rsidRPr="009A32DF">
        <w:t xml:space="preserve"> implementation</w:t>
      </w:r>
      <w:r w:rsidR="004D5AD6">
        <w:t>s along with the installation and configuration of the new internetworking devices,</w:t>
      </w:r>
      <w:r w:rsidRPr="009A32DF">
        <w:t xml:space="preserve"> ‘Matrix Security</w:t>
      </w:r>
      <w:r w:rsidR="00223F83">
        <w:t>’</w:t>
      </w:r>
      <w:r w:rsidRPr="009A32DF">
        <w:t xml:space="preserve"> will also provide an SLA guarantee of internal availability within the LAN of 99.999%</w:t>
      </w:r>
      <w:r w:rsidR="004D5AD6">
        <w:t xml:space="preserve"> as previously discussed</w:t>
      </w:r>
      <w:r w:rsidRPr="009A32DF">
        <w:t>.</w:t>
      </w:r>
    </w:p>
    <w:p w14:paraId="6B83D494" w14:textId="77777777" w:rsidR="006931E3" w:rsidRPr="009A32DF" w:rsidRDefault="006931E3" w:rsidP="009A32DF">
      <w:pPr>
        <w:pStyle w:val="Affiliation"/>
        <w:jc w:val="both"/>
      </w:pPr>
    </w:p>
    <w:p w14:paraId="513E494B" w14:textId="75B1CC9C" w:rsidR="009A32DF" w:rsidRDefault="009A32DF" w:rsidP="009A32DF">
      <w:pPr>
        <w:pStyle w:val="Affiliation"/>
        <w:jc w:val="both"/>
      </w:pPr>
      <w:r w:rsidRPr="009A32DF">
        <w:t>All unused ports on the internetworking devices will also be shutdown to prevent this attack whilst used access ports will be secured using switchport security.</w:t>
      </w:r>
      <w:r w:rsidR="00CD2387">
        <w:fldChar w:fldCharType="begin" w:fldLock="1"/>
      </w:r>
      <w:r w:rsidR="00E74CA0">
        <w:instrText>ADDIN CSL_CITATION {"citationItems":[{"id":"ITEM-1","itemData":{"URL":"https://www.cisco.com/c/en/us/td/docs/switches/lan/catalyst4500/12-2/25ew/configuration/guide/conf/port_sec.html","abstract":"port secu","accessed":{"date-parts":[["2020","1","29"]]},"author":[{"dropping-particle":"","family":"Cisco","given":"","non-dropping-particle":"","parse-names":false,"suffix":""}],"id":"ITEM-1","issued":{"date-parts":[["2012"]]},"page":"1-1","title":"Access SwitchportSecurity","type":"webpage"},"uris":["http://www.mendeley.com/documents/?uuid=f8842cb1-95c2-3edc-8d88-08b4e3596a47"]}],"mendeley":{"formattedCitation":"[103]","plainTextFormattedCitation":"[103]","previouslyFormattedCitation":"[103]"},"properties":{"noteIndex":0},"schema":"https://github.com/citation-style-language/schema/raw/master/csl-citation.json"}</w:instrText>
      </w:r>
      <w:r w:rsidR="00CD2387">
        <w:fldChar w:fldCharType="separate"/>
      </w:r>
      <w:r w:rsidR="00503958" w:rsidRPr="00503958">
        <w:rPr>
          <w:noProof/>
        </w:rPr>
        <w:t>[103]</w:t>
      </w:r>
      <w:r w:rsidR="00CD2387">
        <w:fldChar w:fldCharType="end"/>
      </w:r>
    </w:p>
    <w:p w14:paraId="11F3E59A" w14:textId="77777777" w:rsidR="00EB3D1D" w:rsidRPr="009A32DF" w:rsidRDefault="00EB3D1D" w:rsidP="009A32DF">
      <w:pPr>
        <w:pStyle w:val="Affiliation"/>
        <w:jc w:val="both"/>
      </w:pPr>
    </w:p>
    <w:p w14:paraId="5D8EA573" w14:textId="2E014B1F" w:rsidR="009A32DF" w:rsidRDefault="009A32DF" w:rsidP="009A32DF">
      <w:pPr>
        <w:pStyle w:val="Affiliation"/>
        <w:jc w:val="both"/>
      </w:pPr>
      <w:r w:rsidRPr="009A32DF">
        <w:t>A physical WLAN survey</w:t>
      </w:r>
      <w:r w:rsidR="00CD2387">
        <w:t xml:space="preserve"> </w:t>
      </w:r>
      <w:r w:rsidR="00CD2387">
        <w:fldChar w:fldCharType="begin" w:fldLock="1"/>
      </w:r>
      <w:r w:rsidR="00E74CA0">
        <w:instrText>ADDIN CSL_CITATION {"citationItems":[{"id":"ITEM-1","itemData":{"abstract":"The first step in a wireless LAN (WLAN) deployment is to ensure that desired operation begins with a site survey to assess the Radio Frequency (RF) behavior in a specific environment. Many issues can arise in a wireless network due to poor planning and coverage. It has been discovered that many site surveys are not performed properly or the site survey is omitted altogether. The intended purpose of this document is to provide guidelines for proper planning, preparation, and identification of the key items to check through the analysis of a survey report.","author":[{"dropping-particle":"","family":"Croak","given":"Patrick","non-dropping-particle":"","parse-names":false,"suffix":""},{"dropping-particle":"","family":"Kim","given":"Young","non-dropping-particle":"","parse-names":false,"suffix":""}],"container-title":"Cisco","id":"ITEM-1","issued":{"date-parts":[["2013"]]},"title":"Site Survey Guidelines for WLAN Deployment","type":"report"},"uris":["http://www.mendeley.com/documents/?uuid=8e9a5dc6-6bed-494b-b4c2-9cfc8bf0bd01"]}],"mendeley":{"formattedCitation":"[104]","plainTextFormattedCitation":"[104]","previouslyFormattedCitation":"[104]"},"properties":{"noteIndex":0},"schema":"https://github.com/citation-style-language/schema/raw/master/csl-citation.json"}</w:instrText>
      </w:r>
      <w:r w:rsidR="00CD2387">
        <w:fldChar w:fldCharType="separate"/>
      </w:r>
      <w:r w:rsidR="00503958" w:rsidRPr="00503958">
        <w:rPr>
          <w:noProof/>
        </w:rPr>
        <w:t>[104]</w:t>
      </w:r>
      <w:r w:rsidR="00CD2387">
        <w:fldChar w:fldCharType="end"/>
      </w:r>
      <w:r w:rsidR="003937B9">
        <w:t xml:space="preserve"> that will include</w:t>
      </w:r>
      <w:r w:rsidR="003937B9" w:rsidRPr="003937B9">
        <w:t xml:space="preserve"> 802.11ax</w:t>
      </w:r>
      <w:r w:rsidR="00CD2387">
        <w:t xml:space="preserve"> </w:t>
      </w:r>
      <w:r w:rsidR="00CD2387">
        <w:fldChar w:fldCharType="begin" w:fldLock="1"/>
      </w:r>
      <w:r w:rsidR="00E74CA0">
        <w:instrText>ADDIN CSL_CITATION {"citationItems":[{"id":"ITEM-1","itemData":{"DOI":"10.1109/COMST.2018.2871099","ISSN":"1553877X","abstract":"While celebrating the 21st year since the very first IEEE 802.11 \"legacy\" 2 Mbit/s wireless local area network standard , the latest Wi-Fi newborn is today reaching the finish line, topping the remarkable speed of 10 Gbit/s. IEEE 802.11ax was launched in May 2014 with the goal of enhancing throughput-per-area in high-density scenarios. The first 802.11ax draft versions, namely, D1.0 and D2.0, were released at the end of 2016 and 2017. Focusing on a more mature version D3.0, in this tutorial paper, we help the reader to smoothly enter into the several major 802.11ax breakthroughs, including a brand new orthogonal frequency-division multiple access-based random access approach as well as novel spatial frequency reuse techniques. In addition, this tuto-rial will highlight selected significant improvements (including physical layer enhancements, multiuser multiple input multiple output extensions, power saving advances, and so on) which make this standard a very significant step forward with respect to its predecessor 802.11ac. Index Terms-Wireless LAN, quality of service, OFDM, IEEE 802.11ax, high efficiency WLANs, Wi-Fi, dense deployment, OFDMA, UL MU-MIMO.","author":[{"dropping-particle":"","family":"Khorov","given":"Evgeny","non-dropping-particle":"","parse-names":false,"suffix":""},{"dropping-particle":"","family":"Kiryanov","given":"Anton","non-dropping-particle":"","parse-names":false,"suffix":""},{"dropping-particle":"","family":"Lyakhov","given":"Andrey","non-dropping-particle":"","parse-names":false,"suffix":""},{"dropping-particle":"","family":"Bianchi","given":"Giuseppe","non-dropping-particle":"","parse-names":false,"suffix":""}],"container-title":"IEEE Communications Surveys and Tutorials","id":"ITEM-1","issued":{"date-parts":[["2019"]]},"title":"A tutorial on IEEE 802.11ax high efficiency WLANs","type":"article-journal"},"uris":["http://www.mendeley.com/documents/?uuid=1af7adcd-3467-49d4-8e8e-965fd03033d3"]}],"mendeley":{"formattedCitation":"[105]","plainTextFormattedCitation":"[105]","previouslyFormattedCitation":"[105]"},"properties":{"noteIndex":0},"schema":"https://github.com/citation-style-language/schema/raw/master/csl-citation.json"}</w:instrText>
      </w:r>
      <w:r w:rsidR="00CD2387">
        <w:fldChar w:fldCharType="separate"/>
      </w:r>
      <w:r w:rsidR="00503958" w:rsidRPr="00503958">
        <w:rPr>
          <w:noProof/>
        </w:rPr>
        <w:t>[105]</w:t>
      </w:r>
      <w:r w:rsidR="00CD2387">
        <w:fldChar w:fldCharType="end"/>
      </w:r>
      <w:r w:rsidR="003937B9" w:rsidRPr="003937B9">
        <w:t xml:space="preserve"> throughput</w:t>
      </w:r>
      <w:r w:rsidR="00CD2387">
        <w:t xml:space="preserve"> </w:t>
      </w:r>
      <w:r w:rsidR="003937B9">
        <w:t>, p</w:t>
      </w:r>
      <w:r w:rsidR="003937B9" w:rsidRPr="003937B9">
        <w:t xml:space="preserve">ath </w:t>
      </w:r>
      <w:r w:rsidR="003937B9">
        <w:t>l</w:t>
      </w:r>
      <w:r w:rsidR="003937B9" w:rsidRPr="003937B9">
        <w:t xml:space="preserve">oss and </w:t>
      </w:r>
      <w:r w:rsidR="003937B9">
        <w:t>j</w:t>
      </w:r>
      <w:r w:rsidR="003937B9" w:rsidRPr="003937B9">
        <w:t>itter</w:t>
      </w:r>
      <w:r w:rsidR="00CD2387">
        <w:t xml:space="preserve"> </w:t>
      </w:r>
      <w:r w:rsidR="00CD2387">
        <w:fldChar w:fldCharType="begin" w:fldLock="1"/>
      </w:r>
      <w:r w:rsidR="00E74CA0">
        <w:instrText>ADDIN CSL_CITATION {"citationItems":[{"id":"ITEM-1","itemData":{"abstract":"jitter wlan","author":[{"dropping-particle":"","family":"Mlinarsky","given":"Fanny","non-dropping-particle":"","parse-names":false,"suffix":""}],"id":"ITEM-1","issued":{"date-parts":[["2005"]]},"number-of-pages":"1-5","title":"IEEE802.11T – WLAN Test Methods and Metrics","type":"report"},"uris":["http://www.mendeley.com/documents/?uuid=f9cab3dd-73ca-31f6-bbde-0e9554eda1d9"]}],"mendeley":{"formattedCitation":"[106]","plainTextFormattedCitation":"[106]","previouslyFormattedCitation":"[106]"},"properties":{"noteIndex":0},"schema":"https://github.com/citation-style-language/schema/raw/master/csl-citation.json"}</w:instrText>
      </w:r>
      <w:r w:rsidR="00CD2387">
        <w:fldChar w:fldCharType="separate"/>
      </w:r>
      <w:r w:rsidR="00503958" w:rsidRPr="00503958">
        <w:rPr>
          <w:noProof/>
        </w:rPr>
        <w:t>[106]</w:t>
      </w:r>
      <w:r w:rsidR="00CD2387">
        <w:fldChar w:fldCharType="end"/>
      </w:r>
      <w:r w:rsidR="003937B9">
        <w:t xml:space="preserve"> testing for </w:t>
      </w:r>
      <w:r w:rsidR="00370A6B">
        <w:t>802.11ax 5G</w:t>
      </w:r>
      <w:r w:rsidR="00CD2387">
        <w:t xml:space="preserve"> </w:t>
      </w:r>
      <w:r w:rsidR="00CD2387">
        <w:fldChar w:fldCharType="begin" w:fldLock="1"/>
      </w:r>
      <w:r w:rsidR="00E74CA0">
        <w:instrText>ADDIN CSL_CITATION {"citationItems":[{"id":"ITEM-1","itemData":{"DOI":"10.14445/22492615/ijptt-v32p401","abstract":"Fifth Generation of Mobile Wireless Communication: 5G","author":[{"dropping-particle":"","family":"Masade","given":"Kanchan K","non-dropping-particle":"","parse-names":false,"suffix":""},{"dropping-particle":"","family":"Bhalerao","given":"D.M","non-dropping-particle":"","parse-names":false,"suffix":""}],"container-title":"International Journal of P2P Network Trends and Technology","id":"ITEM-1","issued":{"date-parts":[["2017"]]},"title":"Fifth Generation of Mobile Wireless Communication: 5G","type":"article-journal"},"uris":["http://www.mendeley.com/documents/?uuid=f71f79d1-4e6b-4cf5-a466-a6d066d3d353"]}],"mendeley":{"formattedCitation":"[107]","plainTextFormattedCitation":"[107]","previouslyFormattedCitation":"[107]"},"properties":{"noteIndex":0},"schema":"https://github.com/citation-style-language/schema/raw/master/csl-citation.json"}</w:instrText>
      </w:r>
      <w:r w:rsidR="00CD2387">
        <w:fldChar w:fldCharType="separate"/>
      </w:r>
      <w:r w:rsidR="00503958" w:rsidRPr="00503958">
        <w:rPr>
          <w:noProof/>
        </w:rPr>
        <w:t>[107]</w:t>
      </w:r>
      <w:r w:rsidR="00CD2387">
        <w:fldChar w:fldCharType="end"/>
      </w:r>
      <w:r w:rsidR="003937B9">
        <w:t xml:space="preserve"> capabilities before implementation</w:t>
      </w:r>
      <w:r w:rsidR="00CD2387">
        <w:t xml:space="preserve"> of</w:t>
      </w:r>
      <w:r w:rsidRPr="009A32DF">
        <w:t xml:space="preserve"> the</w:t>
      </w:r>
      <w:r w:rsidR="006A7943">
        <w:t xml:space="preserve"> 5G AP within the </w:t>
      </w:r>
      <w:r w:rsidRPr="009A32DF">
        <w:t xml:space="preserve"> building will also be conducted to identify any </w:t>
      </w:r>
      <w:r w:rsidR="00CD2387">
        <w:t>signal ‘</w:t>
      </w:r>
      <w:r w:rsidRPr="00CD2387">
        <w:t xml:space="preserve">dead </w:t>
      </w:r>
      <w:r w:rsidR="00CD2387">
        <w:t>zones’</w:t>
      </w:r>
      <w:r w:rsidRPr="009A32DF">
        <w:t xml:space="preserve"> that may</w:t>
      </w:r>
      <w:r w:rsidR="00CD2387">
        <w:t xml:space="preserve"> be caused because of</w:t>
      </w:r>
      <w:r w:rsidRPr="009A32DF">
        <w:t xml:space="preserve"> Radio Frequency (RF) signals</w:t>
      </w:r>
      <w:r w:rsidR="00CD2387">
        <w:t xml:space="preserve"> not being able to</w:t>
      </w:r>
      <w:r w:rsidRPr="009A32DF">
        <w:t xml:space="preserve"> </w:t>
      </w:r>
      <w:r w:rsidR="00CD2387">
        <w:t xml:space="preserve">penetrate </w:t>
      </w:r>
      <w:r w:rsidRPr="009A32DF">
        <w:t xml:space="preserve">objects such as thick walls, fire doors </w:t>
      </w:r>
      <w:r w:rsidR="00CD2387">
        <w:t>along with environmental noise i.e. microwaves</w:t>
      </w:r>
      <w:r w:rsidR="006A7943">
        <w:t xml:space="preserve"> </w:t>
      </w:r>
      <w:r w:rsidR="006A7943">
        <w:fldChar w:fldCharType="begin" w:fldLock="1"/>
      </w:r>
      <w:r w:rsidR="00E74CA0">
        <w:instrText>ADDIN CSL_CITATION {"citationItems":[{"id":"ITEM-1","itemData":{"DOI":"10.1007/s11276-005-1766-z","ISBN":"1581137532","ISSN":"10220038","PMID":"11264396","abstract":"This paper presents the expected transmission count metric (ETX), which finds high-throughput paths on multi-hop wireless networks. ETX minimizes the expected total number of packet transmissions (including retransmissions) required to successfully deliver a packet to the ultimate destination. The ETX metric incorporates the effects of link loss ratios, asymmetry in the loss ratios between the two directions of each link, and interference among the successive links of a path. In contrast, the minimum hop-count metric chooses arbitrarily among the different paths of the same minimum length, regardless of the often large differences in throughput among those paths, and ignoring the possibility that a longer path might offer higher throughput.","author":[{"dropping-particle":"","family":"Couto","given":"Douglas S.J.","non-dropping-particle":"De","parse-names":false,"suffix":""},{"dropping-particle":"","family":"Aguayo","given":"Daniel","non-dropping-particle":"","parse-names":false,"suffix":""},{"dropping-particle":"","family":"Bicket","given":"John","non-dropping-particle":"","parse-names":false,"suffix":""},{"dropping-particle":"","family":"Morris","given":"Robert","non-dropping-particle":"","parse-names":false,"suffix":""}],"container-title":"Wireless Networks","id":"ITEM-1","issue":"4","issued":{"date-parts":[["2005"]]},"page":"419-434","title":"A high-throughput path metric for multi-hop wireless routing","type":"paper-conference","volume":"11"},"uris":["http://www.mendeley.com/documents/?uuid=a07e32a9-1964-4dc2-96b5-e3ea12581ef5"]}],"mendeley":{"formattedCitation":"[108]","plainTextFormattedCitation":"[108]","previouslyFormattedCitation":"[108]"},"properties":{"noteIndex":0},"schema":"https://github.com/citation-style-language/schema/raw/master/csl-citation.json"}</w:instrText>
      </w:r>
      <w:r w:rsidR="006A7943">
        <w:fldChar w:fldCharType="separate"/>
      </w:r>
      <w:r w:rsidR="00503958" w:rsidRPr="00503958">
        <w:rPr>
          <w:noProof/>
        </w:rPr>
        <w:t>[108]</w:t>
      </w:r>
      <w:r w:rsidR="006A7943">
        <w:fldChar w:fldCharType="end"/>
      </w:r>
      <w:r w:rsidRPr="009A32DF">
        <w:t>.</w:t>
      </w:r>
      <w:r w:rsidR="00CD2387">
        <w:t xml:space="preserve"> </w:t>
      </w:r>
      <w:r w:rsidR="006A7943">
        <w:t xml:space="preserve">The use of 5G technology will not only provide </w:t>
      </w:r>
      <w:r w:rsidR="00AC0779">
        <w:t xml:space="preserve">high throughput rate and connection rates but will also further future proof the network in the event the company wanted to utilise IoT </w:t>
      </w:r>
      <w:r w:rsidR="00AC0779">
        <w:fldChar w:fldCharType="begin" w:fldLock="1"/>
      </w:r>
      <w:r w:rsidR="00E74CA0">
        <w:instrText>ADDIN CSL_CITATION {"citationItems":[{"id":"ITEM-1","itemData":{"DOI":"10.1109/COMST.2015.2444095","ISSN":"1553877X","abstract":"This paper provides an overview of the Internet of Things (IoT) with emphasis on enabling technologies, protocols and application issues. The IoT is enabled by the latest developments in RFID, smart sensors, communication technologies and Internet protocols. The basic premise is to have smart sensors collaborate directly without human involvement to deliver a new class of applications. The current revolution in Internet, mobile and machine-to-machine (M2M) technologies can be seen as the first phase of the IoT. In the coming years, the IoT is expected to bridge diverse technologies to enable new applications by connecting physical objects together in support of intelligent decision making. This paper starts by providing a horizontal overview of the IoT. Then, we give an overview of some technical details that pertain to the IoT enabling technologies, protocols and applications. Compared to other survey papers in the field, our objective is to provide a more thorough summary of the most relevant protocols and application issues to enable researchers and application developers to get up to speed quickly on how the different protocols fit together to deliver desired functionalities without having to go through RFCs and the standards specifications. We also provide an overview of some of the key IoT challenges presented in the recent literature and provide a summary of related research work. Moreover, we explore the relation between the IoT and other emerging technologies including big data analytics and cloud and fog computing. We also present the need for better horizontal integration among IoT services. Finally, we present detailed service use-cases to illustrate how the different protocols presented in the paper fit together to deliver desired IoT services.","author":[{"dropping-particle":"","family":"Al-Fuqaha","given":"Ala","non-dropping-particle":"","parse-names":false,"suffix":""},{"dropping-particle":"","family":"Guizani","given":"Mohsen","non-dropping-particle":"","parse-names":false,"suffix":""},{"dropping-particle":"","family":"Mohammadi","given":"Mehdi","non-dropping-particle":"","parse-names":false,"suffix":""},{"dropping-particle":"","family":"Aledhari","given":"Mohammed","non-dropping-particle":"","parse-names":false,"suffix":""},{"dropping-particle":"","family":"Ayyash","given":"Moussa","non-dropping-particle":"","parse-names":false,"suffix":""}],"container-title":"IEEE Communications Surveys and Tutorials","id":"ITEM-1","issued":{"date-parts":[["2015"]]},"title":"Internet of Things: A Survey on Enabling Technologies, Protocols, and Applications","type":"article-journal"},"uris":["http://www.mendeley.com/documents/?uuid=5ce179d1-a8cd-4632-bc4d-c8f460bda078"]}],"mendeley":{"formattedCitation":"[109]","plainTextFormattedCitation":"[109]","previouslyFormattedCitation":"[109]"},"properties":{"noteIndex":0},"schema":"https://github.com/citation-style-language/schema/raw/master/csl-citation.json"}</w:instrText>
      </w:r>
      <w:r w:rsidR="00AC0779">
        <w:fldChar w:fldCharType="separate"/>
      </w:r>
      <w:r w:rsidR="00503958" w:rsidRPr="00503958">
        <w:rPr>
          <w:noProof/>
        </w:rPr>
        <w:t>[109]</w:t>
      </w:r>
      <w:r w:rsidR="00AC0779">
        <w:fldChar w:fldCharType="end"/>
      </w:r>
      <w:r w:rsidR="00AC0779">
        <w:t xml:space="preserve"> smart technology.</w:t>
      </w:r>
      <w:r w:rsidR="006A7943">
        <w:t xml:space="preserve"> </w:t>
      </w:r>
    </w:p>
    <w:p w14:paraId="16908CBE" w14:textId="77777777" w:rsidR="006931E3" w:rsidRPr="009A32DF" w:rsidRDefault="006931E3" w:rsidP="009A32DF">
      <w:pPr>
        <w:pStyle w:val="Affiliation"/>
        <w:jc w:val="both"/>
      </w:pPr>
    </w:p>
    <w:p w14:paraId="446E1980" w14:textId="5A0FDF79" w:rsidR="009A32DF" w:rsidRDefault="009A32DF" w:rsidP="009A32DF">
      <w:pPr>
        <w:pStyle w:val="Affiliation"/>
        <w:jc w:val="both"/>
      </w:pPr>
      <w:r w:rsidRPr="009A32DF">
        <w:t>Staff will also be able to access business data ‘tagged’ as low security and company E-Mail from home using an AWS remote- VPN</w:t>
      </w:r>
      <w:r w:rsidR="005A26F8">
        <w:t xml:space="preserve"> </w:t>
      </w:r>
      <w:r w:rsidR="005A26F8">
        <w:fldChar w:fldCharType="begin" w:fldLock="1"/>
      </w:r>
      <w:r w:rsidR="00E74CA0">
        <w:instrText>ADDIN CSL_CITATION {"citationItems":[{"id":"ITEM-1","itemData":{"DOI":"10.1109/NSysS.2017.7885799","ISBN":"9781509032600","abstract":"-The application scope of VPN is increasing day by day as the organizations are creating private networks through public Internet using VPN tunneling instead of leased line. VPN protocols are classified into site-to-site and remote access VPN which exhibits different set of characteristics in terms of security mechanism. But there is no VPN preferences based on the organizational application requirements. In this paper, different VPN tunneling protocols like GRE, IPSec, PPTP and L2TP with IPSec are analyzed to measure the performance in terms of throughput, RTT, Jitter and security parameters. The results exhibits that, GRE is preferable for delay and bandwidth sensitive application in context of site to site VPN and L2TP is more effective than PPTP for remote access VPN. Index terms-VPN protocol, VPN selection, VPN per­ formance, remote access VPN, site to site VPN, Tunneling protocol.","author":[{"dropping-particle":"","family":"Jahan","given":"Sohely","non-dropping-particle":"","parse-names":false,"suffix":""},{"dropping-particle":"","family":"Rahman","given":"Md Saifur","non-dropping-particle":"","parse-names":false,"suffix":""},{"dropping-particle":"","family":"Saha","given":"Sajeeb","non-dropping-particle":"","parse-names":false,"suffix":""}],"container-title":"Proceedings of 2017 International Conference on Networking, Systems and Security, NSysS 2017","id":"ITEM-1","issued":{"date-parts":[["2017"]]},"title":"Application specific tunneling protocol selection for Virtual Private Networks","type":"paper-conference"},"uris":["http://www.mendeley.com/documents/?uuid=a8ad6a04-9cda-4e6b-bcaa-9aa6ea845188"]}],"mendeley":{"formattedCitation":"[110]","plainTextFormattedCitation":"[110]","previouslyFormattedCitation":"[110]"},"properties":{"noteIndex":0},"schema":"https://github.com/citation-style-language/schema/raw/master/csl-citation.json"}</w:instrText>
      </w:r>
      <w:r w:rsidR="005A26F8">
        <w:fldChar w:fldCharType="separate"/>
      </w:r>
      <w:r w:rsidR="00503958" w:rsidRPr="00503958">
        <w:rPr>
          <w:noProof/>
        </w:rPr>
        <w:t>[110]</w:t>
      </w:r>
      <w:r w:rsidR="005A26F8">
        <w:fldChar w:fldCharType="end"/>
      </w:r>
      <w:r w:rsidRPr="009A32DF">
        <w:t xml:space="preserve"> client installed on their personal devices.</w:t>
      </w:r>
    </w:p>
    <w:p w14:paraId="7915010E" w14:textId="77777777" w:rsidR="006931E3" w:rsidRPr="009A32DF" w:rsidRDefault="006931E3" w:rsidP="009A32DF">
      <w:pPr>
        <w:pStyle w:val="Affiliation"/>
        <w:jc w:val="both"/>
      </w:pPr>
    </w:p>
    <w:p w14:paraId="2CD69C5A" w14:textId="0C0C827C" w:rsidR="00D773E7" w:rsidRDefault="009A32DF" w:rsidP="009A32DF">
      <w:pPr>
        <w:pStyle w:val="Affiliation"/>
        <w:jc w:val="both"/>
      </w:pPr>
      <w:r>
        <w:t>Access to the company website with the integrated ‘PayPal’ payment system by clients/customers will be encrypted using Secure Socket Layer and Transport Layer Security version 2 (SSL/TLS)</w:t>
      </w:r>
      <w:r w:rsidR="005A26F8">
        <w:t xml:space="preserve"> </w:t>
      </w:r>
      <w:r w:rsidR="005A26F8">
        <w:fldChar w:fldCharType="begin" w:fldLock="1"/>
      </w:r>
      <w:r w:rsidR="00E74CA0">
        <w:instrText>ADDIN CSL_CITATION {"citationItems":[{"id":"ITEM-1","itemData":{"DOI":"10.31937/sk.v7i2.234","ISSN":"2355-3286","abstract":"Secure Socket Layer (SSL) also known as Transfer Layer Security (TLS) is de facto standard for web security. It provides confidentiality and integrity of information in transit across the public networks using their powerful cipher suites but it still contains some loopholes or flaws in its foundation. In this paper we discuss TLS standard along with various attacks found in recent years, such as BEAST, CRIME, BREACH, Lucky 13, and their proposed mitigation.\r Index Terms— Attack, Compression, Mitigation, Security, TLS.","author":[{"dropping-particle":"","family":"Fadhli","given":"Muhamad","non-dropping-particle":"","parse-names":false,"suffix":""},{"dropping-particle":"","family":"Munshi","given":"Fityan Ali","non-dropping-particle":"","parse-names":false,"suffix":""},{"dropping-particle":"","family":"Wicaksono","given":"Taufik Adi","non-dropping-particle":"","parse-names":false,"suffix":""}],"container-title":"Jurnal ULTIMA Computing","id":"ITEM-1","issued":{"date-parts":[["2018"]]},"title":"Ancaman Keamanan pada Transport Layer Security","type":"article-journal"},"uris":["http://www.mendeley.com/documents/?uuid=61b9c6d4-b4ce-4adb-900f-b69d81d5924e"]}],"mendeley":{"formattedCitation":"[111]","plainTextFormattedCitation":"[111]","previouslyFormattedCitation":"[111]"},"properties":{"noteIndex":0},"schema":"https://github.com/citation-style-language/schema/raw/master/csl-citation.json"}</w:instrText>
      </w:r>
      <w:r w:rsidR="005A26F8">
        <w:fldChar w:fldCharType="separate"/>
      </w:r>
      <w:r w:rsidR="00503958" w:rsidRPr="00503958">
        <w:rPr>
          <w:noProof/>
        </w:rPr>
        <w:t>[111]</w:t>
      </w:r>
      <w:r w:rsidR="005A26F8">
        <w:fldChar w:fldCharType="end"/>
      </w:r>
      <w:r>
        <w:t xml:space="preserve"> also known as HTTPS for secure access and payment to the 3</w:t>
      </w:r>
      <w:r w:rsidRPr="002F12BD">
        <w:rPr>
          <w:vertAlign w:val="superscript"/>
        </w:rPr>
        <w:t>rd</w:t>
      </w:r>
      <w:r>
        <w:t xml:space="preserve"> party merchant ‘PayPal’. The HTTPS server will be hosted within </w:t>
      </w:r>
      <w:r w:rsidR="00EB3D1D">
        <w:t xml:space="preserve">the </w:t>
      </w:r>
      <w:r>
        <w:t xml:space="preserve">VPC </w:t>
      </w:r>
      <w:r w:rsidR="00EB3D1D">
        <w:t xml:space="preserve">DMZ spoke as previously discussed </w:t>
      </w:r>
      <w:r>
        <w:t xml:space="preserve">with a public IP address to prevent outside access to the </w:t>
      </w:r>
      <w:r w:rsidR="00EB3D1D">
        <w:t xml:space="preserve">internal LAN </w:t>
      </w:r>
      <w:r>
        <w:t>VPC that contains the company’s sensitive information.</w:t>
      </w:r>
    </w:p>
    <w:p w14:paraId="244759D8" w14:textId="604E710F" w:rsidR="00190701" w:rsidRDefault="00190701" w:rsidP="009A32DF">
      <w:pPr>
        <w:pStyle w:val="Affiliation"/>
        <w:jc w:val="both"/>
      </w:pPr>
    </w:p>
    <w:p w14:paraId="336D52A0" w14:textId="1BA45B8F" w:rsidR="00351C99" w:rsidRDefault="00190701" w:rsidP="009A32DF">
      <w:pPr>
        <w:pStyle w:val="Affiliation"/>
        <w:jc w:val="both"/>
      </w:pPr>
      <w:r>
        <w:t xml:space="preserve">Utilizing Ubuntu Linux instead of a traditional Microsoft Windows server </w:t>
      </w:r>
      <w:r w:rsidR="00EC121E">
        <w:t>installed within a Docker</w:t>
      </w:r>
      <w:r>
        <w:t xml:space="preserve"> container instead of </w:t>
      </w:r>
      <w:r w:rsidR="005A26F8">
        <w:t xml:space="preserve">a </w:t>
      </w:r>
      <w:r>
        <w:t>Virtual Machines (VM) will maximize efficiency of throughput and hardware usage within the network which in turn will lower the current cost of the AWS VPC services for the company.</w:t>
      </w:r>
      <w:r w:rsidR="00EC121E">
        <w:t xml:space="preserve"> Containerization is a fast-emerging</w:t>
      </w:r>
      <w:r w:rsidR="005A26F8">
        <w:t xml:space="preserve"> universal micro-services </w:t>
      </w:r>
      <w:r w:rsidR="00EC121E">
        <w:t>technology that will also allow for futureproofing and scalability of the company networks as well as the economic benefits previously discussed.</w:t>
      </w:r>
    </w:p>
    <w:p w14:paraId="3194B1CD" w14:textId="77777777" w:rsidR="00351C99" w:rsidRDefault="00351C99" w:rsidP="009A32DF">
      <w:pPr>
        <w:pStyle w:val="Affiliation"/>
        <w:jc w:val="both"/>
      </w:pPr>
    </w:p>
    <w:p w14:paraId="3C543221" w14:textId="40B62E98" w:rsidR="00190701" w:rsidRDefault="00351C99" w:rsidP="009A32DF">
      <w:pPr>
        <w:pStyle w:val="Affiliation"/>
        <w:jc w:val="both"/>
      </w:pPr>
      <w:r>
        <w:t xml:space="preserve">The current </w:t>
      </w:r>
      <w:r w:rsidR="005A26F8">
        <w:t>Microsoft O</w:t>
      </w:r>
      <w:r>
        <w:t>ffice 365</w:t>
      </w:r>
      <w:r w:rsidR="005A26F8">
        <w:t xml:space="preserve"> </w:t>
      </w:r>
      <w:r w:rsidR="00E74CA0">
        <w:t>–</w:t>
      </w:r>
      <w:r>
        <w:t xml:space="preserve"> SaaS</w:t>
      </w:r>
      <w:r w:rsidR="00E74CA0">
        <w:t xml:space="preserve"> </w:t>
      </w:r>
      <w:r w:rsidR="00E74CA0">
        <w:fldChar w:fldCharType="begin" w:fldLock="1"/>
      </w:r>
      <w:r w:rsidR="00E74CA0">
        <w:instrText>ADDIN CSL_CITATION {"citationItems":[{"id":"ITEM-1","itemData":{"ISBN":"9789532330724","abstract":"Cloud computing is based on the rent of architecture to perform various tasks, where all communications between a client and a computer in the \"cloud\" provides by the Internet. More prevalent types of services in the cloud are: a) Software as a service - SaS, b) Platform as a service and c) Infrastructure as a Service - IAS. The biggest advantage of cloud computing is the use of resources and services which are especially beneficial to smaller companies that are just starting in business and can avoid the purchase of expensive equipment to perform certain tasks. The most famous big IT corporations in the field are Google and Amazon. Microsoft Office 365 in combination with Microsoft Windows Azure platform ensures companies of all sizes high productivity with low costs, saving time, money and free up valuable resources. Microsoft Office 365 is a combination of familiar desktop tools such as Office 2010 with communication networks and next-generation collaborative services like Exchange Online, SharePoint Online and Lync Online. This article will show features of the new MS Office 365 platform based on the \"cloud\" concept as cost-effectiveness in the same business domain. The same product will be compared with the existing Google Apps competitor. © 2012 MIPRO.","author":[{"dropping-particle":"","family":"Skendzic","given":"Aleksandar","non-dropping-particle":"","parse-names":false,"suffix":""},{"dropping-particle":"","family":"Kovacic","given":"Bozidar","non-dropping-particle":"","parse-names":false,"suffix":""}],"container-title":"MIPRO 2012 - 35th International Convention on Information and Communication Technology, Electronics and Microelectronics - Proceedings","id":"ITEM-1","issued":{"date-parts":[["2012"]]},"title":"Microsoft Office 365 - Cloud in business environment","type":"paper-conference"},"uris":["http://www.mendeley.com/documents/?uuid=722de493-34ec-4cf4-af72-fa699685f561"]}],"mendeley":{"formattedCitation":"[112]","plainTextFormattedCitation":"[112]","previouslyFormattedCitation":"[112]"},"properties":{"noteIndex":0},"schema":"https://github.com/citation-style-language/schema/raw/master/csl-citation.json"}</w:instrText>
      </w:r>
      <w:r w:rsidR="00E74CA0">
        <w:fldChar w:fldCharType="separate"/>
      </w:r>
      <w:r w:rsidR="00E74CA0" w:rsidRPr="00E74CA0">
        <w:rPr>
          <w:noProof/>
        </w:rPr>
        <w:t>[112]</w:t>
      </w:r>
      <w:r w:rsidR="00E74CA0">
        <w:fldChar w:fldCharType="end"/>
      </w:r>
      <w:r w:rsidR="00E74CA0">
        <w:t xml:space="preserve"> </w:t>
      </w:r>
      <w:r>
        <w:t xml:space="preserve"> will remain in place as this software is the market leader within business </w:t>
      </w:r>
      <w:r w:rsidR="005A26F8">
        <w:t xml:space="preserve">office applications </w:t>
      </w:r>
      <w:r w:rsidR="00367B24">
        <w:t>such as</w:t>
      </w:r>
      <w:r w:rsidR="005A26F8">
        <w:t xml:space="preserve">; </w:t>
      </w:r>
      <w:r>
        <w:t>word processing, E-Mail and spreadsheet design.</w:t>
      </w:r>
    </w:p>
    <w:p w14:paraId="66B5ACD8" w14:textId="3E45CA97" w:rsidR="00D773E7" w:rsidRDefault="00D773E7" w:rsidP="009A32DF">
      <w:pPr>
        <w:pStyle w:val="Affiliation"/>
        <w:jc w:val="both"/>
      </w:pPr>
    </w:p>
    <w:p w14:paraId="1679DF18" w14:textId="215B2316" w:rsidR="00367B24" w:rsidRDefault="00367B24" w:rsidP="009A32DF">
      <w:pPr>
        <w:pStyle w:val="Affiliation"/>
        <w:jc w:val="both"/>
      </w:pPr>
      <w:r>
        <w:t xml:space="preserve">Traditional </w:t>
      </w:r>
      <w:r w:rsidR="00E74CA0">
        <w:t xml:space="preserve">mirroring of data utilizing Redundant Array of Independent Disks (RAID) </w:t>
      </w:r>
      <w:r w:rsidR="00E74CA0">
        <w:fldChar w:fldCharType="begin" w:fldLock="1"/>
      </w:r>
      <w:r w:rsidR="00157D76">
        <w:instrText>ADDIN CSL_CITATION {"citationItems":[{"id":"ITEM-1","itemData":{"URL":"https://docs.oracle.com/cd/E19683-01/817-5776/about-metadevices-9/index.html","accessed":{"date-parts":[["2018","2","14"]]},"author":[{"dropping-particle":"","family":"oracle","given":"","non-dropping-particle":"","parse-names":false,"suffix":""}],"container-title":"oracle.com","id":"ITEM-1","issued":{"date-parts":[["2010"]]},"page":"1","title":"Overview of RAID 1 (Mirror) Volumes (Solaris Volume Manager Administration Guide)","type":"webpage"},"uris":["http://www.mendeley.com/documents/?uuid=f24ec240-17c7-3fd3-a419-a1609313dba1"]}],"mendeley":{"formattedCitation":"[113]","plainTextFormattedCitation":"[113]","previouslyFormattedCitation":"[113]"},"properties":{"noteIndex":0},"schema":"https://github.com/citation-style-language/schema/raw/master/csl-citation.json"}</w:instrText>
      </w:r>
      <w:r w:rsidR="00E74CA0">
        <w:fldChar w:fldCharType="separate"/>
      </w:r>
      <w:r w:rsidR="00E74CA0" w:rsidRPr="00E74CA0">
        <w:rPr>
          <w:noProof/>
        </w:rPr>
        <w:t>[113]</w:t>
      </w:r>
      <w:r w:rsidR="00E74CA0">
        <w:fldChar w:fldCharType="end"/>
      </w:r>
      <w:r w:rsidR="00E74CA0">
        <w:t xml:space="preserve"> technology to provide fault tolerance to the networking </w:t>
      </w:r>
      <w:r w:rsidR="008E5D8A">
        <w:t xml:space="preserve">in </w:t>
      </w:r>
      <w:r w:rsidR="00E74CA0">
        <w:t xml:space="preserve">the form of </w:t>
      </w:r>
      <w:r w:rsidR="008E5D8A">
        <w:t xml:space="preserve">a </w:t>
      </w:r>
      <w:r w:rsidR="00E74CA0">
        <w:t xml:space="preserve">data redundancy </w:t>
      </w:r>
      <w:r>
        <w:t>backup method</w:t>
      </w:r>
      <w:r w:rsidR="008E5D8A">
        <w:t xml:space="preserve"> within a different geographical location. This</w:t>
      </w:r>
      <w:r>
        <w:t xml:space="preserve"> will not be required within this </w:t>
      </w:r>
      <w:r w:rsidR="00E74CA0">
        <w:t>organizations network</w:t>
      </w:r>
      <w:r>
        <w:t xml:space="preserve"> because it is a serverless LAN/Cloud architecture where all data is mirrored and backed up in various locations around the globe by the CSP.</w:t>
      </w:r>
      <w:r w:rsidR="00E74CA0">
        <w:t xml:space="preserve"> </w:t>
      </w:r>
      <w:r w:rsidR="00E74CA0">
        <w:fldChar w:fldCharType="begin" w:fldLock="1"/>
      </w:r>
      <w:r w:rsidR="00157D76">
        <w:instrText>ADDIN CSL_CITATION {"citationItems":[{"id":"ITEM-1","itemData":{"ISSN":"2252-5157","abstract":"Cloud storage merupakan perkembangan teknologi penyimpanan data berbasis awan, dan ownCloud merupakan salah satu teknologi dalam bidang tersebut. Teknologi cloud storage memungkinkan pengguna melakukan penyimpanan tanpa memerlukan penyimpanan fisik. Namun dibalik keunggulannya cloud storage juga memiliki kekurangan yaitu batas akses dari pengguna menuju. Mirroring cloud storage dilakukan dengan sinkronisasi pada level database dan dokumen yang dilakukan secara bergantian setiap satu jam. Proses sinkronisasi dilakukan menggunakan backup database kemudian dijalankan berdasarkan jadwal pada crontab, sedangkan pada level dokumen dilakukan dengan menggunakan rsync dan dijalankan berdasarkan jadwal pada crontab. Berdasarkan pada tugas akhir ini mirror server dapat digunakan sebagai sinkronisasi, akses dan share data, namun proses share tidak dapat dilakukan di server tujuan sinkronisasi. Dengan waktu sinkronisasi yang disesuaikan yaitu setiap tiga menit pada level dokumen dan setiap menit pada level database. Terdapat kekurangan yaitu jika upload data bersamaan pada jadwal sinkronisasi maka data akan di sinkronisasi pada tiga menit selanjutnya.","author":[{"dropping-particle":"","family":"Sholehudin","given":"Ahmad","non-dropping-particle":"","parse-names":false,"suffix":""}],"container-title":"Jurnal Manajemen Informatika","id":"ITEM-1","issued":{"date-parts":[["2016"]]},"title":"MIRRORING CLOUD STORAGE MENGGUNAKAN OWNCLOUD UNTUK AKSES, SINKRONISASI, DAN SHARE DATA","type":"article-journal"},"uris":["http://www.mendeley.com/documents/?uuid=7d1d28fc-8a23-432d-9a15-178161fb9288"]}],"mendeley":{"formattedCitation":"[114]","plainTextFormattedCitation":"[114]","previouslyFormattedCitation":"[114]"},"properties":{"noteIndex":0},"schema":"https://github.com/citation-style-language/schema/raw/master/csl-citation.json"}</w:instrText>
      </w:r>
      <w:r w:rsidR="00E74CA0">
        <w:fldChar w:fldCharType="separate"/>
      </w:r>
      <w:r w:rsidR="00E74CA0" w:rsidRPr="00E74CA0">
        <w:rPr>
          <w:noProof/>
        </w:rPr>
        <w:t>[114]</w:t>
      </w:r>
      <w:r w:rsidR="00E74CA0">
        <w:fldChar w:fldCharType="end"/>
      </w:r>
      <w:r w:rsidR="00157D76">
        <w:fldChar w:fldCharType="begin" w:fldLock="1"/>
      </w:r>
      <w:r w:rsidR="0083614A">
        <w:instrText>ADDIN CSL_CITATION {"citationItems":[{"id":"ITEM-1","itemData":{"DOI":"10.1007/978-1-4842-2149-5_2","abstract":"Cloud Storage is a service where data is remotely maintained, managed, and backed up. The service is available to users over a network, which is usually the internet. It allows the user to store files online so that the user can access them from any location via the internet. The provider company makes them available to the user online by keeping the uploaded files on an external server. This gives companies using cloud storage services ease and convenience, but can potentially be costly. Users should also be aware that backing up their data is still required when using cloud storage services, because recovering data from cloud storage is much slower than local backup.","author":[{"dropping-particle":"","family":"Frampton","given":"Michael","non-dropping-particle":"","parse-names":false,"suffix":""},{"dropping-particle":"","family":"Frampton","given":"Michael","non-dropping-particle":"","parse-names":false,"suffix":""}],"container-title":"Complete Guide to Open Source Big Data Stack","id":"ITEM-1","issued":{"date-parts":[["2018"]]},"title":"Cloud Storage","type":"chapter"},"uris":["http://www.mendeley.com/documents/?uuid=5706179f-7181-4b7c-83b9-f113dd5e88cc"]}],"mendeley":{"formattedCitation":"[115]","plainTextFormattedCitation":"[115]","previouslyFormattedCitation":"[115]"},"properties":{"noteIndex":0},"schema":"https://github.com/citation-style-language/schema/raw/master/csl-citation.json"}</w:instrText>
      </w:r>
      <w:r w:rsidR="00157D76">
        <w:fldChar w:fldCharType="separate"/>
      </w:r>
      <w:r w:rsidR="00157D76" w:rsidRPr="00157D76">
        <w:rPr>
          <w:noProof/>
        </w:rPr>
        <w:t>[115]</w:t>
      </w:r>
      <w:r w:rsidR="00157D76">
        <w:fldChar w:fldCharType="end"/>
      </w:r>
    </w:p>
    <w:p w14:paraId="1B7D82FA" w14:textId="77777777" w:rsidR="00367B24" w:rsidRDefault="00367B24" w:rsidP="009A32DF">
      <w:pPr>
        <w:pStyle w:val="Affiliation"/>
        <w:jc w:val="both"/>
      </w:pPr>
    </w:p>
    <w:p w14:paraId="68B35EF0" w14:textId="2619EA3C" w:rsidR="00015CE4" w:rsidRDefault="00D773E7" w:rsidP="00015CE4">
      <w:pPr>
        <w:pStyle w:val="Affiliation"/>
        <w:numPr>
          <w:ilvl w:val="0"/>
          <w:numId w:val="24"/>
        </w:numPr>
      </w:pPr>
      <w:r>
        <w:t>Physical Security</w:t>
      </w:r>
    </w:p>
    <w:p w14:paraId="4B3BC3C2" w14:textId="77777777" w:rsidR="00015CE4" w:rsidRDefault="00015CE4" w:rsidP="00015CE4">
      <w:pPr>
        <w:pStyle w:val="Affiliation"/>
        <w:jc w:val="both"/>
      </w:pPr>
    </w:p>
    <w:p w14:paraId="63FD3B04" w14:textId="5BDED9E3" w:rsidR="00D773E7" w:rsidRDefault="00D773E7" w:rsidP="00D773E7">
      <w:pPr>
        <w:pStyle w:val="Affiliation"/>
        <w:jc w:val="both"/>
      </w:pPr>
      <w:r w:rsidRPr="00D773E7">
        <w:t>All the physical networking infrastructure located within the LAN will be physically locked within a secure box and/or secure room secured with complex password for local and remote access that only the network administrators will have access. The AWS VPC management console will also only be accessed by the network administrators.</w:t>
      </w:r>
      <w:r w:rsidR="00A17A7F">
        <w:t xml:space="preserve"> </w:t>
      </w:r>
      <w:r w:rsidR="00A17A7F">
        <w:fldChar w:fldCharType="begin" w:fldLock="1"/>
      </w:r>
      <w:r w:rsidR="0083614A">
        <w:instrText>ADDIN CSL_CITATION {"citationItems":[{"id":"ITEM-1","itemData":{"URL":"http://searchsecurity.techtarget.com/definition/physical-security","abstract":"Physical security is the protection of personnel, hardware, software, networks and data from physical actions and events that could cause serious loss or damage to an enterprise, agency or institution. This includes protection from fire, flood, natural disasters, burglary, theft, vandalism and terrorism.","accessed":{"date-parts":[["2017","12","11"]]},"author":[{"dropping-particle":"","family":"techtarget.com","given":"","non-dropping-particle":"","parse-names":false,"suffix":""}],"container-title":"techtarget","id":"ITEM-1","issued":{"date-parts":[["2017"]]},"page":"1","title":"What is physical security? - Definition from WhatIs.com","type":"webpage"},"uris":["http://www.mendeley.com/documents/?uuid=dee69f92-4f4f-347e-8931-26c58039ce12"]}],"mendeley":{"formattedCitation":"[116]","plainTextFormattedCitation":"[116]","previouslyFormattedCitation":"[116]"},"properties":{"noteIndex":0},"schema":"https://github.com/citation-style-language/schema/raw/master/csl-citation.json"}</w:instrText>
      </w:r>
      <w:r w:rsidR="00A17A7F">
        <w:fldChar w:fldCharType="separate"/>
      </w:r>
      <w:r w:rsidR="00157D76" w:rsidRPr="00157D76">
        <w:rPr>
          <w:noProof/>
        </w:rPr>
        <w:t>[116]</w:t>
      </w:r>
      <w:r w:rsidR="00A17A7F">
        <w:fldChar w:fldCharType="end"/>
      </w:r>
      <w:r w:rsidR="00A17A7F">
        <w:fldChar w:fldCharType="begin" w:fldLock="1"/>
      </w:r>
      <w:r w:rsidR="0083614A">
        <w:instrText>ADDIN CSL_CITATION {"citationItems":[{"id":"ITEM-1","itemData":{"abstract":"PHYS sec","author":[{"dropping-particle":"","family":"Cisco","given":"","non-dropping-particle":"","parse-names":false,"suffix":""}],"id":"ITEM-1","issued":{"date-parts":[["2008"]]},"number-of-pages":"1-46","title":"Cisco Physical Security","type":"report"},"uris":["http://www.mendeley.com/documents/?uuid=f90db33f-f727-3da3-b844-850e10f17fe7"]}],"mendeley":{"formattedCitation":"[117]","plainTextFormattedCitation":"[117]","previouslyFormattedCitation":"[117]"},"properties":{"noteIndex":0},"schema":"https://github.com/citation-style-language/schema/raw/master/csl-citation.json"}</w:instrText>
      </w:r>
      <w:r w:rsidR="00A17A7F">
        <w:fldChar w:fldCharType="separate"/>
      </w:r>
      <w:r w:rsidR="00157D76" w:rsidRPr="00157D76">
        <w:rPr>
          <w:noProof/>
        </w:rPr>
        <w:t>[117]</w:t>
      </w:r>
      <w:r w:rsidR="00A17A7F">
        <w:fldChar w:fldCharType="end"/>
      </w:r>
    </w:p>
    <w:p w14:paraId="2DA9A97E" w14:textId="60D81393" w:rsidR="000A58FE" w:rsidRDefault="000A58FE" w:rsidP="009A32DF">
      <w:pPr>
        <w:pStyle w:val="Affiliation"/>
        <w:jc w:val="both"/>
      </w:pPr>
    </w:p>
    <w:p w14:paraId="6D4FD9E1" w14:textId="79F99DB5" w:rsidR="00EC2E9A" w:rsidRDefault="00EC2E9A" w:rsidP="00EC2E9A">
      <w:pPr>
        <w:pStyle w:val="ListParagraph"/>
        <w:numPr>
          <w:ilvl w:val="0"/>
          <w:numId w:val="24"/>
        </w:numPr>
        <w:spacing w:after="80"/>
        <w:rPr>
          <w:szCs w:val="16"/>
        </w:rPr>
      </w:pPr>
      <w:r>
        <w:rPr>
          <w:szCs w:val="16"/>
        </w:rPr>
        <w:t>Internetworking Hardware Implementation</w:t>
      </w:r>
    </w:p>
    <w:p w14:paraId="4EB3603C" w14:textId="05778524" w:rsidR="00223F83" w:rsidRPr="00300449" w:rsidRDefault="00D40BB6" w:rsidP="00D40BB6">
      <w:pPr>
        <w:spacing w:after="80"/>
        <w:jc w:val="both"/>
        <w:rPr>
          <w:szCs w:val="16"/>
        </w:rPr>
      </w:pPr>
      <w:r w:rsidRPr="00300449">
        <w:rPr>
          <w:szCs w:val="16"/>
        </w:rPr>
        <w:t>As previously identified, analysed and discussed in previous section of this paper</w:t>
      </w:r>
      <w:r w:rsidR="00300449" w:rsidRPr="00300449">
        <w:rPr>
          <w:szCs w:val="16"/>
        </w:rPr>
        <w:t>,</w:t>
      </w:r>
      <w:r w:rsidRPr="00300449">
        <w:rPr>
          <w:szCs w:val="16"/>
        </w:rPr>
        <w:t xml:space="preserve"> </w:t>
      </w:r>
      <w:r w:rsidR="001F1B06" w:rsidRPr="00300449">
        <w:rPr>
          <w:szCs w:val="16"/>
        </w:rPr>
        <w:t xml:space="preserve">the </w:t>
      </w:r>
      <w:r w:rsidR="00652659" w:rsidRPr="00300449">
        <w:rPr>
          <w:szCs w:val="16"/>
        </w:rPr>
        <w:t>15-year-old</w:t>
      </w:r>
      <w:r w:rsidR="001F1B06" w:rsidRPr="00300449">
        <w:rPr>
          <w:szCs w:val="16"/>
        </w:rPr>
        <w:t xml:space="preserve"> legacy equipment within ‘Caribbean Coffee Ltd’ offices needed to be upgraded for compliance with</w:t>
      </w:r>
      <w:r w:rsidR="00223F83" w:rsidRPr="00300449">
        <w:rPr>
          <w:szCs w:val="16"/>
        </w:rPr>
        <w:t xml:space="preserve"> the</w:t>
      </w:r>
      <w:r w:rsidR="001F1B06" w:rsidRPr="00300449">
        <w:rPr>
          <w:szCs w:val="16"/>
        </w:rPr>
        <w:t xml:space="preserve"> ITILv4 security </w:t>
      </w:r>
      <w:r w:rsidR="00223F83" w:rsidRPr="00300449">
        <w:rPr>
          <w:szCs w:val="16"/>
        </w:rPr>
        <w:t>configuration and</w:t>
      </w:r>
      <w:r w:rsidR="001F1B06" w:rsidRPr="00300449">
        <w:rPr>
          <w:szCs w:val="16"/>
        </w:rPr>
        <w:t xml:space="preserve"> availability </w:t>
      </w:r>
      <w:r w:rsidR="00223F83" w:rsidRPr="00300449">
        <w:rPr>
          <w:szCs w:val="16"/>
        </w:rPr>
        <w:t>controls for</w:t>
      </w:r>
      <w:r w:rsidR="00300449" w:rsidRPr="00300449">
        <w:rPr>
          <w:szCs w:val="16"/>
        </w:rPr>
        <w:t xml:space="preserve"> the identified</w:t>
      </w:r>
      <w:r w:rsidR="00223F83" w:rsidRPr="00300449">
        <w:rPr>
          <w:szCs w:val="16"/>
        </w:rPr>
        <w:t xml:space="preserve"> business assets. </w:t>
      </w:r>
    </w:p>
    <w:p w14:paraId="78241FE3" w14:textId="15449CC6" w:rsidR="00D40BB6" w:rsidRDefault="00223F83" w:rsidP="00D40BB6">
      <w:pPr>
        <w:spacing w:after="80"/>
        <w:jc w:val="both"/>
        <w:rPr>
          <w:szCs w:val="16"/>
        </w:rPr>
      </w:pPr>
      <w:r w:rsidRPr="00300449">
        <w:rPr>
          <w:szCs w:val="16"/>
        </w:rPr>
        <w:t>The recommended updated internetworking hardware</w:t>
      </w:r>
      <w:r w:rsidR="00A6481B">
        <w:rPr>
          <w:szCs w:val="16"/>
        </w:rPr>
        <w:t xml:space="preserve"> devices</w:t>
      </w:r>
      <w:r w:rsidRPr="00300449">
        <w:rPr>
          <w:szCs w:val="16"/>
        </w:rPr>
        <w:t xml:space="preserve"> that will provide robust security and networking </w:t>
      </w:r>
      <w:r w:rsidR="00300449" w:rsidRPr="00300449">
        <w:rPr>
          <w:szCs w:val="16"/>
        </w:rPr>
        <w:t>architecture</w:t>
      </w:r>
      <w:r w:rsidRPr="00300449">
        <w:rPr>
          <w:szCs w:val="16"/>
        </w:rPr>
        <w:t xml:space="preserve"> are as follows:</w:t>
      </w:r>
    </w:p>
    <w:p w14:paraId="37838C10" w14:textId="77777777" w:rsidR="00AC5F2B" w:rsidRDefault="00AC5F2B" w:rsidP="00D40BB6">
      <w:pPr>
        <w:spacing w:after="80"/>
        <w:jc w:val="both"/>
        <w:rPr>
          <w:szCs w:val="16"/>
        </w:rPr>
      </w:pPr>
    </w:p>
    <w:p w14:paraId="699B1544" w14:textId="3897372E" w:rsidR="00BE0EC8" w:rsidRDefault="00092C87" w:rsidP="00420858">
      <w:pPr>
        <w:pStyle w:val="ListParagraph"/>
        <w:numPr>
          <w:ilvl w:val="0"/>
          <w:numId w:val="30"/>
        </w:numPr>
        <w:spacing w:after="80"/>
        <w:jc w:val="both"/>
        <w:rPr>
          <w:szCs w:val="16"/>
        </w:rPr>
      </w:pPr>
      <w:r w:rsidRPr="00420858">
        <w:rPr>
          <w:szCs w:val="16"/>
        </w:rPr>
        <w:t>Cisco ISR 4331 Router x 2</w:t>
      </w:r>
      <w:r w:rsidR="008A7CBB">
        <w:rPr>
          <w:szCs w:val="16"/>
        </w:rPr>
        <w:t xml:space="preserve"> </w:t>
      </w:r>
      <w:r w:rsidR="0083614A">
        <w:rPr>
          <w:szCs w:val="16"/>
        </w:rPr>
        <w:t xml:space="preserve"> </w:t>
      </w:r>
      <w:r w:rsidR="0083614A">
        <w:rPr>
          <w:szCs w:val="16"/>
        </w:rPr>
        <w:fldChar w:fldCharType="begin" w:fldLock="1"/>
      </w:r>
      <w:r w:rsidR="0083614A">
        <w:rPr>
          <w:szCs w:val="16"/>
        </w:rPr>
        <w:instrText>ADDIN CSL_CITATION {"citationItems":[{"id":"ITEM-1","itemData":{"URL":"https://www.cisco.com/c/en/us/support/routers/4331-integrated-services-router-isr/model.html","abstract":"Cisco ISR 4331 Router ","accessed":{"date-parts":[["2020","1","30"]]},"author":[{"dropping-particle":"","family":"Cisco","given":"","non-dropping-particle":"","parse-names":false,"suffix":""}],"id":"ITEM-1","issued":{"date-parts":[["2020"]]},"page":"1-1","title":"Cisco 4331 Integrated Services Router - Cisco","type":"webpage"},"uris":["http://www.mendeley.com/documents/?uuid=3ad15def-8181-3610-b910-fb49fc856c73"]}],"mendeley":{"formattedCitation":"[118]","plainTextFormattedCitation":"[118]","previouslyFormattedCitation":"[118]"},"properties":{"noteIndex":0},"schema":"https://github.com/citation-style-language/schema/raw/master/csl-citation.json"}</w:instrText>
      </w:r>
      <w:r w:rsidR="0083614A">
        <w:rPr>
          <w:szCs w:val="16"/>
        </w:rPr>
        <w:fldChar w:fldCharType="separate"/>
      </w:r>
      <w:r w:rsidR="0083614A" w:rsidRPr="0083614A">
        <w:rPr>
          <w:noProof/>
          <w:szCs w:val="16"/>
        </w:rPr>
        <w:t>[118]</w:t>
      </w:r>
      <w:r w:rsidR="0083614A">
        <w:rPr>
          <w:szCs w:val="16"/>
        </w:rPr>
        <w:fldChar w:fldCharType="end"/>
      </w:r>
      <w:r w:rsidRPr="00420858">
        <w:rPr>
          <w:szCs w:val="16"/>
        </w:rPr>
        <w:tab/>
      </w:r>
    </w:p>
    <w:p w14:paraId="7C60A897" w14:textId="33414259" w:rsidR="00092C87" w:rsidRPr="00420858" w:rsidRDefault="00092C87" w:rsidP="00BE0EC8">
      <w:pPr>
        <w:pStyle w:val="ListParagraph"/>
        <w:spacing w:after="80"/>
        <w:ind w:left="360"/>
        <w:jc w:val="both"/>
        <w:rPr>
          <w:szCs w:val="16"/>
        </w:rPr>
      </w:pPr>
      <w:r w:rsidRPr="00420858">
        <w:rPr>
          <w:szCs w:val="16"/>
        </w:rPr>
        <w:tab/>
      </w:r>
    </w:p>
    <w:p w14:paraId="08C8097B" w14:textId="4BA3ACF4" w:rsidR="00BE0EC8" w:rsidRPr="0083614A" w:rsidRDefault="00092C87" w:rsidP="00BE0EC8">
      <w:pPr>
        <w:pStyle w:val="ListParagraph"/>
        <w:numPr>
          <w:ilvl w:val="0"/>
          <w:numId w:val="30"/>
        </w:numPr>
        <w:spacing w:after="80"/>
        <w:jc w:val="both"/>
        <w:rPr>
          <w:szCs w:val="16"/>
        </w:rPr>
      </w:pPr>
      <w:r w:rsidRPr="00420858">
        <w:rPr>
          <w:szCs w:val="16"/>
        </w:rPr>
        <w:t>Cisco SME Layer-3 Switch 28 Port 1Gb/s SG350 x 4</w:t>
      </w:r>
      <w:r w:rsidR="0083614A">
        <w:rPr>
          <w:szCs w:val="16"/>
        </w:rPr>
        <w:t xml:space="preserve"> </w:t>
      </w:r>
      <w:r w:rsidR="0083614A">
        <w:rPr>
          <w:szCs w:val="16"/>
        </w:rPr>
        <w:fldChar w:fldCharType="begin" w:fldLock="1"/>
      </w:r>
      <w:r w:rsidR="0083614A">
        <w:rPr>
          <w:szCs w:val="16"/>
        </w:rPr>
        <w:instrText>ADDIN CSL_CITATION {"citationItems":[{"id":"ITEM-1","itemData":{"URL":"https://www.cisco.com/c/en/us/products/collateral/switches/sge2000-24-port-gigabit-switch/data_sheet_c78-502447.html","accessed":{"date-parts":[["2018","5","14"]]},"author":[{"dropping-particle":"","family":"Cisco","given":"","non-dropping-particle":"","parse-names":false,"suffix":""}],"container-title":"cisco.com","id":"ITEM-1","issued":{"date-parts":[["2018"]]},"page":"1","title":"Cisco SGE2000 24-Port Gigabit Switch Data Sheet - Cisco","type":"webpage"},"uris":["http://www.mendeley.com/documents/?uuid=733e5932-3df0-32ee-aded-89f6980056ec"]}],"mendeley":{"formattedCitation":"[119]","plainTextFormattedCitation":"[119]","previouslyFormattedCitation":"[119]"},"properties":{"noteIndex":0},"schema":"https://github.com/citation-style-language/schema/raw/master/csl-citation.json"}</w:instrText>
      </w:r>
      <w:r w:rsidR="0083614A">
        <w:rPr>
          <w:szCs w:val="16"/>
        </w:rPr>
        <w:fldChar w:fldCharType="separate"/>
      </w:r>
      <w:r w:rsidR="0083614A" w:rsidRPr="0083614A">
        <w:rPr>
          <w:noProof/>
          <w:szCs w:val="16"/>
        </w:rPr>
        <w:t>[119]</w:t>
      </w:r>
      <w:r w:rsidR="0083614A">
        <w:rPr>
          <w:szCs w:val="16"/>
        </w:rPr>
        <w:fldChar w:fldCharType="end"/>
      </w:r>
      <w:r w:rsidRPr="00420858">
        <w:rPr>
          <w:szCs w:val="16"/>
        </w:rPr>
        <w:tab/>
      </w:r>
    </w:p>
    <w:p w14:paraId="5CB4CF1E" w14:textId="43665E54" w:rsidR="00092C87" w:rsidRDefault="00092C87" w:rsidP="00420858">
      <w:pPr>
        <w:pStyle w:val="ListParagraph"/>
        <w:numPr>
          <w:ilvl w:val="0"/>
          <w:numId w:val="30"/>
        </w:numPr>
        <w:spacing w:after="80"/>
        <w:jc w:val="both"/>
        <w:rPr>
          <w:szCs w:val="16"/>
        </w:rPr>
      </w:pPr>
      <w:r w:rsidRPr="00420858">
        <w:rPr>
          <w:szCs w:val="16"/>
        </w:rPr>
        <w:t>Hardware Firewall Fortinet</w:t>
      </w:r>
      <w:r w:rsidR="0083614A">
        <w:rPr>
          <w:szCs w:val="16"/>
        </w:rPr>
        <w:t xml:space="preserve"> - FortiGate</w:t>
      </w:r>
      <w:r w:rsidRPr="00420858">
        <w:rPr>
          <w:szCs w:val="16"/>
        </w:rPr>
        <w:t xml:space="preserve"> 100E SME</w:t>
      </w:r>
      <w:r w:rsidR="00420858" w:rsidRPr="00420858">
        <w:rPr>
          <w:szCs w:val="16"/>
        </w:rPr>
        <w:t xml:space="preserve"> x 2</w:t>
      </w:r>
      <w:r w:rsidR="0083614A">
        <w:rPr>
          <w:szCs w:val="16"/>
        </w:rPr>
        <w:t xml:space="preserve"> </w:t>
      </w:r>
      <w:r w:rsidR="0083614A">
        <w:rPr>
          <w:szCs w:val="16"/>
        </w:rPr>
        <w:fldChar w:fldCharType="begin" w:fldLock="1"/>
      </w:r>
      <w:r w:rsidR="0083614A">
        <w:rPr>
          <w:szCs w:val="16"/>
        </w:rPr>
        <w:instrText>ADDIN CSL_CITATION {"citationItems":[{"id":"ITEM-1","itemData":{"abstract":"Firewall IPS NGFW Threat Protection Interfaces 7.4 Gbps 500 Mbps 360 Mbps 250 Mbps Multiple GE RJ45, GE SFP Slots | PoE/+ Variants Refer to specification table for details The FortiGate 100E series delivers next-generation firewall capabilities for mid-sized to large enterprises, with the flexibility to be deployed at the campus or enterprise branch. Protect against cyber threats with security processor powered high performance, security efficacy and deep visibility. Security § Identifies thousands of applications inside network traffic for deep inspection and granular policy enforcement § Protects against malware, exploits, and malicious websites in both encrypted and non-encrypted traffic § Prevents and detects against known and unknown attacks using continuous threat intelligence from AI-powered FortiGuard Labs security services Performance § Delivers industry's best threat protection performance and ultra-low latency using purpose built-security processor (SPU) technology § Provides industry-leading performance and protection for SSL encrypted traffic Certification § Independently tested and validated best security effectiveness and performance § Received unparalleled third-party certifications from NSS Labs, ICSA, Virus Bulletin, and AV-Comparatives Networking § Best of Breed SD-WAN capabilities to enable application steering using WAN path control for high quality of experience § Delivers advanced networking capabilities, high-performance, and scalable IPsec VPN capabilities to consolidate networking and security Management § Includes management console that's effective, simple to use, and provides comprehensive network automation &amp; visibility. § Provides Zero Touch Integration with Security Fabric's Single Pane of Glass Management § Predefined compliance checklist analyzes the deployment and highlights best practices to improve overall security posture Security Fabric § Enables Fortinet and Fabric-ready partners' products to provide broader visibility, integrated end-to-end detection, threat intelligence sharing, and automated remediation § Automatically builds Network Topology visualizations which discover IoT devices and provide complete visibility into Fortinet and Fabric-ready partner products","author":[{"dropping-particle":"","family":"Fortinet","given":"","non-dropping-particle":"","parse-names":false,"suffix":""}],"id":"ITEM-1","issued":{"date-parts":[["2019"]]},"number-of-pages":"1-1","title":"FortiGate ® 100E Series","type":"report"},"uris":["http://www.mendeley.com/documents/?uuid=c2fbf31c-60da-361f-a2d7-55dc49c00302"]}],"mendeley":{"formattedCitation":"[120]","plainTextFormattedCitation":"[120]","previouslyFormattedCitation":"[120]"},"properties":{"noteIndex":0},"schema":"https://github.com/citation-style-language/schema/raw/master/csl-citation.json"}</w:instrText>
      </w:r>
      <w:r w:rsidR="0083614A">
        <w:rPr>
          <w:szCs w:val="16"/>
        </w:rPr>
        <w:fldChar w:fldCharType="separate"/>
      </w:r>
      <w:r w:rsidR="0083614A" w:rsidRPr="0083614A">
        <w:rPr>
          <w:noProof/>
          <w:szCs w:val="16"/>
        </w:rPr>
        <w:t>[120]</w:t>
      </w:r>
      <w:r w:rsidR="0083614A">
        <w:rPr>
          <w:szCs w:val="16"/>
        </w:rPr>
        <w:fldChar w:fldCharType="end"/>
      </w:r>
      <w:r w:rsidRPr="00420858">
        <w:rPr>
          <w:szCs w:val="16"/>
        </w:rPr>
        <w:tab/>
      </w:r>
    </w:p>
    <w:p w14:paraId="72E1BDEC" w14:textId="77777777" w:rsidR="00BE0EC8" w:rsidRPr="00420858" w:rsidRDefault="00BE0EC8" w:rsidP="00BE0EC8">
      <w:pPr>
        <w:pStyle w:val="ListParagraph"/>
        <w:spacing w:after="80"/>
        <w:ind w:left="360"/>
        <w:jc w:val="both"/>
        <w:rPr>
          <w:szCs w:val="16"/>
        </w:rPr>
      </w:pPr>
    </w:p>
    <w:p w14:paraId="1F7A9C39" w14:textId="774C00EE" w:rsidR="00092C87" w:rsidRDefault="0083614A" w:rsidP="00420858">
      <w:pPr>
        <w:pStyle w:val="ListParagraph"/>
        <w:numPr>
          <w:ilvl w:val="0"/>
          <w:numId w:val="30"/>
        </w:numPr>
        <w:spacing w:after="80"/>
        <w:jc w:val="both"/>
        <w:rPr>
          <w:szCs w:val="16"/>
        </w:rPr>
      </w:pPr>
      <w:r w:rsidRPr="00420858">
        <w:rPr>
          <w:szCs w:val="16"/>
        </w:rPr>
        <w:t xml:space="preserve">Cisco Systems </w:t>
      </w:r>
      <w:r w:rsidR="00092C87" w:rsidRPr="00420858">
        <w:rPr>
          <w:szCs w:val="16"/>
        </w:rPr>
        <w:t>WLAN Controller</w:t>
      </w:r>
      <w:r w:rsidR="00420858" w:rsidRPr="00420858">
        <w:rPr>
          <w:szCs w:val="16"/>
        </w:rPr>
        <w:t xml:space="preserve"> </w:t>
      </w:r>
      <w:r w:rsidR="00092C87" w:rsidRPr="00420858">
        <w:rPr>
          <w:szCs w:val="16"/>
        </w:rPr>
        <w:t xml:space="preserve">4400 </w:t>
      </w:r>
      <w:r w:rsidR="00420858" w:rsidRPr="00420858">
        <w:rPr>
          <w:szCs w:val="16"/>
        </w:rPr>
        <w:t>x 2</w:t>
      </w:r>
      <w:r>
        <w:rPr>
          <w:szCs w:val="16"/>
        </w:rPr>
        <w:t xml:space="preserve"> </w:t>
      </w:r>
      <w:r>
        <w:rPr>
          <w:szCs w:val="16"/>
        </w:rPr>
        <w:fldChar w:fldCharType="begin" w:fldLock="1"/>
      </w:r>
      <w:r w:rsidR="00DA5BCB">
        <w:rPr>
          <w:szCs w:val="16"/>
        </w:rPr>
        <w:instrText>ADDIN CSL_CITATION {"citationItems":[{"id":"ITEM-1","itemData":{"URL":"https://www.cisco.com/c/en/us/td/docs/wireless/controller/6-0/configuration/guide/Controller60CG/c60ovrv.html","abstract":"Cisco Systems WLAN Controller 4400 ","accessed":{"date-parts":[["2020","1","30"]]},"author":[{"dropping-particle":"","family":"Cisco","given":"","non-dropping-particle":"","parse-names":false,"suffix":""}],"id":"ITEM-1","issued":{"date-parts":[["2018"]]},"page":"1-1","title":"Cisco Wireless LAN Controller 4400 product specification- Cisco","type":"webpage"},"uris":["http://www.mendeley.com/documents/?uuid=853920fb-a538-3a1f-8c00-c7939ca34d67"]}],"mendeley":{"formattedCitation":"[121]","plainTextFormattedCitation":"[121]","previouslyFormattedCitation":"[121]"},"properties":{"noteIndex":0},"schema":"https://github.com/citation-style-language/schema/raw/master/csl-citation.json"}</w:instrText>
      </w:r>
      <w:r>
        <w:rPr>
          <w:szCs w:val="16"/>
        </w:rPr>
        <w:fldChar w:fldCharType="separate"/>
      </w:r>
      <w:r w:rsidRPr="0083614A">
        <w:rPr>
          <w:noProof/>
          <w:szCs w:val="16"/>
        </w:rPr>
        <w:t>[121]</w:t>
      </w:r>
      <w:r>
        <w:rPr>
          <w:szCs w:val="16"/>
        </w:rPr>
        <w:fldChar w:fldCharType="end"/>
      </w:r>
    </w:p>
    <w:p w14:paraId="70167538" w14:textId="77777777" w:rsidR="00BE0EC8" w:rsidRPr="00BE0EC8" w:rsidRDefault="00BE0EC8" w:rsidP="00BE0EC8">
      <w:pPr>
        <w:spacing w:after="80"/>
        <w:jc w:val="both"/>
        <w:rPr>
          <w:szCs w:val="16"/>
        </w:rPr>
      </w:pPr>
    </w:p>
    <w:p w14:paraId="31992F38" w14:textId="5AC99D84" w:rsidR="00223F83" w:rsidRDefault="00420858" w:rsidP="00420858">
      <w:pPr>
        <w:pStyle w:val="ListParagraph"/>
        <w:numPr>
          <w:ilvl w:val="0"/>
          <w:numId w:val="30"/>
        </w:numPr>
        <w:spacing w:after="80"/>
        <w:jc w:val="both"/>
        <w:rPr>
          <w:szCs w:val="16"/>
        </w:rPr>
      </w:pPr>
      <w:r w:rsidRPr="00420858">
        <w:rPr>
          <w:szCs w:val="16"/>
        </w:rPr>
        <w:t xml:space="preserve">Cisco Catalyst C9115I 5GHz </w:t>
      </w:r>
      <w:r w:rsidR="00092C87" w:rsidRPr="00420858">
        <w:rPr>
          <w:szCs w:val="16"/>
        </w:rPr>
        <w:t>Lightweight A</w:t>
      </w:r>
      <w:r w:rsidRPr="00420858">
        <w:rPr>
          <w:szCs w:val="16"/>
        </w:rPr>
        <w:t xml:space="preserve">P </w:t>
      </w:r>
      <w:r w:rsidR="00092C87" w:rsidRPr="00420858">
        <w:rPr>
          <w:szCs w:val="16"/>
        </w:rPr>
        <w:t>802.11ax 5.38 Gbit/</w:t>
      </w:r>
      <w:r w:rsidRPr="00420858">
        <w:rPr>
          <w:szCs w:val="16"/>
        </w:rPr>
        <w:t xml:space="preserve">s x 6 </w:t>
      </w:r>
      <w:r w:rsidR="00DA5BCB">
        <w:rPr>
          <w:szCs w:val="16"/>
        </w:rPr>
        <w:fldChar w:fldCharType="begin" w:fldLock="1"/>
      </w:r>
      <w:r w:rsidR="004863A7">
        <w:rPr>
          <w:szCs w:val="16"/>
        </w:rPr>
        <w:instrText>ADDIN CSL_CITATION {"citationItems":[{"id":"ITEM-1","itemData":{"URL":"https://www.cisco.com/c/en/us/products/collateral/wireless/catalyst-9100ax-access-points/datasheet-c78-741988.html","abstract":"5.\tCisco Catalyst C9115I 5GHz Lightweight AP 802.11ax 5.38 ","accessed":{"date-parts":[["2020","1","30"]]},"author":[{"dropping-particle":"","family":"Cisco","given":"","non-dropping-particle":"","parse-names":false,"suffix":""}],"id":"ITEM-1","issued":{"date-parts":[["2019"]]},"page":"1-1","title":"Cisco Catalyst 9115 Series Wi-Fi 6 Access Points Data Sheet - Cisco","type":"webpage"},"uris":["http://www.mendeley.com/documents/?uuid=c9065229-42c8-3ff2-b9fb-a532c351afd7"]}],"mendeley":{"formattedCitation":"[122]","plainTextFormattedCitation":"[122]","previouslyFormattedCitation":"[122]"},"properties":{"noteIndex":0},"schema":"https://github.com/citation-style-language/schema/raw/master/csl-citation.json"}</w:instrText>
      </w:r>
      <w:r w:rsidR="00DA5BCB">
        <w:rPr>
          <w:szCs w:val="16"/>
        </w:rPr>
        <w:fldChar w:fldCharType="separate"/>
      </w:r>
      <w:r w:rsidR="00DA5BCB" w:rsidRPr="00DA5BCB">
        <w:rPr>
          <w:noProof/>
          <w:szCs w:val="16"/>
        </w:rPr>
        <w:t>[122]</w:t>
      </w:r>
      <w:r w:rsidR="00DA5BCB">
        <w:rPr>
          <w:szCs w:val="16"/>
        </w:rPr>
        <w:fldChar w:fldCharType="end"/>
      </w:r>
    </w:p>
    <w:p w14:paraId="453C4A72" w14:textId="77777777" w:rsidR="00BE0EC8" w:rsidRPr="00BE0EC8" w:rsidRDefault="00BE0EC8" w:rsidP="00BE0EC8">
      <w:pPr>
        <w:spacing w:after="80"/>
        <w:jc w:val="both"/>
        <w:rPr>
          <w:szCs w:val="16"/>
        </w:rPr>
      </w:pPr>
    </w:p>
    <w:p w14:paraId="15F2140E" w14:textId="1968E3A8" w:rsidR="00420858" w:rsidRDefault="00420858" w:rsidP="00420858">
      <w:pPr>
        <w:pStyle w:val="ListParagraph"/>
        <w:numPr>
          <w:ilvl w:val="0"/>
          <w:numId w:val="30"/>
        </w:numPr>
        <w:spacing w:after="80"/>
        <w:jc w:val="both"/>
        <w:rPr>
          <w:szCs w:val="16"/>
        </w:rPr>
      </w:pPr>
      <w:r w:rsidRPr="00420858">
        <w:rPr>
          <w:szCs w:val="16"/>
        </w:rPr>
        <w:t>Category-6 UTP Ethernet Cable 10Gb/s 305 Meter Reel x1</w:t>
      </w:r>
      <w:r w:rsidR="004863A7">
        <w:rPr>
          <w:szCs w:val="16"/>
        </w:rPr>
        <w:t xml:space="preserve"> </w:t>
      </w:r>
      <w:r w:rsidR="004863A7">
        <w:rPr>
          <w:szCs w:val="16"/>
        </w:rPr>
        <w:fldChar w:fldCharType="begin" w:fldLock="1"/>
      </w:r>
      <w:r w:rsidR="005B5769">
        <w:rPr>
          <w:szCs w:val="16"/>
        </w:rPr>
        <w:instrText>ADDIN CSL_CITATION {"citationItems":[{"id":"ITEM-1","itemData":{"DOI":"10.1109/ISSCC.2008.4523079","ISBN":"9781424420100","ISSN":"01936530","abstract":"A transceiver for the IEEE 802.3an Ethernet standard implemented in 0.13μm CMOS consists of a 4-lane AFE running at 800MS/S and a digital processor in a 25×25mm2BGA package. Power consumption is 10.5W when the transceiver is transmitting and receiving at 10Gb/s over 100m of UTP cable. The transceiver supports interoperation with 100Mb/s and 1Gb/s Ethernet transceivers. The AFE occupies 55mm2 and the digital processor occupies 150mm2. ©2008 IEEE.","author":[{"dropping-particle":"","family":"Gupta","given":"Sandeep","non-dropping-particle":"","parse-names":false,"suffix":""},{"dropping-particle":"","family":"Tellado","given":"Jose","non-dropping-particle":"","parse-names":false,"suffix":""},{"dropping-particle":"","family":"Begur","given":"Sridhar","non-dropping-particle":"","parse-names":false,"suffix":""},{"dropping-particle":"","family":"Yang","given":"Frank","non-dropping-particle":"","parse-names":false,"suffix":""},{"dropping-particle":"","family":"Balan","given":"Vishnu","non-dropping-particle":"","parse-names":false,"suffix":""},{"dropping-particle":"","family":"Inerfield","given":"Michael","non-dropping-particle":"","parse-names":false,"suffix":""},{"dropping-particle":"","family":"Dabiri","given":"Dariush","non-dropping-particle":"","parse-names":false,"suffix":""},{"dropping-particle":"","family":"Dring","given":"John","non-dropping-particle":"","parse-names":false,"suffix":""},{"dropping-particle":"","family":"Goel","given":"Sachin","non-dropping-particle":"","parse-names":false,"suffix":""},{"dropping-particle":"","family":"Muthukumaraswamy","given":"Kumaraguru","non-dropping-particle":"","parse-names":false,"suffix":""},{"dropping-particle":"","family":"McCarthy","given":"Frank","non-dropping-particle":"","parse-names":false,"suffix":""},{"dropping-particle":"","family":"Golden","given":"Glenn","non-dropping-particle":"","parse-names":false,"suffix":""},{"dropping-particle":"","family":"Wu","given":"Jiangfeng","non-dropping-particle":"","parse-names":false,"suffix":""},{"dropping-particle":"","family":"Arno","given":"Susan","non-dropping-particle":"","parse-names":false,"suffix":""},{"dropping-particle":"","family":"Kasturia","given":"Sanjay","non-dropping-particle":"","parse-names":false,"suffix":""}],"container-title":"Digest of Technical Papers - IEEE International Solid-State Circuits Conference","id":"ITEM-1","issued":{"date-parts":[["2008"]]},"title":"A 10Gb/s IEEE 802.3an-compliant Ethernet transceiver for 100m UTP cable in 0.13μm CMOS","type":"paper-conference"},"uris":["http://www.mendeley.com/documents/?uuid=60b5ade3-a4fc-45aa-a1e1-3541bfbd4c26"]}],"mendeley":{"formattedCitation":"[123]","plainTextFormattedCitation":"[123]","previouslyFormattedCitation":"[123]"},"properties":{"noteIndex":0},"schema":"https://github.com/citation-style-language/schema/raw/master/csl-citation.json"}</w:instrText>
      </w:r>
      <w:r w:rsidR="004863A7">
        <w:rPr>
          <w:szCs w:val="16"/>
        </w:rPr>
        <w:fldChar w:fldCharType="separate"/>
      </w:r>
      <w:r w:rsidR="004863A7" w:rsidRPr="004863A7">
        <w:rPr>
          <w:noProof/>
          <w:szCs w:val="16"/>
        </w:rPr>
        <w:t>[123]</w:t>
      </w:r>
      <w:r w:rsidR="004863A7">
        <w:rPr>
          <w:szCs w:val="16"/>
        </w:rPr>
        <w:fldChar w:fldCharType="end"/>
      </w:r>
    </w:p>
    <w:p w14:paraId="675A96F3" w14:textId="77777777" w:rsidR="00BE0EC8" w:rsidRPr="00BE0EC8" w:rsidRDefault="00BE0EC8" w:rsidP="00BE0EC8">
      <w:pPr>
        <w:spacing w:after="80"/>
        <w:jc w:val="both"/>
        <w:rPr>
          <w:szCs w:val="16"/>
        </w:rPr>
      </w:pPr>
    </w:p>
    <w:p w14:paraId="3AAF9A5B" w14:textId="64F70D31" w:rsidR="00420858" w:rsidRPr="00092C87" w:rsidRDefault="00420858" w:rsidP="00092C87">
      <w:pPr>
        <w:spacing w:after="80"/>
        <w:jc w:val="both"/>
        <w:rPr>
          <w:szCs w:val="16"/>
        </w:rPr>
      </w:pPr>
      <w:r>
        <w:rPr>
          <w:szCs w:val="16"/>
        </w:rPr>
        <w:t xml:space="preserve">These hardware devices were chosen because </w:t>
      </w:r>
      <w:r w:rsidR="00A05271">
        <w:rPr>
          <w:szCs w:val="16"/>
        </w:rPr>
        <w:t>the manufacturers</w:t>
      </w:r>
      <w:r>
        <w:rPr>
          <w:szCs w:val="16"/>
        </w:rPr>
        <w:t xml:space="preserve"> are the industry leaders within the internetworking hardware industry and their price came within the original budget </w:t>
      </w:r>
      <w:r w:rsidR="00A05271">
        <w:rPr>
          <w:szCs w:val="16"/>
        </w:rPr>
        <w:t xml:space="preserve">because slightly older models were purchased </w:t>
      </w:r>
      <w:r>
        <w:rPr>
          <w:szCs w:val="16"/>
        </w:rPr>
        <w:t xml:space="preserve">estimation of £60,000. The prices of these devices can be found within </w:t>
      </w:r>
      <w:r w:rsidRPr="00420858">
        <w:rPr>
          <w:i/>
          <w:iCs/>
          <w:szCs w:val="16"/>
        </w:rPr>
        <w:t>Appendix – D</w:t>
      </w:r>
      <w:r>
        <w:rPr>
          <w:szCs w:val="16"/>
        </w:rPr>
        <w:t>.</w:t>
      </w:r>
    </w:p>
    <w:p w14:paraId="5F2A62F1" w14:textId="32D724C9" w:rsidR="00D40BB6" w:rsidRDefault="00D40BB6" w:rsidP="00D40BB6">
      <w:pPr>
        <w:spacing w:after="80"/>
        <w:jc w:val="both"/>
        <w:rPr>
          <w:i/>
          <w:iCs/>
          <w:szCs w:val="16"/>
        </w:rPr>
      </w:pPr>
      <w:r>
        <w:rPr>
          <w:szCs w:val="16"/>
        </w:rPr>
        <w:t>The complete network topology of ‘Caribbean Coffee Ltd’</w:t>
      </w:r>
      <w:r w:rsidR="00AC5F2B">
        <w:rPr>
          <w:szCs w:val="16"/>
        </w:rPr>
        <w:t xml:space="preserve"> that was created by utilising the knowledge gained within the ITIL lifecycle stages 1-</w:t>
      </w:r>
      <w:r w:rsidR="008A7CBB">
        <w:rPr>
          <w:szCs w:val="16"/>
        </w:rPr>
        <w:t>2 can</w:t>
      </w:r>
      <w:r>
        <w:rPr>
          <w:szCs w:val="16"/>
        </w:rPr>
        <w:t xml:space="preserve"> be found in </w:t>
      </w:r>
      <w:r w:rsidRPr="005C608B">
        <w:rPr>
          <w:i/>
          <w:iCs/>
          <w:szCs w:val="16"/>
        </w:rPr>
        <w:t xml:space="preserve">figure </w:t>
      </w:r>
      <w:r w:rsidR="00CC2AB5">
        <w:rPr>
          <w:i/>
          <w:iCs/>
          <w:szCs w:val="16"/>
        </w:rPr>
        <w:t>5</w:t>
      </w:r>
      <w:r w:rsidRPr="005C608B">
        <w:rPr>
          <w:i/>
          <w:iCs/>
          <w:szCs w:val="16"/>
        </w:rPr>
        <w:t>.</w:t>
      </w:r>
    </w:p>
    <w:p w14:paraId="2757FD0B" w14:textId="77777777" w:rsidR="005C608B" w:rsidRDefault="00DB720A" w:rsidP="005C608B">
      <w:pPr>
        <w:pStyle w:val="Affiliation"/>
        <w:keepNext/>
        <w:jc w:val="both"/>
      </w:pPr>
      <w:r>
        <w:rPr>
          <w:noProof/>
          <w:szCs w:val="16"/>
          <w:lang w:val="en-GB" w:eastAsia="en-GB"/>
        </w:rPr>
        <w:drawing>
          <wp:inline distT="0" distB="0" distL="0" distR="0" wp14:anchorId="4EB4AF8A" wp14:editId="6B7DA389">
            <wp:extent cx="3204845" cy="2815926"/>
            <wp:effectExtent l="19050" t="19050" r="14605" b="2286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7160" t="337" r="8353" b="2703"/>
                    <a:stretch/>
                  </pic:blipFill>
                  <pic:spPr bwMode="auto">
                    <a:xfrm>
                      <a:off x="0" y="0"/>
                      <a:ext cx="3204845" cy="2815926"/>
                    </a:xfrm>
                    <a:prstGeom prst="rect">
                      <a:avLst/>
                    </a:prstGeom>
                    <a:noFill/>
                    <a:ln w="6350">
                      <a:solidFill>
                        <a:schemeClr val="tx1"/>
                      </a:solidFill>
                    </a:ln>
                    <a:extLst>
                      <a:ext uri="{53640926-AAD7-44D8-BBD7-CCE9431645EC}">
                        <a14:shadowObscured xmlns:a14="http://schemas.microsoft.com/office/drawing/2010/main"/>
                      </a:ext>
                    </a:extLst>
                  </pic:spPr>
                </pic:pic>
              </a:graphicData>
            </a:graphic>
          </wp:inline>
        </w:drawing>
      </w:r>
    </w:p>
    <w:p w14:paraId="7FFAA140" w14:textId="11E74C10" w:rsidR="006931E3" w:rsidRPr="005C608B" w:rsidRDefault="005C608B" w:rsidP="005C608B">
      <w:pPr>
        <w:pStyle w:val="Caption"/>
        <w:rPr>
          <w:b/>
          <w:bCs/>
        </w:rPr>
      </w:pPr>
      <w:r w:rsidRPr="005C608B">
        <w:rPr>
          <w:sz w:val="18"/>
        </w:rPr>
        <w:t xml:space="preserve">Figure </w:t>
      </w:r>
      <w:r w:rsidRPr="005C608B">
        <w:rPr>
          <w:sz w:val="18"/>
        </w:rPr>
        <w:fldChar w:fldCharType="begin"/>
      </w:r>
      <w:r w:rsidRPr="005C608B">
        <w:rPr>
          <w:sz w:val="18"/>
        </w:rPr>
        <w:instrText xml:space="preserve"> SEQ Figure \* ARABIC </w:instrText>
      </w:r>
      <w:r w:rsidRPr="005C608B">
        <w:rPr>
          <w:sz w:val="18"/>
        </w:rPr>
        <w:fldChar w:fldCharType="separate"/>
      </w:r>
      <w:r w:rsidR="003F457E">
        <w:rPr>
          <w:noProof/>
          <w:sz w:val="18"/>
        </w:rPr>
        <w:t>5</w:t>
      </w:r>
      <w:r w:rsidRPr="005C608B">
        <w:rPr>
          <w:sz w:val="18"/>
        </w:rPr>
        <w:fldChar w:fldCharType="end"/>
      </w:r>
      <w:r w:rsidRPr="005C608B">
        <w:rPr>
          <w:sz w:val="18"/>
        </w:rPr>
        <w:t>: Caribbean Coffee Ltd ITIL Approved Logical Topology</w:t>
      </w:r>
    </w:p>
    <w:p w14:paraId="34354A7A" w14:textId="77777777" w:rsidR="00DB720A" w:rsidRPr="007C755F" w:rsidRDefault="00DB720A" w:rsidP="009A32DF">
      <w:pPr>
        <w:pStyle w:val="Affiliation"/>
        <w:jc w:val="both"/>
        <w:rPr>
          <w:b/>
          <w:bCs/>
        </w:rPr>
      </w:pPr>
    </w:p>
    <w:p w14:paraId="671FE8FD" w14:textId="7E09FF41" w:rsidR="008E0180" w:rsidRDefault="008E0180" w:rsidP="00600814">
      <w:pPr>
        <w:pStyle w:val="ListParagraph"/>
        <w:numPr>
          <w:ilvl w:val="3"/>
          <w:numId w:val="5"/>
        </w:numPr>
        <w:spacing w:after="80"/>
        <w:rPr>
          <w:szCs w:val="16"/>
        </w:rPr>
      </w:pPr>
      <w:r>
        <w:rPr>
          <w:szCs w:val="16"/>
        </w:rPr>
        <w:t>Service Transition</w:t>
      </w:r>
    </w:p>
    <w:p w14:paraId="343559BD" w14:textId="2921E398" w:rsidR="00C05428" w:rsidRDefault="00C05428" w:rsidP="00C05428">
      <w:pPr>
        <w:spacing w:after="80"/>
        <w:jc w:val="both"/>
        <w:rPr>
          <w:szCs w:val="16"/>
        </w:rPr>
      </w:pPr>
      <w:r>
        <w:rPr>
          <w:szCs w:val="16"/>
        </w:rPr>
        <w:t>This stage of the ITIL lifecycle is where a network simulation model</w:t>
      </w:r>
      <w:r w:rsidR="005B5769">
        <w:rPr>
          <w:szCs w:val="16"/>
        </w:rPr>
        <w:t xml:space="preserve"> </w:t>
      </w:r>
      <w:r w:rsidR="005B5769">
        <w:rPr>
          <w:szCs w:val="16"/>
        </w:rPr>
        <w:fldChar w:fldCharType="begin" w:fldLock="1"/>
      </w:r>
      <w:r w:rsidR="00D90E86">
        <w:rPr>
          <w:szCs w:val="16"/>
        </w:rPr>
        <w:instrText>ADDIN CSL_CITATION {"citationItems":[{"id":"ITEM-1","itemData":{"DOI":"10.1016/j.dss.2011.10.021","ISSN":"01679236","abstract":"This paper presents a decision support system (DSS) for the modeling and management of project risks and risk interactions. This is a crucial activity in project management, as projects are facing a growing complexity with higher uncertainties and tighter constraints. Existing classical methods have limitations for modeling the complexity of project risks. For example, some phenomena like chain reactions and loops are not properly taken into account. This will influence the effectiveness of decisions for risk response planning and will lead to unexpected and undesired behavior in the project. Based on the concepts of DSS and the classical steps of project risk management, we develop an integrated DSS framework including the identification, assessment and analysis of the risk network. In the network, the nodes are the risks and the edges represent the cause and effect potential interactions between risks. The proposed simulation-based model makes it possible to re-evaluate risks and their priorities, to suggest and test mitigation actions, and then to support project manager in making decisions regarding risk response actions. An example of application is provided to illustrate the utility of the model. © 2011 Elsevier B.V. All rights reserved.","author":[{"dropping-particle":"","family":"Fang","given":"Chao","non-dropping-particle":"","parse-names":false,"suffix":""},{"dropping-particle":"","family":"Marle","given":"Franck","non-dropping-particle":"","parse-names":false,"suffix":""}],"container-title":"Decision Support Systems","id":"ITEM-1","issued":{"date-parts":[["2012"]]},"title":"A simulation-based risk network model for decision support in project risk management","type":"article-journal"},"uris":["http://www.mendeley.com/documents/?uuid=99fc5199-b274-4b08-81e3-dba90d51ff87"]}],"mendeley":{"formattedCitation":"[124]","plainTextFormattedCitation":"[124]","previouslyFormattedCitation":"[124]"},"properties":{"noteIndex":0},"schema":"https://github.com/citation-style-language/schema/raw/master/csl-citation.json"}</w:instrText>
      </w:r>
      <w:r w:rsidR="005B5769">
        <w:rPr>
          <w:szCs w:val="16"/>
        </w:rPr>
        <w:fldChar w:fldCharType="separate"/>
      </w:r>
      <w:r w:rsidR="005B5769" w:rsidRPr="005B5769">
        <w:rPr>
          <w:noProof/>
          <w:szCs w:val="16"/>
        </w:rPr>
        <w:t>[124]</w:t>
      </w:r>
      <w:r w:rsidR="005B5769">
        <w:rPr>
          <w:szCs w:val="16"/>
        </w:rPr>
        <w:fldChar w:fldCharType="end"/>
      </w:r>
      <w:r>
        <w:rPr>
          <w:szCs w:val="16"/>
        </w:rPr>
        <w:t xml:space="preserve"> </w:t>
      </w:r>
      <w:r w:rsidR="003F457E">
        <w:rPr>
          <w:szCs w:val="16"/>
        </w:rPr>
        <w:t>of Caribbean Coffee Ltd  proposed ITIL network architecture was</w:t>
      </w:r>
      <w:r>
        <w:rPr>
          <w:szCs w:val="16"/>
        </w:rPr>
        <w:t xml:space="preserve"> created and then </w:t>
      </w:r>
      <w:r w:rsidR="00624A87">
        <w:rPr>
          <w:szCs w:val="16"/>
        </w:rPr>
        <w:t xml:space="preserve">would </w:t>
      </w:r>
      <w:r>
        <w:rPr>
          <w:szCs w:val="16"/>
        </w:rPr>
        <w:t>further tested within a computer laboratory</w:t>
      </w:r>
      <w:r w:rsidR="00624A87">
        <w:rPr>
          <w:szCs w:val="16"/>
        </w:rPr>
        <w:t xml:space="preserve"> in a real life scenario</w:t>
      </w:r>
      <w:r w:rsidR="00FD130E">
        <w:rPr>
          <w:szCs w:val="16"/>
        </w:rPr>
        <w:t xml:space="preserve">. </w:t>
      </w:r>
    </w:p>
    <w:p w14:paraId="67789530" w14:textId="2A179BE5" w:rsidR="000C7EAC" w:rsidRDefault="00D773E7" w:rsidP="000C7EAC">
      <w:pPr>
        <w:spacing w:after="80"/>
        <w:jc w:val="both"/>
        <w:rPr>
          <w:szCs w:val="16"/>
        </w:rPr>
      </w:pPr>
      <w:r>
        <w:t>After utilizing the information gathered from stage 1 and 2 of the ITIL framework a</w:t>
      </w:r>
      <w:r w:rsidR="000C7EAC" w:rsidRPr="000063B2">
        <w:rPr>
          <w:szCs w:val="16"/>
        </w:rPr>
        <w:t xml:space="preserve"> PT. PKT</w:t>
      </w:r>
      <w:r>
        <w:rPr>
          <w:szCs w:val="16"/>
        </w:rPr>
        <w:t xml:space="preserve"> network </w:t>
      </w:r>
      <w:r w:rsidR="000C7EAC">
        <w:rPr>
          <w:szCs w:val="16"/>
        </w:rPr>
        <w:t xml:space="preserve">simulation </w:t>
      </w:r>
      <w:r>
        <w:rPr>
          <w:szCs w:val="16"/>
        </w:rPr>
        <w:t>model</w:t>
      </w:r>
      <w:r w:rsidRPr="000063B2">
        <w:rPr>
          <w:szCs w:val="16"/>
        </w:rPr>
        <w:t xml:space="preserve"> </w:t>
      </w:r>
      <w:r w:rsidR="000C7EAC">
        <w:rPr>
          <w:szCs w:val="16"/>
        </w:rPr>
        <w:t xml:space="preserve">for ‘Caribbean Coffee Ltd’ </w:t>
      </w:r>
      <w:r>
        <w:rPr>
          <w:szCs w:val="16"/>
        </w:rPr>
        <w:t xml:space="preserve">was developed that </w:t>
      </w:r>
      <w:r w:rsidR="000C7EAC" w:rsidRPr="000063B2">
        <w:rPr>
          <w:szCs w:val="16"/>
        </w:rPr>
        <w:t>can be accessed as part of the supporting documents for this paper.</w:t>
      </w:r>
    </w:p>
    <w:p w14:paraId="22170070" w14:textId="6DEACB30" w:rsidR="000C7EAC" w:rsidRPr="00C05428" w:rsidRDefault="000C7EAC" w:rsidP="00C05428">
      <w:pPr>
        <w:spacing w:after="80"/>
        <w:jc w:val="both"/>
        <w:rPr>
          <w:szCs w:val="16"/>
        </w:rPr>
      </w:pPr>
      <w:r>
        <w:rPr>
          <w:szCs w:val="16"/>
        </w:rPr>
        <w:t>Due to PT limitations the VPC</w:t>
      </w:r>
      <w:r w:rsidR="00624A87">
        <w:rPr>
          <w:szCs w:val="16"/>
        </w:rPr>
        <w:t>,</w:t>
      </w:r>
      <w:r>
        <w:rPr>
          <w:szCs w:val="16"/>
        </w:rPr>
        <w:t xml:space="preserve"> its spokes and its services were not implemented along with the testing procedures such as; network metrics; throughput, latency and packet loss to identify any bottlenecks or configuration errors along with a security penetration test</w:t>
      </w:r>
      <w:r w:rsidR="00081818">
        <w:rPr>
          <w:szCs w:val="16"/>
        </w:rPr>
        <w:t xml:space="preserve"> previously</w:t>
      </w:r>
      <w:r>
        <w:rPr>
          <w:szCs w:val="16"/>
        </w:rPr>
        <w:t xml:space="preserve"> discussed </w:t>
      </w:r>
      <w:r w:rsidR="00081818">
        <w:rPr>
          <w:szCs w:val="16"/>
        </w:rPr>
        <w:t xml:space="preserve">in this </w:t>
      </w:r>
      <w:r>
        <w:rPr>
          <w:szCs w:val="16"/>
        </w:rPr>
        <w:t>paper.</w:t>
      </w:r>
      <w:r w:rsidR="006F1F1C">
        <w:rPr>
          <w:szCs w:val="16"/>
        </w:rPr>
        <w:t xml:space="preserve"> The connectivity and limited security </w:t>
      </w:r>
      <w:r w:rsidR="0094442B">
        <w:rPr>
          <w:szCs w:val="16"/>
        </w:rPr>
        <w:t>configurations that</w:t>
      </w:r>
      <w:r w:rsidR="005472A8">
        <w:rPr>
          <w:szCs w:val="16"/>
        </w:rPr>
        <w:t xml:space="preserve"> were implemented within the PT simulation model worked as expected from the design plan within the previous section of this report.</w:t>
      </w:r>
    </w:p>
    <w:p w14:paraId="44DFD491" w14:textId="5BEBA5D0" w:rsidR="008E0180" w:rsidRPr="00D773E7" w:rsidRDefault="008E0180" w:rsidP="00600814">
      <w:pPr>
        <w:pStyle w:val="ListParagraph"/>
        <w:numPr>
          <w:ilvl w:val="3"/>
          <w:numId w:val="5"/>
        </w:numPr>
        <w:spacing w:after="80"/>
        <w:rPr>
          <w:szCs w:val="16"/>
        </w:rPr>
      </w:pPr>
      <w:r w:rsidRPr="00D773E7">
        <w:rPr>
          <w:szCs w:val="16"/>
        </w:rPr>
        <w:t>Service Operation</w:t>
      </w:r>
    </w:p>
    <w:p w14:paraId="6D843D20" w14:textId="07B298E7" w:rsidR="00C40E2A" w:rsidRDefault="00FD130E" w:rsidP="00FD130E">
      <w:pPr>
        <w:spacing w:after="80"/>
        <w:jc w:val="both"/>
        <w:rPr>
          <w:szCs w:val="16"/>
        </w:rPr>
      </w:pPr>
      <w:r>
        <w:rPr>
          <w:szCs w:val="16"/>
        </w:rPr>
        <w:t xml:space="preserve">This stage of the ITIL lifecycle is where the laboratory tested network would be implemented within an organisation </w:t>
      </w:r>
      <w:r w:rsidR="009B2E4E">
        <w:rPr>
          <w:szCs w:val="16"/>
        </w:rPr>
        <w:t>during a</w:t>
      </w:r>
      <w:r>
        <w:rPr>
          <w:szCs w:val="16"/>
        </w:rPr>
        <w:t xml:space="preserve"> maintenance windows such as; during holiday periods, weekends etc when the network is not at full capacity and the office staff are not utilising the network</w:t>
      </w:r>
      <w:r w:rsidR="0069194E">
        <w:rPr>
          <w:szCs w:val="16"/>
        </w:rPr>
        <w:t xml:space="preserve"> and/or a portion of the </w:t>
      </w:r>
      <w:r w:rsidR="00C40E2A">
        <w:rPr>
          <w:szCs w:val="16"/>
        </w:rPr>
        <w:t>network</w:t>
      </w:r>
      <w:r w:rsidR="0069194E">
        <w:rPr>
          <w:szCs w:val="16"/>
        </w:rPr>
        <w:t xml:space="preserve"> i.e. subnet is </w:t>
      </w:r>
      <w:r w:rsidR="00C40E2A">
        <w:rPr>
          <w:szCs w:val="16"/>
        </w:rPr>
        <w:t>implemented</w:t>
      </w:r>
      <w:r w:rsidR="0069194E">
        <w:rPr>
          <w:szCs w:val="16"/>
        </w:rPr>
        <w:t xml:space="preserve"> to test </w:t>
      </w:r>
      <w:r w:rsidR="00C40E2A">
        <w:rPr>
          <w:szCs w:val="16"/>
        </w:rPr>
        <w:t>the network live with end users</w:t>
      </w:r>
      <w:r>
        <w:rPr>
          <w:szCs w:val="16"/>
        </w:rPr>
        <w:t>.</w:t>
      </w:r>
      <w:r w:rsidR="0069194E">
        <w:rPr>
          <w:szCs w:val="16"/>
        </w:rPr>
        <w:t xml:space="preserve"> </w:t>
      </w:r>
    </w:p>
    <w:p w14:paraId="0892A313" w14:textId="77483296" w:rsidR="0069194E" w:rsidRDefault="0069194E" w:rsidP="00FD130E">
      <w:pPr>
        <w:spacing w:after="80"/>
        <w:jc w:val="both"/>
        <w:rPr>
          <w:szCs w:val="16"/>
        </w:rPr>
      </w:pPr>
      <w:r>
        <w:rPr>
          <w:szCs w:val="16"/>
        </w:rPr>
        <w:t xml:space="preserve">This stage is a very important phase of the ITIL lifecycle because even though the network configurations were fully tested within the </w:t>
      </w:r>
      <w:r w:rsidRPr="00C40E2A">
        <w:rPr>
          <w:i/>
          <w:iCs/>
          <w:szCs w:val="16"/>
        </w:rPr>
        <w:t xml:space="preserve">Service Transition </w:t>
      </w:r>
      <w:r>
        <w:rPr>
          <w:szCs w:val="16"/>
        </w:rPr>
        <w:t>stage. There would have been no end users utilising the network which is where most bugs and bottlenecks are highlighted within the network.</w:t>
      </w:r>
    </w:p>
    <w:p w14:paraId="1C69DF3F" w14:textId="3F2CE200" w:rsidR="00FD130E" w:rsidRDefault="009B2E4E" w:rsidP="00FD130E">
      <w:pPr>
        <w:spacing w:after="80"/>
        <w:jc w:val="both"/>
        <w:rPr>
          <w:szCs w:val="16"/>
        </w:rPr>
      </w:pPr>
      <w:r>
        <w:rPr>
          <w:szCs w:val="16"/>
        </w:rPr>
        <w:lastRenderedPageBreak/>
        <w:t>Because this is a fictitious case study along with the time constraints and infrastructure requirements to implement the proposed network. This stage of the ITIL framework was not undertaken</w:t>
      </w:r>
      <w:r w:rsidR="00F73FAD">
        <w:rPr>
          <w:szCs w:val="16"/>
        </w:rPr>
        <w:t xml:space="preserve"> as it is beyond the scope of the research paper.</w:t>
      </w:r>
    </w:p>
    <w:p w14:paraId="37E6E90D" w14:textId="77777777" w:rsidR="00C061FF" w:rsidRPr="00FD130E" w:rsidRDefault="00C061FF" w:rsidP="00FD130E">
      <w:pPr>
        <w:spacing w:after="80"/>
        <w:jc w:val="both"/>
        <w:rPr>
          <w:szCs w:val="16"/>
        </w:rPr>
      </w:pPr>
    </w:p>
    <w:p w14:paraId="342A4464" w14:textId="4CDD1009" w:rsidR="0012549C" w:rsidRPr="00D773E7" w:rsidRDefault="008E0180" w:rsidP="00600814">
      <w:pPr>
        <w:pStyle w:val="ListParagraph"/>
        <w:numPr>
          <w:ilvl w:val="3"/>
          <w:numId w:val="5"/>
        </w:numPr>
        <w:spacing w:after="80"/>
        <w:rPr>
          <w:szCs w:val="16"/>
        </w:rPr>
      </w:pPr>
      <w:r w:rsidRPr="00D773E7">
        <w:rPr>
          <w:szCs w:val="16"/>
        </w:rPr>
        <w:t>Continual Service Improvement</w:t>
      </w:r>
    </w:p>
    <w:p w14:paraId="29C721F8" w14:textId="35B1AABA" w:rsidR="00C40E2A" w:rsidRDefault="007A6ABB" w:rsidP="007A6ABB">
      <w:pPr>
        <w:spacing w:after="80"/>
        <w:jc w:val="both"/>
        <w:rPr>
          <w:szCs w:val="16"/>
        </w:rPr>
      </w:pPr>
      <w:r>
        <w:rPr>
          <w:szCs w:val="16"/>
        </w:rPr>
        <w:t>Th</w:t>
      </w:r>
      <w:r w:rsidR="00FD13FA">
        <w:rPr>
          <w:szCs w:val="16"/>
        </w:rPr>
        <w:t>e final</w:t>
      </w:r>
      <w:r>
        <w:rPr>
          <w:szCs w:val="16"/>
        </w:rPr>
        <w:t xml:space="preserve"> stage of the ITIL lifecycle focuses on continual monitoring and improvements of the system by the network administrator of the company.</w:t>
      </w:r>
    </w:p>
    <w:p w14:paraId="2B050673" w14:textId="175A1FE4" w:rsidR="007A6ABB" w:rsidRDefault="007A6ABB" w:rsidP="007A6ABB">
      <w:pPr>
        <w:spacing w:after="80"/>
        <w:jc w:val="both"/>
        <w:rPr>
          <w:szCs w:val="16"/>
        </w:rPr>
      </w:pPr>
      <w:r>
        <w:rPr>
          <w:szCs w:val="16"/>
        </w:rPr>
        <w:t>‘SolarWinds’</w:t>
      </w:r>
      <w:r w:rsidR="00D90E86">
        <w:rPr>
          <w:szCs w:val="16"/>
        </w:rPr>
        <w:t xml:space="preserve"> </w:t>
      </w:r>
      <w:r w:rsidR="00D90E86">
        <w:rPr>
          <w:szCs w:val="16"/>
        </w:rPr>
        <w:fldChar w:fldCharType="begin" w:fldLock="1"/>
      </w:r>
      <w:r w:rsidR="00D90E86">
        <w:rPr>
          <w:szCs w:val="16"/>
        </w:rPr>
        <w:instrText>ADDIN CSL_CITATION {"citationItems":[{"id":"ITEM-1","itemData":{"abstract":"SolarWinds","author":[{"dropping-particle":"","family":"SolarWinds","given":"","non-dropping-particle":"","parse-names":false,"suffix":""}],"id":"ITEM-1","issued":{"date-parts":[["0"]]},"title":"SolarWinds Overview Brochure - Datasheet | SolarWinds","type":"article-journal"},"uris":["http://www.mendeley.com/documents/?uuid=6c57ce42-3279-354d-9bfe-975a7b57b7a3"]}],"mendeley":{"formattedCitation":"[125]","plainTextFormattedCitation":"[125]","previouslyFormattedCitation":"[125]"},"properties":{"noteIndex":0},"schema":"https://github.com/citation-style-language/schema/raw/master/csl-citation.json"}</w:instrText>
      </w:r>
      <w:r w:rsidR="00D90E86">
        <w:rPr>
          <w:szCs w:val="16"/>
        </w:rPr>
        <w:fldChar w:fldCharType="separate"/>
      </w:r>
      <w:r w:rsidR="00D90E86" w:rsidRPr="00D90E86">
        <w:rPr>
          <w:noProof/>
          <w:szCs w:val="16"/>
        </w:rPr>
        <w:t>[125]</w:t>
      </w:r>
      <w:r w:rsidR="00D90E86">
        <w:rPr>
          <w:szCs w:val="16"/>
        </w:rPr>
        <w:fldChar w:fldCharType="end"/>
      </w:r>
      <w:r>
        <w:rPr>
          <w:szCs w:val="16"/>
        </w:rPr>
        <w:t xml:space="preserve"> network monitoring software would be recommended to be implemented within the organisations network because it is the industry leader within the network monitoring </w:t>
      </w:r>
      <w:r w:rsidR="00D90E86">
        <w:rPr>
          <w:szCs w:val="16"/>
        </w:rPr>
        <w:t xml:space="preserve">software </w:t>
      </w:r>
      <w:r>
        <w:rPr>
          <w:szCs w:val="16"/>
        </w:rPr>
        <w:t xml:space="preserve">sector that has the capabilities to monitor WLAN, LAN and cloud implementations within </w:t>
      </w:r>
      <w:r w:rsidR="00C061FF">
        <w:rPr>
          <w:szCs w:val="16"/>
        </w:rPr>
        <w:t>a network</w:t>
      </w:r>
      <w:r>
        <w:rPr>
          <w:szCs w:val="16"/>
        </w:rPr>
        <w:t xml:space="preserve"> which fits the criteria for ‘Caribbean Coffee Ltd’ network scope.</w:t>
      </w:r>
    </w:p>
    <w:p w14:paraId="188CE4CC" w14:textId="783D161F" w:rsidR="007A6ABB" w:rsidRDefault="007A6ABB" w:rsidP="007A6ABB">
      <w:pPr>
        <w:spacing w:after="80"/>
        <w:jc w:val="both"/>
        <w:rPr>
          <w:szCs w:val="16"/>
        </w:rPr>
      </w:pPr>
      <w:r>
        <w:rPr>
          <w:szCs w:val="16"/>
        </w:rPr>
        <w:t xml:space="preserve">SolarWinds proactively monitors all devices and user activity within a network which then prioritises the level of threat and the </w:t>
      </w:r>
      <w:r w:rsidR="005F4745">
        <w:rPr>
          <w:szCs w:val="16"/>
        </w:rPr>
        <w:t>severity to</w:t>
      </w:r>
      <w:r>
        <w:rPr>
          <w:szCs w:val="16"/>
        </w:rPr>
        <w:t xml:space="preserve"> the network. The monitoring alarms are</w:t>
      </w:r>
      <w:r w:rsidR="00FD13FA">
        <w:rPr>
          <w:szCs w:val="16"/>
        </w:rPr>
        <w:t xml:space="preserve"> then</w:t>
      </w:r>
      <w:r>
        <w:rPr>
          <w:szCs w:val="16"/>
        </w:rPr>
        <w:t xml:space="preserve"> sen</w:t>
      </w:r>
      <w:r w:rsidR="00FD13FA">
        <w:rPr>
          <w:szCs w:val="16"/>
        </w:rPr>
        <w:t>t</w:t>
      </w:r>
      <w:r>
        <w:rPr>
          <w:szCs w:val="16"/>
        </w:rPr>
        <w:t xml:space="preserve"> to the network administers via a notification system that can be </w:t>
      </w:r>
      <w:r w:rsidR="00FD13FA">
        <w:rPr>
          <w:szCs w:val="16"/>
        </w:rPr>
        <w:t>configured</w:t>
      </w:r>
      <w:r>
        <w:rPr>
          <w:szCs w:val="16"/>
        </w:rPr>
        <w:t xml:space="preserve"> for E-Mail and</w:t>
      </w:r>
      <w:r w:rsidR="00FD13FA">
        <w:rPr>
          <w:szCs w:val="16"/>
        </w:rPr>
        <w:t>/or</w:t>
      </w:r>
      <w:r>
        <w:rPr>
          <w:szCs w:val="16"/>
        </w:rPr>
        <w:t xml:space="preserve"> mobile phone text message alert so that the issue</w:t>
      </w:r>
      <w:r w:rsidR="00C47C72">
        <w:rPr>
          <w:szCs w:val="16"/>
        </w:rPr>
        <w:t>(</w:t>
      </w:r>
      <w:r>
        <w:rPr>
          <w:szCs w:val="16"/>
        </w:rPr>
        <w:t>s</w:t>
      </w:r>
      <w:r w:rsidR="00C47C72">
        <w:rPr>
          <w:szCs w:val="16"/>
        </w:rPr>
        <w:t>)</w:t>
      </w:r>
      <w:r>
        <w:rPr>
          <w:szCs w:val="16"/>
        </w:rPr>
        <w:t xml:space="preserve"> can be negated</w:t>
      </w:r>
      <w:r w:rsidR="00FD13FA">
        <w:rPr>
          <w:szCs w:val="16"/>
        </w:rPr>
        <w:t xml:space="preserve"> immediately</w:t>
      </w:r>
      <w:r>
        <w:rPr>
          <w:szCs w:val="16"/>
        </w:rPr>
        <w:t>.</w:t>
      </w:r>
      <w:r w:rsidR="00D90E86">
        <w:rPr>
          <w:szCs w:val="16"/>
        </w:rPr>
        <w:t xml:space="preserve"> </w:t>
      </w:r>
      <w:r w:rsidR="00D90E86">
        <w:rPr>
          <w:szCs w:val="16"/>
        </w:rPr>
        <w:fldChar w:fldCharType="begin" w:fldLock="1"/>
      </w:r>
      <w:r w:rsidR="002C4D00">
        <w:rPr>
          <w:szCs w:val="16"/>
        </w:rPr>
        <w:instrText>ADDIN CSL_CITATION {"citationItems":[{"id":"ITEM-1","itemData":{"abstract":"Reduce unnecessary network alerts and get to the heart of the problem with SolarWinds NPM - try for yourself by downloading a free 30-day trial.","author":[{"dropping-particle":"","family":"SolarWinds","given":"","non-dropping-particle":"","parse-names":false,"suffix":""}],"id":"ITEM-1","issued":{"date-parts":[["0"]]},"title":"Network Monitoring Alerts - Network Notification Software | SolarWinds","type":"article-journal"},"uris":["http://www.mendeley.com/documents/?uuid=bfc9d54d-9ea4-3a9b-abad-b90f550040a0"]}],"mendeley":{"formattedCitation":"[126]","plainTextFormattedCitation":"[126]","previouslyFormattedCitation":"[126]"},"properties":{"noteIndex":0},"schema":"https://github.com/citation-style-language/schema/raw/master/csl-citation.json"}</w:instrText>
      </w:r>
      <w:r w:rsidR="00D90E86">
        <w:rPr>
          <w:szCs w:val="16"/>
        </w:rPr>
        <w:fldChar w:fldCharType="separate"/>
      </w:r>
      <w:r w:rsidR="00D90E86" w:rsidRPr="00D90E86">
        <w:rPr>
          <w:noProof/>
          <w:szCs w:val="16"/>
        </w:rPr>
        <w:t>[126]</w:t>
      </w:r>
      <w:r w:rsidR="00D90E86">
        <w:rPr>
          <w:szCs w:val="16"/>
        </w:rPr>
        <w:fldChar w:fldCharType="end"/>
      </w:r>
    </w:p>
    <w:p w14:paraId="591C317E" w14:textId="520C1826" w:rsidR="005F4745" w:rsidRDefault="007A6ABB" w:rsidP="007A6ABB">
      <w:pPr>
        <w:spacing w:after="80"/>
        <w:jc w:val="both"/>
        <w:rPr>
          <w:szCs w:val="16"/>
        </w:rPr>
      </w:pPr>
      <w:r>
        <w:rPr>
          <w:szCs w:val="16"/>
        </w:rPr>
        <w:t xml:space="preserve">Utilising network monitoring software not only allows a company to uphold its SLA </w:t>
      </w:r>
      <w:r w:rsidR="005F4745">
        <w:rPr>
          <w:szCs w:val="16"/>
        </w:rPr>
        <w:t>commitments</w:t>
      </w:r>
      <w:r>
        <w:rPr>
          <w:szCs w:val="16"/>
        </w:rPr>
        <w:t xml:space="preserve"> to customers/clients but </w:t>
      </w:r>
      <w:r w:rsidR="002C4D00">
        <w:rPr>
          <w:szCs w:val="16"/>
        </w:rPr>
        <w:t xml:space="preserve">it </w:t>
      </w:r>
      <w:r>
        <w:rPr>
          <w:szCs w:val="16"/>
        </w:rPr>
        <w:t xml:space="preserve">also allows </w:t>
      </w:r>
      <w:r w:rsidR="005F4745">
        <w:rPr>
          <w:szCs w:val="16"/>
        </w:rPr>
        <w:t xml:space="preserve">network engineers to continuously improve and harden the systems cybersecurity to evolving </w:t>
      </w:r>
      <w:r w:rsidR="00C47C72">
        <w:rPr>
          <w:szCs w:val="16"/>
        </w:rPr>
        <w:t xml:space="preserve">future </w:t>
      </w:r>
      <w:r w:rsidR="005F4745">
        <w:rPr>
          <w:szCs w:val="16"/>
        </w:rPr>
        <w:t xml:space="preserve">threats that may create </w:t>
      </w:r>
      <w:r w:rsidR="00C47C72">
        <w:rPr>
          <w:szCs w:val="16"/>
        </w:rPr>
        <w:t>vulnerabilities</w:t>
      </w:r>
      <w:r w:rsidR="005F4745">
        <w:rPr>
          <w:szCs w:val="16"/>
        </w:rPr>
        <w:t xml:space="preserve"> within the current network architecture</w:t>
      </w:r>
      <w:r w:rsidR="00C47C72">
        <w:rPr>
          <w:szCs w:val="16"/>
        </w:rPr>
        <w:t xml:space="preserve"> and/or configurations</w:t>
      </w:r>
      <w:r w:rsidR="005F4745">
        <w:rPr>
          <w:szCs w:val="16"/>
        </w:rPr>
        <w:t>.</w:t>
      </w:r>
    </w:p>
    <w:p w14:paraId="185329A4" w14:textId="0D76FAE9" w:rsidR="00FD13FA" w:rsidRDefault="005F4745" w:rsidP="008100D0">
      <w:pPr>
        <w:spacing w:after="80"/>
        <w:jc w:val="both"/>
        <w:rPr>
          <w:szCs w:val="16"/>
        </w:rPr>
      </w:pPr>
      <w:r>
        <w:rPr>
          <w:szCs w:val="16"/>
        </w:rPr>
        <w:t>Furthermore, network monitoring software can also aid within locating a vulnerability and or malicious actor in the event the network was breached by analysing the security logs and notifications the software produces.</w:t>
      </w:r>
      <w:r w:rsidR="002C4D00">
        <w:rPr>
          <w:szCs w:val="16"/>
        </w:rPr>
        <w:t xml:space="preserve"> </w:t>
      </w:r>
      <w:r w:rsidR="002C4D00">
        <w:rPr>
          <w:szCs w:val="16"/>
        </w:rPr>
        <w:fldChar w:fldCharType="begin" w:fldLock="1"/>
      </w:r>
      <w:r w:rsidR="007B757A">
        <w:rPr>
          <w:szCs w:val="16"/>
        </w:rPr>
        <w:instrText>ADDIN CSL_CITATION {"citationItems":[{"id":"ITEM-1","itemData":{"abstract":"Reduce unnecessary network alerts and get to the heart of the problem with SolarWinds NPM - try for yourself by downloading a free 30-day trial.","author":[{"dropping-particle":"","family":"SolarWinds","given":"","non-dropping-particle":"","parse-names":false,"suffix":""}],"id":"ITEM-1","issued":{"date-parts":[["0"]]},"title":"Network Monitoring Alerts - Network Notification Software | SolarWinds","type":"article-journal"},"uris":["http://www.mendeley.com/documents/?uuid=bfc9d54d-9ea4-3a9b-abad-b90f550040a0"]}],"mendeley":{"formattedCitation":"[126]","plainTextFormattedCitation":"[126]","previouslyFormattedCitation":"[126]"},"properties":{"noteIndex":0},"schema":"https://github.com/citation-style-language/schema/raw/master/csl-citation.json"}</w:instrText>
      </w:r>
      <w:r w:rsidR="002C4D00">
        <w:rPr>
          <w:szCs w:val="16"/>
        </w:rPr>
        <w:fldChar w:fldCharType="separate"/>
      </w:r>
      <w:r w:rsidR="002C4D00" w:rsidRPr="002C4D00">
        <w:rPr>
          <w:noProof/>
          <w:szCs w:val="16"/>
        </w:rPr>
        <w:t>[126]</w:t>
      </w:r>
      <w:r w:rsidR="002C4D00">
        <w:rPr>
          <w:szCs w:val="16"/>
        </w:rPr>
        <w:fldChar w:fldCharType="end"/>
      </w:r>
      <w:r w:rsidR="002C4D00">
        <w:rPr>
          <w:szCs w:val="16"/>
        </w:rPr>
        <w:fldChar w:fldCharType="begin" w:fldLock="1"/>
      </w:r>
      <w:r w:rsidR="002C4D00">
        <w:rPr>
          <w:szCs w:val="16"/>
        </w:rPr>
        <w:instrText>ADDIN CSL_CITATION {"citationItems":[{"id":"ITEM-1","itemData":{"abstract":"Many organizations struggle to architect and implement adequate network infrastructures to optimize network security monitoring. This challenge often leads to data loss with regards to monitored traffic and security events, increased cost in new hardware and technology needed to address monitoring gaps, and additional Information Security personnel to keep up with the overwhelming number of security alerts. Organizations spend a lot of time, effort, and money deploying the latest and greatest tools without ever ad... Abstract Many organizations struggle to architect and implement adequate network infrastructures to optimize network security monitoring. This challenge often leads to data loss with regards to monitored traffic and security events, increased cost in new hardware and technology needed to address monitoring gaps, and additional Information Security personnel to keep up with the overwhelming number of security alerts. Organizations spend a lot of time, effort, and money deploying the latest and greatest tools without ever addressing the fundamental problem of adequate network security design. This paper provides a best practice approach to designing and building scalable and repeatable infrastructure security architectures to optimize network security monitoring. It will expand on four network security domains including network segmentation, intrusion detection and prevention, security event logging, and packet capturing. The goal is a visual representation of an infrastructure security architecture that will allow stakeholders to understand how to architect their networks to address monitoring gaps and protect their organizations. 2 Luciana Obregon, lucianaobregon@hotmail.com","author":[{"dropping-particle":"","family":"Obregon","given":"Luciana","non-dropping-particle":"","parse-names":false,"suffix":""}],"container-title":"sans.org","id":"ITEM-1","issued":{"date-parts":[["2015"]]},"title":"Infrastructure Security Architecture for Effective Security Monitoring Infrastructure Security Architecture for Effective Security Monitoring GIAC (GCIA) Gold Certification","type":"article-journal"},"uris":["http://www.mendeley.com/documents/?uuid=67150e39-7ad6-450b-b2ca-b1153ca01fcb"]},{"id":"ITEM-2","itemData":{"URL":"https://www.cisco.com/c/en/us/tech/network-management/network-monitoring/index.html","abstract":"Cisco net mon","accessed":{"date-parts":[["2019","1","22"]]},"author":[{"dropping-particle":"","family":"Cisco","given":"","non-dropping-particle":"","parse-names":false,"suffix":""}],"id":"ITEM-2","issued":{"date-parts":[["0"]]},"title":"Network Monitoring - Cisco","type":"webpage"},"uris":["http://www.mendeley.com/documents/?uuid=d0e2bf9a-72ca-311c-94f1-ebcbd832d7d4"]}],"mendeley":{"formattedCitation":"[127], [128]","plainTextFormattedCitation":"[127], [128]","previouslyFormattedCitation":"[127], [128]"},"properties":{"noteIndex":0},"schema":"https://github.com/citation-style-language/schema/raw/master/csl-citation.json"}</w:instrText>
      </w:r>
      <w:r w:rsidR="002C4D00">
        <w:rPr>
          <w:szCs w:val="16"/>
        </w:rPr>
        <w:fldChar w:fldCharType="separate"/>
      </w:r>
      <w:r w:rsidR="002C4D00" w:rsidRPr="002C4D00">
        <w:rPr>
          <w:noProof/>
          <w:szCs w:val="16"/>
        </w:rPr>
        <w:t>[127], [128]</w:t>
      </w:r>
      <w:r w:rsidR="002C4D00">
        <w:rPr>
          <w:szCs w:val="16"/>
        </w:rPr>
        <w:fldChar w:fldCharType="end"/>
      </w:r>
    </w:p>
    <w:p w14:paraId="514FF1A6" w14:textId="77777777" w:rsidR="00E50603" w:rsidRDefault="00E50603" w:rsidP="00E50603">
      <w:pPr>
        <w:spacing w:after="80" w:line="72" w:lineRule="auto"/>
        <w:jc w:val="both"/>
        <w:rPr>
          <w:szCs w:val="16"/>
        </w:rPr>
      </w:pPr>
    </w:p>
    <w:p w14:paraId="5B6D493B" w14:textId="6E421935" w:rsidR="00734EE4" w:rsidRPr="00734EE4" w:rsidRDefault="00734EE4" w:rsidP="00734EE4">
      <w:pPr>
        <w:pStyle w:val="ListParagraph"/>
        <w:spacing w:after="80"/>
        <w:rPr>
          <w:sz w:val="24"/>
        </w:rPr>
      </w:pPr>
      <w:r w:rsidRPr="00734EE4">
        <w:rPr>
          <w:sz w:val="24"/>
        </w:rPr>
        <w:t>Summary of Section</w:t>
      </w:r>
    </w:p>
    <w:p w14:paraId="75E7F0CB" w14:textId="5A292B09" w:rsidR="002630B7" w:rsidRDefault="00734EE4" w:rsidP="008100D0">
      <w:pPr>
        <w:spacing w:after="80"/>
        <w:jc w:val="both"/>
        <w:rPr>
          <w:szCs w:val="16"/>
        </w:rPr>
      </w:pPr>
      <w:r>
        <w:rPr>
          <w:szCs w:val="16"/>
        </w:rPr>
        <w:t xml:space="preserve">The final stage of the ITIL framework </w:t>
      </w:r>
      <w:r w:rsidR="00972766">
        <w:rPr>
          <w:szCs w:val="16"/>
        </w:rPr>
        <w:t xml:space="preserve">and ISO 270017-270019 security standard </w:t>
      </w:r>
      <w:r>
        <w:rPr>
          <w:szCs w:val="16"/>
        </w:rPr>
        <w:t>completes the</w:t>
      </w:r>
      <w:r w:rsidR="00972766">
        <w:rPr>
          <w:szCs w:val="16"/>
        </w:rPr>
        <w:t xml:space="preserve"> data</w:t>
      </w:r>
      <w:r>
        <w:rPr>
          <w:szCs w:val="16"/>
        </w:rPr>
        <w:t xml:space="preserve"> security of the vast </w:t>
      </w:r>
      <w:r w:rsidR="009F312F">
        <w:rPr>
          <w:szCs w:val="16"/>
        </w:rPr>
        <w:t>amount of</w:t>
      </w:r>
      <w:r>
        <w:rPr>
          <w:szCs w:val="16"/>
        </w:rPr>
        <w:t xml:space="preserve"> controls applied</w:t>
      </w:r>
      <w:r w:rsidR="00972766">
        <w:rPr>
          <w:szCs w:val="16"/>
        </w:rPr>
        <w:t xml:space="preserve"> using various technologies to robustly secure</w:t>
      </w:r>
      <w:r>
        <w:rPr>
          <w:szCs w:val="16"/>
        </w:rPr>
        <w:t xml:space="preserve"> the assets that encompasses all </w:t>
      </w:r>
      <w:r w:rsidR="00E50603">
        <w:rPr>
          <w:szCs w:val="16"/>
        </w:rPr>
        <w:t>of ‘</w:t>
      </w:r>
      <w:r>
        <w:rPr>
          <w:szCs w:val="16"/>
        </w:rPr>
        <w:t>Caribbean Coffee Ltd’ requirements for secure business functionality</w:t>
      </w:r>
      <w:r w:rsidR="002630B7">
        <w:rPr>
          <w:szCs w:val="16"/>
        </w:rPr>
        <w:t xml:space="preserve">. </w:t>
      </w:r>
    </w:p>
    <w:p w14:paraId="55F3BB2E" w14:textId="240C66F3" w:rsidR="00734EE4" w:rsidRDefault="00AF051E" w:rsidP="008100D0">
      <w:pPr>
        <w:spacing w:after="80"/>
        <w:jc w:val="both"/>
        <w:rPr>
          <w:szCs w:val="16"/>
        </w:rPr>
      </w:pPr>
      <w:r>
        <w:rPr>
          <w:szCs w:val="16"/>
        </w:rPr>
        <w:t xml:space="preserve">Therefore, after creating a robust ISMS framework for </w:t>
      </w:r>
      <w:r w:rsidR="002630B7">
        <w:rPr>
          <w:szCs w:val="16"/>
        </w:rPr>
        <w:t>‘Caribbean Coffee Ltd’</w:t>
      </w:r>
      <w:r w:rsidR="00734EE4">
        <w:rPr>
          <w:szCs w:val="16"/>
        </w:rPr>
        <w:t xml:space="preserve"> </w:t>
      </w:r>
      <w:r>
        <w:rPr>
          <w:szCs w:val="16"/>
        </w:rPr>
        <w:t>the company</w:t>
      </w:r>
      <w:r w:rsidR="00734EE4">
        <w:rPr>
          <w:szCs w:val="16"/>
        </w:rPr>
        <w:t xml:space="preserve"> has a </w:t>
      </w:r>
      <w:r w:rsidR="00972766">
        <w:rPr>
          <w:szCs w:val="16"/>
        </w:rPr>
        <w:t>vigorous</w:t>
      </w:r>
      <w:r w:rsidR="00734EE4">
        <w:rPr>
          <w:szCs w:val="16"/>
        </w:rPr>
        <w:t xml:space="preserve"> cloud security and BYOD architecture</w:t>
      </w:r>
      <w:r w:rsidR="00972766">
        <w:rPr>
          <w:szCs w:val="16"/>
        </w:rPr>
        <w:t xml:space="preserve">, </w:t>
      </w:r>
      <w:r w:rsidR="007307B0">
        <w:rPr>
          <w:szCs w:val="16"/>
        </w:rPr>
        <w:t xml:space="preserve">along with </w:t>
      </w:r>
      <w:r w:rsidR="00972766">
        <w:rPr>
          <w:szCs w:val="16"/>
        </w:rPr>
        <w:t>the safety net</w:t>
      </w:r>
      <w:r w:rsidR="007307B0">
        <w:rPr>
          <w:szCs w:val="16"/>
        </w:rPr>
        <w:t xml:space="preserve"> of cybersecurity insurance</w:t>
      </w:r>
      <w:r w:rsidR="00972766">
        <w:rPr>
          <w:szCs w:val="16"/>
        </w:rPr>
        <w:t xml:space="preserve"> for full compliance with the ITIL and ISO 270017-18 standard</w:t>
      </w:r>
      <w:r w:rsidR="007307B0">
        <w:rPr>
          <w:szCs w:val="16"/>
        </w:rPr>
        <w:t xml:space="preserve"> to protect </w:t>
      </w:r>
      <w:r w:rsidR="00972766">
        <w:rPr>
          <w:szCs w:val="16"/>
        </w:rPr>
        <w:t>the</w:t>
      </w:r>
      <w:r w:rsidR="007307B0">
        <w:rPr>
          <w:szCs w:val="16"/>
        </w:rPr>
        <w:t xml:space="preserve"> companies economic assets</w:t>
      </w:r>
      <w:r w:rsidR="00972766">
        <w:rPr>
          <w:szCs w:val="16"/>
        </w:rPr>
        <w:t>,</w:t>
      </w:r>
      <w:r w:rsidR="007307B0">
        <w:rPr>
          <w:szCs w:val="16"/>
        </w:rPr>
        <w:t xml:space="preserve"> so that they </w:t>
      </w:r>
      <w:r>
        <w:rPr>
          <w:szCs w:val="16"/>
        </w:rPr>
        <w:t>can continue</w:t>
      </w:r>
      <w:r w:rsidR="00734EE4">
        <w:rPr>
          <w:szCs w:val="16"/>
        </w:rPr>
        <w:t xml:space="preserve"> </w:t>
      </w:r>
      <w:r w:rsidR="00972766">
        <w:rPr>
          <w:szCs w:val="16"/>
        </w:rPr>
        <w:t>their</w:t>
      </w:r>
      <w:r w:rsidR="00734EE4">
        <w:rPr>
          <w:szCs w:val="16"/>
        </w:rPr>
        <w:t xml:space="preserve"> business and </w:t>
      </w:r>
      <w:r w:rsidR="00972766">
        <w:rPr>
          <w:szCs w:val="16"/>
        </w:rPr>
        <w:t>expand</w:t>
      </w:r>
      <w:r w:rsidR="00734EE4">
        <w:rPr>
          <w:szCs w:val="16"/>
        </w:rPr>
        <w:t xml:space="preserve"> their companies portfolio</w:t>
      </w:r>
      <w:r w:rsidR="00972766">
        <w:rPr>
          <w:szCs w:val="16"/>
        </w:rPr>
        <w:t xml:space="preserve"> for future growth</w:t>
      </w:r>
      <w:r>
        <w:rPr>
          <w:szCs w:val="16"/>
        </w:rPr>
        <w:t xml:space="preserve"> and continuous improvement of the business network</w:t>
      </w:r>
      <w:r w:rsidR="007307B0">
        <w:rPr>
          <w:szCs w:val="16"/>
        </w:rPr>
        <w:t xml:space="preserve">. The BYOD scheme will </w:t>
      </w:r>
      <w:r w:rsidR="00734EE4">
        <w:rPr>
          <w:szCs w:val="16"/>
        </w:rPr>
        <w:t xml:space="preserve">also </w:t>
      </w:r>
      <w:r w:rsidR="007307B0">
        <w:rPr>
          <w:szCs w:val="16"/>
        </w:rPr>
        <w:t>make the company</w:t>
      </w:r>
      <w:r w:rsidR="00734EE4">
        <w:rPr>
          <w:szCs w:val="16"/>
        </w:rPr>
        <w:t xml:space="preserve"> a much more attractive place to work for professionals within industry. </w:t>
      </w:r>
    </w:p>
    <w:p w14:paraId="0AD64B87" w14:textId="77777777" w:rsidR="00E50603" w:rsidRPr="004D0D41" w:rsidRDefault="00E50603" w:rsidP="00E50603">
      <w:pPr>
        <w:spacing w:after="80" w:line="72" w:lineRule="auto"/>
        <w:jc w:val="both"/>
        <w:rPr>
          <w:szCs w:val="16"/>
        </w:rPr>
      </w:pPr>
    </w:p>
    <w:p w14:paraId="23BC309D" w14:textId="2290C295" w:rsidR="00004D49" w:rsidRPr="00004D49" w:rsidRDefault="00313D38" w:rsidP="00600814">
      <w:pPr>
        <w:pStyle w:val="Heading1"/>
        <w:numPr>
          <w:ilvl w:val="0"/>
          <w:numId w:val="5"/>
        </w:numPr>
        <w:spacing w:before="0"/>
        <w:rPr>
          <w:sz w:val="24"/>
        </w:rPr>
      </w:pPr>
      <w:r>
        <w:rPr>
          <w:sz w:val="24"/>
        </w:rPr>
        <w:t>Conclusions</w:t>
      </w:r>
    </w:p>
    <w:p w14:paraId="05A1CA22" w14:textId="6F5A433A" w:rsidR="00004D49" w:rsidRPr="00465298" w:rsidRDefault="00004D49" w:rsidP="00004D49">
      <w:pPr>
        <w:pStyle w:val="Affiliation"/>
        <w:jc w:val="both"/>
      </w:pPr>
      <w:r w:rsidRPr="00465298">
        <w:t xml:space="preserve">Although ISO 27000 is a very granular and robust </w:t>
      </w:r>
      <w:r w:rsidR="004F4528" w:rsidRPr="00465298">
        <w:t>universal</w:t>
      </w:r>
      <w:r w:rsidR="00A14FAE" w:rsidRPr="00465298">
        <w:t xml:space="preserve"> </w:t>
      </w:r>
      <w:r w:rsidRPr="00465298">
        <w:t>standard, it can be very complex to navigate and expensive</w:t>
      </w:r>
      <w:r w:rsidR="004F4528" w:rsidRPr="00465298">
        <w:t xml:space="preserve"> to </w:t>
      </w:r>
      <w:r w:rsidR="009B10BE" w:rsidRPr="00465298">
        <w:t>certify</w:t>
      </w:r>
      <w:r w:rsidRPr="00465298">
        <w:t xml:space="preserve"> for SME around the globe whom do not have the budget </w:t>
      </w:r>
      <w:r w:rsidRPr="00465298">
        <w:t xml:space="preserve">and/or expertise to meet the specific requirements along with </w:t>
      </w:r>
      <w:r w:rsidR="004F4528" w:rsidRPr="00465298">
        <w:t>having the knowledge</w:t>
      </w:r>
      <w:r w:rsidRPr="00465298">
        <w:t xml:space="preserve"> to</w:t>
      </w:r>
      <w:r w:rsidR="004F4528" w:rsidRPr="00465298">
        <w:t xml:space="preserve"> be able</w:t>
      </w:r>
      <w:r w:rsidRPr="00465298">
        <w:t xml:space="preserve"> </w:t>
      </w:r>
      <w:r w:rsidR="000C5CF3" w:rsidRPr="00465298">
        <w:t>navigate</w:t>
      </w:r>
      <w:r w:rsidRPr="00465298">
        <w:t xml:space="preserve"> the</w:t>
      </w:r>
      <w:r w:rsidR="000C5CF3" w:rsidRPr="00465298">
        <w:t xml:space="preserve"> vast amount of</w:t>
      </w:r>
      <w:r w:rsidRPr="00465298">
        <w:t xml:space="preserve"> controls to a high standard </w:t>
      </w:r>
      <w:r w:rsidR="000C5CF3" w:rsidRPr="00465298">
        <w:t xml:space="preserve">and then implement the correct controls </w:t>
      </w:r>
      <w:r w:rsidRPr="00465298">
        <w:t xml:space="preserve">once </w:t>
      </w:r>
      <w:r w:rsidR="000C5CF3" w:rsidRPr="00465298">
        <w:t>identified</w:t>
      </w:r>
      <w:r w:rsidR="004F4528" w:rsidRPr="00465298">
        <w:t xml:space="preserve"> to suit the businesses requirements</w:t>
      </w:r>
      <w:r w:rsidR="000C5CF3" w:rsidRPr="00465298">
        <w:t>. T</w:t>
      </w:r>
      <w:r w:rsidRPr="00465298">
        <w:t xml:space="preserve">hat is why </w:t>
      </w:r>
      <w:r w:rsidR="000C5CF3" w:rsidRPr="00465298">
        <w:t xml:space="preserve">ISO27000 series is </w:t>
      </w:r>
      <w:r w:rsidRPr="00465298">
        <w:t xml:space="preserve">mostly utilized by large corporation whom handle large quantities of public and/or private sensitive data each day from multiple locations around the globe </w:t>
      </w:r>
      <w:r w:rsidR="002420B1" w:rsidRPr="00465298">
        <w:t>within</w:t>
      </w:r>
      <w:r w:rsidRPr="00465298">
        <w:t xml:space="preserve"> their datacenters</w:t>
      </w:r>
      <w:r w:rsidR="002420B1" w:rsidRPr="00465298">
        <w:t xml:space="preserve">, </w:t>
      </w:r>
      <w:r w:rsidRPr="00465298">
        <w:t xml:space="preserve">such as leading CSP; Amazon, Microsoft Azure and Google along with large social media platforms like; Facebook, Instagram and Twitter </w:t>
      </w:r>
      <w:r w:rsidR="002420B1" w:rsidRPr="00465298">
        <w:t xml:space="preserve">along with </w:t>
      </w:r>
      <w:r w:rsidRPr="00465298">
        <w:t>government departments handling highly sensitive data</w:t>
      </w:r>
      <w:r w:rsidR="002420B1" w:rsidRPr="00465298">
        <w:t xml:space="preserve"> within their highly unique networks</w:t>
      </w:r>
      <w:r w:rsidRPr="00465298">
        <w:t xml:space="preserve"> such as the; Driving Vehicle Licensing Agency (DVLA) based within Swansea, UK.</w:t>
      </w:r>
      <w:r w:rsidR="004F4528" w:rsidRPr="00465298">
        <w:t xml:space="preserve"> The companies and organizations have the time and money to invest, to employ professional ISMS project managers to create a robust customized ISMS from the ISO 27000 guidelines.</w:t>
      </w:r>
    </w:p>
    <w:p w14:paraId="2AD43EB0" w14:textId="77777777" w:rsidR="00004D49" w:rsidRPr="00465298" w:rsidRDefault="00004D49" w:rsidP="00004D49">
      <w:pPr>
        <w:pStyle w:val="Affiliation"/>
        <w:jc w:val="both"/>
      </w:pPr>
    </w:p>
    <w:p w14:paraId="2B75B297" w14:textId="75D927A1" w:rsidR="00004D49" w:rsidRPr="00465298" w:rsidRDefault="00004D49" w:rsidP="00004D49">
      <w:pPr>
        <w:pStyle w:val="Affiliation"/>
        <w:jc w:val="both"/>
      </w:pPr>
      <w:r w:rsidRPr="00465298">
        <w:t xml:space="preserve">That’s why a framework such as ITIL </w:t>
      </w:r>
      <w:r w:rsidR="004F4528" w:rsidRPr="00465298">
        <w:t>is mostly</w:t>
      </w:r>
      <w:r w:rsidRPr="00465298">
        <w:t xml:space="preserve"> utilized within industry by SME around the globe, because a framework offers most of the protection of the ISO 27000 standard in which they are built upon without the complexity of navigating the myriad of controls to customize and implement for full compliance of the standard. Frameworks and Security models offer blueprints that detail not only the</w:t>
      </w:r>
      <w:r w:rsidR="005C497A" w:rsidRPr="00465298">
        <w:t xml:space="preserve"> required,</w:t>
      </w:r>
      <w:r w:rsidRPr="00465298">
        <w:t xml:space="preserve"> controls but</w:t>
      </w:r>
      <w:r w:rsidR="005C497A" w:rsidRPr="00465298">
        <w:t xml:space="preserve"> also</w:t>
      </w:r>
      <w:r w:rsidRPr="00465298">
        <w:t xml:space="preserve"> how to identify and then implement each control along with risk </w:t>
      </w:r>
      <w:r w:rsidR="005C497A" w:rsidRPr="00465298">
        <w:t>management</w:t>
      </w:r>
      <w:r w:rsidRPr="00465298">
        <w:t xml:space="preserve">, continual monitoring and change control guidelines for full compliance of the framework that can be easily customized by </w:t>
      </w:r>
      <w:r w:rsidR="005C497A" w:rsidRPr="00465298">
        <w:t xml:space="preserve">network </w:t>
      </w:r>
      <w:r w:rsidRPr="00465298">
        <w:t>engineers/managers to secure a company’s network according to their individual business</w:t>
      </w:r>
      <w:r w:rsidR="005C497A" w:rsidRPr="00465298">
        <w:t>es</w:t>
      </w:r>
      <w:r w:rsidRPr="00465298">
        <w:t xml:space="preserve"> service requirements for asset security and management. </w:t>
      </w:r>
    </w:p>
    <w:p w14:paraId="5D511DBA" w14:textId="77777777" w:rsidR="00004D49" w:rsidRPr="00465298" w:rsidRDefault="00004D49" w:rsidP="00004D49">
      <w:pPr>
        <w:pStyle w:val="Affiliation"/>
        <w:jc w:val="both"/>
      </w:pPr>
    </w:p>
    <w:p w14:paraId="0BEE3E5E" w14:textId="3AD5DDE6" w:rsidR="00004D49" w:rsidRPr="00465298" w:rsidRDefault="00004D49" w:rsidP="00004D49">
      <w:pPr>
        <w:pStyle w:val="Affiliation"/>
        <w:jc w:val="both"/>
      </w:pPr>
      <w:r w:rsidRPr="00465298">
        <w:t>The very specific data security models such as; PCI-DSS and Cyber Essentials as previously discussed are focused on a specialized service such as; payment data, governmental data etc rather than the wider broad date security requirements of the business network</w:t>
      </w:r>
      <w:r w:rsidR="002420B1" w:rsidRPr="00465298">
        <w:t xml:space="preserve"> that comprise of all aspects of data security</w:t>
      </w:r>
      <w:r w:rsidRPr="00465298">
        <w:t>. That’s why a specialized service security model complements an existing framework such as; ITIL for companies who</w:t>
      </w:r>
      <w:r w:rsidR="002420B1" w:rsidRPr="00465298">
        <w:t>m</w:t>
      </w:r>
      <w:r w:rsidRPr="00465298">
        <w:t xml:space="preserve"> have these very specific data security requirements within their business model.</w:t>
      </w:r>
    </w:p>
    <w:p w14:paraId="39AE8809" w14:textId="77A5A60C" w:rsidR="00107370" w:rsidRPr="00465298" w:rsidRDefault="00107370" w:rsidP="00004D49">
      <w:pPr>
        <w:pStyle w:val="Affiliation"/>
        <w:jc w:val="both"/>
      </w:pPr>
    </w:p>
    <w:p w14:paraId="28DFFFF7" w14:textId="09EFF62D" w:rsidR="00107370" w:rsidRPr="00465298" w:rsidRDefault="00107370" w:rsidP="00004D49">
      <w:pPr>
        <w:pStyle w:val="Affiliation"/>
        <w:jc w:val="both"/>
      </w:pPr>
      <w:r w:rsidRPr="00465298">
        <w:t xml:space="preserve">Using the structured stages of the ITIL </w:t>
      </w:r>
      <w:r w:rsidR="00DC260B" w:rsidRPr="00465298">
        <w:t>framework</w:t>
      </w:r>
      <w:r w:rsidRPr="00465298">
        <w:t xml:space="preserve"> from the knowledge gained within the research section of this paper</w:t>
      </w:r>
      <w:r w:rsidR="00DC260B" w:rsidRPr="00465298">
        <w:t xml:space="preserve"> </w:t>
      </w:r>
      <w:r w:rsidR="00B04786" w:rsidRPr="00465298">
        <w:t xml:space="preserve">within </w:t>
      </w:r>
      <w:r w:rsidR="00DC260B" w:rsidRPr="00465298">
        <w:rPr>
          <w:i/>
          <w:iCs/>
        </w:rPr>
        <w:t>Appendix -</w:t>
      </w:r>
      <w:r w:rsidR="005C33E8" w:rsidRPr="00465298">
        <w:rPr>
          <w:i/>
          <w:iCs/>
        </w:rPr>
        <w:t>A</w:t>
      </w:r>
      <w:r w:rsidR="005C33E8" w:rsidRPr="00465298">
        <w:t xml:space="preserve"> to</w:t>
      </w:r>
      <w:r w:rsidRPr="00465298">
        <w:t xml:space="preserve"> create the ISMS for </w:t>
      </w:r>
      <w:r w:rsidR="00B04786" w:rsidRPr="00465298">
        <w:t>‘</w:t>
      </w:r>
      <w:r w:rsidRPr="00465298">
        <w:t>Caribbean Coffee Ltd</w:t>
      </w:r>
      <w:r w:rsidR="00B04786" w:rsidRPr="00465298">
        <w:t>’</w:t>
      </w:r>
      <w:r w:rsidRPr="00465298">
        <w:t xml:space="preserve"> made the process</w:t>
      </w:r>
      <w:r w:rsidR="00F72006" w:rsidRPr="00465298">
        <w:t xml:space="preserve"> of creating an ISMS very</w:t>
      </w:r>
      <w:r w:rsidRPr="00465298">
        <w:t xml:space="preserve"> easy to follow and implement each stage within the </w:t>
      </w:r>
      <w:r w:rsidR="00DC260B" w:rsidRPr="00465298">
        <w:t>well-defined</w:t>
      </w:r>
      <w:r w:rsidRPr="00465298">
        <w:t xml:space="preserve"> structure of the ITIL framework.</w:t>
      </w:r>
    </w:p>
    <w:p w14:paraId="60163C06" w14:textId="77777777" w:rsidR="00647A47" w:rsidRDefault="00647A47" w:rsidP="00004D49">
      <w:pPr>
        <w:jc w:val="both"/>
      </w:pPr>
    </w:p>
    <w:p w14:paraId="012AE0B6" w14:textId="5D0FF8DD" w:rsidR="00E7347E" w:rsidRPr="00C926EA" w:rsidRDefault="00E7347E" w:rsidP="00600814">
      <w:pPr>
        <w:pStyle w:val="Heading1"/>
        <w:numPr>
          <w:ilvl w:val="0"/>
          <w:numId w:val="5"/>
        </w:numPr>
        <w:spacing w:before="0"/>
        <w:rPr>
          <w:sz w:val="24"/>
        </w:rPr>
      </w:pPr>
      <w:r w:rsidRPr="00C926EA">
        <w:rPr>
          <w:sz w:val="24"/>
        </w:rPr>
        <w:t>Future Work</w:t>
      </w:r>
    </w:p>
    <w:p w14:paraId="48CB2BB3" w14:textId="69E1A7B6" w:rsidR="00077705" w:rsidRDefault="00077705" w:rsidP="00077705">
      <w:pPr>
        <w:jc w:val="both"/>
        <w:rPr>
          <w:noProof/>
        </w:rPr>
      </w:pPr>
      <w:r w:rsidRPr="00C926EA">
        <w:t xml:space="preserve">Moving forward </w:t>
      </w:r>
      <w:r w:rsidR="0070522C" w:rsidRPr="00C926EA">
        <w:t>with</w:t>
      </w:r>
      <w:r w:rsidRPr="00C926EA">
        <w:t xml:space="preserve"> the knowledge gained from this paper</w:t>
      </w:r>
      <w:r w:rsidR="0070522C" w:rsidRPr="00C926EA">
        <w:t>,</w:t>
      </w:r>
      <w:r w:rsidRPr="00C926EA">
        <w:t xml:space="preserve"> the natural </w:t>
      </w:r>
      <w:r w:rsidR="0070522C" w:rsidRPr="00C926EA">
        <w:t>progression of this project</w:t>
      </w:r>
      <w:r w:rsidRPr="00C926EA">
        <w:t xml:space="preserve"> would be to </w:t>
      </w:r>
      <w:r w:rsidR="001F5DAA">
        <w:t xml:space="preserve">physically </w:t>
      </w:r>
      <w:r w:rsidRPr="00C926EA">
        <w:t xml:space="preserve">implement </w:t>
      </w:r>
      <w:r w:rsidR="00107370">
        <w:t>the ‘Caribbean Coffee Ltd’</w:t>
      </w:r>
      <w:r w:rsidRPr="00C926EA">
        <w:t xml:space="preserve"> ISMS system within a </w:t>
      </w:r>
      <w:r w:rsidR="001F5DAA">
        <w:t xml:space="preserve">computer </w:t>
      </w:r>
      <w:r w:rsidR="00E673CD" w:rsidRPr="00C926EA">
        <w:t>laboratory</w:t>
      </w:r>
      <w:r w:rsidRPr="00C926EA">
        <w:t xml:space="preserve"> to test how robust the ISMS solution</w:t>
      </w:r>
      <w:r w:rsidR="00E673CD" w:rsidRPr="00C926EA">
        <w:t xml:space="preserve"> actually</w:t>
      </w:r>
      <w:r w:rsidRPr="00C926EA">
        <w:t xml:space="preserve"> is</w:t>
      </w:r>
      <w:r w:rsidR="00E673CD" w:rsidRPr="00C926EA">
        <w:t>,</w:t>
      </w:r>
      <w:r w:rsidRPr="00C926EA">
        <w:t xml:space="preserve"> using various </w:t>
      </w:r>
      <w:r w:rsidR="0070522C" w:rsidRPr="00C926EA">
        <w:t xml:space="preserve">industry standard </w:t>
      </w:r>
      <w:r w:rsidRPr="00C926EA">
        <w:t xml:space="preserve">penetration testing techniques </w:t>
      </w:r>
      <w:r w:rsidR="0070522C" w:rsidRPr="00C926EA">
        <w:t xml:space="preserve">and tools </w:t>
      </w:r>
      <w:r w:rsidRPr="00C926EA">
        <w:t>along with utilising network monitoring</w:t>
      </w:r>
      <w:r w:rsidR="00E673CD" w:rsidRPr="00C926EA">
        <w:t xml:space="preserve"> security and performance</w:t>
      </w:r>
      <w:r w:rsidRPr="00C926EA">
        <w:t xml:space="preserve"> software </w:t>
      </w:r>
      <w:r w:rsidR="001F5DAA">
        <w:t xml:space="preserve">such as SolarWinds </w:t>
      </w:r>
      <w:r w:rsidRPr="00C926EA">
        <w:t>during an attack to analyse the</w:t>
      </w:r>
      <w:r w:rsidR="00E673CD" w:rsidRPr="00C926EA">
        <w:t xml:space="preserve"> performance</w:t>
      </w:r>
      <w:r w:rsidRPr="00C926EA">
        <w:t xml:space="preserve"> metrics </w:t>
      </w:r>
      <w:r w:rsidR="00E673CD" w:rsidRPr="00C926EA">
        <w:t xml:space="preserve">for efficiency </w:t>
      </w:r>
      <w:r w:rsidRPr="00C926EA">
        <w:t xml:space="preserve">and </w:t>
      </w:r>
      <w:r w:rsidR="0070522C" w:rsidRPr="00C926EA">
        <w:lastRenderedPageBreak/>
        <w:t>response time of the software during an attack</w:t>
      </w:r>
      <w:r w:rsidR="001F5DAA">
        <w:t xml:space="preserve"> along with the IPS/Firewall, ACL</w:t>
      </w:r>
      <w:r w:rsidR="0060738E">
        <w:t xml:space="preserve"> and</w:t>
      </w:r>
      <w:r w:rsidR="001F5DAA">
        <w:t xml:space="preserve"> permission control configurations</w:t>
      </w:r>
      <w:r w:rsidR="0070522C" w:rsidRPr="00C926EA">
        <w:t xml:space="preserve">. If an attack was </w:t>
      </w:r>
      <w:r w:rsidR="002A53A1" w:rsidRPr="00C926EA">
        <w:t>successful,</w:t>
      </w:r>
      <w:r w:rsidR="0070522C" w:rsidRPr="00C926EA">
        <w:t xml:space="preserve"> </w:t>
      </w:r>
      <w:r w:rsidR="001F5DAA">
        <w:t xml:space="preserve">further </w:t>
      </w:r>
      <w:r w:rsidR="0070522C" w:rsidRPr="00C926EA">
        <w:t xml:space="preserve">change controls </w:t>
      </w:r>
      <w:r w:rsidR="002A53A1" w:rsidRPr="00C926EA">
        <w:t xml:space="preserve">would </w:t>
      </w:r>
      <w:r w:rsidR="0070522C" w:rsidRPr="00C926EA">
        <w:t>be</w:t>
      </w:r>
      <w:r w:rsidR="002A53A1" w:rsidRPr="00C926EA">
        <w:t xml:space="preserve"> researched and implemented</w:t>
      </w:r>
      <w:r w:rsidR="0070522C" w:rsidRPr="00C926EA">
        <w:t xml:space="preserve"> </w:t>
      </w:r>
      <w:r w:rsidR="002A53A1" w:rsidRPr="00C926EA">
        <w:t>along with</w:t>
      </w:r>
      <w:r w:rsidR="0070522C" w:rsidRPr="00C926EA">
        <w:t xml:space="preserve"> </w:t>
      </w:r>
      <w:r w:rsidR="002A53A1" w:rsidRPr="00C926EA">
        <w:t>another penetration/performance test</w:t>
      </w:r>
      <w:r w:rsidR="0070522C" w:rsidRPr="00C926EA">
        <w:t xml:space="preserve"> until </w:t>
      </w:r>
      <w:r w:rsidR="002A53A1" w:rsidRPr="00C926EA">
        <w:t>the network</w:t>
      </w:r>
      <w:r w:rsidR="0070522C" w:rsidRPr="00C926EA">
        <w:t xml:space="preserve"> meets the ITIL framework</w:t>
      </w:r>
      <w:r w:rsidR="002A53A1" w:rsidRPr="00C926EA">
        <w:t xml:space="preserve"> criteria</w:t>
      </w:r>
      <w:r w:rsidR="0070522C" w:rsidRPr="00C926EA">
        <w:t xml:space="preserve"> for </w:t>
      </w:r>
      <w:r w:rsidR="002A53A1" w:rsidRPr="00C926EA">
        <w:t xml:space="preserve">data security </w:t>
      </w:r>
      <w:r w:rsidR="0070522C" w:rsidRPr="00C926EA">
        <w:t>certification.</w:t>
      </w:r>
      <w:r w:rsidR="00AD669A" w:rsidRPr="00AD669A">
        <w:rPr>
          <w:noProof/>
        </w:rPr>
        <w:t xml:space="preserve"> </w:t>
      </w:r>
    </w:p>
    <w:p w14:paraId="73C42EB2" w14:textId="77777777" w:rsidR="00107370" w:rsidRPr="00C926EA" w:rsidRDefault="00107370" w:rsidP="00077705">
      <w:pPr>
        <w:jc w:val="both"/>
      </w:pPr>
    </w:p>
    <w:p w14:paraId="58F578F9" w14:textId="77777777" w:rsidR="007B757A" w:rsidRDefault="007B757A" w:rsidP="007B757A">
      <w:pPr>
        <w:pStyle w:val="Heading1"/>
        <w:numPr>
          <w:ilvl w:val="0"/>
          <w:numId w:val="31"/>
        </w:numPr>
        <w:spacing w:before="0"/>
        <w:rPr>
          <w:sz w:val="24"/>
        </w:rPr>
      </w:pPr>
      <w:r>
        <w:rPr>
          <w:sz w:val="24"/>
        </w:rPr>
        <w:t>References</w:t>
      </w:r>
    </w:p>
    <w:p w14:paraId="0DF408E6" w14:textId="302988F6"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b/>
          <w:sz w:val="18"/>
          <w:szCs w:val="18"/>
        </w:rPr>
        <w:fldChar w:fldCharType="begin" w:fldLock="1"/>
      </w:r>
      <w:r w:rsidRPr="0060185E">
        <w:rPr>
          <w:b/>
          <w:sz w:val="18"/>
          <w:szCs w:val="18"/>
        </w:rPr>
        <w:instrText xml:space="preserve">ADDIN Mendeley Bibliography CSL_BIBLIOGRAPHY </w:instrText>
      </w:r>
      <w:r w:rsidRPr="0060185E">
        <w:rPr>
          <w:b/>
          <w:sz w:val="18"/>
          <w:szCs w:val="18"/>
        </w:rPr>
        <w:fldChar w:fldCharType="separate"/>
      </w:r>
      <w:r w:rsidRPr="0060185E">
        <w:rPr>
          <w:noProof/>
          <w:sz w:val="18"/>
          <w:szCs w:val="18"/>
        </w:rPr>
        <w:t>[1]</w:t>
      </w:r>
      <w:r w:rsidRPr="0060185E">
        <w:rPr>
          <w:noProof/>
          <w:sz w:val="18"/>
          <w:szCs w:val="18"/>
        </w:rPr>
        <w:tab/>
        <w:t xml:space="preserve">J. S. Broderick, “ISMS, security standards and security regulations,” </w:t>
      </w:r>
      <w:r w:rsidRPr="0060185E">
        <w:rPr>
          <w:i/>
          <w:iCs/>
          <w:noProof/>
          <w:sz w:val="18"/>
          <w:szCs w:val="18"/>
        </w:rPr>
        <w:t>Inf. Secur. Tech. Rep.</w:t>
      </w:r>
      <w:r w:rsidRPr="0060185E">
        <w:rPr>
          <w:noProof/>
          <w:sz w:val="18"/>
          <w:szCs w:val="18"/>
        </w:rPr>
        <w:t>, 2006, doi: 10.1016/j.istr.2005.12.001.</w:t>
      </w:r>
    </w:p>
    <w:p w14:paraId="66062ADB"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[2]</w:t>
      </w:r>
      <w:r w:rsidRPr="0060185E">
        <w:rPr>
          <w:noProof/>
          <w:sz w:val="18"/>
          <w:szCs w:val="18"/>
        </w:rPr>
        <w:tab/>
        <w:t xml:space="preserve">Cisco, “PPP CHAP Authentication - Cisco,” </w:t>
      </w:r>
      <w:r w:rsidRPr="0060185E">
        <w:rPr>
          <w:i/>
          <w:iCs/>
          <w:noProof/>
          <w:sz w:val="18"/>
          <w:szCs w:val="18"/>
        </w:rPr>
        <w:t>cisco.com</w:t>
      </w:r>
      <w:r w:rsidRPr="0060185E">
        <w:rPr>
          <w:noProof/>
          <w:sz w:val="18"/>
          <w:szCs w:val="18"/>
        </w:rPr>
        <w:t>, 2018. [Online]. Available: https://www.cisco.com/c/en/us/support/docs/wan/point-to-point-protocol-ppp/25647-understanding-ppp-chap.html. [Accessed: 22-Jan-2019].</w:t>
      </w:r>
    </w:p>
    <w:p w14:paraId="15A70275"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[3]</w:t>
      </w:r>
      <w:r w:rsidRPr="0060185E">
        <w:rPr>
          <w:noProof/>
          <w:sz w:val="18"/>
          <w:szCs w:val="18"/>
        </w:rPr>
        <w:tab/>
        <w:t xml:space="preserve">ciscopress.com, “LANs, WANs, and the Internet (1.3) &amp;gt; Exploring the Modern Computer Network: Types, Functions, and Hardware,” </w:t>
      </w:r>
      <w:r w:rsidRPr="0060185E">
        <w:rPr>
          <w:i/>
          <w:iCs/>
          <w:noProof/>
          <w:sz w:val="18"/>
          <w:szCs w:val="18"/>
        </w:rPr>
        <w:t>ciscopress.com</w:t>
      </w:r>
      <w:r w:rsidRPr="0060185E">
        <w:rPr>
          <w:noProof/>
          <w:sz w:val="18"/>
          <w:szCs w:val="18"/>
        </w:rPr>
        <w:t>, 2013. [Online]. Available: http://www.ciscopress.com/articles/article.asp?p=2158215&amp;seqNum=6. [Accessed: 02-May-2019].</w:t>
      </w:r>
    </w:p>
    <w:p w14:paraId="4315EF63"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[4]</w:t>
      </w:r>
      <w:r w:rsidRPr="0060185E">
        <w:rPr>
          <w:noProof/>
          <w:sz w:val="18"/>
          <w:szCs w:val="18"/>
        </w:rPr>
        <w:tab/>
        <w:t xml:space="preserve">D. Wicks, “Why everything is hackable: Computer security is broken from top to bottom,” </w:t>
      </w:r>
      <w:r w:rsidRPr="0060185E">
        <w:rPr>
          <w:i/>
          <w:iCs/>
          <w:noProof/>
          <w:sz w:val="18"/>
          <w:szCs w:val="18"/>
        </w:rPr>
        <w:t>Econ.</w:t>
      </w:r>
      <w:r w:rsidRPr="0060185E">
        <w:rPr>
          <w:noProof/>
          <w:sz w:val="18"/>
          <w:szCs w:val="18"/>
        </w:rPr>
        <w:t>, 2017.</w:t>
      </w:r>
    </w:p>
    <w:p w14:paraId="3B8D7B3D"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[5]</w:t>
      </w:r>
      <w:r w:rsidRPr="0060185E">
        <w:rPr>
          <w:noProof/>
          <w:sz w:val="18"/>
          <w:szCs w:val="18"/>
        </w:rPr>
        <w:tab/>
        <w:t xml:space="preserve">Cloud Security Alliance, “Top Threats to Cloud Computing,” </w:t>
      </w:r>
      <w:r w:rsidRPr="0060185E">
        <w:rPr>
          <w:i/>
          <w:iCs/>
          <w:noProof/>
          <w:sz w:val="18"/>
          <w:szCs w:val="18"/>
        </w:rPr>
        <w:t>Security</w:t>
      </w:r>
      <w:r w:rsidRPr="0060185E">
        <w:rPr>
          <w:noProof/>
          <w:sz w:val="18"/>
          <w:szCs w:val="18"/>
        </w:rPr>
        <w:t>, no. March, pp. 1–14, 2010.</w:t>
      </w:r>
    </w:p>
    <w:p w14:paraId="3DBD9792"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[6]</w:t>
      </w:r>
      <w:r w:rsidRPr="0060185E">
        <w:rPr>
          <w:noProof/>
          <w:sz w:val="18"/>
          <w:szCs w:val="18"/>
        </w:rPr>
        <w:tab/>
        <w:t xml:space="preserve">P. Elkind, “Inside the hack of the century,” </w:t>
      </w:r>
      <w:r w:rsidRPr="0060185E">
        <w:rPr>
          <w:i/>
          <w:iCs/>
          <w:noProof/>
          <w:sz w:val="18"/>
          <w:szCs w:val="18"/>
        </w:rPr>
        <w:t>Fortune</w:t>
      </w:r>
      <w:r w:rsidRPr="0060185E">
        <w:rPr>
          <w:noProof/>
          <w:sz w:val="18"/>
          <w:szCs w:val="18"/>
        </w:rPr>
        <w:t>, 2015.</w:t>
      </w:r>
    </w:p>
    <w:p w14:paraId="2D6C8FA9"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[7]</w:t>
      </w:r>
      <w:r w:rsidRPr="0060185E">
        <w:rPr>
          <w:noProof/>
          <w:sz w:val="18"/>
          <w:szCs w:val="18"/>
        </w:rPr>
        <w:tab/>
        <w:t xml:space="preserve">K. Zetter, “Hacker Lexicon: What Are White Hat, Gray Hat, and Black Hat Hackers?,” </w:t>
      </w:r>
      <w:r w:rsidRPr="0060185E">
        <w:rPr>
          <w:i/>
          <w:iCs/>
          <w:noProof/>
          <w:sz w:val="18"/>
          <w:szCs w:val="18"/>
        </w:rPr>
        <w:t>Wired</w:t>
      </w:r>
      <w:r w:rsidRPr="0060185E">
        <w:rPr>
          <w:noProof/>
          <w:sz w:val="18"/>
          <w:szCs w:val="18"/>
        </w:rPr>
        <w:t>, 2016. .</w:t>
      </w:r>
    </w:p>
    <w:p w14:paraId="38D01525"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[8]</w:t>
      </w:r>
      <w:r w:rsidRPr="0060185E">
        <w:rPr>
          <w:noProof/>
          <w:sz w:val="18"/>
          <w:szCs w:val="18"/>
        </w:rPr>
        <w:tab/>
        <w:t xml:space="preserve">cisco, “Understanding LANs &amp;gt; Cisco ICND1 Foundation Learning Guide: LANs and Ethernet,” </w:t>
      </w:r>
      <w:r w:rsidRPr="0060185E">
        <w:rPr>
          <w:i/>
          <w:iCs/>
          <w:noProof/>
          <w:sz w:val="18"/>
          <w:szCs w:val="18"/>
        </w:rPr>
        <w:t>ciscopress.com</w:t>
      </w:r>
      <w:r w:rsidRPr="0060185E">
        <w:rPr>
          <w:noProof/>
          <w:sz w:val="18"/>
          <w:szCs w:val="18"/>
        </w:rPr>
        <w:t>, 2013. [Online]. Available: http://www.ciscopress.com/articles/article.asp?p=2092245&amp;seqNum=2. [Accessed: 14-Feb-2018].</w:t>
      </w:r>
    </w:p>
    <w:p w14:paraId="21C8029C"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[9]</w:t>
      </w:r>
      <w:r w:rsidRPr="0060185E">
        <w:rPr>
          <w:noProof/>
          <w:sz w:val="18"/>
          <w:szCs w:val="18"/>
        </w:rPr>
        <w:tab/>
        <w:t xml:space="preserve">B. Witten and C. Nachenberg, “Malware Evolution : A Snapshot of Threats and Countermeasures in 2005,” in </w:t>
      </w:r>
      <w:r w:rsidRPr="0060185E">
        <w:rPr>
          <w:i/>
          <w:iCs/>
          <w:noProof/>
          <w:sz w:val="18"/>
          <w:szCs w:val="18"/>
        </w:rPr>
        <w:t>Malware Detection</w:t>
      </w:r>
      <w:r w:rsidRPr="0060185E">
        <w:rPr>
          <w:noProof/>
          <w:sz w:val="18"/>
          <w:szCs w:val="18"/>
        </w:rPr>
        <w:t>, 2007, pp. 3–15.</w:t>
      </w:r>
    </w:p>
    <w:p w14:paraId="1118F02B"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[10]</w:t>
      </w:r>
      <w:r w:rsidRPr="0060185E">
        <w:rPr>
          <w:noProof/>
          <w:sz w:val="18"/>
          <w:szCs w:val="18"/>
        </w:rPr>
        <w:tab/>
        <w:t>etc.usf.edu, “What is USB? » Hardware » Windows » Tech Ease,” 2019. [Online]. Available: https://etc.usf.edu/techease/win/hardware/what-is-usb/. [Accessed: 29-Jan-2020].</w:t>
      </w:r>
    </w:p>
    <w:p w14:paraId="04C25EC4"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[11]</w:t>
      </w:r>
      <w:r w:rsidRPr="0060185E">
        <w:rPr>
          <w:noProof/>
          <w:sz w:val="18"/>
          <w:szCs w:val="18"/>
        </w:rPr>
        <w:tab/>
        <w:t xml:space="preserve">Symantec, “Various types of network attacks | Symantec Connect Community,” </w:t>
      </w:r>
      <w:r w:rsidRPr="0060185E">
        <w:rPr>
          <w:i/>
          <w:iCs/>
          <w:noProof/>
          <w:sz w:val="18"/>
          <w:szCs w:val="18"/>
        </w:rPr>
        <w:t>symantec.com</w:t>
      </w:r>
      <w:r w:rsidRPr="0060185E">
        <w:rPr>
          <w:noProof/>
          <w:sz w:val="18"/>
          <w:szCs w:val="18"/>
        </w:rPr>
        <w:t>, 2013. [Online]. Available: https://www.symantec.com/connect/articles/security-11-part-3-various-types-network-attacks. [Accessed: 11-Dec-2017].</w:t>
      </w:r>
    </w:p>
    <w:p w14:paraId="2FBA4112"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[12]</w:t>
      </w:r>
      <w:r w:rsidRPr="0060185E">
        <w:rPr>
          <w:noProof/>
          <w:sz w:val="18"/>
          <w:szCs w:val="18"/>
        </w:rPr>
        <w:tab/>
        <w:t xml:space="preserve">P. Muehleis, “Social engineering.,” </w:t>
      </w:r>
      <w:r w:rsidRPr="0060185E">
        <w:rPr>
          <w:i/>
          <w:iCs/>
          <w:noProof/>
          <w:sz w:val="18"/>
          <w:szCs w:val="18"/>
        </w:rPr>
        <w:t>J. Am. Dent. Assoc.</w:t>
      </w:r>
      <w:r w:rsidRPr="0060185E">
        <w:rPr>
          <w:noProof/>
          <w:sz w:val="18"/>
          <w:szCs w:val="18"/>
        </w:rPr>
        <w:t>, vol. 141, no. 5, pp. 500; discussion 500-501, 2010.</w:t>
      </w:r>
    </w:p>
    <w:p w14:paraId="175F2E67"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[13]</w:t>
      </w:r>
      <w:r w:rsidRPr="0060185E">
        <w:rPr>
          <w:noProof/>
          <w:sz w:val="18"/>
          <w:szCs w:val="18"/>
        </w:rPr>
        <w:tab/>
        <w:t xml:space="preserve">S. Zhang, C. Zhang, and Q. Yang, “Data preparation for data mining,” </w:t>
      </w:r>
      <w:r w:rsidRPr="0060185E">
        <w:rPr>
          <w:i/>
          <w:iCs/>
          <w:noProof/>
          <w:sz w:val="18"/>
          <w:szCs w:val="18"/>
        </w:rPr>
        <w:t>Appl. Artif. Intell.</w:t>
      </w:r>
      <w:r w:rsidRPr="0060185E">
        <w:rPr>
          <w:noProof/>
          <w:sz w:val="18"/>
          <w:szCs w:val="18"/>
        </w:rPr>
        <w:t>, 2003, doi: 10.1080/713827180.</w:t>
      </w:r>
    </w:p>
    <w:p w14:paraId="3983D73F"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[14]</w:t>
      </w:r>
      <w:r w:rsidRPr="0060185E">
        <w:rPr>
          <w:noProof/>
          <w:sz w:val="18"/>
          <w:szCs w:val="18"/>
        </w:rPr>
        <w:tab/>
        <w:t xml:space="preserve">D. J. Hand, “Principles of data mining,” in </w:t>
      </w:r>
      <w:r w:rsidRPr="0060185E">
        <w:rPr>
          <w:i/>
          <w:iCs/>
          <w:noProof/>
          <w:sz w:val="18"/>
          <w:szCs w:val="18"/>
        </w:rPr>
        <w:t>Drug Safety</w:t>
      </w:r>
      <w:r w:rsidRPr="0060185E">
        <w:rPr>
          <w:noProof/>
          <w:sz w:val="18"/>
          <w:szCs w:val="18"/>
        </w:rPr>
        <w:t>, 2007, doi: 10.2165/00002018-200730070-00010.</w:t>
      </w:r>
    </w:p>
    <w:p w14:paraId="11E55DB6"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[15]</w:t>
      </w:r>
      <w:r w:rsidRPr="0060185E">
        <w:rPr>
          <w:noProof/>
          <w:sz w:val="18"/>
          <w:szCs w:val="18"/>
        </w:rPr>
        <w:tab/>
        <w:t xml:space="preserve">D. Mining and T. Mining, “A Programmers Guide to Data Mining,” </w:t>
      </w:r>
      <w:r w:rsidRPr="0060185E">
        <w:rPr>
          <w:i/>
          <w:iCs/>
          <w:noProof/>
          <w:sz w:val="18"/>
          <w:szCs w:val="18"/>
        </w:rPr>
        <w:t>Text</w:t>
      </w:r>
      <w:r w:rsidRPr="0060185E">
        <w:rPr>
          <w:noProof/>
          <w:sz w:val="18"/>
          <w:szCs w:val="18"/>
        </w:rPr>
        <w:t>, 2017, doi: 10.1109/ISPLC.2012.6201332.</w:t>
      </w:r>
    </w:p>
    <w:p w14:paraId="2748D015"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[16]</w:t>
      </w:r>
      <w:r w:rsidRPr="0060185E">
        <w:rPr>
          <w:noProof/>
          <w:sz w:val="18"/>
          <w:szCs w:val="18"/>
        </w:rPr>
        <w:tab/>
        <w:t xml:space="preserve">P. Rotella, “Is Data The New Oil?,” </w:t>
      </w:r>
      <w:r w:rsidRPr="0060185E">
        <w:rPr>
          <w:i/>
          <w:iCs/>
          <w:noProof/>
          <w:sz w:val="18"/>
          <w:szCs w:val="18"/>
        </w:rPr>
        <w:t>Forbes</w:t>
      </w:r>
      <w:r w:rsidRPr="0060185E">
        <w:rPr>
          <w:noProof/>
          <w:sz w:val="18"/>
          <w:szCs w:val="18"/>
        </w:rPr>
        <w:t>, 2012.</w:t>
      </w:r>
    </w:p>
    <w:p w14:paraId="2F637B9D"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[17]</w:t>
      </w:r>
      <w:r w:rsidRPr="0060185E">
        <w:rPr>
          <w:noProof/>
          <w:sz w:val="18"/>
          <w:szCs w:val="18"/>
        </w:rPr>
        <w:tab/>
        <w:t xml:space="preserve">L. Einav and J. Levin, “Economics in the age of big data,” </w:t>
      </w:r>
      <w:r w:rsidRPr="0060185E">
        <w:rPr>
          <w:i/>
          <w:iCs/>
          <w:noProof/>
          <w:sz w:val="18"/>
          <w:szCs w:val="18"/>
        </w:rPr>
        <w:t>Science</w:t>
      </w:r>
      <w:r w:rsidRPr="0060185E">
        <w:rPr>
          <w:noProof/>
          <w:sz w:val="18"/>
          <w:szCs w:val="18"/>
        </w:rPr>
        <w:t>. 2014, doi: 10.1126/science.1243089.</w:t>
      </w:r>
    </w:p>
    <w:p w14:paraId="168A028A"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[18]</w:t>
      </w:r>
      <w:r w:rsidRPr="0060185E">
        <w:rPr>
          <w:noProof/>
          <w:sz w:val="18"/>
          <w:szCs w:val="18"/>
        </w:rPr>
        <w:tab/>
        <w:t>European Data Protection Supervisor, “Towards a new digital ethics. Data, dignity and technology,” 2015.</w:t>
      </w:r>
    </w:p>
    <w:p w14:paraId="47902D11"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[19]</w:t>
      </w:r>
      <w:r w:rsidRPr="0060185E">
        <w:rPr>
          <w:noProof/>
          <w:sz w:val="18"/>
          <w:szCs w:val="18"/>
        </w:rPr>
        <w:tab/>
        <w:t xml:space="preserve">B. Custers, F. Dechesne, A. M. Sears, T. Tani, and S. van der Hof, “A comparison of data protection legislation and policies across the EU,” </w:t>
      </w:r>
      <w:r w:rsidRPr="0060185E">
        <w:rPr>
          <w:i/>
          <w:iCs/>
          <w:noProof/>
          <w:sz w:val="18"/>
          <w:szCs w:val="18"/>
        </w:rPr>
        <w:t>Comput. Law Secur. Rev.</w:t>
      </w:r>
      <w:r w:rsidRPr="0060185E">
        <w:rPr>
          <w:noProof/>
          <w:sz w:val="18"/>
          <w:szCs w:val="18"/>
        </w:rPr>
        <w:t>, 2018, doi: 10.1016/j.clsr.2017.09.001.</w:t>
      </w:r>
    </w:p>
    <w:p w14:paraId="011DC337"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[20]</w:t>
      </w:r>
      <w:r w:rsidRPr="0060185E">
        <w:rPr>
          <w:noProof/>
          <w:sz w:val="18"/>
          <w:szCs w:val="18"/>
        </w:rPr>
        <w:tab/>
        <w:t xml:space="preserve">FRA and EDPS, </w:t>
      </w:r>
      <w:r w:rsidRPr="0060185E">
        <w:rPr>
          <w:i/>
          <w:iCs/>
          <w:noProof/>
          <w:sz w:val="18"/>
          <w:szCs w:val="18"/>
        </w:rPr>
        <w:t>Handbook on European data protection law 2018</w:t>
      </w:r>
      <w:r w:rsidRPr="0060185E">
        <w:rPr>
          <w:noProof/>
          <w:sz w:val="18"/>
          <w:szCs w:val="18"/>
        </w:rPr>
        <w:t>. 2018.</w:t>
      </w:r>
    </w:p>
    <w:p w14:paraId="6DD6C6E1"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[21]</w:t>
      </w:r>
      <w:r w:rsidRPr="0060185E">
        <w:rPr>
          <w:noProof/>
          <w:sz w:val="18"/>
          <w:szCs w:val="18"/>
        </w:rPr>
        <w:tab/>
        <w:t xml:space="preserve">J. Day, “General Data Protection Regulation Guide,” </w:t>
      </w:r>
      <w:r w:rsidRPr="0060185E">
        <w:rPr>
          <w:i/>
          <w:iCs/>
          <w:noProof/>
          <w:sz w:val="18"/>
          <w:szCs w:val="18"/>
        </w:rPr>
        <w:t>GDPR Guide</w:t>
      </w:r>
      <w:r w:rsidRPr="0060185E">
        <w:rPr>
          <w:noProof/>
          <w:sz w:val="18"/>
          <w:szCs w:val="18"/>
        </w:rPr>
        <w:t>. pp. 4–24, 2017, doi: http://eur-lex.europa.eu/pri/en/oj/dat/2003/l_285/l_28520031101en00330037.pdf.</w:t>
      </w:r>
    </w:p>
    <w:p w14:paraId="6398A4E4"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[22]</w:t>
      </w:r>
      <w:r w:rsidRPr="0060185E">
        <w:rPr>
          <w:noProof/>
          <w:sz w:val="18"/>
          <w:szCs w:val="18"/>
        </w:rPr>
        <w:tab/>
        <w:t xml:space="preserve">Gartner, “What is SMB? - Gartner Defines Small and Midsize Businesses,” </w:t>
      </w:r>
      <w:r w:rsidRPr="0060185E">
        <w:rPr>
          <w:i/>
          <w:iCs/>
          <w:noProof/>
          <w:sz w:val="18"/>
          <w:szCs w:val="18"/>
        </w:rPr>
        <w:t>Gartner</w:t>
      </w:r>
      <w:r w:rsidRPr="0060185E">
        <w:rPr>
          <w:noProof/>
          <w:sz w:val="18"/>
          <w:szCs w:val="18"/>
        </w:rPr>
        <w:t>, 2017. .</w:t>
      </w:r>
    </w:p>
    <w:p w14:paraId="71FAADA5"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[23]</w:t>
      </w:r>
      <w:r w:rsidRPr="0060185E">
        <w:rPr>
          <w:noProof/>
          <w:sz w:val="18"/>
          <w:szCs w:val="18"/>
        </w:rPr>
        <w:tab/>
        <w:t xml:space="preserve">K. Haufe, R. Colomo-Palacios, S. Dzombeta, K. Brandis, and V. Stantchev, “Security Management Standards: A Mapping,” in </w:t>
      </w:r>
      <w:r w:rsidRPr="0060185E">
        <w:rPr>
          <w:i/>
          <w:iCs/>
          <w:noProof/>
          <w:sz w:val="18"/>
          <w:szCs w:val="18"/>
        </w:rPr>
        <w:t>Procedia Computer Science</w:t>
      </w:r>
      <w:r w:rsidRPr="0060185E">
        <w:rPr>
          <w:noProof/>
          <w:sz w:val="18"/>
          <w:szCs w:val="18"/>
        </w:rPr>
        <w:t>, 2016, doi: 10.1016/j.procs.2016.09.221.</w:t>
      </w:r>
    </w:p>
    <w:p w14:paraId="38E48595"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[24]</w:t>
      </w:r>
      <w:r w:rsidRPr="0060185E">
        <w:rPr>
          <w:noProof/>
          <w:sz w:val="18"/>
          <w:szCs w:val="18"/>
        </w:rPr>
        <w:tab/>
        <w:t xml:space="preserve">Infosec, “CIA Triad,” </w:t>
      </w:r>
      <w:r w:rsidRPr="0060185E">
        <w:rPr>
          <w:i/>
          <w:iCs/>
          <w:noProof/>
          <w:sz w:val="18"/>
          <w:szCs w:val="18"/>
        </w:rPr>
        <w:t>infosec</w:t>
      </w:r>
      <w:r w:rsidRPr="0060185E">
        <w:rPr>
          <w:noProof/>
          <w:sz w:val="18"/>
          <w:szCs w:val="18"/>
        </w:rPr>
        <w:t>. p. 1, 2017.</w:t>
      </w:r>
    </w:p>
    <w:p w14:paraId="31E57BAC"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[25]</w:t>
      </w:r>
      <w:r w:rsidRPr="0060185E">
        <w:rPr>
          <w:noProof/>
          <w:sz w:val="18"/>
          <w:szCs w:val="18"/>
        </w:rPr>
        <w:tab/>
        <w:t>BMC, “ITIL® Information Security Management – BMC Blogs,” 2019. [Online]. Available: https://www.bmc.com/blogs/itil-information-security-management/. [Accessed: 29-Jan-2020].</w:t>
      </w:r>
    </w:p>
    <w:p w14:paraId="4BC64775"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[26]</w:t>
      </w:r>
      <w:r w:rsidRPr="0060185E">
        <w:rPr>
          <w:noProof/>
          <w:sz w:val="18"/>
          <w:szCs w:val="18"/>
        </w:rPr>
        <w:tab/>
        <w:t xml:space="preserve">S. V. Flowerday and T. Tuyikeze, “Information security policy development and implementation: The what, how and who,” </w:t>
      </w:r>
      <w:r w:rsidRPr="0060185E">
        <w:rPr>
          <w:i/>
          <w:iCs/>
          <w:noProof/>
          <w:sz w:val="18"/>
          <w:szCs w:val="18"/>
        </w:rPr>
        <w:t>Comput. Secur.</w:t>
      </w:r>
      <w:r w:rsidRPr="0060185E">
        <w:rPr>
          <w:noProof/>
          <w:sz w:val="18"/>
          <w:szCs w:val="18"/>
        </w:rPr>
        <w:t>, 2016, doi: 10.1016/j.cose.2016.06.002.</w:t>
      </w:r>
    </w:p>
    <w:p w14:paraId="10B02268"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[27]</w:t>
      </w:r>
      <w:r w:rsidRPr="0060185E">
        <w:rPr>
          <w:noProof/>
          <w:sz w:val="18"/>
          <w:szCs w:val="18"/>
        </w:rPr>
        <w:tab/>
        <w:t>Invensis, “An overview of Information Security Management in ITIL | Invensis Learning,” 2019. [Online]. Available: https://www.invensislearning.com/resources/itil/overview-of-information-security-management. [Accessed: 29-Jan-2020].</w:t>
      </w:r>
    </w:p>
    <w:p w14:paraId="5024AD86"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[28]</w:t>
      </w:r>
      <w:r w:rsidRPr="0060185E">
        <w:rPr>
          <w:noProof/>
          <w:sz w:val="18"/>
          <w:szCs w:val="18"/>
        </w:rPr>
        <w:tab/>
        <w:t xml:space="preserve">ISO/IEC, “ISO/IEC 27000:2016(E) Information technology — Security techniques — Information security management systems — Overview and vocabulary,” </w:t>
      </w:r>
      <w:r w:rsidRPr="0060185E">
        <w:rPr>
          <w:i/>
          <w:iCs/>
          <w:noProof/>
          <w:sz w:val="18"/>
          <w:szCs w:val="18"/>
        </w:rPr>
        <w:t>ISO.org [Online]</w:t>
      </w:r>
      <w:r w:rsidRPr="0060185E">
        <w:rPr>
          <w:noProof/>
          <w:sz w:val="18"/>
          <w:szCs w:val="18"/>
        </w:rPr>
        <w:t>. 2016.</w:t>
      </w:r>
    </w:p>
    <w:p w14:paraId="2A21BAEF"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[29]</w:t>
      </w:r>
      <w:r w:rsidRPr="0060185E">
        <w:rPr>
          <w:noProof/>
          <w:sz w:val="18"/>
          <w:szCs w:val="18"/>
        </w:rPr>
        <w:tab/>
        <w:t>NCSC UK, “Cyber Essentials :: Certification,” 2019. [Online]. Available: https://www.cyberessentials.ncsc.gov.uk/getting-certified/. [Accessed: 29-Jan-2020].</w:t>
      </w:r>
    </w:p>
    <w:p w14:paraId="6B0D20B6"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[30]</w:t>
      </w:r>
      <w:r w:rsidRPr="0060185E">
        <w:rPr>
          <w:noProof/>
          <w:sz w:val="18"/>
          <w:szCs w:val="18"/>
        </w:rPr>
        <w:tab/>
        <w:t xml:space="preserve">IT Governance UK, “The PCI DSS | IT Governance UK | IT </w:t>
      </w:r>
      <w:r w:rsidRPr="0060185E">
        <w:rPr>
          <w:noProof/>
          <w:sz w:val="18"/>
          <w:szCs w:val="18"/>
        </w:rPr>
        <w:lastRenderedPageBreak/>
        <w:t>Governance UK,” 2019. [Online]. Available: https://www.itgovernance.co.uk/pci_dss. [Accessed: 29-Jan-2020].</w:t>
      </w:r>
    </w:p>
    <w:p w14:paraId="71ACE7AA"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[31]</w:t>
      </w:r>
      <w:r w:rsidRPr="0060185E">
        <w:rPr>
          <w:noProof/>
          <w:sz w:val="18"/>
          <w:szCs w:val="18"/>
        </w:rPr>
        <w:tab/>
        <w:t>Altexsoft, “Whitepaper - Legacy System Modernization: How to Transform the Enterprise | AltexSoft,” 2019. [Online]. Available: https://www.altexsoft.com/whitepapers/legacy-system-modernization-how-to-transform-the-enterprise-for-digital-future/. [Accessed: 29-Jan-2020].</w:t>
      </w:r>
    </w:p>
    <w:p w14:paraId="11406736"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[32]</w:t>
      </w:r>
      <w:r w:rsidRPr="0060185E">
        <w:rPr>
          <w:noProof/>
          <w:sz w:val="18"/>
          <w:szCs w:val="18"/>
        </w:rPr>
        <w:tab/>
        <w:t xml:space="preserve">I. Mittal and A. Anand, “WLAN Architecture,” </w:t>
      </w:r>
      <w:r w:rsidRPr="0060185E">
        <w:rPr>
          <w:i/>
          <w:iCs/>
          <w:noProof/>
          <w:sz w:val="18"/>
          <w:szCs w:val="18"/>
        </w:rPr>
        <w:t>Int. J. Comput. Trends Technol.</w:t>
      </w:r>
      <w:r w:rsidRPr="0060185E">
        <w:rPr>
          <w:noProof/>
          <w:sz w:val="18"/>
          <w:szCs w:val="18"/>
        </w:rPr>
        <w:t>, vol. 8, no. 3, pp. 148–151, 2014.</w:t>
      </w:r>
    </w:p>
    <w:p w14:paraId="6EC43F3B"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[33]</w:t>
      </w:r>
      <w:r w:rsidRPr="0060185E">
        <w:rPr>
          <w:noProof/>
          <w:sz w:val="18"/>
          <w:szCs w:val="18"/>
        </w:rPr>
        <w:tab/>
        <w:t xml:space="preserve">Amazon, “Amazon Web Services (AWS)- Cloud Computing Services,” </w:t>
      </w:r>
      <w:r w:rsidRPr="0060185E">
        <w:rPr>
          <w:i/>
          <w:iCs/>
          <w:noProof/>
          <w:sz w:val="18"/>
          <w:szCs w:val="18"/>
        </w:rPr>
        <w:t>Amazon Web Services, Inc.</w:t>
      </w:r>
      <w:r w:rsidRPr="0060185E">
        <w:rPr>
          <w:noProof/>
          <w:sz w:val="18"/>
          <w:szCs w:val="18"/>
        </w:rPr>
        <w:t>, 2016. .</w:t>
      </w:r>
    </w:p>
    <w:p w14:paraId="79BAB89C"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[34]</w:t>
      </w:r>
      <w:r w:rsidRPr="0060185E">
        <w:rPr>
          <w:noProof/>
          <w:sz w:val="18"/>
          <w:szCs w:val="18"/>
        </w:rPr>
        <w:tab/>
        <w:t xml:space="preserve">S. Chauhan </w:t>
      </w:r>
      <w:r w:rsidRPr="0060185E">
        <w:rPr>
          <w:i/>
          <w:iCs/>
          <w:noProof/>
          <w:sz w:val="18"/>
          <w:szCs w:val="18"/>
        </w:rPr>
        <w:t>et al.</w:t>
      </w:r>
      <w:r w:rsidRPr="0060185E">
        <w:rPr>
          <w:noProof/>
          <w:sz w:val="18"/>
          <w:szCs w:val="18"/>
        </w:rPr>
        <w:t xml:space="preserve">, “Amazon Virtual Private Cloud (Amazon VPC) and Networking Fundamentals,” in </w:t>
      </w:r>
      <w:r w:rsidRPr="0060185E">
        <w:rPr>
          <w:i/>
          <w:iCs/>
          <w:noProof/>
          <w:sz w:val="18"/>
          <w:szCs w:val="18"/>
        </w:rPr>
        <w:t>AWS® Certified Advanced Networking Official Study Guide</w:t>
      </w:r>
      <w:r w:rsidRPr="0060185E">
        <w:rPr>
          <w:noProof/>
          <w:sz w:val="18"/>
          <w:szCs w:val="18"/>
        </w:rPr>
        <w:t>, 2018.</w:t>
      </w:r>
    </w:p>
    <w:p w14:paraId="0B493462"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[35]</w:t>
      </w:r>
      <w:r w:rsidRPr="0060185E">
        <w:rPr>
          <w:noProof/>
          <w:sz w:val="18"/>
          <w:szCs w:val="18"/>
        </w:rPr>
        <w:tab/>
        <w:t xml:space="preserve">C. Heinle and J. Strebel, “IaaS adoption determinants in enterprises,” in </w:t>
      </w:r>
      <w:r w:rsidRPr="0060185E">
        <w:rPr>
          <w:i/>
          <w:iCs/>
          <w:noProof/>
          <w:sz w:val="18"/>
          <w:szCs w:val="18"/>
        </w:rPr>
        <w:t>Lecture Notes in Computer Science (including subseries Lecture Notes in Artificial Intelligence and Lecture Notes in Bioinformatics)</w:t>
      </w:r>
      <w:r w:rsidRPr="0060185E">
        <w:rPr>
          <w:noProof/>
          <w:sz w:val="18"/>
          <w:szCs w:val="18"/>
        </w:rPr>
        <w:t>, 2010, vol. 6296 LNCS, pp. 93–104, doi: 10.1007/978-3-642-15681-6_7.</w:t>
      </w:r>
    </w:p>
    <w:p w14:paraId="126B42E2"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[36]</w:t>
      </w:r>
      <w:r w:rsidRPr="0060185E">
        <w:rPr>
          <w:noProof/>
          <w:sz w:val="18"/>
          <w:szCs w:val="18"/>
        </w:rPr>
        <w:tab/>
        <w:t xml:space="preserve">G. Disterer and C. Kleiner, “BYOD Bring Your Own Device,” </w:t>
      </w:r>
      <w:r w:rsidRPr="0060185E">
        <w:rPr>
          <w:i/>
          <w:iCs/>
          <w:noProof/>
          <w:sz w:val="18"/>
          <w:szCs w:val="18"/>
        </w:rPr>
        <w:t>Procedia Technol.</w:t>
      </w:r>
      <w:r w:rsidRPr="0060185E">
        <w:rPr>
          <w:noProof/>
          <w:sz w:val="18"/>
          <w:szCs w:val="18"/>
        </w:rPr>
        <w:t>, 2013, doi: 10.1016/j.protcy.2013.12.005.</w:t>
      </w:r>
    </w:p>
    <w:p w14:paraId="37F1A32E"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[37]</w:t>
      </w:r>
      <w:r w:rsidRPr="0060185E">
        <w:rPr>
          <w:noProof/>
          <w:sz w:val="18"/>
          <w:szCs w:val="18"/>
        </w:rPr>
        <w:tab/>
        <w:t xml:space="preserve">P. Adams, “The advantages and disadvantages of BYOD.,” </w:t>
      </w:r>
      <w:r w:rsidRPr="0060185E">
        <w:rPr>
          <w:i/>
          <w:iCs/>
          <w:noProof/>
          <w:sz w:val="18"/>
          <w:szCs w:val="18"/>
        </w:rPr>
        <w:t>solarvista.com</w:t>
      </w:r>
      <w:r w:rsidRPr="0060185E">
        <w:rPr>
          <w:noProof/>
          <w:sz w:val="18"/>
          <w:szCs w:val="18"/>
        </w:rPr>
        <w:t>, 2016. [Online]. Available: https://www.solarvista.com/resources/the-advantages-and-disadvantages-of-byod. [Accessed: 11-Dec-2017].</w:t>
      </w:r>
    </w:p>
    <w:p w14:paraId="4C0DF5B3"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[38]</w:t>
      </w:r>
      <w:r w:rsidRPr="0060185E">
        <w:rPr>
          <w:noProof/>
          <w:sz w:val="18"/>
          <w:szCs w:val="18"/>
        </w:rPr>
        <w:tab/>
        <w:t xml:space="preserve">Microsoft Azure, “What is a Cloud Service Provider – Definition | Microsoft Azure,” </w:t>
      </w:r>
      <w:r w:rsidRPr="0060185E">
        <w:rPr>
          <w:i/>
          <w:iCs/>
          <w:noProof/>
          <w:sz w:val="18"/>
          <w:szCs w:val="18"/>
        </w:rPr>
        <w:t>azure.microsoft.com</w:t>
      </w:r>
      <w:r w:rsidRPr="0060185E">
        <w:rPr>
          <w:noProof/>
          <w:sz w:val="18"/>
          <w:szCs w:val="18"/>
        </w:rPr>
        <w:t>, 2019. [Online]. Available: https://azure.microsoft.com/en-gb/overview/what-is-a-cloud-provider/. [Accessed: 30-Apr-2019].</w:t>
      </w:r>
    </w:p>
    <w:p w14:paraId="4E97B3A3"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[39]</w:t>
      </w:r>
      <w:r w:rsidRPr="0060185E">
        <w:rPr>
          <w:noProof/>
          <w:sz w:val="18"/>
          <w:szCs w:val="18"/>
        </w:rPr>
        <w:tab/>
        <w:t xml:space="preserve">G. Thomson, “BYOD: Enabling the chaos,” </w:t>
      </w:r>
      <w:r w:rsidRPr="0060185E">
        <w:rPr>
          <w:i/>
          <w:iCs/>
          <w:noProof/>
          <w:sz w:val="18"/>
          <w:szCs w:val="18"/>
        </w:rPr>
        <w:t>Netw. Secur.</w:t>
      </w:r>
      <w:r w:rsidRPr="0060185E">
        <w:rPr>
          <w:noProof/>
          <w:sz w:val="18"/>
          <w:szCs w:val="18"/>
        </w:rPr>
        <w:t>, 2012, doi: 10.1016/S1353-4858(12)70013-2.</w:t>
      </w:r>
    </w:p>
    <w:p w14:paraId="2CD3455D"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[40]</w:t>
      </w:r>
      <w:r w:rsidRPr="0060185E">
        <w:rPr>
          <w:noProof/>
          <w:sz w:val="18"/>
          <w:szCs w:val="18"/>
        </w:rPr>
        <w:tab/>
        <w:t xml:space="preserve">K. W. Miller, J. Voas, and G. F. Hurlburt, “BYOD: Security and privacy considerations,” </w:t>
      </w:r>
      <w:r w:rsidRPr="0060185E">
        <w:rPr>
          <w:i/>
          <w:iCs/>
          <w:noProof/>
          <w:sz w:val="18"/>
          <w:szCs w:val="18"/>
        </w:rPr>
        <w:t>IT Professional</w:t>
      </w:r>
      <w:r w:rsidRPr="0060185E">
        <w:rPr>
          <w:noProof/>
          <w:sz w:val="18"/>
          <w:szCs w:val="18"/>
        </w:rPr>
        <w:t>. 2012, doi: 10.1109/MITP.2012.93.</w:t>
      </w:r>
    </w:p>
    <w:p w14:paraId="4018CFC3"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[41]</w:t>
      </w:r>
      <w:r w:rsidRPr="0060185E">
        <w:rPr>
          <w:noProof/>
          <w:sz w:val="18"/>
          <w:szCs w:val="18"/>
        </w:rPr>
        <w:tab/>
        <w:t xml:space="preserve">N. Sohrabi Safa, R. Von Solms, and S. Furnell, “Information security policy compliance model in organizations,” </w:t>
      </w:r>
      <w:r w:rsidRPr="0060185E">
        <w:rPr>
          <w:i/>
          <w:iCs/>
          <w:noProof/>
          <w:sz w:val="18"/>
          <w:szCs w:val="18"/>
        </w:rPr>
        <w:t>Comput. Secur.</w:t>
      </w:r>
      <w:r w:rsidRPr="0060185E">
        <w:rPr>
          <w:noProof/>
          <w:sz w:val="18"/>
          <w:szCs w:val="18"/>
        </w:rPr>
        <w:t>, 2016, doi: 10.1016/j.cose.2015.10.006.</w:t>
      </w:r>
    </w:p>
    <w:p w14:paraId="12E7308D"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[42]</w:t>
      </w:r>
      <w:r w:rsidRPr="0060185E">
        <w:rPr>
          <w:noProof/>
          <w:sz w:val="18"/>
          <w:szCs w:val="18"/>
        </w:rPr>
        <w:tab/>
        <w:t>Cisco, “Packet Tracer - Network Simulator.” .</w:t>
      </w:r>
    </w:p>
    <w:p w14:paraId="4A3E5A5A"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[43]</w:t>
      </w:r>
      <w:r w:rsidRPr="0060185E">
        <w:rPr>
          <w:noProof/>
          <w:sz w:val="18"/>
          <w:szCs w:val="18"/>
        </w:rPr>
        <w:tab/>
        <w:t xml:space="preserve">R. Pal and P. Hui, “Cyber-insurance for cybersecurity a topological take on modulating insurance premiums,” </w:t>
      </w:r>
      <w:r w:rsidRPr="0060185E">
        <w:rPr>
          <w:i/>
          <w:iCs/>
          <w:noProof/>
          <w:sz w:val="18"/>
          <w:szCs w:val="18"/>
        </w:rPr>
        <w:t>Perform. Eval. Rev.</w:t>
      </w:r>
      <w:r w:rsidRPr="0060185E">
        <w:rPr>
          <w:noProof/>
          <w:sz w:val="18"/>
          <w:szCs w:val="18"/>
        </w:rPr>
        <w:t>, 2012, doi: 10.1145/2425248.2425271.</w:t>
      </w:r>
    </w:p>
    <w:p w14:paraId="551D1353"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[44]</w:t>
      </w:r>
      <w:r w:rsidRPr="0060185E">
        <w:rPr>
          <w:noProof/>
          <w:sz w:val="18"/>
          <w:szCs w:val="18"/>
        </w:rPr>
        <w:tab/>
        <w:t xml:space="preserve">S. J. Shackelford, “Should your firm invest in cyber risk insurance?,” </w:t>
      </w:r>
      <w:r w:rsidRPr="0060185E">
        <w:rPr>
          <w:i/>
          <w:iCs/>
          <w:noProof/>
          <w:sz w:val="18"/>
          <w:szCs w:val="18"/>
        </w:rPr>
        <w:t>Bus. Horiz.</w:t>
      </w:r>
      <w:r w:rsidRPr="0060185E">
        <w:rPr>
          <w:noProof/>
          <w:sz w:val="18"/>
          <w:szCs w:val="18"/>
        </w:rPr>
        <w:t>, 2012, doi: 10.1016/j.bushor.2012.02.004.</w:t>
      </w:r>
    </w:p>
    <w:p w14:paraId="577B2ED1"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[45]</w:t>
      </w:r>
      <w:r w:rsidRPr="0060185E">
        <w:rPr>
          <w:noProof/>
          <w:sz w:val="18"/>
          <w:szCs w:val="18"/>
        </w:rPr>
        <w:tab/>
        <w:t xml:space="preserve">Y. Jadeja and K. Modi, “Cloud computing - Concepts, architecture and challenges,” in </w:t>
      </w:r>
      <w:r w:rsidRPr="0060185E">
        <w:rPr>
          <w:i/>
          <w:iCs/>
          <w:noProof/>
          <w:sz w:val="18"/>
          <w:szCs w:val="18"/>
        </w:rPr>
        <w:t xml:space="preserve">2012 International </w:t>
      </w:r>
      <w:r w:rsidRPr="0060185E">
        <w:rPr>
          <w:i/>
          <w:iCs/>
          <w:noProof/>
          <w:sz w:val="18"/>
          <w:szCs w:val="18"/>
        </w:rPr>
        <w:t>Conference on Computing, Electronics and Electrical Technologies, ICCEET 2012</w:t>
      </w:r>
      <w:r w:rsidRPr="0060185E">
        <w:rPr>
          <w:noProof/>
          <w:sz w:val="18"/>
          <w:szCs w:val="18"/>
        </w:rPr>
        <w:t>, 2012, doi: 10.1109/ICCEET.2012.6203873.</w:t>
      </w:r>
    </w:p>
    <w:p w14:paraId="2BBFF5B3"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[46]</w:t>
      </w:r>
      <w:r w:rsidRPr="0060185E">
        <w:rPr>
          <w:noProof/>
          <w:sz w:val="18"/>
          <w:szCs w:val="18"/>
        </w:rPr>
        <w:tab/>
        <w:t>ISO.org, “ISO - ISO/IEC 27017:2015 - Information technology — Security techniques — Code of practice for information security controls based on ISO/IEC 27002 for cloud services,” 2019. [Online]. Available: https://www.iso.org/standard/43757.html. [Accessed: 29-Jan-2020].</w:t>
      </w:r>
    </w:p>
    <w:p w14:paraId="7E418B79"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[47]</w:t>
      </w:r>
      <w:r w:rsidRPr="0060185E">
        <w:rPr>
          <w:noProof/>
          <w:sz w:val="18"/>
          <w:szCs w:val="18"/>
        </w:rPr>
        <w:tab/>
        <w:t>BSI-Group, “Security controls for cloud services ISO/IEC 27017 | BSI,” 2019. [Online]. Available: https://www.bsigroup.com/en-GB/Security-controls-for-cloud-services-ISO-IEC27017/. [Accessed: 29-Jan-2020].</w:t>
      </w:r>
    </w:p>
    <w:p w14:paraId="33908AAF"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[48]</w:t>
      </w:r>
      <w:r w:rsidRPr="0060185E">
        <w:rPr>
          <w:noProof/>
          <w:sz w:val="18"/>
          <w:szCs w:val="18"/>
        </w:rPr>
        <w:tab/>
        <w:t>ISO, “ISO/IEC 27701:2019(en), Security techniques — Extension to ISO/IEC 27001 and ISO/IEC 27002 for privacy information management — Requirements and guidelines,” 2019. [Online]. Available: https://www.iso.org/obp/ui/#iso:std:iso-iec:27701:ed-1:v1:en. [Accessed: 29-Jan-2020].</w:t>
      </w:r>
    </w:p>
    <w:p w14:paraId="4B251A70"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[49]</w:t>
      </w:r>
      <w:r w:rsidRPr="0060185E">
        <w:rPr>
          <w:noProof/>
          <w:sz w:val="18"/>
          <w:szCs w:val="18"/>
        </w:rPr>
        <w:tab/>
        <w:t xml:space="preserve">Paul Lawrence, “BYOD DFD: Lucidchart,” </w:t>
      </w:r>
      <w:r w:rsidRPr="0060185E">
        <w:rPr>
          <w:i/>
          <w:iCs/>
          <w:noProof/>
          <w:sz w:val="18"/>
          <w:szCs w:val="18"/>
        </w:rPr>
        <w:t>lucichart.com</w:t>
      </w:r>
      <w:r w:rsidRPr="0060185E">
        <w:rPr>
          <w:noProof/>
          <w:sz w:val="18"/>
          <w:szCs w:val="18"/>
        </w:rPr>
        <w:t>, 2017. [Online]. Available: https://www.lucidchart.com/documents/edit/b39e61e5-cc01-4622-b0ea-2c143041fb4a. [Accessed: 11-Dec-2017].</w:t>
      </w:r>
    </w:p>
    <w:p w14:paraId="697423BC"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[50]</w:t>
      </w:r>
      <w:r w:rsidRPr="0060185E">
        <w:rPr>
          <w:noProof/>
          <w:sz w:val="18"/>
          <w:szCs w:val="18"/>
        </w:rPr>
        <w:tab/>
        <w:t xml:space="preserve">Broadcom, “SAN Design and Best Practices (1857 KB),” </w:t>
      </w:r>
      <w:r w:rsidRPr="0060185E">
        <w:rPr>
          <w:i/>
          <w:iCs/>
          <w:noProof/>
          <w:sz w:val="18"/>
          <w:szCs w:val="18"/>
        </w:rPr>
        <w:t>broadcom.com</w:t>
      </w:r>
      <w:r w:rsidRPr="0060185E">
        <w:rPr>
          <w:noProof/>
          <w:sz w:val="18"/>
          <w:szCs w:val="18"/>
        </w:rPr>
        <w:t>, 2017. [Online]. Available: https://docs.broadcom.com/docs/12380347. [Accessed: 22-Jan-2019].</w:t>
      </w:r>
    </w:p>
    <w:p w14:paraId="278BD677"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[51]</w:t>
      </w:r>
      <w:r w:rsidRPr="0060185E">
        <w:rPr>
          <w:noProof/>
          <w:sz w:val="18"/>
          <w:szCs w:val="18"/>
        </w:rPr>
        <w:tab/>
        <w:t>AWS, “AWS Marketplace: Mobile Device Manager Plus Cloud,” 2019. [Online]. Available: https://aws.amazon.com/marketplace/pp/ZOHO-Corporation-Private-Limited-Mobile-Device-Man/B01LYRDNG0. [Accessed: 29-Jan-2020].</w:t>
      </w:r>
    </w:p>
    <w:p w14:paraId="3AAF4DAD"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[52]</w:t>
      </w:r>
      <w:r w:rsidRPr="0060185E">
        <w:rPr>
          <w:noProof/>
          <w:sz w:val="18"/>
          <w:szCs w:val="18"/>
        </w:rPr>
        <w:tab/>
        <w:t xml:space="preserve">K. Brown, C. W., &amp; Nyarko, “Software as a Service (SaaS).,” </w:t>
      </w:r>
      <w:r w:rsidRPr="0060185E">
        <w:rPr>
          <w:i/>
          <w:iCs/>
          <w:noProof/>
          <w:sz w:val="18"/>
          <w:szCs w:val="18"/>
        </w:rPr>
        <w:t>Cloud Comput. Serv. Deploy. Model. Layers Manag. Layers Manag.</w:t>
      </w:r>
      <w:r w:rsidRPr="0060185E">
        <w:rPr>
          <w:noProof/>
          <w:sz w:val="18"/>
          <w:szCs w:val="18"/>
        </w:rPr>
        <w:t>, p. 50, 2012, doi: 10.1007/s11576-008-0095-0.</w:t>
      </w:r>
    </w:p>
    <w:p w14:paraId="7243B365"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[53]</w:t>
      </w:r>
      <w:r w:rsidRPr="0060185E">
        <w:rPr>
          <w:noProof/>
          <w:sz w:val="18"/>
          <w:szCs w:val="18"/>
        </w:rPr>
        <w:tab/>
        <w:t xml:space="preserve">M. H. Sherif, “PayPal,” in </w:t>
      </w:r>
      <w:r w:rsidRPr="0060185E">
        <w:rPr>
          <w:i/>
          <w:iCs/>
          <w:noProof/>
          <w:sz w:val="18"/>
          <w:szCs w:val="18"/>
        </w:rPr>
        <w:t>Protocols for Secure Electronic Commerce</w:t>
      </w:r>
      <w:r w:rsidRPr="0060185E">
        <w:rPr>
          <w:noProof/>
          <w:sz w:val="18"/>
          <w:szCs w:val="18"/>
        </w:rPr>
        <w:t>, 2016.</w:t>
      </w:r>
    </w:p>
    <w:p w14:paraId="2A4629D2"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[54]</w:t>
      </w:r>
      <w:r w:rsidRPr="0060185E">
        <w:rPr>
          <w:noProof/>
          <w:sz w:val="18"/>
          <w:szCs w:val="18"/>
        </w:rPr>
        <w:tab/>
        <w:t>R. Ford and W. H. Allen, “Malware shall greatly increase</w:t>
      </w:r>
      <w:r w:rsidRPr="0060185E">
        <w:rPr>
          <w:rFonts w:ascii="Cambria Math" w:hAnsi="Cambria Math" w:cs="Cambria Math"/>
          <w:noProof/>
          <w:sz w:val="18"/>
          <w:szCs w:val="18"/>
        </w:rPr>
        <w:t>⋯</w:t>
      </w:r>
      <w:r w:rsidRPr="0060185E">
        <w:rPr>
          <w:noProof/>
          <w:sz w:val="18"/>
          <w:szCs w:val="18"/>
        </w:rPr>
        <w:t xml:space="preserve">,” </w:t>
      </w:r>
      <w:r w:rsidRPr="0060185E">
        <w:rPr>
          <w:i/>
          <w:iCs/>
          <w:noProof/>
          <w:sz w:val="18"/>
          <w:szCs w:val="18"/>
        </w:rPr>
        <w:t>IEEE Secur. Priv.</w:t>
      </w:r>
      <w:r w:rsidRPr="0060185E">
        <w:rPr>
          <w:noProof/>
          <w:sz w:val="18"/>
          <w:szCs w:val="18"/>
        </w:rPr>
        <w:t>, 2009, doi: 10.1109/MSP.2009.181.</w:t>
      </w:r>
    </w:p>
    <w:p w14:paraId="60BF2824"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[55]</w:t>
      </w:r>
      <w:r w:rsidRPr="0060185E">
        <w:rPr>
          <w:noProof/>
          <w:sz w:val="18"/>
          <w:szCs w:val="18"/>
        </w:rPr>
        <w:tab/>
        <w:t xml:space="preserve">J. E. et al.. Dunn, “Ransomware,” </w:t>
      </w:r>
      <w:r w:rsidRPr="0060185E">
        <w:rPr>
          <w:i/>
          <w:iCs/>
          <w:noProof/>
          <w:sz w:val="18"/>
          <w:szCs w:val="18"/>
        </w:rPr>
        <w:t>Wikipedia</w:t>
      </w:r>
      <w:r w:rsidRPr="0060185E">
        <w:rPr>
          <w:noProof/>
          <w:sz w:val="18"/>
          <w:szCs w:val="18"/>
        </w:rPr>
        <w:t>. p. 7, 2012.</w:t>
      </w:r>
    </w:p>
    <w:p w14:paraId="2073D887"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[56]</w:t>
      </w:r>
      <w:r w:rsidRPr="0060185E">
        <w:rPr>
          <w:noProof/>
          <w:sz w:val="18"/>
          <w:szCs w:val="18"/>
        </w:rPr>
        <w:tab/>
        <w:t xml:space="preserve">D. Carlin, P. Orkane, S. Sezer, and J. Burgess, “Detecting Cryptomining Using Dynamic Analysis,” in </w:t>
      </w:r>
      <w:r w:rsidRPr="0060185E">
        <w:rPr>
          <w:i/>
          <w:iCs/>
          <w:noProof/>
          <w:sz w:val="18"/>
          <w:szCs w:val="18"/>
        </w:rPr>
        <w:t>2018 16th Annual Conference on Privacy, Security and Trust, PST 2018</w:t>
      </w:r>
      <w:r w:rsidRPr="0060185E">
        <w:rPr>
          <w:noProof/>
          <w:sz w:val="18"/>
          <w:szCs w:val="18"/>
        </w:rPr>
        <w:t>, 2018, doi: 10.1109/PST.2018.8514167.</w:t>
      </w:r>
    </w:p>
    <w:p w14:paraId="174678A7"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[57]</w:t>
      </w:r>
      <w:r w:rsidRPr="0060185E">
        <w:rPr>
          <w:noProof/>
          <w:sz w:val="18"/>
          <w:szCs w:val="18"/>
        </w:rPr>
        <w:tab/>
        <w:t xml:space="preserve">B. Clark, “Viruses, Spyware, Malware, etc. Explained: Understanding Online Threats,” </w:t>
      </w:r>
      <w:r w:rsidRPr="0060185E">
        <w:rPr>
          <w:i/>
          <w:iCs/>
          <w:noProof/>
          <w:sz w:val="18"/>
          <w:szCs w:val="18"/>
        </w:rPr>
        <w:t>MakeUseOf</w:t>
      </w:r>
      <w:r w:rsidRPr="0060185E">
        <w:rPr>
          <w:noProof/>
          <w:sz w:val="18"/>
          <w:szCs w:val="18"/>
        </w:rPr>
        <w:t>, 2015. .</w:t>
      </w:r>
    </w:p>
    <w:p w14:paraId="058F6EB2"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[58]</w:t>
      </w:r>
      <w:r w:rsidRPr="0060185E">
        <w:rPr>
          <w:noProof/>
          <w:sz w:val="18"/>
          <w:szCs w:val="18"/>
        </w:rPr>
        <w:tab/>
        <w:t xml:space="preserve">Norton, “What is a man-in-the-middle attack?,” </w:t>
      </w:r>
      <w:r w:rsidRPr="0060185E">
        <w:rPr>
          <w:i/>
          <w:iCs/>
          <w:noProof/>
          <w:sz w:val="18"/>
          <w:szCs w:val="18"/>
        </w:rPr>
        <w:t>norton.com</w:t>
      </w:r>
      <w:r w:rsidRPr="0060185E">
        <w:rPr>
          <w:noProof/>
          <w:sz w:val="18"/>
          <w:szCs w:val="18"/>
        </w:rPr>
        <w:t>, 2018. [Online]. Available: https://us.norton.com/internetsecurity-wifi-what-is-a-man-in-the-middle-attack.html. [Accessed: 22-Jan-2019].</w:t>
      </w:r>
    </w:p>
    <w:p w14:paraId="6A9655D6"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lastRenderedPageBreak/>
        <w:t>[59]</w:t>
      </w:r>
      <w:r w:rsidRPr="0060185E">
        <w:rPr>
          <w:noProof/>
          <w:sz w:val="18"/>
          <w:szCs w:val="18"/>
        </w:rPr>
        <w:tab/>
        <w:t>Cisco, “VPN Overview,” 2013.</w:t>
      </w:r>
    </w:p>
    <w:p w14:paraId="2467F545"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[60]</w:t>
      </w:r>
      <w:r w:rsidRPr="0060185E">
        <w:rPr>
          <w:noProof/>
          <w:sz w:val="18"/>
          <w:szCs w:val="18"/>
        </w:rPr>
        <w:tab/>
        <w:t xml:space="preserve">V. Bollapragada, M. Khalid, and S. Wainner, </w:t>
      </w:r>
      <w:r w:rsidRPr="0060185E">
        <w:rPr>
          <w:i/>
          <w:iCs/>
          <w:noProof/>
          <w:sz w:val="18"/>
          <w:szCs w:val="18"/>
        </w:rPr>
        <w:t>IPSec VPN Design</w:t>
      </w:r>
      <w:r w:rsidRPr="0060185E">
        <w:rPr>
          <w:noProof/>
          <w:sz w:val="18"/>
          <w:szCs w:val="18"/>
        </w:rPr>
        <w:t>. 2005.</w:t>
      </w:r>
    </w:p>
    <w:p w14:paraId="43391B94"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[61]</w:t>
      </w:r>
      <w:r w:rsidRPr="0060185E">
        <w:rPr>
          <w:noProof/>
          <w:sz w:val="18"/>
          <w:szCs w:val="18"/>
        </w:rPr>
        <w:tab/>
        <w:t xml:space="preserve">T. Robertazzi, “Advanced Encryption Standard (AES),” in </w:t>
      </w:r>
      <w:r w:rsidRPr="0060185E">
        <w:rPr>
          <w:i/>
          <w:iCs/>
          <w:noProof/>
          <w:sz w:val="18"/>
          <w:szCs w:val="18"/>
        </w:rPr>
        <w:t>Basics of Computer Networking</w:t>
      </w:r>
      <w:r w:rsidRPr="0060185E">
        <w:rPr>
          <w:noProof/>
          <w:sz w:val="18"/>
          <w:szCs w:val="18"/>
        </w:rPr>
        <w:t>, 2012, pp. 73–77.</w:t>
      </w:r>
    </w:p>
    <w:p w14:paraId="00E3C97F"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[62]</w:t>
      </w:r>
      <w:r w:rsidRPr="0060185E">
        <w:rPr>
          <w:noProof/>
          <w:sz w:val="18"/>
          <w:szCs w:val="18"/>
        </w:rPr>
        <w:tab/>
        <w:t xml:space="preserve">P. Patel, A. Ranabahu, and A. Sheth, “Service Level Agreement in Cloud Computing,” </w:t>
      </w:r>
      <w:r w:rsidRPr="0060185E">
        <w:rPr>
          <w:i/>
          <w:iCs/>
          <w:noProof/>
          <w:sz w:val="18"/>
          <w:szCs w:val="18"/>
        </w:rPr>
        <w:t>Cloud Work. OOPSLA09</w:t>
      </w:r>
      <w:r w:rsidRPr="0060185E">
        <w:rPr>
          <w:noProof/>
          <w:sz w:val="18"/>
          <w:szCs w:val="18"/>
        </w:rPr>
        <w:t>, 2009.</w:t>
      </w:r>
    </w:p>
    <w:p w14:paraId="3DB5C09D"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[63]</w:t>
      </w:r>
      <w:r w:rsidRPr="0060185E">
        <w:rPr>
          <w:noProof/>
          <w:sz w:val="18"/>
          <w:szCs w:val="18"/>
        </w:rPr>
        <w:tab/>
        <w:t>Cisco, “Service Level Management: Best Practices White Paper - Cisco.” [Online]. Available: https://www.cisco.com/c/en/us/support/docs/availability/high-availability/15117-sla.html. [Accessed: 29-Jan-2020].</w:t>
      </w:r>
    </w:p>
    <w:p w14:paraId="00AB18B6"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[64]</w:t>
      </w:r>
      <w:r w:rsidRPr="0060185E">
        <w:rPr>
          <w:noProof/>
          <w:sz w:val="18"/>
          <w:szCs w:val="18"/>
        </w:rPr>
        <w:tab/>
        <w:t xml:space="preserve">M. Meschke, “Service Level Agreement (SLA),” </w:t>
      </w:r>
      <w:r w:rsidRPr="0060185E">
        <w:rPr>
          <w:i/>
          <w:iCs/>
          <w:noProof/>
          <w:sz w:val="18"/>
          <w:szCs w:val="18"/>
        </w:rPr>
        <w:t>Controlling</w:t>
      </w:r>
      <w:r w:rsidRPr="0060185E">
        <w:rPr>
          <w:noProof/>
          <w:sz w:val="18"/>
          <w:szCs w:val="18"/>
        </w:rPr>
        <w:t>, 2008, doi: 10.15358/0935-0381-2008-10-562.</w:t>
      </w:r>
    </w:p>
    <w:p w14:paraId="3EDFBC9C"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[65]</w:t>
      </w:r>
      <w:r w:rsidRPr="0060185E">
        <w:rPr>
          <w:noProof/>
          <w:sz w:val="18"/>
          <w:szCs w:val="18"/>
        </w:rPr>
        <w:tab/>
        <w:t xml:space="preserve">Ubuntu, “Linux - Ubuntu Server,” </w:t>
      </w:r>
      <w:r w:rsidRPr="0060185E">
        <w:rPr>
          <w:i/>
          <w:iCs/>
          <w:noProof/>
          <w:sz w:val="18"/>
          <w:szCs w:val="18"/>
        </w:rPr>
        <w:t>ubuntu.com</w:t>
      </w:r>
      <w:r w:rsidRPr="0060185E">
        <w:rPr>
          <w:noProof/>
          <w:sz w:val="18"/>
          <w:szCs w:val="18"/>
        </w:rPr>
        <w:t>, 2019. [Online]. Available: https://www.ubuntu.com/download/server. [Accessed: 23-Apr-2019].</w:t>
      </w:r>
    </w:p>
    <w:p w14:paraId="285372E2"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[66]</w:t>
      </w:r>
      <w:r w:rsidRPr="0060185E">
        <w:rPr>
          <w:noProof/>
          <w:sz w:val="18"/>
          <w:szCs w:val="18"/>
        </w:rPr>
        <w:tab/>
        <w:t xml:space="preserve">C. Pahl, “Containerization and the PaaS Cloud,” </w:t>
      </w:r>
      <w:r w:rsidRPr="0060185E">
        <w:rPr>
          <w:i/>
          <w:iCs/>
          <w:noProof/>
          <w:sz w:val="18"/>
          <w:szCs w:val="18"/>
        </w:rPr>
        <w:t>IEEE Cloud Comput.</w:t>
      </w:r>
      <w:r w:rsidRPr="0060185E">
        <w:rPr>
          <w:noProof/>
          <w:sz w:val="18"/>
          <w:szCs w:val="18"/>
        </w:rPr>
        <w:t>, 2015, doi: 10.1109/MCC.2015.51.</w:t>
      </w:r>
    </w:p>
    <w:p w14:paraId="246B0E9C"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[67]</w:t>
      </w:r>
      <w:r w:rsidRPr="0060185E">
        <w:rPr>
          <w:noProof/>
          <w:sz w:val="18"/>
          <w:szCs w:val="18"/>
        </w:rPr>
        <w:tab/>
        <w:t xml:space="preserve">Docker, “Docker container networking | Docker Documentation,” </w:t>
      </w:r>
      <w:r w:rsidRPr="0060185E">
        <w:rPr>
          <w:i/>
          <w:iCs/>
          <w:noProof/>
          <w:sz w:val="18"/>
          <w:szCs w:val="18"/>
        </w:rPr>
        <w:t>Docker Inc</w:t>
      </w:r>
      <w:r w:rsidRPr="0060185E">
        <w:rPr>
          <w:noProof/>
          <w:sz w:val="18"/>
          <w:szCs w:val="18"/>
        </w:rPr>
        <w:t>, 2018. [Online]. Available: https://docs.docker.com/v17.09/engine/userguide/networking/. [Accessed: 22-Jan-2019].</w:t>
      </w:r>
    </w:p>
    <w:p w14:paraId="3A1C4D97"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[68]</w:t>
      </w:r>
      <w:r w:rsidRPr="0060185E">
        <w:rPr>
          <w:noProof/>
          <w:sz w:val="18"/>
          <w:szCs w:val="18"/>
        </w:rPr>
        <w:tab/>
        <w:t xml:space="preserve">Microsoft, “File and Storage Services Overview | Microsoft Docs,” </w:t>
      </w:r>
      <w:r w:rsidRPr="0060185E">
        <w:rPr>
          <w:i/>
          <w:iCs/>
          <w:noProof/>
          <w:sz w:val="18"/>
          <w:szCs w:val="18"/>
        </w:rPr>
        <w:t>docs.microsoft.com</w:t>
      </w:r>
      <w:r w:rsidRPr="0060185E">
        <w:rPr>
          <w:noProof/>
          <w:sz w:val="18"/>
          <w:szCs w:val="18"/>
        </w:rPr>
        <w:t>, 2016. [Online]. Available: https://docs.microsoft.com/en-us/previous-versions/windows/it-pro/windows-server-2012-r2-and-2012/hh831487(v%3Dws.11). [Accessed: 01-May-2019].</w:t>
      </w:r>
    </w:p>
    <w:p w14:paraId="6AD9684E"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[69]</w:t>
      </w:r>
      <w:r w:rsidRPr="0060185E">
        <w:rPr>
          <w:noProof/>
          <w:sz w:val="18"/>
          <w:szCs w:val="18"/>
        </w:rPr>
        <w:tab/>
        <w:t xml:space="preserve">security.techtarget, “What is AAA server (authentication, authorization, and accounting)? - Definition from WhatIs.com,” </w:t>
      </w:r>
      <w:r w:rsidRPr="0060185E">
        <w:rPr>
          <w:i/>
          <w:iCs/>
          <w:noProof/>
          <w:sz w:val="18"/>
          <w:szCs w:val="18"/>
        </w:rPr>
        <w:t>techtarget.com</w:t>
      </w:r>
      <w:r w:rsidRPr="0060185E">
        <w:rPr>
          <w:noProof/>
          <w:sz w:val="18"/>
          <w:szCs w:val="18"/>
        </w:rPr>
        <w:t>, 2017. [Online]. Available: http://searchsecurity.techtarget.com/definition/AAA-server. [Accessed: 11-Dec-2017].</w:t>
      </w:r>
    </w:p>
    <w:p w14:paraId="318358FF"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[70]</w:t>
      </w:r>
      <w:r w:rsidRPr="0060185E">
        <w:rPr>
          <w:noProof/>
          <w:sz w:val="18"/>
          <w:szCs w:val="18"/>
        </w:rPr>
        <w:tab/>
        <w:t xml:space="preserve">B. Svidergol, V. Meloski, B. Wright, S. Martinez, and D. Bassett, “Active Directory Domain Services,” in </w:t>
      </w:r>
      <w:r w:rsidRPr="0060185E">
        <w:rPr>
          <w:i/>
          <w:iCs/>
          <w:noProof/>
          <w:sz w:val="18"/>
          <w:szCs w:val="18"/>
        </w:rPr>
        <w:t>Mastering Windows Server® 2016</w:t>
      </w:r>
      <w:r w:rsidRPr="0060185E">
        <w:rPr>
          <w:noProof/>
          <w:sz w:val="18"/>
          <w:szCs w:val="18"/>
        </w:rPr>
        <w:t>, 2018.</w:t>
      </w:r>
    </w:p>
    <w:p w14:paraId="16F9EE67"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[71]</w:t>
      </w:r>
      <w:r w:rsidRPr="0060185E">
        <w:rPr>
          <w:noProof/>
          <w:sz w:val="18"/>
          <w:szCs w:val="18"/>
        </w:rPr>
        <w:tab/>
        <w:t xml:space="preserve">ccm, “DNS (Domain Name System),” </w:t>
      </w:r>
      <w:r w:rsidRPr="0060185E">
        <w:rPr>
          <w:i/>
          <w:iCs/>
          <w:noProof/>
          <w:sz w:val="18"/>
          <w:szCs w:val="18"/>
        </w:rPr>
        <w:t>cccm.net</w:t>
      </w:r>
      <w:r w:rsidRPr="0060185E">
        <w:rPr>
          <w:noProof/>
          <w:sz w:val="18"/>
          <w:szCs w:val="18"/>
        </w:rPr>
        <w:t>, 2018. [Online]. Available: http://ccm.net/contents/271-dns-domain-name-system. [Accessed: 14-Feb-2018].</w:t>
      </w:r>
    </w:p>
    <w:p w14:paraId="0D3BAF00"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[72]</w:t>
      </w:r>
      <w:r w:rsidRPr="0060185E">
        <w:rPr>
          <w:noProof/>
          <w:sz w:val="18"/>
          <w:szCs w:val="18"/>
        </w:rPr>
        <w:tab/>
        <w:t>VPC SPokes, “ AWS Cloud Architecture - Transit Gateway VPC Security Spokes.” [Online]. Available: https://aws.amazon.com/blogs/aws/new-use-an-aws-transit-gateway-to-simplify-your-network-architecture/. [Accessed: 29-Jan-2020].</w:t>
      </w:r>
    </w:p>
    <w:p w14:paraId="45B554B6"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[73]</w:t>
      </w:r>
      <w:r w:rsidRPr="0060185E">
        <w:rPr>
          <w:noProof/>
          <w:sz w:val="18"/>
          <w:szCs w:val="18"/>
        </w:rPr>
        <w:tab/>
        <w:t>AWS, “Transit VPC Components - Transit Network VPC (Cisco CSR),” 2019. [Online]. Available: https://docs.aws.amazon.com/solutions/latest/cisco-based-transit-vpc/components.html. [Accessed: 29-Jan-2020].</w:t>
      </w:r>
    </w:p>
    <w:p w14:paraId="587FAF6B"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[74]</w:t>
      </w:r>
      <w:r w:rsidRPr="0060185E">
        <w:rPr>
          <w:noProof/>
          <w:sz w:val="18"/>
          <w:szCs w:val="18"/>
        </w:rPr>
        <w:tab/>
        <w:t xml:space="preserve">Idc-online, “DMZ - Services,” </w:t>
      </w:r>
      <w:r w:rsidRPr="0060185E">
        <w:rPr>
          <w:i/>
          <w:iCs/>
          <w:noProof/>
          <w:sz w:val="18"/>
          <w:szCs w:val="18"/>
        </w:rPr>
        <w:t>idc-online.com</w:t>
      </w:r>
      <w:r w:rsidRPr="0060185E">
        <w:rPr>
          <w:noProof/>
          <w:sz w:val="18"/>
          <w:szCs w:val="18"/>
        </w:rPr>
        <w:t>, 2010.</w:t>
      </w:r>
    </w:p>
    <w:p w14:paraId="35798BE4"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[75]</w:t>
      </w:r>
      <w:r w:rsidRPr="0060185E">
        <w:rPr>
          <w:noProof/>
          <w:sz w:val="18"/>
          <w:szCs w:val="18"/>
        </w:rPr>
        <w:tab/>
        <w:t xml:space="preserve">H. L. Kosakowski and R. Saxe, “https,” </w:t>
      </w:r>
      <w:r w:rsidRPr="0060185E">
        <w:rPr>
          <w:i/>
          <w:iCs/>
          <w:noProof/>
          <w:sz w:val="18"/>
          <w:szCs w:val="18"/>
        </w:rPr>
        <w:t>Cogn. Behav. Neurol.</w:t>
      </w:r>
      <w:r w:rsidRPr="0060185E">
        <w:rPr>
          <w:noProof/>
          <w:sz w:val="18"/>
          <w:szCs w:val="18"/>
        </w:rPr>
        <w:t>, 2018, doi: 10.1097/wnn.0000000000000150.</w:t>
      </w:r>
    </w:p>
    <w:p w14:paraId="12F87283"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[76]</w:t>
      </w:r>
      <w:r w:rsidRPr="0060185E">
        <w:rPr>
          <w:noProof/>
          <w:sz w:val="18"/>
          <w:szCs w:val="18"/>
        </w:rPr>
        <w:tab/>
        <w:t>Microsoft, “Microsoft Azure Portal | Microsoft Azure,” 2019. [Online]. Available: https://azure.microsoft.com/en-gb/features/azure-portal/. [Accessed: 29-Jan-2020].</w:t>
      </w:r>
    </w:p>
    <w:p w14:paraId="604DC668"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[77]</w:t>
      </w:r>
      <w:r w:rsidRPr="0060185E">
        <w:rPr>
          <w:noProof/>
          <w:sz w:val="18"/>
          <w:szCs w:val="18"/>
        </w:rPr>
        <w:tab/>
        <w:t xml:space="preserve">cisco.com, “IP Addressing and Subnetting for New Users - Cisco,” </w:t>
      </w:r>
      <w:r w:rsidRPr="0060185E">
        <w:rPr>
          <w:i/>
          <w:iCs/>
          <w:noProof/>
          <w:sz w:val="18"/>
          <w:szCs w:val="18"/>
        </w:rPr>
        <w:t>cisco.com</w:t>
      </w:r>
      <w:r w:rsidRPr="0060185E">
        <w:rPr>
          <w:noProof/>
          <w:sz w:val="18"/>
          <w:szCs w:val="18"/>
        </w:rPr>
        <w:t>, 2016. [Online]. Available: https://www.cisco.com/c/en/us/support/docs/ip/routing-information-protocol-rip/13788-3.html. [Accessed: 11-Dec-2017].</w:t>
      </w:r>
    </w:p>
    <w:p w14:paraId="22C1742D"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[78]</w:t>
      </w:r>
      <w:r w:rsidRPr="0060185E">
        <w:rPr>
          <w:noProof/>
          <w:sz w:val="18"/>
          <w:szCs w:val="18"/>
        </w:rPr>
        <w:tab/>
        <w:t xml:space="preserve">M. Anwar, “Virtual firewalling for migrating virtual machines in cloud computing,” in </w:t>
      </w:r>
      <w:r w:rsidRPr="0060185E">
        <w:rPr>
          <w:i/>
          <w:iCs/>
          <w:noProof/>
          <w:sz w:val="18"/>
          <w:szCs w:val="18"/>
        </w:rPr>
        <w:t>ICICT 2013 - Proceedings of the 2013 5th International Conference on Information and Communication Technologies: Using Technology to Create a Better World</w:t>
      </w:r>
      <w:r w:rsidRPr="0060185E">
        <w:rPr>
          <w:noProof/>
          <w:sz w:val="18"/>
          <w:szCs w:val="18"/>
        </w:rPr>
        <w:t>, 2013, doi: 10.1109/ICICT.2013.6732787.</w:t>
      </w:r>
    </w:p>
    <w:p w14:paraId="7292A781"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[79]</w:t>
      </w:r>
      <w:r w:rsidRPr="0060185E">
        <w:rPr>
          <w:noProof/>
          <w:sz w:val="18"/>
          <w:szCs w:val="18"/>
        </w:rPr>
        <w:tab/>
        <w:t>Barracuda, “AWS Reference VPC Security Architecture - Transit VPC using CloudGen Firewall | Barracuda Campus,” 2019. [Online]. Available: https://campus.barracuda.com/product/cloudgenfirewall/doc/73718963/aws-reference-architecture-transit-vpc-using-cloudgen-firewall/. [Accessed: 29-Jan-2020].</w:t>
      </w:r>
    </w:p>
    <w:p w14:paraId="7F30F2CD"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[80]</w:t>
      </w:r>
      <w:r w:rsidRPr="0060185E">
        <w:rPr>
          <w:noProof/>
          <w:sz w:val="18"/>
          <w:szCs w:val="18"/>
        </w:rPr>
        <w:tab/>
        <w:t xml:space="preserve">Symantec, “Endpoint Security Solutions | Symantec,” </w:t>
      </w:r>
      <w:r w:rsidRPr="0060185E">
        <w:rPr>
          <w:i/>
          <w:iCs/>
          <w:noProof/>
          <w:sz w:val="18"/>
          <w:szCs w:val="18"/>
        </w:rPr>
        <w:t>symantec.com</w:t>
      </w:r>
      <w:r w:rsidRPr="0060185E">
        <w:rPr>
          <w:noProof/>
          <w:sz w:val="18"/>
          <w:szCs w:val="18"/>
        </w:rPr>
        <w:t>, 2017. [Online]. Available: https://www.symantec.com/products/endpoint. [Accessed: 11-Dec-2017].</w:t>
      </w:r>
    </w:p>
    <w:p w14:paraId="13DF94E4"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[81]</w:t>
      </w:r>
      <w:r w:rsidRPr="0060185E">
        <w:rPr>
          <w:noProof/>
          <w:sz w:val="18"/>
          <w:szCs w:val="18"/>
        </w:rPr>
        <w:tab/>
        <w:t xml:space="preserve">M. Descher, P. Masser, T. Feilhauer, A. M. Tjoa, and D. Huemer, “Retaining data control to the client in infrastructure clouds,” in </w:t>
      </w:r>
      <w:r w:rsidRPr="0060185E">
        <w:rPr>
          <w:i/>
          <w:iCs/>
          <w:noProof/>
          <w:sz w:val="18"/>
          <w:szCs w:val="18"/>
        </w:rPr>
        <w:t>Proceedings - International Conference on Availability, Reliability and Security, ARES 2009</w:t>
      </w:r>
      <w:r w:rsidRPr="0060185E">
        <w:rPr>
          <w:noProof/>
          <w:sz w:val="18"/>
          <w:szCs w:val="18"/>
        </w:rPr>
        <w:t>, 2009, doi: 10.1109/ARES.2009.78.</w:t>
      </w:r>
    </w:p>
    <w:p w14:paraId="035FB065"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[82]</w:t>
      </w:r>
      <w:r w:rsidRPr="0060185E">
        <w:rPr>
          <w:noProof/>
          <w:sz w:val="18"/>
          <w:szCs w:val="18"/>
        </w:rPr>
        <w:tab/>
        <w:t>U. S. D. of C. / the N. T. I. S. (N.I.S.T.), “Advanced Encryption Standard (AES),” 2001.</w:t>
      </w:r>
    </w:p>
    <w:p w14:paraId="08FEC3B3"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[83]</w:t>
      </w:r>
      <w:r w:rsidRPr="0060185E">
        <w:rPr>
          <w:noProof/>
          <w:sz w:val="18"/>
          <w:szCs w:val="18"/>
        </w:rPr>
        <w:tab/>
        <w:t xml:space="preserve">S. K. Datta and C. Bonnet, “Internet of Things and M2M Communications as Enablers of Smart City Initiatives,” in </w:t>
      </w:r>
      <w:r w:rsidRPr="0060185E">
        <w:rPr>
          <w:i/>
          <w:iCs/>
          <w:noProof/>
          <w:sz w:val="18"/>
          <w:szCs w:val="18"/>
        </w:rPr>
        <w:t>Proceedings - NGMAST 2015: The 9th International Conference on Next Generation Mobile Applications, Services and Technologies</w:t>
      </w:r>
      <w:r w:rsidRPr="0060185E">
        <w:rPr>
          <w:noProof/>
          <w:sz w:val="18"/>
          <w:szCs w:val="18"/>
        </w:rPr>
        <w:t>, 2016, doi: 10.1109/NGMAST.2015.10.</w:t>
      </w:r>
    </w:p>
    <w:p w14:paraId="30A65590"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[84]</w:t>
      </w:r>
      <w:r w:rsidRPr="0060185E">
        <w:rPr>
          <w:noProof/>
          <w:sz w:val="18"/>
          <w:szCs w:val="18"/>
        </w:rPr>
        <w:tab/>
        <w:t xml:space="preserve">L. Latinov, “MD5, SHA-1, SHA-256 and SHA-512 speed performance,” </w:t>
      </w:r>
      <w:r w:rsidRPr="0060185E">
        <w:rPr>
          <w:i/>
          <w:iCs/>
          <w:noProof/>
          <w:sz w:val="18"/>
          <w:szCs w:val="18"/>
        </w:rPr>
        <w:t>automationrhapsody.com</w:t>
      </w:r>
      <w:r w:rsidRPr="0060185E">
        <w:rPr>
          <w:noProof/>
          <w:sz w:val="18"/>
          <w:szCs w:val="18"/>
        </w:rPr>
        <w:t>, 2017. [Online]. Available: https://automationrhapsody.com/md5-sha-1-sha-256-sha-512-speed-performance/.</w:t>
      </w:r>
    </w:p>
    <w:p w14:paraId="782D3D3E"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[85]</w:t>
      </w:r>
      <w:r w:rsidRPr="0060185E">
        <w:rPr>
          <w:noProof/>
          <w:sz w:val="18"/>
          <w:szCs w:val="18"/>
        </w:rPr>
        <w:tab/>
        <w:t>Informatica, “Users and User Groups MDM Overview,” 2019. [Online]. Available: https://docs.informatica.com/master-data-management/multidomain-mdm/10-1-hotfix-1/informatica-mdm-hub-security-guide/users_and_user_groups/users_and_user_groups_overview.html. [Accessed: 29-Jan-2020].</w:t>
      </w:r>
    </w:p>
    <w:p w14:paraId="7A935BBF"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[86]</w:t>
      </w:r>
      <w:r w:rsidRPr="0060185E">
        <w:rPr>
          <w:noProof/>
          <w:sz w:val="18"/>
          <w:szCs w:val="18"/>
        </w:rPr>
        <w:tab/>
        <w:t xml:space="preserve">N. Zahadat, P. Blessner, T. Blackburn, and B. A. Olson, “BYOD security engineering: A framework and its analysis,” </w:t>
      </w:r>
      <w:r w:rsidRPr="0060185E">
        <w:rPr>
          <w:i/>
          <w:iCs/>
          <w:noProof/>
          <w:sz w:val="18"/>
          <w:szCs w:val="18"/>
        </w:rPr>
        <w:lastRenderedPageBreak/>
        <w:t>Comput. Secur.</w:t>
      </w:r>
      <w:r w:rsidRPr="0060185E">
        <w:rPr>
          <w:noProof/>
          <w:sz w:val="18"/>
          <w:szCs w:val="18"/>
        </w:rPr>
        <w:t>, 2015, doi: 10.1016/j.cose.2015.06.011.</w:t>
      </w:r>
    </w:p>
    <w:p w14:paraId="0233A1B5"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[87]</w:t>
      </w:r>
      <w:r w:rsidRPr="0060185E">
        <w:rPr>
          <w:noProof/>
          <w:sz w:val="18"/>
          <w:szCs w:val="18"/>
        </w:rPr>
        <w:tab/>
        <w:t xml:space="preserve">Microsoft, “Active Directory,” </w:t>
      </w:r>
      <w:r w:rsidRPr="0060185E">
        <w:rPr>
          <w:i/>
          <w:iCs/>
          <w:noProof/>
          <w:sz w:val="18"/>
          <w:szCs w:val="18"/>
        </w:rPr>
        <w:t>microsoft.com</w:t>
      </w:r>
      <w:r w:rsidRPr="0060185E">
        <w:rPr>
          <w:noProof/>
          <w:sz w:val="18"/>
          <w:szCs w:val="18"/>
        </w:rPr>
        <w:t>, 2017. [Online]. Available: https://msdn.microsoft.com/en-us/library/bb742424.aspx. [Accessed: 11-Dec-2017].</w:t>
      </w:r>
    </w:p>
    <w:p w14:paraId="11CF3ED9"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[88]</w:t>
      </w:r>
      <w:r w:rsidRPr="0060185E">
        <w:rPr>
          <w:noProof/>
          <w:sz w:val="18"/>
          <w:szCs w:val="18"/>
        </w:rPr>
        <w:tab/>
        <w:t xml:space="preserve">Cisco, “WPA2-Enterprise Wi-Fi Encryption &amp;gt; Two Modes of WPA/WPA2: Personal (PSK) versus Enterprise,” </w:t>
      </w:r>
      <w:r w:rsidRPr="0060185E">
        <w:rPr>
          <w:i/>
          <w:iCs/>
          <w:noProof/>
          <w:sz w:val="18"/>
          <w:szCs w:val="18"/>
        </w:rPr>
        <w:t>ciscopress</w:t>
      </w:r>
      <w:r w:rsidRPr="0060185E">
        <w:rPr>
          <w:noProof/>
          <w:sz w:val="18"/>
          <w:szCs w:val="18"/>
        </w:rPr>
        <w:t>, 2010. [Online]. Available: http://www.ciscopress.com/articles/article.asp?p=1576225. [Accessed: 11-Dec-2017].</w:t>
      </w:r>
    </w:p>
    <w:p w14:paraId="56AAD71C"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[89]</w:t>
      </w:r>
      <w:r w:rsidRPr="0060185E">
        <w:rPr>
          <w:noProof/>
          <w:sz w:val="18"/>
          <w:szCs w:val="18"/>
        </w:rPr>
        <w:tab/>
        <w:t xml:space="preserve">meraki.com, “RADIUS Authentication with WPA2-Enterprise - Cisco Meraki,” </w:t>
      </w:r>
      <w:r w:rsidRPr="0060185E">
        <w:rPr>
          <w:i/>
          <w:iCs/>
          <w:noProof/>
          <w:sz w:val="18"/>
          <w:szCs w:val="18"/>
        </w:rPr>
        <w:t>meraki.com</w:t>
      </w:r>
      <w:r w:rsidRPr="0060185E">
        <w:rPr>
          <w:noProof/>
          <w:sz w:val="18"/>
          <w:szCs w:val="18"/>
        </w:rPr>
        <w:t>, 2017. [Online]. Available: https://documentation.meraki.com/MR/Encryption_and_Authentication/Configuring_RADIUS_Authentication_with_WPA2-Enterprise. [Accessed: 11-Dec-2017].</w:t>
      </w:r>
    </w:p>
    <w:p w14:paraId="730B3A90"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[90]</w:t>
      </w:r>
      <w:r w:rsidRPr="0060185E">
        <w:rPr>
          <w:noProof/>
          <w:sz w:val="18"/>
          <w:szCs w:val="18"/>
        </w:rPr>
        <w:tab/>
        <w:t xml:space="preserve">Cisco.com, “Access Control Lists (ACL),” </w:t>
      </w:r>
      <w:r w:rsidRPr="0060185E">
        <w:rPr>
          <w:i/>
          <w:iCs/>
          <w:noProof/>
          <w:sz w:val="18"/>
          <w:szCs w:val="18"/>
        </w:rPr>
        <w:t>cisco.com</w:t>
      </w:r>
      <w:r w:rsidRPr="0060185E">
        <w:rPr>
          <w:noProof/>
          <w:sz w:val="18"/>
          <w:szCs w:val="18"/>
        </w:rPr>
        <w:t>, 2014.</w:t>
      </w:r>
    </w:p>
    <w:p w14:paraId="10D2AE03"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[91]</w:t>
      </w:r>
      <w:r w:rsidRPr="0060185E">
        <w:rPr>
          <w:noProof/>
          <w:sz w:val="18"/>
          <w:szCs w:val="18"/>
        </w:rPr>
        <w:tab/>
        <w:t xml:space="preserve">IBM, “SSL/TLS handshake,” </w:t>
      </w:r>
      <w:r w:rsidRPr="0060185E">
        <w:rPr>
          <w:i/>
          <w:iCs/>
          <w:noProof/>
          <w:sz w:val="18"/>
          <w:szCs w:val="18"/>
        </w:rPr>
        <w:t>ibm.com</w:t>
      </w:r>
      <w:r w:rsidRPr="0060185E">
        <w:rPr>
          <w:noProof/>
          <w:sz w:val="18"/>
          <w:szCs w:val="18"/>
        </w:rPr>
        <w:t>, 2017. [Online]. Available: https://www.ibm.com/support/knowledgecenter/en/SSFKSJ_7.1.0/com.ibm.mq.doc/sy10660_.htm. [Accessed: 22-Jan-2019].</w:t>
      </w:r>
    </w:p>
    <w:p w14:paraId="7D6A5AC4"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[92]</w:t>
      </w:r>
      <w:r w:rsidRPr="0060185E">
        <w:rPr>
          <w:noProof/>
          <w:sz w:val="18"/>
          <w:szCs w:val="18"/>
        </w:rPr>
        <w:tab/>
        <w:t xml:space="preserve">A. A. Abdelkarim and H. H. O. Nasereddin, “Intrusion Prevention System,” </w:t>
      </w:r>
      <w:r w:rsidRPr="0060185E">
        <w:rPr>
          <w:i/>
          <w:iCs/>
          <w:noProof/>
          <w:sz w:val="18"/>
          <w:szCs w:val="18"/>
        </w:rPr>
        <w:t>Int. J. Acad. Res.</w:t>
      </w:r>
      <w:r w:rsidRPr="0060185E">
        <w:rPr>
          <w:noProof/>
          <w:sz w:val="18"/>
          <w:szCs w:val="18"/>
        </w:rPr>
        <w:t>, vol. 3, no. 1, pp. 432–434, 2011.</w:t>
      </w:r>
    </w:p>
    <w:p w14:paraId="7428FB73"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[93]</w:t>
      </w:r>
      <w:r w:rsidRPr="0060185E">
        <w:rPr>
          <w:noProof/>
          <w:sz w:val="18"/>
          <w:szCs w:val="18"/>
        </w:rPr>
        <w:tab/>
        <w:t xml:space="preserve">pala-altone-networks, “What is an Intrusion Prevention System? - Palo Alto Networks,” </w:t>
      </w:r>
      <w:r w:rsidRPr="0060185E">
        <w:rPr>
          <w:i/>
          <w:iCs/>
          <w:noProof/>
          <w:sz w:val="18"/>
          <w:szCs w:val="18"/>
        </w:rPr>
        <w:t>paloaltonetworks.com</w:t>
      </w:r>
      <w:r w:rsidRPr="0060185E">
        <w:rPr>
          <w:noProof/>
          <w:sz w:val="18"/>
          <w:szCs w:val="18"/>
        </w:rPr>
        <w:t>, 2019. [Online]. Available: https://www.paloaltonetworks.com/cyberpedia/what-is-an-intrusion-prevention-system-ips. [Accessed: 02-May-2019].</w:t>
      </w:r>
    </w:p>
    <w:p w14:paraId="63435A7E"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[94]</w:t>
      </w:r>
      <w:r w:rsidRPr="0060185E">
        <w:rPr>
          <w:noProof/>
          <w:sz w:val="18"/>
          <w:szCs w:val="18"/>
        </w:rPr>
        <w:tab/>
        <w:t xml:space="preserve">K. Scarfone and P. Mell, “Guide to Intrusion Detection and Prevention Systems ( IDPS ) Recommendations of the National Institute of Standards and Technology,” </w:t>
      </w:r>
      <w:r w:rsidRPr="0060185E">
        <w:rPr>
          <w:i/>
          <w:iCs/>
          <w:noProof/>
          <w:sz w:val="18"/>
          <w:szCs w:val="18"/>
        </w:rPr>
        <w:t>Nist Spec. Publ.</w:t>
      </w:r>
      <w:r w:rsidRPr="0060185E">
        <w:rPr>
          <w:noProof/>
          <w:sz w:val="18"/>
          <w:szCs w:val="18"/>
        </w:rPr>
        <w:t>, 2007.</w:t>
      </w:r>
    </w:p>
    <w:p w14:paraId="29F38D62"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[95]</w:t>
      </w:r>
      <w:r w:rsidRPr="0060185E">
        <w:rPr>
          <w:noProof/>
          <w:sz w:val="18"/>
          <w:szCs w:val="18"/>
        </w:rPr>
        <w:tab/>
        <w:t xml:space="preserve">Cisco, “Understanding VLANS,” </w:t>
      </w:r>
      <w:r w:rsidRPr="0060185E">
        <w:rPr>
          <w:i/>
          <w:iCs/>
          <w:noProof/>
          <w:sz w:val="18"/>
          <w:szCs w:val="18"/>
        </w:rPr>
        <w:t>cisco.com</w:t>
      </w:r>
      <w:r w:rsidRPr="0060185E">
        <w:rPr>
          <w:noProof/>
          <w:sz w:val="18"/>
          <w:szCs w:val="18"/>
        </w:rPr>
        <w:t>, 2016. [Online]. Available: https://www.cisco.com/c/en/us/td/docs/switches/lan/catalyst4500/12-2/25ew/configuration/guide/conf/vlans.html. [Accessed: 11-Dec-2017].</w:t>
      </w:r>
    </w:p>
    <w:p w14:paraId="7F83BADF"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[96]</w:t>
      </w:r>
      <w:r w:rsidRPr="0060185E">
        <w:rPr>
          <w:noProof/>
          <w:sz w:val="18"/>
          <w:szCs w:val="18"/>
        </w:rPr>
        <w:tab/>
        <w:t xml:space="preserve">Packet Pushers, “Hub and Spoke Site-to-Site VPN Split Tunnel WAN Cloud Topology Diagram,” </w:t>
      </w:r>
      <w:r w:rsidRPr="0060185E">
        <w:rPr>
          <w:i/>
          <w:iCs/>
          <w:noProof/>
          <w:sz w:val="18"/>
          <w:szCs w:val="18"/>
        </w:rPr>
        <w:t>packetpushers.net</w:t>
      </w:r>
      <w:r w:rsidRPr="0060185E">
        <w:rPr>
          <w:noProof/>
          <w:sz w:val="18"/>
          <w:szCs w:val="18"/>
        </w:rPr>
        <w:t>, 2016. [Online]. Available: https://packetpushers.net/simplifying-wan-complexity-active-monitoring/. [Accessed: 30-Apr-2019].</w:t>
      </w:r>
    </w:p>
    <w:p w14:paraId="7BA4E7C8"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[97]</w:t>
      </w:r>
      <w:r w:rsidRPr="0060185E">
        <w:rPr>
          <w:noProof/>
          <w:sz w:val="18"/>
          <w:szCs w:val="18"/>
        </w:rPr>
        <w:tab/>
        <w:t xml:space="preserve">Cisco, “Etherchannel Layer-2 and 3,” </w:t>
      </w:r>
      <w:r w:rsidRPr="0060185E">
        <w:rPr>
          <w:i/>
          <w:iCs/>
          <w:noProof/>
          <w:sz w:val="18"/>
          <w:szCs w:val="18"/>
        </w:rPr>
        <w:t>cisco.com</w:t>
      </w:r>
      <w:r w:rsidRPr="0060185E">
        <w:rPr>
          <w:noProof/>
          <w:sz w:val="18"/>
          <w:szCs w:val="18"/>
        </w:rPr>
        <w:t>, p. 2, 2013.</w:t>
      </w:r>
    </w:p>
    <w:p w14:paraId="005CDDB8"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[98]</w:t>
      </w:r>
      <w:r w:rsidRPr="0060185E">
        <w:rPr>
          <w:noProof/>
          <w:sz w:val="18"/>
          <w:szCs w:val="18"/>
        </w:rPr>
        <w:tab/>
        <w:t xml:space="preserve">Ominsecu, “EtherChannel PAgP and LACP modes,” </w:t>
      </w:r>
      <w:r w:rsidRPr="0060185E">
        <w:rPr>
          <w:i/>
          <w:iCs/>
          <w:noProof/>
          <w:sz w:val="18"/>
          <w:szCs w:val="18"/>
        </w:rPr>
        <w:t>ominsecu.com</w:t>
      </w:r>
      <w:r w:rsidRPr="0060185E">
        <w:rPr>
          <w:noProof/>
          <w:sz w:val="18"/>
          <w:szCs w:val="18"/>
        </w:rPr>
        <w:t>, 2017. [Online]. Available: http://www.omnisecu.com/cisco-certified-network-associate-ccna/etherchannel-pagp-and-lacp-modes.php. [Accessed: 11-Dec-2017].</w:t>
      </w:r>
    </w:p>
    <w:p w14:paraId="05B28B47"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[99]</w:t>
      </w:r>
      <w:r w:rsidRPr="0060185E">
        <w:rPr>
          <w:noProof/>
          <w:sz w:val="18"/>
          <w:szCs w:val="18"/>
        </w:rPr>
        <w:tab/>
        <w:t xml:space="preserve">Cisco, “GLBP - Gateway Load Balancing Protocol - Cisco Systems,” 2014. [Online]. Available: </w:t>
      </w:r>
      <w:r w:rsidRPr="0060185E">
        <w:rPr>
          <w:noProof/>
          <w:sz w:val="18"/>
          <w:szCs w:val="18"/>
        </w:rPr>
        <w:t>https://www.cisco.com/en/US/docs/ios/12_2t/12_2t15/feature/guide/ft_glbp.html. [Accessed: 29-Jan-2020].</w:t>
      </w:r>
    </w:p>
    <w:p w14:paraId="2D95D573"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[100]</w:t>
      </w:r>
      <w:r w:rsidRPr="0060185E">
        <w:rPr>
          <w:noProof/>
          <w:sz w:val="18"/>
          <w:szCs w:val="18"/>
        </w:rPr>
        <w:tab/>
        <w:t xml:space="preserve">Cisco.com, “OSPF MD5 Authentication Overview,” </w:t>
      </w:r>
      <w:r w:rsidRPr="0060185E">
        <w:rPr>
          <w:i/>
          <w:iCs/>
          <w:noProof/>
          <w:sz w:val="18"/>
          <w:szCs w:val="18"/>
        </w:rPr>
        <w:t>cisco.com</w:t>
      </w:r>
      <w:r w:rsidRPr="0060185E">
        <w:rPr>
          <w:noProof/>
          <w:sz w:val="18"/>
          <w:szCs w:val="18"/>
        </w:rPr>
        <w:t>, 2005. [Online]. Available: https://www.cisco.com/c/en/us/support/docs/ip/open-shortest-path-first-ospf/13697-25.html. [Accessed: 11-Dec-2017].</w:t>
      </w:r>
    </w:p>
    <w:p w14:paraId="682A5688"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[101]</w:t>
      </w:r>
      <w:r w:rsidRPr="0060185E">
        <w:rPr>
          <w:noProof/>
          <w:sz w:val="18"/>
          <w:szCs w:val="18"/>
        </w:rPr>
        <w:tab/>
        <w:t xml:space="preserve">cisco, “Open Shortest Path First (OSPF) - Cisco,” </w:t>
      </w:r>
      <w:r w:rsidRPr="0060185E">
        <w:rPr>
          <w:i/>
          <w:iCs/>
          <w:noProof/>
          <w:sz w:val="18"/>
          <w:szCs w:val="18"/>
        </w:rPr>
        <w:t>cisco.com</w:t>
      </w:r>
      <w:r w:rsidRPr="0060185E">
        <w:rPr>
          <w:noProof/>
          <w:sz w:val="18"/>
          <w:szCs w:val="18"/>
        </w:rPr>
        <w:t>, 2017. [Online]. Available: https://www.cisco.com/c/en/us/products/ios-nx-os-software/open-shortest-path-first-ospf/index.html. [Accessed: 14-Feb-2018].</w:t>
      </w:r>
    </w:p>
    <w:p w14:paraId="3B468A71"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[102]</w:t>
      </w:r>
      <w:r w:rsidRPr="0060185E">
        <w:rPr>
          <w:noProof/>
          <w:sz w:val="18"/>
          <w:szCs w:val="18"/>
        </w:rPr>
        <w:tab/>
        <w:t xml:space="preserve">C. O. Agwu, N. E. Nwogbaga, and C. N. Ojiugwo, “The Proposed Roles of VLAN and Inter-VLAN Routing in Effective Distribution of Network Services in Ebonyi State University,” </w:t>
      </w:r>
      <w:r w:rsidRPr="0060185E">
        <w:rPr>
          <w:i/>
          <w:iCs/>
          <w:noProof/>
          <w:sz w:val="18"/>
          <w:szCs w:val="18"/>
        </w:rPr>
        <w:t>Jar. Komput.</w:t>
      </w:r>
      <w:r w:rsidRPr="0060185E">
        <w:rPr>
          <w:noProof/>
          <w:sz w:val="18"/>
          <w:szCs w:val="18"/>
        </w:rPr>
        <w:t>, 2013.</w:t>
      </w:r>
    </w:p>
    <w:p w14:paraId="1C39E9EB"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[103]</w:t>
      </w:r>
      <w:r w:rsidRPr="0060185E">
        <w:rPr>
          <w:noProof/>
          <w:sz w:val="18"/>
          <w:szCs w:val="18"/>
        </w:rPr>
        <w:tab/>
        <w:t>Cisco, “Access SwitchportSecurity,” 2012. [Online]. Available: https://www.cisco.com/c/en/us/td/docs/switches/lan/catalyst4500/12-2/25ew/configuration/guide/conf/port_sec.html. [Accessed: 29-Jan-2020].</w:t>
      </w:r>
    </w:p>
    <w:p w14:paraId="74CFA02E"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[104]</w:t>
      </w:r>
      <w:r w:rsidRPr="0060185E">
        <w:rPr>
          <w:noProof/>
          <w:sz w:val="18"/>
          <w:szCs w:val="18"/>
        </w:rPr>
        <w:tab/>
        <w:t>P. Croak and Y. Kim, “Site Survey Guidelines for WLAN Deployment,” 2013.</w:t>
      </w:r>
    </w:p>
    <w:p w14:paraId="5C40ED4F"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[105]</w:t>
      </w:r>
      <w:r w:rsidRPr="0060185E">
        <w:rPr>
          <w:noProof/>
          <w:sz w:val="18"/>
          <w:szCs w:val="18"/>
        </w:rPr>
        <w:tab/>
        <w:t xml:space="preserve">E. Khorov, A. Kiryanov, A. Lyakhov, and G. Bianchi, “A tutorial on IEEE 802.11ax high efficiency WLANs,” </w:t>
      </w:r>
      <w:r w:rsidRPr="0060185E">
        <w:rPr>
          <w:i/>
          <w:iCs/>
          <w:noProof/>
          <w:sz w:val="18"/>
          <w:szCs w:val="18"/>
        </w:rPr>
        <w:t>IEEE Commun. Surv. Tutorials</w:t>
      </w:r>
      <w:r w:rsidRPr="0060185E">
        <w:rPr>
          <w:noProof/>
          <w:sz w:val="18"/>
          <w:szCs w:val="18"/>
        </w:rPr>
        <w:t>, 2019, doi: 10.1109/COMST.2018.2871099.</w:t>
      </w:r>
    </w:p>
    <w:p w14:paraId="41DCDF6B"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[106]</w:t>
      </w:r>
      <w:r w:rsidRPr="0060185E">
        <w:rPr>
          <w:noProof/>
          <w:sz w:val="18"/>
          <w:szCs w:val="18"/>
        </w:rPr>
        <w:tab/>
        <w:t>F. Mlinarsky, “IEEE802.11T – WLAN Test Methods and Metrics,” 2005.</w:t>
      </w:r>
    </w:p>
    <w:p w14:paraId="5173DF0A"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[107]</w:t>
      </w:r>
      <w:r w:rsidRPr="0060185E">
        <w:rPr>
          <w:noProof/>
          <w:sz w:val="18"/>
          <w:szCs w:val="18"/>
        </w:rPr>
        <w:tab/>
        <w:t xml:space="preserve">K. K. Masade and D. . Bhalerao, “Fifth Generation of Mobile Wireless Communication: 5G,” </w:t>
      </w:r>
      <w:r w:rsidRPr="0060185E">
        <w:rPr>
          <w:i/>
          <w:iCs/>
          <w:noProof/>
          <w:sz w:val="18"/>
          <w:szCs w:val="18"/>
        </w:rPr>
        <w:t>Int. J. P2P Netw. Trends Technol.</w:t>
      </w:r>
      <w:r w:rsidRPr="0060185E">
        <w:rPr>
          <w:noProof/>
          <w:sz w:val="18"/>
          <w:szCs w:val="18"/>
        </w:rPr>
        <w:t>, 2017, doi: 10.14445/22492615/ijptt-v32p401.</w:t>
      </w:r>
    </w:p>
    <w:p w14:paraId="6540744C"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[108]</w:t>
      </w:r>
      <w:r w:rsidRPr="0060185E">
        <w:rPr>
          <w:noProof/>
          <w:sz w:val="18"/>
          <w:szCs w:val="18"/>
        </w:rPr>
        <w:tab/>
        <w:t xml:space="preserve">D. S. J. De Couto, D. Aguayo, J. Bicket, and R. Morris, “A high-throughput path metric for multi-hop wireless routing,” in </w:t>
      </w:r>
      <w:r w:rsidRPr="0060185E">
        <w:rPr>
          <w:i/>
          <w:iCs/>
          <w:noProof/>
          <w:sz w:val="18"/>
          <w:szCs w:val="18"/>
        </w:rPr>
        <w:t>Wireless Networks</w:t>
      </w:r>
      <w:r w:rsidRPr="0060185E">
        <w:rPr>
          <w:noProof/>
          <w:sz w:val="18"/>
          <w:szCs w:val="18"/>
        </w:rPr>
        <w:t>, 2005, vol. 11, no. 4, pp. 419–434, doi: 10.1007/s11276-005-1766-z.</w:t>
      </w:r>
    </w:p>
    <w:p w14:paraId="74BA7680"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[109]</w:t>
      </w:r>
      <w:r w:rsidRPr="0060185E">
        <w:rPr>
          <w:noProof/>
          <w:sz w:val="18"/>
          <w:szCs w:val="18"/>
        </w:rPr>
        <w:tab/>
        <w:t xml:space="preserve">A. Al-Fuqaha, M. Guizani, M. Mohammadi, M. Aledhari, and M. Ayyash, “Internet of Things: A Survey on Enabling Technologies, Protocols, and Applications,” </w:t>
      </w:r>
      <w:r w:rsidRPr="0060185E">
        <w:rPr>
          <w:i/>
          <w:iCs/>
          <w:noProof/>
          <w:sz w:val="18"/>
          <w:szCs w:val="18"/>
        </w:rPr>
        <w:t>IEEE Commun. Surv. Tutorials</w:t>
      </w:r>
      <w:r w:rsidRPr="0060185E">
        <w:rPr>
          <w:noProof/>
          <w:sz w:val="18"/>
          <w:szCs w:val="18"/>
        </w:rPr>
        <w:t>, 2015, doi: 10.1109/COMST.2015.2444095.</w:t>
      </w:r>
    </w:p>
    <w:p w14:paraId="3061061C"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[110]</w:t>
      </w:r>
      <w:r w:rsidRPr="0060185E">
        <w:rPr>
          <w:noProof/>
          <w:sz w:val="18"/>
          <w:szCs w:val="18"/>
        </w:rPr>
        <w:tab/>
        <w:t xml:space="preserve">S. Jahan, M. S. Rahman, and S. Saha, “Application specific tunneling protocol selection for Virtual Private Networks,” in </w:t>
      </w:r>
      <w:r w:rsidRPr="0060185E">
        <w:rPr>
          <w:i/>
          <w:iCs/>
          <w:noProof/>
          <w:sz w:val="18"/>
          <w:szCs w:val="18"/>
        </w:rPr>
        <w:t>Proceedings of 2017 International Conference on Networking, Systems and Security, NSysS 2017</w:t>
      </w:r>
      <w:r w:rsidRPr="0060185E">
        <w:rPr>
          <w:noProof/>
          <w:sz w:val="18"/>
          <w:szCs w:val="18"/>
        </w:rPr>
        <w:t>, 2017, doi: 10.1109/NSysS.2017.7885799.</w:t>
      </w:r>
    </w:p>
    <w:p w14:paraId="15343285"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[111]</w:t>
      </w:r>
      <w:r w:rsidRPr="0060185E">
        <w:rPr>
          <w:noProof/>
          <w:sz w:val="18"/>
          <w:szCs w:val="18"/>
        </w:rPr>
        <w:tab/>
        <w:t xml:space="preserve">M. Fadhli, F. A. Munshi, and T. A. Wicaksono, “Ancaman Keamanan pada Transport Layer Security,” </w:t>
      </w:r>
      <w:r w:rsidRPr="0060185E">
        <w:rPr>
          <w:i/>
          <w:iCs/>
          <w:noProof/>
          <w:sz w:val="18"/>
          <w:szCs w:val="18"/>
        </w:rPr>
        <w:t>J. Ultim. Comput.</w:t>
      </w:r>
      <w:r w:rsidRPr="0060185E">
        <w:rPr>
          <w:noProof/>
          <w:sz w:val="18"/>
          <w:szCs w:val="18"/>
        </w:rPr>
        <w:t>, 2018, doi: 10.31937/sk.v7i2.234.</w:t>
      </w:r>
    </w:p>
    <w:p w14:paraId="0E82E3B3"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[112]</w:t>
      </w:r>
      <w:r w:rsidRPr="0060185E">
        <w:rPr>
          <w:noProof/>
          <w:sz w:val="18"/>
          <w:szCs w:val="18"/>
        </w:rPr>
        <w:tab/>
        <w:t xml:space="preserve">A. Skendzic and B. Kovacic, “Microsoft Office 365 - Cloud in business environment,” in </w:t>
      </w:r>
      <w:r w:rsidRPr="0060185E">
        <w:rPr>
          <w:i/>
          <w:iCs/>
          <w:noProof/>
          <w:sz w:val="18"/>
          <w:szCs w:val="18"/>
        </w:rPr>
        <w:t xml:space="preserve">MIPRO 2012 - 35th International Convention on Information and </w:t>
      </w:r>
      <w:r w:rsidRPr="0060185E">
        <w:rPr>
          <w:i/>
          <w:iCs/>
          <w:noProof/>
          <w:sz w:val="18"/>
          <w:szCs w:val="18"/>
        </w:rPr>
        <w:lastRenderedPageBreak/>
        <w:t>Communication Technology, Electronics and Microelectronics - Proceedings</w:t>
      </w:r>
      <w:r w:rsidRPr="0060185E">
        <w:rPr>
          <w:noProof/>
          <w:sz w:val="18"/>
          <w:szCs w:val="18"/>
        </w:rPr>
        <w:t>, 2012.</w:t>
      </w:r>
    </w:p>
    <w:p w14:paraId="4E65F32A"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[113]</w:t>
      </w:r>
      <w:r w:rsidRPr="0060185E">
        <w:rPr>
          <w:noProof/>
          <w:sz w:val="18"/>
          <w:szCs w:val="18"/>
        </w:rPr>
        <w:tab/>
        <w:t xml:space="preserve">oracle, “Overview of RAID 1 (Mirror) Volumes (Solaris Volume Manager Administration Guide),” </w:t>
      </w:r>
      <w:r w:rsidRPr="0060185E">
        <w:rPr>
          <w:i/>
          <w:iCs/>
          <w:noProof/>
          <w:sz w:val="18"/>
          <w:szCs w:val="18"/>
        </w:rPr>
        <w:t>oracle.com</w:t>
      </w:r>
      <w:r w:rsidRPr="0060185E">
        <w:rPr>
          <w:noProof/>
          <w:sz w:val="18"/>
          <w:szCs w:val="18"/>
        </w:rPr>
        <w:t>, 2010. [Online]. Available: https://docs.oracle.com/cd/E19683-01/817-5776/about-metadevices-9/index.html. [Accessed: 14-Feb-2018].</w:t>
      </w:r>
    </w:p>
    <w:p w14:paraId="382E6162"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[114]</w:t>
      </w:r>
      <w:r w:rsidRPr="0060185E">
        <w:rPr>
          <w:noProof/>
          <w:sz w:val="18"/>
          <w:szCs w:val="18"/>
        </w:rPr>
        <w:tab/>
        <w:t xml:space="preserve">A. Sholehudin, “MIRRORING CLOUD STORAGE MENGGUNAKAN OWNCLOUD UNTUK AKSES, SINKRONISASI, DAN SHARE DATA,” </w:t>
      </w:r>
      <w:r w:rsidRPr="0060185E">
        <w:rPr>
          <w:i/>
          <w:iCs/>
          <w:noProof/>
          <w:sz w:val="18"/>
          <w:szCs w:val="18"/>
        </w:rPr>
        <w:t>J. Manaj. Inform.</w:t>
      </w:r>
      <w:r w:rsidRPr="0060185E">
        <w:rPr>
          <w:noProof/>
          <w:sz w:val="18"/>
          <w:szCs w:val="18"/>
        </w:rPr>
        <w:t>, 2016.</w:t>
      </w:r>
    </w:p>
    <w:p w14:paraId="665ABF3F"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[115]</w:t>
      </w:r>
      <w:r w:rsidRPr="0060185E">
        <w:rPr>
          <w:noProof/>
          <w:sz w:val="18"/>
          <w:szCs w:val="18"/>
        </w:rPr>
        <w:tab/>
        <w:t xml:space="preserve">M. Frampton and M. Frampton, “Cloud Storage,” in </w:t>
      </w:r>
      <w:r w:rsidRPr="0060185E">
        <w:rPr>
          <w:i/>
          <w:iCs/>
          <w:noProof/>
          <w:sz w:val="18"/>
          <w:szCs w:val="18"/>
        </w:rPr>
        <w:t>Complete Guide to Open Source Big Data Stack</w:t>
      </w:r>
      <w:r w:rsidRPr="0060185E">
        <w:rPr>
          <w:noProof/>
          <w:sz w:val="18"/>
          <w:szCs w:val="18"/>
        </w:rPr>
        <w:t>, 2018.</w:t>
      </w:r>
    </w:p>
    <w:p w14:paraId="4267BB23"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[116]</w:t>
      </w:r>
      <w:r w:rsidRPr="0060185E">
        <w:rPr>
          <w:noProof/>
          <w:sz w:val="18"/>
          <w:szCs w:val="18"/>
        </w:rPr>
        <w:tab/>
        <w:t xml:space="preserve">techtarget.com, “What is physical security? - Definition from WhatIs.com,” </w:t>
      </w:r>
      <w:r w:rsidRPr="0060185E">
        <w:rPr>
          <w:i/>
          <w:iCs/>
          <w:noProof/>
          <w:sz w:val="18"/>
          <w:szCs w:val="18"/>
        </w:rPr>
        <w:t>techtarget</w:t>
      </w:r>
      <w:r w:rsidRPr="0060185E">
        <w:rPr>
          <w:noProof/>
          <w:sz w:val="18"/>
          <w:szCs w:val="18"/>
        </w:rPr>
        <w:t>, 2017. [Online]. Available: http://searchsecurity.techtarget.com/definition/physical-security. [Accessed: 11-Dec-2017].</w:t>
      </w:r>
    </w:p>
    <w:p w14:paraId="20831318"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[117]</w:t>
      </w:r>
      <w:r w:rsidRPr="0060185E">
        <w:rPr>
          <w:noProof/>
          <w:sz w:val="18"/>
          <w:szCs w:val="18"/>
        </w:rPr>
        <w:tab/>
        <w:t>Cisco, “Cisco Physical Security,” 2008.</w:t>
      </w:r>
    </w:p>
    <w:p w14:paraId="5F805057"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[118]</w:t>
      </w:r>
      <w:r w:rsidRPr="0060185E">
        <w:rPr>
          <w:noProof/>
          <w:sz w:val="18"/>
          <w:szCs w:val="18"/>
        </w:rPr>
        <w:tab/>
        <w:t>Cisco, “Cisco 4331 Integrated Services Router - Cisco,” 2020. [Online]. Available: https://www.cisco.com/c/en/us/support/routers/4331-integrated-services-router-isr/model.html. [Accessed: 30-Jan-2020].</w:t>
      </w:r>
    </w:p>
    <w:p w14:paraId="58970487"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[119]</w:t>
      </w:r>
      <w:r w:rsidRPr="0060185E">
        <w:rPr>
          <w:noProof/>
          <w:sz w:val="18"/>
          <w:szCs w:val="18"/>
        </w:rPr>
        <w:tab/>
        <w:t xml:space="preserve">Cisco, “Cisco SGE2000 24-Port Gigabit Switch Data Sheet - Cisco,” </w:t>
      </w:r>
      <w:r w:rsidRPr="0060185E">
        <w:rPr>
          <w:i/>
          <w:iCs/>
          <w:noProof/>
          <w:sz w:val="18"/>
          <w:szCs w:val="18"/>
        </w:rPr>
        <w:t>cisco.com</w:t>
      </w:r>
      <w:r w:rsidRPr="0060185E">
        <w:rPr>
          <w:noProof/>
          <w:sz w:val="18"/>
          <w:szCs w:val="18"/>
        </w:rPr>
        <w:t>, 2018. [Online]. Available: https://www.cisco.com/c/en/us/products/collateral/switches/sge2000-24-port-gigabit-switch/data_sheet_c78-502447.html. [Accessed: 14-May-2018].</w:t>
      </w:r>
    </w:p>
    <w:p w14:paraId="3495909A"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[120]</w:t>
      </w:r>
      <w:r w:rsidRPr="0060185E">
        <w:rPr>
          <w:noProof/>
          <w:sz w:val="18"/>
          <w:szCs w:val="18"/>
        </w:rPr>
        <w:tab/>
        <w:t>Fortinet, “FortiGate ® 100E Series,” 2019.</w:t>
      </w:r>
    </w:p>
    <w:p w14:paraId="68D92A73"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[121]</w:t>
      </w:r>
      <w:r w:rsidRPr="0060185E">
        <w:rPr>
          <w:noProof/>
          <w:sz w:val="18"/>
          <w:szCs w:val="18"/>
        </w:rPr>
        <w:tab/>
        <w:t>Cisco, “Cisco Wireless LAN Controller 4400 product specification- Cisco,” 2018. [Online]. Available: https://www.cisco.com/c/en/us/td/docs/wireless/controller/6-0/configuration/guide/Controller60CG/c60ovrv.html. [Accessed: 30-Jan-2020].</w:t>
      </w:r>
    </w:p>
    <w:p w14:paraId="6E3E7B0E"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[122]</w:t>
      </w:r>
      <w:r w:rsidRPr="0060185E">
        <w:rPr>
          <w:noProof/>
          <w:sz w:val="18"/>
          <w:szCs w:val="18"/>
        </w:rPr>
        <w:tab/>
        <w:t>Cisco, “Cisco Catalyst 9115 Series Wi-Fi 6 Access Points Data Sheet - Cisco,” 2019. [Online]. Available: https://www.cisco.com/c/en/us/products/collateral/wireless/catalyst-9100ax-access-points/datasheet-c78-741988.html. [Accessed: 30-Jan-2020].</w:t>
      </w:r>
    </w:p>
    <w:p w14:paraId="6E03BCE6"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[123]</w:t>
      </w:r>
      <w:r w:rsidRPr="0060185E">
        <w:rPr>
          <w:noProof/>
          <w:sz w:val="18"/>
          <w:szCs w:val="18"/>
        </w:rPr>
        <w:tab/>
        <w:t xml:space="preserve">S. Gupta </w:t>
      </w:r>
      <w:r w:rsidRPr="0060185E">
        <w:rPr>
          <w:i/>
          <w:iCs/>
          <w:noProof/>
          <w:sz w:val="18"/>
          <w:szCs w:val="18"/>
        </w:rPr>
        <w:t>et al.</w:t>
      </w:r>
      <w:r w:rsidRPr="0060185E">
        <w:rPr>
          <w:noProof/>
          <w:sz w:val="18"/>
          <w:szCs w:val="18"/>
        </w:rPr>
        <w:t xml:space="preserve">, “A 10Gb/s IEEE 802.3an-compliant Ethernet transceiver for 100m UTP cable in 0.13μm CMOS,” in </w:t>
      </w:r>
      <w:r w:rsidRPr="0060185E">
        <w:rPr>
          <w:i/>
          <w:iCs/>
          <w:noProof/>
          <w:sz w:val="18"/>
          <w:szCs w:val="18"/>
        </w:rPr>
        <w:t>Digest of Technical Papers - IEEE International Solid-State Circuits Conference</w:t>
      </w:r>
      <w:r w:rsidRPr="0060185E">
        <w:rPr>
          <w:noProof/>
          <w:sz w:val="18"/>
          <w:szCs w:val="18"/>
        </w:rPr>
        <w:t>, 2008, doi: 10.1109/ISSCC.2008.4523079.</w:t>
      </w:r>
    </w:p>
    <w:p w14:paraId="2072A44A"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[124]</w:t>
      </w:r>
      <w:r w:rsidRPr="0060185E">
        <w:rPr>
          <w:noProof/>
          <w:sz w:val="18"/>
          <w:szCs w:val="18"/>
        </w:rPr>
        <w:tab/>
        <w:t xml:space="preserve">C. Fang and F. Marle, “A simulation-based risk network model for decision support in project risk management,” </w:t>
      </w:r>
      <w:r w:rsidRPr="0060185E">
        <w:rPr>
          <w:i/>
          <w:iCs/>
          <w:noProof/>
          <w:sz w:val="18"/>
          <w:szCs w:val="18"/>
        </w:rPr>
        <w:t>Decis. Support Syst.</w:t>
      </w:r>
      <w:r w:rsidRPr="0060185E">
        <w:rPr>
          <w:noProof/>
          <w:sz w:val="18"/>
          <w:szCs w:val="18"/>
        </w:rPr>
        <w:t>, 2012, doi: 10.1016/j.dss.2011.10.021.</w:t>
      </w:r>
    </w:p>
    <w:p w14:paraId="6915718A"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[125]</w:t>
      </w:r>
      <w:r w:rsidRPr="0060185E">
        <w:rPr>
          <w:noProof/>
          <w:sz w:val="18"/>
          <w:szCs w:val="18"/>
        </w:rPr>
        <w:tab/>
        <w:t>SolarWinds, “SolarWinds Overview Brochure - Datasheet | SolarWinds.”</w:t>
      </w:r>
    </w:p>
    <w:p w14:paraId="76B19FFC"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[126]</w:t>
      </w:r>
      <w:r w:rsidRPr="0060185E">
        <w:rPr>
          <w:noProof/>
          <w:sz w:val="18"/>
          <w:szCs w:val="18"/>
        </w:rPr>
        <w:tab/>
        <w:t>SolarWinds, “Network Monitoring Alerts - Network Notification Software | SolarWinds.”</w:t>
      </w:r>
    </w:p>
    <w:p w14:paraId="1753731F"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[127]</w:t>
      </w:r>
      <w:r w:rsidRPr="0060185E">
        <w:rPr>
          <w:noProof/>
          <w:sz w:val="18"/>
          <w:szCs w:val="18"/>
        </w:rPr>
        <w:tab/>
        <w:t xml:space="preserve">L. Obregon, “Infrastructure Security Architecture for Effective Security Monitoring Infrastructure Security Architecture for Effective Security Monitoring GIAC (GCIA) Gold Certification,” </w:t>
      </w:r>
      <w:r w:rsidRPr="0060185E">
        <w:rPr>
          <w:i/>
          <w:iCs/>
          <w:noProof/>
          <w:sz w:val="18"/>
          <w:szCs w:val="18"/>
        </w:rPr>
        <w:t>sans.org</w:t>
      </w:r>
      <w:r w:rsidRPr="0060185E">
        <w:rPr>
          <w:noProof/>
          <w:sz w:val="18"/>
          <w:szCs w:val="18"/>
        </w:rPr>
        <w:t>, 2015.</w:t>
      </w:r>
    </w:p>
    <w:p w14:paraId="77742761"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[128]</w:t>
      </w:r>
      <w:r w:rsidRPr="0060185E">
        <w:rPr>
          <w:noProof/>
          <w:sz w:val="18"/>
          <w:szCs w:val="18"/>
        </w:rPr>
        <w:tab/>
        <w:t>Cisco, “Network Monitoring - Cisco.” [Online]. Available: https://www.cisco.com/c/en/us/tech/network-management/network-monitoring/index.html. [Accessed: 22-Jan-2019].</w:t>
      </w:r>
    </w:p>
    <w:p w14:paraId="3E179A24"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[129]</w:t>
      </w:r>
      <w:r w:rsidRPr="0060185E">
        <w:rPr>
          <w:noProof/>
          <w:sz w:val="18"/>
          <w:szCs w:val="18"/>
        </w:rPr>
        <w:tab/>
        <w:t>B. I. Lewis, “ISO - ISO/IEC 27000 – key International Standard for information security revised,” 2018. [Online]. Available: https://www.iso.org/news/ref2266.html. [Accessed: 29-Jan-2020].</w:t>
      </w:r>
    </w:p>
    <w:p w14:paraId="2A81321E"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[130]</w:t>
      </w:r>
      <w:r w:rsidRPr="0060185E">
        <w:rPr>
          <w:noProof/>
          <w:sz w:val="18"/>
          <w:szCs w:val="18"/>
        </w:rPr>
        <w:tab/>
        <w:t>IT-Governance, “IT Standards | IT Governance UK,” 2020. [Online]. Available: https://www.itgovernance.co.uk/standards. [Accessed: 30-Jan-2020].</w:t>
      </w:r>
    </w:p>
    <w:p w14:paraId="396C76F9"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[131]</w:t>
      </w:r>
      <w:r w:rsidRPr="0060185E">
        <w:rPr>
          <w:noProof/>
          <w:sz w:val="18"/>
          <w:szCs w:val="18"/>
        </w:rPr>
        <w:tab/>
        <w:t>ISO 5 years, “ISO - ISO/IEC 27000:2016 - Information technology — Security techniques — Information security management systems — Overview and vocabulary.” [Online]. Available: https://www.iso.org/standard/66435.html. [Accessed: 30-Jan-2020].</w:t>
      </w:r>
    </w:p>
    <w:p w14:paraId="111D12A4"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[132]</w:t>
      </w:r>
      <w:r w:rsidRPr="0060185E">
        <w:rPr>
          <w:noProof/>
          <w:sz w:val="18"/>
          <w:szCs w:val="18"/>
        </w:rPr>
        <w:tab/>
        <w:t xml:space="preserve">International Organization for Standardization (ISO), “ISO/IEC 27001. Information security management.,” </w:t>
      </w:r>
      <w:r w:rsidRPr="0060185E">
        <w:rPr>
          <w:i/>
          <w:iCs/>
          <w:noProof/>
          <w:sz w:val="18"/>
          <w:szCs w:val="18"/>
        </w:rPr>
        <w:t>Website</w:t>
      </w:r>
      <w:r w:rsidRPr="0060185E">
        <w:rPr>
          <w:noProof/>
          <w:sz w:val="18"/>
          <w:szCs w:val="18"/>
        </w:rPr>
        <w:t>, 2015. .</w:t>
      </w:r>
    </w:p>
    <w:p w14:paraId="2360CB70"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[133]</w:t>
      </w:r>
      <w:r w:rsidRPr="0060185E">
        <w:rPr>
          <w:noProof/>
          <w:sz w:val="18"/>
          <w:szCs w:val="18"/>
        </w:rPr>
        <w:tab/>
        <w:t xml:space="preserve">ISO/IEC27002, “Iso 27002,” </w:t>
      </w:r>
      <w:r w:rsidRPr="0060185E">
        <w:rPr>
          <w:i/>
          <w:iCs/>
          <w:noProof/>
          <w:sz w:val="18"/>
          <w:szCs w:val="18"/>
        </w:rPr>
        <w:t>Iso Iec</w:t>
      </w:r>
      <w:r w:rsidRPr="0060185E">
        <w:rPr>
          <w:noProof/>
          <w:sz w:val="18"/>
          <w:szCs w:val="18"/>
        </w:rPr>
        <w:t>, 2013, doi: 10.1016/j.emj.2004.09.025.</w:t>
      </w:r>
    </w:p>
    <w:p w14:paraId="53694175"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[134]</w:t>
      </w:r>
      <w:r w:rsidRPr="0060185E">
        <w:rPr>
          <w:noProof/>
          <w:sz w:val="18"/>
          <w:szCs w:val="18"/>
        </w:rPr>
        <w:tab/>
        <w:t xml:space="preserve">Info Cloud, “An Overview of ISO/IEC 27000 family of Information Security Management System Standards,” </w:t>
      </w:r>
      <w:r w:rsidRPr="0060185E">
        <w:rPr>
          <w:i/>
          <w:iCs/>
          <w:noProof/>
          <w:sz w:val="18"/>
          <w:szCs w:val="18"/>
        </w:rPr>
        <w:t>06/2016</w:t>
      </w:r>
      <w:r w:rsidRPr="0060185E">
        <w:rPr>
          <w:noProof/>
          <w:sz w:val="18"/>
          <w:szCs w:val="18"/>
        </w:rPr>
        <w:t>, 2016.</w:t>
      </w:r>
    </w:p>
    <w:p w14:paraId="08010112"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[135]</w:t>
      </w:r>
      <w:r w:rsidRPr="0060185E">
        <w:rPr>
          <w:noProof/>
          <w:sz w:val="18"/>
          <w:szCs w:val="18"/>
        </w:rPr>
        <w:tab/>
        <w:t>Gartner, “Gartner Forecasts Worldwide Public Cloud Revenue to Grow 17.5 Percent in 2019,” 2019. [Online]. Available: https://www.gartner.com/en/newsroom/press-releases/2019-04-02-gartner-forecasts-worldwide-public-cloud-revenue-to-g. [Accessed: 30-Jan-2020].</w:t>
      </w:r>
    </w:p>
    <w:p w14:paraId="2992C1AB"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[136]</w:t>
      </w:r>
      <w:r w:rsidRPr="0060185E">
        <w:rPr>
          <w:noProof/>
          <w:sz w:val="18"/>
          <w:szCs w:val="18"/>
        </w:rPr>
        <w:tab/>
        <w:t xml:space="preserve">ITIL, “ITIL Organisation,” </w:t>
      </w:r>
      <w:r w:rsidRPr="0060185E">
        <w:rPr>
          <w:i/>
          <w:iCs/>
          <w:noProof/>
          <w:sz w:val="18"/>
          <w:szCs w:val="18"/>
        </w:rPr>
        <w:t>ITIL.org.uk</w:t>
      </w:r>
      <w:r w:rsidRPr="0060185E">
        <w:rPr>
          <w:noProof/>
          <w:sz w:val="18"/>
          <w:szCs w:val="18"/>
        </w:rPr>
        <w:t>. [Online]. Available: https://www.itil.org.uk/. [Accessed: 30-Jan-2020].</w:t>
      </w:r>
    </w:p>
    <w:p w14:paraId="7E1C8473"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[137]</w:t>
      </w:r>
      <w:r w:rsidRPr="0060185E">
        <w:rPr>
          <w:noProof/>
          <w:sz w:val="18"/>
          <w:szCs w:val="18"/>
        </w:rPr>
        <w:tab/>
        <w:t xml:space="preserve">R. Jašek, L. Králík, and M. Popelka, “ITIL® and information security,” in </w:t>
      </w:r>
      <w:r w:rsidRPr="0060185E">
        <w:rPr>
          <w:i/>
          <w:iCs/>
          <w:noProof/>
          <w:sz w:val="18"/>
          <w:szCs w:val="18"/>
        </w:rPr>
        <w:t>AIP Conference Proceedings</w:t>
      </w:r>
      <w:r w:rsidRPr="0060185E">
        <w:rPr>
          <w:noProof/>
          <w:sz w:val="18"/>
          <w:szCs w:val="18"/>
        </w:rPr>
        <w:t>, 2015, doi: 10.1063/1.4912775.</w:t>
      </w:r>
    </w:p>
    <w:p w14:paraId="27122CFC"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[138]</w:t>
      </w:r>
      <w:r w:rsidRPr="0060185E">
        <w:rPr>
          <w:noProof/>
          <w:sz w:val="18"/>
          <w:szCs w:val="18"/>
        </w:rPr>
        <w:tab/>
        <w:t xml:space="preserve">H. Chesbrough, “Business model innovation: Opportunities and barriers,” </w:t>
      </w:r>
      <w:r w:rsidRPr="0060185E">
        <w:rPr>
          <w:i/>
          <w:iCs/>
          <w:noProof/>
          <w:sz w:val="18"/>
          <w:szCs w:val="18"/>
        </w:rPr>
        <w:t>Long Range Plann.</w:t>
      </w:r>
      <w:r w:rsidRPr="0060185E">
        <w:rPr>
          <w:noProof/>
          <w:sz w:val="18"/>
          <w:szCs w:val="18"/>
        </w:rPr>
        <w:t>, 2010, doi: 10.1016/j.lrp.2009.07.010.</w:t>
      </w:r>
    </w:p>
    <w:p w14:paraId="7F54871A"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[139]</w:t>
      </w:r>
      <w:r w:rsidRPr="0060185E">
        <w:rPr>
          <w:noProof/>
          <w:sz w:val="18"/>
          <w:szCs w:val="18"/>
        </w:rPr>
        <w:tab/>
        <w:t xml:space="preserve">HM Government, “Cyber Essentials Scheme: Assurance Framework,” </w:t>
      </w:r>
      <w:r w:rsidRPr="0060185E">
        <w:rPr>
          <w:i/>
          <w:iCs/>
          <w:noProof/>
          <w:sz w:val="18"/>
          <w:szCs w:val="18"/>
        </w:rPr>
        <w:t>Comput. Secur.</w:t>
      </w:r>
      <w:r w:rsidRPr="0060185E">
        <w:rPr>
          <w:noProof/>
          <w:sz w:val="18"/>
          <w:szCs w:val="18"/>
        </w:rPr>
        <w:t>, 2014, doi: 10.1109/INDIN.2013.6622963.</w:t>
      </w:r>
    </w:p>
    <w:p w14:paraId="68CFDC31"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[140]</w:t>
      </w:r>
      <w:r w:rsidRPr="0060185E">
        <w:rPr>
          <w:noProof/>
          <w:sz w:val="18"/>
          <w:szCs w:val="18"/>
        </w:rPr>
        <w:tab/>
        <w:t xml:space="preserve">UKGovt-NCSC, “Cyber Essentials Scheme - Requirements,” </w:t>
      </w:r>
      <w:r w:rsidRPr="0060185E">
        <w:rPr>
          <w:i/>
          <w:iCs/>
          <w:noProof/>
          <w:sz w:val="18"/>
          <w:szCs w:val="18"/>
        </w:rPr>
        <w:t>Comput. Secur.</w:t>
      </w:r>
      <w:r w:rsidRPr="0060185E">
        <w:rPr>
          <w:noProof/>
          <w:sz w:val="18"/>
          <w:szCs w:val="18"/>
        </w:rPr>
        <w:t>, 2014, doi: 10.1109/INDIN.2013.6622963.</w:t>
      </w:r>
    </w:p>
    <w:p w14:paraId="093F2570"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[141]</w:t>
      </w:r>
      <w:r w:rsidRPr="0060185E">
        <w:rPr>
          <w:noProof/>
          <w:sz w:val="18"/>
          <w:szCs w:val="18"/>
        </w:rPr>
        <w:tab/>
        <w:t xml:space="preserve">PciPolicyPortal, “PCI-DSS Merchant Levels 1 - 4 for VISA and Mastercard for SAQ and Level 1,” 2019. [Online]. </w:t>
      </w:r>
      <w:r w:rsidRPr="0060185E">
        <w:rPr>
          <w:noProof/>
          <w:sz w:val="18"/>
          <w:szCs w:val="18"/>
        </w:rPr>
        <w:lastRenderedPageBreak/>
        <w:t>Available: https://pcipolicyportal.com/what-is-pci/merchants/. [Accessed: 30-Jan-2020].</w:t>
      </w:r>
    </w:p>
    <w:p w14:paraId="568BE0CD"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[142]</w:t>
      </w:r>
      <w:r w:rsidRPr="0060185E">
        <w:rPr>
          <w:noProof/>
          <w:sz w:val="18"/>
          <w:szCs w:val="18"/>
        </w:rPr>
        <w:tab/>
        <w:t xml:space="preserve">A. Bhargav, “Payment Card Industry Data Security Standard (PCI-DSS),” in </w:t>
      </w:r>
      <w:r w:rsidRPr="0060185E">
        <w:rPr>
          <w:i/>
          <w:iCs/>
          <w:noProof/>
          <w:sz w:val="18"/>
          <w:szCs w:val="18"/>
        </w:rPr>
        <w:t>PCI Compliance</w:t>
      </w:r>
      <w:r w:rsidRPr="0060185E">
        <w:rPr>
          <w:noProof/>
          <w:sz w:val="18"/>
          <w:szCs w:val="18"/>
        </w:rPr>
        <w:t>, 2014.</w:t>
      </w:r>
    </w:p>
    <w:p w14:paraId="4F3BEB45"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[143]</w:t>
      </w:r>
      <w:r w:rsidRPr="0060185E">
        <w:rPr>
          <w:noProof/>
          <w:sz w:val="18"/>
          <w:szCs w:val="18"/>
        </w:rPr>
        <w:tab/>
        <w:t>IT-Governence, “The PCI DSS | IT Governance UK | IT Governance UK,” 2019. [Online]. Available: https://www.itgovernance.co.uk/pci_dss. [Accessed: 30-Jan-2020].</w:t>
      </w:r>
    </w:p>
    <w:p w14:paraId="48BD84E4"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[144]</w:t>
      </w:r>
      <w:r w:rsidRPr="0060185E">
        <w:rPr>
          <w:noProof/>
          <w:sz w:val="18"/>
          <w:szCs w:val="18"/>
        </w:rPr>
        <w:tab/>
        <w:t>PCI-Security-Standards, “PCI DSS Quick Reference Guide Understanding the Payment Card Industry Data Security Standard version 2.0,” 2010.</w:t>
      </w:r>
    </w:p>
    <w:p w14:paraId="299FFBF7"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[145]</w:t>
      </w:r>
      <w:r w:rsidRPr="0060185E">
        <w:rPr>
          <w:noProof/>
          <w:sz w:val="18"/>
          <w:szCs w:val="18"/>
        </w:rPr>
        <w:tab/>
        <w:t>Varonis, “What is PCI Compliance: Requirements and Penalties | Varonis,” 2019. [Online]. Available: https://www.varonis.com/blog/pci-compliance/. [Accessed: 30-Jan-2020].</w:t>
      </w:r>
    </w:p>
    <w:p w14:paraId="79920419"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[146]</w:t>
      </w:r>
      <w:r w:rsidRPr="0060185E">
        <w:rPr>
          <w:noProof/>
          <w:sz w:val="18"/>
          <w:szCs w:val="18"/>
        </w:rPr>
        <w:tab/>
        <w:t xml:space="preserve">Y.-S. Bae, “A study of Effect of Information Security Management System [ISMS] Certification on Organization Performance,” </w:t>
      </w:r>
      <w:r w:rsidRPr="0060185E">
        <w:rPr>
          <w:i/>
          <w:iCs/>
          <w:noProof/>
          <w:sz w:val="18"/>
          <w:szCs w:val="18"/>
        </w:rPr>
        <w:t>J. Korea Acad. Coop. Soc.</w:t>
      </w:r>
      <w:r w:rsidRPr="0060185E">
        <w:rPr>
          <w:noProof/>
          <w:sz w:val="18"/>
          <w:szCs w:val="18"/>
        </w:rPr>
        <w:t>, 2012, doi: 10.5762/kais.2012.13.9.4224.</w:t>
      </w:r>
    </w:p>
    <w:p w14:paraId="71B43D52" w14:textId="77777777" w:rsidR="0060185E" w:rsidRPr="0060185E" w:rsidRDefault="0060185E" w:rsidP="0060185E">
      <w:pPr>
        <w:widowControl w:val="0"/>
        <w:autoSpaceDE w:val="0"/>
        <w:autoSpaceDN w:val="0"/>
        <w:adjustRightInd w:val="0"/>
        <w:spacing w:after="200"/>
        <w:ind w:left="640" w:hanging="640"/>
        <w:jc w:val="both"/>
        <w:rPr>
          <w:noProof/>
          <w:sz w:val="18"/>
          <w:szCs w:val="18"/>
        </w:rPr>
      </w:pPr>
      <w:r w:rsidRPr="0060185E">
        <w:rPr>
          <w:noProof/>
          <w:sz w:val="18"/>
          <w:szCs w:val="18"/>
        </w:rPr>
        <w:t>[147]</w:t>
      </w:r>
      <w:r w:rsidRPr="0060185E">
        <w:rPr>
          <w:noProof/>
          <w:sz w:val="18"/>
          <w:szCs w:val="18"/>
        </w:rPr>
        <w:tab/>
        <w:t>BSI-Group, “Information Security Management Systems (ISMS) Training Course: Internal Auditor ISO/IEC 27001:2013 | India,” 2019. [Online]. Available: https://www.bsigroup.com/en-IN/ISOIEC-27001-Information-Security/Training-courses-for-ISO-27001/Information-Security-Management-Systems-ISMS-Training-Course-Internal-Auditor-ISOIEC-270012013/. [Accessed: 30-Jan-2020].</w:t>
      </w:r>
    </w:p>
    <w:p w14:paraId="3C1ABE2A" w14:textId="0F83037D" w:rsidR="0060185E" w:rsidRPr="0060185E" w:rsidRDefault="0060185E" w:rsidP="0060185E">
      <w:pPr>
        <w:pStyle w:val="Abstract"/>
        <w:rPr>
          <w:b w:val="0"/>
          <w:lang w:val="en-GB"/>
        </w:rPr>
      </w:pPr>
      <w:r w:rsidRPr="0060185E">
        <w:rPr>
          <w:b w:val="0"/>
          <w:lang w:val="en-GB"/>
        </w:rPr>
        <w:fldChar w:fldCharType="end"/>
      </w:r>
    </w:p>
    <w:p w14:paraId="332C0565" w14:textId="67D4E61E" w:rsidR="002C13FE" w:rsidRDefault="009050AA" w:rsidP="007B757A">
      <w:pPr>
        <w:pStyle w:val="Heading1"/>
        <w:numPr>
          <w:ilvl w:val="0"/>
          <w:numId w:val="31"/>
        </w:numPr>
        <w:spacing w:before="0"/>
        <w:rPr>
          <w:sz w:val="24"/>
        </w:rPr>
      </w:pPr>
      <w:r>
        <w:rPr>
          <w:sz w:val="24"/>
        </w:rPr>
        <w:t>Appendi</w:t>
      </w:r>
      <w:r w:rsidR="0070522C">
        <w:rPr>
          <w:sz w:val="24"/>
        </w:rPr>
        <w:t xml:space="preserve">x </w:t>
      </w:r>
      <w:r w:rsidR="002C13FE">
        <w:rPr>
          <w:sz w:val="24"/>
        </w:rPr>
        <w:t>–</w:t>
      </w:r>
      <w:r w:rsidR="0070522C">
        <w:rPr>
          <w:sz w:val="24"/>
        </w:rPr>
        <w:t xml:space="preserve"> A</w:t>
      </w:r>
    </w:p>
    <w:p w14:paraId="6ED4E761" w14:textId="326AD92C" w:rsidR="000A6D79" w:rsidRDefault="002C13FE" w:rsidP="000A6D79">
      <w:pPr>
        <w:rPr>
          <w:sz w:val="24"/>
          <w:szCs w:val="24"/>
        </w:rPr>
      </w:pPr>
      <w:r w:rsidRPr="002C13FE">
        <w:rPr>
          <w:sz w:val="24"/>
          <w:szCs w:val="24"/>
        </w:rPr>
        <w:t>Data Security Standards, Frameworks and Security Models Research</w:t>
      </w:r>
    </w:p>
    <w:p w14:paraId="481A45C6" w14:textId="77777777" w:rsidR="000A6D79" w:rsidRDefault="000A6D79" w:rsidP="000A6D79">
      <w:pPr>
        <w:spacing w:line="72" w:lineRule="auto"/>
        <w:rPr>
          <w:sz w:val="24"/>
          <w:szCs w:val="24"/>
        </w:rPr>
      </w:pPr>
    </w:p>
    <w:p w14:paraId="250989F5" w14:textId="000AE509" w:rsidR="000A6D79" w:rsidRDefault="000A6D79" w:rsidP="000A6D79">
      <w:pPr>
        <w:pStyle w:val="Affiliation"/>
        <w:jc w:val="both"/>
      </w:pPr>
      <w:r>
        <w:t xml:space="preserve">The following research was conducted to gain greater knowledge </w:t>
      </w:r>
      <w:r w:rsidR="007B757A">
        <w:t xml:space="preserve">and understanding </w:t>
      </w:r>
      <w:r w:rsidR="00A91D8C">
        <w:t>of the</w:t>
      </w:r>
      <w:r>
        <w:t xml:space="preserve"> most common and highly regarded ISMS</w:t>
      </w:r>
      <w:r w:rsidR="007B757A">
        <w:t>;</w:t>
      </w:r>
      <w:r>
        <w:t xml:space="preserve"> standards, frameworks and security models to aid with understanding what the difference</w:t>
      </w:r>
      <w:r w:rsidR="007B757A">
        <w:t>s</w:t>
      </w:r>
      <w:r>
        <w:t xml:space="preserve"> are</w:t>
      </w:r>
      <w:r w:rsidR="007B757A">
        <w:t xml:space="preserve"> between them</w:t>
      </w:r>
      <w:r>
        <w:t xml:space="preserve">, along with how and when to implement </w:t>
      </w:r>
      <w:r w:rsidR="007B757A">
        <w:t>each of them,</w:t>
      </w:r>
      <w:r>
        <w:t xml:space="preserve"> when designing a</w:t>
      </w:r>
      <w:r w:rsidR="007B757A">
        <w:t xml:space="preserve">n ISMS </w:t>
      </w:r>
      <w:r>
        <w:t>for a new or existing network infrastructure.</w:t>
      </w:r>
    </w:p>
    <w:p w14:paraId="288726D0" w14:textId="77777777" w:rsidR="000A6D79" w:rsidRDefault="000A6D79" w:rsidP="002C13FE">
      <w:pPr>
        <w:tabs>
          <w:tab w:val="left" w:pos="216"/>
        </w:tabs>
        <w:spacing w:after="80"/>
        <w:outlineLvl w:val="0"/>
      </w:pPr>
    </w:p>
    <w:p w14:paraId="05D650F6" w14:textId="79FE36BF" w:rsidR="002C13FE" w:rsidRDefault="002C13FE" w:rsidP="002C13FE">
      <w:pPr>
        <w:tabs>
          <w:tab w:val="left" w:pos="216"/>
        </w:tabs>
        <w:spacing w:after="80"/>
        <w:outlineLvl w:val="0"/>
      </w:pPr>
      <w:r>
        <w:t>i)</w:t>
      </w:r>
      <w:r>
        <w:rPr>
          <w:sz w:val="24"/>
          <w:szCs w:val="24"/>
        </w:rPr>
        <w:t xml:space="preserve"> ISO  27000 Series</w:t>
      </w:r>
    </w:p>
    <w:p w14:paraId="09EC9801" w14:textId="4D100042" w:rsidR="002C13FE" w:rsidRDefault="002C13FE" w:rsidP="002C13FE">
      <w:pPr>
        <w:pStyle w:val="Affiliation"/>
        <w:jc w:val="both"/>
      </w:pPr>
      <w:r>
        <w:t xml:space="preserve">The Information Standards of Organizations (ISO) 27000 </w:t>
      </w:r>
      <w:r w:rsidR="0035660E">
        <w:t xml:space="preserve">series </w:t>
      </w:r>
      <w:r w:rsidR="007B757A">
        <w:t xml:space="preserve"> </w:t>
      </w:r>
      <w:r w:rsidR="007B757A">
        <w:fldChar w:fldCharType="begin" w:fldLock="1"/>
      </w:r>
      <w:r w:rsidR="007B757A">
        <w:instrText>ADDIN CSL_CITATION {"citationItems":[{"id":"ITEM-1","itemData":{"URL":"https://www.iso.org/news/ref2266.html","accessed":{"date-parts":[["2020","1","29"]]},"author":[{"dropping-particle":"","family":"Lewis","given":"Barnaby ISO/IEC","non-dropping-particle":"","parse-names":false,"suffix":""}],"id":"ITEM-1","issued":{"date-parts":[["2018"]]},"page":"1-1","title":"ISO - ISO/IEC 27000 – key International Standard for information security revised","type":"webpage"},"uris":["http://www.mendeley.com/documents/?uuid=37ae5356-0015-3cd3-9db5-2ef23d1a168a"]}],"mendeley":{"formattedCitation":"[129]","plainTextFormattedCitation":"[129]","previouslyFormattedCitation":"[129]"},"properties":{"noteIndex":0},"schema":"https://github.com/citation-style-language/schema/raw/master/csl-citation.json"}</w:instrText>
      </w:r>
      <w:r w:rsidR="007B757A">
        <w:fldChar w:fldCharType="separate"/>
      </w:r>
      <w:r w:rsidR="007B757A" w:rsidRPr="007B757A">
        <w:rPr>
          <w:noProof/>
        </w:rPr>
        <w:t>[129]</w:t>
      </w:r>
      <w:r w:rsidR="007B757A">
        <w:fldChar w:fldCharType="end"/>
      </w:r>
      <w:r w:rsidR="007B757A">
        <w:t xml:space="preserve"> </w:t>
      </w:r>
      <w:r w:rsidR="0035660E">
        <w:t>is</w:t>
      </w:r>
      <w:r>
        <w:t xml:space="preserve"> a </w:t>
      </w:r>
      <w:r w:rsidR="00B92B8C">
        <w:t>broad-spectrum</w:t>
      </w:r>
      <w:r>
        <w:t xml:space="preserve"> ISMS standard rather than a framework, that a majority of ISMS frameworks are based and built upon according to their business requirements. The latest revision of ISO 27001-27006 was released in 201</w:t>
      </w:r>
      <w:r w:rsidR="007B757A">
        <w:t>6</w:t>
      </w:r>
      <w:r>
        <w:t xml:space="preserve"> and costs £250 to purchase</w:t>
      </w:r>
      <w:r w:rsidR="0035660E">
        <w:t xml:space="preserve"> from</w:t>
      </w:r>
      <w:r>
        <w:t xml:space="preserve"> </w:t>
      </w:r>
      <w:r w:rsidRPr="0035660E">
        <w:t>IT-Governance</w:t>
      </w:r>
      <w:r w:rsidR="00AD090B">
        <w:t xml:space="preserve"> </w:t>
      </w:r>
      <w:r w:rsidR="00AD090B">
        <w:fldChar w:fldCharType="begin" w:fldLock="1"/>
      </w:r>
      <w:r w:rsidR="00741AAC">
        <w:instrText>ADDIN CSL_CITATION {"citationItems":[{"id":"ITEM-1","itemData":{"URL":"https://www.itgovernance.co.uk/standards","accessed":{"date-parts":[["2020","1","30"]]},"author":[{"dropping-particle":"","family":"IT-Governance","given":"","non-dropping-particle":"","parse-names":false,"suffix":""}],"id":"ITEM-1","issued":{"date-parts":[["2020"]]},"page":"1-1","title":"IT Standards | IT Governance UK","type":"webpage"},"uris":["http://www.mendeley.com/documents/?uuid=779973bd-edb3-3554-a7b0-58317b60dcc5"]}],"mendeley":{"formattedCitation":"[130]","plainTextFormattedCitation":"[130]","previouslyFormattedCitation":"[130]"},"properties":{"noteIndex":0},"schema":"https://github.com/citation-style-language/schema/raw/master/csl-citation.json"}</w:instrText>
      </w:r>
      <w:r w:rsidR="00AD090B">
        <w:fldChar w:fldCharType="separate"/>
      </w:r>
      <w:r w:rsidR="00AD090B" w:rsidRPr="00AD090B">
        <w:rPr>
          <w:noProof/>
        </w:rPr>
        <w:t>[130]</w:t>
      </w:r>
      <w:r w:rsidR="00AD090B">
        <w:fldChar w:fldCharType="end"/>
      </w:r>
      <w:r w:rsidRPr="0035660E">
        <w:t>.</w:t>
      </w:r>
      <w:r w:rsidR="007B757A">
        <w:t xml:space="preserve"> A standard is reviewed every 5 years</w:t>
      </w:r>
      <w:r w:rsidR="00AD090B">
        <w:t xml:space="preserve"> </w:t>
      </w:r>
      <w:r w:rsidR="00AD090B">
        <w:fldChar w:fldCharType="begin" w:fldLock="1"/>
      </w:r>
      <w:r w:rsidR="00741AAC">
        <w:instrText>ADDIN CSL_CITATION {"citationItems":[{"id":"ITEM-1","itemData":{"URL":"https://www.iso.org/standard/66435.html","accessed":{"date-parts":[["2020","1","30"]]},"author":[{"dropping-particle":"","family":"ISO 5 years","given":"","non-dropping-particle":"","parse-names":false,"suffix":""}],"id":"ITEM-1","issued":{"date-parts":[["0"]]},"title":"ISO - ISO/IEC 27000:2016 - Information technology — Security techniques — Information security management systems — Overview and vocabulary","type":"webpage"},"uris":["http://www.mendeley.com/documents/?uuid=0c47dd7b-d651-3b0d-a767-c89756eba498"]}],"mendeley":{"formattedCitation":"[131]","plainTextFormattedCitation":"[131]","previouslyFormattedCitation":"[131]"},"properties":{"noteIndex":0},"schema":"https://github.com/citation-style-language/schema/raw/master/csl-citation.json"}</w:instrText>
      </w:r>
      <w:r w:rsidR="00AD090B">
        <w:fldChar w:fldCharType="separate"/>
      </w:r>
      <w:r w:rsidR="00AD090B" w:rsidRPr="00AD090B">
        <w:rPr>
          <w:noProof/>
        </w:rPr>
        <w:t>[131]</w:t>
      </w:r>
      <w:r w:rsidR="00AD090B">
        <w:fldChar w:fldCharType="end"/>
      </w:r>
      <w:r w:rsidR="007B757A">
        <w:t xml:space="preserve"> by the ISO.</w:t>
      </w:r>
      <w:r>
        <w:t xml:space="preserve"> </w:t>
      </w:r>
      <w:r w:rsidR="007B757A">
        <w:fldChar w:fldCharType="begin" w:fldLock="1"/>
      </w:r>
      <w:r w:rsidR="00AD090B">
        <w:instrText>ADDIN CSL_CITATION {"citationItems":[{"id":"ITEM-1","itemData":{"URL":"https://www.iso.org/news/ref2266.html","accessed":{"date-parts":[["2020","1","29"]]},"author":[{"dropping-particle":"","family":"Lewis","given":"Barnaby ISO/IEC","non-dropping-particle":"","parse-names":false,"suffix":""}],"id":"ITEM-1","issued":{"date-parts":[["2018"]]},"page":"1-1","title":"ISO - ISO/IEC 27000 – key International Standard for information security revised","type":"webpage"},"uris":["http://www.mendeley.com/documents/?uuid=37ae5356-0015-3cd3-9db5-2ef23d1a168a"]},{"id":"ITEM-2","itemData":{"abstract":"ISO/IEC 27000:2016 the overview of information security management systems, and terms and definitions commonly used in the ISMS family of standards. This International Standard is applicable to all types and sizes of organization (e.g. commercial enterprises, government agencies, not-for-profit organizations).","author":[{"dropping-particle":"","family":"ISO/IEC","given":"","non-dropping-particle":"","parse-names":false,"suffix":""}],"container-title":"ISO.org [Online]","id":"ITEM-2","issued":{"date-parts":[["2016"]]},"title":"ISO/IEC 27000:2016(E) Information technology — Security techniques — Information security management systems — Overview and vocabulary","type":"article"},"uris":["http://www.mendeley.com/documents/?uuid=e2a7f514-75bf-4cb6-8596-852f8b4d8b2d"]}],"mendeley":{"formattedCitation":"[28], [129]","plainTextFormattedCitation":"[28], [129]","previouslyFormattedCitation":"[28], [129]"},"properties":{"noteIndex":0},"schema":"https://github.com/citation-style-language/schema/raw/master/csl-citation.json"}</w:instrText>
      </w:r>
      <w:r w:rsidR="007B757A">
        <w:fldChar w:fldCharType="separate"/>
      </w:r>
      <w:r w:rsidR="007B757A" w:rsidRPr="007B757A">
        <w:rPr>
          <w:noProof/>
        </w:rPr>
        <w:t>[28], [129]</w:t>
      </w:r>
      <w:r w:rsidR="007B757A">
        <w:fldChar w:fldCharType="end"/>
      </w:r>
    </w:p>
    <w:p w14:paraId="54901F66" w14:textId="77777777" w:rsidR="002C13FE" w:rsidRDefault="002C13FE" w:rsidP="002C13FE">
      <w:pPr>
        <w:pStyle w:val="Affiliation"/>
        <w:jc w:val="both"/>
      </w:pPr>
    </w:p>
    <w:p w14:paraId="38117F5F" w14:textId="203175AB" w:rsidR="002C13FE" w:rsidRDefault="002C13FE" w:rsidP="002C13FE">
      <w:pPr>
        <w:pStyle w:val="Affiliation"/>
        <w:jc w:val="both"/>
      </w:pPr>
      <w:r>
        <w:t>The foundational ISO 2700</w:t>
      </w:r>
      <w:r w:rsidR="00741AAC">
        <w:t>1-27006</w:t>
      </w:r>
      <w:r w:rsidR="00AD090B">
        <w:t xml:space="preserve"> </w:t>
      </w:r>
      <w:r>
        <w:t>series</w:t>
      </w:r>
      <w:r w:rsidR="00AD090B">
        <w:t xml:space="preserve"> relating to data security management consists</w:t>
      </w:r>
      <w:r>
        <w:t xml:space="preserve"> of six </w:t>
      </w:r>
      <w:r w:rsidR="00AD090B" w:rsidRPr="00AD090B">
        <w:t>standards</w:t>
      </w:r>
      <w:r>
        <w:t xml:space="preserve"> pertaining to </w:t>
      </w:r>
      <w:r w:rsidR="00741AAC">
        <w:t xml:space="preserve">modern </w:t>
      </w:r>
      <w:r>
        <w:t>information security</w:t>
      </w:r>
      <w:r w:rsidR="00741AAC">
        <w:t xml:space="preserve"> management,</w:t>
      </w:r>
      <w:r>
        <w:t xml:space="preserve"> that encompasses </w:t>
      </w:r>
      <w:r>
        <w:t xml:space="preserve">the foundations of the ISO 27000 standard requirements. These </w:t>
      </w:r>
      <w:r w:rsidR="00AD090B" w:rsidRPr="00AD090B">
        <w:t>standards</w:t>
      </w:r>
      <w:r>
        <w:t xml:space="preserve"> are as follows;</w:t>
      </w:r>
      <w:r w:rsidR="00741AAC">
        <w:t xml:space="preserve"> </w:t>
      </w:r>
      <w:r w:rsidR="00741AAC">
        <w:fldChar w:fldCharType="begin" w:fldLock="1"/>
      </w:r>
      <w:r w:rsidR="00741AAC">
        <w:instrText>ADDIN CSL_CITATION {"citationItems":[{"id":"ITEM-1","itemData":{"abstract":"The ISO/IEC 27000 family of standards helps organizations keep information assets secure. Using this family of standards will help your organization manage the security of assets such as financial information, intellectual property, employee details or information entrusted to you by third parties. ISO/IEC 27001 is the best-known standard in the family providing requirements for an information security management system (ISMS).","author":[{"dropping-particle":"","family":"International Organization for Standardization (ISO)","given":"","non-dropping-particle":"","parse-names":false,"suffix":""}],"container-title":"Website","id":"ITEM-1","issued":{"date-parts":[["2015"]]},"title":"ISO/IEC 27001. Information security management.","type":"webpage"},"uris":["http://www.mendeley.com/documents/?uuid=e876f0da-fba2-4ff8-9eb4-21f3405f01ce"]}],"mendeley":{"formattedCitation":"[132]","plainTextFormattedCitation":"[132]","previouslyFormattedCitation":"[132]"},"properties":{"noteIndex":0},"schema":"https://github.com/citation-style-language/schema/raw/master/csl-citation.json"}</w:instrText>
      </w:r>
      <w:r w:rsidR="00741AAC">
        <w:fldChar w:fldCharType="separate"/>
      </w:r>
      <w:r w:rsidR="00741AAC" w:rsidRPr="00741AAC">
        <w:rPr>
          <w:noProof/>
        </w:rPr>
        <w:t>[132]</w:t>
      </w:r>
      <w:r w:rsidR="00741AAC">
        <w:fldChar w:fldCharType="end"/>
      </w:r>
      <w:r w:rsidR="00741AAC">
        <w:fldChar w:fldCharType="begin" w:fldLock="1"/>
      </w:r>
      <w:r w:rsidR="00741AAC">
        <w:instrText>ADDIN CSL_CITATION {"citationItems":[{"id":"ITEM-1","itemData":{"DOI":"10.1016/j.emj.2004.09.025","ISBN":"02632373","PMID":"9407223200","abstract":"This paper proposes a real-time gesture recognition algorithm, describes the implementation of it on a SoC development platform, and shows its application. In our design, we adopt the vision-based approach to identify the gestures. The images are retrieved from webcam at the rate of 30 fps, and then go through the pre-processing, and noise cancelation phases. After that, we use template matching to identify what the gestures are. Finally, we combine with the application of digital photo frame and demonstrate using our gesture recognition system in real-time to control the digital photo frame which is operated by touch-screen previously. © 2012 IEEE.","author":[{"dropping-particle":"","family":"ISO/IEC27002","given":"","non-dropping-particle":"","parse-names":false,"suffix":""}],"container-title":"Iso &amp; Iec","id":"ITEM-1","issued":{"date-parts":[["2013"]]},"title":"Iso 27002","type":"article-journal"},"uris":["http://www.mendeley.com/documents/?uuid=e2bebd9f-d2b7-485d-b1aa-57a8dc4154bc"]}],"mendeley":{"formattedCitation":"[133]","plainTextFormattedCitation":"[133]","previouslyFormattedCitation":"[133]"},"properties":{"noteIndex":0},"schema":"https://github.com/citation-style-language/schema/raw/master/csl-citation.json"}</w:instrText>
      </w:r>
      <w:r w:rsidR="00741AAC">
        <w:fldChar w:fldCharType="separate"/>
      </w:r>
      <w:r w:rsidR="00741AAC" w:rsidRPr="00741AAC">
        <w:rPr>
          <w:noProof/>
        </w:rPr>
        <w:t>[133]</w:t>
      </w:r>
      <w:r w:rsidR="00741AAC">
        <w:fldChar w:fldCharType="end"/>
      </w:r>
      <w:r w:rsidR="00741AAC">
        <w:fldChar w:fldCharType="begin" w:fldLock="1"/>
      </w:r>
      <w:r w:rsidR="00837FA0">
        <w:instrText>ADDIN CSL_CITATION {"citationItems":[{"id":"ITEM-1","itemData":{"URL":"https://www.iso.org/news/ref2266.html","accessed":{"date-parts":[["2020","1","29"]]},"author":[{"dropping-particle":"","family":"Lewis","given":"Barnaby ISO/IEC","non-dropping-particle":"","parse-names":false,"suffix":""}],"id":"ITEM-1","issued":{"date-parts":[["2018"]]},"page":"1-1","title":"ISO - ISO/IEC 27000 – key International Standard for information security revised","type":"webpage"},"uris":["http://www.mendeley.com/documents/?uuid=37ae5356-0015-3cd3-9db5-2ef23d1a168a"]},{"id":"ITEM-2","itemData":{"abstract":"ISO/IEC 27000:2016 the overview of information security management systems, and terms and definitions commonly used in the ISMS family of standards. This International Standard is applicable to all types and sizes of organization (e.g. commercial enterprises, government agencies, not-for-profit organizations).","author":[{"dropping-particle":"","family":"ISO/IEC","given":"","non-dropping-particle":"","parse-names":false,"suffix":""}],"container-title":"ISO.org [Online]","id":"ITEM-2","issued":{"date-parts":[["2016"]]},"title":"ISO/IEC 27000:2016(E) Information technology — Security techniques — Information security management systems — Overview and vocabulary","type":"article"},"uris":["http://www.mendeley.com/documents/?uuid=e2a7f514-75bf-4cb6-8596-852f8b4d8b2d"]}],"mendeley":{"formattedCitation":"[28], [129]","plainTextFormattedCitation":"[28], [129]","previouslyFormattedCitation":"[28], [129]"},"properties":{"noteIndex":0},"schema":"https://github.com/citation-style-language/schema/raw/master/csl-citation.json"}</w:instrText>
      </w:r>
      <w:r w:rsidR="00741AAC">
        <w:fldChar w:fldCharType="separate"/>
      </w:r>
      <w:r w:rsidR="00837FA0" w:rsidRPr="00837FA0">
        <w:rPr>
          <w:noProof/>
        </w:rPr>
        <w:t>[28], [129]</w:t>
      </w:r>
      <w:r w:rsidR="00741AAC">
        <w:fldChar w:fldCharType="end"/>
      </w:r>
      <w:r w:rsidR="00837FA0">
        <w:t xml:space="preserve"> </w:t>
      </w:r>
      <w:r w:rsidR="00837FA0">
        <w:fldChar w:fldCharType="begin" w:fldLock="1"/>
      </w:r>
      <w:r w:rsidR="00837FA0">
        <w:instrText>ADDIN CSL_CITATION {"citationItems":[{"id":"ITEM-1","itemData":{"abstract":"Published by the Office of the Government Chief Information Officer (June 2016) 1 What is ISO/IEC 27001? The ISO/IEC 27001 standard, published by the International Organization for Standardization (ISO) and the International Electrotechnical Commission (IEC), is known as \" Information technology — Security techniques — Information security management systems — Requirements \" . ISO/IEC 27001:2013 (hereafter referred to as ISO/IEC 27001) is the most recent edition of ISO/IEC 27001 standard which revises the previous edition published in 2005 (ISO/IEC 27001:2005). ISO/IEC 27001 specifies the requirements for establishing, implementing, maintaining and continually improving an information security management system (ISMS). The ISMS presents a systematic approach to keep sensitive information secure. It manages people, processes and IT systems through applying risk management processes. The ISMS suits not only large organisations but also small and medium businesses. ISO/IEC 27001 is designed to be used in conjunction with supporting controls, an example of which is published in document, ISO/IEC 27002:2013 (hereafter referred to as ISO/IEC 27002). ISO/IEC 27002 details 114 security controls which are organised into 14 sections and 35 control objectives. The table of contents from ISO/IEC 27001 and ISO/IEC 27002 are provided in Appendix A. Compliance with ISO/IEC 27001 can be formally assessed and certified by an accredited Certification Body. An organisation's ISMS certified against the ISO/IEC 27001 standard demonstrates an organisation's commitment to information security and provides confidence to their customers, partners and stakeholders.","author":[{"dropping-particle":"","family":"Info Cloud","given":"","non-dropping-particle":"","parse-names":false,"suffix":""}],"container-title":"06/2016","id":"ITEM-1","issued":{"date-parts":[["2016"]]},"title":"An Overview of ISO/IEC 27000 family of Information Security Management System Standards","type":"article-magazine"},"uris":["http://www.mendeley.com/documents/?uuid=a3e02aca-cf75-4c35-9caf-5f005f6364cf"]}],"mendeley":{"formattedCitation":"[134]","plainTextFormattedCitation":"[134]","previouslyFormattedCitation":"[134]"},"properties":{"noteIndex":0},"schema":"https://github.com/citation-style-language/schema/raw/master/csl-citation.json"}</w:instrText>
      </w:r>
      <w:r w:rsidR="00837FA0">
        <w:fldChar w:fldCharType="separate"/>
      </w:r>
      <w:r w:rsidR="00837FA0" w:rsidRPr="00837FA0">
        <w:rPr>
          <w:noProof/>
        </w:rPr>
        <w:t>[134]</w:t>
      </w:r>
      <w:r w:rsidR="00837FA0">
        <w:fldChar w:fldCharType="end"/>
      </w:r>
    </w:p>
    <w:p w14:paraId="125027E5" w14:textId="77777777" w:rsidR="002C13FE" w:rsidRPr="00BC0823" w:rsidRDefault="002C13FE" w:rsidP="002C13FE">
      <w:pPr>
        <w:pStyle w:val="Affiliation"/>
        <w:ind w:left="360"/>
        <w:jc w:val="both"/>
      </w:pPr>
    </w:p>
    <w:p w14:paraId="28174180" w14:textId="592D32C1" w:rsidR="002C13FE" w:rsidRPr="001B4FAD" w:rsidRDefault="002C13FE" w:rsidP="002C13FE">
      <w:pPr>
        <w:pStyle w:val="Affiliation"/>
        <w:numPr>
          <w:ilvl w:val="0"/>
          <w:numId w:val="6"/>
        </w:numPr>
        <w:jc w:val="both"/>
      </w:pPr>
      <w:r w:rsidRPr="001B4FAD">
        <w:t>ISO</w:t>
      </w:r>
      <w:r>
        <w:t xml:space="preserve"> </w:t>
      </w:r>
      <w:r w:rsidRPr="001B4FAD">
        <w:t>27001 - ISMS Requirements</w:t>
      </w:r>
      <w:r w:rsidR="00741AAC">
        <w:t xml:space="preserve"> </w:t>
      </w:r>
    </w:p>
    <w:p w14:paraId="1F38A604" w14:textId="77777777" w:rsidR="002C13FE" w:rsidRPr="001B4FAD" w:rsidRDefault="002C13FE" w:rsidP="002C13FE">
      <w:pPr>
        <w:pStyle w:val="Affiliation"/>
        <w:jc w:val="both"/>
      </w:pPr>
    </w:p>
    <w:p w14:paraId="5B45AB1D" w14:textId="77777777" w:rsidR="002C13FE" w:rsidRPr="001B4FAD" w:rsidRDefault="002C13FE" w:rsidP="002C13FE">
      <w:pPr>
        <w:pStyle w:val="Affiliation"/>
        <w:numPr>
          <w:ilvl w:val="0"/>
          <w:numId w:val="6"/>
        </w:numPr>
        <w:jc w:val="both"/>
      </w:pPr>
      <w:r w:rsidRPr="001B4FAD">
        <w:t>ISO</w:t>
      </w:r>
      <w:r>
        <w:t xml:space="preserve"> </w:t>
      </w:r>
      <w:r w:rsidRPr="001B4FAD">
        <w:t>27002 - ISMS Information Security Controls</w:t>
      </w:r>
    </w:p>
    <w:p w14:paraId="1AC25233" w14:textId="77777777" w:rsidR="002C13FE" w:rsidRPr="001B4FAD" w:rsidRDefault="002C13FE" w:rsidP="002C13FE">
      <w:pPr>
        <w:pStyle w:val="Affiliation"/>
        <w:jc w:val="both"/>
      </w:pPr>
    </w:p>
    <w:p w14:paraId="2BD84020" w14:textId="77777777" w:rsidR="002C13FE" w:rsidRPr="001B4FAD" w:rsidRDefault="002C13FE" w:rsidP="002C13FE">
      <w:pPr>
        <w:pStyle w:val="Affiliation"/>
        <w:numPr>
          <w:ilvl w:val="0"/>
          <w:numId w:val="6"/>
        </w:numPr>
        <w:jc w:val="both"/>
      </w:pPr>
      <w:r w:rsidRPr="001B4FAD">
        <w:t>ISO</w:t>
      </w:r>
      <w:r>
        <w:t xml:space="preserve"> </w:t>
      </w:r>
      <w:r w:rsidRPr="001B4FAD">
        <w:t>27003 - ISMS Implementation Guidelines</w:t>
      </w:r>
    </w:p>
    <w:p w14:paraId="2220DE0C" w14:textId="77777777" w:rsidR="002C13FE" w:rsidRPr="001B4FAD" w:rsidRDefault="002C13FE" w:rsidP="002C13FE">
      <w:pPr>
        <w:pStyle w:val="Affiliation"/>
        <w:jc w:val="both"/>
      </w:pPr>
    </w:p>
    <w:p w14:paraId="61F344B4" w14:textId="77777777" w:rsidR="002C13FE" w:rsidRPr="001B4FAD" w:rsidRDefault="002C13FE" w:rsidP="002C13FE">
      <w:pPr>
        <w:pStyle w:val="Affiliation"/>
        <w:numPr>
          <w:ilvl w:val="0"/>
          <w:numId w:val="6"/>
        </w:numPr>
        <w:jc w:val="both"/>
      </w:pPr>
      <w:r w:rsidRPr="001B4FAD">
        <w:t>ISO</w:t>
      </w:r>
      <w:r>
        <w:t xml:space="preserve"> </w:t>
      </w:r>
      <w:r w:rsidRPr="001B4FAD">
        <w:t>27004 - ISMS Monitoring, Measurement, Analysis and Evaluation</w:t>
      </w:r>
    </w:p>
    <w:p w14:paraId="4C9F9F22" w14:textId="77777777" w:rsidR="002C13FE" w:rsidRPr="001B4FAD" w:rsidRDefault="002C13FE" w:rsidP="002C13FE">
      <w:pPr>
        <w:pStyle w:val="Affiliation"/>
        <w:jc w:val="both"/>
      </w:pPr>
    </w:p>
    <w:p w14:paraId="22A8AADA" w14:textId="77777777" w:rsidR="002C13FE" w:rsidRPr="001B4FAD" w:rsidRDefault="002C13FE" w:rsidP="002C13FE">
      <w:pPr>
        <w:pStyle w:val="Affiliation"/>
        <w:numPr>
          <w:ilvl w:val="0"/>
          <w:numId w:val="6"/>
        </w:numPr>
        <w:jc w:val="both"/>
      </w:pPr>
      <w:r w:rsidRPr="001B4FAD">
        <w:t>ISO</w:t>
      </w:r>
      <w:r>
        <w:t xml:space="preserve"> </w:t>
      </w:r>
      <w:r w:rsidRPr="001B4FAD">
        <w:t>27005 - Risk Management</w:t>
      </w:r>
    </w:p>
    <w:p w14:paraId="3BAF3C52" w14:textId="77777777" w:rsidR="002C13FE" w:rsidRPr="001B4FAD" w:rsidRDefault="002C13FE" w:rsidP="002C13FE">
      <w:pPr>
        <w:pStyle w:val="Affiliation"/>
        <w:jc w:val="both"/>
      </w:pPr>
    </w:p>
    <w:p w14:paraId="4CA9E86F" w14:textId="77777777" w:rsidR="002C13FE" w:rsidRPr="001B4FAD" w:rsidRDefault="002C13FE" w:rsidP="002C13FE">
      <w:pPr>
        <w:pStyle w:val="Affiliation"/>
        <w:numPr>
          <w:ilvl w:val="0"/>
          <w:numId w:val="6"/>
        </w:numPr>
        <w:jc w:val="both"/>
      </w:pPr>
      <w:r w:rsidRPr="001B4FAD">
        <w:t>ISO</w:t>
      </w:r>
      <w:r>
        <w:t xml:space="preserve"> </w:t>
      </w:r>
      <w:r w:rsidRPr="001B4FAD">
        <w:t>27006 - Guidelines for ISO 27000 Accreditation Bodies</w:t>
      </w:r>
    </w:p>
    <w:p w14:paraId="2D46D194" w14:textId="77777777" w:rsidR="002C13FE" w:rsidRPr="000037CA" w:rsidRDefault="002C13FE" w:rsidP="002C13FE">
      <w:pPr>
        <w:pStyle w:val="Affiliation"/>
        <w:jc w:val="both"/>
        <w:rPr>
          <w:i/>
          <w:iCs/>
        </w:rPr>
      </w:pPr>
    </w:p>
    <w:p w14:paraId="0A07E876" w14:textId="05B489F5" w:rsidR="00862E9F" w:rsidRDefault="002C13FE" w:rsidP="00862E9F">
      <w:pPr>
        <w:pStyle w:val="Affiliation"/>
        <w:jc w:val="both"/>
        <w:rPr>
          <w:i/>
        </w:rPr>
      </w:pPr>
      <w:r>
        <w:t xml:space="preserve">ISO 27001 alone </w:t>
      </w:r>
      <w:r w:rsidRPr="000037CA">
        <w:t>consists of 114 controls that are split into 14 categories</w:t>
      </w:r>
      <w:r>
        <w:t xml:space="preserve">, so for the purpose of this paper the ISO 27001-27006 asset controls have been summarized in </w:t>
      </w:r>
      <w:r w:rsidRPr="00B56098">
        <w:rPr>
          <w:i/>
          <w:iCs/>
        </w:rPr>
        <w:t xml:space="preserve">Table </w:t>
      </w:r>
      <w:r w:rsidR="00B56098" w:rsidRPr="00B56098">
        <w:rPr>
          <w:i/>
          <w:iCs/>
        </w:rPr>
        <w:t>2</w:t>
      </w:r>
      <w:r w:rsidRPr="00862E9F">
        <w:rPr>
          <w:i/>
        </w:rPr>
        <w:t>.</w:t>
      </w:r>
    </w:p>
    <w:p w14:paraId="5822C729" w14:textId="77777777" w:rsidR="00862E9F" w:rsidRDefault="00862E9F" w:rsidP="00862E9F">
      <w:pPr>
        <w:pStyle w:val="Affiliation"/>
        <w:jc w:val="both"/>
      </w:pPr>
    </w:p>
    <w:p w14:paraId="3943E235" w14:textId="77777777" w:rsidR="00862E9F" w:rsidRDefault="002C13FE" w:rsidP="00862E9F">
      <w:pPr>
        <w:pStyle w:val="Affiliation"/>
        <w:keepNext/>
        <w:jc w:val="both"/>
      </w:pPr>
      <w:r>
        <w:rPr>
          <w:noProof/>
          <w:lang w:val="en-GB" w:eastAsia="en-GB"/>
        </w:rPr>
        <w:drawing>
          <wp:inline distT="0" distB="0" distL="0" distR="0" wp14:anchorId="39828001" wp14:editId="69824777">
            <wp:extent cx="3323166" cy="3326887"/>
            <wp:effectExtent l="0" t="0" r="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338952" cy="3342691"/>
                    </a:xfrm>
                    <a:prstGeom prst="rect">
                      <a:avLst/>
                    </a:prstGeom>
                    <a:noFill/>
                    <a:ln>
                      <a:noFill/>
                    </a:ln>
                  </pic:spPr>
                </pic:pic>
              </a:graphicData>
            </a:graphic>
          </wp:inline>
        </w:drawing>
      </w:r>
    </w:p>
    <w:p w14:paraId="3CBDF20A" w14:textId="7653E8C3" w:rsidR="002C13FE" w:rsidRPr="006A4628" w:rsidRDefault="00862E9F" w:rsidP="00D77BF7">
      <w:pPr>
        <w:pStyle w:val="Caption"/>
        <w:rPr>
          <w:sz w:val="18"/>
        </w:rPr>
      </w:pPr>
      <w:r w:rsidRPr="006A4628">
        <w:rPr>
          <w:sz w:val="18"/>
        </w:rPr>
        <w:t xml:space="preserve">Table </w:t>
      </w:r>
      <w:r w:rsidR="00490B23" w:rsidRPr="006A4628">
        <w:rPr>
          <w:sz w:val="18"/>
        </w:rPr>
        <w:fldChar w:fldCharType="begin"/>
      </w:r>
      <w:r w:rsidR="00490B23" w:rsidRPr="006A4628">
        <w:rPr>
          <w:sz w:val="18"/>
        </w:rPr>
        <w:instrText xml:space="preserve"> SEQ Table \* ARABIC </w:instrText>
      </w:r>
      <w:r w:rsidR="00490B23" w:rsidRPr="006A4628">
        <w:rPr>
          <w:sz w:val="18"/>
        </w:rPr>
        <w:fldChar w:fldCharType="separate"/>
      </w:r>
      <w:r w:rsidR="00387812">
        <w:rPr>
          <w:noProof/>
          <w:sz w:val="18"/>
        </w:rPr>
        <w:t>2</w:t>
      </w:r>
      <w:r w:rsidR="00490B23" w:rsidRPr="006A4628">
        <w:rPr>
          <w:sz w:val="18"/>
        </w:rPr>
        <w:fldChar w:fldCharType="end"/>
      </w:r>
      <w:r w:rsidRPr="006A4628">
        <w:rPr>
          <w:sz w:val="18"/>
        </w:rPr>
        <w:t>; ISO 27001-27006 standards scope summarisation</w:t>
      </w:r>
      <w:r w:rsidR="006A4628" w:rsidRPr="006A4628">
        <w:rPr>
          <w:sz w:val="18"/>
        </w:rPr>
        <w:t xml:space="preserve"> </w:t>
      </w:r>
      <w:r w:rsidR="006A4628" w:rsidRPr="006A4628">
        <w:rPr>
          <w:sz w:val="18"/>
        </w:rPr>
        <w:fldChar w:fldCharType="begin" w:fldLock="1"/>
      </w:r>
      <w:r w:rsidR="006A4628">
        <w:rPr>
          <w:sz w:val="18"/>
        </w:rPr>
        <w:instrText>ADDIN CSL_CITATION {"citationItems":[{"id":"ITEM-1","itemData":{"abstract":"ISO/IEC 27000:2016 the overview of information security management systems, and terms and definitions commonly used in the ISMS family of standards. This International Standard is applicable to all types and sizes of organization (e.g. commercial enterprises, government agencies, not-for-profit organizations).","author":[{"dropping-particle":"","family":"ISO/IEC","given":"","non-dropping-particle":"","parse-names":false,"suffix":""}],"container-title":"ISO.org [Online]","id":"ITEM-1","issued":{"date-parts":[["2016"]]},"title":"ISO/IEC 27000:2016(E) Information technology — Security techniques — Information security management systems — Overview and vocabulary","type":"article"},"uris":["http://www.mendeley.com/documents/?uuid=e2a7f514-75bf-4cb6-8596-852f8b4d8b2d"]}],"mendeley":{"formattedCitation":"[28]","plainTextFormattedCitation":"[28]","previouslyFormattedCitation":"[28]"},"properties":{"noteIndex":0},"schema":"https://github.com/citation-style-language/schema/raw/master/csl-citation.json"}</w:instrText>
      </w:r>
      <w:r w:rsidR="006A4628" w:rsidRPr="006A4628">
        <w:rPr>
          <w:sz w:val="18"/>
        </w:rPr>
        <w:fldChar w:fldCharType="separate"/>
      </w:r>
      <w:r w:rsidR="006A4628" w:rsidRPr="006A4628">
        <w:rPr>
          <w:i w:val="0"/>
          <w:noProof/>
          <w:sz w:val="18"/>
        </w:rPr>
        <w:t>[28]</w:t>
      </w:r>
      <w:r w:rsidR="006A4628" w:rsidRPr="006A4628">
        <w:rPr>
          <w:sz w:val="18"/>
        </w:rPr>
        <w:fldChar w:fldCharType="end"/>
      </w:r>
    </w:p>
    <w:p w14:paraId="5DFB304A" w14:textId="524363B7" w:rsidR="002C13FE" w:rsidRDefault="002C13FE" w:rsidP="002C13FE">
      <w:pPr>
        <w:pStyle w:val="Affiliation"/>
        <w:jc w:val="both"/>
      </w:pPr>
      <w:r>
        <w:t xml:space="preserve">The myriad of controls that are contained within the ISO 27000 series </w:t>
      </w:r>
      <w:r w:rsidR="00F617C4">
        <w:t xml:space="preserve">of universal standards </w:t>
      </w:r>
      <w:r>
        <w:t>do not all have to be implemented</w:t>
      </w:r>
      <w:r w:rsidR="00F617C4">
        <w:t xml:space="preserve"> within a company network</w:t>
      </w:r>
      <w:r>
        <w:t xml:space="preserve"> but rather the controls that pertain to the businesses requirements, thus why this standard was created for guidance purposes to conform with international data security regulations for the vast amount of industries that utilize computer technologies to store and transmit data.</w:t>
      </w:r>
    </w:p>
    <w:p w14:paraId="08786BBD" w14:textId="77777777" w:rsidR="002C13FE" w:rsidRDefault="002C13FE" w:rsidP="002C13FE">
      <w:pPr>
        <w:pStyle w:val="Affiliation"/>
        <w:jc w:val="both"/>
      </w:pPr>
    </w:p>
    <w:p w14:paraId="0EC9F7DF" w14:textId="653A6940" w:rsidR="002C13FE" w:rsidRDefault="002C13FE" w:rsidP="002C13FE">
      <w:pPr>
        <w:pStyle w:val="Affiliation"/>
        <w:jc w:val="both"/>
      </w:pPr>
      <w:r>
        <w:t>In addition to the</w:t>
      </w:r>
      <w:r w:rsidR="00837FA0">
        <w:t xml:space="preserve"> aforementioned series</w:t>
      </w:r>
      <w:r>
        <w:t xml:space="preserve">, supplementary specialist data security standards have been developed with the evolution of emerging technologies such as; ISO </w:t>
      </w:r>
      <w:r w:rsidRPr="00BD5F0B">
        <w:t>27017</w:t>
      </w:r>
      <w:r>
        <w:t>-</w:t>
      </w:r>
      <w:r w:rsidR="00AB7A99">
        <w:t xml:space="preserve">18 </w:t>
      </w:r>
      <w:r w:rsidR="00AB7A99">
        <w:fldChar w:fldCharType="begin" w:fldLock="1"/>
      </w:r>
      <w:r w:rsidR="00AB7A99">
        <w:instrText>ADDIN CSL_CITATION {"citationItems":[{"id":"ITEM-1","itemData":{"URL":"https://www.iso.org/standard/43757.html","accessed":{"date-parts":[["2020","1","29"]]},"author":[{"dropping-particle":"","family":"ISO.org","given":"","non-dropping-particle":"","parse-names":false,"suffix":""}],"id":"ITEM-1","issued":{"date-parts":[["2019"]]},"page":"1-1","title":"ISO - ISO/IEC 27017:2015 - Information technology — Security techniques — Code of practice for information security controls based on ISO/IEC 27002 for cloud services","type":"webpage"},"uris":["http://www.mendeley.com/documents/?uuid=91d808e4-ab3b-38f7-91dd-1e7a331710aa"]}],"mendeley":{"formattedCitation":"[46]","plainTextFormattedCitation":"[46]","previouslyFormattedCitation":"[46]"},"properties":{"noteIndex":0},"schema":"https://github.com/citation-style-language/schema/raw/master/csl-citation.json"}</w:instrText>
      </w:r>
      <w:r w:rsidR="00AB7A99">
        <w:fldChar w:fldCharType="separate"/>
      </w:r>
      <w:r w:rsidR="00AB7A99" w:rsidRPr="00AB7A99">
        <w:rPr>
          <w:noProof/>
        </w:rPr>
        <w:t>[46]</w:t>
      </w:r>
      <w:r w:rsidR="00AB7A99">
        <w:fldChar w:fldCharType="end"/>
      </w:r>
      <w:r w:rsidR="00AB7A99">
        <w:t xml:space="preserve"> released</w:t>
      </w:r>
      <w:r>
        <w:t xml:space="preserve"> in 2015</w:t>
      </w:r>
      <w:r w:rsidRPr="00BD5F0B">
        <w:t xml:space="preserve"> </w:t>
      </w:r>
      <w:r>
        <w:t xml:space="preserve">that consists of data security guidelines </w:t>
      </w:r>
      <w:r>
        <w:lastRenderedPageBreak/>
        <w:t xml:space="preserve">pertaining to ‘Cloud’ data storage implementation and management. </w:t>
      </w:r>
      <w:r w:rsidR="00AB7A99">
        <w:fldChar w:fldCharType="begin" w:fldLock="1"/>
      </w:r>
      <w:r w:rsidR="004948E4">
        <w:instrText>ADDIN CSL_CITATION {"citationItems":[{"id":"ITEM-1","itemData":{"URL":"https://www.bsigroup.com/en-GB/Security-controls-for-cloud-services-ISO-IEC27017/","abstract":"BSI 270","accessed":{"date-parts":[["2020","1","29"]]},"author":[{"dropping-particle":"","family":"BSI-Group","given":"","non-dropping-particle":"","parse-names":false,"suffix":""}],"id":"ITEM-1","issued":{"date-parts":[["2019"]]},"page":"1-1","title":"Security controls for cloud services ISO/IEC 27017 | BSI","type":"webpage"},"uris":["http://www.mendeley.com/documents/?uuid=054ae2c8-7b57-36c3-9881-399ea3a883a4"]},{"id":"ITEM-2","itemData":{"URL":"https://www.iso.org/standard/43757.html","accessed":{"date-parts":[["2020","1","29"]]},"author":[{"dropping-particle":"","family":"ISO.org","given":"","non-dropping-particle":"","parse-names":false,"suffix":""}],"id":"ITEM-2","issued":{"date-parts":[["2019"]]},"page":"1-1","title":"ISO - ISO/IEC 27017:2015 - Information technology — Security techniques — Code of practice for information security controls based on ISO/IEC 27002 for cloud services","type":"webpage"},"uris":["http://www.mendeley.com/documents/?uuid=91d808e4-ab3b-38f7-91dd-1e7a331710aa"]}],"mendeley":{"formattedCitation":"[46], [47]","plainTextFormattedCitation":"[46], [47]","previouslyFormattedCitation":"[46], [47]"},"properties":{"noteIndex":0},"schema":"https://github.com/citation-style-language/schema/raw/master/csl-citation.json"}</w:instrText>
      </w:r>
      <w:r w:rsidR="00AB7A99">
        <w:fldChar w:fldCharType="separate"/>
      </w:r>
      <w:r w:rsidR="00AB7A99" w:rsidRPr="00AB7A99">
        <w:rPr>
          <w:noProof/>
        </w:rPr>
        <w:t>[46], [47]</w:t>
      </w:r>
      <w:r w:rsidR="00AB7A99">
        <w:fldChar w:fldCharType="end"/>
      </w:r>
    </w:p>
    <w:p w14:paraId="03F20866" w14:textId="77777777" w:rsidR="00837FA0" w:rsidRDefault="00837FA0" w:rsidP="002C13FE">
      <w:pPr>
        <w:pStyle w:val="Affiliation"/>
        <w:jc w:val="both"/>
      </w:pPr>
    </w:p>
    <w:p w14:paraId="7536E10D" w14:textId="7A985D01" w:rsidR="002C13FE" w:rsidRDefault="002C13FE" w:rsidP="002C13FE">
      <w:pPr>
        <w:pStyle w:val="Affiliation"/>
        <w:jc w:val="both"/>
      </w:pPr>
      <w:r>
        <w:t>There are seven controls within the ISO Cloud standard that can be implemented alongside ISO 27001-2700</w:t>
      </w:r>
      <w:r w:rsidR="00AB7A99">
        <w:t>6</w:t>
      </w:r>
      <w:r>
        <w:t xml:space="preserve"> standard</w:t>
      </w:r>
      <w:r w:rsidR="00B56098">
        <w:t>s</w:t>
      </w:r>
      <w:r>
        <w:t xml:space="preserve"> within a hybrid cloud architecture. </w:t>
      </w:r>
    </w:p>
    <w:p w14:paraId="5564B505" w14:textId="77777777" w:rsidR="002C13FE" w:rsidRDefault="002C13FE" w:rsidP="002C13FE">
      <w:pPr>
        <w:pStyle w:val="Affiliation"/>
        <w:jc w:val="both"/>
      </w:pPr>
    </w:p>
    <w:p w14:paraId="1381600E" w14:textId="16EF67ED" w:rsidR="002C13FE" w:rsidRPr="00B56098" w:rsidRDefault="002C13FE" w:rsidP="002C13FE">
      <w:pPr>
        <w:pStyle w:val="Affiliation"/>
        <w:jc w:val="both"/>
      </w:pPr>
      <w:r>
        <w:t>These controls are</w:t>
      </w:r>
      <w:r w:rsidR="00B56098">
        <w:t xml:space="preserve"> as follows</w:t>
      </w:r>
      <w:r>
        <w:t xml:space="preserve">; </w:t>
      </w:r>
      <w:r w:rsidR="004948E4">
        <w:fldChar w:fldCharType="begin" w:fldLock="1"/>
      </w:r>
      <w:r w:rsidR="00F70162">
        <w:instrText>ADDIN CSL_CITATION {"citationItems":[{"id":"ITEM-1","itemData":{"URL":"https://www.bsigroup.com/en-GB/Security-controls-for-cloud-services-ISO-IEC27017/","abstract":"BSI 270","accessed":{"date-parts":[["2020","1","29"]]},"author":[{"dropping-particle":"","family":"BSI-Group","given":"","non-dropping-particle":"","parse-names":false,"suffix":""}],"id":"ITEM-1","issued":{"date-parts":[["2019"]]},"page":"1-1","title":"Security controls for cloud services ISO/IEC 27017 | BSI","type":"webpage"},"uris":["http://www.mendeley.com/documents/?uuid=054ae2c8-7b57-36c3-9881-399ea3a883a4"]},{"id":"ITEM-2","itemData":{"URL":"https://www.iso.org/standard/43757.html","accessed":{"date-parts":[["2020","1","29"]]},"author":[{"dropping-particle":"","family":"ISO.org","given":"","non-dropping-particle":"","parse-names":false,"suffix":""}],"id":"ITEM-2","issued":{"date-parts":[["2019"]]},"page":"1-1","title":"ISO - ISO/IEC 27017:2015 - Information technology — Security techniques — Code of practice for information security controls based on ISO/IEC 27002 for cloud services","type":"webpage"},"uris":["http://www.mendeley.com/documents/?uuid=91d808e4-ab3b-38f7-91dd-1e7a331710aa"]}],"mendeley":{"formattedCitation":"[46], [47]","plainTextFormattedCitation":"[46], [47]","previouslyFormattedCitation":"[46], [47]"},"properties":{"noteIndex":0},"schema":"https://github.com/citation-style-language/schema/raw/master/csl-citation.json"}</w:instrText>
      </w:r>
      <w:r w:rsidR="004948E4">
        <w:fldChar w:fldCharType="separate"/>
      </w:r>
      <w:r w:rsidR="004948E4" w:rsidRPr="004948E4">
        <w:rPr>
          <w:noProof/>
        </w:rPr>
        <w:t>[46], [47]</w:t>
      </w:r>
      <w:r w:rsidR="004948E4">
        <w:fldChar w:fldCharType="end"/>
      </w:r>
    </w:p>
    <w:p w14:paraId="654EA764" w14:textId="77777777" w:rsidR="002C13FE" w:rsidRPr="00B56098" w:rsidRDefault="002C13FE" w:rsidP="002C13FE">
      <w:pPr>
        <w:pStyle w:val="Affiliation"/>
        <w:jc w:val="both"/>
      </w:pPr>
    </w:p>
    <w:p w14:paraId="15788AE9" w14:textId="77777777" w:rsidR="002C13FE" w:rsidRPr="00B56098" w:rsidRDefault="002C13FE" w:rsidP="002C13FE">
      <w:pPr>
        <w:pStyle w:val="Affiliation"/>
        <w:numPr>
          <w:ilvl w:val="0"/>
          <w:numId w:val="16"/>
        </w:numPr>
        <w:jc w:val="both"/>
      </w:pPr>
      <w:r w:rsidRPr="00B56098">
        <w:t>Shared roles and responsibilities within a cloud computing environment.</w:t>
      </w:r>
    </w:p>
    <w:p w14:paraId="4C75CF7B" w14:textId="77777777" w:rsidR="002C13FE" w:rsidRPr="00B56098" w:rsidRDefault="002C13FE" w:rsidP="002C13FE">
      <w:pPr>
        <w:pStyle w:val="Affiliation"/>
        <w:ind w:left="360"/>
        <w:jc w:val="both"/>
      </w:pPr>
    </w:p>
    <w:p w14:paraId="5EA57C6C" w14:textId="77777777" w:rsidR="002C13FE" w:rsidRPr="00B56098" w:rsidRDefault="002C13FE" w:rsidP="002C13FE">
      <w:pPr>
        <w:pStyle w:val="Affiliation"/>
        <w:numPr>
          <w:ilvl w:val="0"/>
          <w:numId w:val="16"/>
        </w:numPr>
        <w:jc w:val="both"/>
      </w:pPr>
      <w:r w:rsidRPr="00B56098">
        <w:t>Removal of cloud service customer assets.</w:t>
      </w:r>
    </w:p>
    <w:p w14:paraId="0DA313CE" w14:textId="77777777" w:rsidR="002C13FE" w:rsidRPr="00B56098" w:rsidRDefault="002C13FE" w:rsidP="002C13FE">
      <w:pPr>
        <w:pStyle w:val="ListParagraph"/>
      </w:pPr>
    </w:p>
    <w:p w14:paraId="443B6DC6" w14:textId="77777777" w:rsidR="002C13FE" w:rsidRPr="00B56098" w:rsidRDefault="002C13FE" w:rsidP="002C13FE">
      <w:pPr>
        <w:pStyle w:val="Affiliation"/>
        <w:numPr>
          <w:ilvl w:val="0"/>
          <w:numId w:val="16"/>
        </w:numPr>
        <w:jc w:val="both"/>
      </w:pPr>
      <w:r w:rsidRPr="00B56098">
        <w:t>Segregation in virtual computing environments.</w:t>
      </w:r>
    </w:p>
    <w:p w14:paraId="36EF17A7" w14:textId="77777777" w:rsidR="002C13FE" w:rsidRPr="00B56098" w:rsidRDefault="002C13FE" w:rsidP="002C13FE">
      <w:pPr>
        <w:pStyle w:val="ListParagraph"/>
      </w:pPr>
    </w:p>
    <w:p w14:paraId="0D6B2987" w14:textId="77777777" w:rsidR="002C13FE" w:rsidRPr="00B56098" w:rsidRDefault="002C13FE" w:rsidP="002C13FE">
      <w:pPr>
        <w:pStyle w:val="Affiliation"/>
        <w:numPr>
          <w:ilvl w:val="0"/>
          <w:numId w:val="16"/>
        </w:numPr>
        <w:jc w:val="both"/>
      </w:pPr>
      <w:r w:rsidRPr="00B56098">
        <w:t>Virtual machine hardening.</w:t>
      </w:r>
    </w:p>
    <w:p w14:paraId="6324DAEF" w14:textId="77777777" w:rsidR="002C13FE" w:rsidRPr="00B56098" w:rsidRDefault="002C13FE" w:rsidP="002C13FE">
      <w:pPr>
        <w:pStyle w:val="ListParagraph"/>
      </w:pPr>
    </w:p>
    <w:p w14:paraId="17EFFA30" w14:textId="77777777" w:rsidR="002C13FE" w:rsidRPr="00B56098" w:rsidRDefault="002C13FE" w:rsidP="002C13FE">
      <w:pPr>
        <w:pStyle w:val="Affiliation"/>
        <w:numPr>
          <w:ilvl w:val="0"/>
          <w:numId w:val="16"/>
        </w:numPr>
        <w:jc w:val="both"/>
      </w:pPr>
      <w:r w:rsidRPr="00B56098">
        <w:t>Administrator’s operational security</w:t>
      </w:r>
    </w:p>
    <w:p w14:paraId="6C5DC479" w14:textId="77777777" w:rsidR="002C13FE" w:rsidRPr="00B56098" w:rsidRDefault="002C13FE" w:rsidP="002C13FE">
      <w:pPr>
        <w:pStyle w:val="ListParagraph"/>
      </w:pPr>
    </w:p>
    <w:p w14:paraId="64474945" w14:textId="77777777" w:rsidR="002C13FE" w:rsidRPr="00B56098" w:rsidRDefault="002C13FE" w:rsidP="002C13FE">
      <w:pPr>
        <w:pStyle w:val="Affiliation"/>
        <w:numPr>
          <w:ilvl w:val="0"/>
          <w:numId w:val="16"/>
        </w:numPr>
        <w:jc w:val="both"/>
      </w:pPr>
      <w:r w:rsidRPr="00B56098">
        <w:t>Monitoring of cloud services</w:t>
      </w:r>
    </w:p>
    <w:p w14:paraId="1DD2CAE3" w14:textId="77777777" w:rsidR="002C13FE" w:rsidRPr="00B56098" w:rsidRDefault="002C13FE" w:rsidP="002C13FE">
      <w:pPr>
        <w:pStyle w:val="ListParagraph"/>
      </w:pPr>
    </w:p>
    <w:p w14:paraId="3ABE32BE" w14:textId="77777777" w:rsidR="002C13FE" w:rsidRPr="00B56098" w:rsidRDefault="002C13FE" w:rsidP="002C13FE">
      <w:pPr>
        <w:pStyle w:val="Affiliation"/>
        <w:numPr>
          <w:ilvl w:val="0"/>
          <w:numId w:val="16"/>
        </w:numPr>
        <w:jc w:val="both"/>
      </w:pPr>
      <w:r w:rsidRPr="00B56098">
        <w:t>Alignment of security management for virtual and physical networks</w:t>
      </w:r>
    </w:p>
    <w:p w14:paraId="2DAD796B" w14:textId="77777777" w:rsidR="002C13FE" w:rsidRDefault="002C13FE" w:rsidP="002C13FE">
      <w:pPr>
        <w:pStyle w:val="Affiliation"/>
        <w:jc w:val="both"/>
      </w:pPr>
    </w:p>
    <w:p w14:paraId="7317C1E7" w14:textId="1C4D598D" w:rsidR="002C13FE" w:rsidRDefault="002C13FE" w:rsidP="002C13FE">
      <w:pPr>
        <w:pStyle w:val="Affiliation"/>
        <w:jc w:val="both"/>
      </w:pPr>
      <w:r>
        <w:t>Cloud service architectures are steadily being adopted by businesses to centralize their network operations for ease of management and to also massively reduce costs of; specialist network professionals/infrastructure and training/maintenance that an internal datacenter requires. It is predicted</w:t>
      </w:r>
      <w:r w:rsidR="004948E4">
        <w:t xml:space="preserve"> by business analytics company </w:t>
      </w:r>
      <w:r w:rsidR="00F70162">
        <w:t>‘</w:t>
      </w:r>
      <w:r w:rsidR="004948E4">
        <w:t>Gartner</w:t>
      </w:r>
      <w:r w:rsidR="00F70162">
        <w:t xml:space="preserve">’ </w:t>
      </w:r>
      <w:r>
        <w:t xml:space="preserve"> that</w:t>
      </w:r>
      <w:r w:rsidR="004948E4">
        <w:t xml:space="preserve"> </w:t>
      </w:r>
      <w:r>
        <w:t xml:space="preserve"> </w:t>
      </w:r>
      <w:r w:rsidR="00F70162">
        <w:t xml:space="preserve">the </w:t>
      </w:r>
      <w:r>
        <w:t>‘cloud’</w:t>
      </w:r>
      <w:r w:rsidR="004948E4">
        <w:t xml:space="preserve"> network</w:t>
      </w:r>
      <w:r>
        <w:t xml:space="preserve"> </w:t>
      </w:r>
      <w:r w:rsidR="00F70162">
        <w:t>services</w:t>
      </w:r>
      <w:r>
        <w:t xml:space="preserve"> </w:t>
      </w:r>
      <w:r w:rsidR="00F70162">
        <w:t>industry will grow to 331.2 Billion dollars by the year 2022</w:t>
      </w:r>
      <w:r>
        <w:t xml:space="preserve"> </w:t>
      </w:r>
      <w:r w:rsidR="00F70162">
        <w:t>that will also be utilized by</w:t>
      </w:r>
      <w:r>
        <w:t xml:space="preserve"> the majority of SME around the globe because of the monetary and flexibility benefits cloud services provide, that’s why ISO 27017-18 is such an important addition to ISO 27000 series and the future of ISMS.</w:t>
      </w:r>
      <w:r w:rsidR="00F70162">
        <w:fldChar w:fldCharType="begin" w:fldLock="1"/>
      </w:r>
      <w:r w:rsidR="00B1450C">
        <w:instrText>ADDIN CSL_CITATION {"citationItems":[{"id":"ITEM-1","itemData":{"URL":"https://www.gartner.com/en/newsroom/press-releases/2019-04-02-gartner-forecasts-worldwide-public-cloud-revenue-to-g","accessed":{"date-parts":[["2020","1","30"]]},"author":[{"dropping-particle":"","family":"Gartner","given":"","non-dropping-particle":"","parse-names":false,"suffix":""}],"id":"ITEM-1","issued":{"date-parts":[["2019"]]},"page":"1-1","title":"Gartner Forecasts Worldwide Public Cloud Revenue to Grow 17.5 Percent in 2019","type":"webpage"},"uris":["http://www.mendeley.com/documents/?uuid=c80b6fe3-2f2a-3660-a69a-f62a3c0e4d96"]}],"mendeley":{"formattedCitation":"[135]","plainTextFormattedCitation":"[135]","previouslyFormattedCitation":"[135]"},"properties":{"noteIndex":0},"schema":"https://github.com/citation-style-language/schema/raw/master/csl-citation.json"}</w:instrText>
      </w:r>
      <w:r w:rsidR="00F70162">
        <w:fldChar w:fldCharType="separate"/>
      </w:r>
      <w:r w:rsidR="00F70162" w:rsidRPr="00F70162">
        <w:rPr>
          <w:noProof/>
        </w:rPr>
        <w:t>[135]</w:t>
      </w:r>
      <w:r w:rsidR="00F70162">
        <w:fldChar w:fldCharType="end"/>
      </w:r>
    </w:p>
    <w:p w14:paraId="7176B86C" w14:textId="77777777" w:rsidR="002C13FE" w:rsidRDefault="002C13FE" w:rsidP="002C13FE">
      <w:pPr>
        <w:pStyle w:val="Affiliation"/>
        <w:jc w:val="both"/>
      </w:pPr>
    </w:p>
    <w:p w14:paraId="728DEAA9" w14:textId="5F282257" w:rsidR="002C13FE" w:rsidRDefault="002C13FE" w:rsidP="002C13FE">
      <w:pPr>
        <w:pStyle w:val="Affiliation"/>
        <w:jc w:val="both"/>
      </w:pPr>
      <w:r>
        <w:t>With the advent of the EU GDPR</w:t>
      </w:r>
      <w:r w:rsidR="00B1450C">
        <w:t xml:space="preserve"> </w:t>
      </w:r>
      <w:r w:rsidR="00B1450C">
        <w:fldChar w:fldCharType="begin" w:fldLock="1"/>
      </w:r>
      <w:r w:rsidR="00B1450C">
        <w:instrText>ADDIN CSL_CITATION {"citationItems":[{"id":"ITEM-1","itemData":{"DOI":"http://eur-lex.europa.eu/pri/en/oj/dat/2003/l_285/l_28520031101en00330037.pdf","ISBN":"683/2004","ISSN":"1098-6596","PMID":"25246403","abstract":"The GDPR is a far-reaching legal instrument that will have a significant impact on all\r\ncompanies involved in the processing of personal data, including many outside the\r\nEU. It will increase the penalties for noncompliance, with fines of up to €20 million or\r\n4 percent of annual worldwide turnover. In addition, supervisory authorities will have\r\na number of broad powers.\r\nCompanies should review the GDPR and begin preparing for compliance with the new\r\nlegal framework for data protection in the EU.\r\nThis guide, by providing a brief overview of the new rules imposed by this legislation\r\nand the key changes it will make, will help users prepare for the GDPR. The guide also\r\nincludes a short glossary of terms used in the GDPR, and each section sets out a short\r\nto-do list for compliance. The guide will shortly be followed by further guidance, briefings\r\nand practical checklists on the GDPR.","author":[{"dropping-particle":"","family":"Day","given":"Jones","non-dropping-particle":"","parse-names":false,"suffix":""}],"container-title":"GDPR Guide","id":"ITEM-1","issued":{"date-parts":[["2017"]]},"page":"4-24","title":"General Data Protection Regulation Guide","type":"article"},"uris":["http://www.mendeley.com/documents/?uuid=1931ac12-96f8-402f-8226-53fccab57ef1"]}],"mendeley":{"formattedCitation":"[21]","plainTextFormattedCitation":"[21]","previouslyFormattedCitation":"[21]"},"properties":{"noteIndex":0},"schema":"https://github.com/citation-style-language/schema/raw/master/csl-citation.json"}</w:instrText>
      </w:r>
      <w:r w:rsidR="00B1450C">
        <w:fldChar w:fldCharType="separate"/>
      </w:r>
      <w:r w:rsidR="00B1450C" w:rsidRPr="00B1450C">
        <w:rPr>
          <w:noProof/>
        </w:rPr>
        <w:t>[21]</w:t>
      </w:r>
      <w:r w:rsidR="00B1450C">
        <w:fldChar w:fldCharType="end"/>
      </w:r>
      <w:r>
        <w:t xml:space="preserve"> laws as previously discussed, ISO 27701 – </w:t>
      </w:r>
      <w:r w:rsidRPr="00972151">
        <w:rPr>
          <w:i/>
          <w:iCs/>
        </w:rPr>
        <w:t>Privacy Information Management</w:t>
      </w:r>
      <w:r w:rsidRPr="00270A8A">
        <w:t xml:space="preserve"> </w:t>
      </w:r>
      <w:r w:rsidR="00B1450C">
        <w:t xml:space="preserve"> </w:t>
      </w:r>
      <w:r w:rsidR="00B1450C">
        <w:fldChar w:fldCharType="begin" w:fldLock="1"/>
      </w:r>
      <w:r w:rsidR="002573EA">
        <w:instrText>ADDIN CSL_CITATION {"citationItems":[{"id":"ITEM-1","itemData":{"URL":"https://www.iso.org/obp/ui/#iso:std:iso-iec:27701:ed-1:v1:en","abstract":"ISO GDPR","accessed":{"date-parts":[["2020","1","29"]]},"author":[{"dropping-particle":"","family":"ISO","given":"","non-dropping-particle":"","parse-names":false,"suffix":""}],"id":"ITEM-1","issued":{"date-parts":[["2019"]]},"page":"1-1","title":"ISO/IEC 27701:2019(en), Security techniques — Extension to ISO/IEC 27001 and ISO/IEC 27002 for privacy information management — Requirements and guidelines","type":"webpage"},"uris":["http://www.mendeley.com/documents/?uuid=6b1d6ed6-6691-3bb6-b166-8c74e01798d1"]}],"mendeley":{"formattedCitation":"[48]","plainTextFormattedCitation":"[48]","previouslyFormattedCitation":"[48]"},"properties":{"noteIndex":0},"schema":"https://github.com/citation-style-language/schema/raw/master/csl-citation.json"}</w:instrText>
      </w:r>
      <w:r w:rsidR="00B1450C">
        <w:fldChar w:fldCharType="separate"/>
      </w:r>
      <w:r w:rsidR="00B1450C" w:rsidRPr="00B1450C">
        <w:rPr>
          <w:noProof/>
        </w:rPr>
        <w:t>[48]</w:t>
      </w:r>
      <w:r w:rsidR="00B1450C">
        <w:fldChar w:fldCharType="end"/>
      </w:r>
      <w:r w:rsidR="00B1450C">
        <w:t xml:space="preserve"> </w:t>
      </w:r>
      <w:r>
        <w:t>specialist data security standard was released in response in 2019, to provide guidance to network architects/engineers so that their networks conform to the new GDPR law within the EU.</w:t>
      </w:r>
    </w:p>
    <w:p w14:paraId="49705718" w14:textId="77777777" w:rsidR="002C13FE" w:rsidRDefault="002C13FE" w:rsidP="002C13FE">
      <w:pPr>
        <w:pStyle w:val="Affiliation"/>
        <w:jc w:val="both"/>
      </w:pPr>
    </w:p>
    <w:p w14:paraId="75CA1DBD" w14:textId="1C5E8739" w:rsidR="002C13FE" w:rsidRDefault="002C13FE" w:rsidP="002C13FE">
      <w:pPr>
        <w:pStyle w:val="Affiliation"/>
        <w:jc w:val="both"/>
      </w:pPr>
      <w:r w:rsidRPr="00B1450C">
        <w:t xml:space="preserve">As previously discussed, the ISO 27000 is a </w:t>
      </w:r>
      <w:r w:rsidR="00B1450C" w:rsidRPr="00B1450C">
        <w:t xml:space="preserve">universal </w:t>
      </w:r>
      <w:r w:rsidRPr="00B1450C">
        <w:t>standard</w:t>
      </w:r>
      <w:r w:rsidR="00B1450C" w:rsidRPr="00B1450C">
        <w:t>,</w:t>
      </w:r>
      <w:r w:rsidRPr="00B1450C">
        <w:t xml:space="preserve"> not a framework, that is very robust and contains a lot of granular controls for securing a wide range of business assets across multiple industries. However, for most SME utilizing the ISO 27000 ISMS and customizing it to suite the businesses requirements</w:t>
      </w:r>
      <w:r w:rsidR="00B92B8C" w:rsidRPr="00B1450C">
        <w:t>,</w:t>
      </w:r>
      <w:r w:rsidR="00B1450C" w:rsidRPr="00B1450C">
        <w:t xml:space="preserve"> </w:t>
      </w:r>
      <w:r w:rsidRPr="00B1450C">
        <w:t xml:space="preserve">would take a very long time and be very expensive for these companies to </w:t>
      </w:r>
      <w:r w:rsidR="00B92B8C" w:rsidRPr="00B1450C">
        <w:t xml:space="preserve">implement and </w:t>
      </w:r>
      <w:r w:rsidRPr="00B1450C">
        <w:t>get certified</w:t>
      </w:r>
      <w:r w:rsidR="00B92B8C" w:rsidRPr="00B1450C">
        <w:t xml:space="preserve"> with the ISO organization</w:t>
      </w:r>
      <w:r w:rsidRPr="00B1450C">
        <w:t xml:space="preserve">. That’s why frameworks were developed by various </w:t>
      </w:r>
      <w:r w:rsidR="00B92B8C" w:rsidRPr="00B1450C">
        <w:t xml:space="preserve">professional </w:t>
      </w:r>
      <w:r w:rsidRPr="00B1450C">
        <w:t xml:space="preserve">ISMS organizations that utilize the ISO 27000 standard as the cornerstone of their framework that have been designed to be a lot less complex for Internet Technology (IT) managers and engineers to understand and comply with, as they provide an easy to follow blueprint in </w:t>
      </w:r>
      <w:r w:rsidRPr="00B1450C">
        <w:t xml:space="preserve">which a company can follow and still comply with the ISO 27000 </w:t>
      </w:r>
      <w:r w:rsidR="00B1450C" w:rsidRPr="00B1450C">
        <w:t xml:space="preserve">series universal </w:t>
      </w:r>
      <w:r w:rsidRPr="00B1450C">
        <w:t>standard to secure their data</w:t>
      </w:r>
      <w:r w:rsidR="00B1450C" w:rsidRPr="00B1450C">
        <w:t>,</w:t>
      </w:r>
      <w:r w:rsidRPr="00B1450C">
        <w:t xml:space="preserve"> using industry best practices </w:t>
      </w:r>
      <w:r w:rsidR="00B1450C" w:rsidRPr="00B1450C">
        <w:t>based</w:t>
      </w:r>
      <w:r w:rsidRPr="00B1450C">
        <w:t xml:space="preserve"> on their company requirements.</w:t>
      </w:r>
    </w:p>
    <w:p w14:paraId="65E3DCAF" w14:textId="77777777" w:rsidR="002C13FE" w:rsidRDefault="002C13FE" w:rsidP="002C13FE">
      <w:pPr>
        <w:pStyle w:val="Affiliation"/>
        <w:jc w:val="both"/>
      </w:pPr>
    </w:p>
    <w:p w14:paraId="71961DAE" w14:textId="77777777" w:rsidR="002C13FE" w:rsidRDefault="002C13FE" w:rsidP="002C13FE">
      <w:pPr>
        <w:tabs>
          <w:tab w:val="left" w:pos="216"/>
        </w:tabs>
        <w:spacing w:after="80"/>
        <w:outlineLvl w:val="0"/>
      </w:pPr>
      <w:r>
        <w:rPr>
          <w:sz w:val="24"/>
          <w:szCs w:val="24"/>
        </w:rPr>
        <w:t>ii) ITIL</w:t>
      </w:r>
    </w:p>
    <w:p w14:paraId="26FDA2EF" w14:textId="749050C0" w:rsidR="002C13FE" w:rsidRDefault="002C13FE" w:rsidP="002C13FE">
      <w:pPr>
        <w:pStyle w:val="Affiliation"/>
        <w:jc w:val="both"/>
      </w:pPr>
      <w:r>
        <w:t>The</w:t>
      </w:r>
      <w:r w:rsidRPr="000E2151">
        <w:t xml:space="preserve"> Information Technology Infrastructure Library</w:t>
      </w:r>
      <w:r>
        <w:t xml:space="preserve"> (ITIL)</w:t>
      </w:r>
      <w:r w:rsidR="002573EA">
        <w:t xml:space="preserve"> </w:t>
      </w:r>
      <w:r w:rsidR="002573EA">
        <w:fldChar w:fldCharType="begin" w:fldLock="1"/>
      </w:r>
      <w:r w:rsidR="006A4628">
        <w:instrText>ADDIN CSL_CITATION {"citationItems":[{"id":"ITEM-1","itemData":{"URL":"https://www.itil.org.uk/","accessed":{"date-parts":[["2020","1","30"]]},"author":[{"dropping-particle":"","family":"ITIL","given":"","non-dropping-particle":"","parse-names":false,"suffix":""}],"container-title":"ITIL.org.uk","id":"ITEM-1","issued":{"date-parts":[["0"]]},"title":"ITIL Organisation","type":"webpage"},"uris":["http://www.mendeley.com/documents/?uuid=22bf5960-dd79-34cc-8566-ee73d6a80d1b"]}],"mendeley":{"formattedCitation":"[136]","plainTextFormattedCitation":"[136]","previouslyFormattedCitation":"[136]"},"properties":{"noteIndex":0},"schema":"https://github.com/citation-style-language/schema/raw/master/csl-citation.json"}</w:instrText>
      </w:r>
      <w:r w:rsidR="002573EA">
        <w:fldChar w:fldCharType="separate"/>
      </w:r>
      <w:r w:rsidR="002573EA" w:rsidRPr="002573EA">
        <w:rPr>
          <w:noProof/>
        </w:rPr>
        <w:t>[136]</w:t>
      </w:r>
      <w:r w:rsidR="002573EA">
        <w:fldChar w:fldCharType="end"/>
      </w:r>
      <w:r w:rsidR="002573EA">
        <w:t xml:space="preserve"> </w:t>
      </w:r>
      <w:r>
        <w:t>data security framework is the most widely utilized</w:t>
      </w:r>
      <w:r w:rsidR="00A74E9A">
        <w:t>,</w:t>
      </w:r>
      <w:r>
        <w:t xml:space="preserve"> </w:t>
      </w:r>
      <w:r w:rsidR="00A74E9A">
        <w:t xml:space="preserve">flexible </w:t>
      </w:r>
      <w:r>
        <w:t xml:space="preserve">and highly </w:t>
      </w:r>
      <w:r w:rsidR="00A74E9A">
        <w:t>regarded</w:t>
      </w:r>
      <w:r>
        <w:t xml:space="preserve"> security framework in the </w:t>
      </w:r>
      <w:r w:rsidRPr="00A74E9A">
        <w:t>world</w:t>
      </w:r>
      <w:r>
        <w:t xml:space="preserve">, due to how it addresses all fascist of IT business management strategy </w:t>
      </w:r>
      <w:r w:rsidR="00A74E9A">
        <w:t>for</w:t>
      </w:r>
      <w:r>
        <w:t xml:space="preserve"> data security in an  industry neutral  generic nature, that allows flexibility to how it can be customized and applied across multiple industries without the complexity and granular detail that ISO 27000</w:t>
      </w:r>
      <w:r w:rsidR="00A74E9A">
        <w:t xml:space="preserve"> series</w:t>
      </w:r>
      <w:r>
        <w:t xml:space="preserve"> provides. The ITIL framework is very robust due to the integration and customization of the ISO 2001-200</w:t>
      </w:r>
      <w:r w:rsidR="00A74E9A">
        <w:t>6</w:t>
      </w:r>
      <w:r>
        <w:t xml:space="preserve"> </w:t>
      </w:r>
      <w:r w:rsidR="00A74E9A">
        <w:t>standards</w:t>
      </w:r>
      <w:r>
        <w:t xml:space="preserve"> without the broad depth of controls that the ISO 27000 series has within. </w:t>
      </w:r>
      <w:r w:rsidRPr="00A74E9A">
        <w:t>ITIL could be defined as a watered down version of ISO 27000 standard which in essence defines it as a framework.</w:t>
      </w:r>
      <w:r w:rsidRPr="002C14AA">
        <w:t xml:space="preserve"> </w:t>
      </w:r>
      <w:r>
        <w:t xml:space="preserve">The framework was developed by the UK government in </w:t>
      </w:r>
      <w:r w:rsidRPr="00A74E9A">
        <w:t>198</w:t>
      </w:r>
      <w:r w:rsidR="00A74E9A" w:rsidRPr="00A74E9A">
        <w:t>9</w:t>
      </w:r>
      <w:r w:rsidR="00A74E9A">
        <w:t xml:space="preserve"> and has been updated as data security and business requirements evolved over the years. T</w:t>
      </w:r>
      <w:r w:rsidRPr="00A74E9A">
        <w:t>he</w:t>
      </w:r>
      <w:r>
        <w:t xml:space="preserve"> latest revision is ITILv4 that was released in 2019.</w:t>
      </w:r>
    </w:p>
    <w:p w14:paraId="6B607513" w14:textId="77777777" w:rsidR="002C13FE" w:rsidRDefault="002C13FE" w:rsidP="002C13FE">
      <w:pPr>
        <w:pStyle w:val="Affiliation"/>
        <w:jc w:val="both"/>
      </w:pPr>
    </w:p>
    <w:p w14:paraId="6E785A54" w14:textId="61668786" w:rsidR="002C13FE" w:rsidRDefault="002C13FE" w:rsidP="002C13FE">
      <w:pPr>
        <w:pStyle w:val="Affiliation"/>
        <w:jc w:val="both"/>
      </w:pPr>
      <w:r>
        <w:t xml:space="preserve">The ITIL framework consists of five stages within the ITIL lifecycle requirements. These stages can be found in </w:t>
      </w:r>
      <w:r w:rsidR="00490B23">
        <w:rPr>
          <w:i/>
          <w:iCs/>
        </w:rPr>
        <w:t>Table 3</w:t>
      </w:r>
      <w:r>
        <w:t>.</w:t>
      </w:r>
    </w:p>
    <w:p w14:paraId="1A2E2F3F" w14:textId="77777777" w:rsidR="002C13FE" w:rsidRDefault="002C13FE" w:rsidP="002C13FE">
      <w:pPr>
        <w:pStyle w:val="Affiliation"/>
        <w:jc w:val="both"/>
      </w:pPr>
    </w:p>
    <w:p w14:paraId="4EB41304" w14:textId="77777777" w:rsidR="00490B23" w:rsidRDefault="002C13FE" w:rsidP="00490B23">
      <w:pPr>
        <w:pStyle w:val="Affiliation"/>
        <w:keepNext/>
        <w:jc w:val="both"/>
      </w:pPr>
      <w:r>
        <w:rPr>
          <w:noProof/>
          <w:lang w:val="en-GB" w:eastAsia="en-GB"/>
        </w:rPr>
        <w:drawing>
          <wp:inline distT="0" distB="0" distL="0" distR="0" wp14:anchorId="5B00D0DE" wp14:editId="4959A8DE">
            <wp:extent cx="3200400" cy="38150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00400" cy="3815080"/>
                    </a:xfrm>
                    <a:prstGeom prst="rect">
                      <a:avLst/>
                    </a:prstGeom>
                    <a:noFill/>
                    <a:ln>
                      <a:noFill/>
                    </a:ln>
                  </pic:spPr>
                </pic:pic>
              </a:graphicData>
            </a:graphic>
          </wp:inline>
        </w:drawing>
      </w:r>
    </w:p>
    <w:p w14:paraId="73A1BA63" w14:textId="54141552" w:rsidR="002C13FE" w:rsidRPr="00490B23" w:rsidRDefault="00490B23" w:rsidP="00490B23">
      <w:pPr>
        <w:pStyle w:val="Caption"/>
        <w:rPr>
          <w:sz w:val="18"/>
        </w:rPr>
      </w:pPr>
      <w:r w:rsidRPr="00490B23">
        <w:rPr>
          <w:sz w:val="18"/>
        </w:rPr>
        <w:t xml:space="preserve">Table </w:t>
      </w:r>
      <w:r w:rsidRPr="00490B23">
        <w:rPr>
          <w:sz w:val="18"/>
        </w:rPr>
        <w:fldChar w:fldCharType="begin"/>
      </w:r>
      <w:r w:rsidRPr="00490B23">
        <w:rPr>
          <w:sz w:val="18"/>
        </w:rPr>
        <w:instrText xml:space="preserve"> SEQ Table \* ARABIC </w:instrText>
      </w:r>
      <w:r w:rsidRPr="00490B23">
        <w:rPr>
          <w:sz w:val="18"/>
        </w:rPr>
        <w:fldChar w:fldCharType="separate"/>
      </w:r>
      <w:r w:rsidR="00387812">
        <w:rPr>
          <w:noProof/>
          <w:sz w:val="18"/>
        </w:rPr>
        <w:t>3</w:t>
      </w:r>
      <w:r w:rsidRPr="00490B23">
        <w:rPr>
          <w:sz w:val="18"/>
        </w:rPr>
        <w:fldChar w:fldCharType="end"/>
      </w:r>
      <w:r w:rsidRPr="00490B23">
        <w:rPr>
          <w:sz w:val="18"/>
        </w:rPr>
        <w:t>: ITIL Framework 5 Stages</w:t>
      </w:r>
      <w:r w:rsidR="006A4628">
        <w:rPr>
          <w:sz w:val="18"/>
        </w:rPr>
        <w:t xml:space="preserve"> </w:t>
      </w:r>
      <w:r w:rsidR="006A4628">
        <w:rPr>
          <w:sz w:val="18"/>
        </w:rPr>
        <w:fldChar w:fldCharType="begin" w:fldLock="1"/>
      </w:r>
      <w:r w:rsidR="00976F1B">
        <w:rPr>
          <w:sz w:val="18"/>
        </w:rPr>
        <w:instrText>ADDIN CSL_CITATION {"citationItems":[{"id":"ITEM-1","itemData":{"DOI":"10.1063/1.4912775","ISBN":"9780735412873","ISSN":"15517616","abstract":"This paper discusses the context of ITIL framework and management of information security. It is therefore a summary study, where the first part is focused on the safety objectives in connection with the ITIL framework. First of all, there is a focus on ITIL process ISM (Information Security Management), its principle and system management. The conclusion is about link between standards, which are related to security, and ITIL framework.","author":[{"dropping-particle":"","family":"Jašek","given":"Roman","non-dropping-particle":"","parse-names":false,"suffix":""},{"dropping-particle":"","family":"Králík","given":"Lukáš","non-dropping-particle":"","parse-names":false,"suffix":""},{"dropping-particle":"","family":"Popelka","given":"Miroslav","non-dropping-particle":"","parse-names":false,"suffix":""}],"container-title":"AIP Conference Proceedings","id":"ITEM-1","issued":{"date-parts":[["2015"]]},"title":"ITIL® and information security","type":"paper-conference"},"uris":["http://www.mendeley.com/documents/?uuid=bb06752b-c39c-4957-ad17-fc9a71e0dcc1"]}],"mendeley":{"formattedCitation":"[137]","plainTextFormattedCitation":"[137]","previouslyFormattedCitation":"[137]"},"properties":{"noteIndex":0},"schema":"https://github.com/citation-style-language/schema/raw/master/csl-citation.json"}</w:instrText>
      </w:r>
      <w:r w:rsidR="006A4628">
        <w:rPr>
          <w:sz w:val="18"/>
        </w:rPr>
        <w:fldChar w:fldCharType="separate"/>
      </w:r>
      <w:r w:rsidR="006A4628" w:rsidRPr="006A4628">
        <w:rPr>
          <w:i w:val="0"/>
          <w:noProof/>
          <w:sz w:val="18"/>
        </w:rPr>
        <w:t>[137]</w:t>
      </w:r>
      <w:r w:rsidR="006A4628">
        <w:rPr>
          <w:sz w:val="18"/>
        </w:rPr>
        <w:fldChar w:fldCharType="end"/>
      </w:r>
    </w:p>
    <w:p w14:paraId="780C162D" w14:textId="570B38A1" w:rsidR="002C13FE" w:rsidRDefault="002C13FE" w:rsidP="002C13FE">
      <w:pPr>
        <w:pStyle w:val="Affiliation"/>
        <w:jc w:val="both"/>
      </w:pPr>
      <w:r>
        <w:t xml:space="preserve">The stages above comprise of the foundations of the complex ISO 27000 standard but have been filtered into an easy to follow blueprint by the ITIL organization for industry best practice within data security that also conform with the generic ISMS </w:t>
      </w:r>
      <w:r>
        <w:lastRenderedPageBreak/>
        <w:t xml:space="preserve">stages previously discussed </w:t>
      </w:r>
      <w:r w:rsidR="00911000">
        <w:t>with</w:t>
      </w:r>
      <w:r>
        <w:t>in this paper. By following the ITIL framework blueprint</w:t>
      </w:r>
      <w:r w:rsidR="005505C5">
        <w:t>,</w:t>
      </w:r>
      <w:r>
        <w:t xml:space="preserve"> </w:t>
      </w:r>
      <w:r w:rsidR="005505C5">
        <w:t>companies</w:t>
      </w:r>
      <w:r>
        <w:t xml:space="preserve"> that utilize sensitive data can effortlessly tailor the ISMS for their specific business model and asset requirements.</w:t>
      </w:r>
      <w:r w:rsidR="00976F1B">
        <w:fldChar w:fldCharType="begin" w:fldLock="1"/>
      </w:r>
      <w:r w:rsidR="00D41D27">
        <w:instrText>ADDIN CSL_CITATION {"citationItems":[{"id":"ITEM-1","itemData":{"DOI":"10.1016/j.lrp.2009.07.010","ISSN":"00246301","abstract":"Companies commercialize new ideas and technologies through their business models. While companies may have extensive investments and processes for exploring new ideas and technologies, they often have little if any ability to innovate the business models through which these inputs will pass. This matters - the same idea or technology taken to market through two different business models will yield two different economic outcomes. So it makes good business sense for companies to develop the capability to innovate their business models. This paper explores the barriers to business model innovation, which previous academic research has identified as including conflicts with existing assets and business models, as well as cognition in understanding these barriers. Processes of experimentation and effectuation, and the successful leadership of organizational change must be brought to bear in order to overcome these barriers. Some examples of business model innovation are provided to underline its importance, in hopes of inspiring managers and academics to take these challenges on. © 2009 Elsevier Ltd.","author":[{"dropping-particle":"","family":"Chesbrough","given":"Henry","non-dropping-particle":"","parse-names":false,"suffix":""}],"container-title":"Long Range Planning","id":"ITEM-1","issued":{"date-parts":[["2010"]]},"title":"Business model innovation: Opportunities and barriers","type":"article-journal"},"uris":["http://www.mendeley.com/documents/?uuid=b0270f28-d6eb-4fba-b355-ba51453f5ada"]}],"mendeley":{"formattedCitation":"[138]","plainTextFormattedCitation":"[138]","previouslyFormattedCitation":"[138]"},"properties":{"noteIndex":0},"schema":"https://github.com/citation-style-language/schema/raw/master/csl-citation.json"}</w:instrText>
      </w:r>
      <w:r w:rsidR="00976F1B">
        <w:fldChar w:fldCharType="separate"/>
      </w:r>
      <w:r w:rsidR="00976F1B" w:rsidRPr="00976F1B">
        <w:rPr>
          <w:noProof/>
        </w:rPr>
        <w:t>[138]</w:t>
      </w:r>
      <w:r w:rsidR="00976F1B">
        <w:fldChar w:fldCharType="end"/>
      </w:r>
    </w:p>
    <w:p w14:paraId="02BBBAE8" w14:textId="77777777" w:rsidR="002C13FE" w:rsidRDefault="002C13FE" w:rsidP="002C13FE">
      <w:pPr>
        <w:pStyle w:val="Affiliation"/>
        <w:jc w:val="both"/>
      </w:pPr>
    </w:p>
    <w:p w14:paraId="76FE01D0" w14:textId="77777777" w:rsidR="002C13FE" w:rsidRDefault="002C13FE" w:rsidP="002C13FE">
      <w:pPr>
        <w:tabs>
          <w:tab w:val="left" w:pos="216"/>
        </w:tabs>
        <w:spacing w:after="80"/>
        <w:outlineLvl w:val="0"/>
      </w:pPr>
      <w:r>
        <w:rPr>
          <w:sz w:val="24"/>
          <w:szCs w:val="24"/>
        </w:rPr>
        <w:t>iii)  Cyber Essentials</w:t>
      </w:r>
    </w:p>
    <w:p w14:paraId="099876DD" w14:textId="01DDE300" w:rsidR="002C13FE" w:rsidRDefault="00093E6F" w:rsidP="002C13FE">
      <w:pPr>
        <w:pStyle w:val="Affiliation"/>
        <w:jc w:val="both"/>
      </w:pPr>
      <w:r>
        <w:t>Cyber Essentials</w:t>
      </w:r>
      <w:r w:rsidR="00D41D27">
        <w:t xml:space="preserve"> </w:t>
      </w:r>
      <w:r w:rsidR="00D41D27">
        <w:fldChar w:fldCharType="begin" w:fldLock="1"/>
      </w:r>
      <w:r w:rsidR="00BB3EF0">
        <w:instrText>ADDIN CSL_CITATION {"citationItems":[{"id":"ITEM-1","itemData":{"URL":"https://www.cyberessentials.ncsc.gov.uk/getting-certified/","accessed":{"date-parts":[["2020","1","29"]]},"author":[{"dropping-particle":"","family":"NCSC UK","given":"","non-dropping-particle":"","parse-names":false,"suffix":""}],"id":"ITEM-1","issued":{"date-parts":[["2019"]]},"page":"1-1","title":"Cyber Essentials :: Certification","type":"webpage"},"uris":["http://www.mendeley.com/documents/?uuid=c1390aff-e066-3ba4-96e8-24159b23f9d4"]}],"mendeley":{"formattedCitation":"[29]","plainTextFormattedCitation":"[29]","previouslyFormattedCitation":"[29]"},"properties":{"noteIndex":0},"schema":"https://github.com/citation-style-language/schema/raw/master/csl-citation.json"}</w:instrText>
      </w:r>
      <w:r w:rsidR="00D41D27">
        <w:fldChar w:fldCharType="separate"/>
      </w:r>
      <w:r w:rsidR="00D41D27" w:rsidRPr="00D41D27">
        <w:rPr>
          <w:noProof/>
        </w:rPr>
        <w:t>[29]</w:t>
      </w:r>
      <w:r w:rsidR="00D41D27">
        <w:fldChar w:fldCharType="end"/>
      </w:r>
      <w:r w:rsidR="002C13FE">
        <w:t xml:space="preserve"> is a specialist ISMS </w:t>
      </w:r>
      <w:r w:rsidR="00D41D27">
        <w:t xml:space="preserve">created by the National Cyber Security Centre (NCSC) within the UK, </w:t>
      </w:r>
      <w:r w:rsidR="002C13FE">
        <w:t>that can be considered more of a security model rather than a framework</w:t>
      </w:r>
      <w:r w:rsidR="00D41D27">
        <w:t>,</w:t>
      </w:r>
      <w:r w:rsidR="002C13FE">
        <w:t xml:space="preserve"> that is utilized alongside one or more of the major ISMS organizations standard/framework such as; ISO 27000 and ITIL. This ISMS brings more stringent controls to assets within a company already complying with a major ISMS framework that is tailored for compliance of companies that work as a third-party contractor for the UK government that handles highly sensitive data. </w:t>
      </w:r>
      <w:r w:rsidR="00BB3EF0">
        <w:fldChar w:fldCharType="begin" w:fldLock="1"/>
      </w:r>
      <w:r w:rsidR="00BB3EF0">
        <w:instrText>ADDIN CSL_CITATION {"citationItems":[{"id":"ITEM-1","itemData":{"DOI":"10.1109/INDIN.2013.6622963","ISBN":"978-1-4799-0752-6","ISSN":"01674048","PMID":"25685516","abstract":"Increasing awareness of ICS security issues has brought about a growing body of work in this area, including pioneering contributions based on realistic control system logs and network traces. This paper surveys the state of the art in ICS security research, including efforts of industrial researchers, highlighting the most interesting works. Research efforts are grouped into divergent areas, where we add “secure control” as a new category to capture security goals specific to control systems that differ from security goals in traditional IT systems.","author":[{"dropping-particle":"","family":"HM Government","given":"","non-dropping-particle":"","parse-names":false,"suffix":""}],"container-title":"Computers &amp; Security","id":"ITEM-1","issued":{"date-parts":[["2014"]]},"title":"Cyber Essentials Scheme: Assurance Framework","type":"article-journal"},"uris":["http://www.mendeley.com/documents/?uuid=9e0967ca-50d5-4b03-9aaa-811051a92cd5"]}],"mendeley":{"formattedCitation":"[139]","plainTextFormattedCitation":"[139]","previouslyFormattedCitation":"[139]"},"properties":{"noteIndex":0},"schema":"https://github.com/citation-style-language/schema/raw/master/csl-citation.json"}</w:instrText>
      </w:r>
      <w:r w:rsidR="00BB3EF0">
        <w:fldChar w:fldCharType="separate"/>
      </w:r>
      <w:r w:rsidR="00BB3EF0" w:rsidRPr="00BB3EF0">
        <w:rPr>
          <w:noProof/>
        </w:rPr>
        <w:t>[139]</w:t>
      </w:r>
      <w:r w:rsidR="00BB3EF0">
        <w:fldChar w:fldCharType="end"/>
      </w:r>
    </w:p>
    <w:p w14:paraId="3914AEDD" w14:textId="77777777" w:rsidR="002C13FE" w:rsidRDefault="002C13FE" w:rsidP="002C13FE">
      <w:pPr>
        <w:pStyle w:val="Affiliation"/>
        <w:jc w:val="both"/>
      </w:pPr>
    </w:p>
    <w:p w14:paraId="69851F10" w14:textId="24CE318D" w:rsidR="002C13FE" w:rsidRDefault="002C13FE" w:rsidP="002C13FE">
      <w:pPr>
        <w:pStyle w:val="Affiliation"/>
        <w:jc w:val="both"/>
      </w:pPr>
      <w:r>
        <w:t xml:space="preserve">Unlike a framework, the ‘Cyber Essentials’ security model has far fewer controls and states how to implement each control to protect assets and achieve certification as opposed to giving guidance. </w:t>
      </w:r>
      <w:r w:rsidR="00BB3EF0">
        <w:fldChar w:fldCharType="begin" w:fldLock="1"/>
      </w:r>
      <w:r w:rsidR="00BB3EF0">
        <w:instrText>ADDIN CSL_CITATION {"citationItems":[{"id":"ITEM-1","itemData":{"DOI":"10.1109/INDIN.2013.6622963","ISBN":"978-1-4799-0752-6","ISSN":"01674048","PMID":"25685516","abstract":"Increasing awareness of ICS security issues has brought about a growing body of work in this area, including pioneering contributions based on realistic control system logs and network traces. This paper surveys the state of the art in ICS security research, including efforts of industrial researchers, highlighting the most interesting works. Research efforts are grouped into divergent areas, where we add “secure control” as a new category to capture security goals specific to control systems that differ from security goals in traditional IT systems.","author":[{"dropping-particle":"","family":"UKGovt-NCSC","given":"","non-dropping-particle":"","parse-names":false,"suffix":""}],"container-title":"Computers &amp; Security","id":"ITEM-1","issued":{"date-parts":[["2014"]]},"title":"Cyber Essentials Scheme - Requirements","type":"article-journal"},"uris":["http://www.mendeley.com/documents/?uuid=5d3e910b-3cf2-4c7d-89d9-79ee0622bc41"]}],"mendeley":{"formattedCitation":"[140]","plainTextFormattedCitation":"[140]","previouslyFormattedCitation":"[140]"},"properties":{"noteIndex":0},"schema":"https://github.com/citation-style-language/schema/raw/master/csl-citation.json"}</w:instrText>
      </w:r>
      <w:r w:rsidR="00BB3EF0">
        <w:fldChar w:fldCharType="separate"/>
      </w:r>
      <w:r w:rsidR="00BB3EF0" w:rsidRPr="00BB3EF0">
        <w:rPr>
          <w:noProof/>
        </w:rPr>
        <w:t>[140]</w:t>
      </w:r>
      <w:r w:rsidR="00BB3EF0">
        <w:fldChar w:fldCharType="end"/>
      </w:r>
    </w:p>
    <w:p w14:paraId="33058D4B" w14:textId="77777777" w:rsidR="002C13FE" w:rsidRDefault="002C13FE" w:rsidP="002C13FE">
      <w:pPr>
        <w:pStyle w:val="Affiliation"/>
        <w:jc w:val="both"/>
      </w:pPr>
    </w:p>
    <w:p w14:paraId="770A3FF9" w14:textId="0335A323" w:rsidR="002C13FE" w:rsidRDefault="002C13FE" w:rsidP="002C13FE">
      <w:pPr>
        <w:pStyle w:val="Affiliation"/>
        <w:jc w:val="both"/>
      </w:pPr>
      <w:r>
        <w:t xml:space="preserve">The five Cyber Essentials controls can be found in </w:t>
      </w:r>
      <w:r w:rsidRPr="00BB3EF0">
        <w:rPr>
          <w:i/>
          <w:iCs/>
        </w:rPr>
        <w:t xml:space="preserve">Table </w:t>
      </w:r>
      <w:r w:rsidR="00BB3EF0">
        <w:rPr>
          <w:i/>
          <w:iCs/>
        </w:rPr>
        <w:t>4</w:t>
      </w:r>
      <w:r w:rsidRPr="00BB3EF0">
        <w:rPr>
          <w:i/>
          <w:iCs/>
        </w:rPr>
        <w:t>.</w:t>
      </w:r>
    </w:p>
    <w:p w14:paraId="5F452978" w14:textId="77777777" w:rsidR="002C13FE" w:rsidRDefault="002C13FE" w:rsidP="002C13FE">
      <w:pPr>
        <w:pStyle w:val="Affiliation"/>
        <w:jc w:val="both"/>
      </w:pPr>
    </w:p>
    <w:p w14:paraId="55702592" w14:textId="77777777" w:rsidR="00BB3EF0" w:rsidRDefault="002C13FE" w:rsidP="00BB3EF0">
      <w:pPr>
        <w:pStyle w:val="Affiliation"/>
        <w:keepNext/>
        <w:jc w:val="both"/>
      </w:pPr>
      <w:r>
        <w:rPr>
          <w:noProof/>
          <w:lang w:val="en-GB" w:eastAsia="en-GB"/>
        </w:rPr>
        <w:drawing>
          <wp:inline distT="0" distB="0" distL="0" distR="0" wp14:anchorId="0FB02CC9" wp14:editId="74B2D037">
            <wp:extent cx="3225800" cy="1874036"/>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36420" cy="1880205"/>
                    </a:xfrm>
                    <a:prstGeom prst="rect">
                      <a:avLst/>
                    </a:prstGeom>
                    <a:noFill/>
                    <a:ln>
                      <a:noFill/>
                    </a:ln>
                  </pic:spPr>
                </pic:pic>
              </a:graphicData>
            </a:graphic>
          </wp:inline>
        </w:drawing>
      </w:r>
    </w:p>
    <w:p w14:paraId="7B54BDBA" w14:textId="64105389" w:rsidR="002C13FE" w:rsidRPr="00BB3EF0" w:rsidRDefault="00BB3EF0" w:rsidP="00BB3EF0">
      <w:pPr>
        <w:pStyle w:val="Caption"/>
        <w:rPr>
          <w:sz w:val="18"/>
        </w:rPr>
      </w:pPr>
      <w:r w:rsidRPr="00BB3EF0">
        <w:rPr>
          <w:sz w:val="18"/>
        </w:rPr>
        <w:t xml:space="preserve">Table </w:t>
      </w:r>
      <w:r w:rsidRPr="00BB3EF0">
        <w:rPr>
          <w:sz w:val="18"/>
        </w:rPr>
        <w:fldChar w:fldCharType="begin"/>
      </w:r>
      <w:r w:rsidRPr="00BB3EF0">
        <w:rPr>
          <w:sz w:val="18"/>
        </w:rPr>
        <w:instrText xml:space="preserve"> SEQ Table \* ARABIC </w:instrText>
      </w:r>
      <w:r w:rsidRPr="00BB3EF0">
        <w:rPr>
          <w:sz w:val="18"/>
        </w:rPr>
        <w:fldChar w:fldCharType="separate"/>
      </w:r>
      <w:r w:rsidR="00387812">
        <w:rPr>
          <w:noProof/>
          <w:sz w:val="18"/>
        </w:rPr>
        <w:t>4</w:t>
      </w:r>
      <w:r w:rsidRPr="00BB3EF0">
        <w:rPr>
          <w:sz w:val="18"/>
        </w:rPr>
        <w:fldChar w:fldCharType="end"/>
      </w:r>
      <w:r w:rsidRPr="00BB3EF0">
        <w:rPr>
          <w:sz w:val="18"/>
        </w:rPr>
        <w:t>: Cyber Essentials Security Model Controls</w:t>
      </w:r>
      <w:r>
        <w:rPr>
          <w:sz w:val="18"/>
        </w:rPr>
        <w:t xml:space="preserve"> </w:t>
      </w:r>
      <w:r>
        <w:rPr>
          <w:sz w:val="18"/>
        </w:rPr>
        <w:fldChar w:fldCharType="begin" w:fldLock="1"/>
      </w:r>
      <w:r w:rsidR="008C7999">
        <w:rPr>
          <w:sz w:val="18"/>
        </w:rPr>
        <w:instrText>ADDIN CSL_CITATION {"citationItems":[{"id":"ITEM-1","itemData":{"DOI":"10.1109/INDIN.2013.6622963","ISBN":"978-1-4799-0752-6","ISSN":"01674048","PMID":"25685516","abstract":"Increasing awareness of ICS security issues has brought about a growing body of work in this area, including pioneering contributions based on realistic control system logs and network traces. This paper surveys the state of the art in ICS security research, including efforts of industrial researchers, highlighting the most interesting works. Research efforts are grouped into divergent areas, where we add “secure control” as a new category to capture security goals specific to control systems that differ from security goals in traditional IT systems.","author":[{"dropping-particle":"","family":"UKGovt-NCSC","given":"","non-dropping-particle":"","parse-names":false,"suffix":""}],"container-title":"Computers &amp; Security","id":"ITEM-1","issued":{"date-parts":[["2014"]]},"title":"Cyber Essentials Scheme - Requirements","type":"article-journal"},"uris":["http://www.mendeley.com/documents/?uuid=5d3e910b-3cf2-4c7d-89d9-79ee0622bc41"]},{"id":"ITEM-2","itemData":{"DOI":"10.1109/INDIN.2013.6622963","ISBN":"978-1-4799-0752-6","ISSN":"01674048","PMID":"25685516","abstract":"Increasing awareness of ICS security issues has brought about a growing body of work in this area, including pioneering contributions based on realistic control system logs and network traces. This paper surveys the state of the art in ICS security research, including efforts of industrial researchers, highlighting the most interesting works. Research efforts are grouped into divergent areas, where we add “secure control” as a new category to capture security goals specific to control systems that differ from security goals in traditional IT systems.","author":[{"dropping-particle":"","family":"HM Government","given":"","non-dropping-particle":"","parse-names":false,"suffix":""}],"container-title":"Computers &amp; Security","id":"ITEM-2","issued":{"date-parts":[["2014"]]},"title":"Cyber Essentials Scheme: Assurance Framework","type":"article-journal"},"uris":["http://www.mendeley.com/documents/?uuid=9e0967ca-50d5-4b03-9aaa-811051a92cd5"]}],"mendeley":{"formattedCitation":"[139], [140]","plainTextFormattedCitation":"[139], [140]","previouslyFormattedCitation":"[139], [140]"},"properties":{"noteIndex":0},"schema":"https://github.com/citation-style-language/schema/raw/master/csl-citation.json"}</w:instrText>
      </w:r>
      <w:r>
        <w:rPr>
          <w:sz w:val="18"/>
        </w:rPr>
        <w:fldChar w:fldCharType="separate"/>
      </w:r>
      <w:r w:rsidRPr="00BB3EF0">
        <w:rPr>
          <w:i w:val="0"/>
          <w:noProof/>
          <w:sz w:val="18"/>
        </w:rPr>
        <w:t>[139], [140]</w:t>
      </w:r>
      <w:r>
        <w:rPr>
          <w:sz w:val="18"/>
        </w:rPr>
        <w:fldChar w:fldCharType="end"/>
      </w:r>
    </w:p>
    <w:p w14:paraId="7CFF804D" w14:textId="77777777" w:rsidR="002C13FE" w:rsidRDefault="002C13FE" w:rsidP="002C13FE">
      <w:pPr>
        <w:pStyle w:val="ListParagraph"/>
        <w:rPr>
          <w:b/>
          <w:bCs/>
        </w:rPr>
      </w:pPr>
    </w:p>
    <w:p w14:paraId="70EA145D" w14:textId="77777777" w:rsidR="002C13FE" w:rsidRDefault="002C13FE" w:rsidP="002C13FE">
      <w:pPr>
        <w:pStyle w:val="Affiliation"/>
        <w:jc w:val="both"/>
      </w:pPr>
      <w:r w:rsidRPr="007A2A52">
        <w:t>A company must meet all the above controls before it can be certified to handle government data and/or contracts</w:t>
      </w:r>
      <w:r>
        <w:t xml:space="preserve"> within the UK</w:t>
      </w:r>
      <w:r w:rsidRPr="007A2A52">
        <w:t>.</w:t>
      </w:r>
    </w:p>
    <w:p w14:paraId="5F1C2081" w14:textId="77777777" w:rsidR="002C13FE" w:rsidRDefault="002C13FE" w:rsidP="002C13FE">
      <w:pPr>
        <w:tabs>
          <w:tab w:val="left" w:pos="216"/>
        </w:tabs>
        <w:spacing w:after="80"/>
        <w:outlineLvl w:val="0"/>
        <w:rPr>
          <w:sz w:val="24"/>
          <w:szCs w:val="24"/>
        </w:rPr>
      </w:pPr>
      <w:r>
        <w:rPr>
          <w:sz w:val="24"/>
          <w:szCs w:val="24"/>
        </w:rPr>
        <w:t xml:space="preserve">iv) PCI-DSS </w:t>
      </w:r>
    </w:p>
    <w:p w14:paraId="5517E448" w14:textId="1BE58A75" w:rsidR="002C13FE" w:rsidRDefault="002C13FE" w:rsidP="002C13FE">
      <w:pPr>
        <w:pStyle w:val="Affiliation"/>
        <w:jc w:val="both"/>
      </w:pPr>
      <w:r>
        <w:t xml:space="preserve">Similar to the UK government Cyber Essentials security model, </w:t>
      </w:r>
      <w:r w:rsidRPr="00DD78D2">
        <w:t>Payment Card Industry</w:t>
      </w:r>
      <w:r>
        <w:t xml:space="preserve"> -</w:t>
      </w:r>
      <w:r w:rsidRPr="00DD78D2">
        <w:t xml:space="preserve"> Data Security Standard </w:t>
      </w:r>
      <w:r>
        <w:t>(PCI-DSS)</w:t>
      </w:r>
      <w:r w:rsidR="008C7999">
        <w:t xml:space="preserve"> </w:t>
      </w:r>
      <w:r w:rsidR="008C7999">
        <w:fldChar w:fldCharType="begin" w:fldLock="1"/>
      </w:r>
      <w:r w:rsidR="00387812">
        <w:instrText>ADDIN CSL_CITATION {"citationItems":[{"id":"ITEM-1","itemData":{"URL":"https://www.itgovernance.co.uk/pci_dss","abstract":"PCI-DSS","accessed":{"date-parts":[["2020","1","29"]]},"author":[{"dropping-particle":"","family":"IT Governance UK","given":"","non-dropping-particle":"","parse-names":false,"suffix":""}],"id":"ITEM-1","issued":{"date-parts":[["2019"]]},"page":"1-1","title":"The PCI DSS | IT Governance UK | IT Governance UK","type":"webpage"},"uris":["http://www.mendeley.com/documents/?uuid=cf2857ec-895e-37ac-877f-f12a88a89f2d"]}],"mendeley":{"formattedCitation":"[30]","plainTextFormattedCitation":"[30]","previouslyFormattedCitation":"[30]"},"properties":{"noteIndex":0},"schema":"https://github.com/citation-style-language/schema/raw/master/csl-citation.json"}</w:instrText>
      </w:r>
      <w:r w:rsidR="008C7999">
        <w:fldChar w:fldCharType="separate"/>
      </w:r>
      <w:r w:rsidR="008C7999" w:rsidRPr="008C7999">
        <w:rPr>
          <w:noProof/>
        </w:rPr>
        <w:t>[30]</w:t>
      </w:r>
      <w:r w:rsidR="008C7999">
        <w:fldChar w:fldCharType="end"/>
      </w:r>
      <w:r>
        <w:t xml:space="preserve"> is designed to provide more stringent controls to an already existing ISMS framework, that is tailored for the banking industry and in particular companies that utilize credit/debit card payments </w:t>
      </w:r>
      <w:r w:rsidR="008C7999">
        <w:t>though a website on</w:t>
      </w:r>
      <w:r>
        <w:t xml:space="preserve"> the Internet. The industry leading banking merchants who utilize this framework are; </w:t>
      </w:r>
      <w:r w:rsidR="00A6456E">
        <w:t>PayPal, Visa</w:t>
      </w:r>
      <w:r>
        <w:t>, Mastercard, Discover, American Express, JCB.</w:t>
      </w:r>
    </w:p>
    <w:p w14:paraId="109D7BD2" w14:textId="77777777" w:rsidR="002C13FE" w:rsidRDefault="002C13FE" w:rsidP="002C13FE">
      <w:pPr>
        <w:pStyle w:val="Affiliation"/>
        <w:jc w:val="both"/>
      </w:pPr>
    </w:p>
    <w:p w14:paraId="04A3DCB8" w14:textId="40B980A0" w:rsidR="002C13FE" w:rsidRDefault="002C13FE" w:rsidP="002C13FE">
      <w:pPr>
        <w:pStyle w:val="Affiliation"/>
        <w:jc w:val="both"/>
        <w:rPr>
          <w:i/>
          <w:iCs/>
          <w:highlight w:val="green"/>
        </w:rPr>
      </w:pPr>
      <w:r>
        <w:t xml:space="preserve">There are four tiers of certification for PCI-DSS depending on the type of transactions that are being processed and the amount of transactions. These tier levels can be found in </w:t>
      </w:r>
      <w:r w:rsidRPr="00546518">
        <w:rPr>
          <w:i/>
          <w:iCs/>
        </w:rPr>
        <w:t xml:space="preserve">Table </w:t>
      </w:r>
      <w:r w:rsidR="00A6456E" w:rsidRPr="00A6456E">
        <w:rPr>
          <w:i/>
          <w:iCs/>
        </w:rPr>
        <w:t>5.</w:t>
      </w:r>
    </w:p>
    <w:p w14:paraId="709DA971" w14:textId="77777777" w:rsidR="00A6456E" w:rsidRDefault="00A6456E" w:rsidP="002C13FE">
      <w:pPr>
        <w:pStyle w:val="Affiliation"/>
        <w:jc w:val="both"/>
      </w:pPr>
    </w:p>
    <w:p w14:paraId="516F85A3" w14:textId="77777777" w:rsidR="00A6456E" w:rsidRDefault="002C13FE" w:rsidP="00A6456E">
      <w:pPr>
        <w:pStyle w:val="Affiliation"/>
        <w:keepNext/>
        <w:jc w:val="both"/>
      </w:pPr>
      <w:r>
        <w:rPr>
          <w:noProof/>
          <w:lang w:val="en-GB" w:eastAsia="en-GB"/>
        </w:rPr>
        <w:drawing>
          <wp:inline distT="0" distB="0" distL="0" distR="0" wp14:anchorId="0AEACCD6" wp14:editId="6CC0F525">
            <wp:extent cx="3205480" cy="250444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205480" cy="2504440"/>
                    </a:xfrm>
                    <a:prstGeom prst="rect">
                      <a:avLst/>
                    </a:prstGeom>
                    <a:noFill/>
                    <a:ln>
                      <a:noFill/>
                    </a:ln>
                  </pic:spPr>
                </pic:pic>
              </a:graphicData>
            </a:graphic>
          </wp:inline>
        </w:drawing>
      </w:r>
    </w:p>
    <w:p w14:paraId="178DCBF9" w14:textId="50D37D02" w:rsidR="00A6456E" w:rsidRPr="00387812" w:rsidRDefault="00A6456E" w:rsidP="00A6456E">
      <w:pPr>
        <w:pStyle w:val="Caption"/>
        <w:rPr>
          <w:sz w:val="16"/>
        </w:rPr>
      </w:pPr>
      <w:r w:rsidRPr="00387812">
        <w:rPr>
          <w:sz w:val="16"/>
        </w:rPr>
        <w:t xml:space="preserve">Table </w:t>
      </w:r>
      <w:r w:rsidRPr="00387812">
        <w:rPr>
          <w:sz w:val="16"/>
        </w:rPr>
        <w:fldChar w:fldCharType="begin"/>
      </w:r>
      <w:r w:rsidRPr="00387812">
        <w:rPr>
          <w:sz w:val="16"/>
        </w:rPr>
        <w:instrText xml:space="preserve"> SEQ Table \* ARABIC </w:instrText>
      </w:r>
      <w:r w:rsidRPr="00387812">
        <w:rPr>
          <w:sz w:val="16"/>
        </w:rPr>
        <w:fldChar w:fldCharType="separate"/>
      </w:r>
      <w:r w:rsidR="00387812">
        <w:rPr>
          <w:noProof/>
          <w:sz w:val="16"/>
        </w:rPr>
        <w:t>5</w:t>
      </w:r>
      <w:r w:rsidRPr="00387812">
        <w:rPr>
          <w:sz w:val="16"/>
        </w:rPr>
        <w:fldChar w:fldCharType="end"/>
      </w:r>
      <w:r w:rsidRPr="00387812">
        <w:rPr>
          <w:sz w:val="16"/>
        </w:rPr>
        <w:t>: PCI-DSS Security Model, Merchant Tier Models</w:t>
      </w:r>
      <w:r w:rsidR="00387812" w:rsidRPr="00387812">
        <w:rPr>
          <w:sz w:val="16"/>
        </w:rPr>
        <w:t xml:space="preserve"> </w:t>
      </w:r>
      <w:r w:rsidR="00387812" w:rsidRPr="00387812">
        <w:rPr>
          <w:sz w:val="16"/>
        </w:rPr>
        <w:fldChar w:fldCharType="begin" w:fldLock="1"/>
      </w:r>
      <w:r w:rsidR="00387812">
        <w:rPr>
          <w:sz w:val="16"/>
        </w:rPr>
        <w:instrText>ADDIN CSL_CITATION {"citationItems":[{"id":"ITEM-1","itemData":{"URL":"https://pcipolicyportal.com/what-is-pci/merchants/","accessed":{"date-parts":[["2020","1","30"]]},"author":[{"dropping-particle":"","family":"PciPolicyPortal","given":"","non-dropping-particle":"","parse-names":false,"suffix":""}],"id":"ITEM-1","issued":{"date-parts":[["2019"]]},"page":"1-1","title":"PCI-DSS Merchant Levels 1 - 4 for VISA and Mastercard for SAQ and Level 1","type":"webpage"},"uris":["http://www.mendeley.com/documents/?uuid=08e17fd7-b544-33dd-859d-6169bbef4ce5"]},{"id":"ITEM-2","itemData":{"DOI":"10.1201/b16846-5","abstract":"The Payment Card Industry (PCI) Data Security Standard (DSS) was developed to encourage and enhance cardholder data security and facilitate the broad adoption of consistent data security measures globally. PCI DSS provides a baseline of technical and operational requirements designed to protect cardholder data. PCI DSS applies to all entities involved in payment card processing – including merchants, processors, acquirers, issuers, and service providers, as well as all other entities that store, process or transmit cardholder data. PCI DSS comprises a minimum set of requirements for protecting cardholder data, and may be enhanced by additional controls and practices to further mitigate risks. Below is a high-level overview of the 12 PCI DSS requirements.","author":[{"dropping-particle":"","family":"Bhargav","given":"Abhay","non-dropping-particle":"","parse-names":false,"suffix":""}],"container-title":"PCI Compliance","id":"ITEM-2","issued":{"date-parts":[["2014"]]},"title":"Payment Card Industry Data Security Standard (PCI-DSS)","type":"chapter"},"uris":["http://www.mendeley.com/documents/?uuid=2f1481ae-0b7d-4989-ac0c-9eb98f23209d"]}],"mendeley":{"formattedCitation":"[141], [142]","plainTextFormattedCitation":"[141], [142]","previouslyFormattedCitation":"[141], [142]"},"properties":{"noteIndex":0},"schema":"https://github.com/citation-style-language/schema/raw/master/csl-citation.json"}</w:instrText>
      </w:r>
      <w:r w:rsidR="00387812" w:rsidRPr="00387812">
        <w:rPr>
          <w:sz w:val="16"/>
        </w:rPr>
        <w:fldChar w:fldCharType="separate"/>
      </w:r>
      <w:r w:rsidR="00387812" w:rsidRPr="00387812">
        <w:rPr>
          <w:i w:val="0"/>
          <w:noProof/>
          <w:sz w:val="16"/>
        </w:rPr>
        <w:t>[141], [142]</w:t>
      </w:r>
      <w:r w:rsidR="00387812" w:rsidRPr="00387812">
        <w:rPr>
          <w:sz w:val="16"/>
        </w:rPr>
        <w:fldChar w:fldCharType="end"/>
      </w:r>
      <w:r w:rsidR="001375BF" w:rsidRPr="00387812">
        <w:rPr>
          <w:sz w:val="16"/>
        </w:rPr>
        <w:t xml:space="preserve"> </w:t>
      </w:r>
    </w:p>
    <w:p w14:paraId="3260C5EC" w14:textId="77777777" w:rsidR="002C13FE" w:rsidRPr="00875445" w:rsidRDefault="002C13FE" w:rsidP="002C13FE">
      <w:pPr>
        <w:jc w:val="both"/>
        <w:rPr>
          <w:highlight w:val="green"/>
        </w:rPr>
      </w:pPr>
    </w:p>
    <w:p w14:paraId="4595C6B3" w14:textId="57447193" w:rsidR="002C13FE" w:rsidRDefault="002C13FE" w:rsidP="002C13FE">
      <w:pPr>
        <w:pStyle w:val="Affiliation"/>
        <w:jc w:val="both"/>
      </w:pPr>
      <w:r w:rsidRPr="009871E6">
        <w:t xml:space="preserve">There are also </w:t>
      </w:r>
      <w:r>
        <w:t xml:space="preserve">6 controls and 12 requirements that need to </w:t>
      </w:r>
      <w:r w:rsidRPr="004D2761">
        <w:rPr>
          <w:i/>
          <w:iCs/>
        </w:rPr>
        <w:t>be</w:t>
      </w:r>
      <w:r w:rsidR="004D2761">
        <w:t xml:space="preserve"> </w:t>
      </w:r>
      <w:r>
        <w:t xml:space="preserve">implemented within a network for full compliance with the security model, shown in </w:t>
      </w:r>
      <w:r w:rsidRPr="00387812">
        <w:rPr>
          <w:i/>
          <w:iCs/>
        </w:rPr>
        <w:t xml:space="preserve">Table </w:t>
      </w:r>
      <w:r w:rsidR="00387812" w:rsidRPr="00387812">
        <w:rPr>
          <w:i/>
          <w:iCs/>
        </w:rPr>
        <w:t>6</w:t>
      </w:r>
      <w:r w:rsidRPr="00387812">
        <w:rPr>
          <w:i/>
          <w:iCs/>
        </w:rPr>
        <w:t>.</w:t>
      </w:r>
      <w:r w:rsidR="00387812">
        <w:rPr>
          <w:i/>
          <w:iCs/>
        </w:rPr>
        <w:t xml:space="preserve"> </w:t>
      </w:r>
      <w:r w:rsidR="00387812">
        <w:rPr>
          <w:i/>
          <w:iCs/>
        </w:rPr>
        <w:fldChar w:fldCharType="begin" w:fldLock="1"/>
      </w:r>
      <w:r w:rsidR="00387812">
        <w:rPr>
          <w:i/>
          <w:iCs/>
        </w:rPr>
        <w:instrText>ADDIN CSL_CITATION {"citationItems":[{"id":"ITEM-1","itemData":{"URL":"https://www.itgovernance.co.uk/pci_dss","accessed":{"date-parts":[["2020","1","30"]]},"author":[{"dropping-particle":"","family":"IT-Governence","given":"","non-dropping-particle":"","parse-names":false,"suffix":""}],"id":"ITEM-1","issued":{"date-parts":[["2019"]]},"page":"1-1","title":"The PCI DSS | IT Governance UK | IT Governance UK","type":"webpage"},"uris":["http://www.mendeley.com/documents/?uuid=5022ef2b-e131-300f-972a-f4cd2f8cbae6"]}],"mendeley":{"formattedCitation":"[143]","plainTextFormattedCitation":"[143]","previouslyFormattedCitation":"[143]"},"properties":{"noteIndex":0},"schema":"https://github.com/citation-style-language/schema/raw/master/csl-citation.json"}</w:instrText>
      </w:r>
      <w:r w:rsidR="00387812">
        <w:rPr>
          <w:i/>
          <w:iCs/>
        </w:rPr>
        <w:fldChar w:fldCharType="separate"/>
      </w:r>
      <w:r w:rsidR="00387812" w:rsidRPr="00387812">
        <w:rPr>
          <w:iCs/>
          <w:noProof/>
        </w:rPr>
        <w:t>[143]</w:t>
      </w:r>
      <w:r w:rsidR="00387812">
        <w:rPr>
          <w:i/>
          <w:iCs/>
        </w:rPr>
        <w:fldChar w:fldCharType="end"/>
      </w:r>
    </w:p>
    <w:p w14:paraId="1DF4A44F" w14:textId="77777777" w:rsidR="002C13FE" w:rsidRDefault="002C13FE" w:rsidP="002C13FE">
      <w:pPr>
        <w:pStyle w:val="Affiliation"/>
        <w:jc w:val="both"/>
      </w:pPr>
    </w:p>
    <w:p w14:paraId="0F957C7B" w14:textId="77777777" w:rsidR="00387812" w:rsidRDefault="002C13FE" w:rsidP="00387812">
      <w:pPr>
        <w:pStyle w:val="Affiliation"/>
        <w:keepNext/>
        <w:jc w:val="both"/>
      </w:pPr>
      <w:r>
        <w:rPr>
          <w:noProof/>
          <w:lang w:val="en-GB" w:eastAsia="en-GB"/>
        </w:rPr>
        <w:drawing>
          <wp:inline distT="0" distB="0" distL="0" distR="0" wp14:anchorId="4189909D" wp14:editId="557DC0C2">
            <wp:extent cx="3205480" cy="283972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205480" cy="2839720"/>
                    </a:xfrm>
                    <a:prstGeom prst="rect">
                      <a:avLst/>
                    </a:prstGeom>
                    <a:noFill/>
                    <a:ln>
                      <a:noFill/>
                    </a:ln>
                  </pic:spPr>
                </pic:pic>
              </a:graphicData>
            </a:graphic>
          </wp:inline>
        </w:drawing>
      </w:r>
    </w:p>
    <w:p w14:paraId="19822968" w14:textId="6D4F704F" w:rsidR="002C13FE" w:rsidRPr="00387812" w:rsidRDefault="00387812" w:rsidP="00387812">
      <w:pPr>
        <w:pStyle w:val="Caption"/>
        <w:rPr>
          <w:sz w:val="18"/>
        </w:rPr>
      </w:pPr>
      <w:r w:rsidRPr="00387812">
        <w:rPr>
          <w:sz w:val="18"/>
        </w:rPr>
        <w:t xml:space="preserve">Table </w:t>
      </w:r>
      <w:r w:rsidRPr="00387812">
        <w:rPr>
          <w:sz w:val="18"/>
        </w:rPr>
        <w:fldChar w:fldCharType="begin"/>
      </w:r>
      <w:r w:rsidRPr="00387812">
        <w:rPr>
          <w:sz w:val="18"/>
        </w:rPr>
        <w:instrText xml:space="preserve"> SEQ Table \* ARABIC </w:instrText>
      </w:r>
      <w:r w:rsidRPr="00387812">
        <w:rPr>
          <w:sz w:val="18"/>
        </w:rPr>
        <w:fldChar w:fldCharType="separate"/>
      </w:r>
      <w:r w:rsidRPr="00387812">
        <w:rPr>
          <w:noProof/>
          <w:sz w:val="18"/>
        </w:rPr>
        <w:t>6</w:t>
      </w:r>
      <w:r w:rsidRPr="00387812">
        <w:rPr>
          <w:sz w:val="18"/>
        </w:rPr>
        <w:fldChar w:fldCharType="end"/>
      </w:r>
      <w:r w:rsidRPr="00387812">
        <w:rPr>
          <w:sz w:val="18"/>
        </w:rPr>
        <w:t>: PCI-DSS; Controls and Requirements</w:t>
      </w:r>
      <w:r>
        <w:rPr>
          <w:sz w:val="18"/>
        </w:rPr>
        <w:t xml:space="preserve"> </w:t>
      </w:r>
      <w:r>
        <w:rPr>
          <w:sz w:val="18"/>
        </w:rPr>
        <w:fldChar w:fldCharType="begin" w:fldLock="1"/>
      </w:r>
      <w:r>
        <w:rPr>
          <w:sz w:val="18"/>
        </w:rPr>
        <w:instrText>ADDIN CSL_CITATION {"citationItems":[{"id":"ITEM-1","itemData":{"abstract":"PCI scope dss","author":[{"dropping-particle":"","family":"PCI-Security-Standards","given":"","non-dropping-particle":"","parse-names":false,"suffix":""}],"id":"ITEM-1","issued":{"date-parts":[["2010"]]},"number-of-pages":"8-10","title":"PCI DSS Quick Reference Guide Understanding the Payment Card Industry Data Security Standard version 2.0","type":"report"},"uris":["http://www.mendeley.com/documents/?uuid=4120982c-3cb6-3713-b46d-8537b772ffd2"]}],"mendeley":{"formattedCitation":"[144]","plainTextFormattedCitation":"[144]","previouslyFormattedCitation":"[144]"},"properties":{"noteIndex":0},"schema":"https://github.com/citation-style-language/schema/raw/master/csl-citation.json"}</w:instrText>
      </w:r>
      <w:r>
        <w:rPr>
          <w:sz w:val="18"/>
        </w:rPr>
        <w:fldChar w:fldCharType="separate"/>
      </w:r>
      <w:r w:rsidRPr="00387812">
        <w:rPr>
          <w:i w:val="0"/>
          <w:noProof/>
          <w:sz w:val="18"/>
        </w:rPr>
        <w:t>[144]</w:t>
      </w:r>
      <w:r>
        <w:rPr>
          <w:sz w:val="18"/>
        </w:rPr>
        <w:fldChar w:fldCharType="end"/>
      </w:r>
      <w:r w:rsidRPr="00387812">
        <w:rPr>
          <w:sz w:val="18"/>
        </w:rPr>
        <w:t xml:space="preserve"> </w:t>
      </w:r>
      <w:r>
        <w:rPr>
          <w:sz w:val="18"/>
        </w:rPr>
        <w:fldChar w:fldCharType="begin" w:fldLock="1"/>
      </w:r>
      <w:r>
        <w:rPr>
          <w:sz w:val="18"/>
        </w:rPr>
        <w:instrText>ADDIN CSL_CITATION {"citationItems":[{"id":"ITEM-1","itemData":{"URL":"https://www.itgovernance.co.uk/pci_dss","abstract":"PCI-DSS","accessed":{"date-parts":[["2020","1","29"]]},"author":[{"dropping-particle":"","family":"IT Governance UK","given":"","non-dropping-particle":"","parse-names":false,"suffix":""}],"id":"ITEM-1","issued":{"date-parts":[["2019"]]},"page":"1-1","title":"The PCI DSS | IT Governance UK | IT Governance UK","type":"webpage"},"uris":["http://www.mendeley.com/documents/?uuid=cf2857ec-895e-37ac-877f-f12a88a89f2d"]}],"mendeley":{"formattedCitation":"[30]","plainTextFormattedCitation":"[30]","previouslyFormattedCitation":"[30]"},"properties":{"noteIndex":0},"schema":"https://github.com/citation-style-language/schema/raw/master/csl-citation.json"}</w:instrText>
      </w:r>
      <w:r>
        <w:rPr>
          <w:sz w:val="18"/>
        </w:rPr>
        <w:fldChar w:fldCharType="separate"/>
      </w:r>
      <w:r w:rsidRPr="00387812">
        <w:rPr>
          <w:i w:val="0"/>
          <w:noProof/>
          <w:sz w:val="18"/>
        </w:rPr>
        <w:t>[30]</w:t>
      </w:r>
      <w:r>
        <w:rPr>
          <w:sz w:val="18"/>
        </w:rPr>
        <w:fldChar w:fldCharType="end"/>
      </w:r>
    </w:p>
    <w:p w14:paraId="317B2B7C" w14:textId="1D1E2C9F" w:rsidR="002C13FE" w:rsidRDefault="002C13FE" w:rsidP="002C13FE">
      <w:pPr>
        <w:pStyle w:val="Affiliation"/>
        <w:jc w:val="both"/>
      </w:pPr>
      <w:r>
        <w:t>Third party banking merchants can be utilized whom are PCI-DSS certified for SME who process online credit/debit card transaction, thus mitigating the high risk of processing, storing and/or managing customers/clients’ credit and/or debit card information thus avoiding a potential fine from a data breach that ranges from $5,000 - $500,000 dollars</w:t>
      </w:r>
      <w:r w:rsidR="00387812">
        <w:t xml:space="preserve"> </w:t>
      </w:r>
      <w:r w:rsidR="003B44C2">
        <w:fldChar w:fldCharType="begin" w:fldLock="1"/>
      </w:r>
      <w:r w:rsidR="0035498F">
        <w:instrText>ADDIN CSL_CITATION {"citationItems":[{"id":"ITEM-1","itemData":{"URL":"https://www.varonis.com/blog/pci-compliance/","accessed":{"date-parts":[["2020","1","30"]]},"author":[{"dropping-particle":"","family":"Varonis","given":"","non-dropping-particle":"","parse-names":false,"suffix":""}],"id":"ITEM-1","issued":{"date-parts":[["2019"]]},"page":"1-1","title":"What is PCI Compliance: Requirements and Penalties | Varonis","type":"webpage"},"uris":["http://www.mendeley.com/documents/?uuid=eb36a90a-0d67-330f-a2f7-f748e82dcb56"]}],"mendeley":{"formattedCitation":"[145]","plainTextFormattedCitation":"[145]","previouslyFormattedCitation":"[145]"},"properties":{"noteIndex":0},"schema":"https://github.com/citation-style-language/schema/raw/master/csl-citation.json"}</w:instrText>
      </w:r>
      <w:r w:rsidR="003B44C2">
        <w:fldChar w:fldCharType="separate"/>
      </w:r>
      <w:r w:rsidR="003B44C2" w:rsidRPr="003B44C2">
        <w:rPr>
          <w:noProof/>
        </w:rPr>
        <w:t>[145]</w:t>
      </w:r>
      <w:r w:rsidR="003B44C2">
        <w:fldChar w:fldCharType="end"/>
      </w:r>
      <w:r>
        <w:t>, depending on the severity of the data breach.</w:t>
      </w:r>
      <w:r w:rsidR="00387812">
        <w:fldChar w:fldCharType="begin" w:fldLock="1"/>
      </w:r>
      <w:r w:rsidR="003B44C2">
        <w:instrText>ADDIN CSL_CITATION {"citationItems":[{"id":"ITEM-1","itemData":{"abstract":"PCI scope dss","author":[{"dropping-particle":"","family":"PCI-Security-Standards","given":"","non-dropping-particle":"","parse-names":false,"suffix":""}],"id":"ITEM-1","issued":{"date-parts":[["2010"]]},"number-of-pages":"8-10","title":"PCI DSS Quick Reference Guide Understanding the Payment Card Industry Data Security Standard version 2.0","type":"report"},"uris":["http://www.mendeley.com/documents/?uuid=4120982c-3cb6-3713-b46d-8537b772ffd2"]}],"mendeley":{"formattedCitation":"[144]","plainTextFormattedCitation":"[144]","previouslyFormattedCitation":"[144]"},"properties":{"noteIndex":0},"schema":"https://github.com/citation-style-language/schema/raw/master/csl-citation.json"}</w:instrText>
      </w:r>
      <w:r w:rsidR="00387812">
        <w:fldChar w:fldCharType="separate"/>
      </w:r>
      <w:r w:rsidR="00387812" w:rsidRPr="00387812">
        <w:rPr>
          <w:noProof/>
        </w:rPr>
        <w:t>[144]</w:t>
      </w:r>
      <w:r w:rsidR="00387812">
        <w:fldChar w:fldCharType="end"/>
      </w:r>
      <w:r w:rsidR="00387812">
        <w:t xml:space="preserve"> </w:t>
      </w:r>
    </w:p>
    <w:p w14:paraId="5D40106F" w14:textId="77777777" w:rsidR="002C13FE" w:rsidRDefault="002C13FE" w:rsidP="002C13FE">
      <w:pPr>
        <w:pStyle w:val="Affiliation"/>
        <w:jc w:val="both"/>
      </w:pPr>
    </w:p>
    <w:p w14:paraId="7DC34ABC" w14:textId="77777777" w:rsidR="002C13FE" w:rsidRPr="00E377D9" w:rsidRDefault="002C13FE" w:rsidP="002C13FE">
      <w:pPr>
        <w:pStyle w:val="ListParagraph"/>
        <w:numPr>
          <w:ilvl w:val="0"/>
          <w:numId w:val="9"/>
        </w:numPr>
        <w:tabs>
          <w:tab w:val="left" w:pos="216"/>
        </w:tabs>
        <w:spacing w:after="80"/>
        <w:jc w:val="both"/>
        <w:outlineLvl w:val="0"/>
        <w:rPr>
          <w:sz w:val="24"/>
          <w:szCs w:val="24"/>
        </w:rPr>
      </w:pPr>
      <w:r w:rsidRPr="00E377D9">
        <w:rPr>
          <w:sz w:val="24"/>
          <w:szCs w:val="24"/>
        </w:rPr>
        <w:t>ISMS Certifications</w:t>
      </w:r>
    </w:p>
    <w:p w14:paraId="48171B63" w14:textId="2DCA5353" w:rsidR="002C13FE" w:rsidRDefault="002C13FE" w:rsidP="002C13FE">
      <w:pPr>
        <w:pStyle w:val="Affiliation"/>
        <w:jc w:val="both"/>
      </w:pPr>
      <w:r>
        <w:t xml:space="preserve">The aforementioned ISMS organizations award certificates to businesses whom apply for certification  and fully comply to </w:t>
      </w:r>
      <w:r>
        <w:lastRenderedPageBreak/>
        <w:t xml:space="preserve">best practice data security implementations within their organizations in regards to the framework and/or standard in which the certificate adheres to, after an audit is carried out by an information security professional and/or third party data security auditing company on behalf of the  accrediting body, these certificates can be utilized in conjunction with another independent specialized framework certificate by a business, to gain cybersecurity insurance in the event their network is breached and compensation has to be paid to customers and/or governmental fines for example in the form of GDPR within Europe as not all threats can be completely mitigated within a network especially emerging threats within the ever complex and evolving technologies being utilized within modern networks. </w:t>
      </w:r>
      <w:r w:rsidR="0035498F">
        <w:fldChar w:fldCharType="begin" w:fldLock="1"/>
      </w:r>
      <w:r w:rsidR="0035498F">
        <w:instrText>ADDIN CSL_CITATION {"citationItems":[{"id":"ITEM-1","itemData":{"DOI":"10.5762/kais.2012.13.9.4224","ISSN":"1975-4701","abstract":"While the rapid spread of Internet usage enables many tasks that can be performed in only offline environments to be performed in cyber space as well, new security threats such as hacking and viruses have also increased. For that reason, enterprises and organizations recently require comprehensive and systematic information security management system (ISMS) instead of sporadic security management. Consequently, the Information Security Management System (ISMS) certification system has been in effect in Korea since July 2001. As of December 2009, 76 enterprises have been certified, and more than 100 ISO27001 certifications have been issued. As such, since the introduction of the ISMS certification system in Korea, the demand for the certification has been steadily increasing, and it is now recognized as an integral means of strengthening the competitiveness in an enterprise. However, the qualitative aspects of certification regarding the benefit of ISMS have been continuously questioned by actual customers. In order to clarify the situation and remove such doubts, this study will substantiate the fact that development and certification of ISMS positively affect the business performance of enterprises so that they will recognize the effect of obtaining ISMS certification and eventually prevent security accidents and improve their business performance by developing ISMS. .","author":[{"dropping-particle":"","family":"Bae","given":"Young-Sik","non-dropping-particle":"","parse-names":false,"suffix":""}],"container-title":"Journal of the Korea Academia-Industrial cooperation Society","id":"ITEM-1","issued":{"date-parts":[["2012"]]},"title":"A study of Effect of Information Security Management System [ISMS] Certification on Organization Performance","type":"article-journal"},"uris":["http://www.mendeley.com/documents/?uuid=ba62e7f3-5192-41cb-a3e9-8e763754fc4f"]}],"mendeley":{"formattedCitation":"[146]","plainTextFormattedCitation":"[146]","previouslyFormattedCitation":"[146]"},"properties":{"noteIndex":0},"schema":"https://github.com/citation-style-language/schema/raw/master/csl-citation.json"}</w:instrText>
      </w:r>
      <w:r w:rsidR="0035498F">
        <w:fldChar w:fldCharType="separate"/>
      </w:r>
      <w:r w:rsidR="0035498F" w:rsidRPr="0035498F">
        <w:rPr>
          <w:noProof/>
        </w:rPr>
        <w:t>[146]</w:t>
      </w:r>
      <w:r w:rsidR="0035498F">
        <w:fldChar w:fldCharType="end"/>
      </w:r>
      <w:r w:rsidR="0035498F">
        <w:t xml:space="preserve"> </w:t>
      </w:r>
      <w:r w:rsidR="0035498F">
        <w:fldChar w:fldCharType="begin" w:fldLock="1"/>
      </w:r>
      <w:r w:rsidR="0060185E">
        <w:instrText>ADDIN CSL_CITATION {"citationItems":[{"id":"ITEM-1","itemData":{"URL":"https://www.bsigroup.com/en-IN/ISOIEC-27001-Information-Security/Training-courses-for-ISO-27001/Information-Security-Management-Systems-ISMS-Training-Course-Internal-Auditor-ISOIEC-270012013/","accessed":{"date-parts":[["2020","1","30"]]},"author":[{"dropping-particle":"","family":"BSI-Group","given":"","non-dropping-particle":"","parse-names":false,"suffix":""}],"id":"ITEM-1","issued":{"date-parts":[["2019"]]},"page":"1-1","title":"Information Security Management Systems (ISMS) Training Course: Internal Auditor ISO/IEC 27001:2013 | India","type":"webpage"},"uris":["http://www.mendeley.com/documents/?uuid=1d18bf62-ba2c-3619-915e-029378eb2c49"]}],"mendeley":{"formattedCitation":"[147]","plainTextFormattedCitation":"[147]","previouslyFormattedCitation":"[147]"},"properties":{"noteIndex":0},"schema":"https://github.com/citation-style-language/schema/raw/master/csl-citation.json"}</w:instrText>
      </w:r>
      <w:r w:rsidR="0035498F">
        <w:fldChar w:fldCharType="separate"/>
      </w:r>
      <w:r w:rsidR="0035498F" w:rsidRPr="0035498F">
        <w:rPr>
          <w:noProof/>
        </w:rPr>
        <w:t>[147]</w:t>
      </w:r>
      <w:r w:rsidR="0035498F">
        <w:fldChar w:fldCharType="end"/>
      </w:r>
    </w:p>
    <w:p w14:paraId="55F12DB1" w14:textId="16E9FFA4" w:rsidR="002C13FE" w:rsidRDefault="002C13FE" w:rsidP="002C13FE">
      <w:pPr>
        <w:jc w:val="both"/>
      </w:pPr>
    </w:p>
    <w:p w14:paraId="16764D78" w14:textId="5386B82E" w:rsidR="004D2761" w:rsidRDefault="004D2761" w:rsidP="002C13FE">
      <w:pPr>
        <w:jc w:val="both"/>
      </w:pPr>
    </w:p>
    <w:p w14:paraId="6924B479" w14:textId="402C7946" w:rsidR="004D2761" w:rsidRDefault="004D2761" w:rsidP="002C13FE">
      <w:pPr>
        <w:jc w:val="both"/>
      </w:pPr>
    </w:p>
    <w:p w14:paraId="05353AD0" w14:textId="77777777" w:rsidR="004D2761" w:rsidRPr="002C13FE" w:rsidRDefault="004D2761" w:rsidP="002C13FE">
      <w:pPr>
        <w:jc w:val="both"/>
      </w:pPr>
    </w:p>
    <w:p w14:paraId="5B5F1C2A" w14:textId="77777777" w:rsidR="004D2761" w:rsidRDefault="004D2761" w:rsidP="0060185E">
      <w:pPr>
        <w:pStyle w:val="Heading1"/>
        <w:numPr>
          <w:ilvl w:val="0"/>
          <w:numId w:val="0"/>
        </w:numPr>
        <w:spacing w:before="0"/>
        <w:ind w:firstLine="216"/>
        <w:rPr>
          <w:noProof/>
          <w:sz w:val="24"/>
          <w:szCs w:val="24"/>
        </w:rPr>
      </w:pPr>
    </w:p>
    <w:p w14:paraId="2696274F" w14:textId="77777777" w:rsidR="0060185E" w:rsidRDefault="0060185E" w:rsidP="0060185E"/>
    <w:p w14:paraId="5B901E53" w14:textId="42E82B59" w:rsidR="0060185E" w:rsidRDefault="0060185E" w:rsidP="0060185E"/>
    <w:p w14:paraId="5FD3BCF6" w14:textId="59051C15" w:rsidR="0060185E" w:rsidRDefault="0060185E" w:rsidP="0060185E"/>
    <w:p w14:paraId="34132EFE" w14:textId="5EFE8630" w:rsidR="0060185E" w:rsidRDefault="0060185E" w:rsidP="0060185E"/>
    <w:p w14:paraId="656EB6F4" w14:textId="636D8E79" w:rsidR="0060185E" w:rsidRDefault="0060185E" w:rsidP="0060185E"/>
    <w:p w14:paraId="7CFF9E02" w14:textId="755D9BB3" w:rsidR="0060185E" w:rsidRDefault="0060185E" w:rsidP="0060185E"/>
    <w:p w14:paraId="232B0E4D" w14:textId="45D06595" w:rsidR="0060185E" w:rsidRDefault="0060185E" w:rsidP="0060185E"/>
    <w:p w14:paraId="66D5D526" w14:textId="345F12B5" w:rsidR="0060185E" w:rsidRDefault="0060185E" w:rsidP="0060185E"/>
    <w:p w14:paraId="3E5D85EB" w14:textId="24E74BE2" w:rsidR="0060185E" w:rsidRDefault="0060185E" w:rsidP="0060185E"/>
    <w:p w14:paraId="5856E9D4" w14:textId="195543DB" w:rsidR="0060185E" w:rsidRDefault="0060185E" w:rsidP="0060185E"/>
    <w:p w14:paraId="7718FA3A" w14:textId="144482D3" w:rsidR="0060185E" w:rsidRDefault="0060185E" w:rsidP="0060185E"/>
    <w:p w14:paraId="235BA6F4" w14:textId="0E20B15D" w:rsidR="0060185E" w:rsidRDefault="0060185E" w:rsidP="0060185E"/>
    <w:p w14:paraId="174104A5" w14:textId="345BE8D6" w:rsidR="0060185E" w:rsidRDefault="0060185E" w:rsidP="0060185E"/>
    <w:p w14:paraId="45002ABD" w14:textId="32747C10" w:rsidR="0060185E" w:rsidRDefault="0060185E" w:rsidP="0060185E"/>
    <w:p w14:paraId="39C83EC4" w14:textId="521CAD95" w:rsidR="0060185E" w:rsidRDefault="0060185E" w:rsidP="0060185E"/>
    <w:p w14:paraId="313C18CD" w14:textId="69904AFC" w:rsidR="0060185E" w:rsidRDefault="0060185E" w:rsidP="0060185E"/>
    <w:p w14:paraId="5F998F92" w14:textId="2125AEB4" w:rsidR="0060185E" w:rsidRDefault="0060185E" w:rsidP="0060185E"/>
    <w:p w14:paraId="3DAC00FD" w14:textId="0AAEBC56" w:rsidR="0060185E" w:rsidRDefault="0060185E" w:rsidP="0060185E"/>
    <w:p w14:paraId="6C7BDB39" w14:textId="66960B72" w:rsidR="0060185E" w:rsidRDefault="0060185E" w:rsidP="0060185E"/>
    <w:p w14:paraId="25420A6E" w14:textId="77777777" w:rsidR="0060185E" w:rsidRDefault="0060185E" w:rsidP="0060185E"/>
    <w:p w14:paraId="0BC1E714" w14:textId="696ED28B" w:rsidR="0060185E" w:rsidRPr="0060185E" w:rsidRDefault="0060185E" w:rsidP="0060185E">
      <w:pPr>
        <w:sectPr w:rsidR="0060185E" w:rsidRPr="0060185E" w:rsidSect="004D2761">
          <w:type w:val="continuous"/>
          <w:pgSz w:w="12240" w:h="15840"/>
          <w:pgMar w:top="1080" w:right="893" w:bottom="1440" w:left="893" w:header="0" w:footer="0" w:gutter="0"/>
          <w:cols w:num="2" w:space="360"/>
          <w:formProt w:val="0"/>
          <w:docGrid w:linePitch="360" w:charSpace="8192"/>
        </w:sectPr>
      </w:pPr>
    </w:p>
    <w:p w14:paraId="0922C97A" w14:textId="28CAA84F" w:rsidR="003945AA" w:rsidRDefault="002C13FE" w:rsidP="007B757A">
      <w:pPr>
        <w:pStyle w:val="Heading1"/>
        <w:numPr>
          <w:ilvl w:val="0"/>
          <w:numId w:val="31"/>
        </w:numPr>
        <w:spacing w:before="0"/>
        <w:rPr>
          <w:noProof/>
          <w:sz w:val="24"/>
          <w:szCs w:val="24"/>
        </w:rPr>
      </w:pPr>
      <w:r w:rsidRPr="002C13FE">
        <w:rPr>
          <w:noProof/>
          <w:sz w:val="24"/>
          <w:szCs w:val="24"/>
        </w:rPr>
        <w:t>Appendix – B</w:t>
      </w:r>
    </w:p>
    <w:p w14:paraId="348AEEED" w14:textId="77777777" w:rsidR="005A26EE" w:rsidRDefault="004D2761" w:rsidP="005A26EE">
      <w:pPr>
        <w:keepNext/>
      </w:pPr>
      <w:r>
        <w:rPr>
          <w:noProof/>
          <w:lang w:eastAsia="en-GB"/>
        </w:rPr>
        <w:drawing>
          <wp:inline distT="0" distB="0" distL="0" distR="0" wp14:anchorId="4C05F711" wp14:editId="0983C33F">
            <wp:extent cx="6778667" cy="4870450"/>
            <wp:effectExtent l="19050" t="19050" r="22225" b="2540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790128" cy="4878685"/>
                    </a:xfrm>
                    <a:prstGeom prst="rect">
                      <a:avLst/>
                    </a:prstGeom>
                    <a:noFill/>
                    <a:ln w="3810">
                      <a:solidFill>
                        <a:schemeClr val="tx1"/>
                      </a:solidFill>
                    </a:ln>
                  </pic:spPr>
                </pic:pic>
              </a:graphicData>
            </a:graphic>
          </wp:inline>
        </w:drawing>
      </w:r>
    </w:p>
    <w:p w14:paraId="46153DBB" w14:textId="2744ADD3" w:rsidR="00F423D9" w:rsidRDefault="005A26EE" w:rsidP="005A26EE">
      <w:pPr>
        <w:pStyle w:val="Caption"/>
      </w:pPr>
      <w:r>
        <w:t xml:space="preserve">Figure </w:t>
      </w:r>
      <w:fldSimple w:instr=" SEQ Figure \* ARABIC ">
        <w:r w:rsidR="003F457E">
          <w:rPr>
            <w:noProof/>
          </w:rPr>
          <w:t>6</w:t>
        </w:r>
      </w:fldSimple>
      <w:r>
        <w:t xml:space="preserve">: Caribbean Coffee Ltd Management Hierarchy </w:t>
      </w:r>
    </w:p>
    <w:p w14:paraId="16EAA4E3" w14:textId="77777777" w:rsidR="00F423D9" w:rsidRPr="004D2761" w:rsidRDefault="00F423D9" w:rsidP="00F423D9">
      <w:pPr>
        <w:jc w:val="both"/>
      </w:pPr>
    </w:p>
    <w:p w14:paraId="5FD68A1E" w14:textId="4AF17EB4" w:rsidR="003945AA" w:rsidRDefault="003945AA" w:rsidP="007B757A">
      <w:pPr>
        <w:pStyle w:val="ListParagraph"/>
        <w:numPr>
          <w:ilvl w:val="0"/>
          <w:numId w:val="31"/>
        </w:numPr>
        <w:rPr>
          <w:sz w:val="24"/>
          <w:szCs w:val="24"/>
        </w:rPr>
      </w:pPr>
      <w:r w:rsidRPr="003945AA">
        <w:rPr>
          <w:sz w:val="24"/>
          <w:szCs w:val="24"/>
        </w:rPr>
        <w:t xml:space="preserve">Appendix </w:t>
      </w:r>
      <w:r>
        <w:rPr>
          <w:sz w:val="24"/>
          <w:szCs w:val="24"/>
        </w:rPr>
        <w:t>–</w:t>
      </w:r>
      <w:r w:rsidRPr="003945AA">
        <w:rPr>
          <w:sz w:val="24"/>
          <w:szCs w:val="24"/>
        </w:rPr>
        <w:t xml:space="preserve"> C</w:t>
      </w:r>
    </w:p>
    <w:p w14:paraId="7ECA5C91" w14:textId="2C37A1B4" w:rsidR="004D2761" w:rsidRDefault="004D2761" w:rsidP="004D2761">
      <w:pPr>
        <w:pStyle w:val="ListParagraph"/>
        <w:ind w:left="216"/>
      </w:pPr>
      <w:r>
        <w:t>Caribbean Coffee Ltd MDM DFD Logic</w:t>
      </w:r>
    </w:p>
    <w:p w14:paraId="643377F1" w14:textId="42C44C8A" w:rsidR="00F423D9" w:rsidRPr="00F423D9" w:rsidRDefault="00F423D9" w:rsidP="00F423D9">
      <w:pPr>
        <w:jc w:val="both"/>
        <w:rPr>
          <w:sz w:val="24"/>
          <w:szCs w:val="24"/>
        </w:rPr>
        <w:sectPr w:rsidR="00F423D9" w:rsidRPr="00F423D9" w:rsidSect="004D2761">
          <w:type w:val="continuous"/>
          <w:pgSz w:w="12240" w:h="15840"/>
          <w:pgMar w:top="1080" w:right="893" w:bottom="1440" w:left="893" w:header="0" w:footer="0" w:gutter="0"/>
          <w:cols w:space="360"/>
          <w:formProt w:val="0"/>
          <w:docGrid w:linePitch="360" w:charSpace="8192"/>
        </w:sectPr>
      </w:pPr>
    </w:p>
    <w:p w14:paraId="609FCBE9" w14:textId="77777777" w:rsidR="005A26EE" w:rsidRDefault="004D2761" w:rsidP="005A26EE">
      <w:pPr>
        <w:pStyle w:val="ListParagraph"/>
        <w:keepNext/>
        <w:ind w:left="216"/>
      </w:pPr>
      <w:r>
        <w:rPr>
          <w:noProof/>
          <w:lang w:eastAsia="en-GB"/>
        </w:rPr>
        <w:drawing>
          <wp:inline distT="0" distB="0" distL="0" distR="0" wp14:anchorId="0D63DE03" wp14:editId="51CC8A42">
            <wp:extent cx="5434037" cy="7541260"/>
            <wp:effectExtent l="19050" t="19050" r="14605" b="2159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535987" cy="7682745"/>
                    </a:xfrm>
                    <a:prstGeom prst="rect">
                      <a:avLst/>
                    </a:prstGeom>
                    <a:noFill/>
                    <a:ln w="6350">
                      <a:solidFill>
                        <a:schemeClr val="tx1"/>
                      </a:solidFill>
                    </a:ln>
                  </pic:spPr>
                </pic:pic>
              </a:graphicData>
            </a:graphic>
          </wp:inline>
        </w:drawing>
      </w:r>
    </w:p>
    <w:p w14:paraId="39A9E043" w14:textId="485B7D62" w:rsidR="004D2761" w:rsidRDefault="005A26EE" w:rsidP="005A26EE">
      <w:pPr>
        <w:pStyle w:val="Caption"/>
        <w:sectPr w:rsidR="004D2761" w:rsidSect="004D2761">
          <w:type w:val="continuous"/>
          <w:pgSz w:w="12240" w:h="15840"/>
          <w:pgMar w:top="1080" w:right="893" w:bottom="1440" w:left="893" w:header="0" w:footer="0" w:gutter="0"/>
          <w:cols w:space="360"/>
          <w:formProt w:val="0"/>
          <w:docGrid w:linePitch="360" w:charSpace="8192"/>
        </w:sectPr>
      </w:pPr>
      <w:r>
        <w:t xml:space="preserve">Figure </w:t>
      </w:r>
      <w:fldSimple w:instr=" SEQ Figure \* ARABIC ">
        <w:r w:rsidR="003F457E">
          <w:rPr>
            <w:noProof/>
          </w:rPr>
          <w:t>7</w:t>
        </w:r>
      </w:fldSimple>
      <w:r>
        <w:t xml:space="preserve">: Caribbean Coffee Ltd WLAN-to-Cloud MDM BYOD Logic  </w:t>
      </w:r>
    </w:p>
    <w:p w14:paraId="2D968F91" w14:textId="258D52B0" w:rsidR="004D2761" w:rsidRPr="005A26EE" w:rsidRDefault="004D2761" w:rsidP="005A26EE">
      <w:pPr>
        <w:jc w:val="both"/>
        <w:rPr>
          <w:sz w:val="24"/>
          <w:szCs w:val="24"/>
        </w:rPr>
      </w:pPr>
    </w:p>
    <w:p w14:paraId="061ABDD6" w14:textId="01266F6C" w:rsidR="004D2761" w:rsidRDefault="004D2761" w:rsidP="007B757A">
      <w:pPr>
        <w:pStyle w:val="ListParagraph"/>
        <w:numPr>
          <w:ilvl w:val="0"/>
          <w:numId w:val="31"/>
        </w:numPr>
        <w:rPr>
          <w:sz w:val="24"/>
          <w:szCs w:val="24"/>
        </w:rPr>
      </w:pPr>
      <w:r>
        <w:rPr>
          <w:sz w:val="24"/>
          <w:szCs w:val="24"/>
        </w:rPr>
        <w:t>Appendix – C</w:t>
      </w:r>
    </w:p>
    <w:p w14:paraId="3845F850" w14:textId="5306A84D" w:rsidR="004D2761" w:rsidRDefault="004D2761" w:rsidP="004D2761">
      <w:pPr>
        <w:pStyle w:val="ListParagraph"/>
        <w:ind w:left="216"/>
        <w:rPr>
          <w:sz w:val="24"/>
          <w:szCs w:val="24"/>
        </w:rPr>
      </w:pPr>
      <w:r>
        <w:rPr>
          <w:sz w:val="24"/>
          <w:szCs w:val="24"/>
        </w:rPr>
        <w:t>Network Usage and Data Security Policy</w:t>
      </w:r>
    </w:p>
    <w:p w14:paraId="6FFE88F8" w14:textId="7047026D" w:rsidR="009434BE" w:rsidRPr="009434BE" w:rsidRDefault="009434BE" w:rsidP="009434BE">
      <w:pPr>
        <w:rPr>
          <w:sz w:val="24"/>
          <w:szCs w:val="24"/>
        </w:rPr>
      </w:pPr>
      <w:r>
        <w:rPr>
          <w:noProof/>
          <w:sz w:val="24"/>
          <w:szCs w:val="24"/>
          <w:lang w:eastAsia="en-GB"/>
        </w:rPr>
        <w:drawing>
          <wp:inline distT="0" distB="0" distL="0" distR="0" wp14:anchorId="2F0BA66A" wp14:editId="7440AD58">
            <wp:extent cx="5429250" cy="79057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429250" cy="7905750"/>
                    </a:xfrm>
                    <a:prstGeom prst="rect">
                      <a:avLst/>
                    </a:prstGeom>
                    <a:noFill/>
                    <a:ln>
                      <a:noFill/>
                    </a:ln>
                  </pic:spPr>
                </pic:pic>
              </a:graphicData>
            </a:graphic>
          </wp:inline>
        </w:drawing>
      </w:r>
    </w:p>
    <w:p w14:paraId="3F9D61A1" w14:textId="7CD5E699" w:rsidR="009434BE" w:rsidRDefault="009434BE" w:rsidP="009434BE">
      <w:pPr>
        <w:pStyle w:val="ListParagraph"/>
        <w:ind w:left="216"/>
        <w:rPr>
          <w:sz w:val="24"/>
          <w:szCs w:val="24"/>
        </w:rPr>
      </w:pPr>
      <w:r>
        <w:rPr>
          <w:noProof/>
          <w:sz w:val="24"/>
          <w:szCs w:val="24"/>
          <w:lang w:eastAsia="en-GB"/>
        </w:rPr>
        <w:lastRenderedPageBreak/>
        <w:drawing>
          <wp:inline distT="0" distB="0" distL="0" distR="0" wp14:anchorId="6603CE9F" wp14:editId="035F5F41">
            <wp:extent cx="5705475" cy="4152900"/>
            <wp:effectExtent l="0" t="0" r="952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05475" cy="4152900"/>
                    </a:xfrm>
                    <a:prstGeom prst="rect">
                      <a:avLst/>
                    </a:prstGeom>
                    <a:noFill/>
                    <a:ln>
                      <a:noFill/>
                    </a:ln>
                  </pic:spPr>
                </pic:pic>
              </a:graphicData>
            </a:graphic>
          </wp:inline>
        </w:drawing>
      </w:r>
    </w:p>
    <w:p w14:paraId="77D7F76A" w14:textId="69B9530B" w:rsidR="009434BE" w:rsidRPr="009434BE" w:rsidRDefault="005A26EE" w:rsidP="004D2761">
      <w:pPr>
        <w:pStyle w:val="ListParagraph"/>
        <w:ind w:left="216"/>
        <w:rPr>
          <w:rFonts w:ascii="Arial" w:hAnsi="Arial" w:cs="Arial"/>
          <w:sz w:val="18"/>
          <w:szCs w:val="24"/>
        </w:rPr>
      </w:pPr>
      <w:r>
        <w:rPr>
          <w:rFonts w:ascii="Arial" w:hAnsi="Arial" w:cs="Arial"/>
          <w:sz w:val="18"/>
          <w:szCs w:val="24"/>
        </w:rPr>
        <w:t>Caribbean Coffee Network Security Policy</w:t>
      </w:r>
      <w:r w:rsidR="009434BE" w:rsidRPr="009434BE">
        <w:rPr>
          <w:rFonts w:ascii="Arial" w:hAnsi="Arial" w:cs="Arial"/>
          <w:sz w:val="18"/>
          <w:szCs w:val="24"/>
        </w:rPr>
        <w:t xml:space="preserve"> </w:t>
      </w:r>
      <w:r>
        <w:rPr>
          <w:rFonts w:ascii="Arial" w:hAnsi="Arial" w:cs="Arial"/>
          <w:sz w:val="18"/>
          <w:szCs w:val="24"/>
        </w:rPr>
        <w:t>Created by</w:t>
      </w:r>
      <w:r w:rsidR="009434BE" w:rsidRPr="009434BE">
        <w:rPr>
          <w:rFonts w:ascii="Arial" w:hAnsi="Arial" w:cs="Arial"/>
          <w:sz w:val="18"/>
          <w:szCs w:val="24"/>
        </w:rPr>
        <w:t xml:space="preserve"> Paul M Lawrence UWTSD </w:t>
      </w:r>
      <w:r w:rsidR="00C15AB5">
        <w:rPr>
          <w:rFonts w:ascii="Arial" w:hAnsi="Arial" w:cs="Arial"/>
          <w:sz w:val="18"/>
          <w:szCs w:val="24"/>
        </w:rPr>
        <w:t>–</w:t>
      </w:r>
      <w:r w:rsidR="009434BE" w:rsidRPr="009434BE">
        <w:rPr>
          <w:rFonts w:ascii="Arial" w:hAnsi="Arial" w:cs="Arial"/>
          <w:sz w:val="18"/>
          <w:szCs w:val="24"/>
        </w:rPr>
        <w:t xml:space="preserve"> Swansea</w:t>
      </w:r>
      <w:r w:rsidR="00C15AB5">
        <w:rPr>
          <w:rFonts w:ascii="Arial" w:hAnsi="Arial" w:cs="Arial"/>
          <w:sz w:val="18"/>
          <w:szCs w:val="24"/>
        </w:rPr>
        <w:t xml:space="preserve"> </w:t>
      </w:r>
    </w:p>
    <w:p w14:paraId="38891C1F" w14:textId="77777777" w:rsidR="003945AA" w:rsidRPr="009434BE" w:rsidRDefault="003945AA" w:rsidP="003945AA">
      <w:pPr>
        <w:pStyle w:val="ListParagraph"/>
        <w:spacing w:line="72" w:lineRule="auto"/>
        <w:ind w:left="215"/>
        <w:jc w:val="both"/>
        <w:rPr>
          <w:rFonts w:ascii="Arial" w:hAnsi="Arial" w:cs="Arial"/>
          <w:sz w:val="18"/>
          <w:szCs w:val="24"/>
        </w:rPr>
      </w:pPr>
    </w:p>
    <w:p w14:paraId="43A2C557" w14:textId="77777777" w:rsidR="00141123" w:rsidRDefault="00141123" w:rsidP="00141123">
      <w:pPr>
        <w:pStyle w:val="ListParagraph"/>
        <w:ind w:left="0"/>
        <w:rPr>
          <w:sz w:val="24"/>
          <w:szCs w:val="24"/>
        </w:rPr>
        <w:sectPr w:rsidR="00141123" w:rsidSect="00141123">
          <w:type w:val="continuous"/>
          <w:pgSz w:w="12240" w:h="15840"/>
          <w:pgMar w:top="1080" w:right="893" w:bottom="1440" w:left="893" w:header="0" w:footer="0" w:gutter="0"/>
          <w:cols w:space="360"/>
          <w:formProt w:val="0"/>
          <w:docGrid w:linePitch="360" w:charSpace="8192"/>
        </w:sectPr>
      </w:pPr>
    </w:p>
    <w:p w14:paraId="09AC2B2A" w14:textId="333BA5E1" w:rsidR="00141123" w:rsidRDefault="00141123" w:rsidP="00141123">
      <w:pPr>
        <w:pStyle w:val="ListParagraph"/>
        <w:ind w:left="0"/>
        <w:rPr>
          <w:sz w:val="24"/>
          <w:szCs w:val="24"/>
        </w:rPr>
        <w:sectPr w:rsidR="00141123" w:rsidSect="00141123">
          <w:type w:val="continuous"/>
          <w:pgSz w:w="12240" w:h="15840"/>
          <w:pgMar w:top="1080" w:right="893" w:bottom="1440" w:left="893" w:header="0" w:footer="0" w:gutter="0"/>
          <w:cols w:space="360"/>
          <w:formProt w:val="0"/>
          <w:docGrid w:linePitch="360" w:charSpace="8192"/>
        </w:sectPr>
      </w:pPr>
    </w:p>
    <w:p w14:paraId="2679D43C" w14:textId="77777777" w:rsidR="00F423D9" w:rsidRDefault="00F423D9" w:rsidP="00141123">
      <w:pPr>
        <w:pStyle w:val="ListParagraph"/>
        <w:ind w:left="0"/>
        <w:jc w:val="both"/>
        <w:rPr>
          <w:sz w:val="24"/>
          <w:szCs w:val="24"/>
        </w:rPr>
      </w:pPr>
    </w:p>
    <w:p w14:paraId="098DDF8B" w14:textId="77777777" w:rsidR="00141123" w:rsidRDefault="00141123" w:rsidP="00423135">
      <w:pPr>
        <w:jc w:val="both"/>
        <w:rPr>
          <w:sz w:val="24"/>
          <w:szCs w:val="24"/>
        </w:rPr>
        <w:sectPr w:rsidR="00141123" w:rsidSect="004D2761">
          <w:type w:val="continuous"/>
          <w:pgSz w:w="12240" w:h="15840"/>
          <w:pgMar w:top="1080" w:right="893" w:bottom="1440" w:left="893" w:header="0" w:footer="0" w:gutter="0"/>
          <w:cols w:num="2" w:space="360"/>
          <w:formProt w:val="0"/>
          <w:docGrid w:linePitch="360" w:charSpace="8192"/>
        </w:sectPr>
      </w:pPr>
    </w:p>
    <w:p w14:paraId="11BBA9C0" w14:textId="125772B2" w:rsidR="00141123" w:rsidRDefault="00141123" w:rsidP="00141123">
      <w:pPr>
        <w:rPr>
          <w:sz w:val="24"/>
          <w:szCs w:val="24"/>
        </w:rPr>
        <w:sectPr w:rsidR="00141123" w:rsidSect="00141123">
          <w:type w:val="continuous"/>
          <w:pgSz w:w="12240" w:h="15840"/>
          <w:pgMar w:top="1080" w:right="893" w:bottom="1440" w:left="893" w:header="0" w:footer="0" w:gutter="0"/>
          <w:cols w:space="360"/>
          <w:formProt w:val="0"/>
          <w:docGrid w:linePitch="360" w:charSpace="8192"/>
        </w:sectPr>
      </w:pPr>
    </w:p>
    <w:p w14:paraId="4CDDE491" w14:textId="22C59A42" w:rsidR="003945AA" w:rsidRDefault="003945AA" w:rsidP="00423135">
      <w:pPr>
        <w:jc w:val="both"/>
        <w:rPr>
          <w:sz w:val="24"/>
          <w:szCs w:val="24"/>
        </w:rPr>
      </w:pPr>
    </w:p>
    <w:p w14:paraId="0185C42A" w14:textId="03C33EE0" w:rsidR="0058537D" w:rsidRDefault="0058537D" w:rsidP="00423135">
      <w:pPr>
        <w:jc w:val="both"/>
        <w:rPr>
          <w:sz w:val="24"/>
          <w:szCs w:val="24"/>
        </w:rPr>
      </w:pPr>
    </w:p>
    <w:p w14:paraId="744FD304" w14:textId="355F3C45" w:rsidR="0058537D" w:rsidRDefault="0058537D" w:rsidP="00423135">
      <w:pPr>
        <w:jc w:val="both"/>
        <w:rPr>
          <w:sz w:val="24"/>
          <w:szCs w:val="24"/>
        </w:rPr>
      </w:pPr>
    </w:p>
    <w:p w14:paraId="2197E861" w14:textId="5BBA8563" w:rsidR="0058537D" w:rsidRDefault="0058537D" w:rsidP="00423135">
      <w:pPr>
        <w:jc w:val="both"/>
        <w:rPr>
          <w:sz w:val="24"/>
          <w:szCs w:val="24"/>
        </w:rPr>
      </w:pPr>
    </w:p>
    <w:p w14:paraId="1D9C10FE" w14:textId="07449494" w:rsidR="0058537D" w:rsidRDefault="0058537D" w:rsidP="00423135">
      <w:pPr>
        <w:jc w:val="both"/>
        <w:rPr>
          <w:sz w:val="24"/>
          <w:szCs w:val="24"/>
        </w:rPr>
      </w:pPr>
    </w:p>
    <w:p w14:paraId="6D049CFF" w14:textId="6507DB6B" w:rsidR="0058537D" w:rsidRDefault="0058537D" w:rsidP="00423135">
      <w:pPr>
        <w:jc w:val="both"/>
        <w:rPr>
          <w:sz w:val="24"/>
          <w:szCs w:val="24"/>
        </w:rPr>
      </w:pPr>
    </w:p>
    <w:p w14:paraId="79799094" w14:textId="47AC6F82" w:rsidR="0058537D" w:rsidRDefault="0058537D" w:rsidP="00423135">
      <w:pPr>
        <w:jc w:val="both"/>
        <w:rPr>
          <w:sz w:val="24"/>
          <w:szCs w:val="24"/>
        </w:rPr>
      </w:pPr>
    </w:p>
    <w:p w14:paraId="3D3E9DE0" w14:textId="263B7770" w:rsidR="0058537D" w:rsidRDefault="0058537D" w:rsidP="00423135">
      <w:pPr>
        <w:jc w:val="both"/>
        <w:rPr>
          <w:sz w:val="24"/>
          <w:szCs w:val="24"/>
        </w:rPr>
      </w:pPr>
    </w:p>
    <w:p w14:paraId="5261CE17" w14:textId="0D2C305C" w:rsidR="0058537D" w:rsidRDefault="0058537D" w:rsidP="00423135">
      <w:pPr>
        <w:jc w:val="both"/>
        <w:rPr>
          <w:sz w:val="24"/>
          <w:szCs w:val="24"/>
        </w:rPr>
      </w:pPr>
    </w:p>
    <w:p w14:paraId="7347F164" w14:textId="2A047D78" w:rsidR="0058537D" w:rsidRDefault="0058537D" w:rsidP="00423135">
      <w:pPr>
        <w:jc w:val="both"/>
        <w:rPr>
          <w:sz w:val="24"/>
          <w:szCs w:val="24"/>
        </w:rPr>
      </w:pPr>
    </w:p>
    <w:p w14:paraId="094E2D0E" w14:textId="17231801" w:rsidR="0058537D" w:rsidRDefault="0058537D" w:rsidP="00423135">
      <w:pPr>
        <w:jc w:val="both"/>
        <w:rPr>
          <w:sz w:val="24"/>
          <w:szCs w:val="24"/>
        </w:rPr>
      </w:pPr>
    </w:p>
    <w:p w14:paraId="385C8E65" w14:textId="51CF7CBA" w:rsidR="0058537D" w:rsidRDefault="0058537D" w:rsidP="00423135">
      <w:pPr>
        <w:jc w:val="both"/>
        <w:rPr>
          <w:sz w:val="24"/>
          <w:szCs w:val="24"/>
        </w:rPr>
      </w:pPr>
    </w:p>
    <w:p w14:paraId="1FF0C2B7" w14:textId="726AA378" w:rsidR="0058537D" w:rsidRDefault="0058537D" w:rsidP="00423135">
      <w:pPr>
        <w:jc w:val="both"/>
        <w:rPr>
          <w:sz w:val="24"/>
          <w:szCs w:val="24"/>
        </w:rPr>
      </w:pPr>
    </w:p>
    <w:p w14:paraId="000E2D41" w14:textId="3AEAD76D" w:rsidR="0058537D" w:rsidRDefault="0058537D" w:rsidP="00423135">
      <w:pPr>
        <w:jc w:val="both"/>
        <w:rPr>
          <w:sz w:val="24"/>
          <w:szCs w:val="24"/>
        </w:rPr>
      </w:pPr>
    </w:p>
    <w:p w14:paraId="5E574F02" w14:textId="567EE21B" w:rsidR="0058537D" w:rsidRDefault="0058537D" w:rsidP="00423135">
      <w:pPr>
        <w:jc w:val="both"/>
        <w:rPr>
          <w:sz w:val="24"/>
          <w:szCs w:val="24"/>
        </w:rPr>
      </w:pPr>
    </w:p>
    <w:p w14:paraId="5CB5129A" w14:textId="29979442" w:rsidR="0058537D" w:rsidRDefault="0058537D" w:rsidP="00423135">
      <w:pPr>
        <w:jc w:val="both"/>
        <w:rPr>
          <w:sz w:val="24"/>
          <w:szCs w:val="24"/>
        </w:rPr>
      </w:pPr>
    </w:p>
    <w:p w14:paraId="371F7A8C" w14:textId="4DAD2D24" w:rsidR="0058537D" w:rsidRDefault="0058537D" w:rsidP="00423135">
      <w:pPr>
        <w:jc w:val="both"/>
        <w:rPr>
          <w:sz w:val="24"/>
          <w:szCs w:val="24"/>
        </w:rPr>
      </w:pPr>
    </w:p>
    <w:p w14:paraId="07A9A795" w14:textId="128EA904" w:rsidR="0058537D" w:rsidRDefault="0058537D" w:rsidP="00423135">
      <w:pPr>
        <w:jc w:val="both"/>
        <w:rPr>
          <w:sz w:val="24"/>
          <w:szCs w:val="24"/>
        </w:rPr>
      </w:pPr>
    </w:p>
    <w:p w14:paraId="05F6C68A" w14:textId="672B4591" w:rsidR="0058537D" w:rsidRDefault="0058537D" w:rsidP="00423135">
      <w:pPr>
        <w:jc w:val="both"/>
        <w:rPr>
          <w:sz w:val="24"/>
          <w:szCs w:val="24"/>
        </w:rPr>
      </w:pPr>
    </w:p>
    <w:p w14:paraId="0218B6AD" w14:textId="0924CD03" w:rsidR="0058537D" w:rsidRDefault="0058537D" w:rsidP="00423135">
      <w:pPr>
        <w:jc w:val="both"/>
        <w:rPr>
          <w:sz w:val="24"/>
          <w:szCs w:val="24"/>
        </w:rPr>
      </w:pPr>
    </w:p>
    <w:p w14:paraId="63D9AE7A" w14:textId="31076C9B" w:rsidR="0058537D" w:rsidRDefault="0058537D" w:rsidP="00423135">
      <w:pPr>
        <w:jc w:val="both"/>
        <w:rPr>
          <w:sz w:val="24"/>
          <w:szCs w:val="24"/>
        </w:rPr>
      </w:pPr>
    </w:p>
    <w:p w14:paraId="04DE4F41" w14:textId="5F931507" w:rsidR="0058537D" w:rsidRDefault="0058537D" w:rsidP="00423135">
      <w:pPr>
        <w:jc w:val="both"/>
        <w:rPr>
          <w:sz w:val="24"/>
          <w:szCs w:val="24"/>
        </w:rPr>
      </w:pPr>
    </w:p>
    <w:p w14:paraId="289A9206" w14:textId="4CE0B9E9" w:rsidR="0058537D" w:rsidRDefault="0058537D" w:rsidP="00423135">
      <w:pPr>
        <w:jc w:val="both"/>
        <w:rPr>
          <w:sz w:val="24"/>
          <w:szCs w:val="24"/>
        </w:rPr>
      </w:pPr>
    </w:p>
    <w:p w14:paraId="6448EF4B" w14:textId="5D10ED4E" w:rsidR="0058537D" w:rsidRDefault="0058537D" w:rsidP="00423135">
      <w:pPr>
        <w:jc w:val="both"/>
        <w:rPr>
          <w:sz w:val="24"/>
          <w:szCs w:val="24"/>
        </w:rPr>
      </w:pPr>
    </w:p>
    <w:p w14:paraId="6D6CBA1A" w14:textId="7F2C5F71" w:rsidR="0058537D" w:rsidRDefault="0058537D" w:rsidP="00423135">
      <w:pPr>
        <w:jc w:val="both"/>
        <w:rPr>
          <w:sz w:val="24"/>
          <w:szCs w:val="24"/>
        </w:rPr>
      </w:pPr>
    </w:p>
    <w:p w14:paraId="645676BF" w14:textId="64167199" w:rsidR="0058537D" w:rsidRDefault="0058537D" w:rsidP="00423135">
      <w:pPr>
        <w:jc w:val="both"/>
        <w:rPr>
          <w:sz w:val="24"/>
          <w:szCs w:val="24"/>
        </w:rPr>
      </w:pPr>
    </w:p>
    <w:p w14:paraId="4C10F038" w14:textId="40DC74ED" w:rsidR="0058537D" w:rsidRDefault="0058537D" w:rsidP="00423135">
      <w:pPr>
        <w:jc w:val="both"/>
        <w:rPr>
          <w:sz w:val="24"/>
          <w:szCs w:val="24"/>
        </w:rPr>
      </w:pPr>
    </w:p>
    <w:p w14:paraId="647E871B" w14:textId="6511FCEF" w:rsidR="0058537D" w:rsidRDefault="0058537D" w:rsidP="00423135">
      <w:pPr>
        <w:jc w:val="both"/>
        <w:rPr>
          <w:sz w:val="24"/>
          <w:szCs w:val="24"/>
        </w:rPr>
      </w:pPr>
    </w:p>
    <w:p w14:paraId="7E214CC3" w14:textId="5E8AE347" w:rsidR="0058537D" w:rsidRDefault="0058537D" w:rsidP="00423135">
      <w:pPr>
        <w:jc w:val="both"/>
        <w:rPr>
          <w:sz w:val="24"/>
          <w:szCs w:val="24"/>
        </w:rPr>
      </w:pPr>
    </w:p>
    <w:p w14:paraId="113E002D" w14:textId="1299689C" w:rsidR="0058537D" w:rsidRDefault="0058537D" w:rsidP="00423135">
      <w:pPr>
        <w:jc w:val="both"/>
        <w:rPr>
          <w:sz w:val="24"/>
          <w:szCs w:val="24"/>
        </w:rPr>
      </w:pPr>
    </w:p>
    <w:p w14:paraId="224EED3C" w14:textId="48EFD1FD" w:rsidR="0058537D" w:rsidRDefault="0058537D" w:rsidP="00423135">
      <w:pPr>
        <w:jc w:val="both"/>
        <w:rPr>
          <w:sz w:val="24"/>
          <w:szCs w:val="24"/>
        </w:rPr>
      </w:pPr>
    </w:p>
    <w:p w14:paraId="3357C3C8" w14:textId="48FEA693" w:rsidR="0058537D" w:rsidRDefault="0058537D" w:rsidP="00423135">
      <w:pPr>
        <w:jc w:val="both"/>
        <w:rPr>
          <w:sz w:val="24"/>
          <w:szCs w:val="24"/>
        </w:rPr>
      </w:pPr>
    </w:p>
    <w:p w14:paraId="6C4923DA" w14:textId="4CF142DA" w:rsidR="0058537D" w:rsidRDefault="0058537D" w:rsidP="00423135">
      <w:pPr>
        <w:jc w:val="both"/>
        <w:rPr>
          <w:sz w:val="24"/>
          <w:szCs w:val="24"/>
        </w:rPr>
      </w:pPr>
    </w:p>
    <w:p w14:paraId="5E9E8B52" w14:textId="0353B8BC" w:rsidR="0058537D" w:rsidRDefault="0058537D" w:rsidP="00423135">
      <w:pPr>
        <w:jc w:val="both"/>
        <w:rPr>
          <w:sz w:val="24"/>
          <w:szCs w:val="24"/>
        </w:rPr>
      </w:pPr>
    </w:p>
    <w:p w14:paraId="3DE2C602" w14:textId="3FD32008" w:rsidR="0058537D" w:rsidRDefault="0058537D" w:rsidP="00423135">
      <w:pPr>
        <w:jc w:val="both"/>
        <w:rPr>
          <w:sz w:val="24"/>
          <w:szCs w:val="24"/>
        </w:rPr>
      </w:pPr>
    </w:p>
    <w:p w14:paraId="2180B391" w14:textId="6175814A" w:rsidR="0058537D" w:rsidRDefault="0058537D" w:rsidP="00423135">
      <w:pPr>
        <w:jc w:val="both"/>
        <w:rPr>
          <w:sz w:val="24"/>
          <w:szCs w:val="24"/>
        </w:rPr>
      </w:pPr>
    </w:p>
    <w:p w14:paraId="73EDD5E3" w14:textId="063355C9" w:rsidR="0058537D" w:rsidRDefault="0058537D" w:rsidP="00423135">
      <w:pPr>
        <w:jc w:val="both"/>
        <w:rPr>
          <w:sz w:val="24"/>
          <w:szCs w:val="24"/>
        </w:rPr>
      </w:pPr>
    </w:p>
    <w:p w14:paraId="7A6EBE48" w14:textId="0586CE31" w:rsidR="0058537D" w:rsidRDefault="0058537D" w:rsidP="00423135">
      <w:pPr>
        <w:jc w:val="both"/>
        <w:rPr>
          <w:sz w:val="24"/>
          <w:szCs w:val="24"/>
        </w:rPr>
      </w:pPr>
    </w:p>
    <w:p w14:paraId="72DDA4D6" w14:textId="3C0998AF" w:rsidR="0058537D" w:rsidRDefault="0058537D" w:rsidP="00423135">
      <w:pPr>
        <w:jc w:val="both"/>
        <w:rPr>
          <w:sz w:val="24"/>
          <w:szCs w:val="24"/>
        </w:rPr>
      </w:pPr>
    </w:p>
    <w:p w14:paraId="671058DF" w14:textId="792E6024" w:rsidR="00F423D9" w:rsidRDefault="00F423D9" w:rsidP="00222536">
      <w:pPr>
        <w:jc w:val="both"/>
        <w:rPr>
          <w:sz w:val="24"/>
          <w:szCs w:val="24"/>
        </w:rPr>
      </w:pPr>
    </w:p>
    <w:p w14:paraId="22A08A9B" w14:textId="77777777" w:rsidR="00671FEF" w:rsidRDefault="00671FEF" w:rsidP="0058537D">
      <w:pPr>
        <w:jc w:val="both"/>
        <w:rPr>
          <w:sz w:val="24"/>
          <w:szCs w:val="24"/>
        </w:rPr>
      </w:pPr>
    </w:p>
    <w:p w14:paraId="7CA9F1C5" w14:textId="77777777" w:rsidR="00671FEF" w:rsidRDefault="00671FEF" w:rsidP="00671FEF">
      <w:pPr>
        <w:rPr>
          <w:sz w:val="24"/>
          <w:szCs w:val="24"/>
        </w:rPr>
      </w:pPr>
    </w:p>
    <w:p w14:paraId="5659EA8E" w14:textId="03F22CB6" w:rsidR="00671FEF" w:rsidRPr="00671FEF" w:rsidRDefault="00671FEF" w:rsidP="00671FEF">
      <w:pPr>
        <w:rPr>
          <w:sz w:val="24"/>
          <w:szCs w:val="24"/>
        </w:rPr>
        <w:sectPr w:rsidR="00671FEF" w:rsidRPr="00671FEF" w:rsidSect="004D2761">
          <w:type w:val="continuous"/>
          <w:pgSz w:w="12240" w:h="15840"/>
          <w:pgMar w:top="1080" w:right="893" w:bottom="1440" w:left="893" w:header="0" w:footer="0" w:gutter="0"/>
          <w:cols w:num="2" w:space="360"/>
          <w:formProt w:val="0"/>
          <w:docGrid w:linePitch="360" w:charSpace="8192"/>
        </w:sectPr>
      </w:pPr>
    </w:p>
    <w:p w14:paraId="33B103D2" w14:textId="3BA11B8F" w:rsidR="0058537D" w:rsidRDefault="0058537D" w:rsidP="007B757A">
      <w:pPr>
        <w:pStyle w:val="ListParagraph"/>
        <w:numPr>
          <w:ilvl w:val="0"/>
          <w:numId w:val="31"/>
        </w:numPr>
        <w:rPr>
          <w:sz w:val="24"/>
          <w:szCs w:val="24"/>
        </w:rPr>
      </w:pPr>
      <w:r>
        <w:rPr>
          <w:sz w:val="24"/>
          <w:szCs w:val="24"/>
        </w:rPr>
        <w:t>Appendix -D</w:t>
      </w:r>
    </w:p>
    <w:p w14:paraId="711DDD04" w14:textId="77777777" w:rsidR="0058537D" w:rsidRPr="0058537D" w:rsidRDefault="0058537D" w:rsidP="0058537D">
      <w:pPr>
        <w:pStyle w:val="ListParagraph"/>
        <w:ind w:left="216"/>
        <w:rPr>
          <w:sz w:val="24"/>
          <w:szCs w:val="24"/>
        </w:rPr>
      </w:pPr>
      <w:r w:rsidRPr="0058537D">
        <w:rPr>
          <w:sz w:val="24"/>
          <w:szCs w:val="24"/>
        </w:rPr>
        <w:t>‘Matrix Security’ Invoice for ‘Caribbean Coffee Ltd’ Data Security ISMS</w:t>
      </w:r>
    </w:p>
    <w:p w14:paraId="76A5B9DC" w14:textId="77777777" w:rsidR="003F457E" w:rsidRDefault="0058537D" w:rsidP="003F457E">
      <w:pPr>
        <w:keepNext/>
        <w:jc w:val="both"/>
      </w:pPr>
      <w:r w:rsidRPr="00A4632C">
        <w:rPr>
          <w:noProof/>
          <w:lang w:eastAsia="en-GB"/>
        </w:rPr>
        <w:drawing>
          <wp:inline distT="0" distB="0" distL="0" distR="0" wp14:anchorId="4ECE6E6F" wp14:editId="5224FD89">
            <wp:extent cx="6638290" cy="5822315"/>
            <wp:effectExtent l="19050" t="19050" r="10160" b="2603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638290" cy="5822315"/>
                    </a:xfrm>
                    <a:prstGeom prst="rect">
                      <a:avLst/>
                    </a:prstGeom>
                    <a:noFill/>
                    <a:ln w="6350">
                      <a:solidFill>
                        <a:schemeClr val="tx1"/>
                      </a:solidFill>
                    </a:ln>
                  </pic:spPr>
                </pic:pic>
              </a:graphicData>
            </a:graphic>
          </wp:inline>
        </w:drawing>
      </w:r>
    </w:p>
    <w:p w14:paraId="21B4C343" w14:textId="289C5C34" w:rsidR="0058537D" w:rsidRDefault="003F457E" w:rsidP="003F457E">
      <w:pPr>
        <w:pStyle w:val="Caption"/>
      </w:pPr>
      <w:r>
        <w:t xml:space="preserve">Figure </w:t>
      </w:r>
      <w:fldSimple w:instr=" SEQ Figure \* ARABIC ">
        <w:r>
          <w:rPr>
            <w:noProof/>
          </w:rPr>
          <w:t>8</w:t>
        </w:r>
      </w:fldSimple>
      <w:r>
        <w:t>: Matrix Security Invoice to Caribbean Coffee Ltd for Network Security Services</w:t>
      </w:r>
    </w:p>
    <w:p w14:paraId="7C7B08F6" w14:textId="4F2CA17D" w:rsidR="0058537D" w:rsidRDefault="0058537D" w:rsidP="0058537D">
      <w:pPr>
        <w:jc w:val="both"/>
      </w:pPr>
    </w:p>
    <w:p w14:paraId="7E3C1E02" w14:textId="63583E9E" w:rsidR="0058537D" w:rsidRDefault="0058537D" w:rsidP="0058537D">
      <w:pPr>
        <w:jc w:val="both"/>
      </w:pPr>
    </w:p>
    <w:p w14:paraId="4B671208" w14:textId="4C2BA68E" w:rsidR="0058537D" w:rsidRDefault="0058537D" w:rsidP="0058537D">
      <w:pPr>
        <w:jc w:val="both"/>
      </w:pPr>
    </w:p>
    <w:p w14:paraId="41A173C5" w14:textId="69E332C4" w:rsidR="0058537D" w:rsidRDefault="0058537D" w:rsidP="0058537D">
      <w:pPr>
        <w:jc w:val="both"/>
      </w:pPr>
    </w:p>
    <w:p w14:paraId="4C1F801D" w14:textId="6F82BC7D" w:rsidR="0058537D" w:rsidRDefault="0058537D" w:rsidP="0058537D">
      <w:pPr>
        <w:jc w:val="both"/>
      </w:pPr>
    </w:p>
    <w:p w14:paraId="0585ED17" w14:textId="7DE5518F" w:rsidR="0058537D" w:rsidRDefault="0058537D" w:rsidP="0058537D">
      <w:pPr>
        <w:jc w:val="both"/>
      </w:pPr>
    </w:p>
    <w:p w14:paraId="6176E2B8" w14:textId="28E48BC8" w:rsidR="0058537D" w:rsidRDefault="0058537D" w:rsidP="0058537D">
      <w:pPr>
        <w:jc w:val="both"/>
      </w:pPr>
    </w:p>
    <w:p w14:paraId="62D33073" w14:textId="5AF69FD7" w:rsidR="0058537D" w:rsidRDefault="0058537D" w:rsidP="0058537D">
      <w:pPr>
        <w:jc w:val="both"/>
      </w:pPr>
    </w:p>
    <w:p w14:paraId="425EE2CE" w14:textId="4D2FE1A9" w:rsidR="0058537D" w:rsidRDefault="0058537D" w:rsidP="0058537D">
      <w:pPr>
        <w:jc w:val="both"/>
      </w:pPr>
    </w:p>
    <w:p w14:paraId="40F0EEA8" w14:textId="760069D6" w:rsidR="0058537D" w:rsidRDefault="0058537D" w:rsidP="0058537D">
      <w:pPr>
        <w:jc w:val="both"/>
      </w:pPr>
    </w:p>
    <w:p w14:paraId="08E92989" w14:textId="73EB2ABB" w:rsidR="0058537D" w:rsidRDefault="0058537D" w:rsidP="0058537D">
      <w:pPr>
        <w:jc w:val="both"/>
      </w:pPr>
    </w:p>
    <w:p w14:paraId="1FD35075" w14:textId="08C24A2F" w:rsidR="0058537D" w:rsidRDefault="0058537D" w:rsidP="0058537D">
      <w:pPr>
        <w:jc w:val="both"/>
      </w:pPr>
    </w:p>
    <w:p w14:paraId="20A4B0F6" w14:textId="69259692" w:rsidR="0058537D" w:rsidRDefault="0058537D" w:rsidP="0058537D">
      <w:pPr>
        <w:jc w:val="both"/>
      </w:pPr>
    </w:p>
    <w:p w14:paraId="2EAAFFA3" w14:textId="77777777" w:rsidR="0058537D" w:rsidRDefault="0058537D" w:rsidP="0058537D">
      <w:pPr>
        <w:pStyle w:val="ListParagraph"/>
        <w:ind w:left="216"/>
        <w:jc w:val="both"/>
        <w:rPr>
          <w:sz w:val="24"/>
          <w:szCs w:val="24"/>
        </w:rPr>
      </w:pPr>
    </w:p>
    <w:p w14:paraId="7F33968F" w14:textId="77B83D5E" w:rsidR="003945AA" w:rsidRDefault="003945AA" w:rsidP="007B757A">
      <w:pPr>
        <w:pStyle w:val="ListParagraph"/>
        <w:numPr>
          <w:ilvl w:val="0"/>
          <w:numId w:val="31"/>
        </w:numPr>
        <w:rPr>
          <w:sz w:val="24"/>
          <w:szCs w:val="24"/>
        </w:rPr>
      </w:pPr>
      <w:r>
        <w:rPr>
          <w:sz w:val="24"/>
          <w:szCs w:val="24"/>
        </w:rPr>
        <w:t xml:space="preserve">Appendix </w:t>
      </w:r>
      <w:r w:rsidR="00671FEF">
        <w:rPr>
          <w:sz w:val="24"/>
          <w:szCs w:val="24"/>
        </w:rPr>
        <w:t>–</w:t>
      </w:r>
      <w:r>
        <w:rPr>
          <w:sz w:val="24"/>
          <w:szCs w:val="24"/>
        </w:rPr>
        <w:t xml:space="preserve"> D</w:t>
      </w:r>
    </w:p>
    <w:p w14:paraId="7EF4E16C" w14:textId="77777777" w:rsidR="003F457E" w:rsidRDefault="0058537D" w:rsidP="003F457E">
      <w:pPr>
        <w:pStyle w:val="ListParagraph"/>
        <w:keepNext/>
        <w:ind w:left="0"/>
      </w:pPr>
      <w:r>
        <w:rPr>
          <w:noProof/>
          <w:sz w:val="24"/>
          <w:szCs w:val="24"/>
        </w:rPr>
        <w:softHyphen/>
      </w:r>
      <w:r>
        <w:rPr>
          <w:noProof/>
          <w:sz w:val="24"/>
          <w:szCs w:val="24"/>
          <w:lang w:eastAsia="en-GB"/>
        </w:rPr>
        <w:drawing>
          <wp:inline distT="0" distB="0" distL="0" distR="0" wp14:anchorId="7FFD4798" wp14:editId="62B39846">
            <wp:extent cx="6674544" cy="5623560"/>
            <wp:effectExtent l="19050" t="19050" r="12065" b="1524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681442" cy="5629372"/>
                    </a:xfrm>
                    <a:prstGeom prst="rect">
                      <a:avLst/>
                    </a:prstGeom>
                    <a:noFill/>
                    <a:ln w="6350">
                      <a:solidFill>
                        <a:schemeClr val="tx1"/>
                      </a:solidFill>
                    </a:ln>
                  </pic:spPr>
                </pic:pic>
              </a:graphicData>
            </a:graphic>
          </wp:inline>
        </w:drawing>
      </w:r>
    </w:p>
    <w:p w14:paraId="3B3DB032" w14:textId="77777777" w:rsidR="00617F4F" w:rsidRDefault="003F457E" w:rsidP="003F457E">
      <w:pPr>
        <w:pStyle w:val="Caption"/>
        <w:sectPr w:rsidR="00617F4F" w:rsidSect="00671FEF">
          <w:type w:val="continuous"/>
          <w:pgSz w:w="12240" w:h="15840"/>
          <w:pgMar w:top="1080" w:right="893" w:bottom="1440" w:left="893" w:header="0" w:footer="0" w:gutter="0"/>
          <w:cols w:space="360"/>
          <w:formProt w:val="0"/>
          <w:docGrid w:linePitch="360" w:charSpace="8192"/>
        </w:sectPr>
      </w:pPr>
      <w:r>
        <w:t xml:space="preserve">Figure </w:t>
      </w:r>
      <w:fldSimple w:instr=" SEQ Figure \* ARABIC ">
        <w:r>
          <w:rPr>
            <w:noProof/>
          </w:rPr>
          <w:t>9</w:t>
        </w:r>
      </w:fldSimple>
      <w:r>
        <w:t>: Caribbean Coffee Ltd Proposed Network Logical Topology</w:t>
      </w:r>
    </w:p>
    <w:p w14:paraId="55617A37" w14:textId="77777777" w:rsidR="00617F4F" w:rsidRPr="00617F4F" w:rsidRDefault="00617F4F" w:rsidP="00617F4F">
      <w:pPr>
        <w:jc w:val="left"/>
        <w:rPr>
          <w:rFonts w:ascii="Calibri" w:eastAsia="Times New Roman" w:hAnsi="Calibri" w:cs="Calibri"/>
          <w:b/>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617F4F" w:rsidRPr="00617F4F" w14:paraId="1ABD84BF" w14:textId="77777777" w:rsidTr="0064763F">
        <w:trPr>
          <w:jc w:val="center"/>
        </w:trPr>
        <w:tc>
          <w:tcPr>
            <w:tcW w:w="10670" w:type="dxa"/>
            <w:shd w:val="clear" w:color="auto" w:fill="BFBFBF"/>
          </w:tcPr>
          <w:p w14:paraId="179A6FBE" w14:textId="77777777" w:rsidR="00617F4F" w:rsidRPr="00617F4F" w:rsidRDefault="00617F4F" w:rsidP="00617F4F">
            <w:pPr>
              <w:jc w:val="left"/>
              <w:rPr>
                <w:rFonts w:eastAsia="Times New Roman"/>
                <w:lang w:eastAsia="en-GB"/>
              </w:rPr>
            </w:pPr>
            <w:r w:rsidRPr="00617F4F">
              <w:rPr>
                <w:rFonts w:eastAsia="Times New Roman"/>
                <w:sz w:val="32"/>
                <w:szCs w:val="32"/>
                <w:lang w:eastAsia="en-GB"/>
              </w:rPr>
              <w:br w:type="page"/>
            </w:r>
            <w:r w:rsidRPr="00617F4F">
              <w:rPr>
                <w:rFonts w:ascii="Calibri" w:eastAsia="Times New Roman" w:hAnsi="Calibri" w:cs="Arial"/>
                <w:b/>
                <w:caps/>
                <w:sz w:val="40"/>
                <w:lang w:eastAsia="en-GB"/>
              </w:rPr>
              <w:t xml:space="preserve">                 marking criteria and Student FEEDBACK</w:t>
            </w:r>
          </w:p>
        </w:tc>
      </w:tr>
    </w:tbl>
    <w:p w14:paraId="739A5A1E" w14:textId="77777777" w:rsidR="00617F4F" w:rsidRPr="00617F4F" w:rsidRDefault="00617F4F" w:rsidP="00617F4F">
      <w:pPr>
        <w:jc w:val="left"/>
        <w:rPr>
          <w:rFonts w:eastAsia="Times New Roman"/>
          <w:sz w:val="16"/>
          <w:lang w:eastAsia="en-GB"/>
        </w:rPr>
      </w:pPr>
    </w:p>
    <w:p w14:paraId="03801CB9" w14:textId="77777777" w:rsidR="00617F4F" w:rsidRPr="00617F4F" w:rsidRDefault="00617F4F" w:rsidP="00617F4F">
      <w:pPr>
        <w:jc w:val="both"/>
        <w:rPr>
          <w:rFonts w:ascii="Calibri" w:eastAsia="Times New Roman" w:hAnsi="Calibri"/>
        </w:rPr>
      </w:pPr>
      <w:r w:rsidRPr="00617F4F">
        <w:rPr>
          <w:rFonts w:ascii="Calibri" w:eastAsia="Times New Roman" w:hAnsi="Calibri"/>
        </w:rPr>
        <w:t xml:space="preserve">This section details the assessment criteria. The </w:t>
      </w:r>
      <w:r w:rsidRPr="00617F4F">
        <w:rPr>
          <w:rFonts w:ascii="Calibri" w:eastAsia="Times New Roman" w:hAnsi="Calibri"/>
          <w:i/>
        </w:rPr>
        <w:t>extent</w:t>
      </w:r>
      <w:r w:rsidRPr="00617F4F">
        <w:rPr>
          <w:rFonts w:ascii="Calibri" w:eastAsia="Times New Roman" w:hAnsi="Calibri"/>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64DAA75E" w14:textId="77777777" w:rsidR="00617F4F" w:rsidRPr="00617F4F" w:rsidRDefault="00617F4F" w:rsidP="00617F4F">
      <w:pPr>
        <w:jc w:val="left"/>
        <w:rPr>
          <w:rFonts w:ascii="Calibri" w:eastAsia="Times New Roman" w:hAnsi="Calibri"/>
          <w:b/>
          <w:szCs w:val="22"/>
          <w:lang w:eastAsia="en-GB"/>
        </w:rPr>
      </w:pPr>
    </w:p>
    <w:tbl>
      <w:tblPr>
        <w:tblW w:w="5000" w:type="pct"/>
        <w:tblLayout w:type="fixed"/>
        <w:tblLook w:val="04A0" w:firstRow="1" w:lastRow="0" w:firstColumn="1" w:lastColumn="0" w:noHBand="0" w:noVBand="1"/>
      </w:tblPr>
      <w:tblGrid>
        <w:gridCol w:w="9274"/>
        <w:gridCol w:w="592"/>
        <w:gridCol w:w="590"/>
      </w:tblGrid>
      <w:tr w:rsidR="00617F4F" w:rsidRPr="00617F4F" w14:paraId="68190CAD" w14:textId="77777777" w:rsidTr="0064763F">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3353A9E6" w14:textId="77777777" w:rsidR="00617F4F" w:rsidRPr="00617F4F" w:rsidRDefault="00617F4F" w:rsidP="00617F4F">
            <w:pPr>
              <w:jc w:val="left"/>
              <w:rPr>
                <w:rFonts w:ascii="Calibri" w:eastAsia="Times New Roman" w:hAnsi="Calibri"/>
                <w:b/>
                <w:sz w:val="22"/>
                <w:lang w:eastAsia="en-GB"/>
              </w:rPr>
            </w:pPr>
            <w:r w:rsidRPr="00617F4F">
              <w:rPr>
                <w:rFonts w:ascii="Calibri" w:eastAsia="Times New Roman" w:hAnsi="Calibri"/>
                <w:b/>
                <w:sz w:val="22"/>
                <w:szCs w:val="16"/>
                <w:lang w:eastAsia="en-GB"/>
              </w:rPr>
              <w:t xml:space="preserve">Common Assessment Criteria </w:t>
            </w:r>
            <w:r w:rsidRPr="00617F4F">
              <w:rPr>
                <w:rFonts w:ascii="Calibri" w:eastAsia="Times New Roman" w:hAnsi="Calibri"/>
                <w:b/>
                <w:sz w:val="22"/>
                <w:lang w:eastAsia="en-GB"/>
              </w:rPr>
              <w:t xml:space="preserve">Applied </w:t>
            </w:r>
            <w:bookmarkStart w:id="3" w:name="assessmentComponent"/>
            <w:bookmarkEnd w:id="3"/>
            <w:r w:rsidRPr="00617F4F">
              <w:rPr>
                <w:rFonts w:ascii="Calibri" w:eastAsia="Times New Roman" w:hAnsi="Calibri"/>
                <w:b/>
                <w:sz w:val="22"/>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2BA9B3D9" w14:textId="77777777" w:rsidR="00617F4F" w:rsidRPr="00617F4F" w:rsidRDefault="00617F4F" w:rsidP="00617F4F">
            <w:pPr>
              <w:ind w:left="34" w:right="113"/>
              <w:rPr>
                <w:rFonts w:ascii="Calibri" w:eastAsia="Times New Roman" w:hAnsi="Calibri"/>
                <w:b/>
                <w:sz w:val="14"/>
                <w:szCs w:val="14"/>
                <w:lang w:eastAsia="en-GB"/>
              </w:rPr>
            </w:pPr>
            <w:r w:rsidRPr="00617F4F">
              <w:rPr>
                <w:rFonts w:ascii="Calibri" w:eastAsia="Times New Roman" w:hAnsi="Calibri"/>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86556C3" w14:textId="77777777" w:rsidR="00617F4F" w:rsidRPr="00617F4F" w:rsidRDefault="00617F4F" w:rsidP="00617F4F">
            <w:pPr>
              <w:ind w:left="113" w:right="113"/>
              <w:rPr>
                <w:rFonts w:ascii="Calibri" w:eastAsia="Times New Roman" w:hAnsi="Calibri"/>
                <w:b/>
                <w:sz w:val="14"/>
                <w:szCs w:val="14"/>
                <w:lang w:eastAsia="en-GB"/>
              </w:rPr>
            </w:pPr>
            <w:r w:rsidRPr="00617F4F">
              <w:rPr>
                <w:rFonts w:ascii="Calibri" w:eastAsia="Times New Roman" w:hAnsi="Calibri"/>
                <w:b/>
                <w:sz w:val="14"/>
                <w:szCs w:val="14"/>
                <w:lang w:eastAsia="en-GB"/>
              </w:rPr>
              <w:t xml:space="preserve">Marks </w:t>
            </w:r>
          </w:p>
          <w:p w14:paraId="52BE42E4" w14:textId="77777777" w:rsidR="00617F4F" w:rsidRPr="00617F4F" w:rsidRDefault="00617F4F" w:rsidP="00617F4F">
            <w:pPr>
              <w:ind w:left="113" w:right="113"/>
              <w:rPr>
                <w:rFonts w:ascii="Calibri" w:eastAsia="Times New Roman" w:hAnsi="Calibri"/>
                <w:b/>
                <w:sz w:val="14"/>
                <w:szCs w:val="14"/>
                <w:lang w:eastAsia="en-GB"/>
              </w:rPr>
            </w:pPr>
            <w:r w:rsidRPr="00617F4F">
              <w:rPr>
                <w:rFonts w:ascii="Calibri" w:eastAsia="Times New Roman" w:hAnsi="Calibri"/>
                <w:b/>
                <w:sz w:val="14"/>
                <w:szCs w:val="14"/>
                <w:lang w:eastAsia="en-GB"/>
              </w:rPr>
              <w:t>awarded</w:t>
            </w:r>
          </w:p>
        </w:tc>
      </w:tr>
      <w:tr w:rsidR="00617F4F" w:rsidRPr="00617F4F" w14:paraId="7D750CAF" w14:textId="77777777" w:rsidTr="0064763F">
        <w:trPr>
          <w:trHeight w:val="450"/>
        </w:trPr>
        <w:tc>
          <w:tcPr>
            <w:tcW w:w="4435" w:type="pct"/>
            <w:tcBorders>
              <w:top w:val="single" w:sz="4" w:space="0" w:color="auto"/>
              <w:left w:val="single" w:sz="4" w:space="0" w:color="auto"/>
              <w:right w:val="single" w:sz="4" w:space="0" w:color="auto"/>
            </w:tcBorders>
            <w:shd w:val="clear" w:color="auto" w:fill="D9D9D9"/>
          </w:tcPr>
          <w:p w14:paraId="24083F9C" w14:textId="77777777" w:rsidR="00617F4F" w:rsidRPr="00617F4F" w:rsidRDefault="00617F4F" w:rsidP="00617F4F">
            <w:pPr>
              <w:jc w:val="left"/>
              <w:rPr>
                <w:rFonts w:ascii="Calibri" w:eastAsia="Times New Roman" w:hAnsi="Calibri"/>
                <w:b/>
                <w:sz w:val="16"/>
                <w:szCs w:val="16"/>
                <w:lang w:eastAsia="en-GB"/>
              </w:rPr>
            </w:pPr>
            <w:r w:rsidRPr="00617F4F">
              <w:rPr>
                <w:rFonts w:ascii="Calibri" w:eastAsia="Times New Roman" w:hAnsi="Calibri"/>
                <w:b/>
                <w:szCs w:val="16"/>
                <w:lang w:eastAsia="en-GB"/>
              </w:rPr>
              <w:t>1. E</w:t>
            </w:r>
            <w:r w:rsidRPr="00617F4F">
              <w:rPr>
                <w:rFonts w:ascii="Calibri" w:eastAsia="Times New Roman" w:hAnsi="Calibri"/>
                <w:b/>
                <w:lang w:eastAsia="en-GB"/>
              </w:rPr>
              <w:t>ngagement with Literature Skills</w:t>
            </w:r>
          </w:p>
          <w:p w14:paraId="6B7D19B0" w14:textId="77777777" w:rsidR="00617F4F" w:rsidRPr="00617F4F" w:rsidRDefault="00617F4F" w:rsidP="00617F4F">
            <w:pPr>
              <w:spacing w:after="120"/>
              <w:jc w:val="left"/>
              <w:rPr>
                <w:rFonts w:ascii="Calibri" w:eastAsia="Times New Roman" w:hAnsi="Calibri"/>
                <w:sz w:val="14"/>
                <w:szCs w:val="14"/>
                <w:lang w:eastAsia="en-GB"/>
              </w:rPr>
            </w:pPr>
            <w:r w:rsidRPr="00617F4F">
              <w:rPr>
                <w:rFonts w:ascii="Calibri" w:eastAsia="Times New Roman" w:hAnsi="Calibri"/>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394F62DC" w14:textId="77777777" w:rsidR="00617F4F" w:rsidRPr="00617F4F" w:rsidRDefault="00617F4F" w:rsidP="00617F4F">
            <w:pPr>
              <w:rPr>
                <w:rFonts w:ascii="Calibri" w:eastAsia="Times New Roman" w:hAnsi="Calibri"/>
                <w:sz w:val="32"/>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5905762" w14:textId="77777777" w:rsidR="00617F4F" w:rsidRPr="00617F4F" w:rsidRDefault="00617F4F" w:rsidP="00617F4F">
            <w:pPr>
              <w:rPr>
                <w:rFonts w:ascii="Calibri" w:eastAsia="Times New Roman" w:hAnsi="Calibri"/>
                <w:sz w:val="32"/>
                <w:lang w:eastAsia="en-GB"/>
              </w:rPr>
            </w:pPr>
          </w:p>
        </w:tc>
      </w:tr>
      <w:tr w:rsidR="00617F4F" w:rsidRPr="00617F4F" w14:paraId="465C3FDF" w14:textId="77777777" w:rsidTr="0064763F">
        <w:trPr>
          <w:trHeight w:val="450"/>
        </w:trPr>
        <w:tc>
          <w:tcPr>
            <w:tcW w:w="4435" w:type="pct"/>
            <w:vMerge w:val="restart"/>
            <w:tcBorders>
              <w:top w:val="single" w:sz="4" w:space="0" w:color="auto"/>
              <w:left w:val="single" w:sz="4" w:space="0" w:color="auto"/>
              <w:right w:val="single" w:sz="4" w:space="0" w:color="auto"/>
            </w:tcBorders>
          </w:tcPr>
          <w:p w14:paraId="0E749DB9" w14:textId="43045EC0" w:rsidR="00617F4F" w:rsidRPr="00617F4F" w:rsidRDefault="00617F4F" w:rsidP="00EA4735">
            <w:pPr>
              <w:spacing w:after="120"/>
              <w:jc w:val="both"/>
              <w:rPr>
                <w:rFonts w:ascii="Calibri" w:eastAsia="Times New Roman" w:hAnsi="Calibri"/>
                <w:szCs w:val="14"/>
                <w:lang w:eastAsia="en-GB"/>
              </w:rPr>
            </w:pPr>
            <w:bookmarkStart w:id="4" w:name="feedbackRIL"/>
            <w:bookmarkEnd w:id="4"/>
            <w:r w:rsidRPr="00617F4F">
              <w:rPr>
                <w:rFonts w:ascii="Calibri" w:eastAsia="Times New Roman" w:hAnsi="Calibri"/>
                <w:szCs w:val="14"/>
                <w:lang w:eastAsia="en-GB"/>
              </w:rPr>
              <w:t xml:space="preserve">You have engaged with an extensive range of relevant and credible sources. You have applied appropriate </w:t>
            </w:r>
            <w:r w:rsidR="00EA4735" w:rsidRPr="00617F4F">
              <w:rPr>
                <w:rFonts w:ascii="Calibri" w:eastAsia="Times New Roman" w:hAnsi="Calibri"/>
                <w:szCs w:val="14"/>
                <w:lang w:eastAsia="en-GB"/>
              </w:rPr>
              <w:t>referencing</w:t>
            </w:r>
            <w:r w:rsidRPr="00617F4F">
              <w:rPr>
                <w:rFonts w:ascii="Calibri" w:eastAsia="Times New Roman" w:hAnsi="Calibri"/>
                <w:szCs w:val="14"/>
                <w:lang w:eastAsia="en-GB"/>
              </w:rPr>
              <w:t xml:space="preserve"> convention.  You could have summarised more your lit review critical discussion. (Grade mark: 93.33%)</w:t>
            </w:r>
          </w:p>
        </w:tc>
        <w:tc>
          <w:tcPr>
            <w:tcW w:w="283" w:type="pct"/>
            <w:tcBorders>
              <w:top w:val="single" w:sz="4" w:space="0" w:color="auto"/>
              <w:left w:val="single" w:sz="4" w:space="0" w:color="auto"/>
              <w:right w:val="single" w:sz="4" w:space="0" w:color="auto"/>
            </w:tcBorders>
          </w:tcPr>
          <w:p w14:paraId="2AD37755" w14:textId="77777777" w:rsidR="00617F4F" w:rsidRPr="00617F4F" w:rsidRDefault="00617F4F" w:rsidP="00617F4F">
            <w:pPr>
              <w:rPr>
                <w:rFonts w:ascii="Calibri" w:eastAsia="Times New Roman" w:hAnsi="Calibri"/>
                <w:lang w:eastAsia="en-GB"/>
              </w:rPr>
            </w:pPr>
            <w:bookmarkStart w:id="5" w:name="totalRIL"/>
            <w:bookmarkEnd w:id="5"/>
            <w:r w:rsidRPr="00617F4F">
              <w:rPr>
                <w:rFonts w:ascii="Calibri" w:eastAsia="Times New Roman" w:hAnsi="Calibri"/>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0D95C967" w14:textId="77777777" w:rsidR="00617F4F" w:rsidRPr="00617F4F" w:rsidRDefault="00617F4F" w:rsidP="00617F4F">
            <w:pPr>
              <w:rPr>
                <w:rFonts w:ascii="Calibri" w:eastAsia="Times New Roman" w:hAnsi="Calibri"/>
                <w:lang w:eastAsia="en-GB"/>
              </w:rPr>
            </w:pPr>
            <w:bookmarkStart w:id="6" w:name="markRIL"/>
            <w:bookmarkEnd w:id="6"/>
            <w:r w:rsidRPr="00617F4F">
              <w:rPr>
                <w:rFonts w:ascii="Calibri" w:eastAsia="Times New Roman" w:hAnsi="Calibri"/>
                <w:lang w:eastAsia="en-GB"/>
              </w:rPr>
              <w:t>14</w:t>
            </w:r>
          </w:p>
        </w:tc>
      </w:tr>
      <w:tr w:rsidR="00617F4F" w:rsidRPr="00617F4F" w14:paraId="55CB39BC" w14:textId="77777777" w:rsidTr="0064763F">
        <w:trPr>
          <w:trHeight w:val="451"/>
        </w:trPr>
        <w:tc>
          <w:tcPr>
            <w:tcW w:w="4435" w:type="pct"/>
            <w:vMerge/>
            <w:tcBorders>
              <w:left w:val="single" w:sz="4" w:space="0" w:color="auto"/>
              <w:bottom w:val="single" w:sz="4" w:space="0" w:color="auto"/>
              <w:right w:val="single" w:sz="4" w:space="0" w:color="auto"/>
            </w:tcBorders>
          </w:tcPr>
          <w:p w14:paraId="5C0B247A" w14:textId="77777777" w:rsidR="00617F4F" w:rsidRPr="00617F4F" w:rsidRDefault="00617F4F" w:rsidP="00617F4F">
            <w:pPr>
              <w:jc w:val="left"/>
              <w:rPr>
                <w:rFonts w:ascii="Calibri" w:eastAsia="Times New Roman" w:hAnsi="Calibri"/>
                <w:b/>
                <w:sz w:val="16"/>
                <w:szCs w:val="16"/>
                <w:lang w:eastAsia="en-GB"/>
              </w:rPr>
            </w:pPr>
          </w:p>
        </w:tc>
        <w:tc>
          <w:tcPr>
            <w:tcW w:w="283" w:type="pct"/>
            <w:tcBorders>
              <w:left w:val="single" w:sz="4" w:space="0" w:color="auto"/>
              <w:bottom w:val="single" w:sz="4" w:space="0" w:color="auto"/>
              <w:right w:val="single" w:sz="4" w:space="0" w:color="auto"/>
            </w:tcBorders>
          </w:tcPr>
          <w:p w14:paraId="32834DB0" w14:textId="77777777" w:rsidR="00617F4F" w:rsidRPr="00617F4F" w:rsidRDefault="00617F4F" w:rsidP="00617F4F">
            <w:pPr>
              <w:jc w:val="left"/>
              <w:rPr>
                <w:rFonts w:ascii="Calibri" w:eastAsia="Times New Roman" w:hAnsi="Calibri"/>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2482BF5" w14:textId="77777777" w:rsidR="00617F4F" w:rsidRPr="00617F4F" w:rsidRDefault="00617F4F" w:rsidP="00617F4F">
            <w:pPr>
              <w:rPr>
                <w:rFonts w:ascii="Calibri" w:eastAsia="Times New Roman" w:hAnsi="Calibri"/>
                <w:sz w:val="32"/>
                <w:lang w:eastAsia="en-GB"/>
              </w:rPr>
            </w:pPr>
          </w:p>
        </w:tc>
      </w:tr>
      <w:tr w:rsidR="00617F4F" w:rsidRPr="00617F4F" w14:paraId="1654EAB9" w14:textId="77777777" w:rsidTr="0064763F">
        <w:trPr>
          <w:trHeight w:val="450"/>
        </w:trPr>
        <w:tc>
          <w:tcPr>
            <w:tcW w:w="4435" w:type="pct"/>
            <w:tcBorders>
              <w:top w:val="single" w:sz="4" w:space="0" w:color="auto"/>
              <w:left w:val="single" w:sz="4" w:space="0" w:color="auto"/>
              <w:right w:val="single" w:sz="4" w:space="0" w:color="auto"/>
            </w:tcBorders>
            <w:shd w:val="clear" w:color="auto" w:fill="D9D9D9"/>
          </w:tcPr>
          <w:p w14:paraId="7072B224" w14:textId="77777777" w:rsidR="00617F4F" w:rsidRPr="00617F4F" w:rsidRDefault="00617F4F" w:rsidP="00617F4F">
            <w:pPr>
              <w:jc w:val="left"/>
              <w:rPr>
                <w:rFonts w:ascii="Calibri" w:eastAsia="Times New Roman" w:hAnsi="Calibri"/>
                <w:b/>
                <w:lang w:eastAsia="en-GB"/>
              </w:rPr>
            </w:pPr>
            <w:r w:rsidRPr="00617F4F">
              <w:rPr>
                <w:rFonts w:ascii="Calibri" w:eastAsia="Times New Roman" w:hAnsi="Calibri"/>
                <w:b/>
                <w:szCs w:val="16"/>
                <w:lang w:eastAsia="en-GB"/>
              </w:rPr>
              <w:t xml:space="preserve">2. </w:t>
            </w:r>
            <w:r w:rsidRPr="00617F4F">
              <w:rPr>
                <w:rFonts w:ascii="Calibri" w:eastAsia="Times New Roman" w:hAnsi="Calibri"/>
                <w:b/>
                <w:lang w:eastAsia="en-GB"/>
              </w:rPr>
              <w:t>Knowledge and Understanding Skills</w:t>
            </w:r>
          </w:p>
          <w:p w14:paraId="7B290EE7" w14:textId="77777777" w:rsidR="00617F4F" w:rsidRPr="00617F4F" w:rsidRDefault="00617F4F" w:rsidP="00617F4F">
            <w:pPr>
              <w:spacing w:after="120"/>
              <w:jc w:val="left"/>
              <w:rPr>
                <w:rFonts w:ascii="Calibri" w:eastAsia="Times New Roman" w:hAnsi="Calibri"/>
                <w:sz w:val="14"/>
                <w:szCs w:val="14"/>
                <w:lang w:eastAsia="en-GB"/>
              </w:rPr>
            </w:pPr>
            <w:r w:rsidRPr="00617F4F">
              <w:rPr>
                <w:rFonts w:ascii="Calibri" w:eastAsia="Times New Roman" w:hAnsi="Calibri"/>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712DAF9F" w14:textId="77777777" w:rsidR="00617F4F" w:rsidRPr="00617F4F" w:rsidRDefault="00617F4F" w:rsidP="00617F4F">
            <w:pPr>
              <w:rPr>
                <w:rFonts w:ascii="Calibri" w:eastAsia="Times New Roman" w:hAnsi="Calibri"/>
                <w:sz w:val="32"/>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0B762C6" w14:textId="77777777" w:rsidR="00617F4F" w:rsidRPr="00617F4F" w:rsidRDefault="00617F4F" w:rsidP="00617F4F">
            <w:pPr>
              <w:rPr>
                <w:rFonts w:ascii="Calibri" w:eastAsia="Times New Roman" w:hAnsi="Calibri"/>
                <w:sz w:val="32"/>
                <w:lang w:eastAsia="en-GB"/>
              </w:rPr>
            </w:pPr>
          </w:p>
        </w:tc>
      </w:tr>
      <w:tr w:rsidR="00617F4F" w:rsidRPr="00617F4F" w14:paraId="3921CE6F" w14:textId="77777777" w:rsidTr="0064763F">
        <w:trPr>
          <w:trHeight w:val="450"/>
        </w:trPr>
        <w:tc>
          <w:tcPr>
            <w:tcW w:w="4435" w:type="pct"/>
            <w:vMerge w:val="restart"/>
            <w:tcBorders>
              <w:top w:val="single" w:sz="4" w:space="0" w:color="auto"/>
              <w:left w:val="single" w:sz="4" w:space="0" w:color="auto"/>
              <w:right w:val="single" w:sz="4" w:space="0" w:color="auto"/>
            </w:tcBorders>
          </w:tcPr>
          <w:p w14:paraId="52BD75CD" w14:textId="19B3C78A" w:rsidR="00617F4F" w:rsidRPr="00617F4F" w:rsidRDefault="00617F4F" w:rsidP="00EA4735">
            <w:pPr>
              <w:spacing w:after="120"/>
              <w:jc w:val="both"/>
              <w:rPr>
                <w:rFonts w:ascii="Calibri" w:eastAsia="Times New Roman" w:hAnsi="Calibri"/>
                <w:szCs w:val="14"/>
                <w:lang w:eastAsia="en-GB"/>
              </w:rPr>
            </w:pPr>
            <w:bookmarkStart w:id="7" w:name="feedbackKUS"/>
            <w:bookmarkStart w:id="8" w:name="_GoBack"/>
            <w:bookmarkEnd w:id="7"/>
            <w:r w:rsidRPr="00617F4F">
              <w:rPr>
                <w:rFonts w:ascii="Calibri" w:eastAsia="Times New Roman" w:hAnsi="Calibri"/>
                <w:szCs w:val="14"/>
                <w:lang w:eastAsia="en-GB"/>
              </w:rPr>
              <w:t xml:space="preserve">Excellent understanding of the concepts of the subject area with high critical awareness of the current problems.  </w:t>
            </w:r>
            <w:r w:rsidR="00EA4735" w:rsidRPr="00617F4F">
              <w:rPr>
                <w:rFonts w:ascii="Calibri" w:eastAsia="Times New Roman" w:hAnsi="Calibri"/>
                <w:szCs w:val="14"/>
                <w:lang w:eastAsia="en-GB"/>
              </w:rPr>
              <w:t>Structure</w:t>
            </w:r>
            <w:r w:rsidRPr="00617F4F">
              <w:rPr>
                <w:rFonts w:ascii="Calibri" w:eastAsia="Times New Roman" w:hAnsi="Calibri"/>
                <w:szCs w:val="14"/>
                <w:lang w:eastAsia="en-GB"/>
              </w:rPr>
              <w:t xml:space="preserve"> and quality of report is of an excellent standard. (Grade mark: 93.33%)</w:t>
            </w:r>
            <w:bookmarkEnd w:id="8"/>
          </w:p>
        </w:tc>
        <w:tc>
          <w:tcPr>
            <w:tcW w:w="283" w:type="pct"/>
            <w:tcBorders>
              <w:top w:val="single" w:sz="4" w:space="0" w:color="auto"/>
              <w:left w:val="single" w:sz="4" w:space="0" w:color="auto"/>
              <w:right w:val="single" w:sz="4" w:space="0" w:color="auto"/>
            </w:tcBorders>
          </w:tcPr>
          <w:p w14:paraId="495D2076" w14:textId="77777777" w:rsidR="00617F4F" w:rsidRPr="00617F4F" w:rsidRDefault="00617F4F" w:rsidP="00617F4F">
            <w:pPr>
              <w:rPr>
                <w:rFonts w:ascii="Calibri" w:eastAsia="Times New Roman" w:hAnsi="Calibri"/>
                <w:lang w:eastAsia="en-GB"/>
              </w:rPr>
            </w:pPr>
            <w:bookmarkStart w:id="9" w:name="totalKUS"/>
            <w:bookmarkEnd w:id="9"/>
            <w:r w:rsidRPr="00617F4F">
              <w:rPr>
                <w:rFonts w:ascii="Calibri" w:eastAsia="Times New Roman" w:hAnsi="Calibri"/>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14B32F14" w14:textId="77777777" w:rsidR="00617F4F" w:rsidRPr="00617F4F" w:rsidRDefault="00617F4F" w:rsidP="00617F4F">
            <w:pPr>
              <w:rPr>
                <w:rFonts w:ascii="Calibri" w:eastAsia="Times New Roman" w:hAnsi="Calibri"/>
                <w:lang w:eastAsia="en-GB"/>
              </w:rPr>
            </w:pPr>
            <w:bookmarkStart w:id="10" w:name="markKUS"/>
            <w:bookmarkEnd w:id="10"/>
            <w:r w:rsidRPr="00617F4F">
              <w:rPr>
                <w:rFonts w:ascii="Calibri" w:eastAsia="Times New Roman" w:hAnsi="Calibri"/>
                <w:lang w:eastAsia="en-GB"/>
              </w:rPr>
              <w:t>14</w:t>
            </w:r>
          </w:p>
        </w:tc>
      </w:tr>
      <w:tr w:rsidR="00617F4F" w:rsidRPr="00617F4F" w14:paraId="4317C79E" w14:textId="77777777" w:rsidTr="0064763F">
        <w:trPr>
          <w:trHeight w:val="451"/>
        </w:trPr>
        <w:tc>
          <w:tcPr>
            <w:tcW w:w="4435" w:type="pct"/>
            <w:vMerge/>
            <w:tcBorders>
              <w:left w:val="single" w:sz="4" w:space="0" w:color="auto"/>
              <w:bottom w:val="single" w:sz="4" w:space="0" w:color="auto"/>
              <w:right w:val="single" w:sz="4" w:space="0" w:color="auto"/>
            </w:tcBorders>
          </w:tcPr>
          <w:p w14:paraId="60F94CB1" w14:textId="77777777" w:rsidR="00617F4F" w:rsidRPr="00617F4F" w:rsidRDefault="00617F4F" w:rsidP="00617F4F">
            <w:pPr>
              <w:jc w:val="left"/>
              <w:rPr>
                <w:rFonts w:ascii="Calibri" w:eastAsia="Times New Roman" w:hAnsi="Calibri"/>
                <w:b/>
                <w:sz w:val="16"/>
                <w:szCs w:val="16"/>
                <w:lang w:eastAsia="en-GB"/>
              </w:rPr>
            </w:pPr>
          </w:p>
        </w:tc>
        <w:tc>
          <w:tcPr>
            <w:tcW w:w="283" w:type="pct"/>
            <w:tcBorders>
              <w:left w:val="single" w:sz="4" w:space="0" w:color="auto"/>
              <w:bottom w:val="single" w:sz="4" w:space="0" w:color="auto"/>
              <w:right w:val="single" w:sz="4" w:space="0" w:color="auto"/>
            </w:tcBorders>
          </w:tcPr>
          <w:p w14:paraId="5700105F" w14:textId="77777777" w:rsidR="00617F4F" w:rsidRPr="00617F4F" w:rsidRDefault="00617F4F" w:rsidP="00617F4F">
            <w:pPr>
              <w:jc w:val="left"/>
              <w:rPr>
                <w:rFonts w:ascii="Calibri" w:eastAsia="Times New Roman" w:hAnsi="Calibri"/>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880DFD5" w14:textId="77777777" w:rsidR="00617F4F" w:rsidRPr="00617F4F" w:rsidRDefault="00617F4F" w:rsidP="00617F4F">
            <w:pPr>
              <w:rPr>
                <w:rFonts w:ascii="Calibri" w:eastAsia="Times New Roman" w:hAnsi="Calibri"/>
                <w:sz w:val="32"/>
                <w:lang w:eastAsia="en-GB"/>
              </w:rPr>
            </w:pPr>
          </w:p>
        </w:tc>
      </w:tr>
      <w:tr w:rsidR="00617F4F" w:rsidRPr="00617F4F" w14:paraId="7FB9D1E4" w14:textId="77777777" w:rsidTr="0064763F">
        <w:trPr>
          <w:trHeight w:val="450"/>
        </w:trPr>
        <w:tc>
          <w:tcPr>
            <w:tcW w:w="4435" w:type="pct"/>
            <w:tcBorders>
              <w:top w:val="single" w:sz="4" w:space="0" w:color="auto"/>
              <w:left w:val="single" w:sz="4" w:space="0" w:color="auto"/>
              <w:right w:val="single" w:sz="4" w:space="0" w:color="auto"/>
            </w:tcBorders>
            <w:shd w:val="clear" w:color="auto" w:fill="D9D9D9"/>
          </w:tcPr>
          <w:p w14:paraId="0251DF0E" w14:textId="77777777" w:rsidR="00617F4F" w:rsidRPr="00617F4F" w:rsidRDefault="00617F4F" w:rsidP="00617F4F">
            <w:pPr>
              <w:jc w:val="left"/>
              <w:rPr>
                <w:rFonts w:ascii="Calibri" w:eastAsia="Times New Roman" w:hAnsi="Calibri"/>
                <w:b/>
                <w:sz w:val="16"/>
                <w:szCs w:val="16"/>
                <w:lang w:eastAsia="en-GB"/>
              </w:rPr>
            </w:pPr>
            <w:r w:rsidRPr="00617F4F">
              <w:rPr>
                <w:rFonts w:ascii="Calibri" w:eastAsia="Times New Roman" w:hAnsi="Calibri"/>
                <w:b/>
                <w:szCs w:val="16"/>
                <w:lang w:eastAsia="en-GB"/>
              </w:rPr>
              <w:t xml:space="preserve">3. </w:t>
            </w:r>
            <w:r w:rsidRPr="00617F4F">
              <w:rPr>
                <w:rFonts w:ascii="Calibri" w:eastAsia="Times New Roman" w:hAnsi="Calibri"/>
                <w:b/>
                <w:lang w:eastAsia="en-GB"/>
              </w:rPr>
              <w:t>Cognitive and Intellectual Skills</w:t>
            </w:r>
          </w:p>
          <w:p w14:paraId="19E6C9B8" w14:textId="77777777" w:rsidR="00617F4F" w:rsidRPr="00617F4F" w:rsidRDefault="00617F4F" w:rsidP="00617F4F">
            <w:pPr>
              <w:spacing w:after="120"/>
              <w:jc w:val="left"/>
              <w:rPr>
                <w:rFonts w:ascii="Calibri" w:eastAsia="Times New Roman" w:hAnsi="Calibri"/>
                <w:sz w:val="14"/>
                <w:szCs w:val="14"/>
                <w:lang w:eastAsia="en-GB"/>
              </w:rPr>
            </w:pPr>
            <w:r w:rsidRPr="00617F4F">
              <w:rPr>
                <w:rFonts w:ascii="Calibri" w:eastAsia="Times New Roman" w:hAnsi="Calibri"/>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45D56313" w14:textId="77777777" w:rsidR="00617F4F" w:rsidRPr="00617F4F" w:rsidRDefault="00617F4F" w:rsidP="00617F4F">
            <w:pPr>
              <w:rPr>
                <w:rFonts w:ascii="Calibri" w:eastAsia="Times New Roman" w:hAnsi="Calibri"/>
                <w:sz w:val="32"/>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646A878" w14:textId="77777777" w:rsidR="00617F4F" w:rsidRPr="00617F4F" w:rsidRDefault="00617F4F" w:rsidP="00617F4F">
            <w:pPr>
              <w:rPr>
                <w:rFonts w:ascii="Calibri" w:eastAsia="Times New Roman" w:hAnsi="Calibri"/>
                <w:sz w:val="32"/>
                <w:lang w:eastAsia="en-GB"/>
              </w:rPr>
            </w:pPr>
          </w:p>
        </w:tc>
      </w:tr>
      <w:tr w:rsidR="00617F4F" w:rsidRPr="00617F4F" w14:paraId="7FC8307D" w14:textId="77777777" w:rsidTr="0064763F">
        <w:trPr>
          <w:trHeight w:val="450"/>
        </w:trPr>
        <w:tc>
          <w:tcPr>
            <w:tcW w:w="4435" w:type="pct"/>
            <w:vMerge w:val="restart"/>
            <w:tcBorders>
              <w:top w:val="single" w:sz="4" w:space="0" w:color="auto"/>
              <w:left w:val="single" w:sz="4" w:space="0" w:color="auto"/>
              <w:right w:val="single" w:sz="4" w:space="0" w:color="auto"/>
            </w:tcBorders>
          </w:tcPr>
          <w:p w14:paraId="16B610EA" w14:textId="3ABFC722" w:rsidR="00617F4F" w:rsidRPr="00617F4F" w:rsidRDefault="00617F4F" w:rsidP="00EA4735">
            <w:pPr>
              <w:spacing w:after="120"/>
              <w:jc w:val="both"/>
              <w:rPr>
                <w:rFonts w:ascii="Calibri" w:eastAsia="Times New Roman" w:hAnsi="Calibri"/>
                <w:szCs w:val="14"/>
                <w:lang w:eastAsia="en-GB"/>
              </w:rPr>
            </w:pPr>
            <w:bookmarkStart w:id="11" w:name="feedbackANA"/>
            <w:bookmarkEnd w:id="11"/>
            <w:r w:rsidRPr="00617F4F">
              <w:rPr>
                <w:rFonts w:ascii="Calibri" w:eastAsia="Times New Roman" w:hAnsi="Calibri"/>
                <w:szCs w:val="14"/>
                <w:lang w:eastAsia="en-GB"/>
              </w:rPr>
              <w:t xml:space="preserve">Excellent critical </w:t>
            </w:r>
            <w:r w:rsidR="00EA4735" w:rsidRPr="00617F4F">
              <w:rPr>
                <w:rFonts w:ascii="Calibri" w:eastAsia="Times New Roman" w:hAnsi="Calibri"/>
                <w:szCs w:val="14"/>
                <w:lang w:eastAsia="en-GB"/>
              </w:rPr>
              <w:t>evaluation</w:t>
            </w:r>
            <w:r w:rsidRPr="00617F4F">
              <w:rPr>
                <w:rFonts w:ascii="Calibri" w:eastAsia="Times New Roman" w:hAnsi="Calibri"/>
                <w:szCs w:val="14"/>
                <w:lang w:eastAsia="en-GB"/>
              </w:rPr>
              <w:t xml:space="preserve">/critique of the research and case study discussion.  However, there are some things to note which I will </w:t>
            </w:r>
            <w:r w:rsidR="00EA4735" w:rsidRPr="00617F4F">
              <w:rPr>
                <w:rFonts w:ascii="Calibri" w:eastAsia="Times New Roman" w:hAnsi="Calibri"/>
                <w:szCs w:val="14"/>
                <w:lang w:eastAsia="en-GB"/>
              </w:rPr>
              <w:t>highlighted</w:t>
            </w:r>
            <w:r w:rsidRPr="00617F4F">
              <w:rPr>
                <w:rFonts w:ascii="Calibri" w:eastAsia="Times New Roman" w:hAnsi="Calibri"/>
                <w:szCs w:val="14"/>
                <w:lang w:eastAsia="en-GB"/>
              </w:rPr>
              <w:t xml:space="preserve">.  Task 1 ask for you to research and discuss at least three security frameworks and models.  Though you have done so, in your main </w:t>
            </w:r>
            <w:r w:rsidR="00EA4735" w:rsidRPr="00617F4F">
              <w:rPr>
                <w:rFonts w:ascii="Calibri" w:eastAsia="Times New Roman" w:hAnsi="Calibri"/>
                <w:szCs w:val="14"/>
                <w:lang w:eastAsia="en-GB"/>
              </w:rPr>
              <w:t>report</w:t>
            </w:r>
            <w:r w:rsidRPr="00617F4F">
              <w:rPr>
                <w:rFonts w:ascii="Calibri" w:eastAsia="Times New Roman" w:hAnsi="Calibri"/>
                <w:szCs w:val="14"/>
                <w:lang w:eastAsia="en-GB"/>
              </w:rPr>
              <w:t xml:space="preserve"> only one was discussed.  You could have reduced/summarised your introduction, you could have summarised your key areas of discussions on all the </w:t>
            </w:r>
            <w:r w:rsidR="00EA4735" w:rsidRPr="00617F4F">
              <w:rPr>
                <w:rFonts w:ascii="Calibri" w:eastAsia="Times New Roman" w:hAnsi="Calibri"/>
                <w:szCs w:val="14"/>
                <w:lang w:eastAsia="en-GB"/>
              </w:rPr>
              <w:t>framework</w:t>
            </w:r>
            <w:r w:rsidRPr="00617F4F">
              <w:rPr>
                <w:rFonts w:ascii="Calibri" w:eastAsia="Times New Roman" w:hAnsi="Calibri"/>
                <w:szCs w:val="14"/>
                <w:lang w:eastAsia="en-GB"/>
              </w:rPr>
              <w:t>/model (</w:t>
            </w:r>
            <w:r w:rsidR="00EA4735">
              <w:rPr>
                <w:rFonts w:ascii="Calibri" w:eastAsia="Times New Roman" w:hAnsi="Calibri"/>
                <w:szCs w:val="14"/>
                <w:lang w:eastAsia="en-GB"/>
              </w:rPr>
              <w:t>I</w:t>
            </w:r>
            <w:r w:rsidRPr="00617F4F">
              <w:rPr>
                <w:rFonts w:ascii="Calibri" w:eastAsia="Times New Roman" w:hAnsi="Calibri"/>
                <w:szCs w:val="14"/>
                <w:lang w:eastAsia="en-GB"/>
              </w:rPr>
              <w:t>SO 2700, ITIL, cyber essential, etc.) in the main report and includes the rest in appendix. Similarly with the case study discussions, the area on risk proba</w:t>
            </w:r>
            <w:r w:rsidR="00EA4735">
              <w:rPr>
                <w:rFonts w:ascii="Calibri" w:eastAsia="Times New Roman" w:hAnsi="Calibri"/>
                <w:szCs w:val="14"/>
                <w:lang w:eastAsia="en-GB"/>
              </w:rPr>
              <w:t>b</w:t>
            </w:r>
            <w:r w:rsidRPr="00617F4F">
              <w:rPr>
                <w:rFonts w:ascii="Calibri" w:eastAsia="Times New Roman" w:hAnsi="Calibri"/>
                <w:szCs w:val="14"/>
                <w:lang w:eastAsia="en-GB"/>
              </w:rPr>
              <w:t xml:space="preserve">ility matrix the key evaluation of the diagram could be discussed and the rest goes to appendix. The </w:t>
            </w:r>
            <w:r w:rsidR="00EA4735" w:rsidRPr="00617F4F">
              <w:rPr>
                <w:rFonts w:ascii="Calibri" w:eastAsia="Times New Roman" w:hAnsi="Calibri"/>
                <w:szCs w:val="14"/>
                <w:lang w:eastAsia="en-GB"/>
              </w:rPr>
              <w:t>architectural</w:t>
            </w:r>
            <w:r w:rsidRPr="00617F4F">
              <w:rPr>
                <w:rFonts w:ascii="Calibri" w:eastAsia="Times New Roman" w:hAnsi="Calibri"/>
                <w:szCs w:val="14"/>
                <w:lang w:eastAsia="en-GB"/>
              </w:rPr>
              <w:t xml:space="preserve"> technologies and implementation could follow similar pattern, using the diagrams with the key recommended discussions and the rest goes to appendix.  This would free up space for other key areas in the appendix to be discussed in </w:t>
            </w:r>
            <w:r w:rsidR="00EA4735" w:rsidRPr="00617F4F">
              <w:rPr>
                <w:rFonts w:ascii="Calibri" w:eastAsia="Times New Roman" w:hAnsi="Calibri"/>
                <w:szCs w:val="14"/>
                <w:lang w:eastAsia="en-GB"/>
              </w:rPr>
              <w:t>a summary</w:t>
            </w:r>
            <w:r w:rsidRPr="00617F4F">
              <w:rPr>
                <w:rFonts w:ascii="Calibri" w:eastAsia="Times New Roman" w:hAnsi="Calibri"/>
                <w:szCs w:val="14"/>
                <w:lang w:eastAsia="en-GB"/>
              </w:rPr>
              <w:t xml:space="preserve"> way in the main report such as the management hierarch diagram.  Overall excellent report. (Grade mark: 87.50%)</w:t>
            </w:r>
          </w:p>
        </w:tc>
        <w:tc>
          <w:tcPr>
            <w:tcW w:w="283" w:type="pct"/>
            <w:tcBorders>
              <w:top w:val="single" w:sz="4" w:space="0" w:color="auto"/>
              <w:left w:val="single" w:sz="4" w:space="0" w:color="auto"/>
              <w:right w:val="single" w:sz="4" w:space="0" w:color="auto"/>
            </w:tcBorders>
          </w:tcPr>
          <w:p w14:paraId="61B3A8DD" w14:textId="77777777" w:rsidR="00617F4F" w:rsidRPr="00617F4F" w:rsidRDefault="00617F4F" w:rsidP="00617F4F">
            <w:pPr>
              <w:rPr>
                <w:rFonts w:ascii="Calibri" w:eastAsia="Times New Roman" w:hAnsi="Calibri"/>
                <w:lang w:eastAsia="en-GB"/>
              </w:rPr>
            </w:pPr>
            <w:bookmarkStart w:id="12" w:name="totalANA"/>
            <w:bookmarkEnd w:id="12"/>
            <w:r w:rsidRPr="00617F4F">
              <w:rPr>
                <w:rFonts w:ascii="Calibri" w:eastAsia="Times New Roman" w:hAnsi="Calibri"/>
                <w:lang w:eastAsia="en-GB"/>
              </w:rPr>
              <w:t>40</w:t>
            </w:r>
          </w:p>
        </w:tc>
        <w:tc>
          <w:tcPr>
            <w:tcW w:w="283" w:type="pct"/>
            <w:vMerge w:val="restart"/>
            <w:tcBorders>
              <w:top w:val="single" w:sz="4" w:space="0" w:color="auto"/>
              <w:left w:val="single" w:sz="4" w:space="0" w:color="auto"/>
              <w:bottom w:val="single" w:sz="4" w:space="0" w:color="auto"/>
              <w:right w:val="single" w:sz="4" w:space="0" w:color="auto"/>
            </w:tcBorders>
          </w:tcPr>
          <w:p w14:paraId="4462078B" w14:textId="77777777" w:rsidR="00617F4F" w:rsidRPr="00617F4F" w:rsidRDefault="00617F4F" w:rsidP="00617F4F">
            <w:pPr>
              <w:rPr>
                <w:rFonts w:ascii="Calibri" w:eastAsia="Times New Roman" w:hAnsi="Calibri"/>
                <w:lang w:eastAsia="en-GB"/>
              </w:rPr>
            </w:pPr>
            <w:bookmarkStart w:id="13" w:name="markANA"/>
            <w:bookmarkEnd w:id="13"/>
            <w:r w:rsidRPr="00617F4F">
              <w:rPr>
                <w:rFonts w:ascii="Calibri" w:eastAsia="Times New Roman" w:hAnsi="Calibri"/>
                <w:lang w:eastAsia="en-GB"/>
              </w:rPr>
              <w:t>35</w:t>
            </w:r>
          </w:p>
        </w:tc>
      </w:tr>
      <w:tr w:rsidR="00617F4F" w:rsidRPr="00617F4F" w14:paraId="5979725E" w14:textId="77777777" w:rsidTr="0064763F">
        <w:trPr>
          <w:trHeight w:val="451"/>
        </w:trPr>
        <w:tc>
          <w:tcPr>
            <w:tcW w:w="4435" w:type="pct"/>
            <w:vMerge/>
            <w:tcBorders>
              <w:left w:val="single" w:sz="4" w:space="0" w:color="auto"/>
              <w:bottom w:val="single" w:sz="4" w:space="0" w:color="auto"/>
              <w:right w:val="single" w:sz="4" w:space="0" w:color="auto"/>
            </w:tcBorders>
          </w:tcPr>
          <w:p w14:paraId="3DF9392D" w14:textId="77777777" w:rsidR="00617F4F" w:rsidRPr="00617F4F" w:rsidRDefault="00617F4F" w:rsidP="00617F4F">
            <w:pPr>
              <w:jc w:val="left"/>
              <w:rPr>
                <w:rFonts w:ascii="Calibri" w:eastAsia="Times New Roman" w:hAnsi="Calibri"/>
                <w:b/>
                <w:sz w:val="16"/>
                <w:szCs w:val="16"/>
                <w:lang w:eastAsia="en-GB"/>
              </w:rPr>
            </w:pPr>
          </w:p>
        </w:tc>
        <w:tc>
          <w:tcPr>
            <w:tcW w:w="283" w:type="pct"/>
            <w:tcBorders>
              <w:left w:val="single" w:sz="4" w:space="0" w:color="auto"/>
              <w:bottom w:val="single" w:sz="4" w:space="0" w:color="auto"/>
              <w:right w:val="single" w:sz="4" w:space="0" w:color="auto"/>
            </w:tcBorders>
          </w:tcPr>
          <w:p w14:paraId="1D13404D" w14:textId="77777777" w:rsidR="00617F4F" w:rsidRPr="00617F4F" w:rsidRDefault="00617F4F" w:rsidP="00617F4F">
            <w:pPr>
              <w:jc w:val="left"/>
              <w:rPr>
                <w:rFonts w:ascii="Calibri" w:eastAsia="Times New Roman" w:hAnsi="Calibri"/>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696925B" w14:textId="77777777" w:rsidR="00617F4F" w:rsidRPr="00617F4F" w:rsidRDefault="00617F4F" w:rsidP="00617F4F">
            <w:pPr>
              <w:rPr>
                <w:rFonts w:ascii="Calibri" w:eastAsia="Times New Roman" w:hAnsi="Calibri"/>
                <w:sz w:val="32"/>
                <w:lang w:eastAsia="en-GB"/>
              </w:rPr>
            </w:pPr>
          </w:p>
        </w:tc>
      </w:tr>
      <w:tr w:rsidR="00617F4F" w:rsidRPr="00617F4F" w14:paraId="0AD4E364" w14:textId="77777777" w:rsidTr="0064763F">
        <w:trPr>
          <w:trHeight w:val="450"/>
        </w:trPr>
        <w:tc>
          <w:tcPr>
            <w:tcW w:w="4435" w:type="pct"/>
            <w:tcBorders>
              <w:top w:val="single" w:sz="4" w:space="0" w:color="auto"/>
              <w:left w:val="single" w:sz="4" w:space="0" w:color="auto"/>
              <w:right w:val="single" w:sz="4" w:space="0" w:color="auto"/>
            </w:tcBorders>
            <w:shd w:val="clear" w:color="auto" w:fill="D9D9D9"/>
          </w:tcPr>
          <w:p w14:paraId="23255AAA" w14:textId="77777777" w:rsidR="00617F4F" w:rsidRPr="00617F4F" w:rsidRDefault="00617F4F" w:rsidP="00617F4F">
            <w:pPr>
              <w:jc w:val="left"/>
              <w:rPr>
                <w:rFonts w:ascii="Calibri" w:eastAsia="Times New Roman" w:hAnsi="Calibri"/>
                <w:b/>
                <w:sz w:val="16"/>
                <w:szCs w:val="16"/>
                <w:lang w:eastAsia="en-GB"/>
              </w:rPr>
            </w:pPr>
            <w:r w:rsidRPr="00617F4F">
              <w:rPr>
                <w:rFonts w:ascii="Calibri" w:eastAsia="Times New Roman" w:hAnsi="Calibri"/>
                <w:b/>
                <w:szCs w:val="16"/>
                <w:lang w:eastAsia="en-GB"/>
              </w:rPr>
              <w:t xml:space="preserve">4. </w:t>
            </w:r>
            <w:r w:rsidRPr="00617F4F">
              <w:rPr>
                <w:rFonts w:ascii="Calibri" w:eastAsia="Times New Roman" w:hAnsi="Calibri"/>
                <w:b/>
                <w:lang w:eastAsia="en-GB"/>
              </w:rPr>
              <w:t>Practical Application Skills</w:t>
            </w:r>
          </w:p>
          <w:p w14:paraId="6B13EF6A" w14:textId="77777777" w:rsidR="00617F4F" w:rsidRPr="00617F4F" w:rsidRDefault="00617F4F" w:rsidP="00617F4F">
            <w:pPr>
              <w:spacing w:after="120"/>
              <w:jc w:val="left"/>
              <w:rPr>
                <w:rFonts w:ascii="Calibri" w:eastAsia="Times New Roman" w:hAnsi="Calibri"/>
                <w:sz w:val="14"/>
                <w:szCs w:val="14"/>
                <w:lang w:eastAsia="en-GB"/>
              </w:rPr>
            </w:pPr>
            <w:r w:rsidRPr="00617F4F">
              <w:rPr>
                <w:rFonts w:ascii="Calibri" w:eastAsia="Times New Roman" w:hAnsi="Calibri"/>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76D4B688" w14:textId="77777777" w:rsidR="00617F4F" w:rsidRPr="00617F4F" w:rsidRDefault="00617F4F" w:rsidP="00617F4F">
            <w:pPr>
              <w:rPr>
                <w:rFonts w:ascii="Calibri" w:eastAsia="Times New Roman" w:hAnsi="Calibri"/>
                <w:sz w:val="32"/>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96B7784" w14:textId="77777777" w:rsidR="00617F4F" w:rsidRPr="00617F4F" w:rsidRDefault="00617F4F" w:rsidP="00617F4F">
            <w:pPr>
              <w:rPr>
                <w:rFonts w:ascii="Calibri" w:eastAsia="Times New Roman" w:hAnsi="Calibri"/>
                <w:sz w:val="32"/>
                <w:lang w:eastAsia="en-GB"/>
              </w:rPr>
            </w:pPr>
          </w:p>
        </w:tc>
      </w:tr>
      <w:tr w:rsidR="00617F4F" w:rsidRPr="00617F4F" w14:paraId="6B1C45E6" w14:textId="77777777" w:rsidTr="0064763F">
        <w:trPr>
          <w:trHeight w:val="451"/>
        </w:trPr>
        <w:tc>
          <w:tcPr>
            <w:tcW w:w="4435" w:type="pct"/>
            <w:vMerge w:val="restart"/>
            <w:tcBorders>
              <w:top w:val="single" w:sz="4" w:space="0" w:color="auto"/>
              <w:left w:val="single" w:sz="4" w:space="0" w:color="auto"/>
              <w:right w:val="single" w:sz="4" w:space="0" w:color="auto"/>
            </w:tcBorders>
          </w:tcPr>
          <w:p w14:paraId="24241E0A" w14:textId="6A473BC4" w:rsidR="00617F4F" w:rsidRPr="00617F4F" w:rsidRDefault="00617F4F" w:rsidP="00EA4735">
            <w:pPr>
              <w:spacing w:after="120"/>
              <w:jc w:val="both"/>
              <w:rPr>
                <w:rFonts w:ascii="Calibri" w:eastAsia="Times New Roman" w:hAnsi="Calibri"/>
                <w:szCs w:val="14"/>
                <w:lang w:eastAsia="en-GB"/>
              </w:rPr>
            </w:pPr>
            <w:bookmarkStart w:id="14" w:name="feedbackPAD"/>
            <w:bookmarkEnd w:id="14"/>
            <w:r w:rsidRPr="00617F4F">
              <w:rPr>
                <w:rFonts w:ascii="Calibri" w:eastAsia="Times New Roman" w:hAnsi="Calibri"/>
                <w:szCs w:val="14"/>
                <w:lang w:eastAsia="en-GB"/>
              </w:rPr>
              <w:t xml:space="preserve">This area has demonstrated exceptional skills with design of: 1. Packet Tracer Network Simulated design of the proposed new company network. 2. AWS VPC Spoke. 3. BOYD-Cloud MDM Logic flow chart. 4. Data Security audit and architecture invoice. 5. The Management hierarchy diagram. 6. Risk Probability Matrix. 7. Logical Cloud Network Topology.  Nothing was left undone, every aspect of the case study was taken into consideration design and diagrammatically.  This could be </w:t>
            </w:r>
            <w:r w:rsidR="00EA4735" w:rsidRPr="00617F4F">
              <w:rPr>
                <w:rFonts w:ascii="Calibri" w:eastAsia="Times New Roman" w:hAnsi="Calibri"/>
                <w:szCs w:val="14"/>
                <w:lang w:eastAsia="en-GB"/>
              </w:rPr>
              <w:t>replicated</w:t>
            </w:r>
            <w:r w:rsidRPr="00617F4F">
              <w:rPr>
                <w:rFonts w:ascii="Calibri" w:eastAsia="Times New Roman" w:hAnsi="Calibri"/>
                <w:szCs w:val="14"/>
                <w:lang w:eastAsia="en-GB"/>
              </w:rPr>
              <w:t xml:space="preserve"> for a practical real-world company. (Grade mark: 100.00%)</w:t>
            </w:r>
          </w:p>
        </w:tc>
        <w:tc>
          <w:tcPr>
            <w:tcW w:w="283" w:type="pct"/>
            <w:tcBorders>
              <w:top w:val="single" w:sz="4" w:space="0" w:color="auto"/>
              <w:left w:val="single" w:sz="4" w:space="0" w:color="auto"/>
              <w:right w:val="single" w:sz="4" w:space="0" w:color="auto"/>
            </w:tcBorders>
          </w:tcPr>
          <w:p w14:paraId="18A12DA4" w14:textId="77777777" w:rsidR="00617F4F" w:rsidRPr="00617F4F" w:rsidRDefault="00617F4F" w:rsidP="00617F4F">
            <w:pPr>
              <w:rPr>
                <w:rFonts w:ascii="Calibri" w:eastAsia="Times New Roman" w:hAnsi="Calibri"/>
                <w:lang w:eastAsia="en-GB"/>
              </w:rPr>
            </w:pPr>
            <w:bookmarkStart w:id="15" w:name="totalPAD"/>
            <w:bookmarkEnd w:id="15"/>
            <w:r w:rsidRPr="00617F4F">
              <w:rPr>
                <w:rFonts w:ascii="Calibri" w:eastAsia="Times New Roman" w:hAnsi="Calibri"/>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7A60B568" w14:textId="77777777" w:rsidR="00617F4F" w:rsidRPr="00617F4F" w:rsidRDefault="00617F4F" w:rsidP="00617F4F">
            <w:pPr>
              <w:rPr>
                <w:rFonts w:ascii="Calibri" w:eastAsia="Times New Roman" w:hAnsi="Calibri"/>
                <w:lang w:eastAsia="en-GB"/>
              </w:rPr>
            </w:pPr>
            <w:bookmarkStart w:id="16" w:name="markPAD"/>
            <w:bookmarkEnd w:id="16"/>
            <w:r w:rsidRPr="00617F4F">
              <w:rPr>
                <w:rFonts w:ascii="Calibri" w:eastAsia="Times New Roman" w:hAnsi="Calibri"/>
                <w:lang w:eastAsia="en-GB"/>
              </w:rPr>
              <w:t>20</w:t>
            </w:r>
          </w:p>
        </w:tc>
      </w:tr>
      <w:tr w:rsidR="00617F4F" w:rsidRPr="00617F4F" w14:paraId="0149A08C" w14:textId="77777777" w:rsidTr="0064763F">
        <w:trPr>
          <w:trHeight w:val="450"/>
        </w:trPr>
        <w:tc>
          <w:tcPr>
            <w:tcW w:w="4435" w:type="pct"/>
            <w:vMerge/>
            <w:tcBorders>
              <w:left w:val="single" w:sz="4" w:space="0" w:color="auto"/>
              <w:bottom w:val="single" w:sz="4" w:space="0" w:color="auto"/>
              <w:right w:val="single" w:sz="4" w:space="0" w:color="auto"/>
            </w:tcBorders>
          </w:tcPr>
          <w:p w14:paraId="36B270C8" w14:textId="77777777" w:rsidR="00617F4F" w:rsidRPr="00617F4F" w:rsidRDefault="00617F4F" w:rsidP="00617F4F">
            <w:pPr>
              <w:jc w:val="left"/>
              <w:rPr>
                <w:rFonts w:ascii="Calibri" w:eastAsia="Times New Roman" w:hAnsi="Calibri"/>
                <w:b/>
                <w:sz w:val="16"/>
                <w:szCs w:val="16"/>
                <w:lang w:eastAsia="en-GB"/>
              </w:rPr>
            </w:pPr>
          </w:p>
        </w:tc>
        <w:tc>
          <w:tcPr>
            <w:tcW w:w="283" w:type="pct"/>
            <w:tcBorders>
              <w:left w:val="single" w:sz="4" w:space="0" w:color="auto"/>
              <w:bottom w:val="single" w:sz="4" w:space="0" w:color="auto"/>
              <w:right w:val="single" w:sz="4" w:space="0" w:color="auto"/>
            </w:tcBorders>
          </w:tcPr>
          <w:p w14:paraId="769D759B" w14:textId="77777777" w:rsidR="00617F4F" w:rsidRPr="00617F4F" w:rsidRDefault="00617F4F" w:rsidP="00617F4F">
            <w:pPr>
              <w:jc w:val="left"/>
              <w:rPr>
                <w:rFonts w:ascii="Calibri" w:eastAsia="Times New Roman" w:hAnsi="Calibri"/>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1B5AA0E" w14:textId="77777777" w:rsidR="00617F4F" w:rsidRPr="00617F4F" w:rsidRDefault="00617F4F" w:rsidP="00617F4F">
            <w:pPr>
              <w:rPr>
                <w:rFonts w:ascii="Calibri" w:eastAsia="Times New Roman" w:hAnsi="Calibri"/>
                <w:sz w:val="32"/>
                <w:lang w:eastAsia="en-GB"/>
              </w:rPr>
            </w:pPr>
          </w:p>
        </w:tc>
      </w:tr>
      <w:tr w:rsidR="00617F4F" w:rsidRPr="00617F4F" w14:paraId="04ACDFB9" w14:textId="77777777" w:rsidTr="0064763F">
        <w:trPr>
          <w:trHeight w:val="450"/>
        </w:trPr>
        <w:tc>
          <w:tcPr>
            <w:tcW w:w="4435" w:type="pct"/>
            <w:tcBorders>
              <w:top w:val="single" w:sz="4" w:space="0" w:color="auto"/>
              <w:left w:val="single" w:sz="4" w:space="0" w:color="auto"/>
              <w:right w:val="single" w:sz="4" w:space="0" w:color="auto"/>
            </w:tcBorders>
            <w:shd w:val="clear" w:color="auto" w:fill="D9D9D9"/>
          </w:tcPr>
          <w:p w14:paraId="00A0DCF3" w14:textId="77777777" w:rsidR="00617F4F" w:rsidRPr="00617F4F" w:rsidRDefault="00617F4F" w:rsidP="00617F4F">
            <w:pPr>
              <w:jc w:val="left"/>
              <w:rPr>
                <w:rFonts w:ascii="Calibri" w:eastAsia="Times New Roman" w:hAnsi="Calibri"/>
                <w:b/>
                <w:sz w:val="16"/>
                <w:szCs w:val="16"/>
                <w:lang w:eastAsia="en-GB"/>
              </w:rPr>
            </w:pPr>
            <w:r w:rsidRPr="00617F4F">
              <w:rPr>
                <w:rFonts w:ascii="Calibri" w:eastAsia="Times New Roman" w:hAnsi="Calibri"/>
                <w:b/>
                <w:szCs w:val="16"/>
                <w:lang w:eastAsia="en-GB"/>
              </w:rPr>
              <w:t xml:space="preserve">5. </w:t>
            </w:r>
            <w:r w:rsidRPr="00617F4F">
              <w:rPr>
                <w:rFonts w:ascii="Calibri" w:eastAsia="Times New Roman" w:hAnsi="Calibri"/>
                <w:b/>
                <w:lang w:eastAsia="en-GB"/>
              </w:rPr>
              <w:t>Transferable Skills for Life and Professional Practice</w:t>
            </w:r>
          </w:p>
          <w:p w14:paraId="364911B3" w14:textId="77777777" w:rsidR="00617F4F" w:rsidRPr="00617F4F" w:rsidRDefault="00617F4F" w:rsidP="00617F4F">
            <w:pPr>
              <w:spacing w:after="120"/>
              <w:jc w:val="left"/>
              <w:rPr>
                <w:rFonts w:ascii="Calibri" w:eastAsia="Times New Roman" w:hAnsi="Calibri"/>
                <w:sz w:val="14"/>
                <w:szCs w:val="14"/>
                <w:lang w:eastAsia="en-GB"/>
              </w:rPr>
            </w:pPr>
            <w:r w:rsidRPr="00617F4F">
              <w:rPr>
                <w:rFonts w:ascii="Calibri" w:eastAsia="Times New Roman" w:hAnsi="Calibri"/>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2C38C094" w14:textId="77777777" w:rsidR="00617F4F" w:rsidRPr="00617F4F" w:rsidRDefault="00617F4F" w:rsidP="00617F4F">
            <w:pPr>
              <w:rPr>
                <w:rFonts w:ascii="Calibri" w:eastAsia="Times New Roman" w:hAnsi="Calibri"/>
                <w:sz w:val="32"/>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840B001" w14:textId="77777777" w:rsidR="00617F4F" w:rsidRPr="00617F4F" w:rsidRDefault="00617F4F" w:rsidP="00617F4F">
            <w:pPr>
              <w:rPr>
                <w:rFonts w:ascii="Calibri" w:eastAsia="Times New Roman" w:hAnsi="Calibri"/>
                <w:sz w:val="32"/>
                <w:lang w:eastAsia="en-GB"/>
              </w:rPr>
            </w:pPr>
          </w:p>
        </w:tc>
      </w:tr>
      <w:tr w:rsidR="00617F4F" w:rsidRPr="00617F4F" w14:paraId="54731FD7" w14:textId="77777777" w:rsidTr="0064763F">
        <w:trPr>
          <w:trHeight w:val="451"/>
        </w:trPr>
        <w:tc>
          <w:tcPr>
            <w:tcW w:w="4435" w:type="pct"/>
            <w:vMerge w:val="restart"/>
            <w:tcBorders>
              <w:top w:val="single" w:sz="4" w:space="0" w:color="auto"/>
              <w:left w:val="single" w:sz="4" w:space="0" w:color="auto"/>
              <w:right w:val="single" w:sz="4" w:space="0" w:color="auto"/>
            </w:tcBorders>
          </w:tcPr>
          <w:p w14:paraId="770F6903" w14:textId="49CCB4EE" w:rsidR="00617F4F" w:rsidRPr="00617F4F" w:rsidRDefault="00617F4F" w:rsidP="00617F4F">
            <w:pPr>
              <w:spacing w:after="120"/>
              <w:jc w:val="left"/>
              <w:rPr>
                <w:rFonts w:ascii="Calibri" w:eastAsia="Times New Roman" w:hAnsi="Calibri"/>
                <w:szCs w:val="14"/>
                <w:lang w:eastAsia="en-GB"/>
              </w:rPr>
            </w:pPr>
            <w:bookmarkStart w:id="17" w:name="feedbackSPP"/>
            <w:bookmarkEnd w:id="17"/>
            <w:r w:rsidRPr="00617F4F">
              <w:rPr>
                <w:rFonts w:ascii="Calibri" w:eastAsia="Times New Roman" w:hAnsi="Calibri"/>
                <w:szCs w:val="14"/>
                <w:lang w:eastAsia="en-GB"/>
              </w:rPr>
              <w:t xml:space="preserve">Professionally done and flow excellently.  </w:t>
            </w:r>
            <w:r w:rsidR="00EA4735" w:rsidRPr="00617F4F">
              <w:rPr>
                <w:rFonts w:ascii="Calibri" w:eastAsia="Times New Roman" w:hAnsi="Calibri"/>
                <w:szCs w:val="14"/>
                <w:lang w:eastAsia="en-GB"/>
              </w:rPr>
              <w:t>Just</w:t>
            </w:r>
            <w:r w:rsidRPr="00617F4F">
              <w:rPr>
                <w:rFonts w:ascii="Calibri" w:eastAsia="Times New Roman" w:hAnsi="Calibri"/>
                <w:szCs w:val="14"/>
                <w:lang w:eastAsia="en-GB"/>
              </w:rPr>
              <w:t xml:space="preserve"> a few minor, see comment in the report. (Grade mark: 90.00%)</w:t>
            </w:r>
          </w:p>
        </w:tc>
        <w:tc>
          <w:tcPr>
            <w:tcW w:w="283" w:type="pct"/>
            <w:tcBorders>
              <w:top w:val="single" w:sz="4" w:space="0" w:color="auto"/>
              <w:left w:val="single" w:sz="4" w:space="0" w:color="auto"/>
              <w:right w:val="single" w:sz="4" w:space="0" w:color="auto"/>
            </w:tcBorders>
          </w:tcPr>
          <w:p w14:paraId="253C89C2" w14:textId="77777777" w:rsidR="00617F4F" w:rsidRPr="00617F4F" w:rsidRDefault="00617F4F" w:rsidP="00617F4F">
            <w:pPr>
              <w:rPr>
                <w:rFonts w:ascii="Calibri" w:eastAsia="Times New Roman" w:hAnsi="Calibri"/>
                <w:lang w:eastAsia="en-GB"/>
              </w:rPr>
            </w:pPr>
            <w:bookmarkStart w:id="18" w:name="totalSPP"/>
            <w:bookmarkEnd w:id="18"/>
            <w:r w:rsidRPr="00617F4F">
              <w:rPr>
                <w:rFonts w:ascii="Calibri" w:eastAsia="Times New Roman" w:hAnsi="Calibri"/>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1E7DA016" w14:textId="77777777" w:rsidR="00617F4F" w:rsidRPr="00617F4F" w:rsidRDefault="00617F4F" w:rsidP="00617F4F">
            <w:pPr>
              <w:rPr>
                <w:rFonts w:ascii="Calibri" w:eastAsia="Times New Roman" w:hAnsi="Calibri"/>
                <w:lang w:eastAsia="en-GB"/>
              </w:rPr>
            </w:pPr>
            <w:bookmarkStart w:id="19" w:name="markSPP"/>
            <w:bookmarkEnd w:id="19"/>
            <w:r w:rsidRPr="00617F4F">
              <w:rPr>
                <w:rFonts w:ascii="Calibri" w:eastAsia="Times New Roman" w:hAnsi="Calibri"/>
                <w:lang w:eastAsia="en-GB"/>
              </w:rPr>
              <w:t>9</w:t>
            </w:r>
          </w:p>
        </w:tc>
      </w:tr>
      <w:tr w:rsidR="00617F4F" w:rsidRPr="00617F4F" w14:paraId="701E7C82" w14:textId="77777777" w:rsidTr="0064763F">
        <w:trPr>
          <w:trHeight w:val="450"/>
        </w:trPr>
        <w:tc>
          <w:tcPr>
            <w:tcW w:w="4435" w:type="pct"/>
            <w:vMerge/>
            <w:tcBorders>
              <w:left w:val="single" w:sz="4" w:space="0" w:color="auto"/>
              <w:bottom w:val="single" w:sz="4" w:space="0" w:color="auto"/>
              <w:right w:val="single" w:sz="4" w:space="0" w:color="auto"/>
            </w:tcBorders>
          </w:tcPr>
          <w:p w14:paraId="5F996F9E" w14:textId="77777777" w:rsidR="00617F4F" w:rsidRPr="00617F4F" w:rsidRDefault="00617F4F" w:rsidP="00617F4F">
            <w:pPr>
              <w:jc w:val="left"/>
              <w:rPr>
                <w:rFonts w:ascii="Calibri" w:eastAsia="Times New Roman" w:hAnsi="Calibri"/>
                <w:b/>
                <w:szCs w:val="16"/>
                <w:lang w:eastAsia="en-GB"/>
              </w:rPr>
            </w:pPr>
          </w:p>
        </w:tc>
        <w:tc>
          <w:tcPr>
            <w:tcW w:w="283" w:type="pct"/>
            <w:tcBorders>
              <w:left w:val="single" w:sz="4" w:space="0" w:color="auto"/>
              <w:bottom w:val="single" w:sz="4" w:space="0" w:color="auto"/>
              <w:right w:val="single" w:sz="4" w:space="0" w:color="auto"/>
            </w:tcBorders>
          </w:tcPr>
          <w:p w14:paraId="1C5BEB8C" w14:textId="77777777" w:rsidR="00617F4F" w:rsidRPr="00617F4F" w:rsidRDefault="00617F4F" w:rsidP="00617F4F">
            <w:pPr>
              <w:jc w:val="left"/>
              <w:rPr>
                <w:rFonts w:ascii="Calibri" w:eastAsia="Times New Roman" w:hAnsi="Calibri"/>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D6829F6" w14:textId="77777777" w:rsidR="00617F4F" w:rsidRPr="00617F4F" w:rsidRDefault="00617F4F" w:rsidP="00617F4F">
            <w:pPr>
              <w:rPr>
                <w:rFonts w:ascii="Calibri" w:eastAsia="Times New Roman" w:hAnsi="Calibri"/>
                <w:lang w:eastAsia="en-GB"/>
              </w:rPr>
            </w:pPr>
          </w:p>
        </w:tc>
      </w:tr>
    </w:tbl>
    <w:p w14:paraId="5C9B85A1" w14:textId="77777777" w:rsidR="00617F4F" w:rsidRPr="00617F4F" w:rsidRDefault="00617F4F" w:rsidP="00617F4F">
      <w:pPr>
        <w:ind w:left="284" w:right="533"/>
        <w:contextualSpacing/>
        <w:jc w:val="left"/>
        <w:rPr>
          <w:rFonts w:ascii="Calibri" w:eastAsia="Times New Roman" w:hAnsi="Calibri"/>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617F4F" w:rsidRPr="00617F4F" w14:paraId="27C340DA" w14:textId="77777777" w:rsidTr="0064763F">
        <w:trPr>
          <w:cantSplit/>
        </w:trPr>
        <w:tc>
          <w:tcPr>
            <w:tcW w:w="6062" w:type="dxa"/>
            <w:vMerge w:val="restart"/>
            <w:shd w:val="pct15" w:color="auto" w:fill="auto"/>
            <w:vAlign w:val="center"/>
          </w:tcPr>
          <w:p w14:paraId="55625BCF" w14:textId="77777777" w:rsidR="00617F4F" w:rsidRPr="00617F4F" w:rsidRDefault="00617F4F" w:rsidP="00617F4F">
            <w:pPr>
              <w:jc w:val="left"/>
              <w:rPr>
                <w:rFonts w:ascii="Calibri" w:eastAsia="Times New Roman" w:hAnsi="Calibri"/>
                <w:sz w:val="16"/>
                <w:szCs w:val="16"/>
                <w:lang w:eastAsia="en-GB"/>
              </w:rPr>
            </w:pPr>
            <w:r w:rsidRPr="00617F4F">
              <w:rPr>
                <w:rFonts w:ascii="Calibri" w:eastAsia="Times New Roman" w:hAnsi="Calibri" w:cs="Arial"/>
                <w:b/>
                <w:bCs/>
                <w:sz w:val="22"/>
                <w:szCs w:val="22"/>
                <w:lang w:eastAsia="en-GB"/>
              </w:rPr>
              <w:t xml:space="preserve">Assignment Mark </w:t>
            </w:r>
            <w:r w:rsidRPr="00617F4F">
              <w:rPr>
                <w:rFonts w:ascii="Calibri" w:eastAsia="Times New Roman" w:hAnsi="Calibri" w:cs="Arial"/>
                <w:bCs/>
                <w:sz w:val="22"/>
                <w:szCs w:val="22"/>
                <w:lang w:eastAsia="en-GB"/>
              </w:rPr>
              <w:t>(</w:t>
            </w:r>
            <w:r w:rsidRPr="00617F4F">
              <w:rPr>
                <w:rFonts w:ascii="Calibri" w:eastAsia="Times New Roman" w:hAnsi="Calibri"/>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39690ABD" w14:textId="77777777" w:rsidR="00617F4F" w:rsidRPr="00617F4F" w:rsidRDefault="00617F4F" w:rsidP="00617F4F">
            <w:pPr>
              <w:jc w:val="left"/>
              <w:rPr>
                <w:rFonts w:ascii="Calibri" w:eastAsia="Times New Roman" w:hAnsi="Calibri" w:cs="Arial"/>
                <w:b/>
                <w:bCs/>
                <w:sz w:val="16"/>
                <w:szCs w:val="16"/>
                <w:lang w:eastAsia="en-GB"/>
              </w:rPr>
            </w:pPr>
            <w:r w:rsidRPr="00617F4F">
              <w:rPr>
                <w:rFonts w:ascii="Calibri" w:eastAsia="Times New Roman" w:hAnsi="Calibri" w:cs="Arial"/>
                <w:b/>
                <w:sz w:val="16"/>
                <w:szCs w:val="16"/>
                <w:lang w:eastAsia="en-GB"/>
              </w:rPr>
              <w:t>Late Submission Penalties (tick if appropriate)</w:t>
            </w:r>
          </w:p>
        </w:tc>
        <w:tc>
          <w:tcPr>
            <w:tcW w:w="1276" w:type="dxa"/>
            <w:vMerge w:val="restart"/>
            <w:vAlign w:val="center"/>
          </w:tcPr>
          <w:p w14:paraId="0DCDB5C7" w14:textId="77777777" w:rsidR="00617F4F" w:rsidRPr="00617F4F" w:rsidRDefault="00617F4F" w:rsidP="00617F4F">
            <w:pPr>
              <w:jc w:val="right"/>
              <w:rPr>
                <w:rFonts w:ascii="Calibri" w:eastAsia="Times New Roman" w:hAnsi="Calibri" w:cs="Arial"/>
                <w:b/>
                <w:bCs/>
                <w:lang w:eastAsia="en-GB"/>
              </w:rPr>
            </w:pPr>
            <w:bookmarkStart w:id="20" w:name="totalMark"/>
            <w:bookmarkEnd w:id="20"/>
            <w:r w:rsidRPr="00617F4F">
              <w:rPr>
                <w:rFonts w:ascii="Calibri" w:eastAsia="Times New Roman" w:hAnsi="Calibri" w:cs="Arial"/>
                <w:b/>
                <w:bCs/>
                <w:lang w:eastAsia="en-GB"/>
              </w:rPr>
              <w:t>92%</w:t>
            </w:r>
          </w:p>
        </w:tc>
      </w:tr>
      <w:tr w:rsidR="00617F4F" w:rsidRPr="00617F4F" w14:paraId="5C747FC6" w14:textId="77777777" w:rsidTr="0064763F">
        <w:trPr>
          <w:cantSplit/>
        </w:trPr>
        <w:tc>
          <w:tcPr>
            <w:tcW w:w="6062" w:type="dxa"/>
            <w:vMerge/>
            <w:vAlign w:val="bottom"/>
          </w:tcPr>
          <w:p w14:paraId="089BAF75" w14:textId="77777777" w:rsidR="00617F4F" w:rsidRPr="00617F4F" w:rsidRDefault="00617F4F" w:rsidP="00617F4F">
            <w:pPr>
              <w:jc w:val="left"/>
              <w:rPr>
                <w:rFonts w:ascii="Calibri" w:eastAsia="Times New Roman" w:hAnsi="Calibri" w:cs="Arial"/>
                <w:lang w:eastAsia="en-GB"/>
              </w:rPr>
            </w:pPr>
          </w:p>
        </w:tc>
        <w:tc>
          <w:tcPr>
            <w:tcW w:w="2903" w:type="dxa"/>
            <w:vAlign w:val="bottom"/>
          </w:tcPr>
          <w:p w14:paraId="57A6E130" w14:textId="77777777" w:rsidR="00617F4F" w:rsidRPr="00617F4F" w:rsidRDefault="00617F4F" w:rsidP="00617F4F">
            <w:pPr>
              <w:jc w:val="left"/>
              <w:rPr>
                <w:rFonts w:ascii="Calibri" w:eastAsia="Times New Roman" w:hAnsi="Calibri" w:cs="Arial"/>
                <w:b/>
                <w:bCs/>
                <w:sz w:val="16"/>
                <w:szCs w:val="16"/>
                <w:lang w:eastAsia="en-GB"/>
              </w:rPr>
            </w:pPr>
            <w:r w:rsidRPr="00617F4F">
              <w:rPr>
                <w:rFonts w:ascii="Calibri" w:eastAsia="Times New Roman" w:hAnsi="Calibri" w:cs="Arial"/>
                <w:sz w:val="16"/>
                <w:szCs w:val="16"/>
                <w:lang w:eastAsia="en-GB"/>
              </w:rPr>
              <w:t>Up to four weeks late</w:t>
            </w:r>
          </w:p>
        </w:tc>
        <w:tc>
          <w:tcPr>
            <w:tcW w:w="425" w:type="dxa"/>
            <w:vAlign w:val="bottom"/>
          </w:tcPr>
          <w:p w14:paraId="3819C56E" w14:textId="77777777" w:rsidR="00617F4F" w:rsidRPr="00617F4F" w:rsidRDefault="00617F4F" w:rsidP="00617F4F">
            <w:pPr>
              <w:rPr>
                <w:rFonts w:ascii="Calibri" w:eastAsia="Times New Roman" w:hAnsi="Calibri" w:cs="Arial"/>
                <w:sz w:val="12"/>
                <w:szCs w:val="12"/>
                <w:lang w:eastAsia="en-GB"/>
              </w:rPr>
            </w:pPr>
            <w:bookmarkStart w:id="21" w:name="fourWeeksLate"/>
            <w:bookmarkEnd w:id="21"/>
          </w:p>
        </w:tc>
        <w:tc>
          <w:tcPr>
            <w:tcW w:w="1276" w:type="dxa"/>
            <w:vMerge/>
            <w:vAlign w:val="bottom"/>
          </w:tcPr>
          <w:p w14:paraId="4FB7E261" w14:textId="77777777" w:rsidR="00617F4F" w:rsidRPr="00617F4F" w:rsidRDefault="00617F4F" w:rsidP="00617F4F">
            <w:pPr>
              <w:ind w:leftChars="71" w:left="142"/>
              <w:jc w:val="left"/>
              <w:rPr>
                <w:rFonts w:ascii="Calibri" w:eastAsia="Times New Roman" w:hAnsi="Calibri" w:cs="Arial"/>
                <w:lang w:eastAsia="en-GB"/>
              </w:rPr>
            </w:pPr>
          </w:p>
        </w:tc>
      </w:tr>
      <w:tr w:rsidR="00617F4F" w:rsidRPr="00617F4F" w14:paraId="354E430B" w14:textId="77777777" w:rsidTr="0064763F">
        <w:trPr>
          <w:cantSplit/>
        </w:trPr>
        <w:tc>
          <w:tcPr>
            <w:tcW w:w="6062" w:type="dxa"/>
            <w:vMerge/>
            <w:vAlign w:val="bottom"/>
          </w:tcPr>
          <w:p w14:paraId="7C56B547" w14:textId="77777777" w:rsidR="00617F4F" w:rsidRPr="00617F4F" w:rsidRDefault="00617F4F" w:rsidP="00617F4F">
            <w:pPr>
              <w:jc w:val="left"/>
              <w:rPr>
                <w:rFonts w:ascii="Calibri" w:eastAsia="Times New Roman" w:hAnsi="Calibri" w:cs="Arial"/>
                <w:lang w:eastAsia="en-GB"/>
              </w:rPr>
            </w:pPr>
          </w:p>
        </w:tc>
        <w:tc>
          <w:tcPr>
            <w:tcW w:w="2903" w:type="dxa"/>
            <w:vAlign w:val="bottom"/>
          </w:tcPr>
          <w:p w14:paraId="257569A5" w14:textId="77777777" w:rsidR="00617F4F" w:rsidRPr="00617F4F" w:rsidRDefault="00617F4F" w:rsidP="00617F4F">
            <w:pPr>
              <w:jc w:val="left"/>
              <w:rPr>
                <w:rFonts w:ascii="Calibri" w:eastAsia="Times New Roman" w:hAnsi="Calibri" w:cs="Arial"/>
                <w:b/>
                <w:bCs/>
                <w:sz w:val="16"/>
                <w:szCs w:val="16"/>
                <w:lang w:eastAsia="en-GB"/>
              </w:rPr>
            </w:pPr>
            <w:r w:rsidRPr="00617F4F">
              <w:rPr>
                <w:rFonts w:ascii="Calibri" w:eastAsia="Times New Roman" w:hAnsi="Calibri" w:cs="Arial"/>
                <w:sz w:val="16"/>
                <w:szCs w:val="16"/>
                <w:lang w:eastAsia="en-GB"/>
              </w:rPr>
              <w:t>First Attempt?</w:t>
            </w:r>
          </w:p>
        </w:tc>
        <w:tc>
          <w:tcPr>
            <w:tcW w:w="425" w:type="dxa"/>
            <w:vAlign w:val="bottom"/>
          </w:tcPr>
          <w:p w14:paraId="2462945E" w14:textId="77777777" w:rsidR="00617F4F" w:rsidRPr="00617F4F" w:rsidRDefault="00617F4F" w:rsidP="00617F4F">
            <w:pPr>
              <w:rPr>
                <w:rFonts w:ascii="Calibri" w:eastAsia="Times New Roman" w:hAnsi="Calibri" w:cs="Arial"/>
                <w:sz w:val="12"/>
                <w:szCs w:val="12"/>
                <w:lang w:eastAsia="en-GB"/>
              </w:rPr>
            </w:pPr>
            <w:bookmarkStart w:id="22" w:name="firstAttempt"/>
            <w:bookmarkEnd w:id="22"/>
          </w:p>
        </w:tc>
        <w:tc>
          <w:tcPr>
            <w:tcW w:w="1276" w:type="dxa"/>
            <w:vMerge/>
            <w:vAlign w:val="bottom"/>
          </w:tcPr>
          <w:p w14:paraId="74E2A12D" w14:textId="77777777" w:rsidR="00617F4F" w:rsidRPr="00617F4F" w:rsidRDefault="00617F4F" w:rsidP="00617F4F">
            <w:pPr>
              <w:ind w:firstLineChars="141" w:firstLine="282"/>
              <w:jc w:val="left"/>
              <w:rPr>
                <w:rFonts w:ascii="Calibri" w:eastAsia="Times New Roman" w:hAnsi="Calibri" w:cs="Arial"/>
                <w:lang w:eastAsia="en-GB"/>
              </w:rPr>
            </w:pPr>
          </w:p>
        </w:tc>
      </w:tr>
    </w:tbl>
    <w:p w14:paraId="166ED50A" w14:textId="77777777" w:rsidR="00617F4F" w:rsidRPr="00617F4F" w:rsidRDefault="00617F4F" w:rsidP="00617F4F">
      <w:pPr>
        <w:spacing w:after="200" w:line="276" w:lineRule="auto"/>
        <w:jc w:val="left"/>
        <w:rPr>
          <w:rFonts w:ascii="Calibri" w:eastAsia="Calibri" w:hAnsi="Calibri"/>
          <w:sz w:val="22"/>
          <w:szCs w:val="22"/>
        </w:rPr>
      </w:pPr>
    </w:p>
    <w:p w14:paraId="2E4D7989" w14:textId="05FFA3DB" w:rsidR="00671FEF" w:rsidRPr="00092C87" w:rsidRDefault="00671FEF" w:rsidP="003F457E">
      <w:pPr>
        <w:pStyle w:val="Caption"/>
        <w:rPr>
          <w:vertAlign w:val="subscript"/>
        </w:rPr>
      </w:pPr>
    </w:p>
    <w:sectPr w:rsidR="00671FEF" w:rsidRPr="00092C87" w:rsidSect="00C57238">
      <w:footerReference w:type="default" r:id="rId25"/>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Carlene Campbell" w:date="2020-02-16T21:42:00Z" w:initials="CC">
    <w:p w14:paraId="74239B7D" w14:textId="163D44A4" w:rsidR="00ED5F45" w:rsidRDefault="00ED5F4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In academic you don ot start a sentence with a conjunction such as because, and, but, etc.</w:t>
      </w:r>
    </w:p>
  </w:comment>
  <w:comment w:id="1" w:author="Carlene Campbell" w:date="2020-02-16T21:49:00Z" w:initials="CC">
    <w:p w14:paraId="05D0A748" w14:textId="77777777" w:rsidR="00ED5F45" w:rsidRDefault="00ED5F4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writing in the first person (use of ""I"", ""my"") in academic writing unless you are writing a reflective evaluation.</w:t>
      </w:r>
    </w:p>
    <w:p w14:paraId="2711413A" w14:textId="77777777" w:rsidR="00ED5F45" w:rsidRDefault="00ED5F45">
      <w:pPr>
        <w:pStyle w:val="CommentText"/>
      </w:pPr>
    </w:p>
    <w:p w14:paraId="477F03E5" w14:textId="0CFC67D6" w:rsidR="00ED5F45" w:rsidRDefault="00ED5F45">
      <w:pPr>
        <w:pStyle w:val="CommentText"/>
      </w:pPr>
      <w:r>
        <w:t>Reference(s):http://www.quickanddirtytips.com/education/grammar/first-second-and-third-person?page=all, http://www.wikihow.com/Write-in-Third-Person</w:t>
      </w:r>
    </w:p>
  </w:comment>
  <w:comment w:id="2" w:author="Carlene Campbell" w:date="2020-02-16T21:50:00Z" w:initials="CC">
    <w:p w14:paraId="4A284041" w14:textId="2FD097F3" w:rsidR="00ED5F45" w:rsidRDefault="00ED5F4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Spelling mistake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4239B7D" w15:done="0"/>
  <w15:commentEx w15:paraId="477F03E5" w15:done="0"/>
  <w15:commentEx w15:paraId="4A284041"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Liberation Sans">
    <w:altName w:val="Arial"/>
    <w:charset w:val="00"/>
    <w:family w:val="swiss"/>
    <w:pitch w:val="variable"/>
  </w:font>
  <w:font w:name="Noto Sans CJK SC">
    <w:charset w:val="00"/>
    <w:family w:val="auto"/>
    <w:pitch w:val="variable"/>
  </w:font>
  <w:font w:name="Lohit Devanagari">
    <w:altName w:val="Cambria"/>
    <w:charset w:val="00"/>
    <w:family w:val="auto"/>
    <w:pitch w:val="variable"/>
  </w:font>
  <w:font w:name="MS Mincho">
    <w:altName w:val="Yu Gothic UI"/>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EFA485" w14:textId="24C72092" w:rsidR="00C57238" w:rsidRDefault="00EA4735">
    <w:pPr>
      <w:pStyle w:val="Footer1"/>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24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24</w:t>
    </w:r>
    <w:r>
      <w:rPr>
        <w:b/>
        <w:sz w:val="24"/>
        <w:szCs w:val="24"/>
      </w:rPr>
      <w:fldChar w:fldCharType="end"/>
    </w:r>
  </w:p>
  <w:p w14:paraId="68874B85" w14:textId="77777777" w:rsidR="00C57238" w:rsidRDefault="00EA4735">
    <w:pPr>
      <w:pStyle w:val="Footer1"/>
      <w:jc w:val="right"/>
      <w:rPr>
        <w:sz w:val="16"/>
      </w:rPr>
    </w:pPr>
  </w:p>
</w:ft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E63A5"/>
    <w:multiLevelType w:val="hybridMultilevel"/>
    <w:tmpl w:val="BE5663D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49F7414"/>
    <w:multiLevelType w:val="multilevel"/>
    <w:tmpl w:val="B2DAE6F8"/>
    <w:lvl w:ilvl="0">
      <w:start w:val="1"/>
      <w:numFmt w:val="none"/>
      <w:lvlText w:val="i)"/>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b)"/>
      <w:lvlJc w:val="left"/>
      <w:pPr>
        <w:ind w:left="1080" w:hanging="360"/>
      </w:pPr>
      <w:rPr>
        <w:rFonts w:hint="default"/>
      </w:rPr>
    </w:lvl>
    <w:lvl w:ilvl="3">
      <w:start w:val="1"/>
      <w:numFmt w:val="none"/>
      <w:lvlText w:val="c)"/>
      <w:lvlJc w:val="left"/>
      <w:pPr>
        <w:ind w:left="1440" w:hanging="360"/>
      </w:pPr>
      <w:rPr>
        <w:rFonts w:hint="default"/>
      </w:rPr>
    </w:lvl>
    <w:lvl w:ilvl="4">
      <w:start w:val="1"/>
      <w:numFmt w:val="none"/>
      <w:lvlText w:val="d)"/>
      <w:lvlJc w:val="left"/>
      <w:pPr>
        <w:ind w:left="1800" w:hanging="360"/>
      </w:pPr>
      <w:rPr>
        <w:rFonts w:hint="default"/>
      </w:rPr>
    </w:lvl>
    <w:lvl w:ilvl="5">
      <w:start w:val="1"/>
      <w:numFmt w:val="none"/>
      <w:lvlText w:val="e)"/>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087E0C65"/>
    <w:multiLevelType w:val="hybridMultilevel"/>
    <w:tmpl w:val="54442F78"/>
    <w:lvl w:ilvl="0" w:tplc="0809000F">
      <w:start w:val="1"/>
      <w:numFmt w:val="decimal"/>
      <w:lvlText w:val="%1."/>
      <w:lvlJc w:val="left"/>
      <w:pPr>
        <w:ind w:left="360" w:hanging="360"/>
      </w:pPr>
      <w:rPr>
        <w:rFonts w:hint="default"/>
        <w:b w:val="0"/>
        <w:bCs w:val="0"/>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3BC4653"/>
    <w:multiLevelType w:val="hybridMultilevel"/>
    <w:tmpl w:val="3190F0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7563BE"/>
    <w:multiLevelType w:val="hybridMultilevel"/>
    <w:tmpl w:val="92E8600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64B66B0"/>
    <w:multiLevelType w:val="hybridMultilevel"/>
    <w:tmpl w:val="FB7C8B5A"/>
    <w:lvl w:ilvl="0" w:tplc="0809000F">
      <w:start w:val="1"/>
      <w:numFmt w:val="decimal"/>
      <w:lvlText w:val="%1."/>
      <w:lvlJc w:val="left"/>
      <w:pPr>
        <w:ind w:left="720" w:hanging="720"/>
      </w:pPr>
      <w:rPr>
        <w:rFonts w:hint="default"/>
      </w:rPr>
    </w:lvl>
    <w:lvl w:ilvl="1" w:tplc="08090019" w:tentative="1">
      <w:start w:val="1"/>
      <w:numFmt w:val="lowerLetter"/>
      <w:lvlText w:val="%2."/>
      <w:lvlJc w:val="left"/>
      <w:pPr>
        <w:ind w:left="360" w:hanging="360"/>
      </w:pPr>
    </w:lvl>
    <w:lvl w:ilvl="2" w:tplc="0809001B" w:tentative="1">
      <w:start w:val="1"/>
      <w:numFmt w:val="lowerRoman"/>
      <w:lvlText w:val="%3."/>
      <w:lvlJc w:val="right"/>
      <w:pPr>
        <w:ind w:left="1080" w:hanging="180"/>
      </w:pPr>
    </w:lvl>
    <w:lvl w:ilvl="3" w:tplc="0809000F" w:tentative="1">
      <w:start w:val="1"/>
      <w:numFmt w:val="decimal"/>
      <w:lvlText w:val="%4."/>
      <w:lvlJc w:val="left"/>
      <w:pPr>
        <w:ind w:left="1800" w:hanging="360"/>
      </w:pPr>
    </w:lvl>
    <w:lvl w:ilvl="4" w:tplc="08090019" w:tentative="1">
      <w:start w:val="1"/>
      <w:numFmt w:val="lowerLetter"/>
      <w:lvlText w:val="%5."/>
      <w:lvlJc w:val="left"/>
      <w:pPr>
        <w:ind w:left="2520" w:hanging="360"/>
      </w:pPr>
    </w:lvl>
    <w:lvl w:ilvl="5" w:tplc="0809001B" w:tentative="1">
      <w:start w:val="1"/>
      <w:numFmt w:val="lowerRoman"/>
      <w:lvlText w:val="%6."/>
      <w:lvlJc w:val="right"/>
      <w:pPr>
        <w:ind w:left="3240" w:hanging="180"/>
      </w:pPr>
    </w:lvl>
    <w:lvl w:ilvl="6" w:tplc="0809000F" w:tentative="1">
      <w:start w:val="1"/>
      <w:numFmt w:val="decimal"/>
      <w:lvlText w:val="%7."/>
      <w:lvlJc w:val="left"/>
      <w:pPr>
        <w:ind w:left="3960" w:hanging="360"/>
      </w:pPr>
    </w:lvl>
    <w:lvl w:ilvl="7" w:tplc="08090019" w:tentative="1">
      <w:start w:val="1"/>
      <w:numFmt w:val="lowerLetter"/>
      <w:lvlText w:val="%8."/>
      <w:lvlJc w:val="left"/>
      <w:pPr>
        <w:ind w:left="4680" w:hanging="360"/>
      </w:pPr>
    </w:lvl>
    <w:lvl w:ilvl="8" w:tplc="0809001B" w:tentative="1">
      <w:start w:val="1"/>
      <w:numFmt w:val="lowerRoman"/>
      <w:lvlText w:val="%9."/>
      <w:lvlJc w:val="right"/>
      <w:pPr>
        <w:ind w:left="5400" w:hanging="180"/>
      </w:pPr>
    </w:lvl>
  </w:abstractNum>
  <w:abstractNum w:abstractNumId="6" w15:restartNumberingAfterBreak="0">
    <w:nsid w:val="166B332D"/>
    <w:multiLevelType w:val="multilevel"/>
    <w:tmpl w:val="E0FCAB32"/>
    <w:lvl w:ilvl="0">
      <w:start w:val="2"/>
      <w:numFmt w:val="upperRoman"/>
      <w:lvlText w:val="%1."/>
      <w:lvlJc w:val="center"/>
      <w:pPr>
        <w:tabs>
          <w:tab w:val="num" w:pos="576"/>
        </w:tabs>
        <w:ind w:left="0" w:firstLine="216"/>
      </w:pPr>
      <w:rPr>
        <w:rFonts w:cs="Times New Roman" w:hint="default"/>
        <w:caps w:val="0"/>
        <w:smallCaps w:val="0"/>
        <w:strike w:val="0"/>
        <w:dstrike w:val="0"/>
        <w:vanish w:val="0"/>
        <w:color w:val="auto"/>
        <w:position w:val="0"/>
        <w:sz w:val="24"/>
        <w:szCs w:val="20"/>
        <w:vertAlign w:val="baseline"/>
      </w:rPr>
    </w:lvl>
    <w:lvl w:ilvl="1">
      <w:start w:val="1"/>
      <w:numFmt w:val="upperLetter"/>
      <w:lvlText w:val="%2."/>
      <w:lvlJc w:val="left"/>
      <w:pPr>
        <w:tabs>
          <w:tab w:val="num" w:pos="360"/>
        </w:tabs>
        <w:ind w:left="288" w:hanging="288"/>
      </w:pPr>
      <w:rPr>
        <w:rFonts w:cs="Times New Roman" w:hint="default"/>
        <w:b w:val="0"/>
        <w:bCs w:val="0"/>
        <w:i/>
        <w:iCs/>
        <w:caps w:val="0"/>
        <w:smallCaps w:val="0"/>
        <w:strike w:val="0"/>
        <w:dstrike w:val="0"/>
        <w:vanish w:val="0"/>
        <w:color w:val="auto"/>
        <w:position w:val="0"/>
        <w:sz w:val="20"/>
        <w:szCs w:val="20"/>
        <w:vertAlign w:val="baseline"/>
      </w:rPr>
    </w:lvl>
    <w:lvl w:ilvl="2">
      <w:start w:val="1"/>
      <w:numFmt w:val="decimal"/>
      <w:lvlText w:val="%3)"/>
      <w:lvlJc w:val="left"/>
      <w:pPr>
        <w:tabs>
          <w:tab w:val="num" w:pos="540"/>
        </w:tabs>
        <w:ind w:left="0" w:firstLine="180"/>
      </w:pPr>
      <w:rPr>
        <w:rFonts w:cs="Times New Roman" w:hint="default"/>
        <w:b w:val="0"/>
        <w:bCs w:val="0"/>
        <w:i/>
        <w:iCs/>
        <w:caps w:val="0"/>
        <w:smallCaps w:val="0"/>
        <w:strike w:val="0"/>
        <w:dstrike w:val="0"/>
        <w:vanish w:val="0"/>
        <w:color w:val="auto"/>
        <w:position w:val="0"/>
        <w:sz w:val="20"/>
        <w:szCs w:val="20"/>
        <w:vertAlign w:val="baseline"/>
      </w:rPr>
    </w:lvl>
    <w:lvl w:ilvl="3">
      <w:start w:val="1"/>
      <w:numFmt w:val="lowerLetter"/>
      <w:lvlText w:val="%4)"/>
      <w:lvlJc w:val="left"/>
      <w:pPr>
        <w:tabs>
          <w:tab w:val="num" w:pos="630"/>
        </w:tabs>
        <w:ind w:left="0" w:firstLine="360"/>
      </w:pPr>
      <w:rPr>
        <w:rFonts w:cs="Times New Roman" w:hint="default"/>
        <w:b w:val="0"/>
        <w:bCs w:val="0"/>
        <w:i w:val="0"/>
        <w:iCs w:val="0"/>
        <w:sz w:val="20"/>
        <w:szCs w:val="20"/>
      </w:rPr>
    </w:lvl>
    <w:lvl w:ilvl="4">
      <w:start w:val="1"/>
      <w:numFmt w:val="none"/>
      <w:suff w:val="nothing"/>
      <w:lvlText w:val=""/>
      <w:lvlJc w:val="left"/>
      <w:pPr>
        <w:ind w:left="2880" w:firstLine="0"/>
      </w:pPr>
      <w:rPr>
        <w:rFonts w:cs="Times New Roman" w:hint="default"/>
      </w:rPr>
    </w:lvl>
    <w:lvl w:ilvl="5">
      <w:start w:val="1"/>
      <w:numFmt w:val="lowerLetter"/>
      <w:lvlText w:val="(%6)"/>
      <w:lvlJc w:val="left"/>
      <w:pPr>
        <w:tabs>
          <w:tab w:val="num" w:pos="3960"/>
        </w:tabs>
        <w:ind w:left="3600" w:firstLine="0"/>
      </w:pPr>
      <w:rPr>
        <w:rFonts w:cs="Times New Roman" w:hint="default"/>
      </w:rPr>
    </w:lvl>
    <w:lvl w:ilvl="6">
      <w:start w:val="1"/>
      <w:numFmt w:val="lowerRoman"/>
      <w:lvlText w:val="(%7)"/>
      <w:lvlJc w:val="left"/>
      <w:pPr>
        <w:tabs>
          <w:tab w:val="num" w:pos="4680"/>
        </w:tabs>
        <w:ind w:left="4320" w:firstLine="0"/>
      </w:pPr>
      <w:rPr>
        <w:rFonts w:cs="Times New Roman" w:hint="default"/>
      </w:rPr>
    </w:lvl>
    <w:lvl w:ilvl="7">
      <w:start w:val="1"/>
      <w:numFmt w:val="lowerLetter"/>
      <w:lvlText w:val="(%8)"/>
      <w:lvlJc w:val="left"/>
      <w:pPr>
        <w:tabs>
          <w:tab w:val="num" w:pos="5400"/>
        </w:tabs>
        <w:ind w:left="5040" w:firstLine="0"/>
      </w:pPr>
      <w:rPr>
        <w:rFonts w:cs="Times New Roman" w:hint="default"/>
      </w:rPr>
    </w:lvl>
    <w:lvl w:ilvl="8">
      <w:start w:val="1"/>
      <w:numFmt w:val="lowerRoman"/>
      <w:lvlText w:val="(%9)"/>
      <w:lvlJc w:val="left"/>
      <w:pPr>
        <w:tabs>
          <w:tab w:val="num" w:pos="6120"/>
        </w:tabs>
        <w:ind w:left="5760" w:firstLine="0"/>
      </w:pPr>
      <w:rPr>
        <w:rFonts w:cs="Times New Roman" w:hint="default"/>
      </w:rPr>
    </w:lvl>
  </w:abstractNum>
  <w:abstractNum w:abstractNumId="7" w15:restartNumberingAfterBreak="0">
    <w:nsid w:val="1CD2643A"/>
    <w:multiLevelType w:val="multilevel"/>
    <w:tmpl w:val="AFA8455C"/>
    <w:lvl w:ilvl="0">
      <w:start w:val="1"/>
      <w:numFmt w:val="upperRoman"/>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1CD67085"/>
    <w:multiLevelType w:val="multilevel"/>
    <w:tmpl w:val="EDB4A0CA"/>
    <w:lvl w:ilvl="0">
      <w:start w:val="1"/>
      <w:numFmt w:val="upperRoman"/>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239303A2"/>
    <w:multiLevelType w:val="hybridMultilevel"/>
    <w:tmpl w:val="F8F0B110"/>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AEB4428"/>
    <w:multiLevelType w:val="hybridMultilevel"/>
    <w:tmpl w:val="E9A6330A"/>
    <w:lvl w:ilvl="0" w:tplc="08090019">
      <w:start w:val="1"/>
      <w:numFmt w:val="lowerLetter"/>
      <w:lvlText w:val="%1."/>
      <w:lvlJc w:val="left"/>
      <w:pPr>
        <w:ind w:left="575" w:hanging="360"/>
      </w:pPr>
    </w:lvl>
    <w:lvl w:ilvl="1" w:tplc="08090019" w:tentative="1">
      <w:start w:val="1"/>
      <w:numFmt w:val="lowerLetter"/>
      <w:lvlText w:val="%2."/>
      <w:lvlJc w:val="left"/>
      <w:pPr>
        <w:ind w:left="1295" w:hanging="360"/>
      </w:pPr>
    </w:lvl>
    <w:lvl w:ilvl="2" w:tplc="0809001B" w:tentative="1">
      <w:start w:val="1"/>
      <w:numFmt w:val="lowerRoman"/>
      <w:lvlText w:val="%3."/>
      <w:lvlJc w:val="right"/>
      <w:pPr>
        <w:ind w:left="2015" w:hanging="180"/>
      </w:pPr>
    </w:lvl>
    <w:lvl w:ilvl="3" w:tplc="0809000F" w:tentative="1">
      <w:start w:val="1"/>
      <w:numFmt w:val="decimal"/>
      <w:lvlText w:val="%4."/>
      <w:lvlJc w:val="left"/>
      <w:pPr>
        <w:ind w:left="2735" w:hanging="360"/>
      </w:pPr>
    </w:lvl>
    <w:lvl w:ilvl="4" w:tplc="08090019" w:tentative="1">
      <w:start w:val="1"/>
      <w:numFmt w:val="lowerLetter"/>
      <w:lvlText w:val="%5."/>
      <w:lvlJc w:val="left"/>
      <w:pPr>
        <w:ind w:left="3455" w:hanging="360"/>
      </w:pPr>
    </w:lvl>
    <w:lvl w:ilvl="5" w:tplc="0809001B" w:tentative="1">
      <w:start w:val="1"/>
      <w:numFmt w:val="lowerRoman"/>
      <w:lvlText w:val="%6."/>
      <w:lvlJc w:val="right"/>
      <w:pPr>
        <w:ind w:left="4175" w:hanging="180"/>
      </w:pPr>
    </w:lvl>
    <w:lvl w:ilvl="6" w:tplc="0809000F" w:tentative="1">
      <w:start w:val="1"/>
      <w:numFmt w:val="decimal"/>
      <w:lvlText w:val="%7."/>
      <w:lvlJc w:val="left"/>
      <w:pPr>
        <w:ind w:left="4895" w:hanging="360"/>
      </w:pPr>
    </w:lvl>
    <w:lvl w:ilvl="7" w:tplc="08090019" w:tentative="1">
      <w:start w:val="1"/>
      <w:numFmt w:val="lowerLetter"/>
      <w:lvlText w:val="%8."/>
      <w:lvlJc w:val="left"/>
      <w:pPr>
        <w:ind w:left="5615" w:hanging="360"/>
      </w:pPr>
    </w:lvl>
    <w:lvl w:ilvl="8" w:tplc="0809001B" w:tentative="1">
      <w:start w:val="1"/>
      <w:numFmt w:val="lowerRoman"/>
      <w:lvlText w:val="%9."/>
      <w:lvlJc w:val="right"/>
      <w:pPr>
        <w:ind w:left="6335" w:hanging="180"/>
      </w:pPr>
    </w:lvl>
  </w:abstractNum>
  <w:abstractNum w:abstractNumId="11" w15:restartNumberingAfterBreak="0">
    <w:nsid w:val="2AED7484"/>
    <w:multiLevelType w:val="hybridMultilevel"/>
    <w:tmpl w:val="741E0F2A"/>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14379C"/>
    <w:multiLevelType w:val="hybridMultilevel"/>
    <w:tmpl w:val="02B2BBC4"/>
    <w:lvl w:ilvl="0" w:tplc="08090013">
      <w:start w:val="1"/>
      <w:numFmt w:val="upp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F202127"/>
    <w:multiLevelType w:val="hybridMultilevel"/>
    <w:tmpl w:val="FE06E4C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2F6B6576"/>
    <w:multiLevelType w:val="hybridMultilevel"/>
    <w:tmpl w:val="6A187FF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31DE6086"/>
    <w:multiLevelType w:val="hybridMultilevel"/>
    <w:tmpl w:val="6248ED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7AB6350"/>
    <w:multiLevelType w:val="hybridMultilevel"/>
    <w:tmpl w:val="27A086C4"/>
    <w:lvl w:ilvl="0" w:tplc="42E4749C">
      <w:start w:val="6"/>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390E1270"/>
    <w:multiLevelType w:val="hybridMultilevel"/>
    <w:tmpl w:val="EAE614B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3FB95076"/>
    <w:multiLevelType w:val="hybridMultilevel"/>
    <w:tmpl w:val="57C6A0E6"/>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0D61AE4"/>
    <w:multiLevelType w:val="multilevel"/>
    <w:tmpl w:val="C6CAD782"/>
    <w:lvl w:ilvl="0">
      <w:start w:val="1"/>
      <w:numFmt w:val="upperRoman"/>
      <w:lvlText w:val="%1."/>
      <w:lvlJc w:val="center"/>
      <w:pPr>
        <w:tabs>
          <w:tab w:val="num" w:pos="576"/>
        </w:tabs>
        <w:ind w:left="0" w:firstLine="216"/>
      </w:pPr>
      <w:rPr>
        <w:rFonts w:cs="Times New Roman"/>
        <w:caps w:val="0"/>
        <w:smallCaps w:val="0"/>
        <w:strike w:val="0"/>
        <w:dstrike w:val="0"/>
        <w:vanish w:val="0"/>
        <w:color w:val="auto"/>
        <w:position w:val="0"/>
        <w:sz w:val="24"/>
        <w:szCs w:val="20"/>
        <w:vertAlign w:val="baseline"/>
      </w:rPr>
    </w:lvl>
    <w:lvl w:ilvl="1">
      <w:start w:val="1"/>
      <w:numFmt w:val="upperLetter"/>
      <w:lvlText w:val="%2."/>
      <w:lvlJc w:val="left"/>
      <w:pPr>
        <w:tabs>
          <w:tab w:val="num" w:pos="360"/>
        </w:tabs>
        <w:ind w:left="288" w:hanging="288"/>
      </w:pPr>
      <w:rPr>
        <w:rFonts w:cs="Times New Roman"/>
        <w:b w:val="0"/>
        <w:bCs w:val="0"/>
        <w:i/>
        <w:iCs/>
        <w:caps w:val="0"/>
        <w:smallCaps w:val="0"/>
        <w:strike w:val="0"/>
        <w:dstrike w:val="0"/>
        <w:vanish w:val="0"/>
        <w:color w:val="auto"/>
        <w:position w:val="0"/>
        <w:sz w:val="20"/>
        <w:szCs w:val="20"/>
        <w:vertAlign w:val="baseline"/>
      </w:rPr>
    </w:lvl>
    <w:lvl w:ilvl="2">
      <w:start w:val="1"/>
      <w:numFmt w:val="decimal"/>
      <w:lvlText w:val="%3)"/>
      <w:lvlJc w:val="left"/>
      <w:pPr>
        <w:tabs>
          <w:tab w:val="num" w:pos="540"/>
        </w:tabs>
        <w:ind w:left="0" w:firstLine="180"/>
      </w:pPr>
      <w:rPr>
        <w:rFonts w:cs="Times New Roman"/>
        <w:b w:val="0"/>
        <w:bCs w:val="0"/>
        <w:i/>
        <w:iCs/>
        <w:caps w:val="0"/>
        <w:smallCaps w:val="0"/>
        <w:strike w:val="0"/>
        <w:dstrike w:val="0"/>
        <w:vanish w:val="0"/>
        <w:color w:val="auto"/>
        <w:position w:val="0"/>
        <w:sz w:val="20"/>
        <w:szCs w:val="20"/>
        <w:vertAlign w:val="baseline"/>
      </w:rPr>
    </w:lvl>
    <w:lvl w:ilvl="3">
      <w:start w:val="1"/>
      <w:numFmt w:val="lowerLetter"/>
      <w:lvlText w:val="%4)"/>
      <w:lvlJc w:val="left"/>
      <w:pPr>
        <w:tabs>
          <w:tab w:val="num" w:pos="630"/>
        </w:tabs>
        <w:ind w:left="0" w:firstLine="360"/>
      </w:pPr>
      <w:rPr>
        <w:rFonts w:cs="Times New Roman"/>
        <w:b w:val="0"/>
        <w:bCs w:val="0"/>
        <w:i/>
        <w:iCs/>
        <w:sz w:val="20"/>
        <w:szCs w:val="20"/>
      </w:rPr>
    </w:lvl>
    <w:lvl w:ilvl="4">
      <w:start w:val="1"/>
      <w:numFmt w:val="none"/>
      <w:suff w:val="nothing"/>
      <w:lvlText w:val=""/>
      <w:lvlJc w:val="left"/>
      <w:pPr>
        <w:ind w:left="2880" w:firstLine="0"/>
      </w:pPr>
      <w:rPr>
        <w:rFonts w:cs="Times New Roman"/>
      </w:rPr>
    </w:lvl>
    <w:lvl w:ilvl="5">
      <w:start w:val="1"/>
      <w:numFmt w:val="lowerLetter"/>
      <w:lvlText w:val="(%6)"/>
      <w:lvlJc w:val="left"/>
      <w:pPr>
        <w:tabs>
          <w:tab w:val="num" w:pos="3960"/>
        </w:tabs>
        <w:ind w:left="3600" w:firstLine="0"/>
      </w:pPr>
      <w:rPr>
        <w:rFonts w:cs="Times New Roman"/>
      </w:rPr>
    </w:lvl>
    <w:lvl w:ilvl="6">
      <w:start w:val="1"/>
      <w:numFmt w:val="lowerRoman"/>
      <w:lvlText w:val="(%7)"/>
      <w:lvlJc w:val="left"/>
      <w:pPr>
        <w:tabs>
          <w:tab w:val="num" w:pos="4680"/>
        </w:tabs>
        <w:ind w:left="4320" w:firstLine="0"/>
      </w:pPr>
      <w:rPr>
        <w:rFonts w:cs="Times New Roman"/>
      </w:rPr>
    </w:lvl>
    <w:lvl w:ilvl="7">
      <w:start w:val="1"/>
      <w:numFmt w:val="lowerLetter"/>
      <w:lvlText w:val="(%8)"/>
      <w:lvlJc w:val="left"/>
      <w:pPr>
        <w:tabs>
          <w:tab w:val="num" w:pos="5400"/>
        </w:tabs>
        <w:ind w:left="5040" w:firstLine="0"/>
      </w:pPr>
      <w:rPr>
        <w:rFonts w:cs="Times New Roman"/>
      </w:rPr>
    </w:lvl>
    <w:lvl w:ilvl="8">
      <w:start w:val="1"/>
      <w:numFmt w:val="lowerRoman"/>
      <w:lvlText w:val="(%9)"/>
      <w:lvlJc w:val="left"/>
      <w:pPr>
        <w:tabs>
          <w:tab w:val="num" w:pos="6120"/>
        </w:tabs>
        <w:ind w:left="5760" w:firstLine="0"/>
      </w:pPr>
      <w:rPr>
        <w:rFonts w:cs="Times New Roman"/>
      </w:rPr>
    </w:lvl>
  </w:abstractNum>
  <w:abstractNum w:abstractNumId="20" w15:restartNumberingAfterBreak="0">
    <w:nsid w:val="4A835429"/>
    <w:multiLevelType w:val="multilevel"/>
    <w:tmpl w:val="5F3CFC24"/>
    <w:lvl w:ilvl="0">
      <w:start w:val="2"/>
      <w:numFmt w:val="upperRoman"/>
      <w:lvlText w:val="%1."/>
      <w:lvlJc w:val="center"/>
      <w:pPr>
        <w:tabs>
          <w:tab w:val="num" w:pos="576"/>
        </w:tabs>
        <w:ind w:left="0" w:firstLine="216"/>
      </w:pPr>
      <w:rPr>
        <w:rFonts w:cs="Times New Roman" w:hint="default"/>
        <w:caps w:val="0"/>
        <w:smallCaps w:val="0"/>
        <w:strike w:val="0"/>
        <w:dstrike w:val="0"/>
        <w:vanish w:val="0"/>
        <w:color w:val="auto"/>
        <w:position w:val="0"/>
        <w:sz w:val="24"/>
        <w:szCs w:val="20"/>
        <w:vertAlign w:val="baseline"/>
      </w:rPr>
    </w:lvl>
    <w:lvl w:ilvl="1">
      <w:start w:val="1"/>
      <w:numFmt w:val="upperLetter"/>
      <w:lvlText w:val="%2."/>
      <w:lvlJc w:val="left"/>
      <w:pPr>
        <w:tabs>
          <w:tab w:val="num" w:pos="360"/>
        </w:tabs>
        <w:ind w:left="288" w:hanging="288"/>
      </w:pPr>
      <w:rPr>
        <w:rFonts w:cs="Times New Roman" w:hint="default"/>
        <w:b w:val="0"/>
        <w:bCs w:val="0"/>
        <w:i/>
        <w:iCs/>
        <w:caps w:val="0"/>
        <w:smallCaps w:val="0"/>
        <w:strike w:val="0"/>
        <w:dstrike w:val="0"/>
        <w:vanish w:val="0"/>
        <w:color w:val="auto"/>
        <w:position w:val="0"/>
        <w:sz w:val="20"/>
        <w:szCs w:val="20"/>
        <w:vertAlign w:val="baseline"/>
      </w:rPr>
    </w:lvl>
    <w:lvl w:ilvl="2">
      <w:start w:val="1"/>
      <w:numFmt w:val="decimal"/>
      <w:lvlText w:val="%3)"/>
      <w:lvlJc w:val="left"/>
      <w:pPr>
        <w:tabs>
          <w:tab w:val="num" w:pos="540"/>
        </w:tabs>
        <w:ind w:left="0" w:firstLine="180"/>
      </w:pPr>
      <w:rPr>
        <w:rFonts w:cs="Times New Roman" w:hint="default"/>
        <w:b w:val="0"/>
        <w:bCs w:val="0"/>
        <w:i/>
        <w:iCs/>
        <w:caps w:val="0"/>
        <w:smallCaps w:val="0"/>
        <w:strike w:val="0"/>
        <w:dstrike w:val="0"/>
        <w:vanish w:val="0"/>
        <w:color w:val="auto"/>
        <w:position w:val="0"/>
        <w:sz w:val="20"/>
        <w:szCs w:val="20"/>
        <w:vertAlign w:val="baseline"/>
      </w:rPr>
    </w:lvl>
    <w:lvl w:ilvl="3">
      <w:start w:val="2"/>
      <w:numFmt w:val="lowerLetter"/>
      <w:lvlText w:val="%4)"/>
      <w:lvlJc w:val="left"/>
      <w:pPr>
        <w:tabs>
          <w:tab w:val="num" w:pos="630"/>
        </w:tabs>
        <w:ind w:left="0" w:firstLine="360"/>
      </w:pPr>
      <w:rPr>
        <w:rFonts w:cs="Times New Roman" w:hint="default"/>
        <w:b w:val="0"/>
        <w:bCs w:val="0"/>
        <w:i w:val="0"/>
        <w:iCs w:val="0"/>
        <w:sz w:val="20"/>
        <w:szCs w:val="20"/>
      </w:rPr>
    </w:lvl>
    <w:lvl w:ilvl="4">
      <w:start w:val="1"/>
      <w:numFmt w:val="none"/>
      <w:suff w:val="nothing"/>
      <w:lvlText w:val=""/>
      <w:lvlJc w:val="left"/>
      <w:pPr>
        <w:ind w:left="2880" w:firstLine="0"/>
      </w:pPr>
      <w:rPr>
        <w:rFonts w:cs="Times New Roman" w:hint="default"/>
      </w:rPr>
    </w:lvl>
    <w:lvl w:ilvl="5">
      <w:start w:val="1"/>
      <w:numFmt w:val="lowerLetter"/>
      <w:lvlText w:val="(%6)"/>
      <w:lvlJc w:val="left"/>
      <w:pPr>
        <w:tabs>
          <w:tab w:val="num" w:pos="3960"/>
        </w:tabs>
        <w:ind w:left="3600" w:firstLine="0"/>
      </w:pPr>
      <w:rPr>
        <w:rFonts w:cs="Times New Roman" w:hint="default"/>
      </w:rPr>
    </w:lvl>
    <w:lvl w:ilvl="6">
      <w:start w:val="1"/>
      <w:numFmt w:val="lowerRoman"/>
      <w:lvlText w:val="(%7)"/>
      <w:lvlJc w:val="left"/>
      <w:pPr>
        <w:tabs>
          <w:tab w:val="num" w:pos="4680"/>
        </w:tabs>
        <w:ind w:left="4320" w:firstLine="0"/>
      </w:pPr>
      <w:rPr>
        <w:rFonts w:cs="Times New Roman" w:hint="default"/>
      </w:rPr>
    </w:lvl>
    <w:lvl w:ilvl="7">
      <w:start w:val="1"/>
      <w:numFmt w:val="lowerLetter"/>
      <w:lvlText w:val="(%8)"/>
      <w:lvlJc w:val="left"/>
      <w:pPr>
        <w:tabs>
          <w:tab w:val="num" w:pos="5400"/>
        </w:tabs>
        <w:ind w:left="5040" w:firstLine="0"/>
      </w:pPr>
      <w:rPr>
        <w:rFonts w:cs="Times New Roman" w:hint="default"/>
      </w:rPr>
    </w:lvl>
    <w:lvl w:ilvl="8">
      <w:start w:val="1"/>
      <w:numFmt w:val="lowerRoman"/>
      <w:lvlText w:val="(%9)"/>
      <w:lvlJc w:val="left"/>
      <w:pPr>
        <w:tabs>
          <w:tab w:val="num" w:pos="6120"/>
        </w:tabs>
        <w:ind w:left="5760" w:firstLine="0"/>
      </w:pPr>
      <w:rPr>
        <w:rFonts w:cs="Times New Roman" w:hint="default"/>
      </w:rPr>
    </w:lvl>
  </w:abstractNum>
  <w:abstractNum w:abstractNumId="21" w15:restartNumberingAfterBreak="0">
    <w:nsid w:val="50017F65"/>
    <w:multiLevelType w:val="multilevel"/>
    <w:tmpl w:val="29E21B9C"/>
    <w:lvl w:ilvl="0">
      <w:start w:val="1"/>
      <w:numFmt w:val="upperRoman"/>
      <w:pStyle w:val="Heading1"/>
      <w:lvlText w:val="%1."/>
      <w:lvlJc w:val="center"/>
      <w:pPr>
        <w:tabs>
          <w:tab w:val="num" w:pos="576"/>
        </w:tabs>
        <w:ind w:left="0" w:firstLine="216"/>
      </w:pPr>
      <w:rPr>
        <w:rFonts w:cs="Times New Roman"/>
        <w:caps w:val="0"/>
        <w:smallCaps w:val="0"/>
        <w:strike w:val="0"/>
        <w:dstrike w:val="0"/>
        <w:vanish w:val="0"/>
        <w:color w:val="auto"/>
        <w:position w:val="0"/>
        <w:sz w:val="24"/>
        <w:szCs w:val="20"/>
        <w:vertAlign w:val="baseline"/>
      </w:rPr>
    </w:lvl>
    <w:lvl w:ilvl="1">
      <w:start w:val="1"/>
      <w:numFmt w:val="upperLetter"/>
      <w:pStyle w:val="Heading2"/>
      <w:lvlText w:val="%2."/>
      <w:lvlJc w:val="left"/>
      <w:pPr>
        <w:tabs>
          <w:tab w:val="num" w:pos="360"/>
        </w:tabs>
        <w:ind w:left="288" w:hanging="288"/>
      </w:pPr>
      <w:rPr>
        <w:rFonts w:cs="Times New Roman"/>
        <w:b w:val="0"/>
        <w:bCs w:val="0"/>
        <w:i/>
        <w:iCs/>
        <w:caps w:val="0"/>
        <w:smallCaps w:val="0"/>
        <w:strike w:val="0"/>
        <w:dstrike w:val="0"/>
        <w:vanish w:val="0"/>
        <w:color w:val="auto"/>
        <w:position w:val="0"/>
        <w:sz w:val="20"/>
        <w:szCs w:val="20"/>
        <w:vertAlign w:val="baseline"/>
      </w:rPr>
    </w:lvl>
    <w:lvl w:ilvl="2">
      <w:start w:val="1"/>
      <w:numFmt w:val="decimal"/>
      <w:pStyle w:val="Heading3"/>
      <w:lvlText w:val="%3)"/>
      <w:lvlJc w:val="left"/>
      <w:pPr>
        <w:tabs>
          <w:tab w:val="num" w:pos="540"/>
        </w:tabs>
        <w:ind w:left="0" w:firstLine="180"/>
      </w:pPr>
      <w:rPr>
        <w:rFonts w:cs="Times New Roman"/>
        <w:b w:val="0"/>
        <w:bCs w:val="0"/>
        <w:i/>
        <w:iCs/>
        <w:caps w:val="0"/>
        <w:smallCaps w:val="0"/>
        <w:strike w:val="0"/>
        <w:dstrike w:val="0"/>
        <w:vanish w:val="0"/>
        <w:color w:val="auto"/>
        <w:position w:val="0"/>
        <w:sz w:val="20"/>
        <w:szCs w:val="20"/>
        <w:vertAlign w:val="baseline"/>
      </w:rPr>
    </w:lvl>
    <w:lvl w:ilvl="3">
      <w:start w:val="1"/>
      <w:numFmt w:val="lowerLetter"/>
      <w:pStyle w:val="Heading4"/>
      <w:lvlText w:val="%4)"/>
      <w:lvlJc w:val="left"/>
      <w:pPr>
        <w:tabs>
          <w:tab w:val="num" w:pos="630"/>
        </w:tabs>
        <w:ind w:left="0" w:firstLine="360"/>
      </w:pPr>
      <w:rPr>
        <w:rFonts w:cs="Times New Roman"/>
        <w:b w:val="0"/>
        <w:bCs w:val="0"/>
        <w:i/>
        <w:iCs/>
        <w:sz w:val="20"/>
        <w:szCs w:val="20"/>
      </w:r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2" w15:restartNumberingAfterBreak="0">
    <w:nsid w:val="55D50B41"/>
    <w:multiLevelType w:val="hybridMultilevel"/>
    <w:tmpl w:val="FE06E4C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5C2E0C33"/>
    <w:multiLevelType w:val="multilevel"/>
    <w:tmpl w:val="E0FCAB32"/>
    <w:lvl w:ilvl="0">
      <w:start w:val="2"/>
      <w:numFmt w:val="upperRoman"/>
      <w:lvlText w:val="%1."/>
      <w:lvlJc w:val="center"/>
      <w:pPr>
        <w:tabs>
          <w:tab w:val="num" w:pos="576"/>
        </w:tabs>
        <w:ind w:left="0" w:firstLine="216"/>
      </w:pPr>
      <w:rPr>
        <w:rFonts w:cs="Times New Roman" w:hint="default"/>
        <w:caps w:val="0"/>
        <w:smallCaps w:val="0"/>
        <w:strike w:val="0"/>
        <w:dstrike w:val="0"/>
        <w:vanish w:val="0"/>
        <w:color w:val="auto"/>
        <w:position w:val="0"/>
        <w:sz w:val="24"/>
        <w:szCs w:val="20"/>
        <w:vertAlign w:val="baseline"/>
      </w:rPr>
    </w:lvl>
    <w:lvl w:ilvl="1">
      <w:start w:val="1"/>
      <w:numFmt w:val="upperLetter"/>
      <w:lvlText w:val="%2."/>
      <w:lvlJc w:val="left"/>
      <w:pPr>
        <w:tabs>
          <w:tab w:val="num" w:pos="360"/>
        </w:tabs>
        <w:ind w:left="288" w:hanging="288"/>
      </w:pPr>
      <w:rPr>
        <w:rFonts w:cs="Times New Roman" w:hint="default"/>
        <w:b w:val="0"/>
        <w:bCs w:val="0"/>
        <w:i/>
        <w:iCs/>
        <w:caps w:val="0"/>
        <w:smallCaps w:val="0"/>
        <w:strike w:val="0"/>
        <w:dstrike w:val="0"/>
        <w:vanish w:val="0"/>
        <w:color w:val="auto"/>
        <w:position w:val="0"/>
        <w:sz w:val="20"/>
        <w:szCs w:val="20"/>
        <w:vertAlign w:val="baseline"/>
      </w:rPr>
    </w:lvl>
    <w:lvl w:ilvl="2">
      <w:start w:val="1"/>
      <w:numFmt w:val="decimal"/>
      <w:lvlText w:val="%3)"/>
      <w:lvlJc w:val="left"/>
      <w:pPr>
        <w:tabs>
          <w:tab w:val="num" w:pos="540"/>
        </w:tabs>
        <w:ind w:left="0" w:firstLine="180"/>
      </w:pPr>
      <w:rPr>
        <w:rFonts w:cs="Times New Roman" w:hint="default"/>
        <w:b w:val="0"/>
        <w:bCs w:val="0"/>
        <w:i/>
        <w:iCs/>
        <w:caps w:val="0"/>
        <w:smallCaps w:val="0"/>
        <w:strike w:val="0"/>
        <w:dstrike w:val="0"/>
        <w:vanish w:val="0"/>
        <w:color w:val="auto"/>
        <w:position w:val="0"/>
        <w:sz w:val="20"/>
        <w:szCs w:val="20"/>
        <w:vertAlign w:val="baseline"/>
      </w:rPr>
    </w:lvl>
    <w:lvl w:ilvl="3">
      <w:start w:val="1"/>
      <w:numFmt w:val="lowerLetter"/>
      <w:lvlText w:val="%4)"/>
      <w:lvlJc w:val="left"/>
      <w:pPr>
        <w:tabs>
          <w:tab w:val="num" w:pos="630"/>
        </w:tabs>
        <w:ind w:left="0" w:firstLine="360"/>
      </w:pPr>
      <w:rPr>
        <w:rFonts w:cs="Times New Roman" w:hint="default"/>
        <w:b w:val="0"/>
        <w:bCs w:val="0"/>
        <w:i w:val="0"/>
        <w:iCs w:val="0"/>
        <w:sz w:val="20"/>
        <w:szCs w:val="20"/>
      </w:rPr>
    </w:lvl>
    <w:lvl w:ilvl="4">
      <w:start w:val="1"/>
      <w:numFmt w:val="none"/>
      <w:suff w:val="nothing"/>
      <w:lvlText w:val=""/>
      <w:lvlJc w:val="left"/>
      <w:pPr>
        <w:ind w:left="2880" w:firstLine="0"/>
      </w:pPr>
      <w:rPr>
        <w:rFonts w:cs="Times New Roman" w:hint="default"/>
      </w:rPr>
    </w:lvl>
    <w:lvl w:ilvl="5">
      <w:start w:val="1"/>
      <w:numFmt w:val="lowerLetter"/>
      <w:lvlText w:val="(%6)"/>
      <w:lvlJc w:val="left"/>
      <w:pPr>
        <w:tabs>
          <w:tab w:val="num" w:pos="3960"/>
        </w:tabs>
        <w:ind w:left="3600" w:firstLine="0"/>
      </w:pPr>
      <w:rPr>
        <w:rFonts w:cs="Times New Roman" w:hint="default"/>
      </w:rPr>
    </w:lvl>
    <w:lvl w:ilvl="6">
      <w:start w:val="1"/>
      <w:numFmt w:val="lowerRoman"/>
      <w:lvlText w:val="(%7)"/>
      <w:lvlJc w:val="left"/>
      <w:pPr>
        <w:tabs>
          <w:tab w:val="num" w:pos="4680"/>
        </w:tabs>
        <w:ind w:left="4320" w:firstLine="0"/>
      </w:pPr>
      <w:rPr>
        <w:rFonts w:cs="Times New Roman" w:hint="default"/>
      </w:rPr>
    </w:lvl>
    <w:lvl w:ilvl="7">
      <w:start w:val="1"/>
      <w:numFmt w:val="lowerLetter"/>
      <w:lvlText w:val="(%8)"/>
      <w:lvlJc w:val="left"/>
      <w:pPr>
        <w:tabs>
          <w:tab w:val="num" w:pos="5400"/>
        </w:tabs>
        <w:ind w:left="5040" w:firstLine="0"/>
      </w:pPr>
      <w:rPr>
        <w:rFonts w:cs="Times New Roman" w:hint="default"/>
      </w:rPr>
    </w:lvl>
    <w:lvl w:ilvl="8">
      <w:start w:val="1"/>
      <w:numFmt w:val="lowerRoman"/>
      <w:lvlText w:val="(%9)"/>
      <w:lvlJc w:val="left"/>
      <w:pPr>
        <w:tabs>
          <w:tab w:val="num" w:pos="6120"/>
        </w:tabs>
        <w:ind w:left="5760" w:firstLine="0"/>
      </w:pPr>
      <w:rPr>
        <w:rFonts w:cs="Times New Roman" w:hint="default"/>
      </w:rPr>
    </w:lvl>
  </w:abstractNum>
  <w:abstractNum w:abstractNumId="24" w15:restartNumberingAfterBreak="0">
    <w:nsid w:val="672E0B12"/>
    <w:multiLevelType w:val="hybridMultilevel"/>
    <w:tmpl w:val="BE5663D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6EBA2C5D"/>
    <w:multiLevelType w:val="hybridMultilevel"/>
    <w:tmpl w:val="B1E4FA6E"/>
    <w:lvl w:ilvl="0" w:tplc="0809000F">
      <w:start w:val="1"/>
      <w:numFmt w:val="decimal"/>
      <w:lvlText w:val="%1."/>
      <w:lvlJc w:val="left"/>
      <w:pPr>
        <w:ind w:left="575" w:hanging="360"/>
      </w:pPr>
    </w:lvl>
    <w:lvl w:ilvl="1" w:tplc="08090019" w:tentative="1">
      <w:start w:val="1"/>
      <w:numFmt w:val="lowerLetter"/>
      <w:lvlText w:val="%2."/>
      <w:lvlJc w:val="left"/>
      <w:pPr>
        <w:ind w:left="1295" w:hanging="360"/>
      </w:pPr>
    </w:lvl>
    <w:lvl w:ilvl="2" w:tplc="0809001B" w:tentative="1">
      <w:start w:val="1"/>
      <w:numFmt w:val="lowerRoman"/>
      <w:lvlText w:val="%3."/>
      <w:lvlJc w:val="right"/>
      <w:pPr>
        <w:ind w:left="2015" w:hanging="180"/>
      </w:pPr>
    </w:lvl>
    <w:lvl w:ilvl="3" w:tplc="0809000F" w:tentative="1">
      <w:start w:val="1"/>
      <w:numFmt w:val="decimal"/>
      <w:lvlText w:val="%4."/>
      <w:lvlJc w:val="left"/>
      <w:pPr>
        <w:ind w:left="2735" w:hanging="360"/>
      </w:pPr>
    </w:lvl>
    <w:lvl w:ilvl="4" w:tplc="08090019" w:tentative="1">
      <w:start w:val="1"/>
      <w:numFmt w:val="lowerLetter"/>
      <w:lvlText w:val="%5."/>
      <w:lvlJc w:val="left"/>
      <w:pPr>
        <w:ind w:left="3455" w:hanging="360"/>
      </w:pPr>
    </w:lvl>
    <w:lvl w:ilvl="5" w:tplc="0809001B" w:tentative="1">
      <w:start w:val="1"/>
      <w:numFmt w:val="lowerRoman"/>
      <w:lvlText w:val="%6."/>
      <w:lvlJc w:val="right"/>
      <w:pPr>
        <w:ind w:left="4175" w:hanging="180"/>
      </w:pPr>
    </w:lvl>
    <w:lvl w:ilvl="6" w:tplc="0809000F" w:tentative="1">
      <w:start w:val="1"/>
      <w:numFmt w:val="decimal"/>
      <w:lvlText w:val="%7."/>
      <w:lvlJc w:val="left"/>
      <w:pPr>
        <w:ind w:left="4895" w:hanging="360"/>
      </w:pPr>
    </w:lvl>
    <w:lvl w:ilvl="7" w:tplc="08090019" w:tentative="1">
      <w:start w:val="1"/>
      <w:numFmt w:val="lowerLetter"/>
      <w:lvlText w:val="%8."/>
      <w:lvlJc w:val="left"/>
      <w:pPr>
        <w:ind w:left="5615" w:hanging="360"/>
      </w:pPr>
    </w:lvl>
    <w:lvl w:ilvl="8" w:tplc="0809001B" w:tentative="1">
      <w:start w:val="1"/>
      <w:numFmt w:val="lowerRoman"/>
      <w:lvlText w:val="%9."/>
      <w:lvlJc w:val="right"/>
      <w:pPr>
        <w:ind w:left="6335" w:hanging="180"/>
      </w:pPr>
    </w:lvl>
  </w:abstractNum>
  <w:abstractNum w:abstractNumId="26" w15:restartNumberingAfterBreak="0">
    <w:nsid w:val="7167511C"/>
    <w:multiLevelType w:val="hybridMultilevel"/>
    <w:tmpl w:val="D778B426"/>
    <w:lvl w:ilvl="0" w:tplc="26723FBE">
      <w:start w:val="1"/>
      <w:numFmt w:val="upperRoman"/>
      <w:lvlText w:val="%1."/>
      <w:lvlJc w:val="right"/>
      <w:pPr>
        <w:ind w:left="108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7" w15:restartNumberingAfterBreak="0">
    <w:nsid w:val="77C06555"/>
    <w:multiLevelType w:val="hybridMultilevel"/>
    <w:tmpl w:val="B9685CB4"/>
    <w:lvl w:ilvl="0" w:tplc="C5DE81AA">
      <w:start w:val="1"/>
      <w:numFmt w:val="decimal"/>
      <w:lvlText w:val="%1)"/>
      <w:lvlJc w:val="left"/>
      <w:pPr>
        <w:ind w:left="720" w:hanging="360"/>
      </w:pPr>
      <w:rPr>
        <w:rFonts w:hint="default"/>
        <w:b w:val="0"/>
        <w:bCs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AD109E1"/>
    <w:multiLevelType w:val="hybridMultilevel"/>
    <w:tmpl w:val="6C84A6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7F313EE3"/>
    <w:multiLevelType w:val="hybridMultilevel"/>
    <w:tmpl w:val="A42EEA6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7F4D6ED8"/>
    <w:multiLevelType w:val="hybridMultilevel"/>
    <w:tmpl w:val="6910FF90"/>
    <w:lvl w:ilvl="0" w:tplc="1A069AD8">
      <w:start w:val="5"/>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1"/>
  </w:num>
  <w:num w:numId="2">
    <w:abstractNumId w:val="19"/>
  </w:num>
  <w:num w:numId="3">
    <w:abstractNumId w:val="7"/>
  </w:num>
  <w:num w:numId="4">
    <w:abstractNumId w:val="8"/>
  </w:num>
  <w:num w:numId="5">
    <w:abstractNumId w:val="6"/>
  </w:num>
  <w:num w:numId="6">
    <w:abstractNumId w:val="17"/>
  </w:num>
  <w:num w:numId="7">
    <w:abstractNumId w:val="22"/>
  </w:num>
  <w:num w:numId="8">
    <w:abstractNumId w:val="9"/>
  </w:num>
  <w:num w:numId="9">
    <w:abstractNumId w:val="16"/>
  </w:num>
  <w:num w:numId="10">
    <w:abstractNumId w:val="5"/>
  </w:num>
  <w:num w:numId="11">
    <w:abstractNumId w:val="13"/>
  </w:num>
  <w:num w:numId="12">
    <w:abstractNumId w:val="3"/>
  </w:num>
  <w:num w:numId="13">
    <w:abstractNumId w:val="18"/>
  </w:num>
  <w:num w:numId="14">
    <w:abstractNumId w:val="11"/>
  </w:num>
  <w:num w:numId="15">
    <w:abstractNumId w:val="26"/>
  </w:num>
  <w:num w:numId="16">
    <w:abstractNumId w:val="14"/>
  </w:num>
  <w:num w:numId="17">
    <w:abstractNumId w:val="1"/>
  </w:num>
  <w:num w:numId="18">
    <w:abstractNumId w:val="0"/>
  </w:num>
  <w:num w:numId="19">
    <w:abstractNumId w:val="4"/>
  </w:num>
  <w:num w:numId="20">
    <w:abstractNumId w:val="10"/>
  </w:num>
  <w:num w:numId="21">
    <w:abstractNumId w:val="25"/>
  </w:num>
  <w:num w:numId="22">
    <w:abstractNumId w:val="28"/>
  </w:num>
  <w:num w:numId="23">
    <w:abstractNumId w:val="20"/>
  </w:num>
  <w:num w:numId="24">
    <w:abstractNumId w:val="27"/>
  </w:num>
  <w:num w:numId="25">
    <w:abstractNumId w:val="12"/>
  </w:num>
  <w:num w:numId="26">
    <w:abstractNumId w:val="15"/>
  </w:num>
  <w:num w:numId="27">
    <w:abstractNumId w:val="24"/>
  </w:num>
  <w:num w:numId="28">
    <w:abstractNumId w:val="30"/>
  </w:num>
  <w:num w:numId="29">
    <w:abstractNumId w:val="2"/>
  </w:num>
  <w:num w:numId="30">
    <w:abstractNumId w:val="29"/>
  </w:num>
  <w:num w:numId="31">
    <w:abstractNumId w:val="23"/>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arlene Campbell">
    <w15:presenceInfo w15:providerId="AD" w15:userId="S-1-5-21-809251214-2178901256-4152538893-253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embedSystemFonts/>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7A47"/>
    <w:rsid w:val="00000B5D"/>
    <w:rsid w:val="0000172C"/>
    <w:rsid w:val="00001936"/>
    <w:rsid w:val="00001F57"/>
    <w:rsid w:val="000037CA"/>
    <w:rsid w:val="00004D49"/>
    <w:rsid w:val="00005698"/>
    <w:rsid w:val="000063B2"/>
    <w:rsid w:val="00015CE4"/>
    <w:rsid w:val="000218FC"/>
    <w:rsid w:val="00025700"/>
    <w:rsid w:val="000426D2"/>
    <w:rsid w:val="00044742"/>
    <w:rsid w:val="00046568"/>
    <w:rsid w:val="00050B9F"/>
    <w:rsid w:val="00053A59"/>
    <w:rsid w:val="000546C0"/>
    <w:rsid w:val="00055F07"/>
    <w:rsid w:val="000640C9"/>
    <w:rsid w:val="00071CE3"/>
    <w:rsid w:val="00072F47"/>
    <w:rsid w:val="0007672E"/>
    <w:rsid w:val="00077705"/>
    <w:rsid w:val="00081818"/>
    <w:rsid w:val="00091A9C"/>
    <w:rsid w:val="00092C87"/>
    <w:rsid w:val="00093C9E"/>
    <w:rsid w:val="00093E6F"/>
    <w:rsid w:val="000943E6"/>
    <w:rsid w:val="000947B5"/>
    <w:rsid w:val="000A121A"/>
    <w:rsid w:val="000A2E1A"/>
    <w:rsid w:val="000A58FE"/>
    <w:rsid w:val="000A5CEF"/>
    <w:rsid w:val="000A6D79"/>
    <w:rsid w:val="000B1C8D"/>
    <w:rsid w:val="000B21EB"/>
    <w:rsid w:val="000B4BCE"/>
    <w:rsid w:val="000B7340"/>
    <w:rsid w:val="000C10AE"/>
    <w:rsid w:val="000C5CF3"/>
    <w:rsid w:val="000C757C"/>
    <w:rsid w:val="000C7EAC"/>
    <w:rsid w:val="000E2151"/>
    <w:rsid w:val="000E42F2"/>
    <w:rsid w:val="000E6389"/>
    <w:rsid w:val="000E6CEE"/>
    <w:rsid w:val="000F2CF6"/>
    <w:rsid w:val="001000FB"/>
    <w:rsid w:val="00102360"/>
    <w:rsid w:val="0010542A"/>
    <w:rsid w:val="00107370"/>
    <w:rsid w:val="0011420B"/>
    <w:rsid w:val="00114527"/>
    <w:rsid w:val="00120810"/>
    <w:rsid w:val="0012549C"/>
    <w:rsid w:val="00127CA9"/>
    <w:rsid w:val="00127D4D"/>
    <w:rsid w:val="001375BF"/>
    <w:rsid w:val="00141123"/>
    <w:rsid w:val="001433FE"/>
    <w:rsid w:val="001460FB"/>
    <w:rsid w:val="00146816"/>
    <w:rsid w:val="001512B2"/>
    <w:rsid w:val="001517E6"/>
    <w:rsid w:val="00157D76"/>
    <w:rsid w:val="0016006A"/>
    <w:rsid w:val="00172BBE"/>
    <w:rsid w:val="00182C11"/>
    <w:rsid w:val="00183712"/>
    <w:rsid w:val="00190701"/>
    <w:rsid w:val="001A60BF"/>
    <w:rsid w:val="001B4C6C"/>
    <w:rsid w:val="001B4FAD"/>
    <w:rsid w:val="001C2A58"/>
    <w:rsid w:val="001D56D4"/>
    <w:rsid w:val="001D6CC3"/>
    <w:rsid w:val="001E0F73"/>
    <w:rsid w:val="001E5029"/>
    <w:rsid w:val="001E7088"/>
    <w:rsid w:val="001F1936"/>
    <w:rsid w:val="001F1B06"/>
    <w:rsid w:val="001F4C28"/>
    <w:rsid w:val="001F533C"/>
    <w:rsid w:val="001F5DAA"/>
    <w:rsid w:val="001F5E1E"/>
    <w:rsid w:val="001F64AA"/>
    <w:rsid w:val="001F736A"/>
    <w:rsid w:val="001F770A"/>
    <w:rsid w:val="00207C46"/>
    <w:rsid w:val="00212088"/>
    <w:rsid w:val="00213507"/>
    <w:rsid w:val="00222536"/>
    <w:rsid w:val="002225FA"/>
    <w:rsid w:val="00223F83"/>
    <w:rsid w:val="002271E7"/>
    <w:rsid w:val="00231788"/>
    <w:rsid w:val="002420B1"/>
    <w:rsid w:val="00244DBA"/>
    <w:rsid w:val="00251230"/>
    <w:rsid w:val="00254562"/>
    <w:rsid w:val="002573EA"/>
    <w:rsid w:val="002630B7"/>
    <w:rsid w:val="00264A8B"/>
    <w:rsid w:val="002668AB"/>
    <w:rsid w:val="00267254"/>
    <w:rsid w:val="00267C3B"/>
    <w:rsid w:val="002702BE"/>
    <w:rsid w:val="00270A8A"/>
    <w:rsid w:val="0028173A"/>
    <w:rsid w:val="00283B5A"/>
    <w:rsid w:val="00287E39"/>
    <w:rsid w:val="00295DD1"/>
    <w:rsid w:val="002A53A1"/>
    <w:rsid w:val="002B23B2"/>
    <w:rsid w:val="002B3BB7"/>
    <w:rsid w:val="002B74BF"/>
    <w:rsid w:val="002C0CC3"/>
    <w:rsid w:val="002C1298"/>
    <w:rsid w:val="002C13FE"/>
    <w:rsid w:val="002C14AA"/>
    <w:rsid w:val="002C4D00"/>
    <w:rsid w:val="002C51C2"/>
    <w:rsid w:val="002C6EBA"/>
    <w:rsid w:val="002D1A46"/>
    <w:rsid w:val="002D1ACB"/>
    <w:rsid w:val="002E0330"/>
    <w:rsid w:val="002E65AA"/>
    <w:rsid w:val="002E69DE"/>
    <w:rsid w:val="002E6AED"/>
    <w:rsid w:val="002E6FEA"/>
    <w:rsid w:val="002E7F21"/>
    <w:rsid w:val="002F12BD"/>
    <w:rsid w:val="002F37F2"/>
    <w:rsid w:val="002F78E9"/>
    <w:rsid w:val="00300449"/>
    <w:rsid w:val="003011D2"/>
    <w:rsid w:val="003040D9"/>
    <w:rsid w:val="00313D38"/>
    <w:rsid w:val="003165EA"/>
    <w:rsid w:val="00316E05"/>
    <w:rsid w:val="0032433B"/>
    <w:rsid w:val="00327815"/>
    <w:rsid w:val="00327D8B"/>
    <w:rsid w:val="00332CD5"/>
    <w:rsid w:val="00347B47"/>
    <w:rsid w:val="0035160C"/>
    <w:rsid w:val="00351B6C"/>
    <w:rsid w:val="00351C99"/>
    <w:rsid w:val="00352CE3"/>
    <w:rsid w:val="0035498F"/>
    <w:rsid w:val="00355188"/>
    <w:rsid w:val="0035660E"/>
    <w:rsid w:val="0036737D"/>
    <w:rsid w:val="0036751B"/>
    <w:rsid w:val="00367B24"/>
    <w:rsid w:val="00370A6B"/>
    <w:rsid w:val="00373011"/>
    <w:rsid w:val="0037769C"/>
    <w:rsid w:val="0038013D"/>
    <w:rsid w:val="0038176D"/>
    <w:rsid w:val="00381EA7"/>
    <w:rsid w:val="00381FC4"/>
    <w:rsid w:val="00382E8A"/>
    <w:rsid w:val="00387812"/>
    <w:rsid w:val="00390266"/>
    <w:rsid w:val="003937B9"/>
    <w:rsid w:val="00393DCE"/>
    <w:rsid w:val="003945AA"/>
    <w:rsid w:val="00394FE7"/>
    <w:rsid w:val="00395AF8"/>
    <w:rsid w:val="003A0129"/>
    <w:rsid w:val="003B3084"/>
    <w:rsid w:val="003B3F47"/>
    <w:rsid w:val="003B44C2"/>
    <w:rsid w:val="003B559E"/>
    <w:rsid w:val="003B5994"/>
    <w:rsid w:val="003C4356"/>
    <w:rsid w:val="003E0E1C"/>
    <w:rsid w:val="003E27C4"/>
    <w:rsid w:val="003F11CD"/>
    <w:rsid w:val="003F2417"/>
    <w:rsid w:val="003F2E27"/>
    <w:rsid w:val="003F457E"/>
    <w:rsid w:val="00412BAD"/>
    <w:rsid w:val="004141ED"/>
    <w:rsid w:val="00417877"/>
    <w:rsid w:val="004207EE"/>
    <w:rsid w:val="00420858"/>
    <w:rsid w:val="004223C8"/>
    <w:rsid w:val="00423135"/>
    <w:rsid w:val="00425AB8"/>
    <w:rsid w:val="00432300"/>
    <w:rsid w:val="00432D18"/>
    <w:rsid w:val="004332D6"/>
    <w:rsid w:val="004434BE"/>
    <w:rsid w:val="00444349"/>
    <w:rsid w:val="00445842"/>
    <w:rsid w:val="00446CB4"/>
    <w:rsid w:val="00452AE1"/>
    <w:rsid w:val="004539BB"/>
    <w:rsid w:val="00455BEB"/>
    <w:rsid w:val="004609CB"/>
    <w:rsid w:val="00464189"/>
    <w:rsid w:val="00464996"/>
    <w:rsid w:val="00465298"/>
    <w:rsid w:val="004678CF"/>
    <w:rsid w:val="0047071D"/>
    <w:rsid w:val="00472E2E"/>
    <w:rsid w:val="004730D7"/>
    <w:rsid w:val="00475E96"/>
    <w:rsid w:val="00477DBD"/>
    <w:rsid w:val="00483C9E"/>
    <w:rsid w:val="00484134"/>
    <w:rsid w:val="00486239"/>
    <w:rsid w:val="004863A7"/>
    <w:rsid w:val="0048769F"/>
    <w:rsid w:val="00490B23"/>
    <w:rsid w:val="00493761"/>
    <w:rsid w:val="004948E4"/>
    <w:rsid w:val="00497807"/>
    <w:rsid w:val="00497D6D"/>
    <w:rsid w:val="00497F10"/>
    <w:rsid w:val="004A1E4A"/>
    <w:rsid w:val="004A1F1A"/>
    <w:rsid w:val="004A4563"/>
    <w:rsid w:val="004A4D73"/>
    <w:rsid w:val="004A6912"/>
    <w:rsid w:val="004B1D38"/>
    <w:rsid w:val="004B533E"/>
    <w:rsid w:val="004B7D27"/>
    <w:rsid w:val="004C26EE"/>
    <w:rsid w:val="004D0D41"/>
    <w:rsid w:val="004D2761"/>
    <w:rsid w:val="004D5AD6"/>
    <w:rsid w:val="004E06C1"/>
    <w:rsid w:val="004E2C61"/>
    <w:rsid w:val="004E3202"/>
    <w:rsid w:val="004F019F"/>
    <w:rsid w:val="004F4528"/>
    <w:rsid w:val="00500A0C"/>
    <w:rsid w:val="00503958"/>
    <w:rsid w:val="00517BB2"/>
    <w:rsid w:val="00524D33"/>
    <w:rsid w:val="005344CC"/>
    <w:rsid w:val="005368B2"/>
    <w:rsid w:val="0054202D"/>
    <w:rsid w:val="00542F6D"/>
    <w:rsid w:val="00546518"/>
    <w:rsid w:val="005472A8"/>
    <w:rsid w:val="005505C5"/>
    <w:rsid w:val="0055287E"/>
    <w:rsid w:val="00554CAD"/>
    <w:rsid w:val="005628BA"/>
    <w:rsid w:val="005638A8"/>
    <w:rsid w:val="00564962"/>
    <w:rsid w:val="00566D31"/>
    <w:rsid w:val="00570B0D"/>
    <w:rsid w:val="00570ECA"/>
    <w:rsid w:val="0057107A"/>
    <w:rsid w:val="00572072"/>
    <w:rsid w:val="00573895"/>
    <w:rsid w:val="00580A59"/>
    <w:rsid w:val="0058537D"/>
    <w:rsid w:val="00587C2C"/>
    <w:rsid w:val="0059254E"/>
    <w:rsid w:val="00595245"/>
    <w:rsid w:val="005964CF"/>
    <w:rsid w:val="00596624"/>
    <w:rsid w:val="005A26EE"/>
    <w:rsid w:val="005A26F8"/>
    <w:rsid w:val="005B4237"/>
    <w:rsid w:val="005B5769"/>
    <w:rsid w:val="005B751D"/>
    <w:rsid w:val="005C33E8"/>
    <w:rsid w:val="005C497A"/>
    <w:rsid w:val="005C608B"/>
    <w:rsid w:val="005C7C29"/>
    <w:rsid w:val="005D37BD"/>
    <w:rsid w:val="005D72C5"/>
    <w:rsid w:val="005D7F95"/>
    <w:rsid w:val="005E624C"/>
    <w:rsid w:val="005E7311"/>
    <w:rsid w:val="005F41B1"/>
    <w:rsid w:val="005F4745"/>
    <w:rsid w:val="00600814"/>
    <w:rsid w:val="0060185E"/>
    <w:rsid w:val="00602040"/>
    <w:rsid w:val="00605EA8"/>
    <w:rsid w:val="0060738E"/>
    <w:rsid w:val="006156D3"/>
    <w:rsid w:val="00617F4F"/>
    <w:rsid w:val="00622278"/>
    <w:rsid w:val="00624A87"/>
    <w:rsid w:val="00626C4E"/>
    <w:rsid w:val="00630020"/>
    <w:rsid w:val="006372DE"/>
    <w:rsid w:val="00640167"/>
    <w:rsid w:val="00641624"/>
    <w:rsid w:val="00646D02"/>
    <w:rsid w:val="00647212"/>
    <w:rsid w:val="00647A47"/>
    <w:rsid w:val="00652659"/>
    <w:rsid w:val="0065360B"/>
    <w:rsid w:val="00660693"/>
    <w:rsid w:val="00661A96"/>
    <w:rsid w:val="00667686"/>
    <w:rsid w:val="00671FEF"/>
    <w:rsid w:val="00690004"/>
    <w:rsid w:val="0069043A"/>
    <w:rsid w:val="0069194E"/>
    <w:rsid w:val="006931C3"/>
    <w:rsid w:val="006931E3"/>
    <w:rsid w:val="006A094D"/>
    <w:rsid w:val="006A3640"/>
    <w:rsid w:val="006A4628"/>
    <w:rsid w:val="006A720F"/>
    <w:rsid w:val="006A7666"/>
    <w:rsid w:val="006A7943"/>
    <w:rsid w:val="006B25FF"/>
    <w:rsid w:val="006B5F32"/>
    <w:rsid w:val="006B6A74"/>
    <w:rsid w:val="006C1189"/>
    <w:rsid w:val="006C2E62"/>
    <w:rsid w:val="006C4A4B"/>
    <w:rsid w:val="006D545C"/>
    <w:rsid w:val="006E3A73"/>
    <w:rsid w:val="006E3D71"/>
    <w:rsid w:val="006F0181"/>
    <w:rsid w:val="006F1F1C"/>
    <w:rsid w:val="006F219A"/>
    <w:rsid w:val="006F25A8"/>
    <w:rsid w:val="006F50AC"/>
    <w:rsid w:val="00701372"/>
    <w:rsid w:val="00701479"/>
    <w:rsid w:val="00701C41"/>
    <w:rsid w:val="00702E8D"/>
    <w:rsid w:val="0070522C"/>
    <w:rsid w:val="00707D23"/>
    <w:rsid w:val="00712299"/>
    <w:rsid w:val="007141F0"/>
    <w:rsid w:val="007213CE"/>
    <w:rsid w:val="007239FD"/>
    <w:rsid w:val="0072422E"/>
    <w:rsid w:val="007307B0"/>
    <w:rsid w:val="00731CB8"/>
    <w:rsid w:val="00733DB3"/>
    <w:rsid w:val="00734EE4"/>
    <w:rsid w:val="00741AAC"/>
    <w:rsid w:val="007445E9"/>
    <w:rsid w:val="007462E6"/>
    <w:rsid w:val="00747582"/>
    <w:rsid w:val="00753AD6"/>
    <w:rsid w:val="00756D7B"/>
    <w:rsid w:val="00757125"/>
    <w:rsid w:val="007630FB"/>
    <w:rsid w:val="00766C58"/>
    <w:rsid w:val="007758BA"/>
    <w:rsid w:val="0077660F"/>
    <w:rsid w:val="00782A3A"/>
    <w:rsid w:val="00784FCA"/>
    <w:rsid w:val="00785053"/>
    <w:rsid w:val="00785D1F"/>
    <w:rsid w:val="00787B92"/>
    <w:rsid w:val="00792D46"/>
    <w:rsid w:val="007A2A52"/>
    <w:rsid w:val="007A493D"/>
    <w:rsid w:val="007A6ABB"/>
    <w:rsid w:val="007B757A"/>
    <w:rsid w:val="007C3D78"/>
    <w:rsid w:val="007C423E"/>
    <w:rsid w:val="007C5BBF"/>
    <w:rsid w:val="007C755F"/>
    <w:rsid w:val="007C7CA8"/>
    <w:rsid w:val="007D0A0E"/>
    <w:rsid w:val="007F204C"/>
    <w:rsid w:val="007F4674"/>
    <w:rsid w:val="007F610E"/>
    <w:rsid w:val="00800592"/>
    <w:rsid w:val="00805099"/>
    <w:rsid w:val="008100D0"/>
    <w:rsid w:val="008179EA"/>
    <w:rsid w:val="00823B96"/>
    <w:rsid w:val="0083614A"/>
    <w:rsid w:val="00837912"/>
    <w:rsid w:val="00837FA0"/>
    <w:rsid w:val="00840199"/>
    <w:rsid w:val="008518D1"/>
    <w:rsid w:val="00855764"/>
    <w:rsid w:val="00862E9F"/>
    <w:rsid w:val="00864912"/>
    <w:rsid w:val="0087154E"/>
    <w:rsid w:val="00874C0D"/>
    <w:rsid w:val="00875445"/>
    <w:rsid w:val="008800FA"/>
    <w:rsid w:val="008819D9"/>
    <w:rsid w:val="008900F6"/>
    <w:rsid w:val="00892400"/>
    <w:rsid w:val="00893091"/>
    <w:rsid w:val="0089460E"/>
    <w:rsid w:val="00894FB1"/>
    <w:rsid w:val="008956E7"/>
    <w:rsid w:val="00897559"/>
    <w:rsid w:val="008979E7"/>
    <w:rsid w:val="008A34D1"/>
    <w:rsid w:val="008A3611"/>
    <w:rsid w:val="008A6B2B"/>
    <w:rsid w:val="008A7CBB"/>
    <w:rsid w:val="008B1A84"/>
    <w:rsid w:val="008C1882"/>
    <w:rsid w:val="008C2176"/>
    <w:rsid w:val="008C669F"/>
    <w:rsid w:val="008C7999"/>
    <w:rsid w:val="008D01CD"/>
    <w:rsid w:val="008D03D1"/>
    <w:rsid w:val="008D186E"/>
    <w:rsid w:val="008D3A80"/>
    <w:rsid w:val="008E0180"/>
    <w:rsid w:val="008E052F"/>
    <w:rsid w:val="008E467B"/>
    <w:rsid w:val="008E5D8A"/>
    <w:rsid w:val="008F5AA3"/>
    <w:rsid w:val="00902BB2"/>
    <w:rsid w:val="009050AA"/>
    <w:rsid w:val="00911000"/>
    <w:rsid w:val="0091548B"/>
    <w:rsid w:val="009167E1"/>
    <w:rsid w:val="00921029"/>
    <w:rsid w:val="009267DE"/>
    <w:rsid w:val="009334FC"/>
    <w:rsid w:val="00933CAB"/>
    <w:rsid w:val="009434BE"/>
    <w:rsid w:val="00943FD8"/>
    <w:rsid w:val="0094442B"/>
    <w:rsid w:val="009506F7"/>
    <w:rsid w:val="00954FC1"/>
    <w:rsid w:val="00955F29"/>
    <w:rsid w:val="00956636"/>
    <w:rsid w:val="00957C86"/>
    <w:rsid w:val="009609D5"/>
    <w:rsid w:val="0096234B"/>
    <w:rsid w:val="00964EDE"/>
    <w:rsid w:val="00972151"/>
    <w:rsid w:val="00972766"/>
    <w:rsid w:val="00976F1B"/>
    <w:rsid w:val="00981638"/>
    <w:rsid w:val="00982470"/>
    <w:rsid w:val="0098603D"/>
    <w:rsid w:val="009871E6"/>
    <w:rsid w:val="0099060A"/>
    <w:rsid w:val="00990907"/>
    <w:rsid w:val="009923A9"/>
    <w:rsid w:val="00994DB0"/>
    <w:rsid w:val="009A32DF"/>
    <w:rsid w:val="009B10BE"/>
    <w:rsid w:val="009B1286"/>
    <w:rsid w:val="009B2E4E"/>
    <w:rsid w:val="009B7B19"/>
    <w:rsid w:val="009C10B7"/>
    <w:rsid w:val="009C2B99"/>
    <w:rsid w:val="009C4BF4"/>
    <w:rsid w:val="009D1948"/>
    <w:rsid w:val="009D2445"/>
    <w:rsid w:val="009E6A23"/>
    <w:rsid w:val="009E6ACF"/>
    <w:rsid w:val="009F01B6"/>
    <w:rsid w:val="009F312F"/>
    <w:rsid w:val="009F3D23"/>
    <w:rsid w:val="009F5296"/>
    <w:rsid w:val="009F6C79"/>
    <w:rsid w:val="00A02884"/>
    <w:rsid w:val="00A02AA9"/>
    <w:rsid w:val="00A05271"/>
    <w:rsid w:val="00A0532C"/>
    <w:rsid w:val="00A06EE3"/>
    <w:rsid w:val="00A13570"/>
    <w:rsid w:val="00A14FAE"/>
    <w:rsid w:val="00A16D9A"/>
    <w:rsid w:val="00A17049"/>
    <w:rsid w:val="00A17A7F"/>
    <w:rsid w:val="00A22242"/>
    <w:rsid w:val="00A2289D"/>
    <w:rsid w:val="00A3599F"/>
    <w:rsid w:val="00A36D0C"/>
    <w:rsid w:val="00A4214C"/>
    <w:rsid w:val="00A43C20"/>
    <w:rsid w:val="00A4632C"/>
    <w:rsid w:val="00A46CB1"/>
    <w:rsid w:val="00A5596C"/>
    <w:rsid w:val="00A61B11"/>
    <w:rsid w:val="00A6456E"/>
    <w:rsid w:val="00A6481B"/>
    <w:rsid w:val="00A66C22"/>
    <w:rsid w:val="00A72E20"/>
    <w:rsid w:val="00A74E9A"/>
    <w:rsid w:val="00A77FC8"/>
    <w:rsid w:val="00A80193"/>
    <w:rsid w:val="00A80373"/>
    <w:rsid w:val="00A860F2"/>
    <w:rsid w:val="00A8783B"/>
    <w:rsid w:val="00A91D8C"/>
    <w:rsid w:val="00A93343"/>
    <w:rsid w:val="00A95722"/>
    <w:rsid w:val="00A957E5"/>
    <w:rsid w:val="00A95CE2"/>
    <w:rsid w:val="00AA1905"/>
    <w:rsid w:val="00AA2B99"/>
    <w:rsid w:val="00AA447B"/>
    <w:rsid w:val="00AA6C28"/>
    <w:rsid w:val="00AB26D2"/>
    <w:rsid w:val="00AB3116"/>
    <w:rsid w:val="00AB366B"/>
    <w:rsid w:val="00AB747D"/>
    <w:rsid w:val="00AB7A99"/>
    <w:rsid w:val="00AC0779"/>
    <w:rsid w:val="00AC2AFD"/>
    <w:rsid w:val="00AC5F2B"/>
    <w:rsid w:val="00AD090B"/>
    <w:rsid w:val="00AD2610"/>
    <w:rsid w:val="00AD3598"/>
    <w:rsid w:val="00AD6605"/>
    <w:rsid w:val="00AD669A"/>
    <w:rsid w:val="00AE64A4"/>
    <w:rsid w:val="00AE7864"/>
    <w:rsid w:val="00AF051E"/>
    <w:rsid w:val="00AF2237"/>
    <w:rsid w:val="00AF22FD"/>
    <w:rsid w:val="00B02093"/>
    <w:rsid w:val="00B04786"/>
    <w:rsid w:val="00B11215"/>
    <w:rsid w:val="00B11902"/>
    <w:rsid w:val="00B13927"/>
    <w:rsid w:val="00B1450C"/>
    <w:rsid w:val="00B14ECC"/>
    <w:rsid w:val="00B17FEC"/>
    <w:rsid w:val="00B246CF"/>
    <w:rsid w:val="00B311C5"/>
    <w:rsid w:val="00B36E35"/>
    <w:rsid w:val="00B45B09"/>
    <w:rsid w:val="00B46018"/>
    <w:rsid w:val="00B53701"/>
    <w:rsid w:val="00B54731"/>
    <w:rsid w:val="00B56098"/>
    <w:rsid w:val="00B61D8B"/>
    <w:rsid w:val="00B665CD"/>
    <w:rsid w:val="00B67C72"/>
    <w:rsid w:val="00B740D1"/>
    <w:rsid w:val="00B841D5"/>
    <w:rsid w:val="00B85D46"/>
    <w:rsid w:val="00B87AC8"/>
    <w:rsid w:val="00B92B8C"/>
    <w:rsid w:val="00B9654B"/>
    <w:rsid w:val="00BA12C2"/>
    <w:rsid w:val="00BB3EF0"/>
    <w:rsid w:val="00BC0823"/>
    <w:rsid w:val="00BC5968"/>
    <w:rsid w:val="00BC5A93"/>
    <w:rsid w:val="00BC6F01"/>
    <w:rsid w:val="00BD19E2"/>
    <w:rsid w:val="00BD2448"/>
    <w:rsid w:val="00BD56F6"/>
    <w:rsid w:val="00BD57A4"/>
    <w:rsid w:val="00BD5F0B"/>
    <w:rsid w:val="00BE0EC8"/>
    <w:rsid w:val="00BE5F73"/>
    <w:rsid w:val="00BE65E8"/>
    <w:rsid w:val="00BF529F"/>
    <w:rsid w:val="00BF62DD"/>
    <w:rsid w:val="00BF7025"/>
    <w:rsid w:val="00C05428"/>
    <w:rsid w:val="00C06084"/>
    <w:rsid w:val="00C061FF"/>
    <w:rsid w:val="00C068D2"/>
    <w:rsid w:val="00C07202"/>
    <w:rsid w:val="00C110FF"/>
    <w:rsid w:val="00C1206E"/>
    <w:rsid w:val="00C12DF3"/>
    <w:rsid w:val="00C14615"/>
    <w:rsid w:val="00C15AB5"/>
    <w:rsid w:val="00C209F3"/>
    <w:rsid w:val="00C26A75"/>
    <w:rsid w:val="00C31BBD"/>
    <w:rsid w:val="00C40E2A"/>
    <w:rsid w:val="00C439D2"/>
    <w:rsid w:val="00C43A3E"/>
    <w:rsid w:val="00C4735B"/>
    <w:rsid w:val="00C47C72"/>
    <w:rsid w:val="00C54FBE"/>
    <w:rsid w:val="00C56CAB"/>
    <w:rsid w:val="00C6695B"/>
    <w:rsid w:val="00C71552"/>
    <w:rsid w:val="00C74F98"/>
    <w:rsid w:val="00C817C1"/>
    <w:rsid w:val="00C819C0"/>
    <w:rsid w:val="00C81D1C"/>
    <w:rsid w:val="00C92506"/>
    <w:rsid w:val="00C926EA"/>
    <w:rsid w:val="00C950A2"/>
    <w:rsid w:val="00C97DA1"/>
    <w:rsid w:val="00CA0B1B"/>
    <w:rsid w:val="00CA20B2"/>
    <w:rsid w:val="00CA31B2"/>
    <w:rsid w:val="00CA55DA"/>
    <w:rsid w:val="00CB0A17"/>
    <w:rsid w:val="00CB3394"/>
    <w:rsid w:val="00CB36FF"/>
    <w:rsid w:val="00CB37B9"/>
    <w:rsid w:val="00CB3C26"/>
    <w:rsid w:val="00CB7A2D"/>
    <w:rsid w:val="00CC2AB5"/>
    <w:rsid w:val="00CC719B"/>
    <w:rsid w:val="00CC7B33"/>
    <w:rsid w:val="00CD2387"/>
    <w:rsid w:val="00CE2756"/>
    <w:rsid w:val="00D026B4"/>
    <w:rsid w:val="00D075BC"/>
    <w:rsid w:val="00D12E6F"/>
    <w:rsid w:val="00D16445"/>
    <w:rsid w:val="00D17281"/>
    <w:rsid w:val="00D26EAD"/>
    <w:rsid w:val="00D300FF"/>
    <w:rsid w:val="00D30E6D"/>
    <w:rsid w:val="00D311DD"/>
    <w:rsid w:val="00D40BB6"/>
    <w:rsid w:val="00D41D27"/>
    <w:rsid w:val="00D56211"/>
    <w:rsid w:val="00D6065A"/>
    <w:rsid w:val="00D615A6"/>
    <w:rsid w:val="00D6667F"/>
    <w:rsid w:val="00D71C7D"/>
    <w:rsid w:val="00D773E7"/>
    <w:rsid w:val="00D77BF7"/>
    <w:rsid w:val="00D82170"/>
    <w:rsid w:val="00D85BFE"/>
    <w:rsid w:val="00D90E86"/>
    <w:rsid w:val="00D92C9E"/>
    <w:rsid w:val="00D97070"/>
    <w:rsid w:val="00DA5BCB"/>
    <w:rsid w:val="00DA7443"/>
    <w:rsid w:val="00DB0B57"/>
    <w:rsid w:val="00DB2D9C"/>
    <w:rsid w:val="00DB3BDE"/>
    <w:rsid w:val="00DB4042"/>
    <w:rsid w:val="00DB720A"/>
    <w:rsid w:val="00DC1592"/>
    <w:rsid w:val="00DC260B"/>
    <w:rsid w:val="00DC279E"/>
    <w:rsid w:val="00DC598A"/>
    <w:rsid w:val="00DD4E89"/>
    <w:rsid w:val="00DD6D4F"/>
    <w:rsid w:val="00DD78D2"/>
    <w:rsid w:val="00DF500E"/>
    <w:rsid w:val="00E01F0D"/>
    <w:rsid w:val="00E06A21"/>
    <w:rsid w:val="00E1645E"/>
    <w:rsid w:val="00E20916"/>
    <w:rsid w:val="00E30CFE"/>
    <w:rsid w:val="00E377D9"/>
    <w:rsid w:val="00E406CC"/>
    <w:rsid w:val="00E4325C"/>
    <w:rsid w:val="00E441F4"/>
    <w:rsid w:val="00E47A49"/>
    <w:rsid w:val="00E50603"/>
    <w:rsid w:val="00E52C91"/>
    <w:rsid w:val="00E62FF6"/>
    <w:rsid w:val="00E63585"/>
    <w:rsid w:val="00E63818"/>
    <w:rsid w:val="00E673CD"/>
    <w:rsid w:val="00E7347E"/>
    <w:rsid w:val="00E74CA0"/>
    <w:rsid w:val="00E77C9F"/>
    <w:rsid w:val="00E818E3"/>
    <w:rsid w:val="00E82B02"/>
    <w:rsid w:val="00E86C4D"/>
    <w:rsid w:val="00E875CC"/>
    <w:rsid w:val="00E90E7F"/>
    <w:rsid w:val="00E93CB5"/>
    <w:rsid w:val="00EA4735"/>
    <w:rsid w:val="00EA57A0"/>
    <w:rsid w:val="00EA6EF3"/>
    <w:rsid w:val="00EB3D1D"/>
    <w:rsid w:val="00EC121E"/>
    <w:rsid w:val="00EC14CF"/>
    <w:rsid w:val="00EC15EF"/>
    <w:rsid w:val="00EC2E9A"/>
    <w:rsid w:val="00EC49B0"/>
    <w:rsid w:val="00EC5592"/>
    <w:rsid w:val="00ED1D87"/>
    <w:rsid w:val="00ED5F45"/>
    <w:rsid w:val="00EE4ACA"/>
    <w:rsid w:val="00EF061A"/>
    <w:rsid w:val="00EF1F0B"/>
    <w:rsid w:val="00F011CE"/>
    <w:rsid w:val="00F05E55"/>
    <w:rsid w:val="00F06882"/>
    <w:rsid w:val="00F071A6"/>
    <w:rsid w:val="00F14C73"/>
    <w:rsid w:val="00F216B5"/>
    <w:rsid w:val="00F21CE5"/>
    <w:rsid w:val="00F22E20"/>
    <w:rsid w:val="00F2670D"/>
    <w:rsid w:val="00F272A0"/>
    <w:rsid w:val="00F351C4"/>
    <w:rsid w:val="00F423D9"/>
    <w:rsid w:val="00F47AED"/>
    <w:rsid w:val="00F5226D"/>
    <w:rsid w:val="00F549CC"/>
    <w:rsid w:val="00F56FC0"/>
    <w:rsid w:val="00F60B37"/>
    <w:rsid w:val="00F617C4"/>
    <w:rsid w:val="00F70162"/>
    <w:rsid w:val="00F7080C"/>
    <w:rsid w:val="00F72006"/>
    <w:rsid w:val="00F73510"/>
    <w:rsid w:val="00F73FAD"/>
    <w:rsid w:val="00F834B4"/>
    <w:rsid w:val="00F90D33"/>
    <w:rsid w:val="00F936D0"/>
    <w:rsid w:val="00F94418"/>
    <w:rsid w:val="00F957E8"/>
    <w:rsid w:val="00F97043"/>
    <w:rsid w:val="00FA0587"/>
    <w:rsid w:val="00FB4023"/>
    <w:rsid w:val="00FB5CD2"/>
    <w:rsid w:val="00FC1BF0"/>
    <w:rsid w:val="00FC44D4"/>
    <w:rsid w:val="00FC71B1"/>
    <w:rsid w:val="00FD130E"/>
    <w:rsid w:val="00FD13FA"/>
    <w:rsid w:val="00FD46B9"/>
    <w:rsid w:val="00FE1B8A"/>
    <w:rsid w:val="00FE63B0"/>
    <w:rsid w:val="00FE6B76"/>
    <w:rsid w:val="00FF0FEC"/>
    <w:rsid w:val="00FF347D"/>
    <w:rsid w:val="00FF3824"/>
    <w:rsid w:val="00FF4C65"/>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163BD5"/>
  <w15:docId w15:val="{6E952360-3A4F-4E97-B1A9-2F355A497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HTML Definition" w:semiHidden="1" w:unhideWhenUsed="1"/>
    <w:lsdException w:name="HTML Samp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center"/>
    </w:pPr>
    <w:rPr>
      <w:lang w:eastAsia="en-US"/>
    </w:rPr>
  </w:style>
  <w:style w:type="paragraph" w:styleId="Heading1">
    <w:name w:val="heading 1"/>
    <w:basedOn w:val="Normal"/>
    <w:next w:val="Normal"/>
    <w:link w:val="Heading1Char"/>
    <w:uiPriority w:val="9"/>
    <w:qFormat/>
    <w:pPr>
      <w:keepNext/>
      <w:keepLines/>
      <w:numPr>
        <w:numId w:val="1"/>
      </w:numPr>
      <w:tabs>
        <w:tab w:val="left" w:pos="216"/>
      </w:tabs>
      <w:spacing w:before="160" w:after="80"/>
      <w:outlineLvl w:val="0"/>
    </w:pPr>
    <w:rPr>
      <w:smallCaps/>
    </w:rPr>
  </w:style>
  <w:style w:type="paragraph" w:styleId="Heading2">
    <w:name w:val="heading 2"/>
    <w:basedOn w:val="Normal"/>
    <w:next w:val="Normal"/>
    <w:qFormat/>
    <w:pPr>
      <w:keepNext/>
      <w:keepLines/>
      <w:numPr>
        <w:ilvl w:val="1"/>
        <w:numId w:val="1"/>
      </w:numPr>
      <w:spacing w:before="120" w:after="60"/>
      <w:jc w:val="left"/>
      <w:outlineLvl w:val="1"/>
    </w:pPr>
    <w:rPr>
      <w:i/>
      <w:iCs/>
    </w:rPr>
  </w:style>
  <w:style w:type="paragraph" w:styleId="Heading3">
    <w:name w:val="heading 3"/>
    <w:basedOn w:val="Normal"/>
    <w:next w:val="Normal"/>
    <w:qFormat/>
    <w:pPr>
      <w:numPr>
        <w:ilvl w:val="2"/>
        <w:numId w:val="1"/>
      </w:numPr>
      <w:spacing w:line="240" w:lineRule="exact"/>
      <w:jc w:val="both"/>
      <w:outlineLvl w:val="2"/>
    </w:pPr>
    <w:rPr>
      <w:i/>
      <w:iCs/>
    </w:rPr>
  </w:style>
  <w:style w:type="paragraph" w:styleId="Heading4">
    <w:name w:val="heading 4"/>
    <w:basedOn w:val="Normal"/>
    <w:next w:val="Normal"/>
    <w:qFormat/>
    <w:pPr>
      <w:numPr>
        <w:ilvl w:val="3"/>
        <w:numId w:val="1"/>
      </w:numPr>
      <w:tabs>
        <w:tab w:val="left" w:pos="720"/>
      </w:tabs>
      <w:spacing w:before="40" w:after="40"/>
      <w:jc w:val="both"/>
      <w:outlineLvl w:val="3"/>
    </w:pPr>
    <w:rPr>
      <w:i/>
      <w:iCs/>
    </w:rPr>
  </w:style>
  <w:style w:type="paragraph" w:styleId="Heading5">
    <w:name w:val="heading 5"/>
    <w:basedOn w:val="Normal"/>
    <w:next w:val="Normal"/>
    <w:qFormat/>
    <w:pPr>
      <w:tabs>
        <w:tab w:val="left" w:pos="360"/>
      </w:tabs>
      <w:spacing w:before="160" w:after="80"/>
      <w:outlineLvl w:val="4"/>
    </w:pPr>
    <w:rPr>
      <w:smallCap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AD0810"/>
    <w:rPr>
      <w:smallCaps/>
      <w:lang w:val="en-US" w:eastAsia="en-US"/>
    </w:rPr>
  </w:style>
  <w:style w:type="character" w:customStyle="1" w:styleId="apple-converted-space">
    <w:name w:val="apple-converted-space"/>
    <w:basedOn w:val="DefaultParagraphFont"/>
    <w:qFormat/>
    <w:rsid w:val="0049052B"/>
  </w:style>
  <w:style w:type="character" w:customStyle="1" w:styleId="InternetLink">
    <w:name w:val="Internet Link"/>
    <w:basedOn w:val="DefaultParagraphFont"/>
    <w:rsid w:val="00D8598B"/>
    <w:rPr>
      <w:color w:val="0563C1" w:themeColor="hyperlink"/>
      <w:u w:val="single"/>
    </w:rPr>
  </w:style>
  <w:style w:type="character" w:styleId="FollowedHyperlink">
    <w:name w:val="FollowedHyperlink"/>
    <w:basedOn w:val="DefaultParagraphFont"/>
    <w:qFormat/>
    <w:rsid w:val="009225A0"/>
    <w:rPr>
      <w:color w:val="954F72" w:themeColor="followedHyperlink"/>
      <w:u w:val="single"/>
    </w:rPr>
  </w:style>
  <w:style w:type="character" w:customStyle="1" w:styleId="ListLabel1">
    <w:name w:val="ListLabel 1"/>
    <w:qFormat/>
    <w:rPr>
      <w:rFonts w:cs="Times New Roman"/>
      <w:b w:val="0"/>
      <w:bCs w:val="0"/>
      <w:i w:val="0"/>
      <w:iCs w:val="0"/>
      <w:color w:val="auto"/>
      <w:sz w:val="16"/>
      <w:szCs w:val="16"/>
    </w:rPr>
  </w:style>
  <w:style w:type="character" w:customStyle="1" w:styleId="ListLabel2">
    <w:name w:val="ListLabel 2"/>
    <w:qFormat/>
    <w:rPr>
      <w:rFonts w:cs="Times New Roman"/>
    </w:rPr>
  </w:style>
  <w:style w:type="character" w:customStyle="1" w:styleId="ListLabel3">
    <w:name w:val="ListLabel 3"/>
    <w:qFormat/>
    <w:rPr>
      <w:rFonts w:cs="Times New Roman"/>
    </w:rPr>
  </w:style>
  <w:style w:type="character" w:customStyle="1" w:styleId="ListLabel4">
    <w:name w:val="ListLabel 4"/>
    <w:qFormat/>
    <w:rPr>
      <w:rFonts w:cs="Times New Roman"/>
    </w:rPr>
  </w:style>
  <w:style w:type="character" w:customStyle="1" w:styleId="ListLabel5">
    <w:name w:val="ListLabel 5"/>
    <w:qFormat/>
    <w:rPr>
      <w:rFonts w:cs="Times New Roman"/>
    </w:rPr>
  </w:style>
  <w:style w:type="character" w:customStyle="1" w:styleId="ListLabel6">
    <w:name w:val="ListLabel 6"/>
    <w:qFormat/>
    <w:rPr>
      <w:rFonts w:cs="Times New Roman"/>
    </w:rPr>
  </w:style>
  <w:style w:type="character" w:customStyle="1" w:styleId="ListLabel7">
    <w:name w:val="ListLabel 7"/>
    <w:qFormat/>
    <w:rPr>
      <w:rFonts w:cs="Times New Roman"/>
    </w:rPr>
  </w:style>
  <w:style w:type="character" w:customStyle="1" w:styleId="ListLabel8">
    <w:name w:val="ListLabel 8"/>
    <w:qFormat/>
    <w:rPr>
      <w:rFonts w:cs="Times New Roman"/>
    </w:rPr>
  </w:style>
  <w:style w:type="character" w:customStyle="1" w:styleId="ListLabel9">
    <w:name w:val="ListLabel 9"/>
    <w:qFormat/>
    <w:rPr>
      <w:rFonts w:cs="Times New Roman"/>
    </w:rPr>
  </w:style>
  <w:style w:type="character" w:customStyle="1" w:styleId="ListLabel10">
    <w:name w:val="ListLabel 10"/>
    <w:qFormat/>
    <w:rPr>
      <w:rFonts w:cs="Times New Roman"/>
      <w:b w:val="0"/>
      <w:bCs w:val="0"/>
      <w:i w:val="0"/>
      <w:iCs w:val="0"/>
      <w:caps w:val="0"/>
      <w:smallCaps w:val="0"/>
      <w:strike w:val="0"/>
      <w:dstrike w:val="0"/>
      <w:vanish w:val="0"/>
      <w:color w:val="000000"/>
      <w:sz w:val="16"/>
      <w:szCs w:val="16"/>
      <w:vertAlign w:val="superscript"/>
    </w:rPr>
  </w:style>
  <w:style w:type="character" w:customStyle="1" w:styleId="ListLabel11">
    <w:name w:val="ListLabel 11"/>
    <w:qFormat/>
    <w:rPr>
      <w:rFonts w:cs="Times New Roman"/>
    </w:rPr>
  </w:style>
  <w:style w:type="character" w:customStyle="1" w:styleId="ListLabel12">
    <w:name w:val="ListLabel 12"/>
    <w:qFormat/>
    <w:rPr>
      <w:rFonts w:cs="Times New Roman"/>
    </w:rPr>
  </w:style>
  <w:style w:type="character" w:customStyle="1" w:styleId="ListLabel13">
    <w:name w:val="ListLabel 13"/>
    <w:qFormat/>
    <w:rPr>
      <w:rFonts w:cs="Times New Roman"/>
    </w:rPr>
  </w:style>
  <w:style w:type="character" w:customStyle="1" w:styleId="ListLabel14">
    <w:name w:val="ListLabel 14"/>
    <w:qFormat/>
    <w:rPr>
      <w:rFonts w:cs="Times New Roman"/>
    </w:rPr>
  </w:style>
  <w:style w:type="character" w:customStyle="1" w:styleId="ListLabel15">
    <w:name w:val="ListLabel 15"/>
    <w:qFormat/>
    <w:rPr>
      <w:rFonts w:cs="Times New Roman"/>
    </w:rPr>
  </w:style>
  <w:style w:type="character" w:customStyle="1" w:styleId="ListLabel16">
    <w:name w:val="ListLabel 16"/>
    <w:qFormat/>
    <w:rPr>
      <w:rFonts w:cs="Times New Roman"/>
    </w:rPr>
  </w:style>
  <w:style w:type="character" w:customStyle="1" w:styleId="ListLabel17">
    <w:name w:val="ListLabel 17"/>
    <w:qFormat/>
    <w:rPr>
      <w:rFonts w:cs="Times New Roman"/>
    </w:rPr>
  </w:style>
  <w:style w:type="character" w:customStyle="1" w:styleId="ListLabel18">
    <w:name w:val="ListLabel 18"/>
    <w:qFormat/>
    <w:rPr>
      <w:rFonts w:cs="Times New Roman"/>
    </w:rPr>
  </w:style>
  <w:style w:type="character" w:customStyle="1" w:styleId="ListLabel19">
    <w:name w:val="ListLabel 19"/>
    <w:qFormat/>
    <w:rPr>
      <w:rFonts w:cs="Times New Roman"/>
      <w:caps w:val="0"/>
      <w:smallCaps w:val="0"/>
      <w:strike w:val="0"/>
      <w:dstrike w:val="0"/>
      <w:vanish w:val="0"/>
      <w:color w:val="auto"/>
      <w:position w:val="0"/>
      <w:sz w:val="24"/>
      <w:szCs w:val="20"/>
      <w:vertAlign w:val="baseline"/>
    </w:rPr>
  </w:style>
  <w:style w:type="character" w:customStyle="1" w:styleId="ListLabel20">
    <w:name w:val="ListLabel 20"/>
    <w:qFormat/>
    <w:rPr>
      <w:rFonts w:cs="Times New Roman"/>
      <w:b w:val="0"/>
      <w:bCs w:val="0"/>
      <w:i/>
      <w:iCs/>
      <w:caps w:val="0"/>
      <w:smallCaps w:val="0"/>
      <w:strike w:val="0"/>
      <w:dstrike w:val="0"/>
      <w:vanish w:val="0"/>
      <w:color w:val="auto"/>
      <w:position w:val="0"/>
      <w:sz w:val="20"/>
      <w:szCs w:val="20"/>
      <w:vertAlign w:val="baseline"/>
    </w:rPr>
  </w:style>
  <w:style w:type="character" w:customStyle="1" w:styleId="ListLabel21">
    <w:name w:val="ListLabel 21"/>
    <w:qFormat/>
    <w:rPr>
      <w:rFonts w:cs="Times New Roman"/>
      <w:b w:val="0"/>
      <w:bCs w:val="0"/>
      <w:i/>
      <w:iCs/>
      <w:caps w:val="0"/>
      <w:smallCaps w:val="0"/>
      <w:strike w:val="0"/>
      <w:dstrike w:val="0"/>
      <w:vanish w:val="0"/>
      <w:color w:val="auto"/>
      <w:position w:val="0"/>
      <w:sz w:val="20"/>
      <w:szCs w:val="20"/>
      <w:vertAlign w:val="baseline"/>
    </w:rPr>
  </w:style>
  <w:style w:type="character" w:customStyle="1" w:styleId="ListLabel22">
    <w:name w:val="ListLabel 22"/>
    <w:qFormat/>
    <w:rPr>
      <w:rFonts w:cs="Times New Roman"/>
      <w:b w:val="0"/>
      <w:bCs w:val="0"/>
      <w:i/>
      <w:iCs/>
      <w:sz w:val="20"/>
      <w:szCs w:val="20"/>
    </w:rPr>
  </w:style>
  <w:style w:type="character" w:customStyle="1" w:styleId="ListLabel23">
    <w:name w:val="ListLabel 23"/>
    <w:qFormat/>
    <w:rPr>
      <w:rFonts w:cs="Times New Roman"/>
    </w:rPr>
  </w:style>
  <w:style w:type="character" w:customStyle="1" w:styleId="ListLabel24">
    <w:name w:val="ListLabel 24"/>
    <w:qFormat/>
    <w:rPr>
      <w:rFonts w:cs="Times New Roman"/>
    </w:rPr>
  </w:style>
  <w:style w:type="character" w:customStyle="1" w:styleId="ListLabel25">
    <w:name w:val="ListLabel 25"/>
    <w:qFormat/>
    <w:rPr>
      <w:rFonts w:cs="Times New Roman"/>
    </w:rPr>
  </w:style>
  <w:style w:type="character" w:customStyle="1" w:styleId="ListLabel26">
    <w:name w:val="ListLabel 26"/>
    <w:qFormat/>
    <w:rPr>
      <w:rFonts w:cs="Times New Roman"/>
    </w:rPr>
  </w:style>
  <w:style w:type="character" w:customStyle="1" w:styleId="ListLabel27">
    <w:name w:val="ListLabel 27"/>
    <w:qFormat/>
    <w:rPr>
      <w:rFonts w:cs="Times New Roman"/>
    </w:rPr>
  </w:style>
  <w:style w:type="character" w:customStyle="1" w:styleId="ListLabel28">
    <w:name w:val="ListLabel 28"/>
    <w:qFormat/>
    <w:rPr>
      <w:rFonts w:cs="Times New Roman"/>
      <w:caps w:val="0"/>
      <w:smallCaps w:val="0"/>
      <w:strike w:val="0"/>
      <w:dstrike w:val="0"/>
      <w:vanish w:val="0"/>
      <w:color w:val="auto"/>
      <w:position w:val="0"/>
      <w:sz w:val="20"/>
      <w:szCs w:val="20"/>
      <w:vertAlign w:val="baseline"/>
    </w:rPr>
  </w:style>
  <w:style w:type="character" w:customStyle="1" w:styleId="ListLabel29">
    <w:name w:val="ListLabel 29"/>
    <w:qFormat/>
    <w:rPr>
      <w:rFonts w:cs="Times New Roman"/>
      <w:b w:val="0"/>
      <w:bCs w:val="0"/>
      <w:i/>
      <w:iCs/>
      <w:caps w:val="0"/>
      <w:smallCaps w:val="0"/>
      <w:strike w:val="0"/>
      <w:dstrike w:val="0"/>
      <w:vanish w:val="0"/>
      <w:color w:val="auto"/>
      <w:position w:val="0"/>
      <w:sz w:val="20"/>
      <w:szCs w:val="20"/>
      <w:vertAlign w:val="baseline"/>
    </w:rPr>
  </w:style>
  <w:style w:type="character" w:customStyle="1" w:styleId="ListLabel30">
    <w:name w:val="ListLabel 30"/>
    <w:qFormat/>
    <w:rPr>
      <w:rFonts w:cs="Times New Roman"/>
      <w:b w:val="0"/>
      <w:bCs w:val="0"/>
      <w:i/>
      <w:iCs/>
      <w:caps w:val="0"/>
      <w:smallCaps w:val="0"/>
      <w:strike w:val="0"/>
      <w:dstrike w:val="0"/>
      <w:vanish w:val="0"/>
      <w:color w:val="auto"/>
      <w:position w:val="0"/>
      <w:sz w:val="20"/>
      <w:szCs w:val="20"/>
      <w:vertAlign w:val="baseline"/>
    </w:rPr>
  </w:style>
  <w:style w:type="character" w:customStyle="1" w:styleId="ListLabel31">
    <w:name w:val="ListLabel 31"/>
    <w:qFormat/>
    <w:rPr>
      <w:rFonts w:cs="Times New Roman"/>
      <w:b w:val="0"/>
      <w:bCs w:val="0"/>
      <w:i/>
      <w:iCs/>
      <w:sz w:val="20"/>
      <w:szCs w:val="20"/>
    </w:rPr>
  </w:style>
  <w:style w:type="character" w:customStyle="1" w:styleId="ListLabel32">
    <w:name w:val="ListLabel 32"/>
    <w:qFormat/>
    <w:rPr>
      <w:rFonts w:cs="Times New Roman"/>
    </w:rPr>
  </w:style>
  <w:style w:type="character" w:customStyle="1" w:styleId="ListLabel33">
    <w:name w:val="ListLabel 33"/>
    <w:qFormat/>
    <w:rPr>
      <w:rFonts w:cs="Times New Roman"/>
    </w:rPr>
  </w:style>
  <w:style w:type="character" w:customStyle="1" w:styleId="ListLabel34">
    <w:name w:val="ListLabel 34"/>
    <w:qFormat/>
    <w:rPr>
      <w:rFonts w:cs="Times New Roman"/>
    </w:rPr>
  </w:style>
  <w:style w:type="character" w:customStyle="1" w:styleId="ListLabel35">
    <w:name w:val="ListLabel 35"/>
    <w:qFormat/>
    <w:rPr>
      <w:rFonts w:cs="Times New Roman"/>
    </w:rPr>
  </w:style>
  <w:style w:type="character" w:customStyle="1" w:styleId="ListLabel36">
    <w:name w:val="ListLabel 36"/>
    <w:qFormat/>
    <w:rPr>
      <w:rFonts w:cs="Times New Roman"/>
    </w:rPr>
  </w:style>
  <w:style w:type="character" w:customStyle="1" w:styleId="ListLabel37">
    <w:name w:val="ListLabel 37"/>
    <w:qFormat/>
    <w:rPr>
      <w:rFonts w:cs="Times New Roman"/>
      <w:caps w:val="0"/>
      <w:smallCaps w:val="0"/>
      <w:strike w:val="0"/>
      <w:dstrike w:val="0"/>
      <w:vanish w:val="0"/>
      <w:color w:val="auto"/>
      <w:position w:val="0"/>
      <w:sz w:val="20"/>
      <w:szCs w:val="20"/>
      <w:vertAlign w:val="baseline"/>
    </w:rPr>
  </w:style>
  <w:style w:type="character" w:customStyle="1" w:styleId="ListLabel38">
    <w:name w:val="ListLabel 38"/>
    <w:qFormat/>
    <w:rPr>
      <w:rFonts w:cs="Times New Roman"/>
      <w:b w:val="0"/>
      <w:bCs w:val="0"/>
      <w:i/>
      <w:iCs/>
      <w:caps w:val="0"/>
      <w:smallCaps w:val="0"/>
      <w:strike w:val="0"/>
      <w:dstrike w:val="0"/>
      <w:vanish w:val="0"/>
      <w:color w:val="auto"/>
      <w:position w:val="0"/>
      <w:sz w:val="20"/>
      <w:szCs w:val="20"/>
      <w:vertAlign w:val="baseline"/>
    </w:rPr>
  </w:style>
  <w:style w:type="character" w:customStyle="1" w:styleId="ListLabel39">
    <w:name w:val="ListLabel 39"/>
    <w:qFormat/>
    <w:rPr>
      <w:rFonts w:cs="Times New Roman"/>
      <w:b w:val="0"/>
      <w:bCs w:val="0"/>
      <w:i/>
      <w:iCs/>
      <w:caps w:val="0"/>
      <w:smallCaps w:val="0"/>
      <w:strike w:val="0"/>
      <w:dstrike w:val="0"/>
      <w:vanish w:val="0"/>
      <w:color w:val="auto"/>
      <w:position w:val="0"/>
      <w:sz w:val="20"/>
      <w:szCs w:val="20"/>
      <w:vertAlign w:val="baseline"/>
    </w:rPr>
  </w:style>
  <w:style w:type="character" w:customStyle="1" w:styleId="ListLabel40">
    <w:name w:val="ListLabel 40"/>
    <w:qFormat/>
    <w:rPr>
      <w:rFonts w:cs="Times New Roman"/>
      <w:b w:val="0"/>
      <w:bCs w:val="0"/>
      <w:i/>
      <w:iCs/>
      <w:sz w:val="20"/>
      <w:szCs w:val="20"/>
    </w:rPr>
  </w:style>
  <w:style w:type="character" w:customStyle="1" w:styleId="ListLabel41">
    <w:name w:val="ListLabel 41"/>
    <w:qFormat/>
    <w:rPr>
      <w:rFonts w:cs="Times New Roman"/>
    </w:rPr>
  </w:style>
  <w:style w:type="character" w:customStyle="1" w:styleId="ListLabel42">
    <w:name w:val="ListLabel 42"/>
    <w:qFormat/>
    <w:rPr>
      <w:rFonts w:cs="Times New Roman"/>
    </w:rPr>
  </w:style>
  <w:style w:type="character" w:customStyle="1" w:styleId="ListLabel43">
    <w:name w:val="ListLabel 43"/>
    <w:qFormat/>
    <w:rPr>
      <w:rFonts w:cs="Times New Roman"/>
    </w:rPr>
  </w:style>
  <w:style w:type="character" w:customStyle="1" w:styleId="ListLabel44">
    <w:name w:val="ListLabel 44"/>
    <w:qFormat/>
    <w:rPr>
      <w:rFonts w:cs="Times New Roman"/>
    </w:rPr>
  </w:style>
  <w:style w:type="character" w:customStyle="1" w:styleId="ListLabel45">
    <w:name w:val="ListLabel 45"/>
    <w:qFormat/>
    <w:rPr>
      <w:rFonts w:cs="Times New Roman"/>
    </w:rPr>
  </w:style>
  <w:style w:type="character" w:customStyle="1" w:styleId="ListLabel46">
    <w:name w:val="ListLabel 46"/>
    <w:qFormat/>
    <w:rPr>
      <w:rFonts w:cs="Times New Roman"/>
      <w:caps w:val="0"/>
      <w:smallCaps w:val="0"/>
      <w:strike w:val="0"/>
      <w:dstrike w:val="0"/>
      <w:vanish w:val="0"/>
      <w:color w:val="auto"/>
      <w:position w:val="0"/>
      <w:sz w:val="20"/>
      <w:szCs w:val="20"/>
      <w:vertAlign w:val="baseline"/>
    </w:rPr>
  </w:style>
  <w:style w:type="character" w:customStyle="1" w:styleId="ListLabel47">
    <w:name w:val="ListLabel 47"/>
    <w:qFormat/>
    <w:rPr>
      <w:rFonts w:cs="Times New Roman"/>
      <w:b w:val="0"/>
      <w:bCs w:val="0"/>
      <w:i/>
      <w:iCs/>
      <w:caps w:val="0"/>
      <w:smallCaps w:val="0"/>
      <w:strike w:val="0"/>
      <w:dstrike w:val="0"/>
      <w:vanish w:val="0"/>
      <w:color w:val="auto"/>
      <w:position w:val="0"/>
      <w:sz w:val="20"/>
      <w:szCs w:val="20"/>
      <w:vertAlign w:val="baseline"/>
    </w:rPr>
  </w:style>
  <w:style w:type="character" w:customStyle="1" w:styleId="ListLabel48">
    <w:name w:val="ListLabel 48"/>
    <w:qFormat/>
    <w:rPr>
      <w:rFonts w:cs="Times New Roman"/>
      <w:b w:val="0"/>
      <w:bCs w:val="0"/>
      <w:i/>
      <w:iCs/>
      <w:caps w:val="0"/>
      <w:smallCaps w:val="0"/>
      <w:strike w:val="0"/>
      <w:dstrike w:val="0"/>
      <w:vanish w:val="0"/>
      <w:color w:val="auto"/>
      <w:position w:val="0"/>
      <w:sz w:val="20"/>
      <w:szCs w:val="20"/>
      <w:vertAlign w:val="baseline"/>
    </w:rPr>
  </w:style>
  <w:style w:type="character" w:customStyle="1" w:styleId="ListLabel49">
    <w:name w:val="ListLabel 49"/>
    <w:qFormat/>
    <w:rPr>
      <w:rFonts w:cs="Times New Roman"/>
      <w:b w:val="0"/>
      <w:bCs w:val="0"/>
      <w:i/>
      <w:iCs/>
      <w:sz w:val="20"/>
      <w:szCs w:val="20"/>
    </w:rPr>
  </w:style>
  <w:style w:type="character" w:customStyle="1" w:styleId="ListLabel50">
    <w:name w:val="ListLabel 50"/>
    <w:qFormat/>
    <w:rPr>
      <w:rFonts w:cs="Times New Roman"/>
    </w:rPr>
  </w:style>
  <w:style w:type="character" w:customStyle="1" w:styleId="ListLabel51">
    <w:name w:val="ListLabel 51"/>
    <w:qFormat/>
    <w:rPr>
      <w:rFonts w:cs="Times New Roman"/>
    </w:rPr>
  </w:style>
  <w:style w:type="character" w:customStyle="1" w:styleId="ListLabel52">
    <w:name w:val="ListLabel 52"/>
    <w:qFormat/>
    <w:rPr>
      <w:rFonts w:cs="Times New Roman"/>
    </w:rPr>
  </w:style>
  <w:style w:type="character" w:customStyle="1" w:styleId="ListLabel53">
    <w:name w:val="ListLabel 53"/>
    <w:qFormat/>
    <w:rPr>
      <w:rFonts w:cs="Times New Roman"/>
    </w:rPr>
  </w:style>
  <w:style w:type="character" w:customStyle="1" w:styleId="ListLabel54">
    <w:name w:val="ListLabel 54"/>
    <w:qFormat/>
    <w:rPr>
      <w:rFonts w:cs="Times New Roman"/>
    </w:rPr>
  </w:style>
  <w:style w:type="character" w:customStyle="1" w:styleId="ListLabel55">
    <w:name w:val="ListLabel 55"/>
    <w:qFormat/>
    <w:rPr>
      <w:rFonts w:cs="Times New Roman"/>
      <w:b w:val="0"/>
      <w:bCs w:val="0"/>
      <w:i w:val="0"/>
      <w:iCs w:val="0"/>
      <w:sz w:val="16"/>
      <w:szCs w:val="16"/>
    </w:rPr>
  </w:style>
  <w:style w:type="character" w:customStyle="1" w:styleId="ListLabel56">
    <w:name w:val="ListLabel 56"/>
    <w:qFormat/>
    <w:rPr>
      <w:rFonts w:cs="Times New Roman"/>
      <w:b w:val="0"/>
      <w:bCs w:val="0"/>
      <w:i w:val="0"/>
      <w:iCs w:val="0"/>
      <w:sz w:val="16"/>
      <w:szCs w:val="16"/>
    </w:rPr>
  </w:style>
  <w:style w:type="character" w:customStyle="1" w:styleId="ListLabel57">
    <w:name w:val="ListLabel 57"/>
    <w:qFormat/>
    <w:rPr>
      <w:rFonts w:cs="Times New Roman"/>
    </w:rPr>
  </w:style>
  <w:style w:type="character" w:customStyle="1" w:styleId="ListLabel58">
    <w:name w:val="ListLabel 58"/>
    <w:qFormat/>
    <w:rPr>
      <w:rFonts w:cs="Times New Roman"/>
      <w:i w:val="0"/>
      <w:iCs w:val="0"/>
    </w:rPr>
  </w:style>
  <w:style w:type="character" w:customStyle="1" w:styleId="ListLabel59">
    <w:name w:val="ListLabel 59"/>
    <w:qFormat/>
    <w:rPr>
      <w:rFonts w:cs="Times New Roman"/>
    </w:rPr>
  </w:style>
  <w:style w:type="character" w:customStyle="1" w:styleId="ListLabel60">
    <w:name w:val="ListLabel 60"/>
    <w:qFormat/>
    <w:rPr>
      <w:rFonts w:cs="Times New Roman"/>
    </w:rPr>
  </w:style>
  <w:style w:type="character" w:customStyle="1" w:styleId="ListLabel61">
    <w:name w:val="ListLabel 61"/>
    <w:qFormat/>
    <w:rPr>
      <w:rFonts w:cs="Times New Roman"/>
    </w:rPr>
  </w:style>
  <w:style w:type="character" w:customStyle="1" w:styleId="ListLabel62">
    <w:name w:val="ListLabel 62"/>
    <w:qFormat/>
    <w:rPr>
      <w:rFonts w:cs="Times New Roman"/>
    </w:rPr>
  </w:style>
  <w:style w:type="character" w:customStyle="1" w:styleId="ListLabel63">
    <w:name w:val="ListLabel 63"/>
    <w:qFormat/>
    <w:rPr>
      <w:rFonts w:cs="Times New Roman"/>
    </w:rPr>
  </w:style>
  <w:style w:type="character" w:customStyle="1" w:styleId="ListLabel64">
    <w:name w:val="ListLabel 64"/>
    <w:qFormat/>
    <w:rPr>
      <w:rFonts w:cs="Times New Roman"/>
    </w:rPr>
  </w:style>
  <w:style w:type="character" w:customStyle="1" w:styleId="ListLabel65">
    <w:name w:val="ListLabel 65"/>
    <w:qFormat/>
    <w:rPr>
      <w:rFonts w:cs="Times New Roman"/>
    </w:rPr>
  </w:style>
  <w:style w:type="character" w:customStyle="1" w:styleId="ListLabel66">
    <w:name w:val="ListLabel 66"/>
    <w:qFormat/>
    <w:rPr>
      <w:rFonts w:cs="Times New Roman"/>
    </w:rPr>
  </w:style>
  <w:style w:type="character" w:customStyle="1" w:styleId="ListLabel67">
    <w:name w:val="ListLabel 67"/>
    <w:qFormat/>
    <w:rPr>
      <w:rFonts w:cs="Courier New"/>
    </w:rPr>
  </w:style>
  <w:style w:type="character" w:customStyle="1" w:styleId="ListLabel68">
    <w:name w:val="ListLabel 68"/>
    <w:qFormat/>
    <w:rPr>
      <w:rFonts w:cs="Courier New"/>
    </w:rPr>
  </w:style>
  <w:style w:type="character" w:customStyle="1" w:styleId="ListLabel69">
    <w:name w:val="ListLabel 69"/>
    <w:qFormat/>
    <w:rPr>
      <w:rFonts w:cs="Courier New"/>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rFonts w:cs="Courier New"/>
    </w:rPr>
  </w:style>
  <w:style w:type="character" w:customStyle="1" w:styleId="ListLabel80">
    <w:name w:val="ListLabel 80"/>
    <w:qFormat/>
    <w:rPr>
      <w:rFonts w:cs="Courier New"/>
    </w:rPr>
  </w:style>
  <w:style w:type="character" w:customStyle="1" w:styleId="ListLabel81">
    <w:name w:val="ListLabel 81"/>
    <w:qFormat/>
    <w:rPr>
      <w:rFonts w:cs="Courier New"/>
    </w:rPr>
  </w:style>
  <w:style w:type="character" w:customStyle="1" w:styleId="ListLabel82">
    <w:name w:val="ListLabel 82"/>
    <w:qFormat/>
    <w:rPr>
      <w:rFonts w:cs="Courier New"/>
    </w:rPr>
  </w:style>
  <w:style w:type="character" w:customStyle="1" w:styleId="ListLabel83">
    <w:name w:val="ListLabel 83"/>
    <w:qFormat/>
    <w:rPr>
      <w:rFonts w:cs="Courier New"/>
    </w:rPr>
  </w:style>
  <w:style w:type="character" w:customStyle="1" w:styleId="ListLabel84">
    <w:name w:val="ListLabel 84"/>
    <w:qFormat/>
    <w:rPr>
      <w:rFonts w:cs="Courier New"/>
    </w:rPr>
  </w:style>
  <w:style w:type="character" w:customStyle="1" w:styleId="ListLabel85">
    <w:name w:val="ListLabel 85"/>
    <w:qFormat/>
    <w:rPr>
      <w:rFonts w:cs="Times New Roman"/>
      <w:caps w:val="0"/>
      <w:smallCaps w:val="0"/>
      <w:strike w:val="0"/>
      <w:dstrike w:val="0"/>
      <w:vanish w:val="0"/>
      <w:color w:val="auto"/>
      <w:position w:val="0"/>
      <w:sz w:val="20"/>
      <w:szCs w:val="20"/>
      <w:vertAlign w:val="baseline"/>
    </w:rPr>
  </w:style>
  <w:style w:type="character" w:customStyle="1" w:styleId="ListLabel86">
    <w:name w:val="ListLabel 86"/>
    <w:qFormat/>
    <w:rPr>
      <w:rFonts w:cs="Times New Roman"/>
      <w:b w:val="0"/>
      <w:bCs w:val="0"/>
      <w:i/>
      <w:iCs/>
      <w:caps w:val="0"/>
      <w:smallCaps w:val="0"/>
      <w:strike w:val="0"/>
      <w:dstrike w:val="0"/>
      <w:vanish w:val="0"/>
      <w:color w:val="auto"/>
      <w:position w:val="0"/>
      <w:sz w:val="20"/>
      <w:szCs w:val="20"/>
      <w:vertAlign w:val="baseline"/>
    </w:rPr>
  </w:style>
  <w:style w:type="character" w:customStyle="1" w:styleId="ListLabel87">
    <w:name w:val="ListLabel 87"/>
    <w:qFormat/>
    <w:rPr>
      <w:rFonts w:cs="Times New Roman"/>
      <w:b w:val="0"/>
      <w:bCs w:val="0"/>
      <w:i/>
      <w:iCs/>
      <w:caps w:val="0"/>
      <w:smallCaps w:val="0"/>
      <w:strike w:val="0"/>
      <w:dstrike w:val="0"/>
      <w:vanish w:val="0"/>
      <w:color w:val="auto"/>
      <w:position w:val="0"/>
      <w:sz w:val="20"/>
      <w:szCs w:val="20"/>
      <w:vertAlign w:val="baseline"/>
    </w:rPr>
  </w:style>
  <w:style w:type="character" w:customStyle="1" w:styleId="ListLabel88">
    <w:name w:val="ListLabel 88"/>
    <w:qFormat/>
    <w:rPr>
      <w:rFonts w:cs="Times New Roman"/>
      <w:b w:val="0"/>
      <w:bCs w:val="0"/>
      <w:i/>
      <w:iCs/>
      <w:sz w:val="20"/>
      <w:szCs w:val="20"/>
    </w:rPr>
  </w:style>
  <w:style w:type="character" w:customStyle="1" w:styleId="ListLabel89">
    <w:name w:val="ListLabel 89"/>
    <w:qFormat/>
    <w:rPr>
      <w:rFonts w:cs="Times New Roman"/>
    </w:rPr>
  </w:style>
  <w:style w:type="character" w:customStyle="1" w:styleId="ListLabel90">
    <w:name w:val="ListLabel 90"/>
    <w:qFormat/>
    <w:rPr>
      <w:rFonts w:cs="Times New Roman"/>
    </w:rPr>
  </w:style>
  <w:style w:type="character" w:customStyle="1" w:styleId="ListLabel91">
    <w:name w:val="ListLabel 91"/>
    <w:qFormat/>
    <w:rPr>
      <w:rFonts w:cs="Times New Roman"/>
    </w:rPr>
  </w:style>
  <w:style w:type="character" w:customStyle="1" w:styleId="ListLabel92">
    <w:name w:val="ListLabel 92"/>
    <w:qFormat/>
    <w:rPr>
      <w:rFonts w:cs="Times New Roman"/>
    </w:rPr>
  </w:style>
  <w:style w:type="character" w:customStyle="1" w:styleId="ListLabel93">
    <w:name w:val="ListLabel 93"/>
    <w:qFormat/>
    <w:rPr>
      <w:rFonts w:cs="Times New Roman"/>
    </w:rPr>
  </w:style>
  <w:style w:type="character" w:customStyle="1" w:styleId="ListLabel94">
    <w:name w:val="ListLabel 94"/>
    <w:qFormat/>
    <w:rPr>
      <w:rFonts w:cs="Times New Roman"/>
      <w:caps w:val="0"/>
      <w:smallCaps w:val="0"/>
      <w:strike w:val="0"/>
      <w:dstrike w:val="0"/>
      <w:vanish w:val="0"/>
      <w:color w:val="auto"/>
      <w:position w:val="0"/>
      <w:sz w:val="20"/>
      <w:szCs w:val="20"/>
      <w:vertAlign w:val="baseline"/>
    </w:rPr>
  </w:style>
  <w:style w:type="character" w:customStyle="1" w:styleId="ListLabel95">
    <w:name w:val="ListLabel 95"/>
    <w:qFormat/>
    <w:rPr>
      <w:rFonts w:cs="Times New Roman"/>
      <w:b w:val="0"/>
      <w:bCs w:val="0"/>
      <w:i/>
      <w:iCs/>
      <w:caps w:val="0"/>
      <w:smallCaps w:val="0"/>
      <w:strike w:val="0"/>
      <w:dstrike w:val="0"/>
      <w:vanish w:val="0"/>
      <w:color w:val="auto"/>
      <w:position w:val="0"/>
      <w:sz w:val="20"/>
      <w:szCs w:val="20"/>
      <w:vertAlign w:val="baseline"/>
    </w:rPr>
  </w:style>
  <w:style w:type="character" w:customStyle="1" w:styleId="ListLabel96">
    <w:name w:val="ListLabel 96"/>
    <w:qFormat/>
    <w:rPr>
      <w:rFonts w:cs="Times New Roman"/>
      <w:b w:val="0"/>
      <w:bCs w:val="0"/>
      <w:i/>
      <w:iCs/>
      <w:caps w:val="0"/>
      <w:smallCaps w:val="0"/>
      <w:strike w:val="0"/>
      <w:dstrike w:val="0"/>
      <w:vanish w:val="0"/>
      <w:color w:val="auto"/>
      <w:position w:val="0"/>
      <w:sz w:val="20"/>
      <w:szCs w:val="20"/>
      <w:vertAlign w:val="baseline"/>
    </w:rPr>
  </w:style>
  <w:style w:type="character" w:customStyle="1" w:styleId="ListLabel97">
    <w:name w:val="ListLabel 97"/>
    <w:qFormat/>
    <w:rPr>
      <w:rFonts w:cs="Times New Roman"/>
      <w:b w:val="0"/>
      <w:bCs w:val="0"/>
      <w:i/>
      <w:iCs/>
      <w:sz w:val="20"/>
      <w:szCs w:val="20"/>
    </w:rPr>
  </w:style>
  <w:style w:type="character" w:customStyle="1" w:styleId="ListLabel98">
    <w:name w:val="ListLabel 98"/>
    <w:qFormat/>
    <w:rPr>
      <w:rFonts w:cs="Times New Roman"/>
    </w:rPr>
  </w:style>
  <w:style w:type="character" w:customStyle="1" w:styleId="ListLabel99">
    <w:name w:val="ListLabel 99"/>
    <w:qFormat/>
    <w:rPr>
      <w:rFonts w:cs="Times New Roman"/>
    </w:rPr>
  </w:style>
  <w:style w:type="character" w:customStyle="1" w:styleId="ListLabel100">
    <w:name w:val="ListLabel 100"/>
    <w:qFormat/>
    <w:rPr>
      <w:rFonts w:cs="Times New Roman"/>
    </w:rPr>
  </w:style>
  <w:style w:type="character" w:customStyle="1" w:styleId="ListLabel101">
    <w:name w:val="ListLabel 101"/>
    <w:qFormat/>
    <w:rPr>
      <w:rFonts w:cs="Times New Roman"/>
    </w:rPr>
  </w:style>
  <w:style w:type="character" w:customStyle="1" w:styleId="ListLabel102">
    <w:name w:val="ListLabel 102"/>
    <w:qFormat/>
    <w:rPr>
      <w:rFonts w:cs="Times New Roman"/>
    </w:rPr>
  </w:style>
  <w:style w:type="character" w:customStyle="1" w:styleId="ListLabel103">
    <w:name w:val="ListLabel 103"/>
    <w:qFormat/>
    <w:rPr>
      <w:rFonts w:cs="Times New Roman"/>
      <w:caps w:val="0"/>
      <w:smallCaps w:val="0"/>
      <w:strike w:val="0"/>
      <w:dstrike w:val="0"/>
      <w:vanish w:val="0"/>
      <w:color w:val="auto"/>
      <w:position w:val="0"/>
      <w:sz w:val="20"/>
      <w:szCs w:val="20"/>
      <w:vertAlign w:val="baseline"/>
    </w:rPr>
  </w:style>
  <w:style w:type="character" w:customStyle="1" w:styleId="ListLabel104">
    <w:name w:val="ListLabel 104"/>
    <w:qFormat/>
    <w:rPr>
      <w:rFonts w:cs="Times New Roman"/>
      <w:b w:val="0"/>
      <w:bCs w:val="0"/>
      <w:i/>
      <w:iCs/>
      <w:caps w:val="0"/>
      <w:smallCaps w:val="0"/>
      <w:strike w:val="0"/>
      <w:dstrike w:val="0"/>
      <w:vanish w:val="0"/>
      <w:color w:val="auto"/>
      <w:position w:val="0"/>
      <w:sz w:val="20"/>
      <w:szCs w:val="20"/>
      <w:vertAlign w:val="baseline"/>
    </w:rPr>
  </w:style>
  <w:style w:type="character" w:customStyle="1" w:styleId="ListLabel105">
    <w:name w:val="ListLabel 105"/>
    <w:qFormat/>
    <w:rPr>
      <w:rFonts w:cs="Times New Roman"/>
      <w:b w:val="0"/>
      <w:bCs w:val="0"/>
      <w:i/>
      <w:iCs/>
      <w:caps w:val="0"/>
      <w:smallCaps w:val="0"/>
      <w:strike w:val="0"/>
      <w:dstrike w:val="0"/>
      <w:vanish w:val="0"/>
      <w:color w:val="auto"/>
      <w:position w:val="0"/>
      <w:sz w:val="20"/>
      <w:szCs w:val="20"/>
      <w:vertAlign w:val="baseline"/>
    </w:rPr>
  </w:style>
  <w:style w:type="character" w:customStyle="1" w:styleId="ListLabel106">
    <w:name w:val="ListLabel 106"/>
    <w:qFormat/>
    <w:rPr>
      <w:rFonts w:cs="Times New Roman"/>
      <w:b w:val="0"/>
      <w:bCs w:val="0"/>
      <w:i/>
      <w:iCs/>
      <w:sz w:val="20"/>
      <w:szCs w:val="20"/>
    </w:rPr>
  </w:style>
  <w:style w:type="character" w:customStyle="1" w:styleId="ListLabel107">
    <w:name w:val="ListLabel 107"/>
    <w:qFormat/>
    <w:rPr>
      <w:rFonts w:cs="Times New Roman"/>
    </w:rPr>
  </w:style>
  <w:style w:type="character" w:customStyle="1" w:styleId="ListLabel108">
    <w:name w:val="ListLabel 108"/>
    <w:qFormat/>
    <w:rPr>
      <w:rFonts w:cs="Times New Roman"/>
    </w:rPr>
  </w:style>
  <w:style w:type="character" w:customStyle="1" w:styleId="ListLabel109">
    <w:name w:val="ListLabel 109"/>
    <w:qFormat/>
    <w:rPr>
      <w:rFonts w:cs="Times New Roman"/>
    </w:rPr>
  </w:style>
  <w:style w:type="character" w:customStyle="1" w:styleId="ListLabel110">
    <w:name w:val="ListLabel 110"/>
    <w:qFormat/>
    <w:rPr>
      <w:rFonts w:cs="Times New Roman"/>
    </w:rPr>
  </w:style>
  <w:style w:type="character" w:customStyle="1" w:styleId="ListLabel111">
    <w:name w:val="ListLabel 111"/>
    <w:qFormat/>
    <w:rPr>
      <w:rFonts w:cs="Times New Roman"/>
    </w:rPr>
  </w:style>
  <w:style w:type="character" w:customStyle="1" w:styleId="ListLabel112">
    <w:name w:val="ListLabel 112"/>
    <w:qFormat/>
    <w:rPr>
      <w:rFonts w:cs="Courier New"/>
    </w:rPr>
  </w:style>
  <w:style w:type="character" w:customStyle="1" w:styleId="ListLabel113">
    <w:name w:val="ListLabel 113"/>
    <w:qFormat/>
    <w:rPr>
      <w:rFonts w:cs="Courier New"/>
    </w:rPr>
  </w:style>
  <w:style w:type="character" w:customStyle="1" w:styleId="ListLabel114">
    <w:name w:val="ListLabel 114"/>
    <w:qFormat/>
    <w:rPr>
      <w:rFonts w:cs="Courier New"/>
    </w:rPr>
  </w:style>
  <w:style w:type="character" w:customStyle="1" w:styleId="ListLabel115">
    <w:name w:val="ListLabel 115"/>
    <w:qFormat/>
    <w:rPr>
      <w:rFonts w:cs="Courier New"/>
    </w:rPr>
  </w:style>
  <w:style w:type="character" w:customStyle="1" w:styleId="ListLabel116">
    <w:name w:val="ListLabel 116"/>
    <w:qFormat/>
    <w:rPr>
      <w:rFonts w:cs="Courier New"/>
    </w:rPr>
  </w:style>
  <w:style w:type="character" w:customStyle="1" w:styleId="ListLabel117">
    <w:name w:val="ListLabel 117"/>
    <w:qFormat/>
    <w:rPr>
      <w:rFonts w:cs="Courier New"/>
    </w:rPr>
  </w:style>
  <w:style w:type="character" w:customStyle="1" w:styleId="ListLabel118">
    <w:name w:val="ListLabel 118"/>
    <w:qFormat/>
    <w:rPr>
      <w:rFonts w:cs="Courier New"/>
    </w:rPr>
  </w:style>
  <w:style w:type="character" w:customStyle="1" w:styleId="ListLabel119">
    <w:name w:val="ListLabel 119"/>
    <w:qFormat/>
    <w:rPr>
      <w:rFonts w:cs="Courier New"/>
    </w:rPr>
  </w:style>
  <w:style w:type="character" w:customStyle="1" w:styleId="ListLabel120">
    <w:name w:val="ListLabel 120"/>
    <w:qFormat/>
    <w:rPr>
      <w:rFonts w:cs="Courier New"/>
    </w:rPr>
  </w:style>
  <w:style w:type="character" w:customStyle="1" w:styleId="ListLabel121">
    <w:name w:val="ListLabel 121"/>
    <w:qFormat/>
    <w:rPr>
      <w:rFonts w:cs="Courier New"/>
    </w:rPr>
  </w:style>
  <w:style w:type="character" w:customStyle="1" w:styleId="ListLabel122">
    <w:name w:val="ListLabel 122"/>
    <w:qFormat/>
    <w:rPr>
      <w:rFonts w:cs="Courier New"/>
    </w:rPr>
  </w:style>
  <w:style w:type="character" w:customStyle="1" w:styleId="ListLabel123">
    <w:name w:val="ListLabel 123"/>
    <w:qFormat/>
    <w:rPr>
      <w:rFonts w:cs="Courier New"/>
    </w:rPr>
  </w:style>
  <w:style w:type="character" w:customStyle="1" w:styleId="ListLabel124">
    <w:name w:val="ListLabel 124"/>
    <w:qFormat/>
    <w:rPr>
      <w:rFonts w:cs="Courier New"/>
    </w:rPr>
  </w:style>
  <w:style w:type="character" w:customStyle="1" w:styleId="ListLabel125">
    <w:name w:val="ListLabel 125"/>
    <w:qFormat/>
    <w:rPr>
      <w:rFonts w:cs="Courier New"/>
    </w:rPr>
  </w:style>
  <w:style w:type="character" w:customStyle="1" w:styleId="ListLabel126">
    <w:name w:val="ListLabel 126"/>
    <w:qFormat/>
    <w:rPr>
      <w:rFonts w:cs="Courier New"/>
    </w:rPr>
  </w:style>
  <w:style w:type="character" w:customStyle="1" w:styleId="ListLabel127">
    <w:name w:val="ListLabel 127"/>
    <w:qFormat/>
    <w:rPr>
      <w:rFonts w:cs="Courier New"/>
    </w:rPr>
  </w:style>
  <w:style w:type="character" w:customStyle="1" w:styleId="ListLabel128">
    <w:name w:val="ListLabel 128"/>
    <w:qFormat/>
    <w:rPr>
      <w:rFonts w:cs="Courier New"/>
    </w:rPr>
  </w:style>
  <w:style w:type="character" w:customStyle="1" w:styleId="ListLabel129">
    <w:name w:val="ListLabel 129"/>
    <w:qFormat/>
    <w:rPr>
      <w:rFonts w:cs="Courier New"/>
    </w:rPr>
  </w:style>
  <w:style w:type="character" w:customStyle="1" w:styleId="ListLabel130">
    <w:name w:val="ListLabel 130"/>
    <w:qFormat/>
    <w:rPr>
      <w:b/>
    </w:rPr>
  </w:style>
  <w:style w:type="character" w:customStyle="1" w:styleId="ListLabel131">
    <w:name w:val="ListLabel 131"/>
    <w:qFormat/>
    <w:rPr>
      <w:b/>
    </w:rPr>
  </w:style>
  <w:style w:type="character" w:customStyle="1" w:styleId="ListLabel132">
    <w:name w:val="ListLabel 132"/>
    <w:qFormat/>
    <w:rPr>
      <w:rFonts w:cs="Times New Roman"/>
      <w:caps w:val="0"/>
      <w:smallCaps w:val="0"/>
      <w:strike w:val="0"/>
      <w:dstrike w:val="0"/>
      <w:vanish w:val="0"/>
      <w:color w:val="auto"/>
      <w:position w:val="0"/>
      <w:sz w:val="20"/>
      <w:szCs w:val="20"/>
      <w:vertAlign w:val="baseline"/>
    </w:rPr>
  </w:style>
  <w:style w:type="character" w:customStyle="1" w:styleId="ListLabel133">
    <w:name w:val="ListLabel 133"/>
    <w:qFormat/>
    <w:rPr>
      <w:rFonts w:cs="Times New Roman"/>
      <w:b w:val="0"/>
      <w:bCs w:val="0"/>
      <w:i/>
      <w:iCs/>
      <w:caps w:val="0"/>
      <w:smallCaps w:val="0"/>
      <w:strike w:val="0"/>
      <w:dstrike w:val="0"/>
      <w:vanish w:val="0"/>
      <w:color w:val="auto"/>
      <w:position w:val="0"/>
      <w:sz w:val="20"/>
      <w:szCs w:val="20"/>
      <w:vertAlign w:val="baseline"/>
    </w:rPr>
  </w:style>
  <w:style w:type="character" w:customStyle="1" w:styleId="ListLabel134">
    <w:name w:val="ListLabel 134"/>
    <w:qFormat/>
    <w:rPr>
      <w:rFonts w:cs="Times New Roman"/>
      <w:b w:val="0"/>
      <w:bCs w:val="0"/>
      <w:i/>
      <w:iCs/>
      <w:caps w:val="0"/>
      <w:smallCaps w:val="0"/>
      <w:strike w:val="0"/>
      <w:dstrike w:val="0"/>
      <w:vanish w:val="0"/>
      <w:color w:val="auto"/>
      <w:position w:val="0"/>
      <w:sz w:val="20"/>
      <w:szCs w:val="20"/>
      <w:vertAlign w:val="baseline"/>
    </w:rPr>
  </w:style>
  <w:style w:type="character" w:customStyle="1" w:styleId="ListLabel135">
    <w:name w:val="ListLabel 135"/>
    <w:qFormat/>
    <w:rPr>
      <w:rFonts w:cs="Times New Roman"/>
      <w:b w:val="0"/>
      <w:bCs w:val="0"/>
      <w:i/>
      <w:iCs/>
      <w:sz w:val="20"/>
      <w:szCs w:val="20"/>
    </w:rPr>
  </w:style>
  <w:style w:type="character" w:customStyle="1" w:styleId="ListLabel136">
    <w:name w:val="ListLabel 136"/>
    <w:qFormat/>
    <w:rPr>
      <w:rFonts w:cs="Times New Roman"/>
    </w:rPr>
  </w:style>
  <w:style w:type="character" w:customStyle="1" w:styleId="ListLabel137">
    <w:name w:val="ListLabel 137"/>
    <w:qFormat/>
    <w:rPr>
      <w:rFonts w:cs="Times New Roman"/>
    </w:rPr>
  </w:style>
  <w:style w:type="character" w:customStyle="1" w:styleId="ListLabel138">
    <w:name w:val="ListLabel 138"/>
    <w:qFormat/>
    <w:rPr>
      <w:rFonts w:cs="Times New Roman"/>
    </w:rPr>
  </w:style>
  <w:style w:type="character" w:customStyle="1" w:styleId="ListLabel139">
    <w:name w:val="ListLabel 139"/>
    <w:qFormat/>
    <w:rPr>
      <w:rFonts w:cs="Times New Roman"/>
    </w:rPr>
  </w:style>
  <w:style w:type="character" w:customStyle="1" w:styleId="ListLabel140">
    <w:name w:val="ListLabel 140"/>
    <w:qFormat/>
    <w:rPr>
      <w:rFonts w:cs="Times New Roman"/>
    </w:rPr>
  </w:style>
  <w:style w:type="character" w:customStyle="1" w:styleId="ListLabel141">
    <w:name w:val="ListLabel 141"/>
    <w:qFormat/>
    <w:rPr>
      <w:rFonts w:cs="Courier New"/>
    </w:rPr>
  </w:style>
  <w:style w:type="character" w:customStyle="1" w:styleId="ListLabel142">
    <w:name w:val="ListLabel 142"/>
    <w:qFormat/>
    <w:rPr>
      <w:rFonts w:cs="Courier New"/>
    </w:rPr>
  </w:style>
  <w:style w:type="character" w:customStyle="1" w:styleId="ListLabel143">
    <w:name w:val="ListLabel 143"/>
    <w:qFormat/>
    <w:rPr>
      <w:rFonts w:cs="Courier New"/>
    </w:rPr>
  </w:style>
  <w:style w:type="character" w:customStyle="1" w:styleId="ListLabel144">
    <w:name w:val="ListLabel 144"/>
    <w:qFormat/>
    <w:rPr>
      <w:rFonts w:cs="Courier New"/>
    </w:rPr>
  </w:style>
  <w:style w:type="character" w:customStyle="1" w:styleId="ListLabel145">
    <w:name w:val="ListLabel 145"/>
    <w:qFormat/>
    <w:rPr>
      <w:rFonts w:cs="Courier New"/>
    </w:rPr>
  </w:style>
  <w:style w:type="character" w:customStyle="1" w:styleId="ListLabel146">
    <w:name w:val="ListLabel 146"/>
    <w:qFormat/>
    <w:rPr>
      <w:rFonts w:cs="Courier New"/>
    </w:rPr>
  </w:style>
  <w:style w:type="character" w:customStyle="1" w:styleId="ListLabel147">
    <w:name w:val="ListLabel 147"/>
    <w:qFormat/>
    <w:rPr>
      <w:rFonts w:cs="Courier New"/>
    </w:rPr>
  </w:style>
  <w:style w:type="character" w:customStyle="1" w:styleId="ListLabel148">
    <w:name w:val="ListLabel 148"/>
    <w:qFormat/>
    <w:rPr>
      <w:rFonts w:cs="Courier New"/>
    </w:rPr>
  </w:style>
  <w:style w:type="character" w:customStyle="1" w:styleId="ListLabel149">
    <w:name w:val="ListLabel 149"/>
    <w:qFormat/>
    <w:rPr>
      <w:rFonts w:cs="Courier New"/>
    </w:rPr>
  </w:style>
  <w:style w:type="character" w:customStyle="1" w:styleId="ListLabel150">
    <w:name w:val="ListLabel 150"/>
    <w:qFormat/>
    <w:rPr>
      <w:rFonts w:eastAsia="SimSun" w:cs="Times New Roman"/>
    </w:rPr>
  </w:style>
  <w:style w:type="character" w:customStyle="1" w:styleId="ListLabel151">
    <w:name w:val="ListLabel 151"/>
    <w:qFormat/>
    <w:rPr>
      <w:rFonts w:cs="Courier New"/>
    </w:rPr>
  </w:style>
  <w:style w:type="character" w:customStyle="1" w:styleId="ListLabel152">
    <w:name w:val="ListLabel 152"/>
    <w:qFormat/>
    <w:rPr>
      <w:rFonts w:cs="Courier New"/>
    </w:rPr>
  </w:style>
  <w:style w:type="character" w:customStyle="1" w:styleId="ListLabel153">
    <w:name w:val="ListLabel 153"/>
    <w:qFormat/>
    <w:rPr>
      <w:rFonts w:cs="Courier New"/>
    </w:rPr>
  </w:style>
  <w:style w:type="character" w:customStyle="1" w:styleId="ListLabel154">
    <w:name w:val="ListLabel 154"/>
    <w:qFormat/>
    <w:rPr>
      <w:rFonts w:eastAsia="SimSun" w:cs="Times New Roman"/>
    </w:rPr>
  </w:style>
  <w:style w:type="character" w:customStyle="1" w:styleId="ListLabel155">
    <w:name w:val="ListLabel 155"/>
    <w:qFormat/>
    <w:rPr>
      <w:rFonts w:cs="Courier New"/>
    </w:rPr>
  </w:style>
  <w:style w:type="character" w:customStyle="1" w:styleId="ListLabel156">
    <w:name w:val="ListLabel 156"/>
    <w:qFormat/>
    <w:rPr>
      <w:rFonts w:cs="Courier New"/>
    </w:rPr>
  </w:style>
  <w:style w:type="character" w:customStyle="1" w:styleId="ListLabel157">
    <w:name w:val="ListLabel 157"/>
    <w:qFormat/>
    <w:rPr>
      <w:rFonts w:cs="Courier New"/>
    </w:rPr>
  </w:style>
  <w:style w:type="character" w:customStyle="1" w:styleId="ListLabel158">
    <w:name w:val="ListLabel 158"/>
    <w:qFormat/>
    <w:rPr>
      <w:rFonts w:cs="Courier New"/>
    </w:rPr>
  </w:style>
  <w:style w:type="character" w:customStyle="1" w:styleId="ListLabel159">
    <w:name w:val="ListLabel 159"/>
    <w:qFormat/>
    <w:rPr>
      <w:rFonts w:cs="Courier New"/>
    </w:rPr>
  </w:style>
  <w:style w:type="character" w:customStyle="1" w:styleId="ListLabel160">
    <w:name w:val="ListLabel 160"/>
    <w:qFormat/>
    <w:rPr>
      <w:rFonts w:cs="Courier New"/>
    </w:rPr>
  </w:style>
  <w:style w:type="character" w:customStyle="1" w:styleId="ListLabel161">
    <w:name w:val="ListLabel 161"/>
    <w:qFormat/>
    <w:rPr>
      <w:rFonts w:cs="Courier New"/>
    </w:rPr>
  </w:style>
  <w:style w:type="character" w:customStyle="1" w:styleId="ListLabel162">
    <w:name w:val="ListLabel 162"/>
    <w:qFormat/>
    <w:rPr>
      <w:rFonts w:cs="Courier New"/>
    </w:rPr>
  </w:style>
  <w:style w:type="character" w:customStyle="1" w:styleId="ListLabel163">
    <w:name w:val="ListLabel 163"/>
    <w:qFormat/>
    <w:rPr>
      <w:rFonts w:cs="Courier New"/>
    </w:rPr>
  </w:style>
  <w:style w:type="character" w:customStyle="1" w:styleId="ListLabel164">
    <w:name w:val="ListLabel 164"/>
    <w:qFormat/>
    <w:rPr>
      <w:rFonts w:cs="Courier New"/>
    </w:rPr>
  </w:style>
  <w:style w:type="character" w:customStyle="1" w:styleId="ListLabel165">
    <w:name w:val="ListLabel 165"/>
    <w:qFormat/>
    <w:rPr>
      <w:rFonts w:cs="Courier New"/>
    </w:rPr>
  </w:style>
  <w:style w:type="character" w:customStyle="1" w:styleId="ListLabel166">
    <w:name w:val="ListLabel 166"/>
    <w:qFormat/>
    <w:rPr>
      <w:rFonts w:cs="Courier New"/>
    </w:rPr>
  </w:style>
  <w:style w:type="character" w:customStyle="1" w:styleId="ListLabel167">
    <w:name w:val="ListLabel 167"/>
    <w:qFormat/>
    <w:rPr>
      <w:rFonts w:cs="Courier New"/>
    </w:rPr>
  </w:style>
  <w:style w:type="character" w:customStyle="1" w:styleId="ListLabel168">
    <w:name w:val="ListLabel 168"/>
    <w:qFormat/>
    <w:rPr>
      <w:rFonts w:cs="Courier New"/>
    </w:rPr>
  </w:style>
  <w:style w:type="character" w:customStyle="1" w:styleId="ListLabel169">
    <w:name w:val="ListLabel 169"/>
    <w:qFormat/>
    <w:rPr>
      <w:rFonts w:cs="Courier New"/>
    </w:rPr>
  </w:style>
  <w:style w:type="character" w:customStyle="1" w:styleId="ListLabel170">
    <w:name w:val="ListLabel 170"/>
    <w:qFormat/>
    <w:rPr>
      <w:rFonts w:cs="Courier New"/>
    </w:rPr>
  </w:style>
  <w:style w:type="character" w:customStyle="1" w:styleId="ListLabel171">
    <w:name w:val="ListLabel 171"/>
    <w:qFormat/>
    <w:rPr>
      <w:rFonts w:cs="Courier New"/>
    </w:rPr>
  </w:style>
  <w:style w:type="character" w:customStyle="1" w:styleId="ListLabel172">
    <w:name w:val="ListLabel 172"/>
    <w:qFormat/>
    <w:rPr>
      <w:rFonts w:cs="Courier New"/>
    </w:rPr>
  </w:style>
  <w:style w:type="character" w:customStyle="1" w:styleId="ListLabel173">
    <w:name w:val="ListLabel 173"/>
    <w:qFormat/>
    <w:rPr>
      <w:rFonts w:cs="Courier New"/>
    </w:rPr>
  </w:style>
  <w:style w:type="character" w:customStyle="1" w:styleId="ListLabel174">
    <w:name w:val="ListLabel 174"/>
    <w:qFormat/>
    <w:rPr>
      <w:rFonts w:cs="Courier New"/>
    </w:rPr>
  </w:style>
  <w:style w:type="character" w:customStyle="1" w:styleId="ListLabel175">
    <w:name w:val="ListLabel 175"/>
    <w:qFormat/>
    <w:rPr>
      <w:rFonts w:cs="Courier New"/>
    </w:rPr>
  </w:style>
  <w:style w:type="character" w:customStyle="1" w:styleId="ListLabel176">
    <w:name w:val="ListLabel 176"/>
    <w:qFormat/>
    <w:rPr>
      <w:rFonts w:cs="Courier New"/>
    </w:rPr>
  </w:style>
  <w:style w:type="character" w:customStyle="1" w:styleId="ListLabel177">
    <w:name w:val="ListLabel 177"/>
    <w:qFormat/>
    <w:rPr>
      <w:rFonts w:cs="Courier New"/>
    </w:rPr>
  </w:style>
  <w:style w:type="character" w:customStyle="1" w:styleId="ListLabel178">
    <w:name w:val="ListLabel 178"/>
    <w:qFormat/>
    <w:rPr>
      <w:rFonts w:cs="Courier New"/>
    </w:rPr>
  </w:style>
  <w:style w:type="character" w:customStyle="1" w:styleId="ListLabel179">
    <w:name w:val="ListLabel 179"/>
    <w:qFormat/>
    <w:rPr>
      <w:rFonts w:cs="Courier New"/>
    </w:rPr>
  </w:style>
  <w:style w:type="character" w:customStyle="1" w:styleId="ListLabel180">
    <w:name w:val="ListLabel 180"/>
    <w:qFormat/>
    <w:rPr>
      <w:rFonts w:cs="Courier New"/>
    </w:rPr>
  </w:style>
  <w:style w:type="character" w:customStyle="1" w:styleId="ListLabel181">
    <w:name w:val="ListLabel 181"/>
    <w:qFormat/>
    <w:rPr>
      <w:rFonts w:cs="Courier New"/>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rFonts w:cs="Courier New"/>
    </w:rPr>
  </w:style>
  <w:style w:type="character" w:customStyle="1" w:styleId="ListLabel192">
    <w:name w:val="ListLabel 192"/>
    <w:qFormat/>
    <w:rPr>
      <w:rFonts w:cs="Courier New"/>
    </w:rPr>
  </w:style>
  <w:style w:type="character" w:customStyle="1" w:styleId="ListLabel193">
    <w:name w:val="ListLabel 193"/>
    <w:qFormat/>
    <w:rPr>
      <w:rFonts w:cs="Courier New"/>
    </w:rPr>
  </w:style>
  <w:style w:type="character" w:customStyle="1" w:styleId="ListLabel194">
    <w:name w:val="ListLabel 194"/>
    <w:qFormat/>
    <w:rPr>
      <w:rFonts w:cs="Courier New"/>
    </w:rPr>
  </w:style>
  <w:style w:type="character" w:customStyle="1" w:styleId="ListLabel195">
    <w:name w:val="ListLabel 195"/>
    <w:qFormat/>
    <w:rPr>
      <w:rFonts w:cs="Courier New"/>
    </w:rPr>
  </w:style>
  <w:style w:type="character" w:customStyle="1" w:styleId="ListLabel196">
    <w:name w:val="ListLabel 196"/>
    <w:qFormat/>
    <w:rPr>
      <w:rFonts w:cs="Courier New"/>
    </w:rPr>
  </w:style>
  <w:style w:type="character" w:customStyle="1" w:styleId="ListLabel197">
    <w:name w:val="ListLabel 197"/>
    <w:qFormat/>
    <w:rPr>
      <w:rFonts w:cs="Times New Roman"/>
      <w:caps w:val="0"/>
      <w:smallCaps w:val="0"/>
      <w:strike w:val="0"/>
      <w:dstrike w:val="0"/>
      <w:vanish w:val="0"/>
      <w:color w:val="auto"/>
      <w:position w:val="0"/>
      <w:sz w:val="20"/>
      <w:szCs w:val="20"/>
      <w:vertAlign w:val="baseline"/>
    </w:rPr>
  </w:style>
  <w:style w:type="character" w:customStyle="1" w:styleId="ListLabel198">
    <w:name w:val="ListLabel 198"/>
    <w:qFormat/>
    <w:rPr>
      <w:rFonts w:cs="Times New Roman"/>
      <w:b w:val="0"/>
      <w:bCs w:val="0"/>
      <w:i/>
      <w:iCs/>
      <w:caps w:val="0"/>
      <w:smallCaps w:val="0"/>
      <w:strike w:val="0"/>
      <w:dstrike w:val="0"/>
      <w:vanish w:val="0"/>
      <w:color w:val="auto"/>
      <w:position w:val="0"/>
      <w:sz w:val="20"/>
      <w:szCs w:val="20"/>
      <w:vertAlign w:val="baseline"/>
    </w:rPr>
  </w:style>
  <w:style w:type="character" w:customStyle="1" w:styleId="ListLabel199">
    <w:name w:val="ListLabel 199"/>
    <w:qFormat/>
    <w:rPr>
      <w:rFonts w:cs="Times New Roman"/>
      <w:b w:val="0"/>
      <w:bCs w:val="0"/>
      <w:i/>
      <w:iCs/>
      <w:caps w:val="0"/>
      <w:smallCaps w:val="0"/>
      <w:strike w:val="0"/>
      <w:dstrike w:val="0"/>
      <w:vanish w:val="0"/>
      <w:color w:val="auto"/>
      <w:position w:val="0"/>
      <w:sz w:val="20"/>
      <w:szCs w:val="20"/>
      <w:vertAlign w:val="baseline"/>
    </w:rPr>
  </w:style>
  <w:style w:type="character" w:customStyle="1" w:styleId="ListLabel200">
    <w:name w:val="ListLabel 200"/>
    <w:qFormat/>
    <w:rPr>
      <w:rFonts w:cs="Times New Roman"/>
      <w:b w:val="0"/>
      <w:bCs w:val="0"/>
      <w:i/>
      <w:iCs/>
      <w:sz w:val="20"/>
      <w:szCs w:val="20"/>
    </w:rPr>
  </w:style>
  <w:style w:type="character" w:customStyle="1" w:styleId="ListLabel201">
    <w:name w:val="ListLabel 201"/>
    <w:qFormat/>
    <w:rPr>
      <w:rFonts w:cs="Times New Roman"/>
    </w:rPr>
  </w:style>
  <w:style w:type="character" w:customStyle="1" w:styleId="ListLabel202">
    <w:name w:val="ListLabel 202"/>
    <w:qFormat/>
    <w:rPr>
      <w:rFonts w:cs="Times New Roman"/>
    </w:rPr>
  </w:style>
  <w:style w:type="character" w:customStyle="1" w:styleId="ListLabel203">
    <w:name w:val="ListLabel 203"/>
    <w:qFormat/>
    <w:rPr>
      <w:rFonts w:cs="Times New Roman"/>
    </w:rPr>
  </w:style>
  <w:style w:type="character" w:customStyle="1" w:styleId="ListLabel204">
    <w:name w:val="ListLabel 204"/>
    <w:qFormat/>
    <w:rPr>
      <w:rFonts w:cs="Times New Roman"/>
    </w:rPr>
  </w:style>
  <w:style w:type="character" w:customStyle="1" w:styleId="ListLabel205">
    <w:name w:val="ListLabel 205"/>
    <w:qFormat/>
    <w:rPr>
      <w:rFonts w:cs="Times New Roman"/>
    </w:rPr>
  </w:style>
  <w:style w:type="character" w:customStyle="1" w:styleId="ListLabel206">
    <w:name w:val="ListLabel 206"/>
    <w:qFormat/>
    <w:rPr>
      <w:rFonts w:cs="Courier New"/>
    </w:rPr>
  </w:style>
  <w:style w:type="character" w:customStyle="1" w:styleId="ListLabel207">
    <w:name w:val="ListLabel 207"/>
    <w:qFormat/>
    <w:rPr>
      <w:rFonts w:cs="Courier New"/>
    </w:rPr>
  </w:style>
  <w:style w:type="character" w:customStyle="1" w:styleId="ListLabel208">
    <w:name w:val="ListLabel 208"/>
    <w:qFormat/>
    <w:rPr>
      <w:rFonts w:cs="Courier New"/>
    </w:rPr>
  </w:style>
  <w:style w:type="character" w:customStyle="1" w:styleId="ListLabel209">
    <w:name w:val="ListLabel 209"/>
    <w:qFormat/>
    <w:rPr>
      <w:rFonts w:cs="Courier New"/>
    </w:rPr>
  </w:style>
  <w:style w:type="character" w:customStyle="1" w:styleId="ListLabel210">
    <w:name w:val="ListLabel 210"/>
    <w:qFormat/>
    <w:rPr>
      <w:rFonts w:cs="Courier New"/>
    </w:rPr>
  </w:style>
  <w:style w:type="character" w:customStyle="1" w:styleId="ListLabel211">
    <w:name w:val="ListLabel 211"/>
    <w:qFormat/>
    <w:rPr>
      <w:rFonts w:cs="Courier New"/>
    </w:rPr>
  </w:style>
  <w:style w:type="character" w:customStyle="1" w:styleId="NumberingSymbols">
    <w:name w:val="Numbering Symbols"/>
    <w:qFormat/>
  </w:style>
  <w:style w:type="character" w:customStyle="1" w:styleId="ListLabel212">
    <w:name w:val="ListLabel 212"/>
    <w:qFormat/>
    <w:rPr>
      <w:rFonts w:cs="Times New Roman"/>
      <w:caps w:val="0"/>
      <w:smallCaps w:val="0"/>
      <w:strike w:val="0"/>
      <w:dstrike w:val="0"/>
      <w:vanish w:val="0"/>
      <w:color w:val="auto"/>
      <w:position w:val="0"/>
      <w:sz w:val="24"/>
      <w:szCs w:val="20"/>
      <w:vertAlign w:val="baseline"/>
    </w:rPr>
  </w:style>
  <w:style w:type="character" w:customStyle="1" w:styleId="ListLabel213">
    <w:name w:val="ListLabel 213"/>
    <w:qFormat/>
    <w:rPr>
      <w:rFonts w:cs="Times New Roman"/>
      <w:b w:val="0"/>
      <w:bCs w:val="0"/>
      <w:i/>
      <w:iCs/>
      <w:caps w:val="0"/>
      <w:smallCaps w:val="0"/>
      <w:strike w:val="0"/>
      <w:dstrike w:val="0"/>
      <w:vanish w:val="0"/>
      <w:color w:val="auto"/>
      <w:position w:val="0"/>
      <w:sz w:val="20"/>
      <w:szCs w:val="20"/>
      <w:vertAlign w:val="baseline"/>
    </w:rPr>
  </w:style>
  <w:style w:type="character" w:customStyle="1" w:styleId="ListLabel214">
    <w:name w:val="ListLabel 214"/>
    <w:qFormat/>
    <w:rPr>
      <w:rFonts w:cs="Times New Roman"/>
      <w:b w:val="0"/>
      <w:bCs w:val="0"/>
      <w:i/>
      <w:iCs/>
      <w:caps w:val="0"/>
      <w:smallCaps w:val="0"/>
      <w:strike w:val="0"/>
      <w:dstrike w:val="0"/>
      <w:vanish w:val="0"/>
      <w:color w:val="auto"/>
      <w:position w:val="0"/>
      <w:sz w:val="20"/>
      <w:szCs w:val="20"/>
      <w:vertAlign w:val="baseline"/>
    </w:rPr>
  </w:style>
  <w:style w:type="character" w:customStyle="1" w:styleId="ListLabel215">
    <w:name w:val="ListLabel 215"/>
    <w:qFormat/>
    <w:rPr>
      <w:rFonts w:cs="Times New Roman"/>
      <w:b w:val="0"/>
      <w:bCs w:val="0"/>
      <w:i/>
      <w:iCs/>
      <w:sz w:val="20"/>
      <w:szCs w:val="20"/>
    </w:rPr>
  </w:style>
  <w:style w:type="character" w:customStyle="1" w:styleId="ListLabel216">
    <w:name w:val="ListLabel 216"/>
    <w:qFormat/>
    <w:rPr>
      <w:rFonts w:cs="Times New Roman"/>
      <w:caps w:val="0"/>
      <w:smallCaps w:val="0"/>
      <w:strike w:val="0"/>
      <w:dstrike w:val="0"/>
      <w:vanish w:val="0"/>
      <w:color w:val="auto"/>
      <w:position w:val="0"/>
      <w:sz w:val="24"/>
      <w:szCs w:val="20"/>
      <w:vertAlign w:val="baseline"/>
    </w:rPr>
  </w:style>
  <w:style w:type="character" w:customStyle="1" w:styleId="ListLabel217">
    <w:name w:val="ListLabel 217"/>
    <w:qFormat/>
    <w:rPr>
      <w:rFonts w:cs="Times New Roman"/>
      <w:b w:val="0"/>
      <w:bCs w:val="0"/>
      <w:i/>
      <w:iCs/>
      <w:caps w:val="0"/>
      <w:smallCaps w:val="0"/>
      <w:strike w:val="0"/>
      <w:dstrike w:val="0"/>
      <w:vanish w:val="0"/>
      <w:color w:val="auto"/>
      <w:position w:val="0"/>
      <w:sz w:val="20"/>
      <w:szCs w:val="20"/>
      <w:vertAlign w:val="baseline"/>
    </w:rPr>
  </w:style>
  <w:style w:type="character" w:customStyle="1" w:styleId="ListLabel218">
    <w:name w:val="ListLabel 218"/>
    <w:qFormat/>
    <w:rPr>
      <w:rFonts w:cs="Times New Roman"/>
      <w:b w:val="0"/>
      <w:bCs w:val="0"/>
      <w:i/>
      <w:iCs/>
      <w:caps w:val="0"/>
      <w:smallCaps w:val="0"/>
      <w:strike w:val="0"/>
      <w:dstrike w:val="0"/>
      <w:vanish w:val="0"/>
      <w:color w:val="auto"/>
      <w:position w:val="0"/>
      <w:sz w:val="20"/>
      <w:szCs w:val="20"/>
      <w:vertAlign w:val="baseline"/>
    </w:rPr>
  </w:style>
  <w:style w:type="character" w:customStyle="1" w:styleId="ListLabel219">
    <w:name w:val="ListLabel 219"/>
    <w:qFormat/>
    <w:rPr>
      <w:rFonts w:cs="Times New Roman"/>
      <w:b w:val="0"/>
      <w:bCs w:val="0"/>
      <w:i/>
      <w:iCs/>
      <w:sz w:val="20"/>
      <w:szCs w:val="20"/>
    </w:rPr>
  </w:style>
  <w:style w:type="character" w:customStyle="1" w:styleId="ListLabel220">
    <w:name w:val="ListLabel 220"/>
    <w:qFormat/>
    <w:rPr>
      <w:rFonts w:cs="Times New Roman"/>
    </w:rPr>
  </w:style>
  <w:style w:type="character" w:customStyle="1" w:styleId="ListLabel221">
    <w:name w:val="ListLabel 221"/>
    <w:qFormat/>
    <w:rPr>
      <w:rFonts w:cs="Times New Roman"/>
    </w:rPr>
  </w:style>
  <w:style w:type="character" w:customStyle="1" w:styleId="ListLabel222">
    <w:name w:val="ListLabel 222"/>
    <w:qFormat/>
    <w:rPr>
      <w:rFonts w:cs="Times New Roman"/>
    </w:rPr>
  </w:style>
  <w:style w:type="character" w:customStyle="1" w:styleId="ListLabel223">
    <w:name w:val="ListLabel 223"/>
    <w:qFormat/>
    <w:rPr>
      <w:rFonts w:cs="Times New Roman"/>
    </w:rPr>
  </w:style>
  <w:style w:type="character" w:customStyle="1" w:styleId="ListLabel224">
    <w:name w:val="ListLabel 224"/>
    <w:qFormat/>
    <w:rPr>
      <w:rFonts w:cs="Times New Roman"/>
    </w:rPr>
  </w:style>
  <w:style w:type="character" w:customStyle="1" w:styleId="StrongEmphasis">
    <w:name w:val="Strong Emphasis"/>
    <w:qFormat/>
    <w:rPr>
      <w:b/>
      <w:bCs/>
    </w:rPr>
  </w:style>
  <w:style w:type="paragraph" w:customStyle="1" w:styleId="Heading">
    <w:name w:val="Heading"/>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20" w:line="228" w:lineRule="auto"/>
      <w:ind w:firstLine="288"/>
      <w:jc w:val="both"/>
    </w:pPr>
    <w:rPr>
      <w:spacing w:val="-1"/>
    </w:rPr>
  </w:style>
  <w:style w:type="paragraph" w:styleId="List">
    <w:name w:val="List"/>
    <w:basedOn w:val="BodyText"/>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customStyle="1" w:styleId="Index">
    <w:name w:val="Index"/>
    <w:basedOn w:val="Normal"/>
    <w:qFormat/>
    <w:pPr>
      <w:suppressLineNumbers/>
    </w:pPr>
    <w:rPr>
      <w:rFonts w:cs="Lohit Devanagari"/>
    </w:rPr>
  </w:style>
  <w:style w:type="paragraph" w:customStyle="1" w:styleId="Abstract">
    <w:name w:val="Abstract"/>
    <w:qFormat/>
    <w:pPr>
      <w:spacing w:after="200"/>
      <w:jc w:val="both"/>
    </w:pPr>
    <w:rPr>
      <w:b/>
      <w:bCs/>
      <w:sz w:val="18"/>
      <w:szCs w:val="18"/>
      <w:lang w:val="en-US" w:eastAsia="en-US"/>
    </w:rPr>
  </w:style>
  <w:style w:type="paragraph" w:customStyle="1" w:styleId="Affiliation">
    <w:name w:val="Affiliation"/>
    <w:qFormat/>
    <w:pPr>
      <w:jc w:val="center"/>
    </w:pPr>
    <w:rPr>
      <w:lang w:val="en-US" w:eastAsia="en-US"/>
    </w:rPr>
  </w:style>
  <w:style w:type="paragraph" w:customStyle="1" w:styleId="Author">
    <w:name w:val="Author"/>
    <w:qFormat/>
    <w:pPr>
      <w:spacing w:before="360" w:after="40"/>
      <w:jc w:val="center"/>
    </w:pPr>
    <w:rPr>
      <w:sz w:val="22"/>
      <w:szCs w:val="22"/>
      <w:lang w:val="en-US" w:eastAsia="en-US"/>
    </w:rPr>
  </w:style>
  <w:style w:type="paragraph" w:customStyle="1" w:styleId="bulletlist">
    <w:name w:val="bullet list"/>
    <w:basedOn w:val="BodyText"/>
    <w:qFormat/>
  </w:style>
  <w:style w:type="paragraph" w:customStyle="1" w:styleId="equation">
    <w:name w:val="equation"/>
    <w:basedOn w:val="Normal"/>
    <w:qFormat/>
    <w:pPr>
      <w:tabs>
        <w:tab w:val="center" w:pos="2520"/>
        <w:tab w:val="right" w:pos="5040"/>
      </w:tabs>
      <w:spacing w:before="240" w:after="240" w:line="216" w:lineRule="auto"/>
    </w:pPr>
    <w:rPr>
      <w:rFonts w:ascii="Symbol" w:hAnsi="Symbol" w:cs="Symbol"/>
    </w:rPr>
  </w:style>
  <w:style w:type="paragraph" w:customStyle="1" w:styleId="figurecaption">
    <w:name w:val="figure caption"/>
    <w:qFormat/>
    <w:pPr>
      <w:spacing w:before="80" w:after="200"/>
      <w:jc w:val="center"/>
    </w:pPr>
    <w:rPr>
      <w:sz w:val="16"/>
      <w:szCs w:val="16"/>
      <w:lang w:val="en-US" w:eastAsia="en-US"/>
    </w:rPr>
  </w:style>
  <w:style w:type="paragraph" w:customStyle="1" w:styleId="footnote">
    <w:name w:val="footnote"/>
    <w:qFormat/>
    <w:pPr>
      <w:spacing w:after="40"/>
    </w:pPr>
    <w:rPr>
      <w:sz w:val="16"/>
      <w:szCs w:val="16"/>
      <w:lang w:val="en-US" w:eastAsia="en-US"/>
    </w:rPr>
  </w:style>
  <w:style w:type="paragraph" w:customStyle="1" w:styleId="keywords">
    <w:name w:val="key words"/>
    <w:qFormat/>
    <w:pPr>
      <w:spacing w:after="120"/>
      <w:ind w:firstLine="288"/>
      <w:jc w:val="both"/>
    </w:pPr>
    <w:rPr>
      <w:b/>
      <w:bCs/>
      <w:i/>
      <w:iCs/>
      <w:sz w:val="18"/>
      <w:szCs w:val="18"/>
      <w:lang w:val="en-US" w:eastAsia="en-US"/>
    </w:rPr>
  </w:style>
  <w:style w:type="paragraph" w:customStyle="1" w:styleId="papersubtitle">
    <w:name w:val="paper subtitle"/>
    <w:qFormat/>
    <w:pPr>
      <w:spacing w:after="120"/>
      <w:jc w:val="center"/>
    </w:pPr>
    <w:rPr>
      <w:rFonts w:eastAsia="MS Mincho"/>
      <w:sz w:val="28"/>
      <w:szCs w:val="28"/>
      <w:lang w:val="en-US" w:eastAsia="en-US"/>
    </w:rPr>
  </w:style>
  <w:style w:type="paragraph" w:customStyle="1" w:styleId="papertitle">
    <w:name w:val="paper title"/>
    <w:qFormat/>
    <w:pPr>
      <w:spacing w:after="120"/>
      <w:jc w:val="center"/>
    </w:pPr>
    <w:rPr>
      <w:rFonts w:eastAsia="MS Mincho"/>
      <w:sz w:val="48"/>
      <w:szCs w:val="48"/>
      <w:lang w:val="en-US" w:eastAsia="en-US"/>
    </w:rPr>
  </w:style>
  <w:style w:type="paragraph" w:customStyle="1" w:styleId="references">
    <w:name w:val="references"/>
    <w:qFormat/>
    <w:pPr>
      <w:spacing w:after="50" w:line="180" w:lineRule="exact"/>
      <w:jc w:val="both"/>
    </w:pPr>
    <w:rPr>
      <w:rFonts w:eastAsia="MS Mincho"/>
      <w:sz w:val="16"/>
      <w:szCs w:val="16"/>
      <w:lang w:val="en-US" w:eastAsia="en-US"/>
    </w:rPr>
  </w:style>
  <w:style w:type="paragraph" w:customStyle="1" w:styleId="sponsors">
    <w:name w:val="sponsors"/>
    <w:qFormat/>
    <w:pPr>
      <w:pBdr>
        <w:top w:val="single" w:sz="4" w:space="2" w:color="000000"/>
      </w:pBdr>
      <w:ind w:firstLine="288"/>
    </w:pPr>
    <w:rPr>
      <w:sz w:val="16"/>
      <w:szCs w:val="16"/>
      <w:lang w:val="en-US" w:eastAsia="en-US"/>
    </w:rPr>
  </w:style>
  <w:style w:type="paragraph" w:customStyle="1" w:styleId="tablecolhead">
    <w:name w:val="table col head"/>
    <w:basedOn w:val="Normal"/>
    <w:qFormat/>
    <w:rPr>
      <w:b/>
      <w:bCs/>
      <w:sz w:val="16"/>
      <w:szCs w:val="16"/>
    </w:rPr>
  </w:style>
  <w:style w:type="paragraph" w:customStyle="1" w:styleId="tablecolsubhead">
    <w:name w:val="table col subhead"/>
    <w:basedOn w:val="tablecolhead"/>
    <w:qFormat/>
    <w:rPr>
      <w:i/>
      <w:iCs/>
      <w:sz w:val="15"/>
      <w:szCs w:val="15"/>
    </w:rPr>
  </w:style>
  <w:style w:type="paragraph" w:customStyle="1" w:styleId="tablecopy">
    <w:name w:val="table copy"/>
    <w:qFormat/>
    <w:pPr>
      <w:jc w:val="both"/>
    </w:pPr>
    <w:rPr>
      <w:sz w:val="16"/>
      <w:szCs w:val="16"/>
      <w:lang w:val="en-US" w:eastAsia="en-US"/>
    </w:rPr>
  </w:style>
  <w:style w:type="paragraph" w:customStyle="1" w:styleId="tablefootnote">
    <w:name w:val="table footnote"/>
    <w:qFormat/>
    <w:pPr>
      <w:spacing w:before="60" w:after="30"/>
      <w:jc w:val="right"/>
    </w:pPr>
    <w:rPr>
      <w:sz w:val="12"/>
      <w:szCs w:val="12"/>
      <w:lang w:val="en-US" w:eastAsia="en-US"/>
    </w:rPr>
  </w:style>
  <w:style w:type="paragraph" w:customStyle="1" w:styleId="tablehead">
    <w:name w:val="table head"/>
    <w:qFormat/>
    <w:pPr>
      <w:spacing w:before="240" w:after="120" w:line="216" w:lineRule="auto"/>
      <w:jc w:val="center"/>
    </w:pPr>
    <w:rPr>
      <w:smallCaps/>
      <w:sz w:val="16"/>
      <w:szCs w:val="16"/>
      <w:lang w:val="en-US" w:eastAsia="en-US"/>
    </w:rPr>
  </w:style>
  <w:style w:type="paragraph" w:styleId="ListParagraph">
    <w:name w:val="List Paragraph"/>
    <w:basedOn w:val="Normal"/>
    <w:uiPriority w:val="34"/>
    <w:qFormat/>
    <w:rsid w:val="00FB3F76"/>
    <w:pPr>
      <w:ind w:left="720"/>
      <w:contextualSpacing/>
    </w:pPr>
  </w:style>
  <w:style w:type="paragraph" w:styleId="NormalWeb">
    <w:name w:val="Normal (Web)"/>
    <w:basedOn w:val="Normal"/>
    <w:qFormat/>
    <w:rsid w:val="00154CC9"/>
    <w:rPr>
      <w:sz w:val="24"/>
      <w:szCs w:val="24"/>
    </w:rPr>
  </w:style>
  <w:style w:type="character" w:styleId="CommentReference">
    <w:name w:val="annotation reference"/>
    <w:basedOn w:val="DefaultParagraphFont"/>
    <w:rsid w:val="00ED5F45"/>
    <w:rPr>
      <w:sz w:val="16"/>
      <w:szCs w:val="16"/>
    </w:rPr>
  </w:style>
  <w:style w:type="paragraph" w:styleId="CommentText">
    <w:name w:val="annotation text"/>
    <w:basedOn w:val="Normal"/>
    <w:link w:val="CommentTextChar"/>
    <w:rsid w:val="00ED5F45"/>
  </w:style>
  <w:style w:type="character" w:customStyle="1" w:styleId="CommentTextChar">
    <w:name w:val="Comment Text Char"/>
    <w:basedOn w:val="DefaultParagraphFont"/>
    <w:link w:val="CommentText"/>
    <w:rsid w:val="00ED5F45"/>
    <w:rPr>
      <w:lang w:eastAsia="en-US"/>
    </w:rPr>
  </w:style>
  <w:style w:type="paragraph" w:styleId="CommentSubject">
    <w:name w:val="annotation subject"/>
    <w:basedOn w:val="CommentText"/>
    <w:next w:val="CommentText"/>
    <w:link w:val="CommentSubjectChar"/>
    <w:semiHidden/>
    <w:unhideWhenUsed/>
    <w:rsid w:val="00ED5F45"/>
    <w:rPr>
      <w:b/>
      <w:bCs/>
    </w:rPr>
  </w:style>
  <w:style w:type="character" w:customStyle="1" w:styleId="CommentSubjectChar">
    <w:name w:val="Comment Subject Char"/>
    <w:basedOn w:val="CommentTextChar"/>
    <w:link w:val="CommentSubject"/>
    <w:semiHidden/>
    <w:rsid w:val="00ED5F45"/>
    <w:rPr>
      <w:b/>
      <w:bCs/>
      <w:lang w:eastAsia="en-US"/>
    </w:rPr>
  </w:style>
  <w:style w:type="paragraph" w:customStyle="1" w:styleId="Footer1">
    <w:name w:val="Footer1"/>
    <w:basedOn w:val="Normal"/>
    <w:next w:val="Footer"/>
    <w:link w:val="FooterChar"/>
    <w:uiPriority w:val="99"/>
    <w:semiHidden/>
    <w:unhideWhenUsed/>
    <w:rsid w:val="00617F4F"/>
    <w:pPr>
      <w:tabs>
        <w:tab w:val="center" w:pos="4513"/>
        <w:tab w:val="right" w:pos="9026"/>
      </w:tabs>
      <w:jc w:val="left"/>
    </w:pPr>
    <w:rPr>
      <w:lang w:eastAsia="en-GB"/>
    </w:rPr>
  </w:style>
  <w:style w:type="character" w:customStyle="1" w:styleId="FooterChar">
    <w:name w:val="Footer Char"/>
    <w:basedOn w:val="DefaultParagraphFont"/>
    <w:link w:val="Footer1"/>
    <w:uiPriority w:val="99"/>
    <w:semiHidden/>
    <w:rsid w:val="00617F4F"/>
  </w:style>
  <w:style w:type="paragraph" w:styleId="Footer">
    <w:name w:val="footer"/>
    <w:basedOn w:val="Normal"/>
    <w:link w:val="FooterChar1"/>
    <w:rsid w:val="00617F4F"/>
    <w:pPr>
      <w:tabs>
        <w:tab w:val="center" w:pos="4513"/>
        <w:tab w:val="right" w:pos="9026"/>
      </w:tabs>
    </w:pPr>
  </w:style>
  <w:style w:type="character" w:customStyle="1" w:styleId="FooterChar1">
    <w:name w:val="Footer Char1"/>
    <w:basedOn w:val="DefaultParagraphFont"/>
    <w:link w:val="Footer"/>
    <w:rsid w:val="00617F4F"/>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png"/><Relationship Id="rId7" Type="http://schemas.microsoft.com/office/2011/relationships/commentsExtended" Target="commentsExtended.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comments" Target="comment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emf"/><Relationship Id="rId28"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5F85E2-AB20-42F7-B802-406F0786C1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16191</TotalTime>
  <Pages>24</Pages>
  <Words>46640</Words>
  <Characters>265853</Characters>
  <Application>Microsoft Office Word</Application>
  <DocSecurity>0</DocSecurity>
  <Lines>2215</Lines>
  <Paragraphs>623</Paragraphs>
  <ScaleCrop>false</ScaleCrop>
  <HeadingPairs>
    <vt:vector size="2" baseType="variant">
      <vt:variant>
        <vt:lpstr>Title</vt:lpstr>
      </vt:variant>
      <vt:variant>
        <vt:i4>1</vt:i4>
      </vt:variant>
    </vt:vector>
  </HeadingPairs>
  <TitlesOfParts>
    <vt:vector size="1" baseType="lpstr">
      <vt:lpstr>Paper Title (use style: paper title)</vt:lpstr>
    </vt:vector>
  </TitlesOfParts>
  <Company>IEEE</Company>
  <LinksUpToDate>false</LinksUpToDate>
  <CharactersWithSpaces>311870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Title (use style: paper title)</dc:title>
  <dc:subject/>
  <dc:creator>IEEE</dc:creator>
  <dc:description/>
  <cp:lastModifiedBy>Carlene Campbell</cp:lastModifiedBy>
  <cp:revision>1020</cp:revision>
  <dcterms:created xsi:type="dcterms:W3CDTF">2017-02-18T10:21:00Z</dcterms:created>
  <dcterms:modified xsi:type="dcterms:W3CDTF">2020-02-17T09:23:00Z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IEEE</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Mendeley Citation Style_1">
    <vt:lpwstr>http://www.zotero.org/styles/ieee</vt:lpwstr>
  </property>
  <property fmtid="{D5CDD505-2E9C-101B-9397-08002B2CF9AE}" pid="8" name="Mendeley Document_1">
    <vt:lpwstr>True</vt:lpwstr>
  </property>
  <property fmtid="{D5CDD505-2E9C-101B-9397-08002B2CF9AE}" pid="9" name="Mendeley Recent Style Id 0_1">
    <vt:lpwstr>http://www.zotero.org/styles/american-medical-association</vt:lpwstr>
  </property>
  <property fmtid="{D5CDD505-2E9C-101B-9397-08002B2CF9AE}" pid="10" name="Mendeley Recent Style Id 1_1">
    <vt:lpwstr>http://www.zotero.org/styles/american-political-science-association</vt:lpwstr>
  </property>
  <property fmtid="{D5CDD505-2E9C-101B-9397-08002B2CF9AE}" pid="11" name="Mendeley Recent Style Id 2_1">
    <vt:lpwstr>http://www.zotero.org/styles/apa</vt:lpwstr>
  </property>
  <property fmtid="{D5CDD505-2E9C-101B-9397-08002B2CF9AE}" pid="12" name="Mendeley Recent Style Id 3_1">
    <vt:lpwstr>http://www.zotero.org/styles/american-sociological-association</vt:lpwstr>
  </property>
  <property fmtid="{D5CDD505-2E9C-101B-9397-08002B2CF9AE}" pid="13" name="Mendeley Recent Style Id 4_1">
    <vt:lpwstr>http://www.zotero.org/styles/chicago-author-date</vt:lpwstr>
  </property>
  <property fmtid="{D5CDD505-2E9C-101B-9397-08002B2CF9AE}" pid="14" name="Mendeley Recent Style Id 5_1">
    <vt:lpwstr>http://www.zotero.org/styles/harvard-cite-them-right</vt:lpwstr>
  </property>
  <property fmtid="{D5CDD505-2E9C-101B-9397-08002B2CF9AE}" pid="15" name="Mendeley Recent Style Id 6_1">
    <vt:lpwstr>http://www.zotero.org/styles/ieee</vt:lpwstr>
  </property>
  <property fmtid="{D5CDD505-2E9C-101B-9397-08002B2CF9AE}" pid="16" name="Mendeley Recent Style Id 7_1">
    <vt:lpwstr>http://www.zotero.org/styles/modern-humanities-research-association</vt:lpwstr>
  </property>
  <property fmtid="{D5CDD505-2E9C-101B-9397-08002B2CF9AE}" pid="17" name="Mendeley Recent Style Id 8_1">
    <vt:lpwstr>http://www.zotero.org/styles/modern-language-association</vt:lpwstr>
  </property>
  <property fmtid="{D5CDD505-2E9C-101B-9397-08002B2CF9AE}" pid="18" name="Mendeley Recent Style Id 9_1">
    <vt:lpwstr>http://www.zotero.org/styles/nature</vt:lpwstr>
  </property>
  <property fmtid="{D5CDD505-2E9C-101B-9397-08002B2CF9AE}" pid="19" name="Mendeley Recent Style Name 0_1">
    <vt:lpwstr>American Medical Association</vt:lpwstr>
  </property>
  <property fmtid="{D5CDD505-2E9C-101B-9397-08002B2CF9AE}" pid="20" name="Mendeley Recent Style Name 1_1">
    <vt:lpwstr>American Political Science Association</vt:lpwstr>
  </property>
  <property fmtid="{D5CDD505-2E9C-101B-9397-08002B2CF9AE}" pid="21" name="Mendeley Recent Style Name 2_1">
    <vt:lpwstr>American Psychological Association 7th edition</vt:lpwstr>
  </property>
  <property fmtid="{D5CDD505-2E9C-101B-9397-08002B2CF9AE}" pid="22" name="Mendeley Recent Style Name 3_1">
    <vt:lpwstr>American Sociological Association</vt:lpwstr>
  </property>
  <property fmtid="{D5CDD505-2E9C-101B-9397-08002B2CF9AE}" pid="23" name="Mendeley Recent Style Name 4_1">
    <vt:lpwstr>Chicago Manual of Style 17th edition (author-date)</vt:lpwstr>
  </property>
  <property fmtid="{D5CDD505-2E9C-101B-9397-08002B2CF9AE}" pid="24" name="Mendeley Recent Style Name 5_1">
    <vt:lpwstr>Cite Them Right 10th edition - Harvard</vt:lpwstr>
  </property>
  <property fmtid="{D5CDD505-2E9C-101B-9397-08002B2CF9AE}" pid="25" name="Mendeley Recent Style Name 6_1">
    <vt:lpwstr>IEEE</vt:lpwstr>
  </property>
  <property fmtid="{D5CDD505-2E9C-101B-9397-08002B2CF9AE}" pid="26" name="Mendeley Recent Style Name 7_1">
    <vt:lpwstr>Modern Humanities Research Association 3rd edition (note with bibliography)</vt:lpwstr>
  </property>
  <property fmtid="{D5CDD505-2E9C-101B-9397-08002B2CF9AE}" pid="27" name="Mendeley Recent Style Name 8_1">
    <vt:lpwstr>Modern Language Association 8th edition</vt:lpwstr>
  </property>
  <property fmtid="{D5CDD505-2E9C-101B-9397-08002B2CF9AE}" pid="28" name="Mendeley Recent Style Name 9_1">
    <vt:lpwstr>Nature</vt:lpwstr>
  </property>
  <property fmtid="{D5CDD505-2E9C-101B-9397-08002B2CF9AE}" pid="29" name="Mendeley Unique User Id_1">
    <vt:lpwstr>778bfe36-30dd-3c48-a674-8ce0d800a967</vt:lpwstr>
  </property>
  <property fmtid="{D5CDD505-2E9C-101B-9397-08002B2CF9AE}" pid="30" name="ScaleCrop">
    <vt:bool>false</vt:bool>
  </property>
  <property fmtid="{D5CDD505-2E9C-101B-9397-08002B2CF9AE}" pid="31" name="ShareDoc">
    <vt:bool>false</vt:bool>
  </property>
</Properties>
</file>