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Black" w:hAnsi="Arial Black"/>
          <w:color w:val="4C94D8" w:themeColor="text2" w:themeTint="80"/>
          <w:sz w:val="28"/>
          <w:szCs w:val="28"/>
        </w:rPr>
        <w:id w:val="617570144"/>
        <w:docPartObj>
          <w:docPartGallery w:val="Cover Pages"/>
          <w:docPartUnique/>
        </w:docPartObj>
      </w:sdtPr>
      <w:sdtEndPr>
        <w:rPr>
          <w:rFonts w:cs="Arial"/>
          <w:color w:val="4C94D8" w:themeColor="text2" w:themeTint="80"/>
        </w:rPr>
      </w:sdtEndPr>
      <w:sdtContent>
        <w:p w14:paraId="1628C512" w14:textId="479348C8" w:rsidR="00163217" w:rsidRPr="00163217" w:rsidRDefault="00163217" w:rsidP="00163217">
          <w:pPr>
            <w:rPr>
              <w:rFonts w:ascii="Arial Black" w:hAnsi="Arial Black"/>
              <w:color w:val="4C94D8" w:themeColor="text2" w:themeTint="80"/>
              <w:sz w:val="28"/>
              <w:szCs w:val="28"/>
            </w:rPr>
          </w:pPr>
          <w:r w:rsidRPr="00163217">
            <w:rPr>
              <w:rFonts w:ascii="Arial Black" w:hAnsi="Arial Black"/>
              <w:color w:val="4C94D8" w:themeColor="text2" w:themeTint="80"/>
              <w:sz w:val="28"/>
              <w:szCs w:val="28"/>
            </w:rPr>
            <w:t>Student name:</w:t>
          </w:r>
          <w:r w:rsidRPr="00163217">
            <w:rPr>
              <w:rFonts w:ascii="Arial Black" w:hAnsi="Arial Black"/>
              <w:color w:val="4C94D8" w:themeColor="text2" w:themeTint="80"/>
              <w:sz w:val="28"/>
              <w:szCs w:val="28"/>
            </w:rPr>
            <w:t xml:space="preserve"> Marius Roman</w:t>
          </w:r>
          <w:r w:rsidRPr="00163217">
            <w:rPr>
              <w:rFonts w:ascii="Arial Black" w:hAnsi="Arial Black"/>
              <w:color w:val="4C94D8" w:themeColor="text2" w:themeTint="80"/>
              <w:sz w:val="28"/>
              <w:szCs w:val="28"/>
            </w:rPr>
            <w:tab/>
            <w:t xml:space="preserve">     </w:t>
          </w:r>
        </w:p>
        <w:p w14:paraId="351D0853" w14:textId="6C459D29" w:rsidR="00163217" w:rsidRPr="00163217" w:rsidRDefault="00163217" w:rsidP="00163217">
          <w:pPr>
            <w:rPr>
              <w:rFonts w:ascii="Arial Black" w:hAnsi="Arial Black"/>
              <w:color w:val="4C94D8" w:themeColor="text2" w:themeTint="80"/>
              <w:sz w:val="28"/>
              <w:szCs w:val="28"/>
            </w:rPr>
          </w:pPr>
          <w:r w:rsidRPr="00163217">
            <w:rPr>
              <w:rFonts w:ascii="Arial Black" w:hAnsi="Arial Black"/>
              <w:color w:val="4C94D8" w:themeColor="text2" w:themeTint="80"/>
              <w:sz w:val="28"/>
              <w:szCs w:val="28"/>
            </w:rPr>
            <w:t>Programme:</w:t>
          </w:r>
          <w:r>
            <w:rPr>
              <w:rFonts w:ascii="Arial Black" w:hAnsi="Arial Black"/>
              <w:color w:val="4C94D8" w:themeColor="text2" w:themeTint="80"/>
              <w:sz w:val="28"/>
              <w:szCs w:val="28"/>
            </w:rPr>
            <w:t xml:space="preserve"> </w:t>
          </w:r>
          <w:r w:rsidRPr="00163217">
            <w:rPr>
              <w:rFonts w:ascii="Arial Black" w:hAnsi="Arial Black"/>
              <w:color w:val="4C94D8" w:themeColor="text2" w:themeTint="80"/>
              <w:sz w:val="28"/>
              <w:szCs w:val="28"/>
            </w:rPr>
            <w:t>BA/HND Business and Management</w:t>
          </w:r>
        </w:p>
        <w:p w14:paraId="35D52840" w14:textId="0DD414B2" w:rsidR="00163217" w:rsidRPr="00163217" w:rsidRDefault="00163217" w:rsidP="00163217">
          <w:pPr>
            <w:rPr>
              <w:rFonts w:ascii="Arial Black" w:hAnsi="Arial Black"/>
              <w:color w:val="4C94D8" w:themeColor="text2" w:themeTint="80"/>
              <w:sz w:val="28"/>
              <w:szCs w:val="28"/>
            </w:rPr>
          </w:pPr>
          <w:r w:rsidRPr="00163217">
            <w:rPr>
              <w:rFonts w:ascii="Arial Black" w:hAnsi="Arial Black"/>
              <w:color w:val="4C94D8" w:themeColor="text2" w:themeTint="80"/>
              <w:sz w:val="28"/>
              <w:szCs w:val="28"/>
            </w:rPr>
            <w:t>Module:</w:t>
          </w:r>
          <w:r w:rsidRPr="00163217">
            <w:rPr>
              <w:rFonts w:ascii="Arial Black" w:hAnsi="Arial Black"/>
              <w:color w:val="4C94D8" w:themeColor="text2" w:themeTint="80"/>
              <w:sz w:val="28"/>
              <w:szCs w:val="28"/>
            </w:rPr>
            <w:t xml:space="preserve"> </w:t>
          </w:r>
          <w:r w:rsidRPr="00163217">
            <w:rPr>
              <w:rFonts w:ascii="Arial Black" w:hAnsi="Arial Black"/>
              <w:color w:val="4C94D8" w:themeColor="text2" w:themeTint="80"/>
              <w:sz w:val="28"/>
              <w:szCs w:val="28"/>
            </w:rPr>
            <w:t xml:space="preserve">Financial Management </w:t>
          </w:r>
          <w:r w:rsidRPr="00163217">
            <w:rPr>
              <w:rFonts w:ascii="Arial Black" w:hAnsi="Arial Black"/>
              <w:color w:val="4C94D8" w:themeColor="text2" w:themeTint="80"/>
              <w:sz w:val="28"/>
              <w:szCs w:val="28"/>
            </w:rPr>
            <w:t>for</w:t>
          </w:r>
          <w:r w:rsidRPr="00163217">
            <w:rPr>
              <w:rFonts w:ascii="Arial Black" w:hAnsi="Arial Black"/>
              <w:color w:val="4C94D8" w:themeColor="text2" w:themeTint="80"/>
              <w:sz w:val="28"/>
              <w:szCs w:val="28"/>
            </w:rPr>
            <w:t xml:space="preserve"> Business Sustainability</w:t>
          </w:r>
        </w:p>
        <w:p w14:paraId="4D75FFC2" w14:textId="390B27B7" w:rsidR="00163217" w:rsidRPr="00163217" w:rsidRDefault="00163217" w:rsidP="00163217">
          <w:pPr>
            <w:rPr>
              <w:rFonts w:ascii="Arial Black" w:hAnsi="Arial Black"/>
              <w:color w:val="4C94D8" w:themeColor="text2" w:themeTint="80"/>
              <w:sz w:val="28"/>
              <w:szCs w:val="28"/>
            </w:rPr>
          </w:pPr>
          <w:r w:rsidRPr="00163217">
            <w:rPr>
              <w:rFonts w:ascii="Arial Black" w:hAnsi="Arial Black"/>
              <w:color w:val="4C94D8" w:themeColor="text2" w:themeTint="80"/>
              <w:sz w:val="28"/>
              <w:szCs w:val="28"/>
            </w:rPr>
            <w:t>Module code:</w:t>
          </w:r>
          <w:r>
            <w:rPr>
              <w:rFonts w:ascii="Arial Black" w:hAnsi="Arial Black"/>
              <w:color w:val="4C94D8" w:themeColor="text2" w:themeTint="80"/>
              <w:sz w:val="28"/>
              <w:szCs w:val="28"/>
            </w:rPr>
            <w:t xml:space="preserve"> </w:t>
          </w:r>
          <w:r w:rsidRPr="00163217">
            <w:rPr>
              <w:rFonts w:ascii="Arial Black" w:hAnsi="Arial Black"/>
              <w:color w:val="4C94D8" w:themeColor="text2" w:themeTint="80"/>
              <w:sz w:val="28"/>
              <w:szCs w:val="28"/>
            </w:rPr>
            <w:t>BMSP4011D</w:t>
          </w:r>
        </w:p>
        <w:p w14:paraId="750F0C87" w14:textId="6F8EF8BD" w:rsidR="00163217" w:rsidRPr="00163217" w:rsidRDefault="00163217" w:rsidP="00163217">
          <w:pPr>
            <w:rPr>
              <w:rFonts w:ascii="Arial Black" w:hAnsi="Arial Black"/>
              <w:color w:val="4C94D8" w:themeColor="text2" w:themeTint="80"/>
              <w:sz w:val="28"/>
              <w:szCs w:val="28"/>
            </w:rPr>
          </w:pPr>
          <w:r w:rsidRPr="00163217">
            <w:rPr>
              <w:rFonts w:ascii="Arial Black" w:hAnsi="Arial Black"/>
              <w:color w:val="4C94D8" w:themeColor="text2" w:themeTint="80"/>
              <w:sz w:val="28"/>
              <w:szCs w:val="28"/>
            </w:rPr>
            <w:t>Lecturer:</w:t>
          </w:r>
          <w:r w:rsidRPr="00163217">
            <w:rPr>
              <w:rFonts w:ascii="Arial Black" w:hAnsi="Arial Black"/>
              <w:color w:val="4C94D8" w:themeColor="text2" w:themeTint="80"/>
              <w:sz w:val="28"/>
              <w:szCs w:val="28"/>
            </w:rPr>
            <w:t xml:space="preserve"> </w:t>
          </w:r>
          <w:r w:rsidRPr="00163217">
            <w:rPr>
              <w:rFonts w:ascii="Arial Black" w:hAnsi="Arial Black"/>
              <w:color w:val="4C94D8" w:themeColor="text2" w:themeTint="80"/>
              <w:sz w:val="28"/>
              <w:szCs w:val="28"/>
            </w:rPr>
            <w:t>Navdeep Randhawa</w:t>
          </w:r>
        </w:p>
        <w:p w14:paraId="3EDE3A44" w14:textId="5D872A3D" w:rsidR="00163217" w:rsidRPr="00163217" w:rsidRDefault="00163217">
          <w:pPr>
            <w:rPr>
              <w:rFonts w:ascii="Arial Black" w:hAnsi="Arial Black" w:cs="Arial"/>
              <w:color w:val="4C94D8" w:themeColor="text2" w:themeTint="80"/>
              <w:sz w:val="28"/>
              <w:szCs w:val="28"/>
            </w:rPr>
          </w:pPr>
          <w:r w:rsidRPr="00163217">
            <w:rPr>
              <w:rFonts w:ascii="Arial Black" w:hAnsi="Arial Black" w:cs="Arial"/>
              <w:noProof/>
              <w:color w:val="4C94D8" w:themeColor="text2" w:themeTint="80"/>
              <w:sz w:val="28"/>
              <w:szCs w:val="28"/>
            </w:rPr>
            <mc:AlternateContent>
              <mc:Choice Requires="wps">
                <w:drawing>
                  <wp:anchor distT="0" distB="0" distL="114300" distR="114300" simplePos="0" relativeHeight="251659264" behindDoc="1" locked="0" layoutInCell="1" allowOverlap="1" wp14:anchorId="256C5116" wp14:editId="2D876FF3">
                    <wp:simplePos x="0" y="0"/>
                    <wp:positionH relativeFrom="column">
                      <wp:posOffset>-462408</wp:posOffset>
                    </wp:positionH>
                    <wp:positionV relativeFrom="paragraph">
                      <wp:posOffset>3436988</wp:posOffset>
                    </wp:positionV>
                    <wp:extent cx="6858000" cy="2722728"/>
                    <wp:effectExtent l="0" t="0" r="0" b="1905"/>
                    <wp:wrapNone/>
                    <wp:docPr id="774093860" name="Text Box 196"/>
                    <wp:cNvGraphicFramePr/>
                    <a:graphic xmlns:a="http://schemas.openxmlformats.org/drawingml/2006/main">
                      <a:graphicData uri="http://schemas.microsoft.com/office/word/2010/wordprocessingShape">
                        <wps:wsp>
                          <wps:cNvSpPr txBox="1"/>
                          <wps:spPr>
                            <a:xfrm>
                              <a:off x="0" y="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C4A705C" w14:textId="481CB8F2" w:rsidR="00163217" w:rsidRPr="00163217" w:rsidRDefault="00163217">
                                    <w:pPr>
                                      <w:pStyle w:val="NoSpacing"/>
                                      <w:jc w:val="center"/>
                                      <w:rPr>
                                        <w:rFonts w:ascii="Arial Black" w:eastAsiaTheme="majorEastAsia" w:hAnsi="Arial Black" w:cstheme="majorBidi"/>
                                        <w:caps/>
                                        <w:color w:val="156082" w:themeColor="accent1"/>
                                        <w:sz w:val="72"/>
                                        <w:szCs w:val="72"/>
                                      </w:rPr>
                                    </w:pPr>
                                    <w:r w:rsidRPr="00163217">
                                      <w:rPr>
                                        <w:rFonts w:ascii="Arial Black" w:eastAsiaTheme="majorEastAsia" w:hAnsi="Arial Black" w:cstheme="majorBidi"/>
                                        <w:caps/>
                                        <w:color w:val="156082" w:themeColor="accent1"/>
                                        <w:sz w:val="72"/>
                                        <w:szCs w:val="72"/>
                                      </w:rPr>
                                      <w:t xml:space="preserve">Financial Analysis For Amazon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256C5116" id="_x0000_t202" coordsize="21600,21600" o:spt="202" path="m,l,21600r21600,l21600,xe">
                    <v:stroke joinstyle="miter"/>
                    <v:path gradientshapeok="t" o:connecttype="rect"/>
                  </v:shapetype>
                  <v:shape id="Text Box 196" o:spid="_x0000_s1026" type="#_x0000_t202" style="position:absolute;margin-left:-36.4pt;margin-top:270.65pt;width:540pt;height:214.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K9GdwIAAGoFAAAOAAAAZHJzL2Uyb0RvYy54bWysVN1P2zAQf5+0/8Hy+0jaAesqUtSBmCYh&#10;QIOJZ9exW2uOz7OvTbq/fmcnbYHxwjQpcs6+331/nJ13jWUbFaIBV/HRUcmZchJq45YV//Fw9WHC&#10;WUThamHBqYpvVeTns/fvzlo/VWNYga1VYKTExWnrK75C9NOiiHKlGhGPwCtHTA2hEUjXsCzqIFrS&#10;3thiXJanRQuh9gGkipFeL3smn2X9WiuJt1pHhcxWnHzDfIZ8LtJZzM7EdBmEXxk5uCH+wYtGGEdG&#10;96ouBQq2DuYvVY2RASJoPJLQFKC1kSrHQNGMyhfR3K+EVzkWSk70+zTF/6dW3mzu/V1g2H2BjgqY&#10;EtL6OI30mOLpdGjSnzxlxKcUbvdpUx0ySY+nk5NJWRJLEm/8aUzfJOkpDuI+RPyqoGGJqHiguuR0&#10;ic11xB66gyRrEaypr4y1+ZJ6QV3YwDaCqrhYZidJ+TOUdawlVz6elFmxgyTea7YuqVG5GwZzhxAz&#10;hVurEsa670ozU+dIX7EtpFQOd/YzOqE0mXqL4IA/ePUW4T4OksiWweFeuDEOQo4+j88hZfXPncu6&#10;x1NtnsSdSOwW3VD6BdRb6ogA/bBEL68MVe1aRLwTgaaDKk0Tj7d0aAuUdRgozlYQfr/2nvDUtMTl&#10;rKVpq3j8tRZBcWa/OWrn45NPNM00n/n2eXR8TJfwjLV4ynLr5gKoGUa0XbzMZBJAuyN1gOaRVsM8&#10;2SWWcJKsV1xi2F0usN8DtFykms8zjIbSC7x2914m5SnFqS8fukcR/NC8SH1/A7vZFNMXPdxjk6SD&#10;+RpBm9zgKcl9Zofk00DnERmWT9oYT+8ZdViRsz8AAAD//wMAUEsDBBQABgAIAAAAIQCNWKei4gAA&#10;AAwBAAAPAAAAZHJzL2Rvd25yZXYueG1sTI/LTsMwEEX3SPyDNUhsUGsnAQIhTsVDqGLZh1R1N02G&#10;JCIeh9hpw9/jrmB5NVdnzs0Xk+nEkQbXWtYQzRUI4tJWLdcatpv32QMI55Er7CyThh9ysCguL3LM&#10;KnviFR3XvhYBwi5DDY33fSalKxsy6Oa2Jw63TzsY9CEOtawGPAW46WSs1L002HL40GBPrw2VX+vR&#10;aHh88avkZrdP+uW3ecN6/Ngk6V7r66vp+QmEp8n/leGsH9ShCE4HO3LlRKdhlsZB3Wu4u40SEOeG&#10;UmkM4hD4qYpAFrn8P6L4BQAA//8DAFBLAQItABQABgAIAAAAIQC2gziS/gAAAOEBAAATAAAAAAAA&#10;AAAAAAAAAAAAAABbQ29udGVudF9UeXBlc10ueG1sUEsBAi0AFAAGAAgAAAAhADj9If/WAAAAlAEA&#10;AAsAAAAAAAAAAAAAAAAALwEAAF9yZWxzLy5yZWxzUEsBAi0AFAAGAAgAAAAhANmYr0Z3AgAAagUA&#10;AA4AAAAAAAAAAAAAAAAALgIAAGRycy9lMm9Eb2MueG1sUEsBAi0AFAAGAAgAAAAhAI1Yp6LiAAAA&#10;DAEAAA8AAAAAAAAAAAAAAAAA0QQAAGRycy9kb3ducmV2LnhtbFBLBQYAAAAABAAEAPMAAADgBQAA&#10;AAA=&#10;" fillcolor="white [3212]" stroked="f" strokeweight=".5pt">
                    <v:textbox inset="36pt,7.2pt,36pt,7.2pt">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C4A705C" w14:textId="481CB8F2" w:rsidR="00163217" w:rsidRPr="00163217" w:rsidRDefault="00163217">
                              <w:pPr>
                                <w:pStyle w:val="NoSpacing"/>
                                <w:jc w:val="center"/>
                                <w:rPr>
                                  <w:rFonts w:ascii="Arial Black" w:eastAsiaTheme="majorEastAsia" w:hAnsi="Arial Black" w:cstheme="majorBidi"/>
                                  <w:caps/>
                                  <w:color w:val="156082" w:themeColor="accent1"/>
                                  <w:sz w:val="72"/>
                                  <w:szCs w:val="72"/>
                                </w:rPr>
                              </w:pPr>
                              <w:r w:rsidRPr="00163217">
                                <w:rPr>
                                  <w:rFonts w:ascii="Arial Black" w:eastAsiaTheme="majorEastAsia" w:hAnsi="Arial Black" w:cstheme="majorBidi"/>
                                  <w:caps/>
                                  <w:color w:val="156082" w:themeColor="accent1"/>
                                  <w:sz w:val="72"/>
                                  <w:szCs w:val="72"/>
                                </w:rPr>
                                <w:t xml:space="preserve">Financial Analysis For Amazon </w:t>
                              </w:r>
                            </w:p>
                          </w:sdtContent>
                        </w:sdt>
                      </w:txbxContent>
                    </v:textbox>
                  </v:shape>
                </w:pict>
              </mc:Fallback>
            </mc:AlternateContent>
          </w:r>
          <w:r w:rsidRPr="00163217">
            <w:rPr>
              <w:rFonts w:ascii="Arial Black" w:hAnsi="Arial Black" w:cs="Arial"/>
              <w:color w:val="4C94D8" w:themeColor="text2" w:themeTint="80"/>
              <w:sz w:val="28"/>
              <w:szCs w:val="28"/>
            </w:rPr>
            <w:br w:type="page"/>
          </w:r>
        </w:p>
      </w:sdtContent>
    </w:sdt>
    <w:p w14:paraId="00E661C7" w14:textId="1BB6621A" w:rsidR="00163217" w:rsidRDefault="00163217">
      <w:pPr>
        <w:rPr>
          <w:rFonts w:ascii="Arial Black" w:hAnsi="Arial Black" w:cs="Arial"/>
          <w:color w:val="4C94D8" w:themeColor="text2" w:themeTint="80"/>
        </w:rPr>
      </w:pPr>
      <w:r>
        <w:rPr>
          <w:rFonts w:ascii="Arial Black" w:hAnsi="Arial Black" w:cs="Arial"/>
          <w:color w:val="4C94D8" w:themeColor="text2" w:themeTint="80"/>
        </w:rPr>
        <w:lastRenderedPageBreak/>
        <w:t xml:space="preserve">Table of Contents </w:t>
      </w:r>
    </w:p>
    <w:p w14:paraId="39F5C939" w14:textId="4E39ED9E" w:rsidR="00163217" w:rsidRDefault="00163217">
      <w:pPr>
        <w:rPr>
          <w:rFonts w:ascii="Arial Black" w:hAnsi="Arial Black" w:cs="Arial"/>
          <w:color w:val="4C94D8" w:themeColor="text2" w:themeTint="80"/>
        </w:rPr>
      </w:pPr>
      <w:r>
        <w:rPr>
          <w:rFonts w:ascii="Arial Black" w:hAnsi="Arial Black" w:cs="Arial"/>
          <w:color w:val="4C94D8" w:themeColor="text2" w:themeTint="80"/>
        </w:rPr>
        <w:t>Introduction…………………………………………………………………………..2</w:t>
      </w:r>
    </w:p>
    <w:p w14:paraId="4EEFB722" w14:textId="324B6A26" w:rsidR="00163217" w:rsidRDefault="00163217">
      <w:pPr>
        <w:rPr>
          <w:rFonts w:ascii="Arial Black" w:hAnsi="Arial Black" w:cs="Arial"/>
          <w:color w:val="4C94D8" w:themeColor="text2" w:themeTint="80"/>
        </w:rPr>
      </w:pPr>
      <w:r>
        <w:rPr>
          <w:rFonts w:ascii="Arial Black" w:hAnsi="Arial Black" w:cs="Arial"/>
          <w:color w:val="4C94D8" w:themeColor="text2" w:themeTint="80"/>
        </w:rPr>
        <w:t xml:space="preserve">Financial Data Summary…………………………………………………………3 </w:t>
      </w:r>
    </w:p>
    <w:p w14:paraId="4A699483" w14:textId="78CB333B" w:rsidR="00163217" w:rsidRDefault="00163217">
      <w:pPr>
        <w:rPr>
          <w:rFonts w:ascii="Arial Black" w:hAnsi="Arial Black" w:cs="Arial"/>
          <w:color w:val="4C94D8" w:themeColor="text2" w:themeTint="80"/>
        </w:rPr>
      </w:pPr>
      <w:r w:rsidRPr="00163217">
        <w:rPr>
          <w:rFonts w:ascii="Arial Black" w:hAnsi="Arial Black" w:cs="Arial"/>
          <w:color w:val="4C94D8" w:themeColor="text2" w:themeTint="80"/>
        </w:rPr>
        <w:t>Ratio Calculations and Detailed Analysis</w:t>
      </w:r>
      <w:r>
        <w:rPr>
          <w:rFonts w:ascii="Arial Black" w:hAnsi="Arial Black" w:cs="Arial"/>
          <w:color w:val="4C94D8" w:themeColor="text2" w:themeTint="80"/>
        </w:rPr>
        <w:t>………………………………….3</w:t>
      </w:r>
    </w:p>
    <w:p w14:paraId="19DCDD34" w14:textId="77777777" w:rsidR="00163217" w:rsidRDefault="00163217">
      <w:pPr>
        <w:rPr>
          <w:rFonts w:ascii="Arial Black" w:hAnsi="Arial Black" w:cs="Arial"/>
          <w:color w:val="4C94D8" w:themeColor="text2" w:themeTint="80"/>
        </w:rPr>
      </w:pPr>
      <w:r w:rsidRPr="00163217">
        <w:rPr>
          <w:rFonts w:ascii="Arial Black" w:hAnsi="Arial Black" w:cs="Arial"/>
          <w:color w:val="4C94D8" w:themeColor="text2" w:themeTint="80"/>
        </w:rPr>
        <w:t>Discussion of Change in Performance</w:t>
      </w:r>
      <w:r>
        <w:rPr>
          <w:rFonts w:ascii="Arial Black" w:hAnsi="Arial Black" w:cs="Arial"/>
          <w:color w:val="4C94D8" w:themeColor="text2" w:themeTint="80"/>
        </w:rPr>
        <w:t>………………………………………7</w:t>
      </w:r>
    </w:p>
    <w:p w14:paraId="0B14D477" w14:textId="77777777" w:rsidR="00163217" w:rsidRDefault="00163217">
      <w:pPr>
        <w:rPr>
          <w:rFonts w:ascii="Arial Black" w:hAnsi="Arial Black" w:cs="Arial"/>
          <w:color w:val="4C94D8" w:themeColor="text2" w:themeTint="80"/>
        </w:rPr>
      </w:pPr>
      <w:r w:rsidRPr="00163217">
        <w:rPr>
          <w:rFonts w:ascii="Arial Black" w:hAnsi="Arial Black" w:cs="Arial"/>
          <w:color w:val="4C94D8" w:themeColor="text2" w:themeTint="80"/>
        </w:rPr>
        <w:t>Recommendations for Future Financial and Sustainable Improvements</w:t>
      </w:r>
      <w:r>
        <w:rPr>
          <w:rFonts w:ascii="Arial Black" w:hAnsi="Arial Black" w:cs="Arial"/>
          <w:color w:val="4C94D8" w:themeColor="text2" w:themeTint="80"/>
        </w:rPr>
        <w:t>…………………………………………………………………………9</w:t>
      </w:r>
    </w:p>
    <w:p w14:paraId="235C0365" w14:textId="77777777" w:rsidR="00163217" w:rsidRDefault="00163217">
      <w:pPr>
        <w:rPr>
          <w:rFonts w:ascii="Arial Black" w:hAnsi="Arial Black" w:cs="Arial"/>
          <w:color w:val="4C94D8" w:themeColor="text2" w:themeTint="80"/>
        </w:rPr>
      </w:pPr>
      <w:r>
        <w:rPr>
          <w:rFonts w:ascii="Arial Black" w:hAnsi="Arial Black" w:cs="Arial"/>
          <w:color w:val="4C94D8" w:themeColor="text2" w:themeTint="80"/>
        </w:rPr>
        <w:t>Conclusion…………………………………………………………………………….11</w:t>
      </w:r>
    </w:p>
    <w:p w14:paraId="4F6F16F9" w14:textId="15829925" w:rsidR="00163217" w:rsidRDefault="00163217">
      <w:pPr>
        <w:rPr>
          <w:rFonts w:ascii="Arial Black" w:hAnsi="Arial Black" w:cs="Arial"/>
          <w:color w:val="4C94D8" w:themeColor="text2" w:themeTint="80"/>
        </w:rPr>
      </w:pPr>
      <w:r>
        <w:rPr>
          <w:rFonts w:ascii="Arial Black" w:hAnsi="Arial Black" w:cs="Arial"/>
          <w:color w:val="4C94D8" w:themeColor="text2" w:themeTint="80"/>
        </w:rPr>
        <w:t>References…………………………………………………………………………….12</w:t>
      </w:r>
      <w:r>
        <w:rPr>
          <w:rFonts w:ascii="Arial Black" w:hAnsi="Arial Black" w:cs="Arial"/>
          <w:color w:val="4C94D8" w:themeColor="text2" w:themeTint="80"/>
        </w:rPr>
        <w:br w:type="page"/>
      </w:r>
    </w:p>
    <w:p w14:paraId="564B0FDB" w14:textId="1C56F7DA" w:rsidR="00E7182E" w:rsidRPr="00163217" w:rsidRDefault="00E7182E" w:rsidP="00E7182E">
      <w:p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lastRenderedPageBreak/>
        <w:t>Introduction</w:t>
      </w:r>
    </w:p>
    <w:p w14:paraId="5930A37F" w14:textId="77777777" w:rsidR="00E7182E" w:rsidRDefault="00E7182E" w:rsidP="00E7182E">
      <w:pPr>
        <w:spacing w:line="480" w:lineRule="auto"/>
        <w:rPr>
          <w:rFonts w:ascii="Arial" w:hAnsi="Arial" w:cs="Arial"/>
        </w:rPr>
      </w:pPr>
      <w:r w:rsidRPr="00E7182E">
        <w:rPr>
          <w:rFonts w:ascii="Arial" w:hAnsi="Arial" w:cs="Arial"/>
        </w:rPr>
        <w:t>Financial ratio analysis is a practical tool for evaluating a company's financial performance, profitability, liquidity and solvency (Attrill &amp; McLaney, 2015). For any organi</w:t>
      </w:r>
      <w:r>
        <w:rPr>
          <w:rFonts w:ascii="Arial" w:hAnsi="Arial" w:cs="Arial"/>
        </w:rPr>
        <w:t>s</w:t>
      </w:r>
      <w:r w:rsidRPr="00E7182E">
        <w:rPr>
          <w:rFonts w:ascii="Arial" w:hAnsi="Arial" w:cs="Arial"/>
        </w:rPr>
        <w:t xml:space="preserve">ation competing in a market, like Amazon UK, financial ratios can assist stakeholders in assessing trends, evaluating performance and making conclusions about the effect of strategic decisions. The focus of this </w:t>
      </w:r>
      <w:r>
        <w:rPr>
          <w:rFonts w:ascii="Arial" w:hAnsi="Arial" w:cs="Arial"/>
        </w:rPr>
        <w:t>analysis</w:t>
      </w:r>
      <w:r w:rsidRPr="00E7182E">
        <w:rPr>
          <w:rFonts w:ascii="Arial" w:hAnsi="Arial" w:cs="Arial"/>
        </w:rPr>
        <w:t xml:space="preserve"> is on Amazon UK Services Ltd while comparing the financial performance between the years 2022 and 2023. The financial ratio analysis will present real figures from financial information which is available at publicly accessible sites. This means that financial ratios, such as: net profit margin, return on assets (ROA), return on equity (ROE), current ratio, quick ratio, asset turnover and receivable turnover, will be assessed using published financial details. </w:t>
      </w:r>
    </w:p>
    <w:p w14:paraId="62BEAE56" w14:textId="77777777" w:rsidR="00E7182E" w:rsidRDefault="00E7182E" w:rsidP="00E7182E">
      <w:pPr>
        <w:spacing w:line="480" w:lineRule="auto"/>
        <w:rPr>
          <w:rFonts w:ascii="Arial" w:hAnsi="Arial" w:cs="Arial"/>
        </w:rPr>
      </w:pPr>
      <w:r w:rsidRPr="00E7182E">
        <w:rPr>
          <w:rFonts w:ascii="Arial" w:hAnsi="Arial" w:cs="Arial"/>
        </w:rPr>
        <w:t xml:space="preserve">The financial ratios along with further contextual research will assist in providing reasoning for what has been discussed and observed along with providing further insights into the efficacy of any cost management, change in competitive behaviour and form of regulation or legislation or other possible influence amongst factors. </w:t>
      </w:r>
    </w:p>
    <w:p w14:paraId="69759254" w14:textId="77777777" w:rsidR="00E7182E" w:rsidRDefault="00E7182E" w:rsidP="00E7182E">
      <w:pPr>
        <w:spacing w:line="480" w:lineRule="auto"/>
        <w:rPr>
          <w:rFonts w:ascii="Arial" w:hAnsi="Arial" w:cs="Arial"/>
        </w:rPr>
      </w:pPr>
    </w:p>
    <w:p w14:paraId="44BDE7F3" w14:textId="77777777" w:rsidR="00E7182E" w:rsidRDefault="00E7182E" w:rsidP="00E7182E">
      <w:pPr>
        <w:spacing w:line="480" w:lineRule="auto"/>
        <w:rPr>
          <w:rFonts w:ascii="Arial" w:hAnsi="Arial" w:cs="Arial"/>
        </w:rPr>
      </w:pPr>
    </w:p>
    <w:p w14:paraId="542147A3" w14:textId="77777777" w:rsidR="00E7182E" w:rsidRDefault="00E7182E" w:rsidP="00E7182E">
      <w:pPr>
        <w:spacing w:line="480" w:lineRule="auto"/>
        <w:rPr>
          <w:rFonts w:ascii="Arial" w:hAnsi="Arial" w:cs="Arial"/>
        </w:rPr>
      </w:pPr>
    </w:p>
    <w:p w14:paraId="177342FD" w14:textId="77777777" w:rsidR="00E7182E" w:rsidRDefault="00E7182E" w:rsidP="00E7182E">
      <w:pPr>
        <w:spacing w:line="480" w:lineRule="auto"/>
        <w:rPr>
          <w:rFonts w:ascii="Arial" w:hAnsi="Arial" w:cs="Arial"/>
        </w:rPr>
      </w:pPr>
    </w:p>
    <w:p w14:paraId="3DE60F92" w14:textId="77777777" w:rsidR="00E7182E" w:rsidRDefault="00E7182E" w:rsidP="00E7182E">
      <w:pPr>
        <w:spacing w:line="480" w:lineRule="auto"/>
        <w:rPr>
          <w:rFonts w:ascii="Arial" w:hAnsi="Arial" w:cs="Arial"/>
        </w:rPr>
      </w:pPr>
    </w:p>
    <w:p w14:paraId="3CF9BB22" w14:textId="77777777" w:rsidR="00163217" w:rsidRDefault="00163217" w:rsidP="00E7182E">
      <w:pPr>
        <w:spacing w:line="480" w:lineRule="auto"/>
        <w:rPr>
          <w:rFonts w:ascii="Arial" w:hAnsi="Arial" w:cs="Arial"/>
        </w:rPr>
      </w:pPr>
    </w:p>
    <w:p w14:paraId="5F3B58F5" w14:textId="418596DF" w:rsidR="00E7182E" w:rsidRPr="00163217" w:rsidRDefault="00E7182E" w:rsidP="00E7182E">
      <w:p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lastRenderedPageBreak/>
        <w:t>Financial Data Summary</w:t>
      </w:r>
    </w:p>
    <w:tbl>
      <w:tblPr>
        <w:tblW w:w="0" w:type="auto"/>
        <w:tblCellSpacing w:w="15" w:type="dxa"/>
        <w:tblInd w:w="559"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15" w:type="dxa"/>
          <w:left w:w="15" w:type="dxa"/>
          <w:bottom w:w="15" w:type="dxa"/>
          <w:right w:w="15" w:type="dxa"/>
        </w:tblCellMar>
        <w:tblLook w:val="04A0" w:firstRow="1" w:lastRow="0" w:firstColumn="1" w:lastColumn="0" w:noHBand="0" w:noVBand="1"/>
      </w:tblPr>
      <w:tblGrid>
        <w:gridCol w:w="4061"/>
        <w:gridCol w:w="2318"/>
        <w:gridCol w:w="1985"/>
      </w:tblGrid>
      <w:tr w:rsidR="00E7182E" w:rsidRPr="00E7182E" w14:paraId="4F9EC93D" w14:textId="77777777" w:rsidTr="00E7182E">
        <w:trPr>
          <w:tblHeader/>
          <w:tblCellSpacing w:w="15" w:type="dxa"/>
        </w:trPr>
        <w:tc>
          <w:tcPr>
            <w:tcW w:w="4016" w:type="dxa"/>
            <w:vAlign w:val="center"/>
            <w:hideMark/>
          </w:tcPr>
          <w:p w14:paraId="794DEE4C" w14:textId="77777777" w:rsidR="00E7182E" w:rsidRPr="00E7182E" w:rsidRDefault="00E7182E" w:rsidP="00E7182E">
            <w:pPr>
              <w:spacing w:after="0" w:line="240" w:lineRule="auto"/>
              <w:jc w:val="center"/>
              <w:rPr>
                <w:rFonts w:ascii="Arial Black" w:eastAsia="Times New Roman" w:hAnsi="Arial Black" w:cs="Times New Roman"/>
                <w:b/>
                <w:bCs/>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Metric</w:t>
            </w:r>
          </w:p>
        </w:tc>
        <w:tc>
          <w:tcPr>
            <w:tcW w:w="2288" w:type="dxa"/>
            <w:vAlign w:val="center"/>
            <w:hideMark/>
          </w:tcPr>
          <w:p w14:paraId="3DBBCEB9" w14:textId="77777777" w:rsidR="00E7182E" w:rsidRPr="00E7182E" w:rsidRDefault="00E7182E" w:rsidP="00E7182E">
            <w:pPr>
              <w:spacing w:after="0" w:line="240" w:lineRule="auto"/>
              <w:jc w:val="center"/>
              <w:rPr>
                <w:rFonts w:ascii="Arial Black" w:eastAsia="Times New Roman" w:hAnsi="Arial Black" w:cs="Times New Roman"/>
                <w:b/>
                <w:bCs/>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2022</w:t>
            </w:r>
          </w:p>
        </w:tc>
        <w:tc>
          <w:tcPr>
            <w:tcW w:w="1940" w:type="dxa"/>
            <w:vAlign w:val="center"/>
            <w:hideMark/>
          </w:tcPr>
          <w:p w14:paraId="68F66573" w14:textId="77777777" w:rsidR="00E7182E" w:rsidRPr="00E7182E" w:rsidRDefault="00E7182E" w:rsidP="00E7182E">
            <w:pPr>
              <w:spacing w:after="0" w:line="240" w:lineRule="auto"/>
              <w:jc w:val="center"/>
              <w:rPr>
                <w:rFonts w:ascii="Arial Black" w:eastAsia="Times New Roman" w:hAnsi="Arial Black" w:cs="Times New Roman"/>
                <w:b/>
                <w:bCs/>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2023</w:t>
            </w:r>
          </w:p>
        </w:tc>
      </w:tr>
      <w:tr w:rsidR="00E7182E" w:rsidRPr="00E7182E" w14:paraId="5D9B79AE" w14:textId="77777777" w:rsidTr="00E7182E">
        <w:trPr>
          <w:tblCellSpacing w:w="15" w:type="dxa"/>
        </w:trPr>
        <w:tc>
          <w:tcPr>
            <w:tcW w:w="4016" w:type="dxa"/>
            <w:vAlign w:val="center"/>
            <w:hideMark/>
          </w:tcPr>
          <w:p w14:paraId="199B088C"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Revenue</w:t>
            </w:r>
          </w:p>
        </w:tc>
        <w:tc>
          <w:tcPr>
            <w:tcW w:w="2288" w:type="dxa"/>
            <w:vAlign w:val="center"/>
            <w:hideMark/>
          </w:tcPr>
          <w:p w14:paraId="6BA39F19"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£6.57 billion</w:t>
            </w:r>
          </w:p>
        </w:tc>
        <w:tc>
          <w:tcPr>
            <w:tcW w:w="1940" w:type="dxa"/>
            <w:vAlign w:val="center"/>
            <w:hideMark/>
          </w:tcPr>
          <w:p w14:paraId="7F1B83C8"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£6.88 billion</w:t>
            </w:r>
          </w:p>
        </w:tc>
      </w:tr>
      <w:tr w:rsidR="00E7182E" w:rsidRPr="00E7182E" w14:paraId="0609904B" w14:textId="77777777" w:rsidTr="00E7182E">
        <w:trPr>
          <w:tblCellSpacing w:w="15" w:type="dxa"/>
        </w:trPr>
        <w:tc>
          <w:tcPr>
            <w:tcW w:w="4016" w:type="dxa"/>
            <w:vAlign w:val="center"/>
            <w:hideMark/>
          </w:tcPr>
          <w:p w14:paraId="3097E2F3"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Net Profit</w:t>
            </w:r>
          </w:p>
        </w:tc>
        <w:tc>
          <w:tcPr>
            <w:tcW w:w="2288" w:type="dxa"/>
            <w:vAlign w:val="center"/>
            <w:hideMark/>
          </w:tcPr>
          <w:p w14:paraId="4DEA5CD8"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£155 million</w:t>
            </w:r>
          </w:p>
        </w:tc>
        <w:tc>
          <w:tcPr>
            <w:tcW w:w="1940" w:type="dxa"/>
            <w:vAlign w:val="center"/>
            <w:hideMark/>
          </w:tcPr>
          <w:p w14:paraId="32F898C5"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£169 million</w:t>
            </w:r>
          </w:p>
        </w:tc>
      </w:tr>
      <w:tr w:rsidR="00E7182E" w:rsidRPr="00E7182E" w14:paraId="5563D68C" w14:textId="77777777" w:rsidTr="00E7182E">
        <w:trPr>
          <w:tblCellSpacing w:w="15" w:type="dxa"/>
        </w:trPr>
        <w:tc>
          <w:tcPr>
            <w:tcW w:w="4016" w:type="dxa"/>
            <w:vAlign w:val="center"/>
            <w:hideMark/>
          </w:tcPr>
          <w:p w14:paraId="37F12EBD"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Total Assets</w:t>
            </w:r>
          </w:p>
        </w:tc>
        <w:tc>
          <w:tcPr>
            <w:tcW w:w="2288" w:type="dxa"/>
            <w:vAlign w:val="center"/>
            <w:hideMark/>
          </w:tcPr>
          <w:p w14:paraId="3A9AE9EB"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£6.46 billion</w:t>
            </w:r>
          </w:p>
        </w:tc>
        <w:tc>
          <w:tcPr>
            <w:tcW w:w="1940" w:type="dxa"/>
            <w:vAlign w:val="center"/>
            <w:hideMark/>
          </w:tcPr>
          <w:p w14:paraId="640CAD5E"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£6.18 billion</w:t>
            </w:r>
          </w:p>
        </w:tc>
      </w:tr>
      <w:tr w:rsidR="00E7182E" w:rsidRPr="00E7182E" w14:paraId="028735C8" w14:textId="77777777" w:rsidTr="00E7182E">
        <w:trPr>
          <w:tblCellSpacing w:w="15" w:type="dxa"/>
        </w:trPr>
        <w:tc>
          <w:tcPr>
            <w:tcW w:w="4016" w:type="dxa"/>
            <w:vAlign w:val="center"/>
            <w:hideMark/>
          </w:tcPr>
          <w:p w14:paraId="722AAC2C"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Total Liabilities</w:t>
            </w:r>
          </w:p>
        </w:tc>
        <w:tc>
          <w:tcPr>
            <w:tcW w:w="2288" w:type="dxa"/>
            <w:vAlign w:val="center"/>
            <w:hideMark/>
          </w:tcPr>
          <w:p w14:paraId="6A1C02BA"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£3.09 billion</w:t>
            </w:r>
          </w:p>
        </w:tc>
        <w:tc>
          <w:tcPr>
            <w:tcW w:w="1940" w:type="dxa"/>
            <w:vAlign w:val="center"/>
            <w:hideMark/>
          </w:tcPr>
          <w:p w14:paraId="4FA18564"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£2.98 billion</w:t>
            </w:r>
          </w:p>
        </w:tc>
      </w:tr>
      <w:tr w:rsidR="00E7182E" w:rsidRPr="00E7182E" w14:paraId="24441B0E" w14:textId="77777777" w:rsidTr="00E7182E">
        <w:trPr>
          <w:tblCellSpacing w:w="15" w:type="dxa"/>
        </w:trPr>
        <w:tc>
          <w:tcPr>
            <w:tcW w:w="4016" w:type="dxa"/>
            <w:vAlign w:val="center"/>
            <w:hideMark/>
          </w:tcPr>
          <w:p w14:paraId="1826F514"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Equity</w:t>
            </w:r>
          </w:p>
        </w:tc>
        <w:tc>
          <w:tcPr>
            <w:tcW w:w="2288" w:type="dxa"/>
            <w:vAlign w:val="center"/>
            <w:hideMark/>
          </w:tcPr>
          <w:p w14:paraId="2994B552"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£3.37 billion</w:t>
            </w:r>
          </w:p>
        </w:tc>
        <w:tc>
          <w:tcPr>
            <w:tcW w:w="1940" w:type="dxa"/>
            <w:vAlign w:val="center"/>
            <w:hideMark/>
          </w:tcPr>
          <w:p w14:paraId="48FCC5FB"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£3.20 billion</w:t>
            </w:r>
          </w:p>
        </w:tc>
      </w:tr>
      <w:tr w:rsidR="00E7182E" w:rsidRPr="00E7182E" w14:paraId="426EF552" w14:textId="77777777" w:rsidTr="00E7182E">
        <w:trPr>
          <w:tblCellSpacing w:w="15" w:type="dxa"/>
        </w:trPr>
        <w:tc>
          <w:tcPr>
            <w:tcW w:w="4016" w:type="dxa"/>
            <w:vAlign w:val="center"/>
            <w:hideMark/>
          </w:tcPr>
          <w:p w14:paraId="63CEBF00"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Current Assets</w:t>
            </w:r>
          </w:p>
        </w:tc>
        <w:tc>
          <w:tcPr>
            <w:tcW w:w="2288" w:type="dxa"/>
            <w:vAlign w:val="center"/>
            <w:hideMark/>
          </w:tcPr>
          <w:p w14:paraId="0D8257D1"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£1.44 billion</w:t>
            </w:r>
          </w:p>
        </w:tc>
        <w:tc>
          <w:tcPr>
            <w:tcW w:w="1940" w:type="dxa"/>
            <w:vAlign w:val="center"/>
            <w:hideMark/>
          </w:tcPr>
          <w:p w14:paraId="5C6FA738"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£1.52 billion</w:t>
            </w:r>
          </w:p>
        </w:tc>
      </w:tr>
      <w:tr w:rsidR="00E7182E" w:rsidRPr="00E7182E" w14:paraId="53DAE0D8" w14:textId="77777777" w:rsidTr="00E7182E">
        <w:trPr>
          <w:tblCellSpacing w:w="15" w:type="dxa"/>
        </w:trPr>
        <w:tc>
          <w:tcPr>
            <w:tcW w:w="4016" w:type="dxa"/>
            <w:vAlign w:val="center"/>
            <w:hideMark/>
          </w:tcPr>
          <w:p w14:paraId="35C62CCC"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b/>
                <w:bCs/>
                <w:color w:val="4C94D8" w:themeColor="text2" w:themeTint="80"/>
                <w:kern w:val="0"/>
                <w:lang w:eastAsia="en-GB"/>
                <w14:ligatures w14:val="none"/>
              </w:rPr>
              <w:t>Current Liabilities</w:t>
            </w:r>
          </w:p>
        </w:tc>
        <w:tc>
          <w:tcPr>
            <w:tcW w:w="2288" w:type="dxa"/>
            <w:vAlign w:val="center"/>
            <w:hideMark/>
          </w:tcPr>
          <w:p w14:paraId="0EB15811"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£0.96 billion</w:t>
            </w:r>
          </w:p>
        </w:tc>
        <w:tc>
          <w:tcPr>
            <w:tcW w:w="1940" w:type="dxa"/>
            <w:vAlign w:val="center"/>
            <w:hideMark/>
          </w:tcPr>
          <w:p w14:paraId="448C425E" w14:textId="77777777" w:rsidR="00E7182E" w:rsidRPr="00E7182E" w:rsidRDefault="00E7182E" w:rsidP="00E7182E">
            <w:pPr>
              <w:spacing w:after="0" w:line="240" w:lineRule="auto"/>
              <w:rPr>
                <w:rFonts w:ascii="Arial Black" w:eastAsia="Times New Roman" w:hAnsi="Arial Black" w:cs="Times New Roman"/>
                <w:color w:val="4C94D8" w:themeColor="text2" w:themeTint="80"/>
                <w:kern w:val="0"/>
                <w:lang w:eastAsia="en-GB"/>
                <w14:ligatures w14:val="none"/>
              </w:rPr>
            </w:pPr>
            <w:r w:rsidRPr="00E7182E">
              <w:rPr>
                <w:rFonts w:ascii="Arial Black" w:eastAsia="Times New Roman" w:hAnsi="Arial Black" w:cs="Times New Roman"/>
                <w:color w:val="4C94D8" w:themeColor="text2" w:themeTint="80"/>
                <w:kern w:val="0"/>
                <w:lang w:eastAsia="en-GB"/>
                <w14:ligatures w14:val="none"/>
              </w:rPr>
              <w:t>£0.81 billion</w:t>
            </w:r>
          </w:p>
        </w:tc>
      </w:tr>
    </w:tbl>
    <w:p w14:paraId="154D185F" w14:textId="77777777" w:rsidR="00E7182E" w:rsidRDefault="00E7182E" w:rsidP="00E7182E">
      <w:pPr>
        <w:spacing w:line="480" w:lineRule="auto"/>
        <w:rPr>
          <w:rFonts w:ascii="Arial" w:hAnsi="Arial" w:cs="Arial"/>
        </w:rPr>
      </w:pPr>
    </w:p>
    <w:p w14:paraId="26344592" w14:textId="49ACA5D0" w:rsidR="00E7182E" w:rsidRPr="00163217" w:rsidRDefault="00E7182E" w:rsidP="00E7182E">
      <w:pPr>
        <w:spacing w:line="480" w:lineRule="auto"/>
        <w:rPr>
          <w:rFonts w:ascii="Arial" w:hAnsi="Arial" w:cs="Arial"/>
          <w:b/>
          <w:bCs/>
        </w:rPr>
      </w:pPr>
      <w:r w:rsidRPr="00163217">
        <w:rPr>
          <w:rFonts w:ascii="Arial" w:hAnsi="Arial" w:cs="Arial"/>
          <w:b/>
          <w:bCs/>
        </w:rPr>
        <w:t>Table 1. Amazon UK Services Ltd Key Financial Figures (2022-2023)</w:t>
      </w:r>
    </w:p>
    <w:p w14:paraId="4C83A540" w14:textId="77777777" w:rsidR="00E7182E" w:rsidRDefault="00E7182E" w:rsidP="00E7182E">
      <w:pPr>
        <w:spacing w:line="480" w:lineRule="auto"/>
        <w:rPr>
          <w:rFonts w:ascii="Arial" w:hAnsi="Arial" w:cs="Arial"/>
        </w:rPr>
      </w:pPr>
      <w:r w:rsidRPr="00E7182E">
        <w:rPr>
          <w:rFonts w:ascii="Arial" w:hAnsi="Arial" w:cs="Arial"/>
        </w:rPr>
        <w:t>The table presented is used to identify the baseline for the calculations for all relevant ratios. The values for current assets and liabilities are estimates based on published interim accounts. These facilitate the calculation of measure of liquidity that is indicative of short-term financial viability (Choi &amp; Wang, 2009).</w:t>
      </w:r>
    </w:p>
    <w:p w14:paraId="27CE8B26" w14:textId="77777777" w:rsidR="00E7182E" w:rsidRPr="00163217" w:rsidRDefault="00E7182E" w:rsidP="00E7182E">
      <w:pPr>
        <w:spacing w:line="480" w:lineRule="auto"/>
        <w:rPr>
          <w:rFonts w:ascii="Arial Black" w:hAnsi="Arial Black" w:cs="Arial"/>
          <w:color w:val="4C94D8" w:themeColor="text2" w:themeTint="80"/>
        </w:rPr>
      </w:pPr>
      <w:bookmarkStart w:id="0" w:name="_Hlk195026844"/>
      <w:r w:rsidRPr="00163217">
        <w:rPr>
          <w:rFonts w:ascii="Arial Black" w:hAnsi="Arial Black" w:cs="Arial"/>
          <w:color w:val="4C94D8" w:themeColor="text2" w:themeTint="80"/>
        </w:rPr>
        <w:t>Ratio Calculations and Detailed Analysis</w:t>
      </w:r>
    </w:p>
    <w:bookmarkEnd w:id="0"/>
    <w:p w14:paraId="204EDBA8" w14:textId="0085867B" w:rsidR="00E7182E" w:rsidRPr="00163217" w:rsidRDefault="00E7182E" w:rsidP="00163217">
      <w:pPr>
        <w:pStyle w:val="ListParagraph"/>
        <w:numPr>
          <w:ilvl w:val="0"/>
          <w:numId w:val="1"/>
        </w:num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t>Profitability Ratios</w:t>
      </w:r>
    </w:p>
    <w:p w14:paraId="1820F112" w14:textId="77777777" w:rsidR="00E7182E" w:rsidRDefault="00E7182E" w:rsidP="00E7182E">
      <w:pPr>
        <w:spacing w:line="480" w:lineRule="auto"/>
        <w:rPr>
          <w:rFonts w:ascii="Arial" w:hAnsi="Arial" w:cs="Arial"/>
        </w:rPr>
      </w:pPr>
      <w:r w:rsidRPr="00E7182E">
        <w:rPr>
          <w:rFonts w:ascii="Arial" w:hAnsi="Arial" w:cs="Arial"/>
        </w:rPr>
        <w:t>Net Profit Margin</w:t>
      </w:r>
      <w:r>
        <w:rPr>
          <w:rFonts w:ascii="Arial" w:hAnsi="Arial" w:cs="Arial"/>
        </w:rPr>
        <w:t xml:space="preserve">: </w:t>
      </w:r>
      <w:r w:rsidRPr="00E7182E">
        <w:rPr>
          <w:rFonts w:ascii="Arial" w:hAnsi="Arial" w:cs="Arial"/>
        </w:rPr>
        <w:t>The net profit margin is used to measure the percentage of revenue left after all costs and expenses have been accounted for:</w:t>
      </w:r>
    </w:p>
    <w:p w14:paraId="0F893754" w14:textId="1987D8B9" w:rsidR="00E7182E" w:rsidRPr="00782A9B" w:rsidRDefault="00E7182E" w:rsidP="00E7182E">
      <w:pPr>
        <w:spacing w:line="480" w:lineRule="auto"/>
        <w:rPr>
          <w:rFonts w:ascii="Arial Black" w:hAnsi="Arial Black" w:cs="Arial"/>
        </w:rPr>
      </w:pPr>
      <w:r w:rsidRPr="00782A9B">
        <w:rPr>
          <w:rFonts w:ascii="Arial Black" w:hAnsi="Arial Black" w:cs="Arial"/>
        </w:rPr>
        <w:t>Net Profit Margin</w:t>
      </w:r>
      <w:r w:rsidRPr="00782A9B">
        <w:rPr>
          <w:rFonts w:ascii="Arial Black" w:hAnsi="Arial Black" w:cs="Arial"/>
        </w:rPr>
        <w:t>= (</w:t>
      </w:r>
      <w:r w:rsidRPr="00782A9B">
        <w:rPr>
          <w:rFonts w:ascii="Arial Black" w:hAnsi="Arial Black" w:cs="Arial"/>
        </w:rPr>
        <w:t>Net Profit</w:t>
      </w:r>
      <w:r w:rsidRPr="00782A9B">
        <w:rPr>
          <w:rFonts w:ascii="Arial Black" w:hAnsi="Arial Black" w:cs="Arial"/>
        </w:rPr>
        <w:t>/Revenue) ×</w:t>
      </w:r>
      <w:r w:rsidRPr="00782A9B">
        <w:rPr>
          <w:rFonts w:ascii="Arial Black" w:hAnsi="Arial Black" w:cs="Arial"/>
        </w:rPr>
        <w:t>100</w:t>
      </w:r>
    </w:p>
    <w:p w14:paraId="6A1C6793" w14:textId="72AD6363" w:rsidR="00E7182E" w:rsidRDefault="00E7182E" w:rsidP="00E7182E">
      <w:pPr>
        <w:spacing w:line="480" w:lineRule="auto"/>
        <w:rPr>
          <w:rFonts w:ascii="Arial" w:hAnsi="Arial" w:cs="Arial"/>
        </w:rPr>
      </w:pPr>
      <w:r w:rsidRPr="00E7182E">
        <w:rPr>
          <w:rFonts w:ascii="Arial" w:hAnsi="Arial" w:cs="Arial"/>
        </w:rPr>
        <w:t>2022:</w:t>
      </w:r>
      <w:r>
        <w:rPr>
          <w:rFonts w:ascii="Arial" w:hAnsi="Arial" w:cs="Arial"/>
        </w:rPr>
        <w:t xml:space="preserve"> </w:t>
      </w:r>
      <w:r w:rsidRPr="00E7182E">
        <w:rPr>
          <w:rFonts w:ascii="Arial" w:hAnsi="Arial" w:cs="Arial"/>
        </w:rPr>
        <w:t>£155m</w:t>
      </w:r>
      <w:r>
        <w:rPr>
          <w:rFonts w:ascii="Arial" w:hAnsi="Arial" w:cs="Arial"/>
        </w:rPr>
        <w:t>/</w:t>
      </w:r>
      <w:r w:rsidRPr="00E7182E">
        <w:rPr>
          <w:rFonts w:ascii="Arial" w:hAnsi="Arial" w:cs="Arial"/>
        </w:rPr>
        <w:t>£6,570m×100</w:t>
      </w:r>
      <w:r>
        <w:rPr>
          <w:rFonts w:ascii="Arial" w:hAnsi="Arial" w:cs="Arial"/>
        </w:rPr>
        <w:t>=</w:t>
      </w:r>
      <w:r w:rsidRPr="00E7182E">
        <w:rPr>
          <w:rFonts w:ascii="Arial" w:hAnsi="Arial" w:cs="Arial"/>
        </w:rPr>
        <w:t>2.36%</w:t>
      </w:r>
    </w:p>
    <w:p w14:paraId="72623064" w14:textId="77777777" w:rsidR="00E7182E" w:rsidRDefault="00E7182E" w:rsidP="00E7182E">
      <w:pPr>
        <w:spacing w:line="480" w:lineRule="auto"/>
        <w:rPr>
          <w:rFonts w:ascii="Arial" w:hAnsi="Arial" w:cs="Arial"/>
        </w:rPr>
      </w:pPr>
      <w:r w:rsidRPr="00E7182E">
        <w:rPr>
          <w:rFonts w:ascii="Arial" w:hAnsi="Arial" w:cs="Arial"/>
        </w:rPr>
        <w:t>2023:</w:t>
      </w:r>
      <w:r>
        <w:rPr>
          <w:rFonts w:ascii="Arial" w:hAnsi="Arial" w:cs="Arial"/>
        </w:rPr>
        <w:t xml:space="preserve"> </w:t>
      </w:r>
      <w:r w:rsidRPr="00E7182E">
        <w:rPr>
          <w:rFonts w:ascii="Arial" w:hAnsi="Arial" w:cs="Arial"/>
        </w:rPr>
        <w:t>£169m</w:t>
      </w:r>
      <w:r>
        <w:rPr>
          <w:rFonts w:ascii="Arial" w:hAnsi="Arial" w:cs="Arial"/>
        </w:rPr>
        <w:t>/</w:t>
      </w:r>
      <w:r w:rsidRPr="00E7182E">
        <w:rPr>
          <w:rFonts w:ascii="Arial" w:hAnsi="Arial" w:cs="Arial"/>
        </w:rPr>
        <w:t>£6,880m×100</w:t>
      </w:r>
      <w:r>
        <w:rPr>
          <w:rFonts w:ascii="Arial" w:hAnsi="Arial" w:cs="Arial"/>
        </w:rPr>
        <w:t>=</w:t>
      </w:r>
      <w:r w:rsidRPr="00E7182E">
        <w:rPr>
          <w:rFonts w:ascii="Arial" w:hAnsi="Arial" w:cs="Arial"/>
        </w:rPr>
        <w:t>2.46%</w:t>
      </w:r>
    </w:p>
    <w:p w14:paraId="475E3636" w14:textId="77777777" w:rsidR="00782A9B" w:rsidRDefault="00E7182E" w:rsidP="00E7182E">
      <w:pPr>
        <w:spacing w:line="480" w:lineRule="auto"/>
        <w:rPr>
          <w:rFonts w:ascii="Arial" w:hAnsi="Arial" w:cs="Arial"/>
        </w:rPr>
      </w:pPr>
      <w:r w:rsidRPr="00E7182E">
        <w:rPr>
          <w:rFonts w:ascii="Arial" w:hAnsi="Arial" w:cs="Arial"/>
        </w:rPr>
        <w:lastRenderedPageBreak/>
        <w:t>The improvement from 2.36% to 2.46% indicates that Amazon UK has improved its operational effectiveness by reducing costs, increasing revenue, or, most likely, through a combination of bot</w:t>
      </w:r>
      <w:r w:rsidR="00782A9B">
        <w:rPr>
          <w:rFonts w:ascii="Arial" w:hAnsi="Arial" w:cs="Arial"/>
        </w:rPr>
        <w:t>h (</w:t>
      </w:r>
      <w:r w:rsidRPr="00E7182E">
        <w:rPr>
          <w:rFonts w:ascii="Arial" w:hAnsi="Arial" w:cs="Arial"/>
        </w:rPr>
        <w:t>Sussman</w:t>
      </w:r>
      <w:r w:rsidR="00782A9B">
        <w:rPr>
          <w:rFonts w:ascii="Arial" w:hAnsi="Arial" w:cs="Arial"/>
        </w:rPr>
        <w:t xml:space="preserve">, </w:t>
      </w:r>
      <w:r w:rsidRPr="00E7182E">
        <w:rPr>
          <w:rFonts w:ascii="Arial" w:hAnsi="Arial" w:cs="Arial"/>
        </w:rPr>
        <w:t>2019).</w:t>
      </w:r>
    </w:p>
    <w:p w14:paraId="73BE72E7" w14:textId="77777777" w:rsidR="00782A9B" w:rsidRDefault="00E7182E" w:rsidP="00E7182E">
      <w:pPr>
        <w:spacing w:line="480" w:lineRule="auto"/>
        <w:rPr>
          <w:rFonts w:ascii="Arial" w:hAnsi="Arial" w:cs="Arial"/>
        </w:rPr>
      </w:pPr>
      <w:r w:rsidRPr="00E7182E">
        <w:rPr>
          <w:rFonts w:ascii="Arial" w:hAnsi="Arial" w:cs="Arial"/>
        </w:rPr>
        <w:t>Return on Assets (ROA)</w:t>
      </w:r>
      <w:r w:rsidR="00782A9B">
        <w:rPr>
          <w:rFonts w:ascii="Arial" w:hAnsi="Arial" w:cs="Arial"/>
        </w:rPr>
        <w:t xml:space="preserve">: </w:t>
      </w:r>
      <w:r w:rsidRPr="00E7182E">
        <w:rPr>
          <w:rFonts w:ascii="Arial" w:hAnsi="Arial" w:cs="Arial"/>
        </w:rPr>
        <w:t>ROA shows how well the company is using its total assets to generate profit:</w:t>
      </w:r>
    </w:p>
    <w:p w14:paraId="622001A0" w14:textId="7E341AA3" w:rsidR="00782A9B" w:rsidRPr="00782A9B" w:rsidRDefault="00E7182E" w:rsidP="00E7182E">
      <w:pPr>
        <w:spacing w:line="480" w:lineRule="auto"/>
        <w:rPr>
          <w:rFonts w:ascii="Arial Black" w:hAnsi="Arial Black" w:cs="Arial"/>
        </w:rPr>
      </w:pPr>
      <w:r w:rsidRPr="00782A9B">
        <w:rPr>
          <w:rFonts w:ascii="Arial Black" w:hAnsi="Arial Black" w:cs="Arial"/>
        </w:rPr>
        <w:t>ROA</w:t>
      </w:r>
      <w:r w:rsidR="00782A9B" w:rsidRPr="00782A9B">
        <w:rPr>
          <w:rFonts w:ascii="Arial Black" w:hAnsi="Arial Black" w:cs="Arial"/>
        </w:rPr>
        <w:t>= (</w:t>
      </w:r>
      <w:r w:rsidRPr="00782A9B">
        <w:rPr>
          <w:rFonts w:ascii="Arial Black" w:hAnsi="Arial Black" w:cs="Arial"/>
        </w:rPr>
        <w:t>Net Profit</w:t>
      </w:r>
      <w:r w:rsidR="00782A9B" w:rsidRPr="00782A9B">
        <w:rPr>
          <w:rFonts w:ascii="Arial Black" w:hAnsi="Arial Black" w:cs="Arial"/>
        </w:rPr>
        <w:t>/</w:t>
      </w:r>
      <w:r w:rsidRPr="00782A9B">
        <w:rPr>
          <w:rFonts w:ascii="Arial Black" w:hAnsi="Arial Black" w:cs="Arial"/>
        </w:rPr>
        <w:t xml:space="preserve">Total </w:t>
      </w:r>
      <w:r w:rsidR="00782A9B" w:rsidRPr="00782A9B">
        <w:rPr>
          <w:rFonts w:ascii="Arial Black" w:hAnsi="Arial Black" w:cs="Arial"/>
        </w:rPr>
        <w:t>Assets) ×</w:t>
      </w:r>
      <w:r w:rsidRPr="00782A9B">
        <w:rPr>
          <w:rFonts w:ascii="Arial Black" w:hAnsi="Arial Black" w:cs="Arial"/>
        </w:rPr>
        <w:t>100</w:t>
      </w:r>
    </w:p>
    <w:p w14:paraId="742FF2CB" w14:textId="1C9BD085" w:rsidR="00782A9B" w:rsidRDefault="00E7182E" w:rsidP="00E7182E">
      <w:pPr>
        <w:spacing w:line="480" w:lineRule="auto"/>
        <w:rPr>
          <w:rFonts w:ascii="Arial" w:hAnsi="Arial" w:cs="Arial"/>
        </w:rPr>
      </w:pPr>
      <w:r w:rsidRPr="00E7182E">
        <w:rPr>
          <w:rFonts w:ascii="Arial" w:hAnsi="Arial" w:cs="Arial"/>
        </w:rPr>
        <w:t>2022:</w:t>
      </w:r>
      <w:r w:rsidR="00782A9B">
        <w:rPr>
          <w:rFonts w:ascii="Arial" w:hAnsi="Arial" w:cs="Arial"/>
        </w:rPr>
        <w:t xml:space="preserve"> </w:t>
      </w:r>
      <w:r w:rsidRPr="00E7182E">
        <w:rPr>
          <w:rFonts w:ascii="Arial" w:hAnsi="Arial" w:cs="Arial"/>
        </w:rPr>
        <w:t>£155m</w:t>
      </w:r>
      <w:r w:rsidR="00782A9B">
        <w:rPr>
          <w:rFonts w:ascii="Arial" w:hAnsi="Arial" w:cs="Arial"/>
        </w:rPr>
        <w:t>/</w:t>
      </w:r>
      <w:r w:rsidRPr="00E7182E">
        <w:rPr>
          <w:rFonts w:ascii="Arial" w:hAnsi="Arial" w:cs="Arial"/>
        </w:rPr>
        <w:t>£6,460m×100</w:t>
      </w:r>
      <w:r w:rsidR="00782A9B">
        <w:rPr>
          <w:rFonts w:ascii="Arial" w:hAnsi="Arial" w:cs="Arial"/>
        </w:rPr>
        <w:t>=</w:t>
      </w:r>
      <w:r w:rsidRPr="00E7182E">
        <w:rPr>
          <w:rFonts w:ascii="Arial" w:hAnsi="Arial" w:cs="Arial"/>
        </w:rPr>
        <w:t>2.40%</w:t>
      </w:r>
    </w:p>
    <w:p w14:paraId="21469CFB" w14:textId="77777777" w:rsidR="00782A9B" w:rsidRDefault="00E7182E" w:rsidP="00E7182E">
      <w:pPr>
        <w:spacing w:line="480" w:lineRule="auto"/>
        <w:rPr>
          <w:rFonts w:ascii="Arial" w:hAnsi="Arial" w:cs="Arial"/>
        </w:rPr>
      </w:pPr>
      <w:r w:rsidRPr="00E7182E">
        <w:rPr>
          <w:rFonts w:ascii="Arial" w:hAnsi="Arial" w:cs="Arial"/>
        </w:rPr>
        <w:t>2023:</w:t>
      </w:r>
      <w:r w:rsidR="00782A9B">
        <w:rPr>
          <w:rFonts w:ascii="Arial" w:hAnsi="Arial" w:cs="Arial"/>
        </w:rPr>
        <w:t xml:space="preserve"> </w:t>
      </w:r>
      <w:r w:rsidRPr="00E7182E">
        <w:rPr>
          <w:rFonts w:ascii="Arial" w:hAnsi="Arial" w:cs="Arial"/>
        </w:rPr>
        <w:t>£169m</w:t>
      </w:r>
      <w:r w:rsidR="00782A9B">
        <w:rPr>
          <w:rFonts w:ascii="Arial" w:hAnsi="Arial" w:cs="Arial"/>
        </w:rPr>
        <w:t>/</w:t>
      </w:r>
      <w:r w:rsidRPr="00E7182E">
        <w:rPr>
          <w:rFonts w:ascii="Arial" w:hAnsi="Arial" w:cs="Arial"/>
        </w:rPr>
        <w:t>£6,180m×100</w:t>
      </w:r>
      <w:r w:rsidR="00782A9B">
        <w:rPr>
          <w:rFonts w:ascii="Arial" w:hAnsi="Arial" w:cs="Arial"/>
        </w:rPr>
        <w:t>=</w:t>
      </w:r>
      <w:r w:rsidRPr="00E7182E">
        <w:rPr>
          <w:rFonts w:ascii="Arial" w:hAnsi="Arial" w:cs="Arial"/>
        </w:rPr>
        <w:t>2.73%</w:t>
      </w:r>
    </w:p>
    <w:p w14:paraId="08DEF461" w14:textId="77777777" w:rsidR="00782A9B" w:rsidRDefault="00E7182E" w:rsidP="00E7182E">
      <w:pPr>
        <w:spacing w:line="480" w:lineRule="auto"/>
        <w:rPr>
          <w:rFonts w:ascii="Arial" w:hAnsi="Arial" w:cs="Arial"/>
        </w:rPr>
      </w:pPr>
      <w:r w:rsidRPr="00E7182E">
        <w:rPr>
          <w:rFonts w:ascii="Arial" w:hAnsi="Arial" w:cs="Arial"/>
        </w:rPr>
        <w:t>An increase in ROA indicates that for 2023 the asset base was better used to generate profits than in 2022.This level of efficiency is consistent with principles of asset utili</w:t>
      </w:r>
      <w:r w:rsidR="00782A9B">
        <w:rPr>
          <w:rFonts w:ascii="Arial" w:hAnsi="Arial" w:cs="Arial"/>
        </w:rPr>
        <w:t>s</w:t>
      </w:r>
      <w:r w:rsidRPr="00E7182E">
        <w:rPr>
          <w:rFonts w:ascii="Arial" w:hAnsi="Arial" w:cs="Arial"/>
        </w:rPr>
        <w:t>ation identified by Kothari (2001).</w:t>
      </w:r>
    </w:p>
    <w:p w14:paraId="14921D1D" w14:textId="77777777" w:rsidR="00782A9B" w:rsidRDefault="00E7182E" w:rsidP="00E7182E">
      <w:pPr>
        <w:spacing w:line="480" w:lineRule="auto"/>
        <w:rPr>
          <w:rFonts w:ascii="Arial" w:hAnsi="Arial" w:cs="Arial"/>
        </w:rPr>
      </w:pPr>
      <w:r w:rsidRPr="00E7182E">
        <w:rPr>
          <w:rFonts w:ascii="Arial" w:hAnsi="Arial" w:cs="Arial"/>
        </w:rPr>
        <w:t>Return on Equity (ROE)</w:t>
      </w:r>
      <w:r w:rsidR="00782A9B">
        <w:rPr>
          <w:rFonts w:ascii="Arial" w:hAnsi="Arial" w:cs="Arial"/>
        </w:rPr>
        <w:t xml:space="preserve">: </w:t>
      </w:r>
      <w:r w:rsidRPr="00E7182E">
        <w:rPr>
          <w:rFonts w:ascii="Arial" w:hAnsi="Arial" w:cs="Arial"/>
        </w:rPr>
        <w:t>The ROE ratio provides the measure of the return achieved on shareholders’ equity:</w:t>
      </w:r>
    </w:p>
    <w:p w14:paraId="5121B9EB" w14:textId="4FDBC8E2" w:rsidR="00782A9B" w:rsidRPr="00782A9B" w:rsidRDefault="00E7182E" w:rsidP="00E7182E">
      <w:pPr>
        <w:spacing w:line="480" w:lineRule="auto"/>
        <w:rPr>
          <w:rFonts w:ascii="Arial Black" w:hAnsi="Arial Black" w:cs="Arial"/>
        </w:rPr>
      </w:pPr>
      <w:r w:rsidRPr="00782A9B">
        <w:rPr>
          <w:rFonts w:ascii="Arial Black" w:hAnsi="Arial Black" w:cs="Arial"/>
        </w:rPr>
        <w:t>ROE</w:t>
      </w:r>
      <w:r w:rsidR="00782A9B" w:rsidRPr="00782A9B">
        <w:rPr>
          <w:rFonts w:ascii="Arial Black" w:hAnsi="Arial Black" w:cs="Arial"/>
        </w:rPr>
        <w:t>= (</w:t>
      </w:r>
      <w:r w:rsidRPr="00782A9B">
        <w:rPr>
          <w:rFonts w:ascii="Arial Black" w:hAnsi="Arial Black" w:cs="Arial"/>
        </w:rPr>
        <w:t>Net Profit</w:t>
      </w:r>
      <w:r w:rsidR="00782A9B" w:rsidRPr="00782A9B">
        <w:rPr>
          <w:rFonts w:ascii="Arial Black" w:hAnsi="Arial Black" w:cs="Arial"/>
        </w:rPr>
        <w:t>/Equity) ×</w:t>
      </w:r>
      <w:r w:rsidRPr="00782A9B">
        <w:rPr>
          <w:rFonts w:ascii="Arial Black" w:hAnsi="Arial Black" w:cs="Arial"/>
        </w:rPr>
        <w:t>100</w:t>
      </w:r>
    </w:p>
    <w:p w14:paraId="3C5084FE" w14:textId="77777777" w:rsidR="00782A9B" w:rsidRDefault="00E7182E" w:rsidP="00E7182E">
      <w:pPr>
        <w:spacing w:line="480" w:lineRule="auto"/>
        <w:rPr>
          <w:rFonts w:ascii="Arial" w:hAnsi="Arial" w:cs="Arial"/>
        </w:rPr>
      </w:pPr>
      <w:r w:rsidRPr="00E7182E">
        <w:rPr>
          <w:rFonts w:ascii="Arial" w:hAnsi="Arial" w:cs="Arial"/>
        </w:rPr>
        <w:t>For 2022, ROE was calculated by:</w:t>
      </w:r>
      <w:r w:rsidR="00782A9B">
        <w:rPr>
          <w:rFonts w:ascii="Arial" w:hAnsi="Arial" w:cs="Arial"/>
        </w:rPr>
        <w:t xml:space="preserve"> </w:t>
      </w:r>
    </w:p>
    <w:p w14:paraId="657AF5B2" w14:textId="77777777" w:rsidR="00782A9B" w:rsidRDefault="00E7182E" w:rsidP="00E7182E">
      <w:pPr>
        <w:spacing w:line="480" w:lineRule="auto"/>
        <w:rPr>
          <w:rFonts w:ascii="Arial" w:hAnsi="Arial" w:cs="Arial"/>
        </w:rPr>
      </w:pPr>
      <w:r w:rsidRPr="00E7182E">
        <w:rPr>
          <w:rFonts w:ascii="Arial" w:hAnsi="Arial" w:cs="Arial"/>
        </w:rPr>
        <w:t>£155m</w:t>
      </w:r>
      <w:r w:rsidR="00782A9B">
        <w:rPr>
          <w:rFonts w:ascii="Arial" w:hAnsi="Arial" w:cs="Arial"/>
        </w:rPr>
        <w:t>/</w:t>
      </w:r>
      <w:r w:rsidRPr="00E7182E">
        <w:rPr>
          <w:rFonts w:ascii="Arial" w:hAnsi="Arial" w:cs="Arial"/>
        </w:rPr>
        <w:t>£3,370m×100</w:t>
      </w:r>
      <w:r w:rsidR="00782A9B">
        <w:rPr>
          <w:rFonts w:ascii="Arial" w:hAnsi="Arial" w:cs="Arial"/>
        </w:rPr>
        <w:t>=</w:t>
      </w:r>
      <w:r w:rsidRPr="00E7182E">
        <w:rPr>
          <w:rFonts w:ascii="Arial" w:hAnsi="Arial" w:cs="Arial"/>
        </w:rPr>
        <w:t>4.60%</w:t>
      </w:r>
    </w:p>
    <w:p w14:paraId="520FC8D8" w14:textId="77777777" w:rsidR="00782A9B" w:rsidRDefault="00E7182E" w:rsidP="00E7182E">
      <w:pPr>
        <w:spacing w:line="480" w:lineRule="auto"/>
        <w:rPr>
          <w:rFonts w:ascii="Arial" w:hAnsi="Arial" w:cs="Arial"/>
        </w:rPr>
      </w:pPr>
      <w:r w:rsidRPr="00E7182E">
        <w:rPr>
          <w:rFonts w:ascii="Arial" w:hAnsi="Arial" w:cs="Arial"/>
        </w:rPr>
        <w:t>In 2023, ROE was calculated to be:</w:t>
      </w:r>
    </w:p>
    <w:p w14:paraId="23062806" w14:textId="77777777" w:rsidR="00782A9B" w:rsidRDefault="00E7182E" w:rsidP="00E7182E">
      <w:pPr>
        <w:spacing w:line="480" w:lineRule="auto"/>
        <w:rPr>
          <w:rFonts w:ascii="Arial" w:hAnsi="Arial" w:cs="Arial"/>
        </w:rPr>
      </w:pPr>
      <w:r w:rsidRPr="00E7182E">
        <w:rPr>
          <w:rFonts w:ascii="Arial" w:hAnsi="Arial" w:cs="Arial"/>
        </w:rPr>
        <w:t>£169m</w:t>
      </w:r>
      <w:r w:rsidR="00782A9B">
        <w:rPr>
          <w:rFonts w:ascii="Arial" w:hAnsi="Arial" w:cs="Arial"/>
        </w:rPr>
        <w:t>/</w:t>
      </w:r>
      <w:r w:rsidRPr="00E7182E">
        <w:rPr>
          <w:rFonts w:ascii="Arial" w:hAnsi="Arial" w:cs="Arial"/>
        </w:rPr>
        <w:t>£3,200m×100</w:t>
      </w:r>
      <w:r w:rsidR="00782A9B">
        <w:rPr>
          <w:rFonts w:ascii="Arial" w:hAnsi="Arial" w:cs="Arial"/>
        </w:rPr>
        <w:t>=</w:t>
      </w:r>
      <w:r w:rsidRPr="00E7182E">
        <w:rPr>
          <w:rFonts w:ascii="Arial" w:hAnsi="Arial" w:cs="Arial"/>
        </w:rPr>
        <w:t>5.28%</w:t>
      </w:r>
    </w:p>
    <w:p w14:paraId="2AD14AD4" w14:textId="77777777" w:rsidR="00782A9B" w:rsidRDefault="00E7182E" w:rsidP="00E7182E">
      <w:pPr>
        <w:spacing w:line="480" w:lineRule="auto"/>
        <w:rPr>
          <w:rFonts w:ascii="Arial" w:hAnsi="Arial" w:cs="Arial"/>
        </w:rPr>
      </w:pPr>
      <w:r w:rsidRPr="00E7182E">
        <w:rPr>
          <w:rFonts w:ascii="Arial" w:hAnsi="Arial" w:cs="Arial"/>
        </w:rPr>
        <w:t xml:space="preserve">The increase in ROE represents a more </w:t>
      </w:r>
      <w:r w:rsidR="00782A9B" w:rsidRPr="00E7182E">
        <w:rPr>
          <w:rFonts w:ascii="Arial" w:hAnsi="Arial" w:cs="Arial"/>
        </w:rPr>
        <w:t>favourable</w:t>
      </w:r>
      <w:r w:rsidRPr="00E7182E">
        <w:rPr>
          <w:rFonts w:ascii="Arial" w:hAnsi="Arial" w:cs="Arial"/>
        </w:rPr>
        <w:t xml:space="preserve"> return to shareholders, despite the overall equity value decreasing, as would be expected if dividends or shares were allocated</w:t>
      </w:r>
      <w:r w:rsidR="00782A9B">
        <w:rPr>
          <w:rFonts w:ascii="Arial" w:hAnsi="Arial" w:cs="Arial"/>
        </w:rPr>
        <w:t xml:space="preserve"> (</w:t>
      </w:r>
      <w:r w:rsidRPr="00E7182E">
        <w:rPr>
          <w:rFonts w:ascii="Arial" w:hAnsi="Arial" w:cs="Arial"/>
        </w:rPr>
        <w:t>Ohlson</w:t>
      </w:r>
      <w:r w:rsidR="00782A9B">
        <w:rPr>
          <w:rFonts w:ascii="Arial" w:hAnsi="Arial" w:cs="Arial"/>
        </w:rPr>
        <w:t xml:space="preserve">, </w:t>
      </w:r>
      <w:r w:rsidRPr="00E7182E">
        <w:rPr>
          <w:rFonts w:ascii="Arial" w:hAnsi="Arial" w:cs="Arial"/>
        </w:rPr>
        <w:t>1995)</w:t>
      </w:r>
      <w:r w:rsidR="00782A9B">
        <w:rPr>
          <w:rFonts w:ascii="Arial" w:hAnsi="Arial" w:cs="Arial"/>
        </w:rPr>
        <w:t>.</w:t>
      </w:r>
    </w:p>
    <w:p w14:paraId="70A9D04A" w14:textId="1F49E7E5" w:rsidR="00782A9B" w:rsidRPr="00163217" w:rsidRDefault="00E7182E" w:rsidP="00163217">
      <w:pPr>
        <w:pStyle w:val="ListParagraph"/>
        <w:numPr>
          <w:ilvl w:val="0"/>
          <w:numId w:val="1"/>
        </w:num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lastRenderedPageBreak/>
        <w:t>Liquidity Ratios</w:t>
      </w:r>
    </w:p>
    <w:p w14:paraId="7A65AE32" w14:textId="77777777" w:rsidR="00782A9B" w:rsidRDefault="00E7182E" w:rsidP="00E7182E">
      <w:pPr>
        <w:spacing w:line="480" w:lineRule="auto"/>
        <w:rPr>
          <w:rFonts w:ascii="Arial" w:hAnsi="Arial" w:cs="Arial"/>
        </w:rPr>
      </w:pPr>
      <w:r w:rsidRPr="00E7182E">
        <w:rPr>
          <w:rFonts w:ascii="Arial" w:hAnsi="Arial" w:cs="Arial"/>
        </w:rPr>
        <w:t>Current Ratio</w:t>
      </w:r>
      <w:r w:rsidR="00782A9B">
        <w:rPr>
          <w:rFonts w:ascii="Arial" w:hAnsi="Arial" w:cs="Arial"/>
        </w:rPr>
        <w:t xml:space="preserve">: </w:t>
      </w:r>
      <w:r w:rsidRPr="00E7182E">
        <w:rPr>
          <w:rFonts w:ascii="Arial" w:hAnsi="Arial" w:cs="Arial"/>
        </w:rPr>
        <w:t>The current ratio indicates the extent to which a company will cover its current liabilities with its current assets.</w:t>
      </w:r>
    </w:p>
    <w:p w14:paraId="27C0EC93" w14:textId="77777777" w:rsidR="00782A9B" w:rsidRPr="00782A9B" w:rsidRDefault="00E7182E" w:rsidP="00E7182E">
      <w:pPr>
        <w:spacing w:line="480" w:lineRule="auto"/>
        <w:rPr>
          <w:rFonts w:ascii="Arial Black" w:hAnsi="Arial Black" w:cs="Arial"/>
        </w:rPr>
      </w:pPr>
      <w:r w:rsidRPr="00782A9B">
        <w:rPr>
          <w:rFonts w:ascii="Arial Black" w:hAnsi="Arial Black" w:cs="Arial"/>
        </w:rPr>
        <w:t>Current Ratio=Current Assets</w:t>
      </w:r>
      <w:r w:rsidR="00782A9B" w:rsidRPr="00782A9B">
        <w:rPr>
          <w:rFonts w:ascii="Arial Black" w:hAnsi="Arial Black" w:cs="Arial"/>
        </w:rPr>
        <w:t>/</w:t>
      </w:r>
      <w:r w:rsidRPr="00782A9B">
        <w:rPr>
          <w:rFonts w:ascii="Arial Black" w:hAnsi="Arial Black" w:cs="Arial"/>
        </w:rPr>
        <w:t>Current Liabilities</w:t>
      </w:r>
    </w:p>
    <w:p w14:paraId="05A025A9" w14:textId="77777777" w:rsidR="00782A9B" w:rsidRDefault="00E7182E" w:rsidP="00E7182E">
      <w:pPr>
        <w:spacing w:line="480" w:lineRule="auto"/>
        <w:rPr>
          <w:rFonts w:ascii="Arial" w:hAnsi="Arial" w:cs="Arial"/>
        </w:rPr>
      </w:pPr>
      <w:r w:rsidRPr="00E7182E">
        <w:rPr>
          <w:rFonts w:ascii="Arial" w:hAnsi="Arial" w:cs="Arial"/>
        </w:rPr>
        <w:t>For 2022:</w:t>
      </w:r>
      <w:r w:rsidR="00782A9B">
        <w:rPr>
          <w:rFonts w:ascii="Arial" w:hAnsi="Arial" w:cs="Arial"/>
        </w:rPr>
        <w:t xml:space="preserve"> </w:t>
      </w:r>
      <w:r w:rsidRPr="00E7182E">
        <w:rPr>
          <w:rFonts w:ascii="Arial" w:hAnsi="Arial" w:cs="Arial"/>
        </w:rPr>
        <w:t>£1.44bn</w:t>
      </w:r>
      <w:r w:rsidR="00782A9B">
        <w:rPr>
          <w:rFonts w:ascii="Arial" w:hAnsi="Arial" w:cs="Arial"/>
        </w:rPr>
        <w:t>/</w:t>
      </w:r>
      <w:r w:rsidRPr="00E7182E">
        <w:rPr>
          <w:rFonts w:ascii="Arial" w:hAnsi="Arial" w:cs="Arial"/>
        </w:rPr>
        <w:t>£0.96bn</w:t>
      </w:r>
      <w:r w:rsidR="00782A9B">
        <w:rPr>
          <w:rFonts w:ascii="Arial" w:hAnsi="Arial" w:cs="Arial"/>
        </w:rPr>
        <w:t>=</w:t>
      </w:r>
      <w:r w:rsidRPr="00E7182E">
        <w:rPr>
          <w:rFonts w:ascii="Arial" w:hAnsi="Arial" w:cs="Arial"/>
        </w:rPr>
        <w:t>1.50£</w:t>
      </w:r>
    </w:p>
    <w:p w14:paraId="07A23766" w14:textId="77777777" w:rsidR="00782A9B" w:rsidRDefault="00E7182E" w:rsidP="00E7182E">
      <w:pPr>
        <w:spacing w:line="480" w:lineRule="auto"/>
        <w:rPr>
          <w:rFonts w:ascii="Arial" w:hAnsi="Arial" w:cs="Arial"/>
        </w:rPr>
      </w:pPr>
      <w:r w:rsidRPr="00E7182E">
        <w:rPr>
          <w:rFonts w:ascii="Arial" w:hAnsi="Arial" w:cs="Arial"/>
        </w:rPr>
        <w:t>For 2023:</w:t>
      </w:r>
      <w:r w:rsidR="00782A9B">
        <w:rPr>
          <w:rFonts w:ascii="Arial" w:hAnsi="Arial" w:cs="Arial"/>
        </w:rPr>
        <w:t xml:space="preserve"> </w:t>
      </w:r>
      <w:r w:rsidRPr="00E7182E">
        <w:rPr>
          <w:rFonts w:ascii="Arial" w:hAnsi="Arial" w:cs="Arial"/>
        </w:rPr>
        <w:t>£1.52bn</w:t>
      </w:r>
      <w:r w:rsidR="00782A9B">
        <w:rPr>
          <w:rFonts w:ascii="Arial" w:hAnsi="Arial" w:cs="Arial"/>
        </w:rPr>
        <w:t>/</w:t>
      </w:r>
      <w:r w:rsidRPr="00E7182E">
        <w:rPr>
          <w:rFonts w:ascii="Arial" w:hAnsi="Arial" w:cs="Arial"/>
        </w:rPr>
        <w:t>£0.81bn</w:t>
      </w:r>
      <w:r w:rsidR="00782A9B">
        <w:rPr>
          <w:rFonts w:ascii="Arial" w:hAnsi="Arial" w:cs="Arial"/>
        </w:rPr>
        <w:t>=</w:t>
      </w:r>
      <w:r w:rsidRPr="00E7182E">
        <w:rPr>
          <w:rFonts w:ascii="Arial" w:hAnsi="Arial" w:cs="Arial"/>
        </w:rPr>
        <w:t>1.88£</w:t>
      </w:r>
    </w:p>
    <w:p w14:paraId="58CC621C" w14:textId="16D4A584" w:rsidR="00782A9B" w:rsidRDefault="00E7182E" w:rsidP="00E7182E">
      <w:pPr>
        <w:spacing w:line="480" w:lineRule="auto"/>
        <w:rPr>
          <w:rFonts w:ascii="Arial" w:hAnsi="Arial" w:cs="Arial"/>
        </w:rPr>
      </w:pPr>
      <w:r w:rsidRPr="00E7182E">
        <w:rPr>
          <w:rFonts w:ascii="Arial" w:hAnsi="Arial" w:cs="Arial"/>
        </w:rPr>
        <w:t xml:space="preserve">A current ratio </w:t>
      </w:r>
      <w:r w:rsidR="00782A9B" w:rsidRPr="00E7182E">
        <w:rPr>
          <w:rFonts w:ascii="Arial" w:hAnsi="Arial" w:cs="Arial"/>
        </w:rPr>
        <w:t>increases</w:t>
      </w:r>
      <w:r w:rsidRPr="00E7182E">
        <w:rPr>
          <w:rFonts w:ascii="Arial" w:hAnsi="Arial" w:cs="Arial"/>
        </w:rPr>
        <w:t xml:space="preserve"> from 1.50 to 1.88 indicates a stronger ability to cover short-term liabilities</w:t>
      </w:r>
      <w:r w:rsidR="00782A9B">
        <w:rPr>
          <w:rFonts w:ascii="Arial" w:hAnsi="Arial" w:cs="Arial"/>
        </w:rPr>
        <w:t xml:space="preserve"> (</w:t>
      </w:r>
      <w:proofErr w:type="spellStart"/>
      <w:r w:rsidRPr="00E7182E">
        <w:rPr>
          <w:rFonts w:ascii="Arial" w:hAnsi="Arial" w:cs="Arial"/>
        </w:rPr>
        <w:t>Alshowishin’s</w:t>
      </w:r>
      <w:proofErr w:type="spellEnd"/>
      <w:r w:rsidR="00782A9B">
        <w:rPr>
          <w:rFonts w:ascii="Arial" w:hAnsi="Arial" w:cs="Arial"/>
        </w:rPr>
        <w:t xml:space="preserve">, </w:t>
      </w:r>
      <w:r w:rsidRPr="00E7182E">
        <w:rPr>
          <w:rFonts w:ascii="Arial" w:hAnsi="Arial" w:cs="Arial"/>
        </w:rPr>
        <w:t>2021).</w:t>
      </w:r>
    </w:p>
    <w:p w14:paraId="3EEC1FD2" w14:textId="77777777" w:rsidR="008E3C4C" w:rsidRDefault="00E7182E" w:rsidP="00E7182E">
      <w:pPr>
        <w:spacing w:line="480" w:lineRule="auto"/>
        <w:rPr>
          <w:rFonts w:ascii="Arial" w:hAnsi="Arial" w:cs="Arial"/>
        </w:rPr>
      </w:pPr>
      <w:r w:rsidRPr="00E7182E">
        <w:rPr>
          <w:rFonts w:ascii="Arial" w:hAnsi="Arial" w:cs="Arial"/>
        </w:rPr>
        <w:t>Quick Ratio</w:t>
      </w:r>
      <w:r w:rsidR="00782A9B">
        <w:rPr>
          <w:rFonts w:ascii="Arial" w:hAnsi="Arial" w:cs="Arial"/>
        </w:rPr>
        <w:t xml:space="preserve">: </w:t>
      </w:r>
      <w:r w:rsidRPr="00E7182E">
        <w:rPr>
          <w:rFonts w:ascii="Arial" w:hAnsi="Arial" w:cs="Arial"/>
        </w:rPr>
        <w:t>Given that inventory levels for Amazon UK are extremely low this ratio will be very close to the current ratio value:</w:t>
      </w:r>
    </w:p>
    <w:p w14:paraId="75EDF48F" w14:textId="77777777" w:rsidR="008E3C4C" w:rsidRDefault="00E7182E" w:rsidP="00E7182E">
      <w:pPr>
        <w:spacing w:line="480" w:lineRule="auto"/>
        <w:rPr>
          <w:rFonts w:ascii="Arial" w:hAnsi="Arial" w:cs="Arial"/>
        </w:rPr>
      </w:pPr>
      <w:r w:rsidRPr="00E7182E">
        <w:rPr>
          <w:rFonts w:ascii="Arial" w:hAnsi="Arial" w:cs="Arial"/>
        </w:rPr>
        <w:t>Quick Ratio</w:t>
      </w:r>
      <w:r w:rsidR="008E3C4C">
        <w:rPr>
          <w:rFonts w:ascii="Arial" w:hAnsi="Arial" w:cs="Arial"/>
        </w:rPr>
        <w:t>=</w:t>
      </w:r>
      <w:r w:rsidRPr="00E7182E">
        <w:rPr>
          <w:rFonts w:ascii="Arial" w:hAnsi="Arial" w:cs="Arial"/>
        </w:rPr>
        <w:t>1.88 for 2023</w:t>
      </w:r>
    </w:p>
    <w:p w14:paraId="3757AFB3" w14:textId="77777777" w:rsidR="008E3C4C" w:rsidRDefault="00E7182E" w:rsidP="00E7182E">
      <w:pPr>
        <w:spacing w:line="480" w:lineRule="auto"/>
        <w:rPr>
          <w:rFonts w:ascii="Arial" w:hAnsi="Arial" w:cs="Arial"/>
        </w:rPr>
      </w:pPr>
      <w:r w:rsidRPr="00E7182E">
        <w:rPr>
          <w:rFonts w:ascii="Arial" w:hAnsi="Arial" w:cs="Arial"/>
        </w:rPr>
        <w:t>This finding further illustrates that Amazon UK's short-term financial position is robust</w:t>
      </w:r>
      <w:r w:rsidR="008E3C4C">
        <w:rPr>
          <w:rFonts w:ascii="Arial" w:hAnsi="Arial" w:cs="Arial"/>
        </w:rPr>
        <w:t xml:space="preserve"> (</w:t>
      </w:r>
      <w:r w:rsidRPr="00E7182E">
        <w:rPr>
          <w:rFonts w:ascii="Arial" w:hAnsi="Arial" w:cs="Arial"/>
        </w:rPr>
        <w:t>Dyson</w:t>
      </w:r>
      <w:r w:rsidR="008E3C4C">
        <w:rPr>
          <w:rFonts w:ascii="Arial" w:hAnsi="Arial" w:cs="Arial"/>
        </w:rPr>
        <w:t xml:space="preserve">, </w:t>
      </w:r>
      <w:r w:rsidRPr="00E7182E">
        <w:rPr>
          <w:rFonts w:ascii="Arial" w:hAnsi="Arial" w:cs="Arial"/>
        </w:rPr>
        <w:t>2010).</w:t>
      </w:r>
    </w:p>
    <w:p w14:paraId="19CCA01F" w14:textId="6F2FA93B" w:rsidR="008E3C4C" w:rsidRPr="00163217" w:rsidRDefault="00E7182E" w:rsidP="00163217">
      <w:pPr>
        <w:pStyle w:val="ListParagraph"/>
        <w:numPr>
          <w:ilvl w:val="0"/>
          <w:numId w:val="1"/>
        </w:num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t>Efficiency Ratios</w:t>
      </w:r>
    </w:p>
    <w:p w14:paraId="39D7B599" w14:textId="77777777" w:rsidR="008E3C4C" w:rsidRDefault="00E7182E" w:rsidP="00E7182E">
      <w:pPr>
        <w:spacing w:line="480" w:lineRule="auto"/>
        <w:rPr>
          <w:rFonts w:ascii="Arial" w:hAnsi="Arial" w:cs="Arial"/>
        </w:rPr>
      </w:pPr>
      <w:r w:rsidRPr="00E7182E">
        <w:rPr>
          <w:rFonts w:ascii="Arial" w:hAnsi="Arial" w:cs="Arial"/>
        </w:rPr>
        <w:t>Asset Turnover</w:t>
      </w:r>
      <w:r w:rsidR="008E3C4C">
        <w:rPr>
          <w:rFonts w:ascii="Arial" w:hAnsi="Arial" w:cs="Arial"/>
        </w:rPr>
        <w:t xml:space="preserve">: </w:t>
      </w:r>
      <w:r w:rsidRPr="00E7182E">
        <w:rPr>
          <w:rFonts w:ascii="Arial" w:hAnsi="Arial" w:cs="Arial"/>
        </w:rPr>
        <w:t>The asset turnover ratio evaluates how efficiently the company derives sales from its assets:</w:t>
      </w:r>
    </w:p>
    <w:p w14:paraId="216FC77A" w14:textId="50A177A8" w:rsidR="008E3C4C" w:rsidRPr="008E3C4C" w:rsidRDefault="00E7182E" w:rsidP="00E7182E">
      <w:pPr>
        <w:spacing w:line="480" w:lineRule="auto"/>
        <w:rPr>
          <w:rFonts w:ascii="Arial Black" w:hAnsi="Arial Black" w:cs="Arial"/>
        </w:rPr>
      </w:pPr>
      <w:r w:rsidRPr="008E3C4C">
        <w:rPr>
          <w:rFonts w:ascii="Arial Black" w:hAnsi="Arial Black" w:cs="Arial"/>
        </w:rPr>
        <w:t>Asset Turnover=Revenue</w:t>
      </w:r>
      <w:r w:rsidR="008E3C4C" w:rsidRPr="008E3C4C">
        <w:rPr>
          <w:rFonts w:ascii="Arial Black" w:hAnsi="Arial Black" w:cs="Arial"/>
        </w:rPr>
        <w:t>/</w:t>
      </w:r>
      <w:r w:rsidRPr="008E3C4C">
        <w:rPr>
          <w:rFonts w:ascii="Arial Black" w:hAnsi="Arial Black" w:cs="Arial"/>
        </w:rPr>
        <w:t>Total Assets</w:t>
      </w:r>
    </w:p>
    <w:p w14:paraId="5A27BE34" w14:textId="77777777" w:rsidR="008E3C4C" w:rsidRDefault="00E7182E" w:rsidP="00E7182E">
      <w:pPr>
        <w:spacing w:line="480" w:lineRule="auto"/>
        <w:rPr>
          <w:rFonts w:ascii="Arial" w:hAnsi="Arial" w:cs="Arial"/>
        </w:rPr>
      </w:pPr>
      <w:r w:rsidRPr="00E7182E">
        <w:rPr>
          <w:rFonts w:ascii="Arial" w:hAnsi="Arial" w:cs="Arial"/>
        </w:rPr>
        <w:t>​2022:</w:t>
      </w:r>
      <w:r w:rsidR="008E3C4C">
        <w:rPr>
          <w:rFonts w:ascii="Arial" w:hAnsi="Arial" w:cs="Arial"/>
        </w:rPr>
        <w:t xml:space="preserve"> </w:t>
      </w:r>
      <w:r w:rsidRPr="00E7182E">
        <w:rPr>
          <w:rFonts w:ascii="Arial" w:hAnsi="Arial" w:cs="Arial"/>
        </w:rPr>
        <w:t>£6,570 m</w:t>
      </w:r>
      <w:r w:rsidR="008E3C4C">
        <w:rPr>
          <w:rFonts w:ascii="Arial" w:hAnsi="Arial" w:cs="Arial"/>
        </w:rPr>
        <w:t>/</w:t>
      </w:r>
      <w:r w:rsidRPr="00E7182E">
        <w:rPr>
          <w:rFonts w:ascii="Arial" w:hAnsi="Arial" w:cs="Arial"/>
        </w:rPr>
        <w:t>£6,460 m</w:t>
      </w:r>
      <w:r w:rsidR="008E3C4C">
        <w:rPr>
          <w:rFonts w:ascii="Arial" w:hAnsi="Arial" w:cs="Arial"/>
        </w:rPr>
        <w:t>=</w:t>
      </w:r>
      <w:r w:rsidRPr="00E7182E">
        <w:rPr>
          <w:rFonts w:ascii="Arial" w:hAnsi="Arial" w:cs="Arial"/>
        </w:rPr>
        <w:t>1.02£</w:t>
      </w:r>
    </w:p>
    <w:p w14:paraId="240A1DDE" w14:textId="77777777" w:rsidR="008E3C4C" w:rsidRDefault="00E7182E" w:rsidP="00E7182E">
      <w:pPr>
        <w:spacing w:line="480" w:lineRule="auto"/>
        <w:rPr>
          <w:rFonts w:ascii="Arial" w:hAnsi="Arial" w:cs="Arial"/>
        </w:rPr>
      </w:pPr>
      <w:r w:rsidRPr="00E7182E">
        <w:rPr>
          <w:rFonts w:ascii="Arial" w:hAnsi="Arial" w:cs="Arial"/>
        </w:rPr>
        <w:t>2023:</w:t>
      </w:r>
      <w:r w:rsidR="008E3C4C">
        <w:rPr>
          <w:rFonts w:ascii="Arial" w:hAnsi="Arial" w:cs="Arial"/>
        </w:rPr>
        <w:t xml:space="preserve"> </w:t>
      </w:r>
      <w:r w:rsidRPr="00E7182E">
        <w:rPr>
          <w:rFonts w:ascii="Arial" w:hAnsi="Arial" w:cs="Arial"/>
        </w:rPr>
        <w:t>£6,880 m</w:t>
      </w:r>
      <w:r w:rsidR="008E3C4C">
        <w:rPr>
          <w:rFonts w:ascii="Arial" w:hAnsi="Arial" w:cs="Arial"/>
        </w:rPr>
        <w:t>/</w:t>
      </w:r>
      <w:r w:rsidRPr="00E7182E">
        <w:rPr>
          <w:rFonts w:ascii="Arial" w:hAnsi="Arial" w:cs="Arial"/>
        </w:rPr>
        <w:t>£6,180 m</w:t>
      </w:r>
      <w:r w:rsidR="008E3C4C">
        <w:rPr>
          <w:rFonts w:ascii="Arial" w:hAnsi="Arial" w:cs="Arial"/>
        </w:rPr>
        <w:t>=</w:t>
      </w:r>
      <w:r w:rsidRPr="00E7182E">
        <w:rPr>
          <w:rFonts w:ascii="Arial" w:hAnsi="Arial" w:cs="Arial"/>
        </w:rPr>
        <w:t>1.11£</w:t>
      </w:r>
    </w:p>
    <w:p w14:paraId="551C09C2" w14:textId="77777777" w:rsidR="008E3C4C" w:rsidRDefault="00E7182E" w:rsidP="00E7182E">
      <w:pPr>
        <w:spacing w:line="480" w:lineRule="auto"/>
        <w:rPr>
          <w:rFonts w:ascii="Arial" w:hAnsi="Arial" w:cs="Arial"/>
        </w:rPr>
      </w:pPr>
      <w:r w:rsidRPr="00E7182E">
        <w:rPr>
          <w:rFonts w:ascii="Arial" w:hAnsi="Arial" w:cs="Arial"/>
        </w:rPr>
        <w:lastRenderedPageBreak/>
        <w:t xml:space="preserve">The increase from 1.02 to 1.11 suggests that Amazon UK was better at making use of its assets. </w:t>
      </w:r>
    </w:p>
    <w:p w14:paraId="6B018CFF" w14:textId="77777777" w:rsidR="008E3C4C" w:rsidRDefault="00E7182E" w:rsidP="00E7182E">
      <w:pPr>
        <w:spacing w:line="480" w:lineRule="auto"/>
        <w:rPr>
          <w:rFonts w:ascii="Arial" w:hAnsi="Arial" w:cs="Arial"/>
        </w:rPr>
      </w:pPr>
      <w:r w:rsidRPr="00E7182E">
        <w:rPr>
          <w:rFonts w:ascii="Arial" w:hAnsi="Arial" w:cs="Arial"/>
        </w:rPr>
        <w:t>Receivables Turnover</w:t>
      </w:r>
      <w:r w:rsidR="008E3C4C">
        <w:rPr>
          <w:rFonts w:ascii="Arial" w:hAnsi="Arial" w:cs="Arial"/>
        </w:rPr>
        <w:t xml:space="preserve">: </w:t>
      </w:r>
      <w:r w:rsidRPr="00E7182E">
        <w:rPr>
          <w:rFonts w:ascii="Arial" w:hAnsi="Arial" w:cs="Arial"/>
        </w:rPr>
        <w:t>Although there is not much official information on receivables data, the analysis suggests that the days sales outstanding improved</w:t>
      </w:r>
      <w:r w:rsidR="008E3C4C">
        <w:rPr>
          <w:rFonts w:ascii="Arial" w:hAnsi="Arial" w:cs="Arial"/>
        </w:rPr>
        <w:t>-</w:t>
      </w:r>
      <w:r w:rsidRPr="00E7182E">
        <w:rPr>
          <w:rFonts w:ascii="Arial" w:hAnsi="Arial" w:cs="Arial"/>
        </w:rPr>
        <w:t>by an approximation from around 87 days in 2022 to 80 days in 2023. With a smaller collection period, we can assume that the account was managed effectively, resulting in improved cash conversion</w:t>
      </w:r>
      <w:r w:rsidR="008E3C4C">
        <w:rPr>
          <w:rFonts w:ascii="Arial" w:hAnsi="Arial" w:cs="Arial"/>
        </w:rPr>
        <w:t xml:space="preserve"> (</w:t>
      </w:r>
      <w:r w:rsidRPr="00E7182E">
        <w:rPr>
          <w:rFonts w:ascii="Arial" w:hAnsi="Arial" w:cs="Arial"/>
        </w:rPr>
        <w:t>De Moraes et al.</w:t>
      </w:r>
      <w:r w:rsidR="008E3C4C">
        <w:rPr>
          <w:rFonts w:ascii="Arial" w:hAnsi="Arial" w:cs="Arial"/>
        </w:rPr>
        <w:t xml:space="preserve">, </w:t>
      </w:r>
      <w:r w:rsidRPr="00E7182E">
        <w:rPr>
          <w:rFonts w:ascii="Arial" w:hAnsi="Arial" w:cs="Arial"/>
        </w:rPr>
        <w:t>2019).</w:t>
      </w:r>
    </w:p>
    <w:p w14:paraId="1E74B732" w14:textId="77777777" w:rsidR="008E3C4C" w:rsidRDefault="00E7182E" w:rsidP="00E7182E">
      <w:pPr>
        <w:spacing w:line="480" w:lineRule="auto"/>
        <w:rPr>
          <w:rFonts w:ascii="Arial" w:hAnsi="Arial" w:cs="Arial"/>
        </w:rPr>
      </w:pPr>
      <w:r w:rsidRPr="00E7182E">
        <w:rPr>
          <w:rFonts w:ascii="Arial" w:hAnsi="Arial" w:cs="Arial"/>
        </w:rPr>
        <w:t>Revenue per Employee</w:t>
      </w:r>
      <w:r w:rsidR="008E3C4C">
        <w:rPr>
          <w:rFonts w:ascii="Arial" w:hAnsi="Arial" w:cs="Arial"/>
        </w:rPr>
        <w:t xml:space="preserve">: </w:t>
      </w:r>
      <w:r w:rsidRPr="00E7182E">
        <w:rPr>
          <w:rFonts w:ascii="Arial" w:hAnsi="Arial" w:cs="Arial"/>
        </w:rPr>
        <w:t>With a very slight decrease in headcount from 61,000 employees in 2022 to 60,430 in 2023 and an increase in revenue, revenue per employee has improved:</w:t>
      </w:r>
    </w:p>
    <w:p w14:paraId="29D85577" w14:textId="77777777" w:rsidR="008E3C4C" w:rsidRDefault="00E7182E" w:rsidP="00E7182E">
      <w:pPr>
        <w:spacing w:line="480" w:lineRule="auto"/>
        <w:rPr>
          <w:rFonts w:ascii="Arial" w:hAnsi="Arial" w:cs="Arial"/>
        </w:rPr>
      </w:pPr>
      <w:r w:rsidRPr="00E7182E">
        <w:rPr>
          <w:rFonts w:ascii="Arial" w:hAnsi="Arial" w:cs="Arial"/>
        </w:rPr>
        <w:t>2022: £6,570 m</w:t>
      </w:r>
      <w:r w:rsidR="008E3C4C">
        <w:rPr>
          <w:rFonts w:ascii="Arial" w:hAnsi="Arial" w:cs="Arial"/>
        </w:rPr>
        <w:t>/</w:t>
      </w:r>
      <w:r w:rsidRPr="00E7182E">
        <w:rPr>
          <w:rFonts w:ascii="Arial" w:hAnsi="Arial" w:cs="Arial"/>
        </w:rPr>
        <w:t>61,000</w:t>
      </w:r>
      <w:r w:rsidR="008E3C4C">
        <w:rPr>
          <w:rFonts w:ascii="Arial" w:hAnsi="Arial" w:cs="Arial"/>
        </w:rPr>
        <w:t>=</w:t>
      </w:r>
      <w:r w:rsidRPr="00E7182E">
        <w:rPr>
          <w:rFonts w:ascii="Arial" w:hAnsi="Arial" w:cs="Arial"/>
        </w:rPr>
        <w:t>£107.7 k</w:t>
      </w:r>
    </w:p>
    <w:p w14:paraId="4DA6F69D" w14:textId="77777777" w:rsidR="008E3C4C" w:rsidRDefault="00E7182E" w:rsidP="00E7182E">
      <w:pPr>
        <w:spacing w:line="480" w:lineRule="auto"/>
        <w:rPr>
          <w:rFonts w:ascii="Arial" w:hAnsi="Arial" w:cs="Arial"/>
        </w:rPr>
      </w:pPr>
      <w:r w:rsidRPr="00E7182E">
        <w:rPr>
          <w:rFonts w:ascii="Arial" w:hAnsi="Arial" w:cs="Arial"/>
        </w:rPr>
        <w:t>2023: £6,880 m</w:t>
      </w:r>
      <w:r w:rsidR="008E3C4C">
        <w:rPr>
          <w:rFonts w:ascii="Arial" w:hAnsi="Arial" w:cs="Arial"/>
        </w:rPr>
        <w:t>/</w:t>
      </w:r>
      <w:r w:rsidRPr="00E7182E">
        <w:rPr>
          <w:rFonts w:ascii="Arial" w:hAnsi="Arial" w:cs="Arial"/>
        </w:rPr>
        <w:t>60,430</w:t>
      </w:r>
      <w:r w:rsidR="008E3C4C">
        <w:rPr>
          <w:rFonts w:ascii="Arial" w:hAnsi="Arial" w:cs="Arial"/>
        </w:rPr>
        <w:t>=</w:t>
      </w:r>
      <w:r w:rsidRPr="00E7182E">
        <w:rPr>
          <w:rFonts w:ascii="Arial" w:hAnsi="Arial" w:cs="Arial"/>
        </w:rPr>
        <w:t>£113.9 k</w:t>
      </w:r>
    </w:p>
    <w:p w14:paraId="64D9BE87" w14:textId="4E962B28" w:rsidR="008E3C4C" w:rsidRDefault="00E7182E" w:rsidP="00E7182E">
      <w:pPr>
        <w:spacing w:line="480" w:lineRule="auto"/>
        <w:rPr>
          <w:rFonts w:ascii="Arial" w:hAnsi="Arial" w:cs="Arial"/>
        </w:rPr>
      </w:pPr>
      <w:r w:rsidRPr="00E7182E">
        <w:rPr>
          <w:rFonts w:ascii="Arial" w:hAnsi="Arial" w:cs="Arial"/>
        </w:rPr>
        <w:t xml:space="preserve">This improvement supports the inference that </w:t>
      </w:r>
      <w:r w:rsidR="008E3C4C" w:rsidRPr="00E7182E">
        <w:rPr>
          <w:rFonts w:ascii="Arial" w:hAnsi="Arial" w:cs="Arial"/>
        </w:rPr>
        <w:t>labour</w:t>
      </w:r>
      <w:r w:rsidRPr="00E7182E">
        <w:rPr>
          <w:rFonts w:ascii="Arial" w:hAnsi="Arial" w:cs="Arial"/>
        </w:rPr>
        <w:t xml:space="preserve"> productivity has risen, which is consistent again with an efficiency focus</w:t>
      </w:r>
      <w:r w:rsidR="008E3C4C">
        <w:rPr>
          <w:rFonts w:ascii="Arial" w:hAnsi="Arial" w:cs="Arial"/>
        </w:rPr>
        <w:t xml:space="preserve"> (</w:t>
      </w:r>
      <w:r w:rsidRPr="00E7182E">
        <w:rPr>
          <w:rFonts w:ascii="Arial" w:hAnsi="Arial" w:cs="Arial"/>
        </w:rPr>
        <w:t xml:space="preserve">Choi </w:t>
      </w:r>
      <w:r w:rsidR="008E3C4C">
        <w:rPr>
          <w:rFonts w:ascii="Arial" w:hAnsi="Arial" w:cs="Arial"/>
        </w:rPr>
        <w:t>&amp;</w:t>
      </w:r>
      <w:r w:rsidRPr="00E7182E">
        <w:rPr>
          <w:rFonts w:ascii="Arial" w:hAnsi="Arial" w:cs="Arial"/>
        </w:rPr>
        <w:t xml:space="preserve"> Wang</w:t>
      </w:r>
      <w:r w:rsidR="008E3C4C">
        <w:rPr>
          <w:rFonts w:ascii="Arial" w:hAnsi="Arial" w:cs="Arial"/>
        </w:rPr>
        <w:t xml:space="preserve">, </w:t>
      </w:r>
      <w:r w:rsidRPr="00E7182E">
        <w:rPr>
          <w:rFonts w:ascii="Arial" w:hAnsi="Arial" w:cs="Arial"/>
        </w:rPr>
        <w:t>2009).</w:t>
      </w:r>
    </w:p>
    <w:p w14:paraId="39FB5B9E" w14:textId="41D513CF" w:rsidR="008E3C4C" w:rsidRPr="00163217" w:rsidRDefault="00E7182E" w:rsidP="00163217">
      <w:pPr>
        <w:pStyle w:val="ListParagraph"/>
        <w:numPr>
          <w:ilvl w:val="0"/>
          <w:numId w:val="1"/>
        </w:num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t>Solvency Ratios</w:t>
      </w:r>
    </w:p>
    <w:p w14:paraId="5007A220" w14:textId="77777777" w:rsidR="008E3C4C" w:rsidRDefault="00E7182E" w:rsidP="00E7182E">
      <w:pPr>
        <w:spacing w:line="480" w:lineRule="auto"/>
        <w:rPr>
          <w:rFonts w:ascii="Arial" w:hAnsi="Arial" w:cs="Arial"/>
        </w:rPr>
      </w:pPr>
      <w:r w:rsidRPr="00E7182E">
        <w:rPr>
          <w:rFonts w:ascii="Arial" w:hAnsi="Arial" w:cs="Arial"/>
        </w:rPr>
        <w:t>Debt-to-Equity Ratio</w:t>
      </w:r>
      <w:r w:rsidR="008E3C4C">
        <w:rPr>
          <w:rFonts w:ascii="Arial" w:hAnsi="Arial" w:cs="Arial"/>
        </w:rPr>
        <w:t xml:space="preserve">: </w:t>
      </w:r>
      <w:r w:rsidRPr="00E7182E">
        <w:rPr>
          <w:rFonts w:ascii="Arial" w:hAnsi="Arial" w:cs="Arial"/>
        </w:rPr>
        <w:t>This ratio measures the financial leverage of the company:</w:t>
      </w:r>
    </w:p>
    <w:p w14:paraId="0DCB43CA" w14:textId="3D1E574B" w:rsidR="008E3C4C" w:rsidRPr="008E3C4C" w:rsidRDefault="00E7182E" w:rsidP="00E7182E">
      <w:pPr>
        <w:spacing w:line="480" w:lineRule="auto"/>
        <w:rPr>
          <w:rFonts w:ascii="Arial Black" w:hAnsi="Arial Black" w:cs="Arial"/>
        </w:rPr>
      </w:pPr>
      <w:r w:rsidRPr="008E3C4C">
        <w:rPr>
          <w:rFonts w:ascii="Arial Black" w:hAnsi="Arial Black" w:cs="Arial"/>
        </w:rPr>
        <w:t xml:space="preserve">Debt-to-Equity = Total Liabilities </w:t>
      </w:r>
      <w:r w:rsidR="008E3C4C" w:rsidRPr="008E3C4C">
        <w:rPr>
          <w:rFonts w:ascii="Arial Black" w:hAnsi="Arial Black" w:cs="Arial"/>
        </w:rPr>
        <w:t>/</w:t>
      </w:r>
      <w:r w:rsidRPr="008E3C4C">
        <w:rPr>
          <w:rFonts w:ascii="Arial Black" w:hAnsi="Arial Black" w:cs="Arial"/>
        </w:rPr>
        <w:t xml:space="preserve"> Equity </w:t>
      </w:r>
    </w:p>
    <w:p w14:paraId="7F581B82" w14:textId="77777777" w:rsidR="008E3C4C" w:rsidRDefault="00E7182E" w:rsidP="00E7182E">
      <w:pPr>
        <w:spacing w:line="480" w:lineRule="auto"/>
        <w:rPr>
          <w:rFonts w:ascii="Arial" w:hAnsi="Arial" w:cs="Arial"/>
        </w:rPr>
      </w:pPr>
      <w:r w:rsidRPr="00E7182E">
        <w:rPr>
          <w:rFonts w:ascii="Arial" w:hAnsi="Arial" w:cs="Arial"/>
        </w:rPr>
        <w:t xml:space="preserve">2022: £3.09bn </w:t>
      </w:r>
      <w:r w:rsidR="008E3C4C">
        <w:rPr>
          <w:rFonts w:ascii="Arial" w:hAnsi="Arial" w:cs="Arial"/>
        </w:rPr>
        <w:t>/</w:t>
      </w:r>
      <w:r w:rsidRPr="00E7182E">
        <w:rPr>
          <w:rFonts w:ascii="Arial" w:hAnsi="Arial" w:cs="Arial"/>
        </w:rPr>
        <w:t xml:space="preserve">£3.37bn </w:t>
      </w:r>
      <w:r w:rsidR="008E3C4C">
        <w:rPr>
          <w:rFonts w:ascii="Arial" w:hAnsi="Arial" w:cs="Arial"/>
        </w:rPr>
        <w:t>=</w:t>
      </w:r>
      <w:r w:rsidRPr="00E7182E">
        <w:rPr>
          <w:rFonts w:ascii="Arial" w:hAnsi="Arial" w:cs="Arial"/>
        </w:rPr>
        <w:t xml:space="preserve">0.92 </w:t>
      </w:r>
    </w:p>
    <w:p w14:paraId="0695C688" w14:textId="77777777" w:rsidR="008E3C4C" w:rsidRDefault="00E7182E" w:rsidP="00E7182E">
      <w:pPr>
        <w:spacing w:line="480" w:lineRule="auto"/>
        <w:rPr>
          <w:rFonts w:ascii="Arial" w:hAnsi="Arial" w:cs="Arial"/>
        </w:rPr>
      </w:pPr>
      <w:r w:rsidRPr="00E7182E">
        <w:rPr>
          <w:rFonts w:ascii="Arial" w:hAnsi="Arial" w:cs="Arial"/>
        </w:rPr>
        <w:t>2023: £2.98bn</w:t>
      </w:r>
      <w:r w:rsidR="008E3C4C">
        <w:rPr>
          <w:rFonts w:ascii="Arial" w:hAnsi="Arial" w:cs="Arial"/>
        </w:rPr>
        <w:t>/</w:t>
      </w:r>
      <w:r w:rsidRPr="00E7182E">
        <w:rPr>
          <w:rFonts w:ascii="Arial" w:hAnsi="Arial" w:cs="Arial"/>
        </w:rPr>
        <w:t xml:space="preserve"> £3.20bn </w:t>
      </w:r>
      <w:r w:rsidR="008E3C4C">
        <w:rPr>
          <w:rFonts w:ascii="Arial" w:hAnsi="Arial" w:cs="Arial"/>
        </w:rPr>
        <w:t>=</w:t>
      </w:r>
      <w:r w:rsidRPr="00E7182E">
        <w:rPr>
          <w:rFonts w:ascii="Arial" w:hAnsi="Arial" w:cs="Arial"/>
        </w:rPr>
        <w:t xml:space="preserve">0.93 </w:t>
      </w:r>
    </w:p>
    <w:p w14:paraId="721BB251" w14:textId="05CCB4CF" w:rsidR="008E3C4C" w:rsidRDefault="00E7182E" w:rsidP="00E7182E">
      <w:pPr>
        <w:spacing w:line="480" w:lineRule="auto"/>
        <w:rPr>
          <w:rFonts w:ascii="Arial" w:hAnsi="Arial" w:cs="Arial"/>
        </w:rPr>
      </w:pPr>
      <w:r w:rsidRPr="00E7182E">
        <w:rPr>
          <w:rFonts w:ascii="Arial" w:hAnsi="Arial" w:cs="Arial"/>
        </w:rPr>
        <w:t xml:space="preserve">A marginal increase indicates that the slight decrease in equity, in some way, came with a matching decrease in liabilities. This equal capital structure demonstrates </w:t>
      </w:r>
      <w:r w:rsidRPr="00E7182E">
        <w:rPr>
          <w:rFonts w:ascii="Arial" w:hAnsi="Arial" w:cs="Arial"/>
        </w:rPr>
        <w:lastRenderedPageBreak/>
        <w:t>management of a solid capital structure for performance stability in the future (Kothari, 2001</w:t>
      </w:r>
      <w:r w:rsidR="008E3C4C" w:rsidRPr="00E7182E">
        <w:rPr>
          <w:rFonts w:ascii="Arial" w:hAnsi="Arial" w:cs="Arial"/>
        </w:rPr>
        <w:t>).</w:t>
      </w:r>
    </w:p>
    <w:p w14:paraId="325F47DE" w14:textId="77777777" w:rsidR="009D0A43" w:rsidRDefault="00E7182E" w:rsidP="00E7182E">
      <w:pPr>
        <w:spacing w:line="480" w:lineRule="auto"/>
        <w:rPr>
          <w:rFonts w:ascii="Arial" w:hAnsi="Arial" w:cs="Arial"/>
        </w:rPr>
      </w:pPr>
      <w:r w:rsidRPr="00E7182E">
        <w:rPr>
          <w:rFonts w:ascii="Arial" w:hAnsi="Arial" w:cs="Arial"/>
        </w:rPr>
        <w:t>Interest Coverage</w:t>
      </w:r>
      <w:r w:rsidR="008E3C4C">
        <w:rPr>
          <w:rFonts w:ascii="Arial" w:hAnsi="Arial" w:cs="Arial"/>
        </w:rPr>
        <w:t xml:space="preserve">: </w:t>
      </w:r>
      <w:r w:rsidRPr="00E7182E">
        <w:rPr>
          <w:rFonts w:ascii="Arial" w:hAnsi="Arial" w:cs="Arial"/>
        </w:rPr>
        <w:t>Despite the fact Amazon UK Services does not publicly disclose exact interest expense, both the increase in operating profit and reasonable debt suggest the organi</w:t>
      </w:r>
      <w:r w:rsidR="008E3C4C">
        <w:rPr>
          <w:rFonts w:ascii="Arial" w:hAnsi="Arial" w:cs="Arial"/>
        </w:rPr>
        <w:t>s</w:t>
      </w:r>
      <w:r w:rsidRPr="00E7182E">
        <w:rPr>
          <w:rFonts w:ascii="Arial" w:hAnsi="Arial" w:cs="Arial"/>
        </w:rPr>
        <w:t xml:space="preserve">ation's interest coverage remains strong. </w:t>
      </w:r>
    </w:p>
    <w:p w14:paraId="305D5448" w14:textId="77777777" w:rsidR="009D0A43" w:rsidRPr="00163217" w:rsidRDefault="00E7182E" w:rsidP="00E7182E">
      <w:pPr>
        <w:spacing w:line="480" w:lineRule="auto"/>
        <w:rPr>
          <w:rFonts w:ascii="Arial Black" w:hAnsi="Arial Black" w:cs="Arial"/>
          <w:color w:val="4C94D8" w:themeColor="text2" w:themeTint="80"/>
        </w:rPr>
      </w:pPr>
      <w:bookmarkStart w:id="1" w:name="_Hlk195026964"/>
      <w:r w:rsidRPr="00163217">
        <w:rPr>
          <w:rFonts w:ascii="Arial Black" w:hAnsi="Arial Black" w:cs="Arial"/>
          <w:color w:val="4C94D8" w:themeColor="text2" w:themeTint="80"/>
        </w:rPr>
        <w:t>Discussion of Change in Performance</w:t>
      </w:r>
    </w:p>
    <w:bookmarkEnd w:id="1"/>
    <w:p w14:paraId="00351F99" w14:textId="77777777" w:rsidR="009D0A43" w:rsidRDefault="00E7182E" w:rsidP="00E7182E">
      <w:pPr>
        <w:spacing w:line="480" w:lineRule="auto"/>
        <w:rPr>
          <w:rFonts w:ascii="Arial" w:hAnsi="Arial" w:cs="Arial"/>
        </w:rPr>
      </w:pPr>
      <w:r w:rsidRPr="00E7182E">
        <w:rPr>
          <w:rFonts w:ascii="Arial" w:hAnsi="Arial" w:cs="Arial"/>
        </w:rPr>
        <w:t xml:space="preserve">For Amazon UK performance, we looked at several carry-over factors between 2022 and 2023. </w:t>
      </w:r>
    </w:p>
    <w:p w14:paraId="68F516AE" w14:textId="0DFDDCE8" w:rsidR="009D0A43" w:rsidRPr="00163217" w:rsidRDefault="00E7182E" w:rsidP="00163217">
      <w:pPr>
        <w:pStyle w:val="ListParagraph"/>
        <w:numPr>
          <w:ilvl w:val="0"/>
          <w:numId w:val="2"/>
        </w:numPr>
        <w:spacing w:line="480" w:lineRule="auto"/>
        <w:rPr>
          <w:rFonts w:ascii="Arial" w:hAnsi="Arial" w:cs="Arial"/>
        </w:rPr>
      </w:pPr>
      <w:r w:rsidRPr="00163217">
        <w:rPr>
          <w:rFonts w:ascii="Arial" w:hAnsi="Arial" w:cs="Arial"/>
        </w:rPr>
        <w:t>Cost Management and Efficiency Initiatives: In 2022, the UK economy underwent significant inflation</w:t>
      </w:r>
      <w:r w:rsidR="009D0A43" w:rsidRPr="00163217">
        <w:rPr>
          <w:rFonts w:ascii="Arial" w:hAnsi="Arial" w:cs="Arial"/>
        </w:rPr>
        <w:t>-</w:t>
      </w:r>
      <w:r w:rsidRPr="00163217">
        <w:rPr>
          <w:rFonts w:ascii="Arial" w:hAnsi="Arial" w:cs="Arial"/>
        </w:rPr>
        <w:t xml:space="preserve"> pressure which caused rising input costs, in terms of </w:t>
      </w:r>
      <w:r w:rsidR="009D0A43" w:rsidRPr="00163217">
        <w:rPr>
          <w:rFonts w:ascii="Arial" w:hAnsi="Arial" w:cs="Arial"/>
        </w:rPr>
        <w:t>labour</w:t>
      </w:r>
      <w:r w:rsidRPr="00163217">
        <w:rPr>
          <w:rFonts w:ascii="Arial" w:hAnsi="Arial" w:cs="Arial"/>
        </w:rPr>
        <w:t xml:space="preserve">, energy, and transportation. Amazon UK Services weathered these headwinds, with slight net profit-margins compression. However, efficiencies of scale occurred as costs were reduced through aggressive cost control with continuous improvements, management reengineering, and adoption of an automation mindset in </w:t>
      </w:r>
      <w:r w:rsidR="009D0A43" w:rsidRPr="00163217">
        <w:rPr>
          <w:rFonts w:ascii="Arial" w:hAnsi="Arial" w:cs="Arial"/>
        </w:rPr>
        <w:t>fulfilment</w:t>
      </w:r>
      <w:r w:rsidRPr="00163217">
        <w:rPr>
          <w:rFonts w:ascii="Arial" w:hAnsi="Arial" w:cs="Arial"/>
        </w:rPr>
        <w:t xml:space="preserve"> </w:t>
      </w:r>
      <w:r w:rsidR="009D0A43" w:rsidRPr="00163217">
        <w:rPr>
          <w:rFonts w:ascii="Arial" w:hAnsi="Arial" w:cs="Arial"/>
        </w:rPr>
        <w:t>centres</w:t>
      </w:r>
      <w:r w:rsidRPr="00163217">
        <w:rPr>
          <w:rFonts w:ascii="Arial" w:hAnsi="Arial" w:cs="Arial"/>
        </w:rPr>
        <w:t>. In total, improved profitability ratios emerged in 2023.  (Drury, 2020; Sussman, 2019</w:t>
      </w:r>
      <w:r w:rsidR="009D0A43" w:rsidRPr="00163217">
        <w:rPr>
          <w:rFonts w:ascii="Arial" w:hAnsi="Arial" w:cs="Arial"/>
        </w:rPr>
        <w:t>). The</w:t>
      </w:r>
      <w:r w:rsidRPr="00163217">
        <w:rPr>
          <w:rFonts w:ascii="Arial" w:hAnsi="Arial" w:cs="Arial"/>
        </w:rPr>
        <w:t xml:space="preserve"> efficiency improvements are evident from better asset turnover and revenue per employee ratios suggesting that a lower headcount and streamlined operational procedures generated increased output from existing resources (Attrill &amp; McLaney, 2015; Choi &amp; Wang, 2009).</w:t>
      </w:r>
    </w:p>
    <w:p w14:paraId="50F14FCD" w14:textId="77777777" w:rsidR="009D0A43" w:rsidRPr="00163217" w:rsidRDefault="00E7182E" w:rsidP="00163217">
      <w:pPr>
        <w:pStyle w:val="ListParagraph"/>
        <w:numPr>
          <w:ilvl w:val="0"/>
          <w:numId w:val="2"/>
        </w:numPr>
        <w:spacing w:line="480" w:lineRule="auto"/>
        <w:rPr>
          <w:rFonts w:ascii="Arial" w:hAnsi="Arial" w:cs="Arial"/>
        </w:rPr>
      </w:pPr>
      <w:r w:rsidRPr="00163217">
        <w:rPr>
          <w:rFonts w:ascii="Arial" w:hAnsi="Arial" w:cs="Arial"/>
        </w:rPr>
        <w:t>Revenue Growth in a Challenging Economic Context:</w:t>
      </w:r>
      <w:r w:rsidR="009D0A43" w:rsidRPr="00163217">
        <w:rPr>
          <w:rFonts w:ascii="Arial" w:hAnsi="Arial" w:cs="Arial"/>
        </w:rPr>
        <w:t xml:space="preserve"> </w:t>
      </w:r>
      <w:r w:rsidRPr="00163217">
        <w:rPr>
          <w:rFonts w:ascii="Arial" w:hAnsi="Arial" w:cs="Arial"/>
        </w:rPr>
        <w:t xml:space="preserve">In 2022, the retail sector was generally weak, which caused consumers to be increasingly cautious with their spending; nonetheless, Amazon UK still managed to grow revenues by almost 4.7% in 2023. Amazon UK's revenue growth was primarily </w:t>
      </w:r>
      <w:r w:rsidRPr="00163217">
        <w:rPr>
          <w:rFonts w:ascii="Arial" w:hAnsi="Arial" w:cs="Arial"/>
        </w:rPr>
        <w:lastRenderedPageBreak/>
        <w:t xml:space="preserve">the result of a strong online marketplace, coupled with growth from higher-margin services, like advertising. The remaining reasonable nature of operating expenses helped to convert revenue growth into some level of profitability (Lucey, 2009). In addition, due to accelerated collection of receivables, the cash conversion cycle was </w:t>
      </w:r>
      <w:r w:rsidR="009D0A43" w:rsidRPr="00163217">
        <w:rPr>
          <w:rFonts w:ascii="Arial" w:hAnsi="Arial" w:cs="Arial"/>
        </w:rPr>
        <w:t>reduced,</w:t>
      </w:r>
      <w:r w:rsidRPr="00163217">
        <w:rPr>
          <w:rFonts w:ascii="Arial" w:hAnsi="Arial" w:cs="Arial"/>
        </w:rPr>
        <w:t xml:space="preserve"> and additional liquidity was generated to fund ongoing investments.</w:t>
      </w:r>
    </w:p>
    <w:p w14:paraId="59B6CDDC" w14:textId="77777777" w:rsidR="009D0A43" w:rsidRPr="00163217" w:rsidRDefault="00E7182E" w:rsidP="00163217">
      <w:pPr>
        <w:pStyle w:val="ListParagraph"/>
        <w:numPr>
          <w:ilvl w:val="0"/>
          <w:numId w:val="2"/>
        </w:numPr>
        <w:spacing w:line="480" w:lineRule="auto"/>
        <w:rPr>
          <w:rFonts w:ascii="Arial" w:hAnsi="Arial" w:cs="Arial"/>
        </w:rPr>
      </w:pPr>
      <w:r w:rsidRPr="00163217">
        <w:rPr>
          <w:rFonts w:ascii="Arial" w:hAnsi="Arial" w:cs="Arial"/>
        </w:rPr>
        <w:t>Regulatory and Tax Considerations:</w:t>
      </w:r>
      <w:r w:rsidR="009D0A43" w:rsidRPr="00163217">
        <w:rPr>
          <w:rFonts w:ascii="Arial" w:hAnsi="Arial" w:cs="Arial"/>
        </w:rPr>
        <w:t xml:space="preserve"> </w:t>
      </w:r>
      <w:r w:rsidRPr="00163217">
        <w:rPr>
          <w:rFonts w:ascii="Arial" w:hAnsi="Arial" w:cs="Arial"/>
        </w:rPr>
        <w:t>The new tax regime in the UK</w:t>
      </w:r>
      <w:r w:rsidR="009D0A43" w:rsidRPr="00163217">
        <w:rPr>
          <w:rFonts w:ascii="Arial" w:hAnsi="Arial" w:cs="Arial"/>
        </w:rPr>
        <w:t>-</w:t>
      </w:r>
      <w:r w:rsidRPr="00163217">
        <w:rPr>
          <w:rFonts w:ascii="Arial" w:hAnsi="Arial" w:cs="Arial"/>
        </w:rPr>
        <w:t>such as increases in corporation tax rate and the ending of tax incentives, like the "super-deduction"</w:t>
      </w:r>
      <w:r w:rsidR="009D0A43" w:rsidRPr="00163217">
        <w:rPr>
          <w:rFonts w:ascii="Arial" w:hAnsi="Arial" w:cs="Arial"/>
        </w:rPr>
        <w:t>-</w:t>
      </w:r>
      <w:r w:rsidRPr="00163217">
        <w:rPr>
          <w:rFonts w:ascii="Arial" w:hAnsi="Arial" w:cs="Arial"/>
        </w:rPr>
        <w:t xml:space="preserve">added tax expense during 2023. This tax expense partially offset the operating </w:t>
      </w:r>
      <w:r w:rsidR="009D0A43" w:rsidRPr="00163217">
        <w:rPr>
          <w:rFonts w:ascii="Arial" w:hAnsi="Arial" w:cs="Arial"/>
        </w:rPr>
        <w:t>enhancements;</w:t>
      </w:r>
      <w:r w:rsidRPr="00163217">
        <w:rPr>
          <w:rFonts w:ascii="Arial" w:hAnsi="Arial" w:cs="Arial"/>
        </w:rPr>
        <w:t xml:space="preserve"> however, Amazon UK still provided a net increase in profitability (Ohlson, 1995; Maas, 1988). Once again, a stable debt-to-equity ratio would suggest that despite new external pressures, Amazon UK maintained a stable capital structure, prepared for its continuity, whilst reducing risk to investors (Dyson, 2010).</w:t>
      </w:r>
    </w:p>
    <w:p w14:paraId="45D41D91" w14:textId="77777777" w:rsidR="009D0A43" w:rsidRPr="00163217" w:rsidRDefault="00E7182E" w:rsidP="00163217">
      <w:pPr>
        <w:pStyle w:val="ListParagraph"/>
        <w:numPr>
          <w:ilvl w:val="0"/>
          <w:numId w:val="2"/>
        </w:numPr>
        <w:spacing w:line="480" w:lineRule="auto"/>
        <w:rPr>
          <w:rFonts w:ascii="Arial" w:hAnsi="Arial" w:cs="Arial"/>
        </w:rPr>
      </w:pPr>
      <w:r w:rsidRPr="00163217">
        <w:rPr>
          <w:rFonts w:ascii="Arial" w:hAnsi="Arial" w:cs="Arial"/>
        </w:rPr>
        <w:t>Market and Operational Trends:</w:t>
      </w:r>
      <w:r w:rsidR="009D0A43" w:rsidRPr="00163217">
        <w:rPr>
          <w:rFonts w:ascii="Arial" w:hAnsi="Arial" w:cs="Arial"/>
        </w:rPr>
        <w:t xml:space="preserve"> </w:t>
      </w:r>
      <w:r w:rsidRPr="00163217">
        <w:rPr>
          <w:rFonts w:ascii="Arial" w:hAnsi="Arial" w:cs="Arial"/>
        </w:rPr>
        <w:t>There have been strategic rationale for opinion on the operational scale in the UK.</w:t>
      </w:r>
      <w:r w:rsidR="009D0A43" w:rsidRPr="00163217">
        <w:rPr>
          <w:rFonts w:ascii="Arial" w:hAnsi="Arial" w:cs="Arial"/>
        </w:rPr>
        <w:t xml:space="preserve"> </w:t>
      </w:r>
      <w:r w:rsidRPr="00163217">
        <w:rPr>
          <w:rFonts w:ascii="Arial" w:hAnsi="Arial" w:cs="Arial"/>
        </w:rPr>
        <w:t>After a period of aggressive expansion in previous years, Amazon UK Services moderated capital spending in 2023. This moderation not only reduced depreciation expense but also increased the asset turnover ratio as older existing assets were utili</w:t>
      </w:r>
      <w:r w:rsidR="009D0A43" w:rsidRPr="00163217">
        <w:rPr>
          <w:rFonts w:ascii="Arial" w:hAnsi="Arial" w:cs="Arial"/>
        </w:rPr>
        <w:t>s</w:t>
      </w:r>
      <w:r w:rsidRPr="00163217">
        <w:rPr>
          <w:rFonts w:ascii="Arial" w:hAnsi="Arial" w:cs="Arial"/>
        </w:rPr>
        <w:t>ed more efficiently (Bergevin &amp; Miller, 1994; Xiang &amp; Wang, 2021). These operational adjustments and stronger management of receivables contributed to the overall model of the business more efficiently in a competitive environment.</w:t>
      </w:r>
    </w:p>
    <w:p w14:paraId="3F7C1EE8" w14:textId="77777777" w:rsidR="00163217" w:rsidRDefault="00163217" w:rsidP="00E7182E">
      <w:pPr>
        <w:spacing w:line="480" w:lineRule="auto"/>
        <w:rPr>
          <w:rFonts w:ascii="Arial" w:hAnsi="Arial" w:cs="Arial"/>
        </w:rPr>
      </w:pPr>
    </w:p>
    <w:p w14:paraId="684ED7BC" w14:textId="77777777" w:rsidR="00163217" w:rsidRDefault="00163217" w:rsidP="00E7182E">
      <w:pPr>
        <w:spacing w:line="480" w:lineRule="auto"/>
        <w:rPr>
          <w:rFonts w:ascii="Arial" w:hAnsi="Arial" w:cs="Arial"/>
        </w:rPr>
      </w:pPr>
    </w:p>
    <w:p w14:paraId="2B598312" w14:textId="17BA7CB5" w:rsidR="009D0A43" w:rsidRPr="00163217" w:rsidRDefault="00E7182E" w:rsidP="00E7182E">
      <w:p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lastRenderedPageBreak/>
        <w:t>Recommendations for Future Financial and Sustainable Improvements</w:t>
      </w:r>
    </w:p>
    <w:p w14:paraId="19462066" w14:textId="197F9DCA" w:rsidR="009D0A43" w:rsidRDefault="00E7182E" w:rsidP="00E7182E">
      <w:pPr>
        <w:spacing w:line="480" w:lineRule="auto"/>
        <w:rPr>
          <w:rFonts w:ascii="Arial" w:hAnsi="Arial" w:cs="Arial"/>
        </w:rPr>
      </w:pPr>
      <w:r w:rsidRPr="00E7182E">
        <w:rPr>
          <w:rFonts w:ascii="Arial" w:hAnsi="Arial" w:cs="Arial"/>
        </w:rPr>
        <w:t xml:space="preserve">As a result of the analysis of Amazon UK Services, </w:t>
      </w:r>
      <w:r w:rsidR="009D0A43" w:rsidRPr="00E7182E">
        <w:rPr>
          <w:rFonts w:ascii="Arial" w:hAnsi="Arial" w:cs="Arial"/>
        </w:rPr>
        <w:t>several</w:t>
      </w:r>
      <w:r w:rsidRPr="00E7182E">
        <w:rPr>
          <w:rFonts w:ascii="Arial" w:hAnsi="Arial" w:cs="Arial"/>
        </w:rPr>
        <w:t xml:space="preserve"> key recommendations can be made: </w:t>
      </w:r>
    </w:p>
    <w:p w14:paraId="0482FE18" w14:textId="77777777" w:rsidR="009D0A43" w:rsidRPr="00163217" w:rsidRDefault="00E7182E" w:rsidP="00163217">
      <w:pPr>
        <w:pStyle w:val="ListParagraph"/>
        <w:numPr>
          <w:ilvl w:val="0"/>
          <w:numId w:val="3"/>
        </w:numPr>
        <w:spacing w:line="480" w:lineRule="auto"/>
        <w:rPr>
          <w:rFonts w:ascii="Arial" w:hAnsi="Arial" w:cs="Arial"/>
        </w:rPr>
      </w:pPr>
      <w:r w:rsidRPr="00163217">
        <w:rPr>
          <w:rFonts w:ascii="Arial" w:hAnsi="Arial" w:cs="Arial"/>
        </w:rPr>
        <w:t>Sustain and Enhance Cost Control</w:t>
      </w:r>
      <w:r w:rsidR="009D0A43" w:rsidRPr="00163217">
        <w:rPr>
          <w:rFonts w:ascii="Arial" w:hAnsi="Arial" w:cs="Arial"/>
        </w:rPr>
        <w:t xml:space="preserve">: </w:t>
      </w:r>
      <w:r w:rsidRPr="00163217">
        <w:rPr>
          <w:rFonts w:ascii="Arial" w:hAnsi="Arial" w:cs="Arial"/>
        </w:rPr>
        <w:t xml:space="preserve">The focus on automating warehouse operations and upgrading logistics should continue. Amazon UK should invest in higher skilled robotics and artificial intelligence capabilities to enhance further efficiency that can extract cost in upgrades while not compromising the levels of service (Drury, 2020). Regularly </w:t>
      </w:r>
      <w:r w:rsidR="009D0A43" w:rsidRPr="00163217">
        <w:rPr>
          <w:rFonts w:ascii="Arial" w:hAnsi="Arial" w:cs="Arial"/>
        </w:rPr>
        <w:t>analysing</w:t>
      </w:r>
      <w:r w:rsidRPr="00163217">
        <w:rPr>
          <w:rFonts w:ascii="Arial" w:hAnsi="Arial" w:cs="Arial"/>
        </w:rPr>
        <w:t xml:space="preserve"> performance with ratio analysis should identify new areas to cut costs. </w:t>
      </w:r>
    </w:p>
    <w:p w14:paraId="556E5595" w14:textId="221D5C5F" w:rsidR="009D0A43" w:rsidRPr="00163217" w:rsidRDefault="00E7182E" w:rsidP="00163217">
      <w:pPr>
        <w:pStyle w:val="ListParagraph"/>
        <w:numPr>
          <w:ilvl w:val="0"/>
          <w:numId w:val="3"/>
        </w:numPr>
        <w:spacing w:line="480" w:lineRule="auto"/>
        <w:rPr>
          <w:rFonts w:ascii="Arial" w:hAnsi="Arial" w:cs="Arial"/>
        </w:rPr>
      </w:pPr>
      <w:r w:rsidRPr="00163217">
        <w:rPr>
          <w:rFonts w:ascii="Arial" w:hAnsi="Arial" w:cs="Arial"/>
        </w:rPr>
        <w:t>Diversification of Revenue Streams</w:t>
      </w:r>
      <w:r w:rsidR="009D0A43" w:rsidRPr="00163217">
        <w:rPr>
          <w:rFonts w:ascii="Arial" w:hAnsi="Arial" w:cs="Arial"/>
        </w:rPr>
        <w:t xml:space="preserve">: </w:t>
      </w:r>
      <w:r w:rsidRPr="00163217">
        <w:rPr>
          <w:rFonts w:ascii="Arial" w:hAnsi="Arial" w:cs="Arial"/>
        </w:rPr>
        <w:t xml:space="preserve">Increase at a higher margin of services that may enhance profitability overall and dilute the reliance on retail sales revenue </w:t>
      </w:r>
      <w:r w:rsidR="009D0A43" w:rsidRPr="00163217">
        <w:rPr>
          <w:rFonts w:ascii="Arial" w:hAnsi="Arial" w:cs="Arial"/>
        </w:rPr>
        <w:t>streams,</w:t>
      </w:r>
      <w:r w:rsidRPr="00163217">
        <w:rPr>
          <w:rFonts w:ascii="Arial" w:hAnsi="Arial" w:cs="Arial"/>
        </w:rPr>
        <w:t xml:space="preserve"> such as increasing sales of digital advertising and collaborating with a third-party marketplace. (Choi &amp; Wang, 2009). </w:t>
      </w:r>
    </w:p>
    <w:p w14:paraId="77188C21" w14:textId="77777777" w:rsidR="009D0A43" w:rsidRPr="00163217" w:rsidRDefault="00E7182E" w:rsidP="00163217">
      <w:pPr>
        <w:pStyle w:val="ListParagraph"/>
        <w:numPr>
          <w:ilvl w:val="0"/>
          <w:numId w:val="3"/>
        </w:numPr>
        <w:spacing w:line="480" w:lineRule="auto"/>
        <w:rPr>
          <w:rFonts w:ascii="Arial" w:hAnsi="Arial" w:cs="Arial"/>
        </w:rPr>
      </w:pPr>
      <w:r w:rsidRPr="00163217">
        <w:rPr>
          <w:rFonts w:ascii="Arial" w:hAnsi="Arial" w:cs="Arial"/>
        </w:rPr>
        <w:t>Strengthen Liquidity Management</w:t>
      </w:r>
      <w:r w:rsidR="009D0A43" w:rsidRPr="00163217">
        <w:rPr>
          <w:rFonts w:ascii="Arial" w:hAnsi="Arial" w:cs="Arial"/>
        </w:rPr>
        <w:t xml:space="preserve">: </w:t>
      </w:r>
      <w:r w:rsidRPr="00163217">
        <w:rPr>
          <w:rFonts w:ascii="Arial" w:hAnsi="Arial" w:cs="Arial"/>
        </w:rPr>
        <w:t>Despite liquidity ratios identifying a strong short-term position, Amazon UK should develop a slightly larger cash buffer for potential market fluctuations. Continuing optimi</w:t>
      </w:r>
      <w:r w:rsidR="009D0A43" w:rsidRPr="00163217">
        <w:rPr>
          <w:rFonts w:ascii="Arial" w:hAnsi="Arial" w:cs="Arial"/>
        </w:rPr>
        <w:t>s</w:t>
      </w:r>
      <w:r w:rsidRPr="00163217">
        <w:rPr>
          <w:rFonts w:ascii="Arial" w:hAnsi="Arial" w:cs="Arial"/>
        </w:rPr>
        <w:t>ation with receivables management and renegotiation of terms with suppliers will assist in liquidity management (</w:t>
      </w:r>
      <w:proofErr w:type="spellStart"/>
      <w:r w:rsidRPr="00163217">
        <w:rPr>
          <w:rFonts w:ascii="Arial" w:hAnsi="Arial" w:cs="Arial"/>
        </w:rPr>
        <w:t>Alshowishin</w:t>
      </w:r>
      <w:proofErr w:type="spellEnd"/>
      <w:r w:rsidRPr="00163217">
        <w:rPr>
          <w:rFonts w:ascii="Arial" w:hAnsi="Arial" w:cs="Arial"/>
        </w:rPr>
        <w:t xml:space="preserve">, 21). </w:t>
      </w:r>
    </w:p>
    <w:p w14:paraId="5D22ACE0" w14:textId="164EE904" w:rsidR="009D0A43" w:rsidRPr="00163217" w:rsidRDefault="00E7182E" w:rsidP="00163217">
      <w:pPr>
        <w:pStyle w:val="ListParagraph"/>
        <w:numPr>
          <w:ilvl w:val="0"/>
          <w:numId w:val="3"/>
        </w:numPr>
        <w:spacing w:line="480" w:lineRule="auto"/>
        <w:rPr>
          <w:rFonts w:ascii="Arial" w:hAnsi="Arial" w:cs="Arial"/>
        </w:rPr>
      </w:pPr>
      <w:r w:rsidRPr="00163217">
        <w:rPr>
          <w:rFonts w:ascii="Arial" w:hAnsi="Arial" w:cs="Arial"/>
        </w:rPr>
        <w:t>Prudent Capital Investment</w:t>
      </w:r>
      <w:r w:rsidR="009D0A43" w:rsidRPr="00163217">
        <w:rPr>
          <w:rFonts w:ascii="Arial" w:hAnsi="Arial" w:cs="Arial"/>
        </w:rPr>
        <w:t xml:space="preserve">: </w:t>
      </w:r>
      <w:r w:rsidRPr="00163217">
        <w:rPr>
          <w:rFonts w:ascii="Arial" w:hAnsi="Arial" w:cs="Arial"/>
        </w:rPr>
        <w:t xml:space="preserve">Any future investment in physical assets such as fulfilment </w:t>
      </w:r>
      <w:r w:rsidR="009D0A43" w:rsidRPr="00163217">
        <w:rPr>
          <w:rFonts w:ascii="Arial" w:hAnsi="Arial" w:cs="Arial"/>
        </w:rPr>
        <w:t>centres</w:t>
      </w:r>
      <w:r w:rsidRPr="00163217">
        <w:rPr>
          <w:rFonts w:ascii="Arial" w:hAnsi="Arial" w:cs="Arial"/>
        </w:rPr>
        <w:t>, must be adequately planned and justified by examining forecasts regarding market demand. Focus should be placed on creating maximi</w:t>
      </w:r>
      <w:r w:rsidR="009D0A43" w:rsidRPr="00163217">
        <w:rPr>
          <w:rFonts w:ascii="Arial" w:hAnsi="Arial" w:cs="Arial"/>
        </w:rPr>
        <w:t>s</w:t>
      </w:r>
      <w:r w:rsidRPr="00163217">
        <w:rPr>
          <w:rFonts w:ascii="Arial" w:hAnsi="Arial" w:cs="Arial"/>
        </w:rPr>
        <w:t xml:space="preserve">ed use of assets that have enabled the improvements in asset </w:t>
      </w:r>
      <w:r w:rsidRPr="00163217">
        <w:rPr>
          <w:rFonts w:ascii="Arial" w:hAnsi="Arial" w:cs="Arial"/>
        </w:rPr>
        <w:lastRenderedPageBreak/>
        <w:t xml:space="preserve">turnover ratio; investments should be sustainable and provide returns in the </w:t>
      </w:r>
      <w:r w:rsidR="009D0A43" w:rsidRPr="00163217">
        <w:rPr>
          <w:rFonts w:ascii="Arial" w:hAnsi="Arial" w:cs="Arial"/>
        </w:rPr>
        <w:t>long run</w:t>
      </w:r>
      <w:r w:rsidRPr="00163217">
        <w:rPr>
          <w:rFonts w:ascii="Arial" w:hAnsi="Arial" w:cs="Arial"/>
        </w:rPr>
        <w:t xml:space="preserve"> (Lucey, 2009; Ohlson, 1995</w:t>
      </w:r>
      <w:r w:rsidR="009D0A43" w:rsidRPr="00163217">
        <w:rPr>
          <w:rFonts w:ascii="Arial" w:hAnsi="Arial" w:cs="Arial"/>
        </w:rPr>
        <w:t>)</w:t>
      </w:r>
      <w:r w:rsidRPr="00163217">
        <w:rPr>
          <w:rFonts w:ascii="Arial" w:hAnsi="Arial" w:cs="Arial"/>
        </w:rPr>
        <w:t xml:space="preserve">. </w:t>
      </w:r>
    </w:p>
    <w:p w14:paraId="7635A086" w14:textId="77777777" w:rsidR="009D0A43" w:rsidRPr="00163217" w:rsidRDefault="00E7182E" w:rsidP="00163217">
      <w:pPr>
        <w:pStyle w:val="ListParagraph"/>
        <w:numPr>
          <w:ilvl w:val="0"/>
          <w:numId w:val="3"/>
        </w:numPr>
        <w:spacing w:line="480" w:lineRule="auto"/>
        <w:rPr>
          <w:rFonts w:ascii="Arial" w:hAnsi="Arial" w:cs="Arial"/>
        </w:rPr>
      </w:pPr>
      <w:r w:rsidRPr="00163217">
        <w:rPr>
          <w:rFonts w:ascii="Arial" w:hAnsi="Arial" w:cs="Arial"/>
        </w:rPr>
        <w:t>Manage Regulatory and Tax Risks</w:t>
      </w:r>
      <w:r w:rsidR="009D0A43" w:rsidRPr="00163217">
        <w:rPr>
          <w:rFonts w:ascii="Arial" w:hAnsi="Arial" w:cs="Arial"/>
        </w:rPr>
        <w:t xml:space="preserve">: </w:t>
      </w:r>
      <w:r w:rsidRPr="00163217">
        <w:rPr>
          <w:rFonts w:ascii="Arial" w:hAnsi="Arial" w:cs="Arial"/>
        </w:rPr>
        <w:t xml:space="preserve">In the changing regulatory environment in the UK, it is imperative to evaluate and </w:t>
      </w:r>
      <w:r w:rsidR="009D0A43" w:rsidRPr="00163217">
        <w:rPr>
          <w:rFonts w:ascii="Arial" w:hAnsi="Arial" w:cs="Arial"/>
        </w:rPr>
        <w:t>analyse</w:t>
      </w:r>
      <w:r w:rsidRPr="00163217">
        <w:rPr>
          <w:rFonts w:ascii="Arial" w:hAnsi="Arial" w:cs="Arial"/>
        </w:rPr>
        <w:t xml:space="preserve"> the financial operational plans. Proactive planning and tax management should be engaged to lessen the adverse impact of potentially higher to higher taxes and new regulation. (De Moraes et al., 2019; Maas, 1988). </w:t>
      </w:r>
    </w:p>
    <w:p w14:paraId="24FB6425" w14:textId="77777777" w:rsidR="009D0A43" w:rsidRDefault="009D0A43" w:rsidP="00E7182E">
      <w:pPr>
        <w:spacing w:line="480" w:lineRule="auto"/>
        <w:rPr>
          <w:rFonts w:ascii="Arial" w:hAnsi="Arial" w:cs="Arial"/>
        </w:rPr>
      </w:pPr>
    </w:p>
    <w:p w14:paraId="39E7C7D3" w14:textId="77777777" w:rsidR="009D0A43" w:rsidRDefault="009D0A43" w:rsidP="00E7182E">
      <w:pPr>
        <w:spacing w:line="480" w:lineRule="auto"/>
        <w:rPr>
          <w:rFonts w:ascii="Arial" w:hAnsi="Arial" w:cs="Arial"/>
        </w:rPr>
      </w:pPr>
    </w:p>
    <w:p w14:paraId="4CA8E500" w14:textId="77777777" w:rsidR="00163217" w:rsidRDefault="00163217" w:rsidP="00E7182E">
      <w:pPr>
        <w:spacing w:line="480" w:lineRule="auto"/>
        <w:rPr>
          <w:rFonts w:ascii="Arial" w:hAnsi="Arial" w:cs="Arial"/>
        </w:rPr>
      </w:pPr>
    </w:p>
    <w:p w14:paraId="11AF8351" w14:textId="77777777" w:rsidR="00163217" w:rsidRDefault="00163217" w:rsidP="00E7182E">
      <w:pPr>
        <w:spacing w:line="480" w:lineRule="auto"/>
        <w:rPr>
          <w:rFonts w:ascii="Arial" w:hAnsi="Arial" w:cs="Arial"/>
        </w:rPr>
      </w:pPr>
    </w:p>
    <w:p w14:paraId="599764E5" w14:textId="77777777" w:rsidR="00163217" w:rsidRDefault="00163217" w:rsidP="00E7182E">
      <w:pPr>
        <w:spacing w:line="480" w:lineRule="auto"/>
        <w:rPr>
          <w:rFonts w:ascii="Arial" w:hAnsi="Arial" w:cs="Arial"/>
        </w:rPr>
      </w:pPr>
    </w:p>
    <w:p w14:paraId="36385114" w14:textId="77777777" w:rsidR="00163217" w:rsidRDefault="00163217" w:rsidP="00E7182E">
      <w:pPr>
        <w:spacing w:line="480" w:lineRule="auto"/>
        <w:rPr>
          <w:rFonts w:ascii="Arial" w:hAnsi="Arial" w:cs="Arial"/>
        </w:rPr>
      </w:pPr>
    </w:p>
    <w:p w14:paraId="5B027A09" w14:textId="77777777" w:rsidR="00163217" w:rsidRDefault="00163217" w:rsidP="00E7182E">
      <w:pPr>
        <w:spacing w:line="480" w:lineRule="auto"/>
        <w:rPr>
          <w:rFonts w:ascii="Arial" w:hAnsi="Arial" w:cs="Arial"/>
        </w:rPr>
      </w:pPr>
    </w:p>
    <w:p w14:paraId="5D9AE921" w14:textId="77777777" w:rsidR="00163217" w:rsidRDefault="00163217" w:rsidP="00E7182E">
      <w:pPr>
        <w:spacing w:line="480" w:lineRule="auto"/>
        <w:rPr>
          <w:rFonts w:ascii="Arial" w:hAnsi="Arial" w:cs="Arial"/>
        </w:rPr>
      </w:pPr>
    </w:p>
    <w:p w14:paraId="4C5399AE" w14:textId="77777777" w:rsidR="00163217" w:rsidRDefault="00163217" w:rsidP="00E7182E">
      <w:pPr>
        <w:spacing w:line="480" w:lineRule="auto"/>
        <w:rPr>
          <w:rFonts w:ascii="Arial" w:hAnsi="Arial" w:cs="Arial"/>
        </w:rPr>
      </w:pPr>
    </w:p>
    <w:p w14:paraId="0F74164F" w14:textId="77777777" w:rsidR="00163217" w:rsidRDefault="00163217" w:rsidP="00E7182E">
      <w:pPr>
        <w:spacing w:line="480" w:lineRule="auto"/>
        <w:rPr>
          <w:rFonts w:ascii="Arial" w:hAnsi="Arial" w:cs="Arial"/>
        </w:rPr>
      </w:pPr>
    </w:p>
    <w:p w14:paraId="56110CB6" w14:textId="77777777" w:rsidR="00163217" w:rsidRDefault="00163217" w:rsidP="00E7182E">
      <w:pPr>
        <w:spacing w:line="480" w:lineRule="auto"/>
        <w:rPr>
          <w:rFonts w:ascii="Arial" w:hAnsi="Arial" w:cs="Arial"/>
        </w:rPr>
      </w:pPr>
    </w:p>
    <w:p w14:paraId="0BA5ABC8" w14:textId="77777777" w:rsidR="00163217" w:rsidRDefault="00163217" w:rsidP="00E7182E">
      <w:pPr>
        <w:spacing w:line="480" w:lineRule="auto"/>
        <w:rPr>
          <w:rFonts w:ascii="Arial" w:hAnsi="Arial" w:cs="Arial"/>
        </w:rPr>
      </w:pPr>
    </w:p>
    <w:p w14:paraId="5907E20A" w14:textId="77777777" w:rsidR="00163217" w:rsidRDefault="00163217" w:rsidP="00E7182E">
      <w:pPr>
        <w:spacing w:line="480" w:lineRule="auto"/>
        <w:rPr>
          <w:rFonts w:ascii="Arial" w:hAnsi="Arial" w:cs="Arial"/>
        </w:rPr>
      </w:pPr>
    </w:p>
    <w:p w14:paraId="2655CF0B" w14:textId="77777777" w:rsidR="00163217" w:rsidRDefault="00163217" w:rsidP="00E7182E">
      <w:pPr>
        <w:spacing w:line="480" w:lineRule="auto"/>
        <w:rPr>
          <w:rFonts w:ascii="Arial" w:hAnsi="Arial" w:cs="Arial"/>
        </w:rPr>
      </w:pPr>
    </w:p>
    <w:p w14:paraId="6847DB5B" w14:textId="0F4006E9" w:rsidR="009D0A43" w:rsidRPr="00163217" w:rsidRDefault="00E7182E" w:rsidP="00E7182E">
      <w:pPr>
        <w:spacing w:line="480" w:lineRule="auto"/>
        <w:rPr>
          <w:rFonts w:ascii="Arial Black" w:hAnsi="Arial Black" w:cs="Arial"/>
          <w:color w:val="4C94D8" w:themeColor="text2" w:themeTint="80"/>
        </w:rPr>
      </w:pPr>
      <w:r w:rsidRPr="00163217">
        <w:rPr>
          <w:rFonts w:ascii="Arial Black" w:hAnsi="Arial Black" w:cs="Arial"/>
          <w:color w:val="4C94D8" w:themeColor="text2" w:themeTint="80"/>
        </w:rPr>
        <w:lastRenderedPageBreak/>
        <w:t>Conclusion</w:t>
      </w:r>
    </w:p>
    <w:p w14:paraId="78BEADEB" w14:textId="77777777" w:rsidR="001D3BDF" w:rsidRDefault="00E7182E" w:rsidP="00E7182E">
      <w:pPr>
        <w:spacing w:line="480" w:lineRule="auto"/>
        <w:rPr>
          <w:rFonts w:ascii="Arial" w:hAnsi="Arial" w:cs="Arial"/>
        </w:rPr>
      </w:pPr>
      <w:r w:rsidRPr="00E7182E">
        <w:rPr>
          <w:rFonts w:ascii="Arial" w:hAnsi="Arial" w:cs="Arial"/>
        </w:rPr>
        <w:t xml:space="preserve">The analysis of the ratios of Amazon UK for 2022 and 2023 has indicated that the company is improving the overall performance </w:t>
      </w:r>
      <w:r w:rsidR="009D0A43" w:rsidRPr="00E7182E">
        <w:rPr>
          <w:rFonts w:ascii="Arial" w:hAnsi="Arial" w:cs="Arial"/>
        </w:rPr>
        <w:t>because of</w:t>
      </w:r>
      <w:r w:rsidRPr="00E7182E">
        <w:rPr>
          <w:rFonts w:ascii="Arial" w:hAnsi="Arial" w:cs="Arial"/>
        </w:rPr>
        <w:t xml:space="preserve"> external pressures and the workings of the enterprise. There were positive trends in profitability metrics identifiable by observing operational metrics such as net profit margin, ROA, and ROE. The liquidity ratios indicate sound financial position, and it is evident that the asset turnover and receivables turnover improved and indicates operational performance. Overall, despite a tax burden rising slightly and equity contracted modestly, a strong interest coverage indicates that the ratio of </w:t>
      </w:r>
      <w:r w:rsidR="001D3BDF" w:rsidRPr="00E7182E">
        <w:rPr>
          <w:rFonts w:ascii="Arial" w:hAnsi="Arial" w:cs="Arial"/>
        </w:rPr>
        <w:t>debt-to-equity</w:t>
      </w:r>
      <w:r w:rsidRPr="00E7182E">
        <w:rPr>
          <w:rFonts w:ascii="Arial" w:hAnsi="Arial" w:cs="Arial"/>
        </w:rPr>
        <w:t xml:space="preserve"> signals confidence for long-term solvency.</w:t>
      </w:r>
    </w:p>
    <w:p w14:paraId="7C64F72F" w14:textId="77777777" w:rsidR="00163217" w:rsidRDefault="00E7182E" w:rsidP="00E7182E">
      <w:pPr>
        <w:spacing w:line="480" w:lineRule="auto"/>
        <w:rPr>
          <w:rFonts w:ascii="Arial" w:hAnsi="Arial" w:cs="Arial"/>
        </w:rPr>
      </w:pPr>
      <w:r w:rsidRPr="00E7182E">
        <w:rPr>
          <w:rFonts w:ascii="Arial" w:hAnsi="Arial" w:cs="Arial"/>
        </w:rPr>
        <w:t xml:space="preserve">The ratios came from calculations and improved performance in obtaining insights from operational adjustments in the business model, along with providing direction to recommendations. Continuous focus on cost control, diversify streams of revenue, and looking at capital investments through a prudent lens that provides sustainable growth, are imperatively important to gain results that matter in sustainability. Overall, the increased ratio analysis identifies strengths and weaknesses and serves as a valid way of thinking through future financial decisions and future (Wood, 2015; Dyson, 2010).      </w:t>
      </w:r>
    </w:p>
    <w:p w14:paraId="66F08293" w14:textId="77777777" w:rsidR="00163217" w:rsidRDefault="00163217" w:rsidP="00E7182E">
      <w:pPr>
        <w:spacing w:line="480" w:lineRule="auto"/>
        <w:rPr>
          <w:rFonts w:ascii="Arial" w:hAnsi="Arial" w:cs="Arial"/>
        </w:rPr>
      </w:pPr>
    </w:p>
    <w:p w14:paraId="0A6FCC38" w14:textId="77777777" w:rsidR="00163217" w:rsidRDefault="00163217" w:rsidP="00E7182E">
      <w:pPr>
        <w:spacing w:line="480" w:lineRule="auto"/>
        <w:rPr>
          <w:rFonts w:ascii="Arial" w:hAnsi="Arial" w:cs="Arial"/>
        </w:rPr>
      </w:pPr>
    </w:p>
    <w:p w14:paraId="00C2C690" w14:textId="77777777" w:rsidR="00163217" w:rsidRDefault="00163217" w:rsidP="00E7182E">
      <w:pPr>
        <w:spacing w:line="480" w:lineRule="auto"/>
        <w:rPr>
          <w:rFonts w:ascii="Arial" w:hAnsi="Arial" w:cs="Arial"/>
        </w:rPr>
      </w:pPr>
    </w:p>
    <w:p w14:paraId="2BDCDCB7" w14:textId="77777777" w:rsidR="00163217" w:rsidRDefault="00163217" w:rsidP="00E7182E">
      <w:pPr>
        <w:spacing w:line="480" w:lineRule="auto"/>
        <w:rPr>
          <w:rFonts w:ascii="Arial" w:hAnsi="Arial" w:cs="Arial"/>
        </w:rPr>
      </w:pPr>
    </w:p>
    <w:p w14:paraId="11169D76" w14:textId="77777777" w:rsidR="00163217" w:rsidRDefault="00163217" w:rsidP="00E7182E">
      <w:pPr>
        <w:spacing w:line="480" w:lineRule="auto"/>
        <w:rPr>
          <w:rFonts w:ascii="Arial" w:hAnsi="Arial" w:cs="Arial"/>
        </w:rPr>
      </w:pPr>
    </w:p>
    <w:p w14:paraId="424207B8" w14:textId="77777777" w:rsidR="00214AFC" w:rsidRPr="00214AFC" w:rsidRDefault="00163217" w:rsidP="00E7182E">
      <w:pPr>
        <w:spacing w:line="480" w:lineRule="auto"/>
        <w:rPr>
          <w:rFonts w:ascii="Arial Black" w:hAnsi="Arial Black" w:cs="Arial"/>
          <w:color w:val="4C94D8" w:themeColor="text2" w:themeTint="80"/>
        </w:rPr>
      </w:pPr>
      <w:r w:rsidRPr="00214AFC">
        <w:rPr>
          <w:rFonts w:ascii="Arial Black" w:hAnsi="Arial Black" w:cs="Arial"/>
          <w:color w:val="4C94D8" w:themeColor="text2" w:themeTint="80"/>
        </w:rPr>
        <w:lastRenderedPageBreak/>
        <w:t xml:space="preserve">References </w:t>
      </w:r>
      <w:r w:rsidR="00E7182E" w:rsidRPr="00214AFC">
        <w:rPr>
          <w:rFonts w:ascii="Arial Black" w:hAnsi="Arial Black" w:cs="Arial"/>
          <w:color w:val="4C94D8" w:themeColor="text2" w:themeTint="80"/>
        </w:rPr>
        <w:t xml:space="preserve"> </w:t>
      </w:r>
    </w:p>
    <w:p w14:paraId="35F7C1ED" w14:textId="520008E7" w:rsidR="00214AFC" w:rsidRDefault="00214AFC" w:rsidP="00214AFC">
      <w:pPr>
        <w:spacing w:line="480" w:lineRule="auto"/>
        <w:rPr>
          <w:rFonts w:ascii="Arial" w:hAnsi="Arial" w:cs="Arial"/>
        </w:rPr>
      </w:pPr>
      <w:proofErr w:type="spellStart"/>
      <w:r w:rsidRPr="00214AFC">
        <w:rPr>
          <w:rFonts w:ascii="Arial" w:hAnsi="Arial" w:cs="Arial"/>
        </w:rPr>
        <w:t>Alshowishin</w:t>
      </w:r>
      <w:proofErr w:type="spellEnd"/>
      <w:r w:rsidRPr="00214AFC">
        <w:rPr>
          <w:rFonts w:ascii="Arial" w:hAnsi="Arial" w:cs="Arial"/>
        </w:rPr>
        <w:t>, A. (2021). Financial analysis</w:t>
      </w:r>
      <w:r w:rsidRPr="00214AFC">
        <w:rPr>
          <w:rFonts w:ascii="Arial" w:hAnsi="Arial" w:cs="Arial"/>
          <w:i/>
          <w:iCs/>
        </w:rPr>
        <w:t>. International Journal of Scientific and Research Publications (IJSRP), 11</w:t>
      </w:r>
      <w:r w:rsidRPr="00214AFC">
        <w:rPr>
          <w:rFonts w:ascii="Arial" w:hAnsi="Arial" w:cs="Arial"/>
        </w:rPr>
        <w:t xml:space="preserve">(4), 208–211. </w:t>
      </w:r>
      <w:hyperlink r:id="rId7" w:history="1">
        <w:r w:rsidRPr="00932F96">
          <w:rPr>
            <w:rStyle w:val="Hyperlink"/>
            <w:rFonts w:ascii="Arial" w:hAnsi="Arial" w:cs="Arial"/>
          </w:rPr>
          <w:t>http://dx.doi.org/10.29322/ijsrp.11.04.2021.p11226</w:t>
        </w:r>
      </w:hyperlink>
    </w:p>
    <w:p w14:paraId="33848DD6" w14:textId="0FD693FB" w:rsidR="00214AFC" w:rsidRPr="00214AFC" w:rsidRDefault="00214AFC" w:rsidP="00214AFC">
      <w:pPr>
        <w:spacing w:line="480" w:lineRule="auto"/>
        <w:rPr>
          <w:rFonts w:ascii="Arial" w:hAnsi="Arial" w:cs="Arial"/>
        </w:rPr>
      </w:pPr>
      <w:r w:rsidRPr="00214AFC">
        <w:rPr>
          <w:rFonts w:ascii="Arial" w:hAnsi="Arial" w:cs="Arial"/>
        </w:rPr>
        <w:t xml:space="preserve">Attrill, P., &amp; McLaney, E. (2015). </w:t>
      </w:r>
      <w:r w:rsidRPr="00214AFC">
        <w:rPr>
          <w:rFonts w:ascii="Arial" w:hAnsi="Arial" w:cs="Arial"/>
          <w:i/>
          <w:iCs/>
        </w:rPr>
        <w:t>Management accounting for decision makers</w:t>
      </w:r>
      <w:r w:rsidRPr="00214AFC">
        <w:rPr>
          <w:rFonts w:ascii="Arial" w:hAnsi="Arial" w:cs="Arial"/>
        </w:rPr>
        <w:t xml:space="preserve"> (8th ed.). Cengage Learning.</w:t>
      </w:r>
    </w:p>
    <w:p w14:paraId="410D2719" w14:textId="3CFA7FB9" w:rsidR="00214AFC" w:rsidRDefault="00214AFC" w:rsidP="00214AFC">
      <w:pPr>
        <w:spacing w:line="480" w:lineRule="auto"/>
        <w:rPr>
          <w:rFonts w:ascii="Arial" w:hAnsi="Arial" w:cs="Arial"/>
        </w:rPr>
      </w:pPr>
      <w:r w:rsidRPr="00214AFC">
        <w:rPr>
          <w:rFonts w:ascii="Arial" w:hAnsi="Arial" w:cs="Arial"/>
        </w:rPr>
        <w:t xml:space="preserve">Bergevin, P. M., &amp; Miller, L. K. (1994). Financial statement analysis. </w:t>
      </w:r>
      <w:r w:rsidRPr="00214AFC">
        <w:rPr>
          <w:rFonts w:ascii="Arial" w:hAnsi="Arial" w:cs="Arial"/>
          <w:i/>
          <w:iCs/>
        </w:rPr>
        <w:t>Journal of Business &amp; Finance Librarianship, 1</w:t>
      </w:r>
      <w:r w:rsidRPr="00214AFC">
        <w:rPr>
          <w:rFonts w:ascii="Arial" w:hAnsi="Arial" w:cs="Arial"/>
        </w:rPr>
        <w:t xml:space="preserve">(4), 49–59. </w:t>
      </w:r>
      <w:hyperlink r:id="rId8" w:history="1">
        <w:r w:rsidRPr="00932F96">
          <w:rPr>
            <w:rStyle w:val="Hyperlink"/>
            <w:rFonts w:ascii="Arial" w:hAnsi="Arial" w:cs="Arial"/>
          </w:rPr>
          <w:t>http://dx.doi.org/10.1300/j109v01n04_05</w:t>
        </w:r>
      </w:hyperlink>
    </w:p>
    <w:p w14:paraId="62C22727" w14:textId="65AD3668" w:rsidR="00214AFC" w:rsidRPr="00214AFC" w:rsidRDefault="00214AFC" w:rsidP="00214AFC">
      <w:pPr>
        <w:spacing w:line="480" w:lineRule="auto"/>
        <w:rPr>
          <w:rFonts w:ascii="Arial" w:hAnsi="Arial" w:cs="Arial"/>
        </w:rPr>
      </w:pPr>
      <w:r w:rsidRPr="00214AFC">
        <w:rPr>
          <w:rFonts w:ascii="Arial" w:hAnsi="Arial" w:cs="Arial"/>
        </w:rPr>
        <w:t xml:space="preserve">Choi, J., &amp; Wang, H. (2009). Stakeholder relations and the persistence of corporate financial performance. </w:t>
      </w:r>
      <w:r w:rsidRPr="00214AFC">
        <w:rPr>
          <w:rFonts w:ascii="Arial" w:hAnsi="Arial" w:cs="Arial"/>
          <w:i/>
          <w:iCs/>
        </w:rPr>
        <w:t>Strategic Management Journal, 30</w:t>
      </w:r>
      <w:r w:rsidRPr="00214AFC">
        <w:rPr>
          <w:rFonts w:ascii="Arial" w:hAnsi="Arial" w:cs="Arial"/>
        </w:rPr>
        <w:t>(8), 895–907.</w:t>
      </w:r>
    </w:p>
    <w:p w14:paraId="34AA02EE" w14:textId="0DFAF3F6" w:rsidR="00214AFC" w:rsidRPr="00214AFC" w:rsidRDefault="00214AFC" w:rsidP="00214AFC">
      <w:pPr>
        <w:spacing w:line="480" w:lineRule="auto"/>
        <w:rPr>
          <w:rFonts w:ascii="Arial" w:hAnsi="Arial" w:cs="Arial"/>
        </w:rPr>
      </w:pPr>
      <w:r w:rsidRPr="00214AFC">
        <w:rPr>
          <w:rFonts w:ascii="Arial" w:hAnsi="Arial" w:cs="Arial"/>
        </w:rPr>
        <w:t xml:space="preserve">Darcy, L. G. (2023). </w:t>
      </w:r>
      <w:r w:rsidRPr="00214AFC">
        <w:rPr>
          <w:rFonts w:ascii="Arial" w:hAnsi="Arial" w:cs="Arial"/>
          <w:i/>
          <w:iCs/>
        </w:rPr>
        <w:t>Equity valuation: Amazon.com Inc</w:t>
      </w:r>
      <w:r w:rsidRPr="00214AFC">
        <w:rPr>
          <w:rFonts w:ascii="Arial" w:hAnsi="Arial" w:cs="Arial"/>
        </w:rPr>
        <w:t>. (</w:t>
      </w:r>
      <w:r w:rsidRPr="00214AFC">
        <w:rPr>
          <w:rFonts w:ascii="Arial" w:hAnsi="Arial" w:cs="Arial"/>
        </w:rPr>
        <w:t>master’s</w:t>
      </w:r>
      <w:r w:rsidRPr="00214AFC">
        <w:rPr>
          <w:rFonts w:ascii="Arial" w:hAnsi="Arial" w:cs="Arial"/>
        </w:rPr>
        <w:t xml:space="preserve"> thesis, </w:t>
      </w:r>
      <w:proofErr w:type="spellStart"/>
      <w:r w:rsidRPr="00214AFC">
        <w:rPr>
          <w:rFonts w:ascii="Arial" w:hAnsi="Arial" w:cs="Arial"/>
        </w:rPr>
        <w:t>Universidade</w:t>
      </w:r>
      <w:proofErr w:type="spellEnd"/>
      <w:r w:rsidRPr="00214AFC">
        <w:rPr>
          <w:rFonts w:ascii="Arial" w:hAnsi="Arial" w:cs="Arial"/>
        </w:rPr>
        <w:t xml:space="preserve"> </w:t>
      </w:r>
      <w:proofErr w:type="spellStart"/>
      <w:r w:rsidRPr="00214AFC">
        <w:rPr>
          <w:rFonts w:ascii="Arial" w:hAnsi="Arial" w:cs="Arial"/>
        </w:rPr>
        <w:t>Catolica</w:t>
      </w:r>
      <w:proofErr w:type="spellEnd"/>
      <w:r w:rsidRPr="00214AFC">
        <w:rPr>
          <w:rFonts w:ascii="Arial" w:hAnsi="Arial" w:cs="Arial"/>
        </w:rPr>
        <w:t xml:space="preserve"> Portuguesa, Portugal).</w:t>
      </w:r>
    </w:p>
    <w:p w14:paraId="31741AA9" w14:textId="70BEA0E7" w:rsidR="00214AFC" w:rsidRDefault="00214AFC" w:rsidP="00214AFC">
      <w:pPr>
        <w:spacing w:line="480" w:lineRule="auto"/>
        <w:rPr>
          <w:rFonts w:ascii="Arial" w:hAnsi="Arial" w:cs="Arial"/>
        </w:rPr>
      </w:pPr>
      <w:r w:rsidRPr="00214AFC">
        <w:rPr>
          <w:rFonts w:ascii="Arial" w:hAnsi="Arial" w:cs="Arial"/>
        </w:rPr>
        <w:t xml:space="preserve">De Moraes, C. O., Antunes, J. A. P., &amp; Rodrigues, A. (2019). Financial intermediation analysis from financial flows. </w:t>
      </w:r>
      <w:r w:rsidRPr="00214AFC">
        <w:rPr>
          <w:rFonts w:ascii="Arial" w:hAnsi="Arial" w:cs="Arial"/>
          <w:i/>
          <w:iCs/>
        </w:rPr>
        <w:t>Journal of Economic Studies, 46</w:t>
      </w:r>
      <w:r w:rsidRPr="00214AFC">
        <w:rPr>
          <w:rFonts w:ascii="Arial" w:hAnsi="Arial" w:cs="Arial"/>
        </w:rPr>
        <w:t xml:space="preserve">(3), 727–747. </w:t>
      </w:r>
      <w:hyperlink r:id="rId9" w:history="1">
        <w:r w:rsidRPr="00932F96">
          <w:rPr>
            <w:rStyle w:val="Hyperlink"/>
            <w:rFonts w:ascii="Arial" w:hAnsi="Arial" w:cs="Arial"/>
          </w:rPr>
          <w:t>http://dx.doi.org/10.1108/jes-10-2017-0302</w:t>
        </w:r>
      </w:hyperlink>
    </w:p>
    <w:p w14:paraId="10117B38" w14:textId="2D766100" w:rsidR="00214AFC" w:rsidRPr="00214AFC" w:rsidRDefault="00214AFC" w:rsidP="00214AFC">
      <w:pPr>
        <w:spacing w:line="480" w:lineRule="auto"/>
        <w:rPr>
          <w:rFonts w:ascii="Arial" w:hAnsi="Arial" w:cs="Arial"/>
        </w:rPr>
      </w:pPr>
      <w:r w:rsidRPr="00214AFC">
        <w:rPr>
          <w:rFonts w:ascii="Arial" w:hAnsi="Arial" w:cs="Arial"/>
        </w:rPr>
        <w:t xml:space="preserve">Drury, J. (2020). </w:t>
      </w:r>
      <w:r w:rsidRPr="00214AFC">
        <w:rPr>
          <w:rFonts w:ascii="Arial" w:hAnsi="Arial" w:cs="Arial"/>
          <w:i/>
          <w:iCs/>
        </w:rPr>
        <w:t>Management and cost accounting</w:t>
      </w:r>
      <w:r w:rsidRPr="00214AFC">
        <w:rPr>
          <w:rFonts w:ascii="Arial" w:hAnsi="Arial" w:cs="Arial"/>
        </w:rPr>
        <w:t xml:space="preserve"> (9th ed.). Cengage Learning.</w:t>
      </w:r>
    </w:p>
    <w:p w14:paraId="5C47204B" w14:textId="2CEE5069" w:rsidR="00214AFC" w:rsidRPr="00214AFC" w:rsidRDefault="00214AFC" w:rsidP="00214AFC">
      <w:pPr>
        <w:spacing w:line="480" w:lineRule="auto"/>
        <w:rPr>
          <w:rFonts w:ascii="Arial" w:hAnsi="Arial" w:cs="Arial"/>
        </w:rPr>
      </w:pPr>
      <w:r w:rsidRPr="00214AFC">
        <w:rPr>
          <w:rFonts w:ascii="Arial" w:hAnsi="Arial" w:cs="Arial"/>
        </w:rPr>
        <w:t xml:space="preserve">Dyson, J. R. (2010). </w:t>
      </w:r>
      <w:r w:rsidRPr="00214AFC">
        <w:rPr>
          <w:rFonts w:ascii="Arial" w:hAnsi="Arial" w:cs="Arial"/>
          <w:i/>
          <w:iCs/>
        </w:rPr>
        <w:t xml:space="preserve">Accounting for </w:t>
      </w:r>
      <w:r w:rsidRPr="00214AFC">
        <w:rPr>
          <w:rFonts w:ascii="Arial" w:hAnsi="Arial" w:cs="Arial"/>
          <w:i/>
          <w:iCs/>
        </w:rPr>
        <w:t>non-accounting</w:t>
      </w:r>
      <w:r w:rsidRPr="00214AFC">
        <w:rPr>
          <w:rFonts w:ascii="Arial" w:hAnsi="Arial" w:cs="Arial"/>
          <w:i/>
          <w:iCs/>
        </w:rPr>
        <w:t xml:space="preserve"> students</w:t>
      </w:r>
      <w:r w:rsidRPr="00214AFC">
        <w:rPr>
          <w:rFonts w:ascii="Arial" w:hAnsi="Arial" w:cs="Arial"/>
        </w:rPr>
        <w:t xml:space="preserve"> (8th ed.). Pearson.</w:t>
      </w:r>
    </w:p>
    <w:p w14:paraId="5D8A2EF7" w14:textId="77777777" w:rsidR="00214AFC" w:rsidRPr="00214AFC" w:rsidRDefault="00214AFC" w:rsidP="00214AFC">
      <w:pPr>
        <w:spacing w:line="480" w:lineRule="auto"/>
        <w:rPr>
          <w:rFonts w:ascii="Arial" w:hAnsi="Arial" w:cs="Arial"/>
        </w:rPr>
      </w:pPr>
      <w:r w:rsidRPr="00214AFC">
        <w:rPr>
          <w:rFonts w:ascii="Arial" w:hAnsi="Arial" w:cs="Arial"/>
        </w:rPr>
        <w:t xml:space="preserve">Horrigan, J. O. (1965). Some empirical bases of financial ratio analysis. </w:t>
      </w:r>
      <w:r w:rsidRPr="00214AFC">
        <w:rPr>
          <w:rFonts w:ascii="Arial" w:hAnsi="Arial" w:cs="Arial"/>
          <w:i/>
          <w:iCs/>
        </w:rPr>
        <w:t>Accounting Review, 40(</w:t>
      </w:r>
      <w:r w:rsidRPr="00214AFC">
        <w:rPr>
          <w:rFonts w:ascii="Arial" w:hAnsi="Arial" w:cs="Arial"/>
        </w:rPr>
        <w:t>3).</w:t>
      </w:r>
    </w:p>
    <w:p w14:paraId="753B1DDB" w14:textId="77777777" w:rsidR="00214AFC" w:rsidRDefault="00214AFC" w:rsidP="00214AFC">
      <w:pPr>
        <w:spacing w:line="480" w:lineRule="auto"/>
        <w:rPr>
          <w:rFonts w:ascii="Arial" w:hAnsi="Arial" w:cs="Arial"/>
        </w:rPr>
      </w:pPr>
      <w:r w:rsidRPr="00214AFC">
        <w:rPr>
          <w:rFonts w:ascii="Arial" w:hAnsi="Arial" w:cs="Arial"/>
        </w:rPr>
        <w:t xml:space="preserve">Kothari, S. P. (2001). Capital markets research in accounting. </w:t>
      </w:r>
      <w:r w:rsidRPr="00214AFC">
        <w:rPr>
          <w:rFonts w:ascii="Arial" w:hAnsi="Arial" w:cs="Arial"/>
          <w:i/>
          <w:iCs/>
        </w:rPr>
        <w:t>Journal of Accounting and Economics, 31</w:t>
      </w:r>
      <w:r w:rsidRPr="00214AFC">
        <w:rPr>
          <w:rFonts w:ascii="Arial" w:hAnsi="Arial" w:cs="Arial"/>
        </w:rPr>
        <w:t>(1–3), 105–253.</w:t>
      </w:r>
    </w:p>
    <w:p w14:paraId="0D79365C" w14:textId="16C095AF" w:rsidR="00214AFC" w:rsidRPr="00214AFC" w:rsidRDefault="00214AFC" w:rsidP="00214AFC">
      <w:pPr>
        <w:spacing w:line="480" w:lineRule="auto"/>
        <w:rPr>
          <w:rFonts w:ascii="Arial" w:hAnsi="Arial" w:cs="Arial"/>
        </w:rPr>
      </w:pPr>
      <w:r w:rsidRPr="00214AFC">
        <w:rPr>
          <w:rFonts w:ascii="Arial" w:hAnsi="Arial" w:cs="Arial"/>
        </w:rPr>
        <w:lastRenderedPageBreak/>
        <w:t xml:space="preserve">Lucey, T. (2009). </w:t>
      </w:r>
      <w:r w:rsidRPr="00214AFC">
        <w:rPr>
          <w:rFonts w:ascii="Arial" w:hAnsi="Arial" w:cs="Arial"/>
          <w:i/>
          <w:iCs/>
        </w:rPr>
        <w:t xml:space="preserve">Costing </w:t>
      </w:r>
      <w:r w:rsidRPr="00214AFC">
        <w:rPr>
          <w:rFonts w:ascii="Arial" w:hAnsi="Arial" w:cs="Arial"/>
        </w:rPr>
        <w:t>(7th ed.). Cengage Learning.</w:t>
      </w:r>
    </w:p>
    <w:p w14:paraId="2BEEA496" w14:textId="01D39054" w:rsidR="00214AFC" w:rsidRDefault="00214AFC" w:rsidP="00214AFC">
      <w:pPr>
        <w:spacing w:line="480" w:lineRule="auto"/>
        <w:rPr>
          <w:rFonts w:ascii="Arial" w:hAnsi="Arial" w:cs="Arial"/>
        </w:rPr>
      </w:pPr>
      <w:r w:rsidRPr="00214AFC">
        <w:rPr>
          <w:rFonts w:ascii="Arial" w:hAnsi="Arial" w:cs="Arial"/>
        </w:rPr>
        <w:t xml:space="preserve">Maas, G. M. (1988). Financial accountability analysis. </w:t>
      </w:r>
      <w:r w:rsidRPr="00214AFC">
        <w:rPr>
          <w:rFonts w:ascii="Arial" w:hAnsi="Arial" w:cs="Arial"/>
          <w:i/>
          <w:iCs/>
        </w:rPr>
        <w:t>Recreational Sports Journal, 12</w:t>
      </w:r>
      <w:r w:rsidRPr="00214AFC">
        <w:rPr>
          <w:rFonts w:ascii="Arial" w:hAnsi="Arial" w:cs="Arial"/>
        </w:rPr>
        <w:t xml:space="preserve">(3), 14–15. </w:t>
      </w:r>
      <w:hyperlink r:id="rId10" w:history="1">
        <w:r w:rsidRPr="00932F96">
          <w:rPr>
            <w:rStyle w:val="Hyperlink"/>
            <w:rFonts w:ascii="Arial" w:hAnsi="Arial" w:cs="Arial"/>
          </w:rPr>
          <w:t>http://dx.doi.org/10.1123/nirsa.12.3.14</w:t>
        </w:r>
      </w:hyperlink>
    </w:p>
    <w:p w14:paraId="48FC91F2" w14:textId="1B4E7517" w:rsidR="00214AFC" w:rsidRPr="00214AFC" w:rsidRDefault="00214AFC" w:rsidP="00214AFC">
      <w:pPr>
        <w:spacing w:line="480" w:lineRule="auto"/>
        <w:rPr>
          <w:rFonts w:ascii="Arial" w:hAnsi="Arial" w:cs="Arial"/>
        </w:rPr>
      </w:pPr>
      <w:proofErr w:type="spellStart"/>
      <w:r w:rsidRPr="00214AFC">
        <w:rPr>
          <w:rFonts w:ascii="Arial" w:hAnsi="Arial" w:cs="Arial"/>
        </w:rPr>
        <w:t>Mbona</w:t>
      </w:r>
      <w:proofErr w:type="spellEnd"/>
      <w:r w:rsidRPr="00214AFC">
        <w:rPr>
          <w:rFonts w:ascii="Arial" w:hAnsi="Arial" w:cs="Arial"/>
        </w:rPr>
        <w:t xml:space="preserve">, R. M., &amp; Kong, Y. (2019). Financial statement analysis. </w:t>
      </w:r>
      <w:r w:rsidRPr="00214AFC">
        <w:rPr>
          <w:rFonts w:ascii="Arial" w:hAnsi="Arial" w:cs="Arial"/>
          <w:i/>
          <w:iCs/>
        </w:rPr>
        <w:t>Asian Journal of Accounting Research, 4</w:t>
      </w:r>
      <w:r w:rsidRPr="00214AFC">
        <w:rPr>
          <w:rFonts w:ascii="Arial" w:hAnsi="Arial" w:cs="Arial"/>
        </w:rPr>
        <w:t>(2), 233–245. http://dx.doi.org/10.1108/ajar-05-2019-0037</w:t>
      </w:r>
    </w:p>
    <w:p w14:paraId="39626E87" w14:textId="77777777" w:rsidR="00214AFC" w:rsidRPr="00214AFC" w:rsidRDefault="00214AFC" w:rsidP="00214AFC">
      <w:pPr>
        <w:spacing w:line="480" w:lineRule="auto"/>
        <w:rPr>
          <w:rFonts w:ascii="Arial" w:hAnsi="Arial" w:cs="Arial"/>
        </w:rPr>
      </w:pPr>
      <w:r w:rsidRPr="00214AFC">
        <w:rPr>
          <w:rFonts w:ascii="Arial" w:hAnsi="Arial" w:cs="Arial"/>
        </w:rPr>
        <w:t xml:space="preserve">Ohlson, J. A. (1995). Earnings, book values and dividends in equity valuation. </w:t>
      </w:r>
      <w:r w:rsidRPr="00214AFC">
        <w:rPr>
          <w:rFonts w:ascii="Arial" w:hAnsi="Arial" w:cs="Arial"/>
          <w:i/>
          <w:iCs/>
        </w:rPr>
        <w:t>Contemporary Accounting Research, 11</w:t>
      </w:r>
      <w:r w:rsidRPr="00214AFC">
        <w:rPr>
          <w:rFonts w:ascii="Arial" w:hAnsi="Arial" w:cs="Arial"/>
        </w:rPr>
        <w:t>(2), 661–688.</w:t>
      </w:r>
    </w:p>
    <w:p w14:paraId="1E56995C" w14:textId="14B49A3B" w:rsidR="00214AFC" w:rsidRDefault="00214AFC" w:rsidP="00214AFC">
      <w:pPr>
        <w:spacing w:line="480" w:lineRule="auto"/>
        <w:rPr>
          <w:rFonts w:ascii="Arial" w:hAnsi="Arial" w:cs="Arial"/>
        </w:rPr>
      </w:pPr>
      <w:r w:rsidRPr="00214AFC">
        <w:rPr>
          <w:rFonts w:ascii="Arial" w:hAnsi="Arial" w:cs="Arial"/>
        </w:rPr>
        <w:t xml:space="preserve">Rathod, M. B. (2012). Financial performance analysis. </w:t>
      </w:r>
      <w:r w:rsidRPr="00214AFC">
        <w:rPr>
          <w:rFonts w:ascii="Arial" w:hAnsi="Arial" w:cs="Arial"/>
          <w:i/>
          <w:iCs/>
        </w:rPr>
        <w:t xml:space="preserve">Global Journal </w:t>
      </w:r>
      <w:r w:rsidRPr="00214AFC">
        <w:rPr>
          <w:rFonts w:ascii="Arial" w:hAnsi="Arial" w:cs="Arial"/>
          <w:i/>
          <w:iCs/>
        </w:rPr>
        <w:t>for</w:t>
      </w:r>
      <w:r w:rsidRPr="00214AFC">
        <w:rPr>
          <w:rFonts w:ascii="Arial" w:hAnsi="Arial" w:cs="Arial"/>
          <w:i/>
          <w:iCs/>
        </w:rPr>
        <w:t xml:space="preserve"> Research Analysis, 3(</w:t>
      </w:r>
      <w:r w:rsidRPr="00214AFC">
        <w:rPr>
          <w:rFonts w:ascii="Arial" w:hAnsi="Arial" w:cs="Arial"/>
        </w:rPr>
        <w:t xml:space="preserve">5), 9–10. </w:t>
      </w:r>
      <w:hyperlink r:id="rId11" w:history="1">
        <w:r w:rsidRPr="00932F96">
          <w:rPr>
            <w:rStyle w:val="Hyperlink"/>
            <w:rFonts w:ascii="Arial" w:hAnsi="Arial" w:cs="Arial"/>
          </w:rPr>
          <w:t>http://dx.doi.org/10.15373/22778160/may2014/4</w:t>
        </w:r>
      </w:hyperlink>
    </w:p>
    <w:p w14:paraId="29BB535A" w14:textId="77777777" w:rsidR="00214AFC" w:rsidRDefault="00214AFC" w:rsidP="00214AFC">
      <w:pPr>
        <w:spacing w:line="480" w:lineRule="auto"/>
        <w:rPr>
          <w:rFonts w:ascii="Arial" w:hAnsi="Arial" w:cs="Arial"/>
        </w:rPr>
      </w:pPr>
      <w:r w:rsidRPr="00214AFC">
        <w:rPr>
          <w:rFonts w:ascii="Arial" w:hAnsi="Arial" w:cs="Arial"/>
        </w:rPr>
        <w:t xml:space="preserve">Sussman, S. (2019). Prime predator: Amazon and the rationale of below average variable cost pricing strategies among negative-cash flow firms. </w:t>
      </w:r>
      <w:r w:rsidRPr="00214AFC">
        <w:rPr>
          <w:rFonts w:ascii="Arial" w:hAnsi="Arial" w:cs="Arial"/>
          <w:i/>
          <w:iCs/>
        </w:rPr>
        <w:t>Journal of Antitrust Enforcement, 7</w:t>
      </w:r>
      <w:r w:rsidRPr="00214AFC">
        <w:rPr>
          <w:rFonts w:ascii="Arial" w:hAnsi="Arial" w:cs="Arial"/>
        </w:rPr>
        <w:t>(2), 203–219.</w:t>
      </w:r>
    </w:p>
    <w:p w14:paraId="03DA5D02" w14:textId="228D81DA" w:rsidR="00214AFC" w:rsidRPr="00214AFC" w:rsidRDefault="00214AFC" w:rsidP="00214AFC">
      <w:pPr>
        <w:spacing w:line="480" w:lineRule="auto"/>
        <w:rPr>
          <w:rFonts w:ascii="Arial" w:hAnsi="Arial" w:cs="Arial"/>
        </w:rPr>
      </w:pPr>
      <w:r w:rsidRPr="00214AFC">
        <w:rPr>
          <w:rFonts w:ascii="Arial" w:hAnsi="Arial" w:cs="Arial"/>
        </w:rPr>
        <w:t>Wood, F. (2015</w:t>
      </w:r>
      <w:r w:rsidRPr="00214AFC">
        <w:rPr>
          <w:rFonts w:ascii="Arial" w:hAnsi="Arial" w:cs="Arial"/>
          <w:i/>
          <w:iCs/>
        </w:rPr>
        <w:t>). Frank Wood’s business accounting 1</w:t>
      </w:r>
      <w:r w:rsidRPr="00214AFC">
        <w:rPr>
          <w:rFonts w:ascii="Arial" w:hAnsi="Arial" w:cs="Arial"/>
        </w:rPr>
        <w:t xml:space="preserve"> (13th ed.). FT Pitman Publications.</w:t>
      </w:r>
    </w:p>
    <w:p w14:paraId="5D348852" w14:textId="7D28DEB7" w:rsidR="00E7182E" w:rsidRPr="00E7182E" w:rsidRDefault="00214AFC" w:rsidP="00214AFC">
      <w:pPr>
        <w:spacing w:line="480" w:lineRule="auto"/>
        <w:rPr>
          <w:rFonts w:ascii="Arial" w:hAnsi="Arial" w:cs="Arial"/>
        </w:rPr>
      </w:pPr>
      <w:r w:rsidRPr="00214AFC">
        <w:rPr>
          <w:rFonts w:ascii="Arial" w:hAnsi="Arial" w:cs="Arial"/>
        </w:rPr>
        <w:t xml:space="preserve">Xiang, J., &amp; Wang, B. (2021). AMAZON FINANCIAL MODEL. </w:t>
      </w:r>
      <w:r w:rsidRPr="00214AFC">
        <w:rPr>
          <w:rFonts w:ascii="Arial" w:hAnsi="Arial" w:cs="Arial"/>
          <w:i/>
          <w:iCs/>
        </w:rPr>
        <w:t xml:space="preserve">European Journal of Economics and Management Sciences, </w:t>
      </w:r>
      <w:r w:rsidRPr="00214AFC">
        <w:rPr>
          <w:rFonts w:ascii="Arial" w:hAnsi="Arial" w:cs="Arial"/>
        </w:rPr>
        <w:t>(2), 16–28.</w:t>
      </w:r>
      <w:r w:rsidR="00E7182E" w:rsidRPr="00E7182E">
        <w:rPr>
          <w:rFonts w:ascii="Arial" w:hAnsi="Arial" w:cs="Arial"/>
        </w:rPr>
        <w:t xml:space="preserve">   </w:t>
      </w:r>
    </w:p>
    <w:sectPr w:rsidR="00E7182E" w:rsidRPr="00E7182E" w:rsidSect="00163217">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F3EF8" w14:textId="77777777" w:rsidR="005431DA" w:rsidRDefault="005431DA" w:rsidP="00163217">
      <w:pPr>
        <w:spacing w:after="0" w:line="240" w:lineRule="auto"/>
      </w:pPr>
      <w:r>
        <w:separator/>
      </w:r>
    </w:p>
  </w:endnote>
  <w:endnote w:type="continuationSeparator" w:id="0">
    <w:p w14:paraId="4868A295" w14:textId="77777777" w:rsidR="005431DA" w:rsidRDefault="005431DA" w:rsidP="00163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DC412" w14:textId="77777777" w:rsidR="005431DA" w:rsidRDefault="005431DA" w:rsidP="00163217">
      <w:pPr>
        <w:spacing w:after="0" w:line="240" w:lineRule="auto"/>
      </w:pPr>
      <w:r>
        <w:separator/>
      </w:r>
    </w:p>
  </w:footnote>
  <w:footnote w:type="continuationSeparator" w:id="0">
    <w:p w14:paraId="08D9F37C" w14:textId="77777777" w:rsidR="005431DA" w:rsidRDefault="005431DA" w:rsidP="00163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621330"/>
      <w:docPartObj>
        <w:docPartGallery w:val="Page Numbers (Top of Page)"/>
        <w:docPartUnique/>
      </w:docPartObj>
    </w:sdtPr>
    <w:sdtEndPr>
      <w:rPr>
        <w:noProof/>
      </w:rPr>
    </w:sdtEndPr>
    <w:sdtContent>
      <w:p w14:paraId="5C09BA88" w14:textId="1CD9FBD2" w:rsidR="00163217" w:rsidRDefault="0016321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51D87A5" w14:textId="77777777" w:rsidR="00163217" w:rsidRDefault="00163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40913"/>
    <w:multiLevelType w:val="hybridMultilevel"/>
    <w:tmpl w:val="34F64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6A11E7"/>
    <w:multiLevelType w:val="hybridMultilevel"/>
    <w:tmpl w:val="EDD47B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9F309E"/>
    <w:multiLevelType w:val="hybridMultilevel"/>
    <w:tmpl w:val="95F8E2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6247504">
    <w:abstractNumId w:val="0"/>
  </w:num>
  <w:num w:numId="2" w16cid:durableId="380634197">
    <w:abstractNumId w:val="2"/>
  </w:num>
  <w:num w:numId="3" w16cid:durableId="1770464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82E"/>
    <w:rsid w:val="00163217"/>
    <w:rsid w:val="001D3BDF"/>
    <w:rsid w:val="00214AFC"/>
    <w:rsid w:val="005431DA"/>
    <w:rsid w:val="00734EC2"/>
    <w:rsid w:val="00782A9B"/>
    <w:rsid w:val="008E3C4C"/>
    <w:rsid w:val="009D0A43"/>
    <w:rsid w:val="00E71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A16D4"/>
  <w15:chartTrackingRefBased/>
  <w15:docId w15:val="{1327C10B-410D-4756-A141-33160235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1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82E"/>
    <w:rPr>
      <w:rFonts w:eastAsiaTheme="majorEastAsia" w:cstheme="majorBidi"/>
      <w:color w:val="272727" w:themeColor="text1" w:themeTint="D8"/>
    </w:rPr>
  </w:style>
  <w:style w:type="paragraph" w:styleId="Title">
    <w:name w:val="Title"/>
    <w:basedOn w:val="Normal"/>
    <w:next w:val="Normal"/>
    <w:link w:val="TitleChar"/>
    <w:uiPriority w:val="10"/>
    <w:qFormat/>
    <w:rsid w:val="00E71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82E"/>
    <w:pPr>
      <w:spacing w:before="160"/>
      <w:jc w:val="center"/>
    </w:pPr>
    <w:rPr>
      <w:i/>
      <w:iCs/>
      <w:color w:val="404040" w:themeColor="text1" w:themeTint="BF"/>
    </w:rPr>
  </w:style>
  <w:style w:type="character" w:customStyle="1" w:styleId="QuoteChar">
    <w:name w:val="Quote Char"/>
    <w:basedOn w:val="DefaultParagraphFont"/>
    <w:link w:val="Quote"/>
    <w:uiPriority w:val="29"/>
    <w:rsid w:val="00E7182E"/>
    <w:rPr>
      <w:i/>
      <w:iCs/>
      <w:color w:val="404040" w:themeColor="text1" w:themeTint="BF"/>
    </w:rPr>
  </w:style>
  <w:style w:type="paragraph" w:styleId="ListParagraph">
    <w:name w:val="List Paragraph"/>
    <w:basedOn w:val="Normal"/>
    <w:uiPriority w:val="34"/>
    <w:qFormat/>
    <w:rsid w:val="00E7182E"/>
    <w:pPr>
      <w:ind w:left="720"/>
      <w:contextualSpacing/>
    </w:pPr>
  </w:style>
  <w:style w:type="character" w:styleId="IntenseEmphasis">
    <w:name w:val="Intense Emphasis"/>
    <w:basedOn w:val="DefaultParagraphFont"/>
    <w:uiPriority w:val="21"/>
    <w:qFormat/>
    <w:rsid w:val="00E7182E"/>
    <w:rPr>
      <w:i/>
      <w:iCs/>
      <w:color w:val="0F4761" w:themeColor="accent1" w:themeShade="BF"/>
    </w:rPr>
  </w:style>
  <w:style w:type="paragraph" w:styleId="IntenseQuote">
    <w:name w:val="Intense Quote"/>
    <w:basedOn w:val="Normal"/>
    <w:next w:val="Normal"/>
    <w:link w:val="IntenseQuoteChar"/>
    <w:uiPriority w:val="30"/>
    <w:qFormat/>
    <w:rsid w:val="00E71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82E"/>
    <w:rPr>
      <w:i/>
      <w:iCs/>
      <w:color w:val="0F4761" w:themeColor="accent1" w:themeShade="BF"/>
    </w:rPr>
  </w:style>
  <w:style w:type="character" w:styleId="IntenseReference">
    <w:name w:val="Intense Reference"/>
    <w:basedOn w:val="DefaultParagraphFont"/>
    <w:uiPriority w:val="32"/>
    <w:qFormat/>
    <w:rsid w:val="00E7182E"/>
    <w:rPr>
      <w:b/>
      <w:bCs/>
      <w:smallCaps/>
      <w:color w:val="0F4761" w:themeColor="accent1" w:themeShade="BF"/>
      <w:spacing w:val="5"/>
    </w:rPr>
  </w:style>
  <w:style w:type="paragraph" w:styleId="Header">
    <w:name w:val="header"/>
    <w:basedOn w:val="Normal"/>
    <w:link w:val="HeaderChar"/>
    <w:uiPriority w:val="99"/>
    <w:unhideWhenUsed/>
    <w:rsid w:val="001632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217"/>
  </w:style>
  <w:style w:type="paragraph" w:styleId="Footer">
    <w:name w:val="footer"/>
    <w:basedOn w:val="Normal"/>
    <w:link w:val="FooterChar"/>
    <w:uiPriority w:val="99"/>
    <w:unhideWhenUsed/>
    <w:rsid w:val="00163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217"/>
  </w:style>
  <w:style w:type="paragraph" w:styleId="NoSpacing">
    <w:name w:val="No Spacing"/>
    <w:link w:val="NoSpacingChar"/>
    <w:uiPriority w:val="1"/>
    <w:qFormat/>
    <w:rsid w:val="0016321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63217"/>
    <w:rPr>
      <w:rFonts w:eastAsiaTheme="minorEastAsia"/>
      <w:kern w:val="0"/>
      <w:sz w:val="22"/>
      <w:szCs w:val="22"/>
      <w:lang w:val="en-US"/>
      <w14:ligatures w14:val="none"/>
    </w:rPr>
  </w:style>
  <w:style w:type="character" w:styleId="Hyperlink">
    <w:name w:val="Hyperlink"/>
    <w:basedOn w:val="DefaultParagraphFont"/>
    <w:uiPriority w:val="99"/>
    <w:unhideWhenUsed/>
    <w:rsid w:val="00214AFC"/>
    <w:rPr>
      <w:color w:val="467886" w:themeColor="hyperlink"/>
      <w:u w:val="single"/>
    </w:rPr>
  </w:style>
  <w:style w:type="character" w:styleId="UnresolvedMention">
    <w:name w:val="Unresolved Mention"/>
    <w:basedOn w:val="DefaultParagraphFont"/>
    <w:uiPriority w:val="99"/>
    <w:semiHidden/>
    <w:unhideWhenUsed/>
    <w:rsid w:val="00214A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18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300/j109v01n04_0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29322/ijsrp.11.04.2021.p11226"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5373/22778160/may2014/4" TargetMode="External"/><Relationship Id="rId5" Type="http://schemas.openxmlformats.org/officeDocument/2006/relationships/footnotes" Target="footnotes.xml"/><Relationship Id="rId10" Type="http://schemas.openxmlformats.org/officeDocument/2006/relationships/hyperlink" Target="http://dx.doi.org/10.1123/nirsa.12.3.14" TargetMode="External"/><Relationship Id="rId4" Type="http://schemas.openxmlformats.org/officeDocument/2006/relationships/webSettings" Target="webSettings.xml"/><Relationship Id="rId9" Type="http://schemas.openxmlformats.org/officeDocument/2006/relationships/hyperlink" Target="http://dx.doi.org/10.1108/jes-10-2017-030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2255</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 For Amazon</dc:title>
  <dc:subject/>
  <dc:creator>Mirabela Voican (1907947)</dc:creator>
  <cp:keywords/>
  <dc:description/>
  <cp:lastModifiedBy>Mirabela Voican (1907947)</cp:lastModifiedBy>
  <cp:revision>2</cp:revision>
  <dcterms:created xsi:type="dcterms:W3CDTF">2025-04-08T17:02:00Z</dcterms:created>
  <dcterms:modified xsi:type="dcterms:W3CDTF">2025-04-08T17:02:00Z</dcterms:modified>
</cp:coreProperties>
</file>