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DF620" w14:textId="77777777" w:rsidR="0073321B" w:rsidRDefault="00000000">
      <w:pPr>
        <w:pStyle w:val="Heading1"/>
      </w:pPr>
      <w:r>
        <w:br w:type="page"/>
      </w:r>
    </w:p>
    <w:p w14:paraId="0C60B149" w14:textId="1F03439D" w:rsidR="0073321B" w:rsidRDefault="0073321B">
      <w:pPr>
        <w:widowControl w:val="0"/>
        <w:tabs>
          <w:tab w:val="right" w:leader="dot" w:pos="9360"/>
        </w:tabs>
        <w:spacing w:before="60" w:line="240" w:lineRule="auto"/>
        <w:rPr>
          <w:b/>
          <w:color w:val="000000"/>
        </w:rPr>
      </w:pPr>
      <w:bookmarkStart w:id="0" w:name="_a2iyc15jctce" w:colFirst="0" w:colLast="0"/>
      <w:bookmarkEnd w:id="0"/>
    </w:p>
    <w:p w14:paraId="1DB02287" w14:textId="77777777" w:rsidR="0073321B" w:rsidRDefault="00000000">
      <w:pPr>
        <w:pStyle w:val="Heading1"/>
      </w:pPr>
      <w:bookmarkStart w:id="1" w:name="_qani7deui7t" w:colFirst="0" w:colLast="0"/>
      <w:bookmarkStart w:id="2" w:name="_v2i4p66w9dlp" w:colFirst="0" w:colLast="0"/>
      <w:bookmarkEnd w:id="1"/>
      <w:bookmarkEnd w:id="2"/>
      <w:r>
        <w:t>Introduction</w:t>
      </w:r>
    </w:p>
    <w:p w14:paraId="09295ACE" w14:textId="77777777" w:rsidR="0073321B" w:rsidRDefault="0073321B">
      <w:pPr>
        <w:jc w:val="both"/>
        <w:rPr>
          <w:rFonts w:ascii="Times New Roman" w:eastAsia="Times New Roman" w:hAnsi="Times New Roman" w:cs="Times New Roman"/>
          <w:sz w:val="24"/>
          <w:szCs w:val="24"/>
        </w:rPr>
      </w:pPr>
    </w:p>
    <w:p w14:paraId="128D4870"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keystone of the British legal system, precedent, or stare decisis, directs judicial decision-making by requiring courts to adhere to well-established legal concepts outlined in earlier rulings. According to this theory, comparable cases will be judged uniformly, which advances justice and legal certainty (Slapper and Kelly, 2019).</w:t>
      </w:r>
    </w:p>
    <w:p w14:paraId="51209B9F" w14:textId="77777777" w:rsidR="0073321B" w:rsidRDefault="0073321B">
      <w:pPr>
        <w:jc w:val="both"/>
        <w:rPr>
          <w:rFonts w:ascii="Times New Roman" w:eastAsia="Times New Roman" w:hAnsi="Times New Roman" w:cs="Times New Roman"/>
          <w:sz w:val="24"/>
          <w:szCs w:val="24"/>
        </w:rPr>
      </w:pPr>
    </w:p>
    <w:p w14:paraId="6AFEFFAC"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Decisions of upper courts bind subordinate courts in the hierarchical system of UK courts. As the highest appellate court, for example, the Supreme Court establishes legally binding standards that all other courts—including the Court of Appeal, High Court, and lesser courts—must adhere to (Elliott and Quinn, 2020). Precedent works on the ratio decidendi principle, which is the binding legal reasoning necessary to a judgement; obiter dicta, or passing remarks, have persuasive power but are not binding (Loveland, 202).</w:t>
      </w:r>
    </w:p>
    <w:p w14:paraId="53A34C50" w14:textId="77777777" w:rsidR="0073321B" w:rsidRDefault="0073321B">
      <w:pPr>
        <w:jc w:val="both"/>
        <w:rPr>
          <w:rFonts w:ascii="Times New Roman" w:eastAsia="Times New Roman" w:hAnsi="Times New Roman" w:cs="Times New Roman"/>
          <w:sz w:val="24"/>
          <w:szCs w:val="24"/>
        </w:rPr>
      </w:pPr>
    </w:p>
    <w:p w14:paraId="3AB38961"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Benefits from the precedent system include efficiency, uniformity, and the slow evolution of the law via court rulings. It does, however, also bring difficulties such inflexibility, complexity, and possible conservatism, which call for a careful balancing act between following accepted norms and being flexible enough to adjust to changing conditions (Barnett, 201). The UK legal system is thereby significantly shaped and stabilised by precedent.</w:t>
      </w:r>
    </w:p>
    <w:p w14:paraId="14AA32CC" w14:textId="77777777" w:rsidR="0073321B" w:rsidRDefault="00000000">
      <w:pPr>
        <w:pStyle w:val="Heading1"/>
      </w:pPr>
      <w:bookmarkStart w:id="3" w:name="_pxtegprqpwg8" w:colFirst="0" w:colLast="0"/>
      <w:bookmarkEnd w:id="3"/>
      <w:r>
        <w:t>The Structure of the UK Justice System</w:t>
      </w:r>
    </w:p>
    <w:p w14:paraId="606B6671" w14:textId="77777777" w:rsidR="0073321B" w:rsidRDefault="0073321B">
      <w:pPr>
        <w:jc w:val="both"/>
        <w:rPr>
          <w:rFonts w:ascii="Times New Roman" w:eastAsia="Times New Roman" w:hAnsi="Times New Roman" w:cs="Times New Roman"/>
          <w:sz w:val="24"/>
          <w:szCs w:val="24"/>
        </w:rPr>
      </w:pPr>
    </w:p>
    <w:p w14:paraId="1345EEF2"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hierarchy of the UK legal system consists of many courts with different duties and powers. County and magistrate courts are among the lowest echelons. County Courts hear civil cases involving small claims and family problems, while Magistrates' Courts handle minor criminal proceedings, including summary offences and preliminary hearings for more severe crimes (Slapper and Kelly, 2019).</w:t>
      </w:r>
    </w:p>
    <w:p w14:paraId="7CEC70FC" w14:textId="77777777" w:rsidR="0073321B" w:rsidRDefault="0073321B">
      <w:pPr>
        <w:jc w:val="both"/>
        <w:rPr>
          <w:rFonts w:ascii="Times New Roman" w:eastAsia="Times New Roman" w:hAnsi="Times New Roman" w:cs="Times New Roman"/>
          <w:sz w:val="24"/>
          <w:szCs w:val="24"/>
        </w:rPr>
      </w:pPr>
    </w:p>
    <w:p w14:paraId="15B760CC"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 Court and Crown Courts sit above these courts. Serious criminal cases—including indictable crimes—as well as appeals from Magistrates' Courts are heard by Crown Courts. With three divisions—Queen's Bench, Chancery, and Family—the High Court hears important civil matters, judicial reviews, and some criminal appeals (Elliott and Quinn, 2020).</w:t>
      </w:r>
    </w:p>
    <w:p w14:paraId="37091F4B" w14:textId="77777777" w:rsidR="0073321B" w:rsidRDefault="0073321B">
      <w:pPr>
        <w:jc w:val="both"/>
        <w:rPr>
          <w:rFonts w:ascii="Times New Roman" w:eastAsia="Times New Roman" w:hAnsi="Times New Roman" w:cs="Times New Roman"/>
          <w:sz w:val="24"/>
          <w:szCs w:val="24"/>
        </w:rPr>
      </w:pPr>
    </w:p>
    <w:p w14:paraId="74024806"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 the ladder comes the Court of Appeal. Appeal cases from the High Court and County Courts are heard by the Civil Division, which also handles cases from the Crown Courts. In the implementation of the law, this court guarantees consistency and uniformity (Barnett, 2021).</w:t>
      </w:r>
    </w:p>
    <w:p w14:paraId="16920ED6" w14:textId="77777777" w:rsidR="0073321B" w:rsidRDefault="0073321B">
      <w:pPr>
        <w:jc w:val="both"/>
        <w:rPr>
          <w:rFonts w:ascii="Times New Roman" w:eastAsia="Times New Roman" w:hAnsi="Times New Roman" w:cs="Times New Roman"/>
          <w:sz w:val="24"/>
          <w:szCs w:val="24"/>
        </w:rPr>
      </w:pPr>
    </w:p>
    <w:p w14:paraId="7C4FD692"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highest appellate court in the United Kingdom is the Supreme Court. It considers Court of Appeal and, sometimes, High Court appeals on debatable legal issues of the greatest public or constitutional significance. All subordinate courts are bound by rulings of the Supreme Court (Slapper and Kelly, 2019).</w:t>
      </w:r>
    </w:p>
    <w:p w14:paraId="1DE78D09" w14:textId="77777777" w:rsidR="0073321B" w:rsidRDefault="0073321B">
      <w:pPr>
        <w:jc w:val="both"/>
        <w:rPr>
          <w:rFonts w:ascii="Times New Roman" w:eastAsia="Times New Roman" w:hAnsi="Times New Roman" w:cs="Times New Roman"/>
          <w:sz w:val="24"/>
          <w:szCs w:val="24"/>
        </w:rPr>
      </w:pPr>
    </w:p>
    <w:p w14:paraId="571A5E9F"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for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Commonwealth nations, the UK's overseas territories, and Crown dependencies, the Judicial Committee of the Privy Council acts as the highest court of appeal (Loveland, 202).</w:t>
      </w:r>
    </w:p>
    <w:p w14:paraId="29ACD720" w14:textId="77777777" w:rsidR="0073321B" w:rsidRDefault="00000000">
      <w:pPr>
        <w:pStyle w:val="Heading1"/>
      </w:pPr>
      <w:bookmarkStart w:id="4" w:name="_rv86fso2p5za" w:colFirst="0" w:colLast="0"/>
      <w:bookmarkEnd w:id="4"/>
      <w:r>
        <w:t>Precedent in the UK Legal System</w:t>
      </w:r>
    </w:p>
    <w:p w14:paraId="66C5A689" w14:textId="77777777" w:rsidR="0073321B" w:rsidRDefault="0073321B">
      <w:pPr>
        <w:jc w:val="both"/>
        <w:rPr>
          <w:rFonts w:ascii="Times New Roman" w:eastAsia="Times New Roman" w:hAnsi="Times New Roman" w:cs="Times New Roman"/>
          <w:sz w:val="24"/>
          <w:szCs w:val="24"/>
        </w:rPr>
      </w:pPr>
    </w:p>
    <w:p w14:paraId="4792D3A6"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mainstays of the UK legal system is precedent, or stare decisis, which states that when deciding new cases with comparable circumstances, courts use earlier established legal principles. Application of the law is guaranteed by this theory to be consistent and predictable (Slapper and Kelly, 2019).</w:t>
      </w:r>
    </w:p>
    <w:p w14:paraId="66CE6723" w14:textId="77777777" w:rsidR="0073321B" w:rsidRDefault="0073321B">
      <w:pPr>
        <w:jc w:val="both"/>
        <w:rPr>
          <w:rFonts w:ascii="Times New Roman" w:eastAsia="Times New Roman" w:hAnsi="Times New Roman" w:cs="Times New Roman"/>
          <w:sz w:val="24"/>
          <w:szCs w:val="24"/>
        </w:rPr>
      </w:pPr>
    </w:p>
    <w:p w14:paraId="17578FC5"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Precedent may be of two basic kinds: persuasive and binding. Decisions of higher courts that lower courts are required to adopt are known as binding precedents. For instance, all lower courts—the Court of Appeal and the High Court included—bind judgements made by the Supreme Court (Barnett, 2021). Though they are not required, persuasive precedents may affect a court's ruling. These may come from courts of equal status, from lesser courts, or even from courts in foreign jurisdictions (Elliott and Quinn, 2020).</w:t>
      </w:r>
    </w:p>
    <w:p w14:paraId="15333B2E" w14:textId="77777777" w:rsidR="0073321B" w:rsidRDefault="0073321B">
      <w:pPr>
        <w:jc w:val="both"/>
        <w:rPr>
          <w:rFonts w:ascii="Times New Roman" w:eastAsia="Times New Roman" w:hAnsi="Times New Roman" w:cs="Times New Roman"/>
          <w:sz w:val="24"/>
          <w:szCs w:val="24"/>
        </w:rPr>
      </w:pPr>
    </w:p>
    <w:p w14:paraId="6972198B"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Precedent functions by use of the binding legal rationale behind a court judgement, known as ratio decidendi. By contrast, obiter dicta—remarks made by judges that are not necessary to the decision—can be convincing but are not binding (Loveland, 2022).</w:t>
      </w:r>
    </w:p>
    <w:p w14:paraId="594ACE6C" w14:textId="77777777" w:rsidR="0073321B" w:rsidRDefault="0073321B">
      <w:pPr>
        <w:jc w:val="both"/>
        <w:rPr>
          <w:rFonts w:ascii="Times New Roman" w:eastAsia="Times New Roman" w:hAnsi="Times New Roman" w:cs="Times New Roman"/>
          <w:sz w:val="24"/>
          <w:szCs w:val="24"/>
        </w:rPr>
      </w:pPr>
    </w:p>
    <w:p w14:paraId="25DDF8C7"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precedent system permits the law to gradually evolve via judicial interpretation and adaptation to new circumstances, but it also ensures that comparable cases are handled equally, therefore promoting legal stability and justice (Jones, 2020).</w:t>
      </w:r>
    </w:p>
    <w:p w14:paraId="4F9DA137" w14:textId="77777777" w:rsidR="0073321B" w:rsidRDefault="00000000">
      <w:pPr>
        <w:pStyle w:val="Heading1"/>
      </w:pPr>
      <w:bookmarkStart w:id="5" w:name="_5xg7davfm9z" w:colFirst="0" w:colLast="0"/>
      <w:bookmarkEnd w:id="5"/>
      <w:r>
        <w:t>Key Case Law</w:t>
      </w:r>
    </w:p>
    <w:p w14:paraId="6D3E9A49" w14:textId="77777777" w:rsidR="0073321B" w:rsidRDefault="0073321B">
      <w:pPr>
        <w:jc w:val="both"/>
        <w:rPr>
          <w:rFonts w:ascii="Times New Roman" w:eastAsia="Times New Roman" w:hAnsi="Times New Roman" w:cs="Times New Roman"/>
          <w:sz w:val="24"/>
          <w:szCs w:val="24"/>
        </w:rPr>
      </w:pPr>
    </w:p>
    <w:p w14:paraId="15B1E486"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landmark cases illustrate the application and evolution of precedent in the UK legal system, highlighting how judicial decisions shape and refine legal principles over time.</w:t>
      </w:r>
    </w:p>
    <w:p w14:paraId="6498A1D9" w14:textId="77777777" w:rsidR="0073321B" w:rsidRDefault="0073321B">
      <w:pPr>
        <w:jc w:val="both"/>
        <w:rPr>
          <w:rFonts w:ascii="Times New Roman" w:eastAsia="Times New Roman" w:hAnsi="Times New Roman" w:cs="Times New Roman"/>
          <w:sz w:val="24"/>
          <w:szCs w:val="24"/>
        </w:rPr>
      </w:pPr>
    </w:p>
    <w:p w14:paraId="4E85F260"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Donoghue v Stevenson [1932] AC 562: This decision created the contemporary negligence law and popularised the "neighbour principle," according to which people have a duty of care to those who may reasonably be impacted by their acts. This House of Lords ruling established a legally binding precedent that greatly increased the extent of tort law liability (Jones, 2020).</w:t>
      </w:r>
    </w:p>
    <w:p w14:paraId="03B01FF9" w14:textId="77777777" w:rsidR="0073321B" w:rsidRDefault="0073321B">
      <w:pPr>
        <w:jc w:val="both"/>
        <w:rPr>
          <w:rFonts w:ascii="Times New Roman" w:eastAsia="Times New Roman" w:hAnsi="Times New Roman" w:cs="Times New Roman"/>
          <w:sz w:val="24"/>
          <w:szCs w:val="24"/>
        </w:rPr>
      </w:pPr>
    </w:p>
    <w:p w14:paraId="16C757CB"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R [1991] 4 All ER 481: The House of Lords in this instance reversed a long-standing rule that spared men from prosecution for raping their wives. In keeping with evolving society norms and legal interpretations, the court acknowledged that marital rape was illegal. The criminal law and individual rights protection underwent a tremendous transformation with this ruling (Loveland, 2022).</w:t>
      </w:r>
    </w:p>
    <w:p w14:paraId="787FD365" w14:textId="77777777" w:rsidR="0073321B" w:rsidRDefault="0073321B">
      <w:pPr>
        <w:jc w:val="both"/>
        <w:rPr>
          <w:rFonts w:ascii="Times New Roman" w:eastAsia="Times New Roman" w:hAnsi="Times New Roman" w:cs="Times New Roman"/>
          <w:sz w:val="24"/>
          <w:szCs w:val="24"/>
        </w:rPr>
      </w:pPr>
    </w:p>
    <w:p w14:paraId="5ADDC2ED"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Pepper (Inspector of Taxes) v Hart [1993] AC 593: A Hansard, which contains the verbatim report of the debates in Parliament, was considered admissible by the House of Lords for the purpose of the interpretation of statutes where an ambiguity arose. While doing so, it altered the prior rule established by precedent, highlighting one of the strengths of the system: its ability to change with the practicalities required in the judicial proceeding. (Slapper and Kelly, 2019).</w:t>
      </w:r>
    </w:p>
    <w:p w14:paraId="088BD40B" w14:textId="77777777" w:rsidR="0073321B" w:rsidRDefault="0073321B">
      <w:pPr>
        <w:jc w:val="both"/>
        <w:rPr>
          <w:rFonts w:ascii="Times New Roman" w:eastAsia="Times New Roman" w:hAnsi="Times New Roman" w:cs="Times New Roman"/>
          <w:sz w:val="24"/>
          <w:szCs w:val="24"/>
        </w:rPr>
      </w:pPr>
    </w:p>
    <w:p w14:paraId="77526A95"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cases demonstrate how the concept of the legal precedent works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systematic rationality but within the same respect for progression of the law to address social and practical concerns. All these decisions involve a proper balance between the need to follow the set rules and requirements and the issues of adaptation to new situations.</w:t>
      </w:r>
    </w:p>
    <w:p w14:paraId="2FCFC600" w14:textId="77777777" w:rsidR="0073321B" w:rsidRDefault="00000000">
      <w:pPr>
        <w:pStyle w:val="Heading1"/>
      </w:pPr>
      <w:bookmarkStart w:id="6" w:name="_bp6e25frzklt" w:colFirst="0" w:colLast="0"/>
      <w:bookmarkEnd w:id="6"/>
      <w:r>
        <w:t>Advantages and Disadvantages of Precedent</w:t>
      </w:r>
    </w:p>
    <w:p w14:paraId="50EBA8D1" w14:textId="77777777" w:rsidR="0073321B" w:rsidRDefault="0073321B">
      <w:pPr>
        <w:jc w:val="both"/>
        <w:rPr>
          <w:rFonts w:ascii="Times New Roman" w:eastAsia="Times New Roman" w:hAnsi="Times New Roman" w:cs="Times New Roman"/>
          <w:sz w:val="24"/>
          <w:szCs w:val="24"/>
        </w:rPr>
      </w:pPr>
    </w:p>
    <w:p w14:paraId="7BB84A51"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doctrine of precedent, or stare decisis, offers several advantages that contribute to the effective functioning of the UK legal system.</w:t>
      </w:r>
    </w:p>
    <w:p w14:paraId="6807F0F2" w14:textId="77777777" w:rsidR="0073321B" w:rsidRDefault="00000000">
      <w:pPr>
        <w:pStyle w:val="Heading2"/>
        <w:rPr>
          <w:sz w:val="24"/>
          <w:szCs w:val="24"/>
        </w:rPr>
      </w:pPr>
      <w:bookmarkStart w:id="7" w:name="_r9pxoscwv0q9" w:colFirst="0" w:colLast="0"/>
      <w:bookmarkEnd w:id="7"/>
      <w:r>
        <w:t>Advantages</w:t>
      </w:r>
    </w:p>
    <w:p w14:paraId="13B366EF"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Consistency and Predictability: Legal environment is stable and does not change much since the policy ‘setting a legal precedent assures that similar circumstances will be dealt with in the same manner.’ It takes such consistency for people and companies to assure themselves as they set out the manner of arranging their activities (Elliott and Quinn, 2020).</w:t>
      </w:r>
    </w:p>
    <w:p w14:paraId="64808B54" w14:textId="77777777" w:rsidR="0073321B" w:rsidRDefault="0073321B">
      <w:pPr>
        <w:jc w:val="both"/>
        <w:rPr>
          <w:rFonts w:ascii="Times New Roman" w:eastAsia="Times New Roman" w:hAnsi="Times New Roman" w:cs="Times New Roman"/>
          <w:sz w:val="24"/>
          <w:szCs w:val="24"/>
        </w:rPr>
      </w:pPr>
    </w:p>
    <w:p w14:paraId="326E11AC"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Efficiency: The relied upon legal principles reflect well understood legal rules could therefore enable courts to fasten the overall time for arriving at their decisions. The fact that judges decide cases individually means they might not go through a long process of </w:t>
      </w:r>
      <w:proofErr w:type="spellStart"/>
      <w:r>
        <w:rPr>
          <w:rFonts w:ascii="Times New Roman" w:eastAsia="Times New Roman" w:hAnsi="Times New Roman" w:cs="Times New Roman"/>
          <w:sz w:val="24"/>
          <w:szCs w:val="24"/>
        </w:rPr>
        <w:t>reanalyzing</w:t>
      </w:r>
      <w:proofErr w:type="spellEnd"/>
      <w:r>
        <w:rPr>
          <w:rFonts w:ascii="Times New Roman" w:eastAsia="Times New Roman" w:hAnsi="Times New Roman" w:cs="Times New Roman"/>
          <w:sz w:val="24"/>
          <w:szCs w:val="24"/>
        </w:rPr>
        <w:t xml:space="preserve"> legal issues, especially if they can simply refer to previous decisions (Slapper and Kelly, 2019).</w:t>
      </w:r>
    </w:p>
    <w:p w14:paraId="43A8CC80" w14:textId="77777777" w:rsidR="0073321B" w:rsidRDefault="0073321B">
      <w:pPr>
        <w:jc w:val="both"/>
        <w:rPr>
          <w:rFonts w:ascii="Times New Roman" w:eastAsia="Times New Roman" w:hAnsi="Times New Roman" w:cs="Times New Roman"/>
          <w:sz w:val="24"/>
          <w:szCs w:val="24"/>
        </w:rPr>
      </w:pPr>
    </w:p>
    <w:p w14:paraId="3DBA1C3F"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Development of the Law: Precedent also ensures that the law develops sustainably since it is developed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court judgments. It allows the courts to bend the rules and come up with new rules that will apply in the different situations arising from change in society or circumstances that imply change in the existing rules (Loveland, 2022).</w:t>
      </w:r>
    </w:p>
    <w:p w14:paraId="27DA7D3F" w14:textId="77777777" w:rsidR="0073321B" w:rsidRDefault="0073321B">
      <w:pPr>
        <w:jc w:val="both"/>
        <w:rPr>
          <w:rFonts w:ascii="Times New Roman" w:eastAsia="Times New Roman" w:hAnsi="Times New Roman" w:cs="Times New Roman"/>
          <w:sz w:val="24"/>
          <w:szCs w:val="24"/>
        </w:rPr>
      </w:pPr>
    </w:p>
    <w:p w14:paraId="0403A3FF"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are also notable disadvantages associated with the doctrine of precedent.</w:t>
      </w:r>
    </w:p>
    <w:p w14:paraId="1AB71367" w14:textId="77777777" w:rsidR="0073321B" w:rsidRDefault="00000000">
      <w:pPr>
        <w:pStyle w:val="Heading2"/>
        <w:rPr>
          <w:sz w:val="24"/>
          <w:szCs w:val="24"/>
        </w:rPr>
      </w:pPr>
      <w:bookmarkStart w:id="8" w:name="_78e740f7zzps" w:colFirst="0" w:colLast="0"/>
      <w:bookmarkEnd w:id="8"/>
      <w:r>
        <w:t>Disadvantages</w:t>
      </w:r>
    </w:p>
    <w:p w14:paraId="7C701EDF"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Rigidity: Standardisation could mean that the result is objectionable and unfair where the existing standard is not a good </w:t>
      </w:r>
      <w:proofErr w:type="gramStart"/>
      <w:r>
        <w:rPr>
          <w:rFonts w:ascii="Times New Roman" w:eastAsia="Times New Roman" w:hAnsi="Times New Roman" w:cs="Times New Roman"/>
          <w:sz w:val="24"/>
          <w:szCs w:val="24"/>
        </w:rPr>
        <w:t>one, or</w:t>
      </w:r>
      <w:proofErr w:type="gramEnd"/>
      <w:r>
        <w:rPr>
          <w:rFonts w:ascii="Times New Roman" w:eastAsia="Times New Roman" w:hAnsi="Times New Roman" w:cs="Times New Roman"/>
          <w:sz w:val="24"/>
          <w:szCs w:val="24"/>
        </w:rPr>
        <w:t xml:space="preserve"> has become relict. This could potentially reduce the ability of the judiciary branch to adapt quickly to new circumstances (Barnett, 2021).</w:t>
      </w:r>
    </w:p>
    <w:p w14:paraId="745D43A6" w14:textId="77777777" w:rsidR="0073321B" w:rsidRDefault="0073321B">
      <w:pPr>
        <w:jc w:val="both"/>
        <w:rPr>
          <w:rFonts w:ascii="Times New Roman" w:eastAsia="Times New Roman" w:hAnsi="Times New Roman" w:cs="Times New Roman"/>
          <w:sz w:val="24"/>
          <w:szCs w:val="24"/>
        </w:rPr>
      </w:pPr>
    </w:p>
    <w:p w14:paraId="38F93436"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Complexity: When case law accumulates to what may be an imposing and possibly a confusing tree of cases, judges, attorneys and litigants are confounded by the challenge of placing correct interpretation and application of the law or possibly even an inconsistency in the cases (Jones, 2020).</w:t>
      </w:r>
    </w:p>
    <w:p w14:paraId="4B54CDAA" w14:textId="77777777" w:rsidR="0073321B" w:rsidRDefault="0073321B">
      <w:pPr>
        <w:jc w:val="both"/>
        <w:rPr>
          <w:rFonts w:ascii="Times New Roman" w:eastAsia="Times New Roman" w:hAnsi="Times New Roman" w:cs="Times New Roman"/>
          <w:sz w:val="24"/>
          <w:szCs w:val="24"/>
        </w:rPr>
      </w:pPr>
    </w:p>
    <w:p w14:paraId="0F62C8A1"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Conservatism: The acceptance of required changes might be rather </w:t>
      </w:r>
      <w:proofErr w:type="gramStart"/>
      <w:r>
        <w:rPr>
          <w:rFonts w:ascii="Times New Roman" w:eastAsia="Times New Roman" w:hAnsi="Times New Roman" w:cs="Times New Roman"/>
          <w:sz w:val="24"/>
          <w:szCs w:val="24"/>
        </w:rPr>
        <w:t>limited</w:t>
      </w:r>
      <w:proofErr w:type="gramEnd"/>
      <w:r>
        <w:rPr>
          <w:rFonts w:ascii="Times New Roman" w:eastAsia="Times New Roman" w:hAnsi="Times New Roman" w:cs="Times New Roman"/>
          <w:sz w:val="24"/>
          <w:szCs w:val="24"/>
        </w:rPr>
        <w:t xml:space="preserve"> and the development of new legal solutions might be hindered by work based on precedent. Thus, even if society value systems have greatly evolved, courts may be a little reluctant to deviate from the past precedents (Elliott and Quinn, 2020).</w:t>
      </w:r>
    </w:p>
    <w:p w14:paraId="5BB7821B" w14:textId="77777777" w:rsidR="0073321B" w:rsidRDefault="0073321B">
      <w:pPr>
        <w:jc w:val="both"/>
        <w:rPr>
          <w:rFonts w:ascii="Times New Roman" w:eastAsia="Times New Roman" w:hAnsi="Times New Roman" w:cs="Times New Roman"/>
          <w:sz w:val="24"/>
          <w:szCs w:val="24"/>
        </w:rPr>
      </w:pPr>
    </w:p>
    <w:p w14:paraId="2A0739CD"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Balancing these advantages and disadvantages is crucial for maintaining a just and effective legal system.</w:t>
      </w:r>
    </w:p>
    <w:p w14:paraId="724127D7" w14:textId="77777777" w:rsidR="0073321B" w:rsidRDefault="00000000">
      <w:pPr>
        <w:pStyle w:val="Heading1"/>
        <w:rPr>
          <w:sz w:val="24"/>
          <w:szCs w:val="24"/>
        </w:rPr>
      </w:pPr>
      <w:bookmarkStart w:id="9" w:name="_59xu1er1wpi8" w:colFirst="0" w:colLast="0"/>
      <w:bookmarkEnd w:id="9"/>
      <w:r>
        <w:t>Reform Suggestions</w:t>
      </w:r>
    </w:p>
    <w:p w14:paraId="48A2500D"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reforms could address the limitations of the precedent system:</w:t>
      </w:r>
    </w:p>
    <w:p w14:paraId="15E5E0C3" w14:textId="77777777" w:rsidR="0073321B" w:rsidRDefault="0073321B">
      <w:pPr>
        <w:jc w:val="both"/>
        <w:rPr>
          <w:rFonts w:ascii="Times New Roman" w:eastAsia="Times New Roman" w:hAnsi="Times New Roman" w:cs="Times New Roman"/>
          <w:sz w:val="24"/>
          <w:szCs w:val="24"/>
        </w:rPr>
      </w:pPr>
    </w:p>
    <w:p w14:paraId="2EEC4ABE"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Greater Flexibility: Individual case results could be improved by giving lower courts greater latitude to depart from higher court precedents when they are obviously out of date or unfair.</w:t>
      </w:r>
    </w:p>
    <w:p w14:paraId="39FC33D0" w14:textId="77777777" w:rsidR="0073321B" w:rsidRDefault="0073321B">
      <w:pPr>
        <w:jc w:val="both"/>
        <w:rPr>
          <w:rFonts w:ascii="Times New Roman" w:eastAsia="Times New Roman" w:hAnsi="Times New Roman" w:cs="Times New Roman"/>
          <w:sz w:val="24"/>
          <w:szCs w:val="24"/>
        </w:rPr>
      </w:pPr>
    </w:p>
    <w:p w14:paraId="1B5C95C5"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Simplification and Codification: Streamlining the body of case law and codifying essential concepts into legislation might boost clarity and accessibility.</w:t>
      </w:r>
    </w:p>
    <w:p w14:paraId="49EA6CEC" w14:textId="77777777" w:rsidR="0073321B" w:rsidRDefault="0073321B">
      <w:pPr>
        <w:jc w:val="both"/>
        <w:rPr>
          <w:rFonts w:ascii="Times New Roman" w:eastAsia="Times New Roman" w:hAnsi="Times New Roman" w:cs="Times New Roman"/>
          <w:sz w:val="24"/>
          <w:szCs w:val="24"/>
        </w:rPr>
      </w:pPr>
    </w:p>
    <w:p w14:paraId="41618914"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Enhanced Use of Technology: Finding relevant precedents might be made simpler by more effectively managing and analysing case law with the use of digital databases and AI.</w:t>
      </w:r>
    </w:p>
    <w:p w14:paraId="55D49AF5" w14:textId="77777777" w:rsidR="0073321B" w:rsidRDefault="00000000">
      <w:pPr>
        <w:pStyle w:val="Heading1"/>
      </w:pPr>
      <w:bookmarkStart w:id="10" w:name="_7a07b05i4il0" w:colFirst="0" w:colLast="0"/>
      <w:bookmarkEnd w:id="10"/>
      <w:r>
        <w:lastRenderedPageBreak/>
        <w:t>Conclusion</w:t>
      </w:r>
    </w:p>
    <w:p w14:paraId="584988E9"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the concept of precedent is strongly ingrained in the legal system of the United Kingdom and offers a multitude of advantages, it is not devoid of any disadvantages. When considering the role that precedent plays in establishing legal uniformity and stability, the arguments that advocate for </w:t>
      </w:r>
      <w:proofErr w:type="gramStart"/>
      <w:r>
        <w:rPr>
          <w:rFonts w:ascii="Times New Roman" w:eastAsia="Times New Roman" w:hAnsi="Times New Roman" w:cs="Times New Roman"/>
          <w:sz w:val="24"/>
          <w:szCs w:val="24"/>
        </w:rPr>
        <w:t>completely eliminating</w:t>
      </w:r>
      <w:proofErr w:type="gramEnd"/>
      <w:r>
        <w:rPr>
          <w:rFonts w:ascii="Times New Roman" w:eastAsia="Times New Roman" w:hAnsi="Times New Roman" w:cs="Times New Roman"/>
          <w:sz w:val="24"/>
          <w:szCs w:val="24"/>
        </w:rPr>
        <w:t xml:space="preserve"> precedent are not persuasive. On the other hand, there is a compelling argument in favour of restructuring the system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bring about more flexibility, decrease complexity, and better adapt to the requirements of the modern day. There is no question that precedent is an essential part of the legal system; </w:t>
      </w:r>
      <w:proofErr w:type="gramStart"/>
      <w:r>
        <w:rPr>
          <w:rFonts w:ascii="Times New Roman" w:eastAsia="Times New Roman" w:hAnsi="Times New Roman" w:cs="Times New Roman"/>
          <w:sz w:val="24"/>
          <w:szCs w:val="24"/>
        </w:rPr>
        <w:t>yet,</w:t>
      </w:r>
      <w:proofErr w:type="gramEnd"/>
      <w:r>
        <w:rPr>
          <w:rFonts w:ascii="Times New Roman" w:eastAsia="Times New Roman" w:hAnsi="Times New Roman" w:cs="Times New Roman"/>
          <w:sz w:val="24"/>
          <w:szCs w:val="24"/>
        </w:rPr>
        <w:t xml:space="preserve"> its application has to develop in order to meet the limits it possesses and to better serve justice in the contemporary setting.</w:t>
      </w:r>
    </w:p>
    <w:p w14:paraId="18163FAB" w14:textId="77777777" w:rsidR="0073321B" w:rsidRDefault="0073321B">
      <w:pPr>
        <w:jc w:val="both"/>
        <w:rPr>
          <w:rFonts w:ascii="Times New Roman" w:eastAsia="Times New Roman" w:hAnsi="Times New Roman" w:cs="Times New Roman"/>
          <w:sz w:val="24"/>
          <w:szCs w:val="24"/>
        </w:rPr>
      </w:pPr>
    </w:p>
    <w:p w14:paraId="2895419D" w14:textId="77777777" w:rsidR="0073321B" w:rsidRDefault="00000000">
      <w:pPr>
        <w:pStyle w:val="Heading1"/>
      </w:pPr>
      <w:bookmarkStart w:id="11" w:name="_mv4c5fch86n8" w:colFirst="0" w:colLast="0"/>
      <w:bookmarkEnd w:id="11"/>
      <w:r>
        <w:br w:type="page"/>
      </w:r>
    </w:p>
    <w:p w14:paraId="0102EA3F" w14:textId="77777777" w:rsidR="0073321B" w:rsidRDefault="00000000">
      <w:pPr>
        <w:pStyle w:val="Heading1"/>
        <w:rPr>
          <w:sz w:val="24"/>
          <w:szCs w:val="24"/>
        </w:rPr>
      </w:pPr>
      <w:bookmarkStart w:id="12" w:name="_iemdkqi4dcb7" w:colFirst="0" w:colLast="0"/>
      <w:bookmarkEnd w:id="12"/>
      <w:r>
        <w:lastRenderedPageBreak/>
        <w:t>References</w:t>
      </w:r>
    </w:p>
    <w:p w14:paraId="67E12DEE"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Barnett, H. (2021). Constitutional and Administrative Law. 13th ed. Routledge.</w:t>
      </w:r>
    </w:p>
    <w:p w14:paraId="44ABE265"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Donoghue v Stevenson [1932] AC 562</w:t>
      </w:r>
    </w:p>
    <w:p w14:paraId="11192751"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Elliott, C. and Quinn, F. (2020). English Legal System. 20th ed. Pearson.</w:t>
      </w:r>
    </w:p>
    <w:p w14:paraId="0D06141D"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Jones, M. (2020). Textbook on Torts. 12th ed. Oxford University Press.</w:t>
      </w:r>
    </w:p>
    <w:p w14:paraId="3D3E4D2A"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Loveland, I. (2022). Constitutional Law, Administrative Law, and Human Rights: A Critical Introduction. 9th ed. Oxford University Press.</w:t>
      </w:r>
    </w:p>
    <w:p w14:paraId="1A2319AE"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Pepper (Inspector of Taxes) v Hart [1993] AC 593</w:t>
      </w:r>
    </w:p>
    <w:p w14:paraId="4F9CDE62"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 v R [1991] 4 All ER 481</w:t>
      </w:r>
    </w:p>
    <w:p w14:paraId="500C3BF4" w14:textId="77777777" w:rsidR="0073321B"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Slapper, G., &amp; Kelly, D. (2019). The English Legal System. 20th ed. Routledge.</w:t>
      </w:r>
    </w:p>
    <w:p w14:paraId="0064DE21" w14:textId="77777777" w:rsidR="0073321B" w:rsidRDefault="0073321B">
      <w:pPr>
        <w:jc w:val="both"/>
        <w:rPr>
          <w:rFonts w:ascii="Times New Roman" w:eastAsia="Times New Roman" w:hAnsi="Times New Roman" w:cs="Times New Roman"/>
          <w:sz w:val="24"/>
          <w:szCs w:val="24"/>
        </w:rPr>
      </w:pPr>
    </w:p>
    <w:p w14:paraId="38AA4D57" w14:textId="77777777" w:rsidR="0073321B" w:rsidRDefault="0073321B">
      <w:pPr>
        <w:jc w:val="both"/>
        <w:rPr>
          <w:rFonts w:ascii="Times New Roman" w:eastAsia="Times New Roman" w:hAnsi="Times New Roman" w:cs="Times New Roman"/>
          <w:sz w:val="24"/>
          <w:szCs w:val="24"/>
        </w:rPr>
      </w:pPr>
    </w:p>
    <w:p w14:paraId="7865C2AB" w14:textId="77777777" w:rsidR="0073321B" w:rsidRDefault="0073321B">
      <w:pPr>
        <w:jc w:val="both"/>
        <w:rPr>
          <w:rFonts w:ascii="Times New Roman" w:eastAsia="Times New Roman" w:hAnsi="Times New Roman" w:cs="Times New Roman"/>
          <w:sz w:val="24"/>
          <w:szCs w:val="24"/>
        </w:rPr>
      </w:pPr>
    </w:p>
    <w:p w14:paraId="72EA0DF5" w14:textId="77777777" w:rsidR="0073321B" w:rsidRDefault="0073321B">
      <w:pPr>
        <w:jc w:val="both"/>
        <w:rPr>
          <w:rFonts w:ascii="Times New Roman" w:eastAsia="Times New Roman" w:hAnsi="Times New Roman" w:cs="Times New Roman"/>
          <w:sz w:val="24"/>
          <w:szCs w:val="24"/>
        </w:rPr>
      </w:pPr>
    </w:p>
    <w:sectPr w:rsidR="0073321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21B"/>
    <w:rsid w:val="002F07F3"/>
    <w:rsid w:val="00315AD5"/>
    <w:rsid w:val="0073321B"/>
    <w:rsid w:val="008E7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273A"/>
  <w15:docId w15:val="{5394C80F-FFD5-4A2F-A9ED-994BB8C9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New Roman" w:eastAsia="Times New Roman" w:hAnsi="Times New Roman" w:cs="Times New Roman"/>
      <w:sz w:val="40"/>
      <w:szCs w:val="40"/>
    </w:rPr>
  </w:style>
  <w:style w:type="paragraph" w:styleId="Heading2">
    <w:name w:val="heading 2"/>
    <w:basedOn w:val="Normal"/>
    <w:next w:val="Normal"/>
    <w:uiPriority w:val="9"/>
    <w:unhideWhenUsed/>
    <w:qFormat/>
    <w:pPr>
      <w:keepNext/>
      <w:keepLines/>
      <w:spacing w:before="360" w:after="120"/>
      <w:jc w:val="both"/>
      <w:outlineLvl w:val="1"/>
    </w:pPr>
    <w:rPr>
      <w:rFonts w:ascii="Times New Roman" w:eastAsia="Times New Roman" w:hAnsi="Times New Roman" w:cs="Times New Roman"/>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1558</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Natalie Skalkosova</cp:lastModifiedBy>
  <cp:revision>2</cp:revision>
  <dcterms:created xsi:type="dcterms:W3CDTF">2024-06-21T13:33:00Z</dcterms:created>
  <dcterms:modified xsi:type="dcterms:W3CDTF">2024-06-21T13:33:00Z</dcterms:modified>
</cp:coreProperties>
</file>