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1A3940" w14:textId="7AD1E768" w:rsidR="004F31C2" w:rsidRPr="00C63E9F" w:rsidRDefault="00AE75E8" w:rsidP="00AE75E8">
      <w:pPr>
        <w:tabs>
          <w:tab w:val="left" w:pos="2196"/>
        </w:tabs>
        <w:rPr>
          <w:rFonts w:ascii="Wintanceastre DEMO" w:hAnsi="Wintanceastre DEMO"/>
          <w:sz w:val="40"/>
          <w:szCs w:val="40"/>
        </w:rPr>
      </w:pPr>
      <w:r w:rsidRPr="00C63E9F">
        <w:rPr>
          <w:rFonts w:ascii="Wintanceastre DEMO" w:hAnsi="Wintanceastre DEMO"/>
          <w:sz w:val="40"/>
          <w:szCs w:val="40"/>
        </w:rPr>
        <w:t>Islam and Mortality</w:t>
      </w:r>
    </w:p>
    <w:p w14:paraId="2F6AD64B" w14:textId="3C35C7C7" w:rsidR="005520F3" w:rsidRPr="005520F3" w:rsidRDefault="000D757C">
      <w:pPr>
        <w:rPr>
          <w:rFonts w:ascii="Book Antiqua" w:hAnsi="Book Antiqua"/>
        </w:rPr>
      </w:pPr>
      <w:r>
        <w:rPr>
          <w:rFonts w:ascii="Book Antiqua" w:hAnsi="Book Antiqua"/>
        </w:rPr>
        <w:t xml:space="preserve">It is desirable for a Muslim to die at home, so that the body may be prepared properly. </w:t>
      </w:r>
      <w:r w:rsidR="0063329F">
        <w:rPr>
          <w:rFonts w:ascii="Book Antiqua" w:hAnsi="Book Antiqua"/>
        </w:rPr>
        <w:t xml:space="preserve">Before and just after death the Shahada and other prayers should be said to the dead/dying </w:t>
      </w:r>
      <w:r w:rsidR="00B9310E">
        <w:rPr>
          <w:rFonts w:ascii="Book Antiqua" w:hAnsi="Book Antiqua"/>
        </w:rPr>
        <w:t>i</w:t>
      </w:r>
      <w:r w:rsidR="00404328">
        <w:rPr>
          <w:rFonts w:ascii="Book Antiqua" w:hAnsi="Book Antiqua"/>
        </w:rPr>
        <w:t>n hopes that they will give the right answers</w:t>
      </w:r>
      <w:r w:rsidR="0063329F">
        <w:rPr>
          <w:rFonts w:ascii="Book Antiqua" w:hAnsi="Book Antiqua"/>
        </w:rPr>
        <w:t xml:space="preserve"> when tested by the </w:t>
      </w:r>
      <w:r w:rsidR="00404328">
        <w:rPr>
          <w:rFonts w:ascii="Book Antiqua" w:hAnsi="Book Antiqua"/>
        </w:rPr>
        <w:t xml:space="preserve">Munkar and Nakir angles that appear to you after death. </w:t>
      </w:r>
      <w:r>
        <w:rPr>
          <w:rFonts w:ascii="Book Antiqua" w:hAnsi="Book Antiqua"/>
        </w:rPr>
        <w:t>Once a Muslim has died, they try and point the head to face Mecca or to the right if this is not practical. The body is straightened and washed they try to keep the body flexible when possible. It is preferable to wash the body more than once and odd number of times</w:t>
      </w:r>
      <w:r w:rsidR="004F31C2">
        <w:rPr>
          <w:rFonts w:ascii="Book Antiqua" w:hAnsi="Book Antiqua"/>
        </w:rPr>
        <w:t xml:space="preserve"> (</w:t>
      </w:r>
      <w:r w:rsidR="0063329F">
        <w:rPr>
          <w:rFonts w:ascii="Book Antiqua" w:hAnsi="Book Antiqua"/>
        </w:rPr>
        <w:t>usually</w:t>
      </w:r>
      <w:r w:rsidR="004F31C2">
        <w:rPr>
          <w:rFonts w:ascii="Book Antiqua" w:hAnsi="Book Antiqua"/>
        </w:rPr>
        <w:t xml:space="preserve"> </w:t>
      </w:r>
      <w:r w:rsidR="0063329F">
        <w:rPr>
          <w:rFonts w:ascii="Book Antiqua" w:hAnsi="Book Antiqua"/>
        </w:rPr>
        <w:t xml:space="preserve">three). The body is usually washed by close relations of the same sex but can be done by members of the opposite sex if no Muslims of the same sex are available or the deceased had requested that someone </w:t>
      </w:r>
      <w:r w:rsidR="00A72B7E">
        <w:rPr>
          <w:rFonts w:ascii="Book Antiqua" w:hAnsi="Book Antiqua"/>
        </w:rPr>
        <w:t>wash</w:t>
      </w:r>
      <w:r w:rsidR="0063329F">
        <w:rPr>
          <w:rFonts w:ascii="Book Antiqua" w:hAnsi="Book Antiqua"/>
        </w:rPr>
        <w:t xml:space="preserve"> them.</w:t>
      </w:r>
      <w:r w:rsidR="00A72B7E">
        <w:rPr>
          <w:rFonts w:ascii="Book Antiqua" w:hAnsi="Book Antiqua"/>
        </w:rPr>
        <w:t xml:space="preserve"> </w:t>
      </w:r>
      <w:r w:rsidR="006D74E3">
        <w:rPr>
          <w:rFonts w:ascii="Book Antiqua" w:hAnsi="Book Antiqua"/>
        </w:rPr>
        <w:t xml:space="preserve">After washing the </w:t>
      </w:r>
      <w:r w:rsidR="00B9310E">
        <w:rPr>
          <w:rFonts w:ascii="Book Antiqua" w:hAnsi="Book Antiqua"/>
        </w:rPr>
        <w:t>body,</w:t>
      </w:r>
      <w:r w:rsidR="006D74E3">
        <w:rPr>
          <w:rFonts w:ascii="Book Antiqua" w:hAnsi="Book Antiqua"/>
        </w:rPr>
        <w:t xml:space="preserve"> the orifices are </w:t>
      </w:r>
      <w:r w:rsidR="00B9310E">
        <w:rPr>
          <w:rFonts w:ascii="Book Antiqua" w:hAnsi="Book Antiqua"/>
        </w:rPr>
        <w:t>sealed,</w:t>
      </w:r>
      <w:r w:rsidR="006D74E3">
        <w:rPr>
          <w:rFonts w:ascii="Book Antiqua" w:hAnsi="Book Antiqua"/>
        </w:rPr>
        <w:t xml:space="preserve"> and it is placed in a shroud</w:t>
      </w:r>
      <w:r w:rsidR="00B9310E">
        <w:rPr>
          <w:rFonts w:ascii="Book Antiqua" w:hAnsi="Book Antiqua"/>
        </w:rPr>
        <w:t xml:space="preserve">. </w:t>
      </w:r>
      <w:r w:rsidR="000750CA">
        <w:rPr>
          <w:rFonts w:ascii="Book Antiqua" w:hAnsi="Book Antiqua"/>
        </w:rPr>
        <w:t xml:space="preserve">They should be buried within twenty-four hours of death. The grave must be </w:t>
      </w:r>
      <w:r w:rsidR="008F5601">
        <w:rPr>
          <w:rFonts w:ascii="Book Antiqua" w:hAnsi="Book Antiqua"/>
        </w:rPr>
        <w:t>four foot deep for a male and five foot deep for a female. They are placed in a body sized cut out either dug into the side or the base of the grave. The grave should be angled so that when the head is turned to the right withing the grave it faces Mecca. The head should not be in contact with the ground, but the feet should.  There is then either a wall buil</w:t>
      </w:r>
      <w:r w:rsidR="009163FA">
        <w:rPr>
          <w:rFonts w:ascii="Book Antiqua" w:hAnsi="Book Antiqua"/>
        </w:rPr>
        <w:t>t</w:t>
      </w:r>
      <w:r w:rsidR="008F5601">
        <w:rPr>
          <w:rFonts w:ascii="Book Antiqua" w:hAnsi="Book Antiqua"/>
        </w:rPr>
        <w:t xml:space="preserve"> of unfired brick in the side graves or a barrier of </w:t>
      </w:r>
      <w:r w:rsidR="009163FA">
        <w:rPr>
          <w:rFonts w:ascii="Book Antiqua" w:hAnsi="Book Antiqua"/>
        </w:rPr>
        <w:t>reeds to protect the body from the dirt place on top.</w:t>
      </w:r>
      <w:r w:rsidR="00D411F4">
        <w:rPr>
          <w:rFonts w:ascii="Book Antiqua" w:hAnsi="Book Antiqua"/>
        </w:rPr>
        <w:t xml:space="preserve"> If a Muslim while on the Haji they are generally buried where they fall, if a Muslim is martyred, they are also buried where they fell but with no washing. Muslims should be buried in separate graves unless </w:t>
      </w:r>
      <w:r w:rsidR="009E74B3">
        <w:rPr>
          <w:rFonts w:ascii="Book Antiqua" w:hAnsi="Book Antiqua"/>
        </w:rPr>
        <w:t>they are a mother and child who died at the same time. Children are buried with prayers if they cried three times and without if not. Ideally there would be no grave marker but a blank headstone or a circle of stones around the body to discourage worship of the dead. Although practice has differed from theory with almost all Muslim Scholars being against in this and many Muslims choosing to inscribe the headstones and sometime</w:t>
      </w:r>
      <w:r w:rsidR="00E539D9">
        <w:rPr>
          <w:rFonts w:ascii="Book Antiqua" w:hAnsi="Book Antiqua"/>
        </w:rPr>
        <w:t>s the wealthy have raised substantial monuments the grandest most notable of these being the Taj Mahal.</w:t>
      </w:r>
      <w:r w:rsidR="00BC759E">
        <w:rPr>
          <w:rFonts w:ascii="Book Antiqua" w:hAnsi="Book Antiqua"/>
        </w:rPr>
        <w:t xml:space="preserve"> Women tend to be kept away from Muslim funerals as it is thought that their wailing can distract the dead from the questioning of the angles.</w:t>
      </w:r>
      <w:r w:rsidR="00BB7764">
        <w:rPr>
          <w:rFonts w:ascii="Book Antiqua" w:hAnsi="Book Antiqua"/>
        </w:rPr>
        <w:t xml:space="preserve"> It is generally desirable for graves to be separate from the areas of the living although many settlements have expanded around older graveyards and notable people such as the prophet Mohamad have been memorialised in mosques or places of importance with-in towns. In Ciro, Egypt a city for the dead was raised so that mourners could stay near their loved ones for a </w:t>
      </w:r>
      <w:r w:rsidR="005520F3">
        <w:rPr>
          <w:rFonts w:ascii="Book Antiqua" w:hAnsi="Book Antiqua"/>
        </w:rPr>
        <w:t>forty-day</w:t>
      </w:r>
      <w:r w:rsidR="00BB7764">
        <w:rPr>
          <w:rFonts w:ascii="Book Antiqua" w:hAnsi="Book Antiqua"/>
        </w:rPr>
        <w:t xml:space="preserve"> morning period. </w:t>
      </w:r>
      <w:r w:rsidR="005520F3">
        <w:rPr>
          <w:rFonts w:ascii="Book Antiqua" w:hAnsi="Book Antiqua"/>
        </w:rPr>
        <w:t>It has now been inhabited by the urban poor. As Islam has expanded its influence its burial practices have been localised with prior traditions wherever it spread</w:t>
      </w:r>
      <w:r w:rsidR="003C0B7C">
        <w:rPr>
          <w:rFonts w:ascii="Book Antiqua" w:hAnsi="Book Antiqua"/>
        </w:rPr>
        <w:t>.</w:t>
      </w:r>
    </w:p>
    <w:p w14:paraId="36A5848C" w14:textId="0A16372B" w:rsidR="00C63E9F" w:rsidRDefault="00C63E9F">
      <w:pPr>
        <w:rPr>
          <w:rFonts w:ascii="Wintanceastre DEMO" w:hAnsi="Wintanceastre DEMO"/>
          <w:sz w:val="40"/>
          <w:szCs w:val="40"/>
        </w:rPr>
      </w:pPr>
      <w:r>
        <w:rPr>
          <w:rFonts w:ascii="Wintanceastre DEMO" w:hAnsi="Wintanceastre DEMO"/>
          <w:sz w:val="40"/>
          <w:szCs w:val="40"/>
        </w:rPr>
        <w:t>Bibliography</w:t>
      </w:r>
    </w:p>
    <w:p w14:paraId="114F2499" w14:textId="1D0356EC" w:rsidR="00C63E9F" w:rsidRDefault="00C63E9F">
      <w:pPr>
        <w:rPr>
          <w:rFonts w:ascii="Book Antiqua" w:hAnsi="Book Antiqua"/>
        </w:rPr>
      </w:pPr>
      <w:r>
        <w:rPr>
          <w:rFonts w:ascii="Book Antiqua" w:hAnsi="Book Antiqua"/>
        </w:rPr>
        <w:t>Petersen. A The Archaeology of death and burial in the Islamic world</w:t>
      </w:r>
      <w:r w:rsidR="008646A0">
        <w:rPr>
          <w:rFonts w:ascii="Book Antiqua" w:hAnsi="Book Antiqua"/>
        </w:rPr>
        <w:t xml:space="preserve">, </w:t>
      </w:r>
      <w:r w:rsidR="008646A0">
        <w:rPr>
          <w:rFonts w:ascii="Book Antiqua" w:hAnsi="Book Antiqua"/>
          <w:i/>
          <w:iCs/>
        </w:rPr>
        <w:t>The Oxford Handbook of The Archaeology of Death and Burial</w:t>
      </w:r>
      <w:r w:rsidR="008646A0">
        <w:rPr>
          <w:rFonts w:ascii="Book Antiqua" w:hAnsi="Book Antiqua"/>
        </w:rPr>
        <w:t xml:space="preserve">, Oxford University Press, </w:t>
      </w:r>
      <w:r w:rsidR="000A496B">
        <w:rPr>
          <w:rFonts w:ascii="Book Antiqua" w:hAnsi="Book Antiqua"/>
        </w:rPr>
        <w:t>(</w:t>
      </w:r>
      <w:r w:rsidR="008646A0">
        <w:rPr>
          <w:rFonts w:ascii="Book Antiqua" w:hAnsi="Book Antiqua"/>
        </w:rPr>
        <w:t>2013</w:t>
      </w:r>
      <w:r w:rsidR="000A496B">
        <w:rPr>
          <w:rFonts w:ascii="Book Antiqua" w:hAnsi="Book Antiqua"/>
        </w:rPr>
        <w:t>)</w:t>
      </w:r>
      <w:r w:rsidR="008646A0">
        <w:rPr>
          <w:rFonts w:ascii="Book Antiqua" w:hAnsi="Book Antiqua"/>
        </w:rPr>
        <w:t>, 2019 Paperback Edition.</w:t>
      </w:r>
    </w:p>
    <w:p w14:paraId="04B422AE" w14:textId="0D98D41B" w:rsidR="00F560CF" w:rsidRDefault="00C31606">
      <w:pPr>
        <w:rPr>
          <w:rFonts w:ascii="Book Antiqua" w:hAnsi="Book Antiqua"/>
        </w:rPr>
      </w:pPr>
      <w:r w:rsidRPr="00C31606">
        <w:rPr>
          <w:rFonts w:ascii="Book Antiqua" w:hAnsi="Book Antiqua"/>
        </w:rPr>
        <w:t>Chaïma Ahaddour, Stef Van den Branden and Bert Broeckaert “God’s land is vast”. Attitudes and practices of Moroccan Muslims regarding burial and repatriation of the deceased</w:t>
      </w:r>
      <w:r>
        <w:rPr>
          <w:rFonts w:ascii="Book Antiqua" w:hAnsi="Book Antiqua"/>
        </w:rPr>
        <w:t xml:space="preserve">, </w:t>
      </w:r>
      <w:r>
        <w:rPr>
          <w:rFonts w:ascii="Book Antiqua" w:hAnsi="Book Antiqua"/>
          <w:i/>
          <w:iCs/>
        </w:rPr>
        <w:t>Mortality</w:t>
      </w:r>
      <w:r>
        <w:rPr>
          <w:rFonts w:ascii="Book Antiqua" w:hAnsi="Book Antiqua"/>
        </w:rPr>
        <w:t xml:space="preserve">, Routledge Taylor and Francis Group, </w:t>
      </w:r>
      <w:r w:rsidR="000A496B">
        <w:rPr>
          <w:rFonts w:ascii="Book Antiqua" w:hAnsi="Book Antiqua"/>
        </w:rPr>
        <w:t>(</w:t>
      </w:r>
      <w:r>
        <w:rPr>
          <w:rFonts w:ascii="Book Antiqua" w:hAnsi="Book Antiqua"/>
        </w:rPr>
        <w:t>1</w:t>
      </w:r>
      <w:r w:rsidRPr="00C31606">
        <w:rPr>
          <w:rFonts w:ascii="Book Antiqua" w:hAnsi="Book Antiqua"/>
          <w:vertAlign w:val="superscript"/>
        </w:rPr>
        <w:t>st</w:t>
      </w:r>
      <w:r>
        <w:rPr>
          <w:rFonts w:ascii="Book Antiqua" w:hAnsi="Book Antiqua"/>
        </w:rPr>
        <w:t xml:space="preserve"> of February 2019</w:t>
      </w:r>
      <w:r w:rsidR="000A496B">
        <w:rPr>
          <w:rFonts w:ascii="Book Antiqua" w:hAnsi="Book Antiqua"/>
        </w:rPr>
        <w:t>)</w:t>
      </w:r>
    </w:p>
    <w:p w14:paraId="1719C76B" w14:textId="22A73866" w:rsidR="000A29C1" w:rsidRPr="000A29C1" w:rsidRDefault="008D2C40" w:rsidP="000A29C1">
      <w:pPr>
        <w:shd w:val="clear" w:color="auto" w:fill="FFFFFF"/>
        <w:rPr>
          <w:rFonts w:ascii="Book Antiqua" w:hAnsi="Book Antiqua"/>
          <w:i/>
          <w:iCs/>
          <w:shd w:val="clear" w:color="auto" w:fill="FFFFFF"/>
        </w:rPr>
      </w:pPr>
      <w:r>
        <w:rPr>
          <w:rFonts w:ascii="Book Antiqua" w:hAnsi="Book Antiqua"/>
        </w:rPr>
        <w:t xml:space="preserve">Ashurov. B </w:t>
      </w:r>
      <w:r w:rsidR="000A29C1" w:rsidRPr="000A29C1">
        <w:rPr>
          <w:rFonts w:ascii="Book Antiqua" w:eastAsia="Times New Roman" w:hAnsi="Book Antiqua" w:cs="Times New Roman"/>
          <w:lang w:eastAsia="en-GB"/>
        </w:rPr>
        <w:t>Until We All Rise: Aspects  of Traditional Muslim Burial Practices and Ceremonies in Tajikistan</w:t>
      </w:r>
      <w:r w:rsidR="000A29C1">
        <w:rPr>
          <w:rFonts w:ascii="Book Antiqua" w:eastAsia="Times New Roman" w:hAnsi="Book Antiqua" w:cs="Times New Roman"/>
          <w:lang w:eastAsia="en-GB"/>
        </w:rPr>
        <w:t xml:space="preserve">, </w:t>
      </w:r>
      <w:r w:rsidR="000A29C1" w:rsidRPr="000A29C1">
        <w:rPr>
          <w:rFonts w:ascii="Book Antiqua" w:eastAsia="Times New Roman" w:hAnsi="Book Antiqua" w:cs="Times New Roman"/>
          <w:i/>
          <w:iCs/>
          <w:lang w:eastAsia="en-GB"/>
        </w:rPr>
        <w:t>I</w:t>
      </w:r>
      <w:r w:rsidR="000A29C1" w:rsidRPr="000A29C1">
        <w:rPr>
          <w:rFonts w:ascii="Book Antiqua" w:hAnsi="Book Antiqua"/>
          <w:i/>
          <w:iCs/>
          <w:shd w:val="clear" w:color="auto" w:fill="FFFFFF"/>
        </w:rPr>
        <w:t>ssues in Ethnology and Anthropology, n. s. Vol. 14 Is. 2</w:t>
      </w:r>
      <w:r w:rsidR="000A29C1">
        <w:rPr>
          <w:rFonts w:ascii="Book Antiqua" w:hAnsi="Book Antiqua"/>
          <w:i/>
          <w:iCs/>
          <w:shd w:val="clear" w:color="auto" w:fill="FFFFFF"/>
        </w:rPr>
        <w:t>,</w:t>
      </w:r>
      <w:r w:rsidR="000A29C1" w:rsidRPr="000A29C1">
        <w:rPr>
          <w:rFonts w:ascii="Book Antiqua" w:hAnsi="Book Antiqua"/>
          <w:shd w:val="clear" w:color="auto" w:fill="FFFFFF"/>
        </w:rPr>
        <w:t xml:space="preserve"> </w:t>
      </w:r>
      <w:r w:rsidR="000A496B">
        <w:rPr>
          <w:rFonts w:ascii="Book Antiqua" w:hAnsi="Book Antiqua"/>
          <w:shd w:val="clear" w:color="auto" w:fill="FFFFFF"/>
        </w:rPr>
        <w:t>(</w:t>
      </w:r>
      <w:r w:rsidR="000A29C1" w:rsidRPr="000A29C1">
        <w:rPr>
          <w:rFonts w:ascii="Book Antiqua" w:hAnsi="Book Antiqua"/>
          <w:shd w:val="clear" w:color="auto" w:fill="FFFFFF"/>
        </w:rPr>
        <w:t>2019</w:t>
      </w:r>
      <w:r w:rsidR="000A496B">
        <w:rPr>
          <w:rFonts w:ascii="Book Antiqua" w:hAnsi="Book Antiqua"/>
          <w:shd w:val="clear" w:color="auto" w:fill="FFFFFF"/>
        </w:rPr>
        <w:t>)</w:t>
      </w:r>
    </w:p>
    <w:p w14:paraId="431FD7BF" w14:textId="530408D8" w:rsidR="008D2C40" w:rsidRPr="00C31606" w:rsidRDefault="008D2C40">
      <w:pPr>
        <w:rPr>
          <w:rFonts w:ascii="Book Antiqua" w:hAnsi="Book Antiqua" w:cs="Calibri"/>
        </w:rPr>
      </w:pPr>
    </w:p>
    <w:sectPr w:rsidR="008D2C40" w:rsidRPr="00C3160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2ADB71" w14:textId="77777777" w:rsidR="009B19B0" w:rsidRDefault="009B19B0" w:rsidP="00C65E9A">
      <w:pPr>
        <w:spacing w:after="0" w:line="240" w:lineRule="auto"/>
      </w:pPr>
      <w:r>
        <w:separator/>
      </w:r>
    </w:p>
  </w:endnote>
  <w:endnote w:type="continuationSeparator" w:id="0">
    <w:p w14:paraId="712386C6" w14:textId="77777777" w:rsidR="009B19B0" w:rsidRDefault="009B19B0" w:rsidP="00C65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tanceastre DEMO">
    <w:charset w:val="00"/>
    <w:family w:val="modern"/>
    <w:notTrueType/>
    <w:pitch w:val="variable"/>
    <w:sig w:usb0="00000003" w:usb1="00000002" w:usb2="00000000" w:usb3="00000000" w:csb0="00000083"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FA487F" w14:textId="77777777" w:rsidR="009B19B0" w:rsidRDefault="009B19B0" w:rsidP="00C65E9A">
      <w:pPr>
        <w:spacing w:after="0" w:line="240" w:lineRule="auto"/>
      </w:pPr>
      <w:r>
        <w:separator/>
      </w:r>
    </w:p>
  </w:footnote>
  <w:footnote w:type="continuationSeparator" w:id="0">
    <w:p w14:paraId="7FD7B900" w14:textId="77777777" w:rsidR="009B19B0" w:rsidRDefault="009B19B0" w:rsidP="00C65E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04EB14" w14:textId="0D2D2535" w:rsidR="004F31C2" w:rsidRDefault="004F31C2">
    <w:pPr>
      <w:pStyle w:val="Header"/>
    </w:pPr>
    <w:r>
      <w:t>HPFY3007 Talking to the Dead</w:t>
    </w:r>
    <w:r>
      <w:tab/>
    </w:r>
    <w:r>
      <w:tab/>
      <w:t>Burial Practices Within Islam</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5E8"/>
    <w:rsid w:val="00051139"/>
    <w:rsid w:val="000750CA"/>
    <w:rsid w:val="000A29C1"/>
    <w:rsid w:val="000A496B"/>
    <w:rsid w:val="000D757C"/>
    <w:rsid w:val="0030067E"/>
    <w:rsid w:val="003C0B7C"/>
    <w:rsid w:val="00404328"/>
    <w:rsid w:val="004F31C2"/>
    <w:rsid w:val="005520F3"/>
    <w:rsid w:val="0063329F"/>
    <w:rsid w:val="00661309"/>
    <w:rsid w:val="00677D87"/>
    <w:rsid w:val="006D74E3"/>
    <w:rsid w:val="008646A0"/>
    <w:rsid w:val="008D2C40"/>
    <w:rsid w:val="008F5601"/>
    <w:rsid w:val="009163FA"/>
    <w:rsid w:val="00960719"/>
    <w:rsid w:val="009B19B0"/>
    <w:rsid w:val="009E74B3"/>
    <w:rsid w:val="00A72B7E"/>
    <w:rsid w:val="00AE75E8"/>
    <w:rsid w:val="00B9310E"/>
    <w:rsid w:val="00BB7764"/>
    <w:rsid w:val="00BC759E"/>
    <w:rsid w:val="00C31606"/>
    <w:rsid w:val="00C63E9F"/>
    <w:rsid w:val="00C65E9A"/>
    <w:rsid w:val="00D411F4"/>
    <w:rsid w:val="00E539D9"/>
    <w:rsid w:val="00F56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DD2DC"/>
  <w15:chartTrackingRefBased/>
  <w15:docId w15:val="{0262B6EE-DFA6-4D01-93A4-43BAD5CE6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5E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E9A"/>
  </w:style>
  <w:style w:type="paragraph" w:styleId="Footer">
    <w:name w:val="footer"/>
    <w:basedOn w:val="Normal"/>
    <w:link w:val="FooterChar"/>
    <w:uiPriority w:val="99"/>
    <w:unhideWhenUsed/>
    <w:rsid w:val="00C65E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E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6945268">
      <w:bodyDiv w:val="1"/>
      <w:marLeft w:val="0"/>
      <w:marRight w:val="0"/>
      <w:marTop w:val="0"/>
      <w:marBottom w:val="0"/>
      <w:divBdr>
        <w:top w:val="none" w:sz="0" w:space="0" w:color="auto"/>
        <w:left w:val="none" w:sz="0" w:space="0" w:color="auto"/>
        <w:bottom w:val="none" w:sz="0" w:space="0" w:color="auto"/>
        <w:right w:val="none" w:sz="0" w:space="0" w:color="auto"/>
      </w:divBdr>
      <w:divsChild>
        <w:div w:id="43481958">
          <w:marLeft w:val="0"/>
          <w:marRight w:val="0"/>
          <w:marTop w:val="0"/>
          <w:marBottom w:val="0"/>
          <w:divBdr>
            <w:top w:val="none" w:sz="0" w:space="0" w:color="auto"/>
            <w:left w:val="none" w:sz="0" w:space="0" w:color="auto"/>
            <w:bottom w:val="none" w:sz="0" w:space="0" w:color="auto"/>
            <w:right w:val="none" w:sz="0" w:space="0" w:color="auto"/>
          </w:divBdr>
        </w:div>
        <w:div w:id="626163170">
          <w:marLeft w:val="0"/>
          <w:marRight w:val="0"/>
          <w:marTop w:val="0"/>
          <w:marBottom w:val="0"/>
          <w:divBdr>
            <w:top w:val="none" w:sz="0" w:space="0" w:color="auto"/>
            <w:left w:val="none" w:sz="0" w:space="0" w:color="auto"/>
            <w:bottom w:val="none" w:sz="0" w:space="0" w:color="auto"/>
            <w:right w:val="none" w:sz="0" w:space="0" w:color="auto"/>
          </w:divBdr>
        </w:div>
        <w:div w:id="17819928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TotalTime>
  <Pages>2</Pages>
  <Words>521</Words>
  <Characters>2974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Alan Gordon-Polomski</dc:creator>
  <cp:keywords/>
  <dc:description/>
  <cp:lastModifiedBy>Michael Alan Gordon-Polomski</cp:lastModifiedBy>
  <cp:revision>13</cp:revision>
  <dcterms:created xsi:type="dcterms:W3CDTF">2020-12-20T16:48:00Z</dcterms:created>
  <dcterms:modified xsi:type="dcterms:W3CDTF">2020-12-20T21:47:00Z</dcterms:modified>
</cp:coreProperties>
</file>