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60770" w14:textId="77777777" w:rsidR="00EF1C05" w:rsidRDefault="00EF1C05" w:rsidP="00EF1C05">
      <w:pPr>
        <w:jc w:val="center"/>
        <w:rPr>
          <w:b/>
          <w:bCs/>
          <w:sz w:val="32"/>
          <w:szCs w:val="32"/>
        </w:rPr>
      </w:pPr>
      <w:bookmarkStart w:id="0" w:name="_ymqcquyn5u3b" w:colFirst="0" w:colLast="0"/>
      <w:bookmarkEnd w:id="0"/>
      <w:r>
        <w:rPr>
          <w:b/>
          <w:bCs/>
          <w:noProof/>
          <w:sz w:val="28"/>
          <w:szCs w:val="28"/>
          <w:lang w:val="en-US" w:eastAsia="en-US" w:bidi="gu-IN"/>
        </w:rPr>
        <w:drawing>
          <wp:inline distT="0" distB="0" distL="0" distR="0" wp14:anchorId="7AE63ED2" wp14:editId="6E050A2D">
            <wp:extent cx="195262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2625" cy="685800"/>
                    </a:xfrm>
                    <a:prstGeom prst="rect">
                      <a:avLst/>
                    </a:prstGeom>
                    <a:noFill/>
                    <a:ln>
                      <a:noFill/>
                    </a:ln>
                  </pic:spPr>
                </pic:pic>
              </a:graphicData>
            </a:graphic>
          </wp:inline>
        </w:drawing>
      </w:r>
    </w:p>
    <w:p w14:paraId="1E1DE84E" w14:textId="77777777" w:rsidR="00EF1C05" w:rsidRDefault="00EF1C05" w:rsidP="001230B5">
      <w:pPr>
        <w:rPr>
          <w:b/>
          <w:bCs/>
          <w:sz w:val="32"/>
          <w:szCs w:val="32"/>
        </w:rPr>
      </w:pPr>
    </w:p>
    <w:p w14:paraId="7C65B10E" w14:textId="77777777" w:rsidR="00EF1C05" w:rsidRDefault="00EF1C05" w:rsidP="00EF1C05">
      <w:pPr>
        <w:jc w:val="center"/>
        <w:rPr>
          <w:b/>
          <w:bCs/>
          <w:sz w:val="32"/>
          <w:szCs w:val="32"/>
        </w:rPr>
      </w:pPr>
      <w:proofErr w:type="spellStart"/>
      <w:r>
        <w:rPr>
          <w:b/>
          <w:bCs/>
          <w:sz w:val="32"/>
          <w:szCs w:val="32"/>
        </w:rPr>
        <w:t>Programme</w:t>
      </w:r>
      <w:proofErr w:type="spellEnd"/>
      <w:r>
        <w:rPr>
          <w:b/>
          <w:bCs/>
          <w:sz w:val="32"/>
          <w:szCs w:val="32"/>
        </w:rPr>
        <w:t>: Master of Business Administration</w:t>
      </w:r>
    </w:p>
    <w:p w14:paraId="6446532E" w14:textId="77777777" w:rsidR="00EF1C05" w:rsidRDefault="00EF1C05" w:rsidP="00EF1C05">
      <w:pPr>
        <w:jc w:val="center"/>
        <w:rPr>
          <w:b/>
          <w:bCs/>
          <w:sz w:val="32"/>
          <w:szCs w:val="32"/>
        </w:rPr>
      </w:pPr>
      <w:r>
        <w:rPr>
          <w:b/>
          <w:bCs/>
          <w:sz w:val="32"/>
          <w:szCs w:val="32"/>
        </w:rPr>
        <w:t>Module: Financial Management</w:t>
      </w:r>
    </w:p>
    <w:p w14:paraId="78F1F788" w14:textId="77777777" w:rsidR="00EF1C05" w:rsidRDefault="00EF1C05" w:rsidP="00EF1C05">
      <w:pPr>
        <w:jc w:val="center"/>
        <w:rPr>
          <w:b/>
          <w:bCs/>
          <w:sz w:val="32"/>
          <w:szCs w:val="32"/>
        </w:rPr>
      </w:pPr>
      <w:r>
        <w:rPr>
          <w:b/>
          <w:bCs/>
          <w:sz w:val="32"/>
          <w:szCs w:val="32"/>
        </w:rPr>
        <w:t>Module code: LCMB7002</w:t>
      </w:r>
    </w:p>
    <w:p w14:paraId="75B204DA" w14:textId="499241B9" w:rsidR="00EF1C05" w:rsidRDefault="00EF1C05" w:rsidP="00EF1C05">
      <w:pPr>
        <w:jc w:val="center"/>
        <w:rPr>
          <w:b/>
          <w:bCs/>
          <w:sz w:val="32"/>
          <w:szCs w:val="32"/>
        </w:rPr>
      </w:pPr>
      <w:r>
        <w:rPr>
          <w:b/>
          <w:bCs/>
          <w:sz w:val="32"/>
          <w:szCs w:val="32"/>
        </w:rPr>
        <w:t xml:space="preserve">Lecturer: </w:t>
      </w:r>
      <w:r w:rsidR="007E3A63">
        <w:rPr>
          <w:b/>
          <w:bCs/>
          <w:sz w:val="32"/>
          <w:szCs w:val="32"/>
        </w:rPr>
        <w:t xml:space="preserve">Dr </w:t>
      </w:r>
      <w:proofErr w:type="spellStart"/>
      <w:r>
        <w:rPr>
          <w:b/>
          <w:bCs/>
          <w:sz w:val="32"/>
          <w:szCs w:val="32"/>
        </w:rPr>
        <w:t>Shengfeng</w:t>
      </w:r>
      <w:proofErr w:type="spellEnd"/>
      <w:r>
        <w:rPr>
          <w:b/>
          <w:bCs/>
          <w:sz w:val="32"/>
          <w:szCs w:val="32"/>
        </w:rPr>
        <w:t xml:space="preserve"> Mei </w:t>
      </w:r>
    </w:p>
    <w:p w14:paraId="4971277D" w14:textId="77777777" w:rsidR="00EF1C05" w:rsidRDefault="00EF1C05" w:rsidP="00EF1C05">
      <w:pPr>
        <w:jc w:val="center"/>
        <w:rPr>
          <w:b/>
          <w:bCs/>
          <w:sz w:val="28"/>
          <w:szCs w:val="28"/>
        </w:rPr>
      </w:pPr>
    </w:p>
    <w:p w14:paraId="1504CFD6" w14:textId="77777777" w:rsidR="00EF1C05" w:rsidRDefault="00EF1C05" w:rsidP="00EF1C05">
      <w:pPr>
        <w:spacing w:before="480" w:after="120"/>
        <w:jc w:val="center"/>
        <w:rPr>
          <w:b/>
          <w:bCs/>
          <w:sz w:val="32"/>
          <w:szCs w:val="32"/>
        </w:rPr>
      </w:pPr>
      <w:r w:rsidRPr="007E3A63">
        <w:rPr>
          <w:b/>
          <w:bCs/>
          <w:sz w:val="32"/>
          <w:szCs w:val="32"/>
        </w:rPr>
        <w:t>Assignment Title</w:t>
      </w:r>
      <w:r>
        <w:rPr>
          <w:sz w:val="32"/>
          <w:szCs w:val="32"/>
        </w:rPr>
        <w:t xml:space="preserve">: </w:t>
      </w:r>
      <w:r>
        <w:rPr>
          <w:b/>
          <w:bCs/>
          <w:sz w:val="32"/>
          <w:szCs w:val="32"/>
        </w:rPr>
        <w:t>STRATEGIC CFO CHALLENGE: FINANCIAL ANALYSIS AND STRATEGIC PLAN OF HILTON WORLDWIDE HOLDINGS INC.</w:t>
      </w:r>
    </w:p>
    <w:p w14:paraId="2174C862" w14:textId="77777777" w:rsidR="00EF1C05" w:rsidRDefault="00EF1C05" w:rsidP="00BB7319">
      <w:pPr>
        <w:rPr>
          <w:sz w:val="32"/>
          <w:szCs w:val="32"/>
        </w:rPr>
      </w:pPr>
    </w:p>
    <w:p w14:paraId="1838271A" w14:textId="77777777" w:rsidR="00EF1C05" w:rsidRPr="007E3A63" w:rsidRDefault="00EF1C05" w:rsidP="00EF1C05">
      <w:pPr>
        <w:jc w:val="center"/>
        <w:rPr>
          <w:b/>
          <w:bCs/>
          <w:sz w:val="32"/>
          <w:szCs w:val="32"/>
        </w:rPr>
      </w:pPr>
      <w:r w:rsidRPr="007E3A63">
        <w:rPr>
          <w:b/>
          <w:bCs/>
          <w:sz w:val="32"/>
          <w:szCs w:val="32"/>
        </w:rPr>
        <w:t>Student Name: Mayuri Prajapati</w:t>
      </w:r>
    </w:p>
    <w:p w14:paraId="3D40DF92" w14:textId="77777777" w:rsidR="00EF1C05" w:rsidRPr="007E3A63" w:rsidRDefault="00EF1C05" w:rsidP="00EF1C05">
      <w:pPr>
        <w:jc w:val="center"/>
        <w:rPr>
          <w:b/>
          <w:bCs/>
          <w:sz w:val="32"/>
          <w:szCs w:val="32"/>
        </w:rPr>
      </w:pPr>
      <w:r w:rsidRPr="007E3A63">
        <w:rPr>
          <w:b/>
          <w:bCs/>
          <w:sz w:val="32"/>
          <w:szCs w:val="32"/>
        </w:rPr>
        <w:t>Student ID Number: 2542276</w:t>
      </w:r>
    </w:p>
    <w:p w14:paraId="2C0F9C74" w14:textId="5130C44A" w:rsidR="00BB7319" w:rsidRPr="007E3A63" w:rsidRDefault="00EF1C05" w:rsidP="00EF1C05">
      <w:pPr>
        <w:jc w:val="center"/>
        <w:rPr>
          <w:b/>
          <w:bCs/>
          <w:sz w:val="32"/>
          <w:szCs w:val="32"/>
        </w:rPr>
      </w:pPr>
      <w:r w:rsidRPr="007E3A63">
        <w:rPr>
          <w:b/>
          <w:bCs/>
          <w:sz w:val="32"/>
          <w:szCs w:val="32"/>
        </w:rPr>
        <w:t>Word Count: 5243 Words</w:t>
      </w:r>
    </w:p>
    <w:p w14:paraId="56E7368E" w14:textId="77777777" w:rsidR="00BB7319" w:rsidRDefault="00BB7319">
      <w:pPr>
        <w:spacing w:after="0" w:line="240" w:lineRule="auto"/>
        <w:jc w:val="left"/>
        <w:rPr>
          <w:sz w:val="32"/>
          <w:szCs w:val="32"/>
        </w:rPr>
      </w:pPr>
      <w:r>
        <w:rPr>
          <w:sz w:val="32"/>
          <w:szCs w:val="32"/>
        </w:rPr>
        <w:br w:type="page"/>
      </w:r>
    </w:p>
    <w:p w14:paraId="53B13AFC" w14:textId="77777777" w:rsidR="009D4E2F" w:rsidRPr="00EF1C05" w:rsidRDefault="009D4E2F" w:rsidP="00EF1C05">
      <w:pPr>
        <w:jc w:val="center"/>
        <w:rPr>
          <w:sz w:val="32"/>
          <w:szCs w:val="32"/>
        </w:rPr>
      </w:pPr>
    </w:p>
    <w:p w14:paraId="6DF1C9EF" w14:textId="77777777" w:rsidR="009D4E2F" w:rsidRDefault="00314650" w:rsidP="006418D2">
      <w:pPr>
        <w:spacing w:before="360" w:after="80" w:line="240" w:lineRule="auto"/>
        <w:jc w:val="center"/>
        <w:rPr>
          <w:rFonts w:ascii="Arial" w:hAnsi="Arial" w:cs="Arial"/>
          <w:b/>
          <w:bCs/>
        </w:rPr>
      </w:pPr>
      <w:r>
        <w:rPr>
          <w:rFonts w:ascii="Arial" w:hAnsi="Arial" w:cs="Arial"/>
          <w:b/>
          <w:bCs/>
        </w:rPr>
        <w:t>Table of Contents</w:t>
      </w:r>
    </w:p>
    <w:sdt>
      <w:sdtPr>
        <w:rPr>
          <w:rFonts w:ascii="Arial" w:hAnsi="Arial" w:cs="Arial"/>
        </w:rPr>
        <w:id w:val="1661503967"/>
        <w:docPartObj>
          <w:docPartGallery w:val="Table of Contents"/>
          <w:docPartUnique/>
        </w:docPartObj>
      </w:sdtPr>
      <w:sdtEndPr/>
      <w:sdtContent>
        <w:p w14:paraId="53EB8FF3" w14:textId="07FAD26E" w:rsidR="00430AD8" w:rsidRDefault="00314650"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r>
            <w:rPr>
              <w:rFonts w:ascii="Arial" w:hAnsi="Arial" w:cs="Arial"/>
            </w:rPr>
            <w:fldChar w:fldCharType="begin"/>
          </w:r>
          <w:r>
            <w:rPr>
              <w:rFonts w:ascii="Arial" w:hAnsi="Arial" w:cs="Arial"/>
            </w:rPr>
            <w:instrText xml:space="preserve"> TOC \h \u \z \t "Heading 1,1,Heading 2,2,Heading 4,4,Heading 5,5,Heading 6,6,"</w:instrText>
          </w:r>
          <w:r>
            <w:rPr>
              <w:rFonts w:ascii="Arial" w:hAnsi="Arial" w:cs="Arial"/>
            </w:rPr>
            <w:fldChar w:fldCharType="separate"/>
          </w:r>
          <w:hyperlink w:anchor="_Toc237472597" w:history="1">
            <w:r w:rsidR="00430AD8" w:rsidRPr="000C209B">
              <w:rPr>
                <w:rStyle w:val="Hyperlink"/>
                <w:rFonts w:ascii="Arial" w:hAnsi="Arial" w:cs="Arial"/>
                <w:noProof/>
              </w:rPr>
              <w:t>1. Financial Health Check</w:t>
            </w:r>
            <w:r w:rsidR="00430AD8">
              <w:rPr>
                <w:noProof/>
                <w:webHidden/>
              </w:rPr>
              <w:tab/>
            </w:r>
            <w:r w:rsidR="00430AD8">
              <w:rPr>
                <w:noProof/>
                <w:webHidden/>
              </w:rPr>
              <w:fldChar w:fldCharType="begin"/>
            </w:r>
            <w:r w:rsidR="00430AD8">
              <w:rPr>
                <w:noProof/>
                <w:webHidden/>
              </w:rPr>
              <w:instrText xml:space="preserve"> PAGEREF _Toc237472597 \h </w:instrText>
            </w:r>
            <w:r w:rsidR="00430AD8">
              <w:rPr>
                <w:noProof/>
                <w:webHidden/>
              </w:rPr>
            </w:r>
            <w:r w:rsidR="00430AD8">
              <w:rPr>
                <w:noProof/>
                <w:webHidden/>
              </w:rPr>
              <w:fldChar w:fldCharType="separate"/>
            </w:r>
            <w:r w:rsidR="00BB7319">
              <w:rPr>
                <w:noProof/>
                <w:webHidden/>
              </w:rPr>
              <w:t>4</w:t>
            </w:r>
            <w:r w:rsidR="00430AD8">
              <w:rPr>
                <w:noProof/>
                <w:webHidden/>
              </w:rPr>
              <w:fldChar w:fldCharType="end"/>
            </w:r>
          </w:hyperlink>
        </w:p>
        <w:p w14:paraId="0EFE4F52" w14:textId="3679DB90"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598" w:history="1">
            <w:r w:rsidRPr="000C209B">
              <w:rPr>
                <w:rStyle w:val="Hyperlink"/>
                <w:rFonts w:ascii="Arial" w:hAnsi="Arial" w:cs="Arial"/>
                <w:noProof/>
              </w:rPr>
              <w:t>1.1 Overview of Financial Performance</w:t>
            </w:r>
            <w:r>
              <w:rPr>
                <w:noProof/>
                <w:webHidden/>
              </w:rPr>
              <w:tab/>
            </w:r>
            <w:r>
              <w:rPr>
                <w:noProof/>
                <w:webHidden/>
              </w:rPr>
              <w:fldChar w:fldCharType="begin"/>
            </w:r>
            <w:r>
              <w:rPr>
                <w:noProof/>
                <w:webHidden/>
              </w:rPr>
              <w:instrText xml:space="preserve"> PAGEREF _Toc237472598 \h </w:instrText>
            </w:r>
            <w:r>
              <w:rPr>
                <w:noProof/>
                <w:webHidden/>
              </w:rPr>
            </w:r>
            <w:r>
              <w:rPr>
                <w:noProof/>
                <w:webHidden/>
              </w:rPr>
              <w:fldChar w:fldCharType="separate"/>
            </w:r>
            <w:r w:rsidR="00BB7319">
              <w:rPr>
                <w:noProof/>
                <w:webHidden/>
              </w:rPr>
              <w:t>4</w:t>
            </w:r>
            <w:r>
              <w:rPr>
                <w:noProof/>
                <w:webHidden/>
              </w:rPr>
              <w:fldChar w:fldCharType="end"/>
            </w:r>
          </w:hyperlink>
        </w:p>
        <w:p w14:paraId="4D35C1CC" w14:textId="3D78AD70"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599" w:history="1">
            <w:r w:rsidRPr="000C209B">
              <w:rPr>
                <w:rStyle w:val="Hyperlink"/>
                <w:rFonts w:ascii="Arial" w:hAnsi="Arial" w:cs="Arial"/>
                <w:noProof/>
              </w:rPr>
              <w:t>1.2 Ratio Analysis</w:t>
            </w:r>
            <w:r>
              <w:rPr>
                <w:noProof/>
                <w:webHidden/>
              </w:rPr>
              <w:tab/>
            </w:r>
            <w:r>
              <w:rPr>
                <w:noProof/>
                <w:webHidden/>
              </w:rPr>
              <w:fldChar w:fldCharType="begin"/>
            </w:r>
            <w:r>
              <w:rPr>
                <w:noProof/>
                <w:webHidden/>
              </w:rPr>
              <w:instrText xml:space="preserve"> PAGEREF _Toc237472599 \h </w:instrText>
            </w:r>
            <w:r>
              <w:rPr>
                <w:noProof/>
                <w:webHidden/>
              </w:rPr>
            </w:r>
            <w:r>
              <w:rPr>
                <w:noProof/>
                <w:webHidden/>
              </w:rPr>
              <w:fldChar w:fldCharType="separate"/>
            </w:r>
            <w:r w:rsidR="00BB7319">
              <w:rPr>
                <w:noProof/>
                <w:webHidden/>
              </w:rPr>
              <w:t>5</w:t>
            </w:r>
            <w:r>
              <w:rPr>
                <w:noProof/>
                <w:webHidden/>
              </w:rPr>
              <w:fldChar w:fldCharType="end"/>
            </w:r>
          </w:hyperlink>
        </w:p>
        <w:p w14:paraId="2258941D" w14:textId="2A0AE616"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0" w:history="1">
            <w:r w:rsidRPr="000C209B">
              <w:rPr>
                <w:rStyle w:val="Hyperlink"/>
                <w:rFonts w:ascii="Arial" w:hAnsi="Arial" w:cs="Arial"/>
                <w:noProof/>
              </w:rPr>
              <w:t>1.3 Trend Analysis</w:t>
            </w:r>
            <w:r>
              <w:rPr>
                <w:noProof/>
                <w:webHidden/>
              </w:rPr>
              <w:tab/>
            </w:r>
            <w:r>
              <w:rPr>
                <w:noProof/>
                <w:webHidden/>
              </w:rPr>
              <w:fldChar w:fldCharType="begin"/>
            </w:r>
            <w:r>
              <w:rPr>
                <w:noProof/>
                <w:webHidden/>
              </w:rPr>
              <w:instrText xml:space="preserve"> PAGEREF _Toc237472600 \h </w:instrText>
            </w:r>
            <w:r>
              <w:rPr>
                <w:noProof/>
                <w:webHidden/>
              </w:rPr>
            </w:r>
            <w:r>
              <w:rPr>
                <w:noProof/>
                <w:webHidden/>
              </w:rPr>
              <w:fldChar w:fldCharType="separate"/>
            </w:r>
            <w:r w:rsidR="00BB7319">
              <w:rPr>
                <w:noProof/>
                <w:webHidden/>
              </w:rPr>
              <w:t>12</w:t>
            </w:r>
            <w:r>
              <w:rPr>
                <w:noProof/>
                <w:webHidden/>
              </w:rPr>
              <w:fldChar w:fldCharType="end"/>
            </w:r>
          </w:hyperlink>
        </w:p>
        <w:p w14:paraId="3B36F0AE" w14:textId="7A40FD36"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1" w:history="1">
            <w:r w:rsidRPr="000C209B">
              <w:rPr>
                <w:rStyle w:val="Hyperlink"/>
                <w:rFonts w:ascii="Arial" w:hAnsi="Arial" w:cs="Arial"/>
                <w:noProof/>
              </w:rPr>
              <w:t>1.4 Strengths and Weaknesses</w:t>
            </w:r>
            <w:r>
              <w:rPr>
                <w:noProof/>
                <w:webHidden/>
              </w:rPr>
              <w:tab/>
            </w:r>
            <w:r>
              <w:rPr>
                <w:noProof/>
                <w:webHidden/>
              </w:rPr>
              <w:fldChar w:fldCharType="begin"/>
            </w:r>
            <w:r>
              <w:rPr>
                <w:noProof/>
                <w:webHidden/>
              </w:rPr>
              <w:instrText xml:space="preserve"> PAGEREF _Toc237472601 \h </w:instrText>
            </w:r>
            <w:r>
              <w:rPr>
                <w:noProof/>
                <w:webHidden/>
              </w:rPr>
            </w:r>
            <w:r>
              <w:rPr>
                <w:noProof/>
                <w:webHidden/>
              </w:rPr>
              <w:fldChar w:fldCharType="separate"/>
            </w:r>
            <w:r w:rsidR="00BB7319">
              <w:rPr>
                <w:noProof/>
                <w:webHidden/>
              </w:rPr>
              <w:t>13</w:t>
            </w:r>
            <w:r>
              <w:rPr>
                <w:noProof/>
                <w:webHidden/>
              </w:rPr>
              <w:fldChar w:fldCharType="end"/>
            </w:r>
          </w:hyperlink>
        </w:p>
        <w:p w14:paraId="45BC1C60" w14:textId="66DCF3D7"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2" w:history="1">
            <w:r w:rsidRPr="000C209B">
              <w:rPr>
                <w:rStyle w:val="Hyperlink"/>
                <w:rFonts w:ascii="Arial" w:hAnsi="Arial" w:cs="Arial"/>
                <w:noProof/>
              </w:rPr>
              <w:t>1.5 Evaluating Hilton's Performance with industry benchmark</w:t>
            </w:r>
            <w:r>
              <w:rPr>
                <w:noProof/>
                <w:webHidden/>
              </w:rPr>
              <w:tab/>
            </w:r>
            <w:r>
              <w:rPr>
                <w:noProof/>
                <w:webHidden/>
              </w:rPr>
              <w:fldChar w:fldCharType="begin"/>
            </w:r>
            <w:r>
              <w:rPr>
                <w:noProof/>
                <w:webHidden/>
              </w:rPr>
              <w:instrText xml:space="preserve"> PAGEREF _Toc237472602 \h </w:instrText>
            </w:r>
            <w:r>
              <w:rPr>
                <w:noProof/>
                <w:webHidden/>
              </w:rPr>
            </w:r>
            <w:r>
              <w:rPr>
                <w:noProof/>
                <w:webHidden/>
              </w:rPr>
              <w:fldChar w:fldCharType="separate"/>
            </w:r>
            <w:r w:rsidR="00BB7319">
              <w:rPr>
                <w:noProof/>
                <w:webHidden/>
              </w:rPr>
              <w:t>14</w:t>
            </w:r>
            <w:r>
              <w:rPr>
                <w:noProof/>
                <w:webHidden/>
              </w:rPr>
              <w:fldChar w:fldCharType="end"/>
            </w:r>
          </w:hyperlink>
        </w:p>
        <w:p w14:paraId="5C996E8F" w14:textId="6B606F3D"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03" w:history="1">
            <w:r w:rsidRPr="000C209B">
              <w:rPr>
                <w:rStyle w:val="Hyperlink"/>
                <w:rFonts w:ascii="Arial" w:hAnsi="Arial" w:cs="Arial"/>
                <w:noProof/>
              </w:rPr>
              <w:t>2. Working Capital Management Analysis</w:t>
            </w:r>
            <w:r>
              <w:rPr>
                <w:noProof/>
                <w:webHidden/>
              </w:rPr>
              <w:tab/>
            </w:r>
            <w:r>
              <w:rPr>
                <w:noProof/>
                <w:webHidden/>
              </w:rPr>
              <w:fldChar w:fldCharType="begin"/>
            </w:r>
            <w:r>
              <w:rPr>
                <w:noProof/>
                <w:webHidden/>
              </w:rPr>
              <w:instrText xml:space="preserve"> PAGEREF _Toc237472603 \h </w:instrText>
            </w:r>
            <w:r>
              <w:rPr>
                <w:noProof/>
                <w:webHidden/>
              </w:rPr>
            </w:r>
            <w:r>
              <w:rPr>
                <w:noProof/>
                <w:webHidden/>
              </w:rPr>
              <w:fldChar w:fldCharType="separate"/>
            </w:r>
            <w:r w:rsidR="00BB7319">
              <w:rPr>
                <w:noProof/>
                <w:webHidden/>
              </w:rPr>
              <w:t>15</w:t>
            </w:r>
            <w:r>
              <w:rPr>
                <w:noProof/>
                <w:webHidden/>
              </w:rPr>
              <w:fldChar w:fldCharType="end"/>
            </w:r>
          </w:hyperlink>
        </w:p>
        <w:p w14:paraId="05333C12" w14:textId="73175B70"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4" w:history="1">
            <w:r w:rsidRPr="000C209B">
              <w:rPr>
                <w:rStyle w:val="Hyperlink"/>
                <w:rFonts w:ascii="Arial" w:hAnsi="Arial" w:cs="Arial"/>
                <w:noProof/>
              </w:rPr>
              <w:t>2.1 Cash Operating Cycle Analysis</w:t>
            </w:r>
            <w:r>
              <w:rPr>
                <w:noProof/>
                <w:webHidden/>
              </w:rPr>
              <w:tab/>
            </w:r>
            <w:r>
              <w:rPr>
                <w:noProof/>
                <w:webHidden/>
              </w:rPr>
              <w:fldChar w:fldCharType="begin"/>
            </w:r>
            <w:r>
              <w:rPr>
                <w:noProof/>
                <w:webHidden/>
              </w:rPr>
              <w:instrText xml:space="preserve"> PAGEREF _Toc237472604 \h </w:instrText>
            </w:r>
            <w:r>
              <w:rPr>
                <w:noProof/>
                <w:webHidden/>
              </w:rPr>
            </w:r>
            <w:r>
              <w:rPr>
                <w:noProof/>
                <w:webHidden/>
              </w:rPr>
              <w:fldChar w:fldCharType="separate"/>
            </w:r>
            <w:r w:rsidR="00BB7319">
              <w:rPr>
                <w:noProof/>
                <w:webHidden/>
              </w:rPr>
              <w:t>15</w:t>
            </w:r>
            <w:r>
              <w:rPr>
                <w:noProof/>
                <w:webHidden/>
              </w:rPr>
              <w:fldChar w:fldCharType="end"/>
            </w:r>
          </w:hyperlink>
        </w:p>
        <w:p w14:paraId="19942308" w14:textId="0E3F55FB"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5" w:history="1">
            <w:r w:rsidRPr="000C209B">
              <w:rPr>
                <w:rStyle w:val="Hyperlink"/>
                <w:rFonts w:ascii="Arial" w:hAnsi="Arial" w:cs="Arial"/>
                <w:noProof/>
              </w:rPr>
              <w:t>2.2 Evaluation of Current Working Capital Position</w:t>
            </w:r>
            <w:r>
              <w:rPr>
                <w:noProof/>
                <w:webHidden/>
              </w:rPr>
              <w:tab/>
            </w:r>
            <w:r>
              <w:rPr>
                <w:noProof/>
                <w:webHidden/>
              </w:rPr>
              <w:fldChar w:fldCharType="begin"/>
            </w:r>
            <w:r>
              <w:rPr>
                <w:noProof/>
                <w:webHidden/>
              </w:rPr>
              <w:instrText xml:space="preserve"> PAGEREF _Toc237472605 \h </w:instrText>
            </w:r>
            <w:r>
              <w:rPr>
                <w:noProof/>
                <w:webHidden/>
              </w:rPr>
            </w:r>
            <w:r>
              <w:rPr>
                <w:noProof/>
                <w:webHidden/>
              </w:rPr>
              <w:fldChar w:fldCharType="separate"/>
            </w:r>
            <w:r w:rsidR="00BB7319">
              <w:rPr>
                <w:noProof/>
                <w:webHidden/>
              </w:rPr>
              <w:t>16</w:t>
            </w:r>
            <w:r>
              <w:rPr>
                <w:noProof/>
                <w:webHidden/>
              </w:rPr>
              <w:fldChar w:fldCharType="end"/>
            </w:r>
          </w:hyperlink>
        </w:p>
        <w:p w14:paraId="6310AEFD" w14:textId="4F7E942D"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6" w:history="1">
            <w:r w:rsidRPr="000C209B">
              <w:rPr>
                <w:rStyle w:val="Hyperlink"/>
                <w:rFonts w:ascii="Arial" w:hAnsi="Arial" w:cs="Arial"/>
                <w:noProof/>
              </w:rPr>
              <w:t>2.3 Working Capital Improvement Strategies</w:t>
            </w:r>
            <w:r>
              <w:rPr>
                <w:noProof/>
                <w:webHidden/>
              </w:rPr>
              <w:tab/>
            </w:r>
            <w:r>
              <w:rPr>
                <w:noProof/>
                <w:webHidden/>
              </w:rPr>
              <w:fldChar w:fldCharType="begin"/>
            </w:r>
            <w:r>
              <w:rPr>
                <w:noProof/>
                <w:webHidden/>
              </w:rPr>
              <w:instrText xml:space="preserve"> PAGEREF _Toc237472606 \h </w:instrText>
            </w:r>
            <w:r>
              <w:rPr>
                <w:noProof/>
                <w:webHidden/>
              </w:rPr>
            </w:r>
            <w:r>
              <w:rPr>
                <w:noProof/>
                <w:webHidden/>
              </w:rPr>
              <w:fldChar w:fldCharType="separate"/>
            </w:r>
            <w:r w:rsidR="00BB7319">
              <w:rPr>
                <w:noProof/>
                <w:webHidden/>
              </w:rPr>
              <w:t>17</w:t>
            </w:r>
            <w:r>
              <w:rPr>
                <w:noProof/>
                <w:webHidden/>
              </w:rPr>
              <w:fldChar w:fldCharType="end"/>
            </w:r>
          </w:hyperlink>
        </w:p>
        <w:p w14:paraId="12160BE3" w14:textId="25D75F45"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7" w:history="1">
            <w:r w:rsidRPr="000C209B">
              <w:rPr>
                <w:rStyle w:val="Hyperlink"/>
                <w:rFonts w:ascii="Arial" w:hAnsi="Arial" w:cs="Arial"/>
                <w:noProof/>
              </w:rPr>
              <w:t>2.4 Financing Working Capital</w:t>
            </w:r>
            <w:r>
              <w:rPr>
                <w:noProof/>
                <w:webHidden/>
              </w:rPr>
              <w:tab/>
            </w:r>
            <w:r>
              <w:rPr>
                <w:noProof/>
                <w:webHidden/>
              </w:rPr>
              <w:fldChar w:fldCharType="begin"/>
            </w:r>
            <w:r>
              <w:rPr>
                <w:noProof/>
                <w:webHidden/>
              </w:rPr>
              <w:instrText xml:space="preserve"> PAGEREF _Toc237472607 \h </w:instrText>
            </w:r>
            <w:r>
              <w:rPr>
                <w:noProof/>
                <w:webHidden/>
              </w:rPr>
            </w:r>
            <w:r>
              <w:rPr>
                <w:noProof/>
                <w:webHidden/>
              </w:rPr>
              <w:fldChar w:fldCharType="separate"/>
            </w:r>
            <w:r w:rsidR="00BB7319">
              <w:rPr>
                <w:noProof/>
                <w:webHidden/>
              </w:rPr>
              <w:t>17</w:t>
            </w:r>
            <w:r>
              <w:rPr>
                <w:noProof/>
                <w:webHidden/>
              </w:rPr>
              <w:fldChar w:fldCharType="end"/>
            </w:r>
          </w:hyperlink>
        </w:p>
        <w:p w14:paraId="72D2AD1F" w14:textId="26AF91A8"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08" w:history="1">
            <w:r w:rsidRPr="000C209B">
              <w:rPr>
                <w:rStyle w:val="Hyperlink"/>
                <w:rFonts w:ascii="Arial" w:hAnsi="Arial" w:cs="Arial"/>
                <w:noProof/>
              </w:rPr>
              <w:t>2.5 Evaluation of Financing Choice</w:t>
            </w:r>
            <w:r>
              <w:rPr>
                <w:noProof/>
                <w:webHidden/>
              </w:rPr>
              <w:tab/>
            </w:r>
            <w:r>
              <w:rPr>
                <w:noProof/>
                <w:webHidden/>
              </w:rPr>
              <w:fldChar w:fldCharType="begin"/>
            </w:r>
            <w:r>
              <w:rPr>
                <w:noProof/>
                <w:webHidden/>
              </w:rPr>
              <w:instrText xml:space="preserve"> PAGEREF _Toc237472608 \h </w:instrText>
            </w:r>
            <w:r>
              <w:rPr>
                <w:noProof/>
                <w:webHidden/>
              </w:rPr>
            </w:r>
            <w:r>
              <w:rPr>
                <w:noProof/>
                <w:webHidden/>
              </w:rPr>
              <w:fldChar w:fldCharType="separate"/>
            </w:r>
            <w:r w:rsidR="00BB7319">
              <w:rPr>
                <w:noProof/>
                <w:webHidden/>
              </w:rPr>
              <w:t>19</w:t>
            </w:r>
            <w:r>
              <w:rPr>
                <w:noProof/>
                <w:webHidden/>
              </w:rPr>
              <w:fldChar w:fldCharType="end"/>
            </w:r>
          </w:hyperlink>
        </w:p>
        <w:p w14:paraId="17487E2B" w14:textId="3A9B7217"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09" w:history="1">
            <w:r w:rsidRPr="000C209B">
              <w:rPr>
                <w:rStyle w:val="Hyperlink"/>
                <w:rFonts w:ascii="Arial" w:hAnsi="Arial" w:cs="Arial"/>
                <w:noProof/>
              </w:rPr>
              <w:t>3. Strategic Financial Restructuring Plan</w:t>
            </w:r>
            <w:r>
              <w:rPr>
                <w:noProof/>
                <w:webHidden/>
              </w:rPr>
              <w:tab/>
            </w:r>
            <w:r>
              <w:rPr>
                <w:noProof/>
                <w:webHidden/>
              </w:rPr>
              <w:fldChar w:fldCharType="begin"/>
            </w:r>
            <w:r>
              <w:rPr>
                <w:noProof/>
                <w:webHidden/>
              </w:rPr>
              <w:instrText xml:space="preserve"> PAGEREF _Toc237472609 \h </w:instrText>
            </w:r>
            <w:r>
              <w:rPr>
                <w:noProof/>
                <w:webHidden/>
              </w:rPr>
            </w:r>
            <w:r>
              <w:rPr>
                <w:noProof/>
                <w:webHidden/>
              </w:rPr>
              <w:fldChar w:fldCharType="separate"/>
            </w:r>
            <w:r w:rsidR="00BB7319">
              <w:rPr>
                <w:noProof/>
                <w:webHidden/>
              </w:rPr>
              <w:t>19</w:t>
            </w:r>
            <w:r>
              <w:rPr>
                <w:noProof/>
                <w:webHidden/>
              </w:rPr>
              <w:fldChar w:fldCharType="end"/>
            </w:r>
          </w:hyperlink>
        </w:p>
        <w:p w14:paraId="531CED7E" w14:textId="4CFD4949"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0" w:history="1">
            <w:r w:rsidRPr="000C209B">
              <w:rPr>
                <w:rStyle w:val="Hyperlink"/>
                <w:rFonts w:ascii="Arial" w:hAnsi="Arial" w:cs="Arial"/>
                <w:noProof/>
              </w:rPr>
              <w:t>3.1 Need for Financial Restructuring</w:t>
            </w:r>
            <w:r>
              <w:rPr>
                <w:noProof/>
                <w:webHidden/>
              </w:rPr>
              <w:tab/>
            </w:r>
            <w:r>
              <w:rPr>
                <w:noProof/>
                <w:webHidden/>
              </w:rPr>
              <w:fldChar w:fldCharType="begin"/>
            </w:r>
            <w:r>
              <w:rPr>
                <w:noProof/>
                <w:webHidden/>
              </w:rPr>
              <w:instrText xml:space="preserve"> PAGEREF _Toc237472610 \h </w:instrText>
            </w:r>
            <w:r>
              <w:rPr>
                <w:noProof/>
                <w:webHidden/>
              </w:rPr>
            </w:r>
            <w:r>
              <w:rPr>
                <w:noProof/>
                <w:webHidden/>
              </w:rPr>
              <w:fldChar w:fldCharType="separate"/>
            </w:r>
            <w:r w:rsidR="00BB7319">
              <w:rPr>
                <w:noProof/>
                <w:webHidden/>
              </w:rPr>
              <w:t>19</w:t>
            </w:r>
            <w:r>
              <w:rPr>
                <w:noProof/>
                <w:webHidden/>
              </w:rPr>
              <w:fldChar w:fldCharType="end"/>
            </w:r>
          </w:hyperlink>
        </w:p>
        <w:p w14:paraId="17CFEB9E" w14:textId="4A6455C8"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1" w:history="1">
            <w:r w:rsidRPr="000C209B">
              <w:rPr>
                <w:rStyle w:val="Hyperlink"/>
                <w:rFonts w:ascii="Arial" w:hAnsi="Arial" w:cs="Arial"/>
                <w:noProof/>
              </w:rPr>
              <w:t>3.2 Proposed Restructuring Strategies</w:t>
            </w:r>
            <w:r>
              <w:rPr>
                <w:noProof/>
                <w:webHidden/>
              </w:rPr>
              <w:tab/>
            </w:r>
            <w:r>
              <w:rPr>
                <w:noProof/>
                <w:webHidden/>
              </w:rPr>
              <w:fldChar w:fldCharType="begin"/>
            </w:r>
            <w:r>
              <w:rPr>
                <w:noProof/>
                <w:webHidden/>
              </w:rPr>
              <w:instrText xml:space="preserve"> PAGEREF _Toc237472611 \h </w:instrText>
            </w:r>
            <w:r>
              <w:rPr>
                <w:noProof/>
                <w:webHidden/>
              </w:rPr>
            </w:r>
            <w:r>
              <w:rPr>
                <w:noProof/>
                <w:webHidden/>
              </w:rPr>
              <w:fldChar w:fldCharType="separate"/>
            </w:r>
            <w:r w:rsidR="00BB7319">
              <w:rPr>
                <w:noProof/>
                <w:webHidden/>
              </w:rPr>
              <w:t>19</w:t>
            </w:r>
            <w:r>
              <w:rPr>
                <w:noProof/>
                <w:webHidden/>
              </w:rPr>
              <w:fldChar w:fldCharType="end"/>
            </w:r>
          </w:hyperlink>
        </w:p>
        <w:p w14:paraId="1E8ED502" w14:textId="36DC4949"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2" w:history="1">
            <w:r w:rsidRPr="000C209B">
              <w:rPr>
                <w:rStyle w:val="Hyperlink"/>
                <w:rFonts w:ascii="Arial" w:hAnsi="Arial" w:cs="Arial"/>
                <w:noProof/>
              </w:rPr>
              <w:t>3.3 Impact Assessment</w:t>
            </w:r>
            <w:r>
              <w:rPr>
                <w:noProof/>
                <w:webHidden/>
              </w:rPr>
              <w:tab/>
            </w:r>
            <w:r>
              <w:rPr>
                <w:noProof/>
                <w:webHidden/>
              </w:rPr>
              <w:fldChar w:fldCharType="begin"/>
            </w:r>
            <w:r>
              <w:rPr>
                <w:noProof/>
                <w:webHidden/>
              </w:rPr>
              <w:instrText xml:space="preserve"> PAGEREF _Toc237472612 \h </w:instrText>
            </w:r>
            <w:r>
              <w:rPr>
                <w:noProof/>
                <w:webHidden/>
              </w:rPr>
            </w:r>
            <w:r>
              <w:rPr>
                <w:noProof/>
                <w:webHidden/>
              </w:rPr>
              <w:fldChar w:fldCharType="separate"/>
            </w:r>
            <w:r w:rsidR="00BB7319">
              <w:rPr>
                <w:noProof/>
                <w:webHidden/>
              </w:rPr>
              <w:t>21</w:t>
            </w:r>
            <w:r>
              <w:rPr>
                <w:noProof/>
                <w:webHidden/>
              </w:rPr>
              <w:fldChar w:fldCharType="end"/>
            </w:r>
          </w:hyperlink>
        </w:p>
        <w:p w14:paraId="688E6193" w14:textId="0A803070"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3" w:history="1">
            <w:r w:rsidRPr="000C209B">
              <w:rPr>
                <w:rStyle w:val="Hyperlink"/>
                <w:rFonts w:ascii="Arial" w:hAnsi="Arial" w:cs="Arial"/>
                <w:noProof/>
              </w:rPr>
              <w:t>3.4 International Considerations</w:t>
            </w:r>
            <w:r>
              <w:rPr>
                <w:noProof/>
                <w:webHidden/>
              </w:rPr>
              <w:tab/>
            </w:r>
            <w:r>
              <w:rPr>
                <w:noProof/>
                <w:webHidden/>
              </w:rPr>
              <w:fldChar w:fldCharType="begin"/>
            </w:r>
            <w:r>
              <w:rPr>
                <w:noProof/>
                <w:webHidden/>
              </w:rPr>
              <w:instrText xml:space="preserve"> PAGEREF _Toc237472613 \h </w:instrText>
            </w:r>
            <w:r>
              <w:rPr>
                <w:noProof/>
                <w:webHidden/>
              </w:rPr>
            </w:r>
            <w:r>
              <w:rPr>
                <w:noProof/>
                <w:webHidden/>
              </w:rPr>
              <w:fldChar w:fldCharType="separate"/>
            </w:r>
            <w:r w:rsidR="00BB7319">
              <w:rPr>
                <w:noProof/>
                <w:webHidden/>
              </w:rPr>
              <w:t>21</w:t>
            </w:r>
            <w:r>
              <w:rPr>
                <w:noProof/>
                <w:webHidden/>
              </w:rPr>
              <w:fldChar w:fldCharType="end"/>
            </w:r>
          </w:hyperlink>
        </w:p>
        <w:p w14:paraId="394238EB" w14:textId="269764EB"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4" w:history="1">
            <w:r w:rsidRPr="000C209B">
              <w:rPr>
                <w:rStyle w:val="Hyperlink"/>
                <w:rFonts w:ascii="Arial" w:hAnsi="Arial" w:cs="Arial"/>
                <w:noProof/>
              </w:rPr>
              <w:t>3.5 Ethical and CSR Considerations</w:t>
            </w:r>
            <w:r>
              <w:rPr>
                <w:noProof/>
                <w:webHidden/>
              </w:rPr>
              <w:tab/>
            </w:r>
            <w:r>
              <w:rPr>
                <w:noProof/>
                <w:webHidden/>
              </w:rPr>
              <w:fldChar w:fldCharType="begin"/>
            </w:r>
            <w:r>
              <w:rPr>
                <w:noProof/>
                <w:webHidden/>
              </w:rPr>
              <w:instrText xml:space="preserve"> PAGEREF _Toc237472614 \h </w:instrText>
            </w:r>
            <w:r>
              <w:rPr>
                <w:noProof/>
                <w:webHidden/>
              </w:rPr>
            </w:r>
            <w:r>
              <w:rPr>
                <w:noProof/>
                <w:webHidden/>
              </w:rPr>
              <w:fldChar w:fldCharType="separate"/>
            </w:r>
            <w:r w:rsidR="00BB7319">
              <w:rPr>
                <w:noProof/>
                <w:webHidden/>
              </w:rPr>
              <w:t>22</w:t>
            </w:r>
            <w:r>
              <w:rPr>
                <w:noProof/>
                <w:webHidden/>
              </w:rPr>
              <w:fldChar w:fldCharType="end"/>
            </w:r>
          </w:hyperlink>
        </w:p>
        <w:p w14:paraId="3C8E5428" w14:textId="4E9C39E5"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15" w:history="1">
            <w:r w:rsidRPr="000C209B">
              <w:rPr>
                <w:rStyle w:val="Hyperlink"/>
                <w:rFonts w:ascii="Arial" w:hAnsi="Arial" w:cs="Arial"/>
                <w:noProof/>
              </w:rPr>
              <w:t>4. Investment Appraisal and Capital Budgeting</w:t>
            </w:r>
            <w:r>
              <w:rPr>
                <w:noProof/>
                <w:webHidden/>
              </w:rPr>
              <w:tab/>
            </w:r>
            <w:r>
              <w:rPr>
                <w:noProof/>
                <w:webHidden/>
              </w:rPr>
              <w:fldChar w:fldCharType="begin"/>
            </w:r>
            <w:r>
              <w:rPr>
                <w:noProof/>
                <w:webHidden/>
              </w:rPr>
              <w:instrText xml:space="preserve"> PAGEREF _Toc237472615 \h </w:instrText>
            </w:r>
            <w:r>
              <w:rPr>
                <w:noProof/>
                <w:webHidden/>
              </w:rPr>
            </w:r>
            <w:r>
              <w:rPr>
                <w:noProof/>
                <w:webHidden/>
              </w:rPr>
              <w:fldChar w:fldCharType="separate"/>
            </w:r>
            <w:r w:rsidR="00BB7319">
              <w:rPr>
                <w:noProof/>
                <w:webHidden/>
              </w:rPr>
              <w:t>22</w:t>
            </w:r>
            <w:r>
              <w:rPr>
                <w:noProof/>
                <w:webHidden/>
              </w:rPr>
              <w:fldChar w:fldCharType="end"/>
            </w:r>
          </w:hyperlink>
        </w:p>
        <w:p w14:paraId="3B3F52A1" w14:textId="6F39F74B"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6" w:history="1">
            <w:r w:rsidRPr="000C209B">
              <w:rPr>
                <w:rStyle w:val="Hyperlink"/>
                <w:rFonts w:ascii="Arial" w:hAnsi="Arial" w:cs="Arial"/>
                <w:noProof/>
              </w:rPr>
              <w:t>4.1 Overview of Investment Projects</w:t>
            </w:r>
            <w:r>
              <w:rPr>
                <w:noProof/>
                <w:webHidden/>
              </w:rPr>
              <w:tab/>
            </w:r>
            <w:r>
              <w:rPr>
                <w:noProof/>
                <w:webHidden/>
              </w:rPr>
              <w:fldChar w:fldCharType="begin"/>
            </w:r>
            <w:r>
              <w:rPr>
                <w:noProof/>
                <w:webHidden/>
              </w:rPr>
              <w:instrText xml:space="preserve"> PAGEREF _Toc237472616 \h </w:instrText>
            </w:r>
            <w:r>
              <w:rPr>
                <w:noProof/>
                <w:webHidden/>
              </w:rPr>
            </w:r>
            <w:r>
              <w:rPr>
                <w:noProof/>
                <w:webHidden/>
              </w:rPr>
              <w:fldChar w:fldCharType="separate"/>
            </w:r>
            <w:r w:rsidR="00BB7319">
              <w:rPr>
                <w:noProof/>
                <w:webHidden/>
              </w:rPr>
              <w:t>22</w:t>
            </w:r>
            <w:r>
              <w:rPr>
                <w:noProof/>
                <w:webHidden/>
              </w:rPr>
              <w:fldChar w:fldCharType="end"/>
            </w:r>
          </w:hyperlink>
        </w:p>
        <w:p w14:paraId="0751CB00" w14:textId="7B5B93A4"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7" w:history="1">
            <w:r w:rsidRPr="000C209B">
              <w:rPr>
                <w:rStyle w:val="Hyperlink"/>
                <w:rFonts w:ascii="Arial" w:hAnsi="Arial" w:cs="Arial"/>
                <w:noProof/>
              </w:rPr>
              <w:t>4.2 Assumptions</w:t>
            </w:r>
            <w:r>
              <w:rPr>
                <w:noProof/>
                <w:webHidden/>
              </w:rPr>
              <w:tab/>
            </w:r>
            <w:r>
              <w:rPr>
                <w:noProof/>
                <w:webHidden/>
              </w:rPr>
              <w:fldChar w:fldCharType="begin"/>
            </w:r>
            <w:r>
              <w:rPr>
                <w:noProof/>
                <w:webHidden/>
              </w:rPr>
              <w:instrText xml:space="preserve"> PAGEREF _Toc237472617 \h </w:instrText>
            </w:r>
            <w:r>
              <w:rPr>
                <w:noProof/>
                <w:webHidden/>
              </w:rPr>
            </w:r>
            <w:r>
              <w:rPr>
                <w:noProof/>
                <w:webHidden/>
              </w:rPr>
              <w:fldChar w:fldCharType="separate"/>
            </w:r>
            <w:r w:rsidR="00BB7319">
              <w:rPr>
                <w:noProof/>
                <w:webHidden/>
              </w:rPr>
              <w:t>23</w:t>
            </w:r>
            <w:r>
              <w:rPr>
                <w:noProof/>
                <w:webHidden/>
              </w:rPr>
              <w:fldChar w:fldCharType="end"/>
            </w:r>
          </w:hyperlink>
        </w:p>
        <w:p w14:paraId="67E570AD" w14:textId="290160C8"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8" w:history="1">
            <w:r w:rsidRPr="000C209B">
              <w:rPr>
                <w:rStyle w:val="Hyperlink"/>
                <w:rFonts w:ascii="Arial" w:hAnsi="Arial" w:cs="Arial"/>
                <w:noProof/>
              </w:rPr>
              <w:t>4.3 Investment Appraisal Techniques</w:t>
            </w:r>
            <w:r>
              <w:rPr>
                <w:noProof/>
                <w:webHidden/>
              </w:rPr>
              <w:tab/>
            </w:r>
            <w:r>
              <w:rPr>
                <w:noProof/>
                <w:webHidden/>
              </w:rPr>
              <w:fldChar w:fldCharType="begin"/>
            </w:r>
            <w:r>
              <w:rPr>
                <w:noProof/>
                <w:webHidden/>
              </w:rPr>
              <w:instrText xml:space="preserve"> PAGEREF _Toc237472618 \h </w:instrText>
            </w:r>
            <w:r>
              <w:rPr>
                <w:noProof/>
                <w:webHidden/>
              </w:rPr>
            </w:r>
            <w:r>
              <w:rPr>
                <w:noProof/>
                <w:webHidden/>
              </w:rPr>
              <w:fldChar w:fldCharType="separate"/>
            </w:r>
            <w:r w:rsidR="00BB7319">
              <w:rPr>
                <w:noProof/>
                <w:webHidden/>
              </w:rPr>
              <w:t>23</w:t>
            </w:r>
            <w:r>
              <w:rPr>
                <w:noProof/>
                <w:webHidden/>
              </w:rPr>
              <w:fldChar w:fldCharType="end"/>
            </w:r>
          </w:hyperlink>
        </w:p>
        <w:p w14:paraId="68208718" w14:textId="21B916DE"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19" w:history="1">
            <w:r w:rsidRPr="000C209B">
              <w:rPr>
                <w:rStyle w:val="Hyperlink"/>
                <w:rFonts w:ascii="Arial" w:hAnsi="Arial" w:cs="Arial"/>
                <w:noProof/>
              </w:rPr>
              <w:t>4.4 Results and Comparative Analysis</w:t>
            </w:r>
            <w:r>
              <w:rPr>
                <w:noProof/>
                <w:webHidden/>
              </w:rPr>
              <w:tab/>
            </w:r>
            <w:r>
              <w:rPr>
                <w:noProof/>
                <w:webHidden/>
              </w:rPr>
              <w:fldChar w:fldCharType="begin"/>
            </w:r>
            <w:r>
              <w:rPr>
                <w:noProof/>
                <w:webHidden/>
              </w:rPr>
              <w:instrText xml:space="preserve"> PAGEREF _Toc237472619 \h </w:instrText>
            </w:r>
            <w:r>
              <w:rPr>
                <w:noProof/>
                <w:webHidden/>
              </w:rPr>
            </w:r>
            <w:r>
              <w:rPr>
                <w:noProof/>
                <w:webHidden/>
              </w:rPr>
              <w:fldChar w:fldCharType="separate"/>
            </w:r>
            <w:r w:rsidR="00BB7319">
              <w:rPr>
                <w:noProof/>
                <w:webHidden/>
              </w:rPr>
              <w:t>26</w:t>
            </w:r>
            <w:r>
              <w:rPr>
                <w:noProof/>
                <w:webHidden/>
              </w:rPr>
              <w:fldChar w:fldCharType="end"/>
            </w:r>
          </w:hyperlink>
        </w:p>
        <w:p w14:paraId="42EB934A" w14:textId="31D4CCA9"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0" w:history="1">
            <w:r w:rsidRPr="000C209B">
              <w:rPr>
                <w:rStyle w:val="Hyperlink"/>
                <w:rFonts w:ascii="Arial" w:hAnsi="Arial" w:cs="Arial"/>
                <w:noProof/>
              </w:rPr>
              <w:t>4.5 Project Selection Decision</w:t>
            </w:r>
            <w:r>
              <w:rPr>
                <w:noProof/>
                <w:webHidden/>
              </w:rPr>
              <w:tab/>
            </w:r>
            <w:r>
              <w:rPr>
                <w:noProof/>
                <w:webHidden/>
              </w:rPr>
              <w:fldChar w:fldCharType="begin"/>
            </w:r>
            <w:r>
              <w:rPr>
                <w:noProof/>
                <w:webHidden/>
              </w:rPr>
              <w:instrText xml:space="preserve"> PAGEREF _Toc237472620 \h </w:instrText>
            </w:r>
            <w:r>
              <w:rPr>
                <w:noProof/>
                <w:webHidden/>
              </w:rPr>
            </w:r>
            <w:r>
              <w:rPr>
                <w:noProof/>
                <w:webHidden/>
              </w:rPr>
              <w:fldChar w:fldCharType="separate"/>
            </w:r>
            <w:r w:rsidR="00BB7319">
              <w:rPr>
                <w:noProof/>
                <w:webHidden/>
              </w:rPr>
              <w:t>26</w:t>
            </w:r>
            <w:r>
              <w:rPr>
                <w:noProof/>
                <w:webHidden/>
              </w:rPr>
              <w:fldChar w:fldCharType="end"/>
            </w:r>
          </w:hyperlink>
        </w:p>
        <w:p w14:paraId="627E431D" w14:textId="7EFA591B"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1" w:history="1">
            <w:r w:rsidRPr="000C209B">
              <w:rPr>
                <w:rStyle w:val="Hyperlink"/>
                <w:rFonts w:ascii="Arial" w:hAnsi="Arial" w:cs="Arial"/>
                <w:noProof/>
              </w:rPr>
              <w:t>4.6 Capital Rationing Decision (£100 Million Budget)</w:t>
            </w:r>
            <w:r>
              <w:rPr>
                <w:noProof/>
                <w:webHidden/>
              </w:rPr>
              <w:tab/>
            </w:r>
            <w:r>
              <w:rPr>
                <w:noProof/>
                <w:webHidden/>
              </w:rPr>
              <w:fldChar w:fldCharType="begin"/>
            </w:r>
            <w:r>
              <w:rPr>
                <w:noProof/>
                <w:webHidden/>
              </w:rPr>
              <w:instrText xml:space="preserve"> PAGEREF _Toc237472621 \h </w:instrText>
            </w:r>
            <w:r>
              <w:rPr>
                <w:noProof/>
                <w:webHidden/>
              </w:rPr>
            </w:r>
            <w:r>
              <w:rPr>
                <w:noProof/>
                <w:webHidden/>
              </w:rPr>
              <w:fldChar w:fldCharType="separate"/>
            </w:r>
            <w:r w:rsidR="00BB7319">
              <w:rPr>
                <w:noProof/>
                <w:webHidden/>
              </w:rPr>
              <w:t>27</w:t>
            </w:r>
            <w:r>
              <w:rPr>
                <w:noProof/>
                <w:webHidden/>
              </w:rPr>
              <w:fldChar w:fldCharType="end"/>
            </w:r>
          </w:hyperlink>
        </w:p>
        <w:p w14:paraId="20E1A972" w14:textId="748FFFAC"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2" w:history="1">
            <w:r w:rsidRPr="000C209B">
              <w:rPr>
                <w:rStyle w:val="Hyperlink"/>
                <w:rFonts w:ascii="Arial" w:hAnsi="Arial" w:cs="Arial"/>
                <w:noProof/>
              </w:rPr>
              <w:t>4.7 Consideration of Non-Financial Factors</w:t>
            </w:r>
            <w:r>
              <w:rPr>
                <w:noProof/>
                <w:webHidden/>
              </w:rPr>
              <w:tab/>
            </w:r>
            <w:r>
              <w:rPr>
                <w:noProof/>
                <w:webHidden/>
              </w:rPr>
              <w:fldChar w:fldCharType="begin"/>
            </w:r>
            <w:r>
              <w:rPr>
                <w:noProof/>
                <w:webHidden/>
              </w:rPr>
              <w:instrText xml:space="preserve"> PAGEREF _Toc237472622 \h </w:instrText>
            </w:r>
            <w:r>
              <w:rPr>
                <w:noProof/>
                <w:webHidden/>
              </w:rPr>
            </w:r>
            <w:r>
              <w:rPr>
                <w:noProof/>
                <w:webHidden/>
              </w:rPr>
              <w:fldChar w:fldCharType="separate"/>
            </w:r>
            <w:r w:rsidR="00BB7319">
              <w:rPr>
                <w:noProof/>
                <w:webHidden/>
              </w:rPr>
              <w:t>28</w:t>
            </w:r>
            <w:r>
              <w:rPr>
                <w:noProof/>
                <w:webHidden/>
              </w:rPr>
              <w:fldChar w:fldCharType="end"/>
            </w:r>
          </w:hyperlink>
        </w:p>
        <w:p w14:paraId="0C2E4233" w14:textId="65A1A108"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23" w:history="1">
            <w:r w:rsidRPr="000C209B">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_Toc237472623 \h </w:instrText>
            </w:r>
            <w:r>
              <w:rPr>
                <w:noProof/>
                <w:webHidden/>
              </w:rPr>
            </w:r>
            <w:r>
              <w:rPr>
                <w:noProof/>
                <w:webHidden/>
              </w:rPr>
              <w:fldChar w:fldCharType="separate"/>
            </w:r>
            <w:r w:rsidR="00BB7319">
              <w:rPr>
                <w:noProof/>
                <w:webHidden/>
              </w:rPr>
              <w:t>29</w:t>
            </w:r>
            <w:r>
              <w:rPr>
                <w:noProof/>
                <w:webHidden/>
              </w:rPr>
              <w:fldChar w:fldCharType="end"/>
            </w:r>
          </w:hyperlink>
        </w:p>
        <w:p w14:paraId="65AE5273" w14:textId="35549839"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4" w:history="1">
            <w:r w:rsidRPr="000C209B">
              <w:rPr>
                <w:rStyle w:val="Hyperlink"/>
                <w:rFonts w:ascii="Arial" w:hAnsi="Arial" w:cs="Arial"/>
                <w:noProof/>
              </w:rPr>
              <w:t>5.1 Tool Disclosure</w:t>
            </w:r>
            <w:r>
              <w:rPr>
                <w:noProof/>
                <w:webHidden/>
              </w:rPr>
              <w:tab/>
            </w:r>
            <w:r>
              <w:rPr>
                <w:noProof/>
                <w:webHidden/>
              </w:rPr>
              <w:fldChar w:fldCharType="begin"/>
            </w:r>
            <w:r>
              <w:rPr>
                <w:noProof/>
                <w:webHidden/>
              </w:rPr>
              <w:instrText xml:space="preserve"> PAGEREF _Toc237472624 \h </w:instrText>
            </w:r>
            <w:r>
              <w:rPr>
                <w:noProof/>
                <w:webHidden/>
              </w:rPr>
            </w:r>
            <w:r>
              <w:rPr>
                <w:noProof/>
                <w:webHidden/>
              </w:rPr>
              <w:fldChar w:fldCharType="separate"/>
            </w:r>
            <w:r w:rsidR="00BB7319">
              <w:rPr>
                <w:noProof/>
                <w:webHidden/>
              </w:rPr>
              <w:t>29</w:t>
            </w:r>
            <w:r>
              <w:rPr>
                <w:noProof/>
                <w:webHidden/>
              </w:rPr>
              <w:fldChar w:fldCharType="end"/>
            </w:r>
          </w:hyperlink>
        </w:p>
        <w:p w14:paraId="6B9E0142" w14:textId="07DAFA78"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5" w:history="1">
            <w:r w:rsidRPr="000C209B">
              <w:rPr>
                <w:rStyle w:val="Hyperlink"/>
                <w:rFonts w:ascii="Arial" w:hAnsi="Arial" w:cs="Arial"/>
                <w:noProof/>
              </w:rPr>
              <w:t>5.2 Critical Evaluation of AI Output</w:t>
            </w:r>
            <w:r>
              <w:rPr>
                <w:noProof/>
                <w:webHidden/>
              </w:rPr>
              <w:tab/>
            </w:r>
            <w:r>
              <w:rPr>
                <w:noProof/>
                <w:webHidden/>
              </w:rPr>
              <w:fldChar w:fldCharType="begin"/>
            </w:r>
            <w:r>
              <w:rPr>
                <w:noProof/>
                <w:webHidden/>
              </w:rPr>
              <w:instrText xml:space="preserve"> PAGEREF _Toc237472625 \h </w:instrText>
            </w:r>
            <w:r>
              <w:rPr>
                <w:noProof/>
                <w:webHidden/>
              </w:rPr>
            </w:r>
            <w:r>
              <w:rPr>
                <w:noProof/>
                <w:webHidden/>
              </w:rPr>
              <w:fldChar w:fldCharType="separate"/>
            </w:r>
            <w:r w:rsidR="00BB7319">
              <w:rPr>
                <w:noProof/>
                <w:webHidden/>
              </w:rPr>
              <w:t>29</w:t>
            </w:r>
            <w:r>
              <w:rPr>
                <w:noProof/>
                <w:webHidden/>
              </w:rPr>
              <w:fldChar w:fldCharType="end"/>
            </w:r>
          </w:hyperlink>
        </w:p>
        <w:p w14:paraId="27A32801" w14:textId="44E551FC"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6" w:history="1">
            <w:r w:rsidRPr="000C209B">
              <w:rPr>
                <w:rStyle w:val="Hyperlink"/>
                <w:rFonts w:ascii="Arial" w:hAnsi="Arial" w:cs="Arial"/>
                <w:noProof/>
              </w:rPr>
              <w:t>5.3 Contribution Analysis</w:t>
            </w:r>
            <w:r>
              <w:rPr>
                <w:noProof/>
                <w:webHidden/>
              </w:rPr>
              <w:tab/>
            </w:r>
            <w:r>
              <w:rPr>
                <w:noProof/>
                <w:webHidden/>
              </w:rPr>
              <w:fldChar w:fldCharType="begin"/>
            </w:r>
            <w:r>
              <w:rPr>
                <w:noProof/>
                <w:webHidden/>
              </w:rPr>
              <w:instrText xml:space="preserve"> PAGEREF _Toc237472626 \h </w:instrText>
            </w:r>
            <w:r>
              <w:rPr>
                <w:noProof/>
                <w:webHidden/>
              </w:rPr>
            </w:r>
            <w:r>
              <w:rPr>
                <w:noProof/>
                <w:webHidden/>
              </w:rPr>
              <w:fldChar w:fldCharType="separate"/>
            </w:r>
            <w:r w:rsidR="00BB7319">
              <w:rPr>
                <w:noProof/>
                <w:webHidden/>
              </w:rPr>
              <w:t>30</w:t>
            </w:r>
            <w:r>
              <w:rPr>
                <w:noProof/>
                <w:webHidden/>
              </w:rPr>
              <w:fldChar w:fldCharType="end"/>
            </w:r>
          </w:hyperlink>
        </w:p>
        <w:p w14:paraId="39427EE9" w14:textId="21638B8E"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27" w:history="1">
            <w:r w:rsidRPr="000C209B">
              <w:rPr>
                <w:rStyle w:val="Hyperlink"/>
                <w:rFonts w:ascii="Arial" w:hAnsi="Arial" w:cs="Arial"/>
                <w:noProof/>
              </w:rPr>
              <w:t>5.4 Ethical and Professional Reflection</w:t>
            </w:r>
            <w:r>
              <w:rPr>
                <w:noProof/>
                <w:webHidden/>
              </w:rPr>
              <w:tab/>
            </w:r>
            <w:r>
              <w:rPr>
                <w:noProof/>
                <w:webHidden/>
              </w:rPr>
              <w:fldChar w:fldCharType="begin"/>
            </w:r>
            <w:r>
              <w:rPr>
                <w:noProof/>
                <w:webHidden/>
              </w:rPr>
              <w:instrText xml:space="preserve"> PAGEREF _Toc237472627 \h </w:instrText>
            </w:r>
            <w:r>
              <w:rPr>
                <w:noProof/>
                <w:webHidden/>
              </w:rPr>
            </w:r>
            <w:r>
              <w:rPr>
                <w:noProof/>
                <w:webHidden/>
              </w:rPr>
              <w:fldChar w:fldCharType="separate"/>
            </w:r>
            <w:r w:rsidR="00BB7319">
              <w:rPr>
                <w:noProof/>
                <w:webHidden/>
              </w:rPr>
              <w:t>30</w:t>
            </w:r>
            <w:r>
              <w:rPr>
                <w:noProof/>
                <w:webHidden/>
              </w:rPr>
              <w:fldChar w:fldCharType="end"/>
            </w:r>
          </w:hyperlink>
        </w:p>
        <w:p w14:paraId="470B9499" w14:textId="43457424"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28" w:history="1">
            <w:r w:rsidRPr="000C209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_Toc237472628 \h </w:instrText>
            </w:r>
            <w:r>
              <w:rPr>
                <w:noProof/>
                <w:webHidden/>
              </w:rPr>
            </w:r>
            <w:r>
              <w:rPr>
                <w:noProof/>
                <w:webHidden/>
              </w:rPr>
              <w:fldChar w:fldCharType="separate"/>
            </w:r>
            <w:r w:rsidR="00BB7319">
              <w:rPr>
                <w:noProof/>
                <w:webHidden/>
              </w:rPr>
              <w:t>31</w:t>
            </w:r>
            <w:r>
              <w:rPr>
                <w:noProof/>
                <w:webHidden/>
              </w:rPr>
              <w:fldChar w:fldCharType="end"/>
            </w:r>
          </w:hyperlink>
        </w:p>
        <w:p w14:paraId="22509743" w14:textId="12666D29" w:rsidR="00430AD8" w:rsidRDefault="00430AD8" w:rsidP="006418D2">
          <w:pPr>
            <w:pStyle w:val="TOC1"/>
            <w:tabs>
              <w:tab w:val="right" w:leader="dot" w:pos="9350"/>
            </w:tabs>
            <w:spacing w:line="240" w:lineRule="auto"/>
            <w:rPr>
              <w:rFonts w:asciiTheme="minorHAnsi" w:eastAsiaTheme="minorEastAsia" w:hAnsiTheme="minorHAnsi" w:cstheme="minorBidi"/>
              <w:noProof/>
              <w:kern w:val="2"/>
              <w:lang w:val="en-IN" w:bidi="gu-IN"/>
              <w14:ligatures w14:val="standardContextual"/>
            </w:rPr>
          </w:pPr>
          <w:hyperlink w:anchor="_Toc237472629" w:history="1">
            <w:r w:rsidRPr="000C209B">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_Toc237472629 \h </w:instrText>
            </w:r>
            <w:r>
              <w:rPr>
                <w:noProof/>
                <w:webHidden/>
              </w:rPr>
            </w:r>
            <w:r>
              <w:rPr>
                <w:noProof/>
                <w:webHidden/>
              </w:rPr>
              <w:fldChar w:fldCharType="separate"/>
            </w:r>
            <w:r w:rsidR="00BB7319">
              <w:rPr>
                <w:noProof/>
                <w:webHidden/>
              </w:rPr>
              <w:t>37</w:t>
            </w:r>
            <w:r>
              <w:rPr>
                <w:noProof/>
                <w:webHidden/>
              </w:rPr>
              <w:fldChar w:fldCharType="end"/>
            </w:r>
          </w:hyperlink>
        </w:p>
        <w:p w14:paraId="08C7AB7A" w14:textId="080F8655"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30" w:history="1">
            <w:r w:rsidRPr="000C209B">
              <w:rPr>
                <w:rStyle w:val="Hyperlink"/>
                <w:rFonts w:ascii="Arial" w:hAnsi="Arial" w:cs="Arial"/>
                <w:noProof/>
              </w:rPr>
              <w:t>Appendix A: Financial Ratio Tables</w:t>
            </w:r>
            <w:r>
              <w:rPr>
                <w:noProof/>
                <w:webHidden/>
              </w:rPr>
              <w:tab/>
            </w:r>
            <w:r>
              <w:rPr>
                <w:noProof/>
                <w:webHidden/>
              </w:rPr>
              <w:fldChar w:fldCharType="begin"/>
            </w:r>
            <w:r>
              <w:rPr>
                <w:noProof/>
                <w:webHidden/>
              </w:rPr>
              <w:instrText xml:space="preserve"> PAGEREF _Toc237472630 \h </w:instrText>
            </w:r>
            <w:r>
              <w:rPr>
                <w:noProof/>
                <w:webHidden/>
              </w:rPr>
            </w:r>
            <w:r>
              <w:rPr>
                <w:noProof/>
                <w:webHidden/>
              </w:rPr>
              <w:fldChar w:fldCharType="separate"/>
            </w:r>
            <w:r w:rsidR="00BB7319">
              <w:rPr>
                <w:noProof/>
                <w:webHidden/>
              </w:rPr>
              <w:t>37</w:t>
            </w:r>
            <w:r>
              <w:rPr>
                <w:noProof/>
                <w:webHidden/>
              </w:rPr>
              <w:fldChar w:fldCharType="end"/>
            </w:r>
          </w:hyperlink>
        </w:p>
        <w:p w14:paraId="6F0A1B65" w14:textId="1C6C42E7"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31" w:history="1">
            <w:r w:rsidRPr="000C209B">
              <w:rPr>
                <w:rStyle w:val="Hyperlink"/>
                <w:rFonts w:ascii="Arial" w:hAnsi="Arial" w:cs="Arial"/>
                <w:noProof/>
              </w:rPr>
              <w:t>Appendix B: Financial Statements (2021–2025)</w:t>
            </w:r>
            <w:r>
              <w:rPr>
                <w:noProof/>
                <w:webHidden/>
              </w:rPr>
              <w:tab/>
            </w:r>
            <w:r>
              <w:rPr>
                <w:noProof/>
                <w:webHidden/>
              </w:rPr>
              <w:fldChar w:fldCharType="begin"/>
            </w:r>
            <w:r>
              <w:rPr>
                <w:noProof/>
                <w:webHidden/>
              </w:rPr>
              <w:instrText xml:space="preserve"> PAGEREF _Toc237472631 \h </w:instrText>
            </w:r>
            <w:r>
              <w:rPr>
                <w:noProof/>
                <w:webHidden/>
              </w:rPr>
            </w:r>
            <w:r>
              <w:rPr>
                <w:noProof/>
                <w:webHidden/>
              </w:rPr>
              <w:fldChar w:fldCharType="separate"/>
            </w:r>
            <w:r w:rsidR="00BB7319">
              <w:rPr>
                <w:noProof/>
                <w:webHidden/>
              </w:rPr>
              <w:t>42</w:t>
            </w:r>
            <w:r>
              <w:rPr>
                <w:noProof/>
                <w:webHidden/>
              </w:rPr>
              <w:fldChar w:fldCharType="end"/>
            </w:r>
          </w:hyperlink>
        </w:p>
        <w:p w14:paraId="71C9D4BE" w14:textId="50678D01"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32" w:history="1">
            <w:r w:rsidRPr="000C209B">
              <w:rPr>
                <w:rStyle w:val="Hyperlink"/>
                <w:rFonts w:ascii="Arial" w:hAnsi="Arial" w:cs="Arial"/>
                <w:noProof/>
              </w:rPr>
              <w:t>Appendix C: Working Capital Calculations</w:t>
            </w:r>
            <w:r>
              <w:rPr>
                <w:noProof/>
                <w:webHidden/>
              </w:rPr>
              <w:tab/>
            </w:r>
            <w:r>
              <w:rPr>
                <w:noProof/>
                <w:webHidden/>
              </w:rPr>
              <w:fldChar w:fldCharType="begin"/>
            </w:r>
            <w:r>
              <w:rPr>
                <w:noProof/>
                <w:webHidden/>
              </w:rPr>
              <w:instrText xml:space="preserve"> PAGEREF _Toc237472632 \h </w:instrText>
            </w:r>
            <w:r>
              <w:rPr>
                <w:noProof/>
                <w:webHidden/>
              </w:rPr>
            </w:r>
            <w:r>
              <w:rPr>
                <w:noProof/>
                <w:webHidden/>
              </w:rPr>
              <w:fldChar w:fldCharType="separate"/>
            </w:r>
            <w:r w:rsidR="00BB7319">
              <w:rPr>
                <w:noProof/>
                <w:webHidden/>
              </w:rPr>
              <w:t>44</w:t>
            </w:r>
            <w:r>
              <w:rPr>
                <w:noProof/>
                <w:webHidden/>
              </w:rPr>
              <w:fldChar w:fldCharType="end"/>
            </w:r>
          </w:hyperlink>
        </w:p>
        <w:p w14:paraId="66F38252" w14:textId="494A2CB2" w:rsidR="00430AD8" w:rsidRDefault="00430AD8" w:rsidP="006418D2">
          <w:pPr>
            <w:pStyle w:val="TOC2"/>
            <w:tabs>
              <w:tab w:val="right" w:leader="do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472633" w:history="1">
            <w:r w:rsidRPr="000C209B">
              <w:rPr>
                <w:rStyle w:val="Hyperlink"/>
                <w:rFonts w:ascii="Arial" w:hAnsi="Arial" w:cs="Arial"/>
                <w:noProof/>
              </w:rPr>
              <w:t>Appendix D: Investment Appraisal Calculations</w:t>
            </w:r>
            <w:r>
              <w:rPr>
                <w:noProof/>
                <w:webHidden/>
              </w:rPr>
              <w:tab/>
            </w:r>
            <w:r>
              <w:rPr>
                <w:noProof/>
                <w:webHidden/>
              </w:rPr>
              <w:fldChar w:fldCharType="begin"/>
            </w:r>
            <w:r>
              <w:rPr>
                <w:noProof/>
                <w:webHidden/>
              </w:rPr>
              <w:instrText xml:space="preserve"> PAGEREF _Toc237472633 \h </w:instrText>
            </w:r>
            <w:r>
              <w:rPr>
                <w:noProof/>
                <w:webHidden/>
              </w:rPr>
            </w:r>
            <w:r>
              <w:rPr>
                <w:noProof/>
                <w:webHidden/>
              </w:rPr>
              <w:fldChar w:fldCharType="separate"/>
            </w:r>
            <w:r w:rsidR="00BB7319">
              <w:rPr>
                <w:noProof/>
                <w:webHidden/>
              </w:rPr>
              <w:t>46</w:t>
            </w:r>
            <w:r>
              <w:rPr>
                <w:noProof/>
                <w:webHidden/>
              </w:rPr>
              <w:fldChar w:fldCharType="end"/>
            </w:r>
          </w:hyperlink>
        </w:p>
        <w:p w14:paraId="104D3C2A" w14:textId="26DB6306" w:rsidR="009D4E2F" w:rsidRDefault="00314650" w:rsidP="006418D2">
          <w:pPr>
            <w:widowControl w:val="0"/>
            <w:tabs>
              <w:tab w:val="right" w:leader="dot" w:pos="12000"/>
            </w:tabs>
            <w:spacing w:before="60" w:after="0" w:line="240" w:lineRule="auto"/>
            <w:ind w:left="360"/>
            <w:jc w:val="left"/>
            <w:rPr>
              <w:rFonts w:ascii="Arial" w:hAnsi="Arial" w:cs="Arial"/>
              <w:color w:val="000000"/>
            </w:rPr>
          </w:pPr>
          <w:r>
            <w:rPr>
              <w:rFonts w:ascii="Arial" w:hAnsi="Arial" w:cs="Arial"/>
            </w:rPr>
            <w:fldChar w:fldCharType="end"/>
          </w:r>
        </w:p>
      </w:sdtContent>
    </w:sdt>
    <w:p w14:paraId="7E09DD89" w14:textId="77777777" w:rsidR="009D4E2F" w:rsidRDefault="009D4E2F">
      <w:pPr>
        <w:spacing w:before="360" w:after="80"/>
        <w:jc w:val="center"/>
        <w:rPr>
          <w:rFonts w:ascii="Arial" w:hAnsi="Arial" w:cs="Arial"/>
          <w:b/>
          <w:bCs/>
        </w:rPr>
      </w:pPr>
    </w:p>
    <w:p w14:paraId="4382B33E" w14:textId="77777777" w:rsidR="009F432B" w:rsidRDefault="009F432B">
      <w:pPr>
        <w:spacing w:after="0" w:line="240" w:lineRule="auto"/>
        <w:jc w:val="left"/>
        <w:rPr>
          <w:rFonts w:ascii="Arial" w:hAnsi="Arial" w:cs="Arial"/>
          <w:b/>
          <w:bCs/>
        </w:rPr>
      </w:pPr>
      <w:bookmarkStart w:id="1" w:name="_3d5s0hj2zbe3" w:colFirst="0" w:colLast="0"/>
      <w:bookmarkStart w:id="2" w:name="_Toc237472597"/>
      <w:bookmarkEnd w:id="1"/>
      <w:r>
        <w:rPr>
          <w:rFonts w:ascii="Arial" w:hAnsi="Arial" w:cs="Arial"/>
        </w:rPr>
        <w:br w:type="page"/>
      </w:r>
    </w:p>
    <w:p w14:paraId="137F591E" w14:textId="19BEB06B" w:rsidR="009D4E2F" w:rsidRDefault="00314650">
      <w:pPr>
        <w:pStyle w:val="Heading1"/>
        <w:keepNext w:val="0"/>
        <w:keepLines w:val="0"/>
        <w:spacing w:before="360" w:after="80"/>
        <w:rPr>
          <w:rFonts w:ascii="Arial" w:hAnsi="Arial" w:cs="Arial"/>
          <w:sz w:val="24"/>
          <w:szCs w:val="24"/>
        </w:rPr>
      </w:pPr>
      <w:r>
        <w:rPr>
          <w:rFonts w:ascii="Arial" w:hAnsi="Arial" w:cs="Arial"/>
          <w:sz w:val="24"/>
          <w:szCs w:val="24"/>
        </w:rPr>
        <w:lastRenderedPageBreak/>
        <w:t>1. Financial Health Check</w:t>
      </w:r>
      <w:bookmarkEnd w:id="2"/>
    </w:p>
    <w:p w14:paraId="178A940A" w14:textId="77777777" w:rsidR="009D4E2F" w:rsidRDefault="00314650">
      <w:pPr>
        <w:pStyle w:val="Heading2"/>
        <w:keepNext w:val="0"/>
        <w:keepLines w:val="0"/>
        <w:spacing w:before="280" w:after="80"/>
        <w:rPr>
          <w:rFonts w:ascii="Arial" w:hAnsi="Arial" w:cs="Arial"/>
        </w:rPr>
      </w:pPr>
      <w:bookmarkStart w:id="3" w:name="_Toc237472598"/>
      <w:r>
        <w:rPr>
          <w:rFonts w:ascii="Arial" w:hAnsi="Arial" w:cs="Arial"/>
        </w:rPr>
        <w:t>1.1 Overview of Financial Performance</w:t>
      </w:r>
      <w:bookmarkEnd w:id="3"/>
    </w:p>
    <w:p w14:paraId="3A5E09B1" w14:textId="2F0A72C8" w:rsidR="009D4E2F" w:rsidRDefault="00C47290">
      <w:pPr>
        <w:rPr>
          <w:rFonts w:ascii="Arial" w:hAnsi="Arial" w:cs="Arial"/>
        </w:rPr>
      </w:pPr>
      <w:r>
        <w:rPr>
          <w:rFonts w:ascii="Arial" w:hAnsi="Arial" w:cs="Arial"/>
          <w:noProof/>
        </w:rPr>
        <w:drawing>
          <wp:inline distT="0" distB="0" distL="0" distR="0" wp14:anchorId="12B5FC56" wp14:editId="084DE302">
            <wp:extent cx="5956300" cy="3719195"/>
            <wp:effectExtent l="0" t="0" r="6350" b="0"/>
            <wp:docPr id="2082666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300" cy="3719195"/>
                    </a:xfrm>
                    <a:prstGeom prst="rect">
                      <a:avLst/>
                    </a:prstGeom>
                    <a:noFill/>
                  </pic:spPr>
                </pic:pic>
              </a:graphicData>
            </a:graphic>
          </wp:inline>
        </w:drawing>
      </w:r>
    </w:p>
    <w:p w14:paraId="44A69EC5" w14:textId="77777777" w:rsidR="009D4E2F" w:rsidRDefault="00314650">
      <w:pPr>
        <w:jc w:val="center"/>
        <w:rPr>
          <w:rFonts w:ascii="Arial" w:hAnsi="Arial" w:cs="Arial"/>
          <w:b/>
          <w:bCs/>
        </w:rPr>
      </w:pPr>
      <w:r>
        <w:rPr>
          <w:rFonts w:ascii="Arial" w:hAnsi="Arial" w:cs="Arial"/>
          <w:b/>
          <w:bCs/>
        </w:rPr>
        <w:t>Figure 1: Overview of Financial Performance</w:t>
      </w:r>
    </w:p>
    <w:p w14:paraId="4725D2BE"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1112A170" w14:textId="77777777" w:rsidR="009D4E2F" w:rsidRDefault="00314650">
      <w:pPr>
        <w:rPr>
          <w:rFonts w:ascii="Arial" w:hAnsi="Arial" w:cs="Arial"/>
        </w:rPr>
      </w:pPr>
      <w:r>
        <w:rPr>
          <w:rFonts w:ascii="Arial" w:hAnsi="Arial" w:cs="Arial"/>
        </w:rPr>
        <w:t xml:space="preserve">Hilton Worldwide holdings, Inc. enjoyed robust financial growth in 2021-2025 following a recovery in global tourism and business travel. Revenue rose to $12.04 billion in 2025, up 108 per cent on $5.79 billion in 2021. Gross profit increased to $3.40 billion as compared to $1.66 billion and the EBIT increased to $2.69 billion as compared to $1.01 billion. The net income grew way upwards to $1.46 billion as compared to $407 million, which indicates better operation </w:t>
      </w:r>
      <w:proofErr w:type="gramStart"/>
      <w:r>
        <w:rPr>
          <w:rFonts w:ascii="Arial" w:hAnsi="Arial" w:cs="Arial"/>
        </w:rPr>
        <w:t>in spite of</w:t>
      </w:r>
      <w:proofErr w:type="gramEnd"/>
      <w:r>
        <w:rPr>
          <w:rFonts w:ascii="Arial" w:hAnsi="Arial" w:cs="Arial"/>
        </w:rPr>
        <w:t xml:space="preserve"> increased financing costs. There was also an increment in total assets to $16.77 billion (as compared to $15.44 billion), which shows </w:t>
      </w:r>
      <w:r>
        <w:rPr>
          <w:rFonts w:ascii="Arial" w:hAnsi="Arial" w:cs="Arial"/>
        </w:rPr>
        <w:lastRenderedPageBreak/>
        <w:t>the further investment and expansion of businesses (Hilton, 2022; Hilton Worldwide Holdings Inc., 2023; Hilton Worldwide Holdings Inc, 2025).</w:t>
      </w:r>
    </w:p>
    <w:p w14:paraId="12C7F412" w14:textId="77777777" w:rsidR="009D4E2F" w:rsidRDefault="00314650">
      <w:pPr>
        <w:pStyle w:val="Heading2"/>
        <w:keepNext w:val="0"/>
        <w:keepLines w:val="0"/>
        <w:spacing w:before="280" w:after="80"/>
        <w:rPr>
          <w:rFonts w:ascii="Arial" w:hAnsi="Arial" w:cs="Arial"/>
        </w:rPr>
      </w:pPr>
      <w:bookmarkStart w:id="4" w:name="_Toc237472599"/>
      <w:r>
        <w:rPr>
          <w:rFonts w:ascii="Arial" w:hAnsi="Arial" w:cs="Arial"/>
        </w:rPr>
        <w:t>1.2 Ratio Analysis</w:t>
      </w:r>
      <w:bookmarkEnd w:id="4"/>
    </w:p>
    <w:p w14:paraId="1BEB1ABA" w14:textId="77777777" w:rsidR="009D4E2F" w:rsidRDefault="00314650">
      <w:pPr>
        <w:pStyle w:val="Heading3"/>
        <w:keepNext w:val="0"/>
        <w:keepLines w:val="0"/>
        <w:spacing w:before="240" w:after="40"/>
        <w:rPr>
          <w:rFonts w:ascii="Arial" w:hAnsi="Arial" w:cs="Arial"/>
        </w:rPr>
      </w:pPr>
      <w:bookmarkStart w:id="5" w:name="_a31i7ql9c732" w:colFirst="0" w:colLast="0"/>
      <w:bookmarkEnd w:id="5"/>
      <w:r>
        <w:rPr>
          <w:rFonts w:ascii="Arial" w:hAnsi="Arial" w:cs="Arial"/>
        </w:rPr>
        <w:t>1.2.1 Profitability Ratios</w:t>
      </w:r>
    </w:p>
    <w:p w14:paraId="256D104A" w14:textId="44E22D51" w:rsidR="009D4E2F" w:rsidRDefault="00C47290">
      <w:pPr>
        <w:rPr>
          <w:rFonts w:ascii="Arial" w:hAnsi="Arial" w:cs="Arial"/>
        </w:rPr>
      </w:pPr>
      <w:r>
        <w:rPr>
          <w:rFonts w:ascii="Arial" w:hAnsi="Arial" w:cs="Arial"/>
          <w:noProof/>
        </w:rPr>
        <w:drawing>
          <wp:inline distT="0" distB="0" distL="0" distR="0" wp14:anchorId="321548C8" wp14:editId="2DB99DA9">
            <wp:extent cx="5383530" cy="2268220"/>
            <wp:effectExtent l="0" t="0" r="7620" b="0"/>
            <wp:docPr id="1443723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3530" cy="2268220"/>
                    </a:xfrm>
                    <a:prstGeom prst="rect">
                      <a:avLst/>
                    </a:prstGeom>
                    <a:noFill/>
                  </pic:spPr>
                </pic:pic>
              </a:graphicData>
            </a:graphic>
          </wp:inline>
        </w:drawing>
      </w:r>
    </w:p>
    <w:p w14:paraId="64169BA1" w14:textId="77777777" w:rsidR="009D4E2F" w:rsidRDefault="00314650">
      <w:pPr>
        <w:jc w:val="center"/>
        <w:rPr>
          <w:rFonts w:ascii="Arial" w:hAnsi="Arial" w:cs="Arial"/>
          <w:b/>
          <w:bCs/>
        </w:rPr>
      </w:pPr>
      <w:r>
        <w:rPr>
          <w:rFonts w:ascii="Arial" w:hAnsi="Arial" w:cs="Arial"/>
          <w:b/>
          <w:bCs/>
        </w:rPr>
        <w:t>Figure 2: Profitability Ratios</w:t>
      </w:r>
    </w:p>
    <w:p w14:paraId="525D6AE5"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64DAB33F" w14:textId="77777777" w:rsidR="009D4E2F" w:rsidRDefault="00314650">
      <w:pPr>
        <w:rPr>
          <w:rFonts w:ascii="Arial" w:hAnsi="Arial" w:cs="Arial"/>
        </w:rPr>
      </w:pPr>
      <w:r>
        <w:rPr>
          <w:rFonts w:ascii="Arial" w:hAnsi="Arial" w:cs="Arial"/>
          <w:noProof/>
        </w:rPr>
        <w:drawing>
          <wp:inline distT="0" distB="0" distL="0" distR="0" wp14:anchorId="355E304C" wp14:editId="796F9432">
            <wp:extent cx="5943600" cy="1530985"/>
            <wp:effectExtent l="0" t="0" r="0" b="0"/>
            <wp:docPr id="1470711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711737"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43600" cy="1530985"/>
                    </a:xfrm>
                    <a:prstGeom prst="rect">
                      <a:avLst/>
                    </a:prstGeom>
                    <a:noFill/>
                    <a:ln>
                      <a:noFill/>
                    </a:ln>
                  </pic:spPr>
                </pic:pic>
              </a:graphicData>
            </a:graphic>
          </wp:inline>
        </w:drawing>
      </w:r>
    </w:p>
    <w:p w14:paraId="351B72D8" w14:textId="77777777" w:rsidR="009D4E2F" w:rsidRDefault="00314650">
      <w:pPr>
        <w:jc w:val="center"/>
        <w:rPr>
          <w:rFonts w:ascii="Arial" w:hAnsi="Arial" w:cs="Arial"/>
          <w:b/>
          <w:bCs/>
        </w:rPr>
      </w:pPr>
      <w:r>
        <w:rPr>
          <w:rFonts w:ascii="Arial" w:hAnsi="Arial" w:cs="Arial"/>
          <w:b/>
          <w:bCs/>
        </w:rPr>
        <w:t>Table 1: Profitability Ratios</w:t>
      </w:r>
    </w:p>
    <w:p w14:paraId="7911A514" w14:textId="77777777" w:rsidR="009D4E2F" w:rsidRDefault="00314650">
      <w:pPr>
        <w:jc w:val="center"/>
        <w:rPr>
          <w:rFonts w:ascii="Arial" w:hAnsi="Arial" w:cs="Arial"/>
          <w:b/>
          <w:bCs/>
        </w:rPr>
      </w:pPr>
      <w:r>
        <w:rPr>
          <w:rFonts w:ascii="Arial" w:hAnsi="Arial" w:cs="Arial"/>
        </w:rPr>
        <w:t>(Source: Self-Created using data from Hilton, 2022; Hilton Worldwide Holdings Inc., 2023; Hilton Worldwide Holdings Inc, 2025)</w:t>
      </w:r>
    </w:p>
    <w:p w14:paraId="34F6DD96" w14:textId="77777777" w:rsidR="009D4E2F" w:rsidRDefault="00314650">
      <w:pPr>
        <w:rPr>
          <w:rFonts w:ascii="Arial" w:hAnsi="Arial" w:cs="Arial"/>
        </w:rPr>
      </w:pPr>
      <w:r>
        <w:rPr>
          <w:rFonts w:ascii="Arial" w:hAnsi="Arial" w:cs="Arial"/>
        </w:rPr>
        <w:lastRenderedPageBreak/>
        <w:t xml:space="preserve">The profitability of Hilton had been on an upward trend. Gross profit margin increased from 28.6% in 2021 to 30.8% in 2022 before easing to 28.2% in 2025. </w:t>
      </w:r>
      <w:proofErr w:type="gramStart"/>
      <w:r>
        <w:rPr>
          <w:rFonts w:ascii="Arial" w:hAnsi="Arial" w:cs="Arial"/>
        </w:rPr>
        <w:t>EBIT</w:t>
      </w:r>
      <w:proofErr w:type="gramEnd"/>
      <w:r>
        <w:rPr>
          <w:rFonts w:ascii="Arial" w:hAnsi="Arial" w:cs="Arial"/>
        </w:rPr>
        <w:t xml:space="preserve"> margin was improved by 17.4 percent to 22.4 percent and net profit margin was improved by 7.0 percent to 12.1 percent which shows positive earnings. Return on Assets (ROA) </w:t>
      </w:r>
      <w:proofErr w:type="gramStart"/>
      <w:r>
        <w:rPr>
          <w:rFonts w:ascii="Arial" w:hAnsi="Arial" w:cs="Arial"/>
        </w:rPr>
        <w:t>was increased</w:t>
      </w:r>
      <w:proofErr w:type="gramEnd"/>
      <w:r>
        <w:rPr>
          <w:rFonts w:ascii="Arial" w:hAnsi="Arial" w:cs="Arial"/>
        </w:rPr>
        <w:t xml:space="preserve"> by a margin of 2.6% to 8.7, indicating better usage of the assets. Though the Return on equity (ROE) had been negative due to the presence of negative shareholders in terms of shareholders equity, Return on Capital Employed (ROCE) rose by 8.1 percent to 22.0 percent which implied that the long-term capital was used more optimally. The EBITDA margin also improved and rose to 23.8 as opposed to 20.7 and this is an indication of better operating efficiency (Hilton, 2022; Hilton Worldwide Holdings Inc., 2023; </w:t>
      </w:r>
      <w:r>
        <w:rPr>
          <w:rFonts w:ascii="Arial" w:hAnsi="Arial" w:cs="Arial"/>
        </w:rPr>
        <w:t>Hilton Worldwide Holdings Inc, 2025).</w:t>
      </w:r>
    </w:p>
    <w:p w14:paraId="7D9F9DED" w14:textId="77777777" w:rsidR="009D4E2F" w:rsidRDefault="00314650">
      <w:pPr>
        <w:pStyle w:val="Heading3"/>
        <w:keepNext w:val="0"/>
        <w:keepLines w:val="0"/>
        <w:spacing w:before="240" w:after="40"/>
        <w:rPr>
          <w:rFonts w:ascii="Arial" w:hAnsi="Arial" w:cs="Arial"/>
        </w:rPr>
      </w:pPr>
      <w:bookmarkStart w:id="6" w:name="_o7puf4f2dyoj" w:colFirst="0" w:colLast="0"/>
      <w:bookmarkEnd w:id="6"/>
      <w:r>
        <w:rPr>
          <w:rFonts w:ascii="Arial" w:hAnsi="Arial" w:cs="Arial"/>
        </w:rPr>
        <w:t>1.2.2 Liquidity Ratios</w:t>
      </w:r>
    </w:p>
    <w:p w14:paraId="6F7A9683" w14:textId="0DABAED9" w:rsidR="009D4E2F" w:rsidRDefault="00C47290">
      <w:pPr>
        <w:rPr>
          <w:rFonts w:ascii="Arial" w:hAnsi="Arial" w:cs="Arial"/>
        </w:rPr>
      </w:pPr>
      <w:r>
        <w:rPr>
          <w:rFonts w:ascii="Arial" w:hAnsi="Arial" w:cs="Arial"/>
          <w:noProof/>
        </w:rPr>
        <w:drawing>
          <wp:inline distT="0" distB="0" distL="0" distR="0" wp14:anchorId="3BE8C51F" wp14:editId="4A7BE276">
            <wp:extent cx="5858510" cy="2755900"/>
            <wp:effectExtent l="0" t="0" r="8890" b="6350"/>
            <wp:docPr id="2089209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2755900"/>
                    </a:xfrm>
                    <a:prstGeom prst="rect">
                      <a:avLst/>
                    </a:prstGeom>
                    <a:noFill/>
                  </pic:spPr>
                </pic:pic>
              </a:graphicData>
            </a:graphic>
          </wp:inline>
        </w:drawing>
      </w:r>
    </w:p>
    <w:p w14:paraId="4CED24E3" w14:textId="77777777" w:rsidR="009D4E2F" w:rsidRDefault="00314650">
      <w:pPr>
        <w:jc w:val="center"/>
        <w:rPr>
          <w:rFonts w:ascii="Arial" w:hAnsi="Arial" w:cs="Arial"/>
          <w:b/>
          <w:bCs/>
        </w:rPr>
      </w:pPr>
      <w:r>
        <w:rPr>
          <w:rFonts w:ascii="Arial" w:hAnsi="Arial" w:cs="Arial"/>
          <w:b/>
          <w:bCs/>
        </w:rPr>
        <w:t>Figure 3: Liquidity Ratios</w:t>
      </w:r>
    </w:p>
    <w:p w14:paraId="40ACF7B3"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46A762B2" w14:textId="77777777" w:rsidR="009D4E2F" w:rsidRDefault="00314650">
      <w:pPr>
        <w:rPr>
          <w:rFonts w:ascii="Arial" w:hAnsi="Arial" w:cs="Arial"/>
        </w:rPr>
      </w:pPr>
      <w:r>
        <w:rPr>
          <w:rFonts w:ascii="Arial" w:hAnsi="Arial" w:cs="Arial"/>
          <w:noProof/>
        </w:rPr>
        <w:lastRenderedPageBreak/>
        <w:drawing>
          <wp:inline distT="0" distB="0" distL="0" distR="0" wp14:anchorId="35A1DEF3" wp14:editId="652E4376">
            <wp:extent cx="6172197" cy="1076178"/>
            <wp:effectExtent l="0" t="0" r="635" b="0"/>
            <wp:docPr id="6287460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46015"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198999" cy="1080851"/>
                    </a:xfrm>
                    <a:prstGeom prst="rect">
                      <a:avLst/>
                    </a:prstGeom>
                    <a:noFill/>
                    <a:ln>
                      <a:noFill/>
                    </a:ln>
                  </pic:spPr>
                </pic:pic>
              </a:graphicData>
            </a:graphic>
          </wp:inline>
        </w:drawing>
      </w:r>
    </w:p>
    <w:p w14:paraId="1E822A3F" w14:textId="77777777" w:rsidR="009D4E2F" w:rsidRDefault="00314650">
      <w:pPr>
        <w:jc w:val="center"/>
        <w:rPr>
          <w:rFonts w:ascii="Arial" w:hAnsi="Arial" w:cs="Arial"/>
          <w:b/>
          <w:bCs/>
        </w:rPr>
      </w:pPr>
      <w:r>
        <w:rPr>
          <w:rFonts w:ascii="Arial" w:hAnsi="Arial" w:cs="Arial"/>
          <w:b/>
          <w:bCs/>
        </w:rPr>
        <w:t>Table 2: Liquidity Ratios</w:t>
      </w:r>
    </w:p>
    <w:p w14:paraId="029B75BA"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210014F3" w14:textId="77777777" w:rsidR="009D4E2F" w:rsidRDefault="00314650">
      <w:pPr>
        <w:rPr>
          <w:rFonts w:ascii="Arial" w:hAnsi="Arial" w:cs="Arial"/>
        </w:rPr>
      </w:pPr>
      <w:r>
        <w:rPr>
          <w:rFonts w:ascii="Arial" w:hAnsi="Arial" w:cs="Arial"/>
        </w:rPr>
        <w:t xml:space="preserve">The liquidity ratios were lower and below the conventional levels in Hilton. The current ratio of 0.95 in 2021 decreased to 0.66 in 2025 with the quick ratio similarly decreasing because there were low levels of inventories. The cash ratio went down to 0.20, 0.47 to indicate less in terms of cash in comparison with current liabilities. The net working capital also worsened to negative $148 million and negative $1.51 billion (Hilton, 2022; Hilton Worldwide Holdings Inc., 2023; Hilton Worldwide Holdings Inc, </w:t>
      </w:r>
      <w:r>
        <w:rPr>
          <w:rFonts w:ascii="Arial" w:hAnsi="Arial" w:cs="Arial"/>
        </w:rPr>
        <w:t>2025). These weak liquidity measures are however minimized by the asset light business model and the stable operating cash flows of Hilton (Simply Wall St, 2026).</w:t>
      </w:r>
    </w:p>
    <w:p w14:paraId="1B30607C" w14:textId="77777777" w:rsidR="009D4E2F" w:rsidRDefault="00314650">
      <w:pPr>
        <w:pStyle w:val="Heading3"/>
        <w:keepNext w:val="0"/>
        <w:keepLines w:val="0"/>
        <w:spacing w:before="240" w:after="40"/>
        <w:rPr>
          <w:rFonts w:ascii="Arial" w:hAnsi="Arial" w:cs="Arial"/>
        </w:rPr>
      </w:pPr>
      <w:bookmarkStart w:id="7" w:name="_l2mxplunl88" w:colFirst="0" w:colLast="0"/>
      <w:bookmarkEnd w:id="7"/>
      <w:r>
        <w:rPr>
          <w:rFonts w:ascii="Arial" w:hAnsi="Arial" w:cs="Arial"/>
        </w:rPr>
        <w:t>1.2.3 Efficiency Ratios</w:t>
      </w:r>
    </w:p>
    <w:p w14:paraId="29F233FD" w14:textId="74028CB4" w:rsidR="009D4E2F" w:rsidRDefault="00C47290">
      <w:pPr>
        <w:rPr>
          <w:rFonts w:ascii="Arial" w:hAnsi="Arial" w:cs="Arial"/>
        </w:rPr>
      </w:pPr>
      <w:r>
        <w:rPr>
          <w:rFonts w:ascii="Arial" w:hAnsi="Arial" w:cs="Arial"/>
          <w:noProof/>
        </w:rPr>
        <w:drawing>
          <wp:inline distT="0" distB="0" distL="0" distR="0" wp14:anchorId="065E9A25" wp14:editId="5D796CEF">
            <wp:extent cx="5326912" cy="2503118"/>
            <wp:effectExtent l="0" t="0" r="7620" b="0"/>
            <wp:docPr id="134189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109" cy="2506500"/>
                    </a:xfrm>
                    <a:prstGeom prst="rect">
                      <a:avLst/>
                    </a:prstGeom>
                    <a:noFill/>
                  </pic:spPr>
                </pic:pic>
              </a:graphicData>
            </a:graphic>
          </wp:inline>
        </w:drawing>
      </w:r>
    </w:p>
    <w:p w14:paraId="4BC13A90" w14:textId="77777777" w:rsidR="009D4E2F" w:rsidRDefault="00314650">
      <w:pPr>
        <w:jc w:val="center"/>
        <w:rPr>
          <w:rFonts w:ascii="Arial" w:hAnsi="Arial" w:cs="Arial"/>
          <w:b/>
          <w:bCs/>
        </w:rPr>
      </w:pPr>
      <w:r>
        <w:rPr>
          <w:rFonts w:ascii="Arial" w:hAnsi="Arial" w:cs="Arial"/>
          <w:b/>
          <w:bCs/>
        </w:rPr>
        <w:t>Figure 4: Efficiency Ratios</w:t>
      </w:r>
    </w:p>
    <w:p w14:paraId="4EF0955B" w14:textId="77777777" w:rsidR="009D4E2F" w:rsidRDefault="00314650">
      <w:pPr>
        <w:rPr>
          <w:rFonts w:ascii="Arial" w:hAnsi="Arial" w:cs="Arial"/>
        </w:rPr>
      </w:pPr>
      <w:r>
        <w:rPr>
          <w:rFonts w:ascii="Arial" w:hAnsi="Arial" w:cs="Arial"/>
        </w:rPr>
        <w:lastRenderedPageBreak/>
        <w:t>(Source: Self-Created using data from Hilton, 2022; Hilton Worldwide Holdings Inc., 2023; Hilton Worldwide Holdings Inc, 2025)</w:t>
      </w:r>
    </w:p>
    <w:p w14:paraId="7E9EA53D" w14:textId="77777777" w:rsidR="009D4E2F" w:rsidRDefault="00314650">
      <w:pPr>
        <w:rPr>
          <w:rFonts w:ascii="Arial" w:hAnsi="Arial" w:cs="Arial"/>
        </w:rPr>
      </w:pPr>
      <w:r>
        <w:rPr>
          <w:rFonts w:ascii="Arial" w:hAnsi="Arial" w:cs="Arial"/>
          <w:noProof/>
        </w:rPr>
        <w:drawing>
          <wp:inline distT="0" distB="0" distL="0" distR="0" wp14:anchorId="355FB12C" wp14:editId="331CBF46">
            <wp:extent cx="5943600" cy="1778635"/>
            <wp:effectExtent l="0" t="0" r="0" b="0"/>
            <wp:docPr id="1787079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79311"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943600" cy="1778635"/>
                    </a:xfrm>
                    <a:prstGeom prst="rect">
                      <a:avLst/>
                    </a:prstGeom>
                    <a:noFill/>
                    <a:ln>
                      <a:noFill/>
                    </a:ln>
                  </pic:spPr>
                </pic:pic>
              </a:graphicData>
            </a:graphic>
          </wp:inline>
        </w:drawing>
      </w:r>
    </w:p>
    <w:p w14:paraId="2736058E" w14:textId="77777777" w:rsidR="009D4E2F" w:rsidRDefault="00314650">
      <w:pPr>
        <w:jc w:val="center"/>
        <w:rPr>
          <w:rFonts w:ascii="Arial" w:hAnsi="Arial" w:cs="Arial"/>
          <w:b/>
          <w:bCs/>
        </w:rPr>
      </w:pPr>
      <w:r>
        <w:rPr>
          <w:rFonts w:ascii="Arial" w:hAnsi="Arial" w:cs="Arial"/>
          <w:b/>
          <w:bCs/>
        </w:rPr>
        <w:t>Table 3: Efficiency Ratios</w:t>
      </w:r>
    </w:p>
    <w:p w14:paraId="5E7FDDBE" w14:textId="77777777" w:rsidR="009D4E2F" w:rsidRDefault="00314650">
      <w:pPr>
        <w:jc w:val="center"/>
        <w:rPr>
          <w:rFonts w:ascii="Arial" w:hAnsi="Arial" w:cs="Arial"/>
          <w:b/>
          <w:bCs/>
        </w:rPr>
      </w:pPr>
      <w:r>
        <w:rPr>
          <w:rFonts w:ascii="Arial" w:hAnsi="Arial" w:cs="Arial"/>
        </w:rPr>
        <w:t>(Source: Self-Created using data from Hilton, 2022; Hilton Worldwide Holdings Inc., 2023; Hilton Worldwide Holdings Inc, 2025)</w:t>
      </w:r>
    </w:p>
    <w:p w14:paraId="6A6AB4F6" w14:textId="77777777" w:rsidR="009D4E2F" w:rsidRDefault="00314650">
      <w:pPr>
        <w:rPr>
          <w:rFonts w:ascii="Arial" w:hAnsi="Arial" w:cs="Arial"/>
        </w:rPr>
      </w:pPr>
      <w:r>
        <w:rPr>
          <w:rFonts w:ascii="Arial" w:hAnsi="Arial" w:cs="Arial"/>
        </w:rPr>
        <w:t xml:space="preserve">The efficiency of operations increased over the period of five years. Asset turnover rose by 0.37 to 0.72, which is a sign of </w:t>
      </w:r>
      <w:proofErr w:type="gramStart"/>
      <w:r>
        <w:rPr>
          <w:rFonts w:ascii="Arial" w:hAnsi="Arial" w:cs="Arial"/>
        </w:rPr>
        <w:t>a better</w:t>
      </w:r>
      <w:proofErr w:type="gramEnd"/>
      <w:r>
        <w:rPr>
          <w:rFonts w:ascii="Arial" w:hAnsi="Arial" w:cs="Arial"/>
        </w:rPr>
        <w:t xml:space="preserve"> </w:t>
      </w:r>
      <w:proofErr w:type="spellStart"/>
      <w:r>
        <w:rPr>
          <w:rFonts w:ascii="Arial" w:hAnsi="Arial" w:cs="Arial"/>
        </w:rPr>
        <w:t>utilisation</w:t>
      </w:r>
      <w:proofErr w:type="spellEnd"/>
      <w:r>
        <w:rPr>
          <w:rFonts w:ascii="Arial" w:hAnsi="Arial" w:cs="Arial"/>
        </w:rPr>
        <w:t xml:space="preserve"> of the company assets. The turnover of receivables increased by 5.42 to 7.12 and Days Sales Outstanding reduced by 67.3 days to 51.2 </w:t>
      </w:r>
      <w:proofErr w:type="gramStart"/>
      <w:r>
        <w:rPr>
          <w:rFonts w:ascii="Arial" w:hAnsi="Arial" w:cs="Arial"/>
        </w:rPr>
        <w:t>days</w:t>
      </w:r>
      <w:proofErr w:type="gramEnd"/>
      <w:r>
        <w:rPr>
          <w:rFonts w:ascii="Arial" w:hAnsi="Arial" w:cs="Arial"/>
        </w:rPr>
        <w:t xml:space="preserve"> which is a faster collection. Payables Days. Payables Days also decreased by 138.5 days to 98.6 days (Hilton, 2022; Hilton Worldwide Holdings Inc., 2023; Hilton Worldwide Holdings Inc, 2025). Hilton also had a negative Cash Conversion Cycle which showed that customer receipts were still funding day-to-day operations as well as supporting healthy operating cash flows (Alameri et al., 2021).</w:t>
      </w:r>
    </w:p>
    <w:p w14:paraId="18C214AC" w14:textId="77777777" w:rsidR="00C47290" w:rsidRDefault="00C47290">
      <w:pPr>
        <w:spacing w:after="0" w:line="240" w:lineRule="auto"/>
        <w:jc w:val="left"/>
        <w:rPr>
          <w:rFonts w:ascii="Arial" w:hAnsi="Arial" w:cs="Arial"/>
          <w:b/>
          <w:bCs/>
          <w:i/>
          <w:iCs/>
        </w:rPr>
      </w:pPr>
      <w:bookmarkStart w:id="8" w:name="_x9tiovxephwq" w:colFirst="0" w:colLast="0"/>
      <w:bookmarkEnd w:id="8"/>
      <w:r>
        <w:rPr>
          <w:rFonts w:ascii="Arial" w:hAnsi="Arial" w:cs="Arial"/>
        </w:rPr>
        <w:br w:type="page"/>
      </w:r>
    </w:p>
    <w:p w14:paraId="1AAD33A3" w14:textId="3ADF04A6" w:rsidR="009D4E2F" w:rsidRDefault="00314650">
      <w:pPr>
        <w:pStyle w:val="Heading3"/>
        <w:keepNext w:val="0"/>
        <w:keepLines w:val="0"/>
        <w:spacing w:before="240" w:after="40"/>
        <w:rPr>
          <w:rFonts w:ascii="Arial" w:hAnsi="Arial" w:cs="Arial"/>
        </w:rPr>
      </w:pPr>
      <w:r>
        <w:rPr>
          <w:rFonts w:ascii="Arial" w:hAnsi="Arial" w:cs="Arial"/>
        </w:rPr>
        <w:lastRenderedPageBreak/>
        <w:t>1.2.4 Gearing (Leverage) Ratios</w:t>
      </w:r>
    </w:p>
    <w:p w14:paraId="01A2A7C5" w14:textId="77777777" w:rsidR="009D4E2F" w:rsidRDefault="00314650">
      <w:pPr>
        <w:rPr>
          <w:rFonts w:ascii="Arial" w:hAnsi="Arial" w:cs="Arial"/>
        </w:rPr>
      </w:pPr>
      <w:r>
        <w:rPr>
          <w:rFonts w:ascii="Arial" w:hAnsi="Arial" w:cs="Arial"/>
          <w:noProof/>
        </w:rPr>
        <w:drawing>
          <wp:inline distT="0" distB="0" distL="0" distR="0" wp14:anchorId="70E2B58C" wp14:editId="445BA2E3">
            <wp:extent cx="5760720" cy="2743200"/>
            <wp:effectExtent l="0" t="0" r="11430" b="0"/>
            <wp:docPr id="173833666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0AE2D8" w14:textId="77777777" w:rsidR="009D4E2F" w:rsidRDefault="00314650">
      <w:pPr>
        <w:jc w:val="center"/>
        <w:rPr>
          <w:rFonts w:ascii="Arial" w:hAnsi="Arial" w:cs="Arial"/>
          <w:b/>
          <w:bCs/>
        </w:rPr>
      </w:pPr>
      <w:r>
        <w:rPr>
          <w:rFonts w:ascii="Arial" w:hAnsi="Arial" w:cs="Arial"/>
          <w:b/>
          <w:bCs/>
        </w:rPr>
        <w:t>Figure 5: Gearing (Leverage) Ratios</w:t>
      </w:r>
    </w:p>
    <w:p w14:paraId="34AD4DBD"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778C25B9" w14:textId="77777777" w:rsidR="009D4E2F" w:rsidRDefault="00314650">
      <w:pPr>
        <w:rPr>
          <w:rFonts w:ascii="Arial" w:hAnsi="Arial" w:cs="Arial"/>
        </w:rPr>
      </w:pPr>
      <w:r>
        <w:rPr>
          <w:rFonts w:ascii="Arial" w:hAnsi="Arial" w:cs="Arial"/>
          <w:noProof/>
        </w:rPr>
        <w:drawing>
          <wp:inline distT="0" distB="0" distL="0" distR="0" wp14:anchorId="0A84AF04" wp14:editId="1F3AEA0C">
            <wp:extent cx="5943600" cy="1283335"/>
            <wp:effectExtent l="0" t="0" r="0" b="0"/>
            <wp:docPr id="12126034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03447"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943600" cy="1283335"/>
                    </a:xfrm>
                    <a:prstGeom prst="rect">
                      <a:avLst/>
                    </a:prstGeom>
                    <a:noFill/>
                    <a:ln>
                      <a:noFill/>
                    </a:ln>
                  </pic:spPr>
                </pic:pic>
              </a:graphicData>
            </a:graphic>
          </wp:inline>
        </w:drawing>
      </w:r>
    </w:p>
    <w:p w14:paraId="569010C8" w14:textId="77777777" w:rsidR="009D4E2F" w:rsidRDefault="00314650">
      <w:pPr>
        <w:jc w:val="center"/>
        <w:rPr>
          <w:rFonts w:ascii="Arial" w:hAnsi="Arial" w:cs="Arial"/>
          <w:b/>
          <w:bCs/>
        </w:rPr>
      </w:pPr>
      <w:r>
        <w:rPr>
          <w:rFonts w:ascii="Arial" w:hAnsi="Arial" w:cs="Arial"/>
          <w:b/>
          <w:bCs/>
        </w:rPr>
        <w:t>Table 4: Gearing (Leverage) Ratios</w:t>
      </w:r>
    </w:p>
    <w:p w14:paraId="6FE0BC1E"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1B9DC795" w14:textId="77777777" w:rsidR="009D4E2F" w:rsidRDefault="00314650">
      <w:pPr>
        <w:rPr>
          <w:rFonts w:ascii="Arial" w:hAnsi="Arial" w:cs="Arial"/>
        </w:rPr>
      </w:pPr>
      <w:r>
        <w:rPr>
          <w:rFonts w:ascii="Arial" w:hAnsi="Arial" w:cs="Arial"/>
        </w:rPr>
        <w:t>Hilton remained and was relatively geared. In the future the long-term debt rose to $12.34 billion in 2025 compared to $8.71 billion in 2021. The negative shareholder equity also minimized the utility of debt-to-equity ratio due to repeated buying of shares. However, interest coverage rose as 2.54 times to 4.34 times, which demonstrates increased debt-</w:t>
      </w:r>
      <w:r>
        <w:rPr>
          <w:rFonts w:ascii="Arial" w:hAnsi="Arial" w:cs="Arial"/>
        </w:rPr>
        <w:lastRenderedPageBreak/>
        <w:t xml:space="preserve">servicing power due to an </w:t>
      </w:r>
      <w:proofErr w:type="gramStart"/>
      <w:r>
        <w:rPr>
          <w:rFonts w:ascii="Arial" w:hAnsi="Arial" w:cs="Arial"/>
        </w:rPr>
        <w:t>improved operating profits</w:t>
      </w:r>
      <w:proofErr w:type="gramEnd"/>
      <w:r>
        <w:rPr>
          <w:rFonts w:ascii="Arial" w:hAnsi="Arial" w:cs="Arial"/>
        </w:rPr>
        <w:t xml:space="preserve"> (Hilton, 2022; Hilton Worldwide Holdings Inc., 2023; Hilton Worldwide Holdings Inc, 2025). All in all, Hilton has been able to have a manageable leverage position as it has had a steady increase in earnings and a strong cash flow (Hilton, 2026).</w:t>
      </w:r>
    </w:p>
    <w:p w14:paraId="0EFE5C33" w14:textId="77777777" w:rsidR="009D4E2F" w:rsidRDefault="00314650">
      <w:pPr>
        <w:pStyle w:val="Heading3"/>
        <w:keepNext w:val="0"/>
        <w:keepLines w:val="0"/>
        <w:spacing w:before="240" w:after="40"/>
        <w:rPr>
          <w:rFonts w:ascii="Arial" w:hAnsi="Arial" w:cs="Arial"/>
        </w:rPr>
      </w:pPr>
      <w:bookmarkStart w:id="9" w:name="_9jbbddqg64wo" w:colFirst="0" w:colLast="0"/>
      <w:bookmarkEnd w:id="9"/>
      <w:r>
        <w:rPr>
          <w:rFonts w:ascii="Arial" w:hAnsi="Arial" w:cs="Arial"/>
        </w:rPr>
        <w:t>1.2.5 Investment or Market Ratios</w:t>
      </w:r>
    </w:p>
    <w:p w14:paraId="4F23C56D" w14:textId="77777777" w:rsidR="009D4E2F" w:rsidRDefault="00314650">
      <w:pPr>
        <w:rPr>
          <w:rFonts w:ascii="Arial" w:hAnsi="Arial" w:cs="Arial"/>
        </w:rPr>
      </w:pPr>
      <w:r>
        <w:rPr>
          <w:rFonts w:ascii="Arial" w:hAnsi="Arial" w:cs="Arial"/>
          <w:noProof/>
        </w:rPr>
        <w:drawing>
          <wp:inline distT="0" distB="0" distL="0" distR="0" wp14:anchorId="32318DAD" wp14:editId="3214EBFB">
            <wp:extent cx="5943600" cy="2958465"/>
            <wp:effectExtent l="0" t="0" r="0" b="13335"/>
            <wp:docPr id="19105863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59C994" w14:textId="77777777" w:rsidR="009D4E2F" w:rsidRDefault="00314650">
      <w:pPr>
        <w:jc w:val="center"/>
        <w:rPr>
          <w:rFonts w:ascii="Arial" w:hAnsi="Arial" w:cs="Arial"/>
          <w:b/>
          <w:bCs/>
        </w:rPr>
      </w:pPr>
      <w:r>
        <w:rPr>
          <w:rFonts w:ascii="Arial" w:hAnsi="Arial" w:cs="Arial"/>
          <w:b/>
          <w:bCs/>
        </w:rPr>
        <w:t>Figure 6: Investment or Market Ratios</w:t>
      </w:r>
    </w:p>
    <w:p w14:paraId="51970A95" w14:textId="77777777" w:rsidR="009D4E2F" w:rsidRDefault="00314650">
      <w:pPr>
        <w:jc w:val="center"/>
        <w:rPr>
          <w:rFonts w:ascii="Arial" w:hAnsi="Arial" w:cs="Arial"/>
        </w:rPr>
      </w:pPr>
      <w:r>
        <w:rPr>
          <w:rFonts w:ascii="Arial" w:hAnsi="Arial" w:cs="Arial"/>
        </w:rPr>
        <w:t>(Source: Self-Created using data from Hilton, 2022; Hilton Worldwide Holdings Inc., 2023; Hilton Worldwide Holdings Inc, 2025)</w:t>
      </w:r>
    </w:p>
    <w:p w14:paraId="2A7DCB79" w14:textId="77777777" w:rsidR="009D4E2F" w:rsidRDefault="00314650">
      <w:pPr>
        <w:rPr>
          <w:rFonts w:ascii="Arial" w:hAnsi="Arial" w:cs="Arial"/>
        </w:rPr>
      </w:pPr>
      <w:r>
        <w:rPr>
          <w:rFonts w:ascii="Arial" w:hAnsi="Arial" w:cs="Arial"/>
          <w:noProof/>
        </w:rPr>
        <w:drawing>
          <wp:inline distT="0" distB="0" distL="0" distR="0" wp14:anchorId="67ADD69F" wp14:editId="130F74D2">
            <wp:extent cx="5943600" cy="1654810"/>
            <wp:effectExtent l="0" t="0" r="0" b="2540"/>
            <wp:docPr id="13135111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11134"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943600" cy="1654810"/>
                    </a:xfrm>
                    <a:prstGeom prst="rect">
                      <a:avLst/>
                    </a:prstGeom>
                    <a:noFill/>
                    <a:ln>
                      <a:noFill/>
                    </a:ln>
                  </pic:spPr>
                </pic:pic>
              </a:graphicData>
            </a:graphic>
          </wp:inline>
        </w:drawing>
      </w:r>
    </w:p>
    <w:p w14:paraId="36F3B687" w14:textId="77777777" w:rsidR="009D4E2F" w:rsidRDefault="00314650">
      <w:pPr>
        <w:jc w:val="center"/>
        <w:rPr>
          <w:rFonts w:ascii="Arial" w:hAnsi="Arial" w:cs="Arial"/>
          <w:b/>
          <w:bCs/>
        </w:rPr>
      </w:pPr>
      <w:r>
        <w:rPr>
          <w:rFonts w:ascii="Arial" w:hAnsi="Arial" w:cs="Arial"/>
          <w:b/>
          <w:bCs/>
        </w:rPr>
        <w:t>Table 5: Investment or Market Ratios</w:t>
      </w:r>
    </w:p>
    <w:p w14:paraId="3EAE1D27" w14:textId="77777777" w:rsidR="009D4E2F" w:rsidRDefault="00314650">
      <w:pPr>
        <w:jc w:val="center"/>
        <w:rPr>
          <w:rFonts w:ascii="Arial" w:hAnsi="Arial" w:cs="Arial"/>
        </w:rPr>
      </w:pPr>
      <w:r>
        <w:rPr>
          <w:rFonts w:ascii="Arial" w:hAnsi="Arial" w:cs="Arial"/>
        </w:rPr>
        <w:lastRenderedPageBreak/>
        <w:t>(Source: Self-Created using data from Hilton, 2022; Hilton Worldwide Holdings Inc., 2023; Hilton Worldwide Holdings Inc, 2025)</w:t>
      </w:r>
    </w:p>
    <w:p w14:paraId="38A13F47" w14:textId="77777777" w:rsidR="009D4E2F" w:rsidRDefault="00314650">
      <w:pPr>
        <w:rPr>
          <w:rFonts w:ascii="Arial" w:hAnsi="Arial" w:cs="Arial"/>
        </w:rPr>
      </w:pPr>
      <w:r>
        <w:rPr>
          <w:rFonts w:ascii="Arial" w:hAnsi="Arial" w:cs="Arial"/>
        </w:rPr>
        <w:t xml:space="preserve">The investment and market ratios of Hilton indicate that its shareholders have value growth between 2021 and 2025. Earnings per Share (EPS) </w:t>
      </w:r>
      <w:proofErr w:type="gramStart"/>
      <w:r>
        <w:rPr>
          <w:rFonts w:ascii="Arial" w:hAnsi="Arial" w:cs="Arial"/>
        </w:rPr>
        <w:t>was</w:t>
      </w:r>
      <w:proofErr w:type="gramEnd"/>
      <w:r>
        <w:rPr>
          <w:rFonts w:ascii="Arial" w:hAnsi="Arial" w:cs="Arial"/>
        </w:rPr>
        <w:t xml:space="preserve"> raised to $1.14 to $6.17, as the net income rose, </w:t>
      </w:r>
      <w:proofErr w:type="gramStart"/>
      <w:r>
        <w:rPr>
          <w:rFonts w:ascii="Arial" w:hAnsi="Arial" w:cs="Arial"/>
        </w:rPr>
        <w:t>and share</w:t>
      </w:r>
      <w:proofErr w:type="gramEnd"/>
      <w:r>
        <w:rPr>
          <w:rFonts w:ascii="Arial" w:hAnsi="Arial" w:cs="Arial"/>
        </w:rPr>
        <w:t xml:space="preserve"> shares </w:t>
      </w:r>
      <w:proofErr w:type="gramStart"/>
      <w:r>
        <w:rPr>
          <w:rFonts w:ascii="Arial" w:hAnsi="Arial" w:cs="Arial"/>
        </w:rPr>
        <w:t>remained</w:t>
      </w:r>
      <w:proofErr w:type="gramEnd"/>
      <w:r>
        <w:rPr>
          <w:rFonts w:ascii="Arial" w:hAnsi="Arial" w:cs="Arial"/>
        </w:rPr>
        <w:t xml:space="preserve"> being bought off that decreased the number of outstanding shares. The dividends per Share (DPS) went up as well to $0.80 as against $0.60 as the management was confident in the ability to generate sustainable cash. The dividend payout ratio was moderate so that Hilton could be able to compensate shareholders but still had enough earnings to spend on strategic expansion and debt repayment (Hilton, 2022; Hilton Worldwide Holdings Inc., 2023; Hilton Worldwide Holdings Inc, 2025). The P/E does not show substan</w:t>
      </w:r>
      <w:r>
        <w:rPr>
          <w:rFonts w:ascii="Arial" w:hAnsi="Arial" w:cs="Arial"/>
        </w:rPr>
        <w:t xml:space="preserve">tial fluctuations in the market, indicating the confidence of the investors.  </w:t>
      </w:r>
    </w:p>
    <w:p w14:paraId="1D056607" w14:textId="77777777" w:rsidR="009D4E2F" w:rsidRDefault="00314650">
      <w:pPr>
        <w:pStyle w:val="Heading3"/>
        <w:keepNext w:val="0"/>
        <w:keepLines w:val="0"/>
        <w:spacing w:before="240" w:after="40"/>
        <w:rPr>
          <w:rFonts w:ascii="Arial" w:hAnsi="Arial" w:cs="Arial"/>
        </w:rPr>
      </w:pPr>
      <w:bookmarkStart w:id="10" w:name="_k16rt6t3mfac" w:colFirst="0" w:colLast="0"/>
      <w:bookmarkEnd w:id="10"/>
      <w:r>
        <w:rPr>
          <w:rFonts w:ascii="Arial" w:hAnsi="Arial" w:cs="Arial"/>
        </w:rPr>
        <w:t>1.2.6 Cash Flow Analysis</w:t>
      </w:r>
    </w:p>
    <w:p w14:paraId="7327EF36" w14:textId="138B6168" w:rsidR="009D4E2F" w:rsidRDefault="00A7767D">
      <w:pPr>
        <w:rPr>
          <w:rFonts w:ascii="Arial" w:hAnsi="Arial" w:cs="Arial"/>
        </w:rPr>
      </w:pPr>
      <w:r>
        <w:rPr>
          <w:rFonts w:ascii="Arial" w:hAnsi="Arial" w:cs="Arial"/>
          <w:noProof/>
        </w:rPr>
        <w:drawing>
          <wp:inline distT="0" distB="0" distL="0" distR="0" wp14:anchorId="24DB7F67" wp14:editId="3320FCB4">
            <wp:extent cx="5956300" cy="3286125"/>
            <wp:effectExtent l="0" t="0" r="6350" b="9525"/>
            <wp:docPr id="14134132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6300" cy="3286125"/>
                    </a:xfrm>
                    <a:prstGeom prst="rect">
                      <a:avLst/>
                    </a:prstGeom>
                    <a:noFill/>
                  </pic:spPr>
                </pic:pic>
              </a:graphicData>
            </a:graphic>
          </wp:inline>
        </w:drawing>
      </w:r>
    </w:p>
    <w:p w14:paraId="5E10CE32" w14:textId="77777777" w:rsidR="009D4E2F" w:rsidRDefault="00314650">
      <w:pPr>
        <w:jc w:val="center"/>
        <w:rPr>
          <w:rFonts w:ascii="Arial" w:hAnsi="Arial" w:cs="Arial"/>
          <w:b/>
          <w:bCs/>
        </w:rPr>
      </w:pPr>
      <w:r>
        <w:rPr>
          <w:rFonts w:ascii="Arial" w:hAnsi="Arial" w:cs="Arial"/>
          <w:b/>
          <w:bCs/>
        </w:rPr>
        <w:t>Figure 7: Cash Flow Analysis</w:t>
      </w:r>
    </w:p>
    <w:p w14:paraId="45C33D70" w14:textId="77777777" w:rsidR="009D4E2F" w:rsidRDefault="00314650">
      <w:pPr>
        <w:jc w:val="center"/>
        <w:rPr>
          <w:rFonts w:ascii="Arial" w:hAnsi="Arial" w:cs="Arial"/>
        </w:rPr>
      </w:pPr>
      <w:r>
        <w:rPr>
          <w:rFonts w:ascii="Arial" w:hAnsi="Arial" w:cs="Arial"/>
        </w:rPr>
        <w:lastRenderedPageBreak/>
        <w:t>(Source: Self-Created using data from Hilton, 2022; Hilton Worldwide Holdings Inc., 2023; Hilton Worldwide Holdings Inc, 2025)</w:t>
      </w:r>
    </w:p>
    <w:p w14:paraId="6E18D364" w14:textId="77777777" w:rsidR="009D4E2F" w:rsidRDefault="00314650">
      <w:pPr>
        <w:rPr>
          <w:rFonts w:ascii="Arial" w:hAnsi="Arial" w:cs="Arial"/>
        </w:rPr>
      </w:pPr>
      <w:r>
        <w:rPr>
          <w:rFonts w:ascii="Arial" w:hAnsi="Arial" w:cs="Arial"/>
        </w:rPr>
        <w:t>Hilton generated high operating cash flows over the period of five years which funded the investment and financing activities. Profitability improved, resulting in net cash in operating activities rising by about $1.19 billion in 2021 to $2.69 billion in 2025. Cash flow investment was still taken as negative due to capital expenditure, technological investments, and in support of hotel development, and due to the asset-light business model, capital requirements are low as compared to traditional hotel owner</w:t>
      </w:r>
      <w:r>
        <w:rPr>
          <w:rFonts w:ascii="Arial" w:hAnsi="Arial" w:cs="Arial"/>
        </w:rPr>
        <w:t xml:space="preserve">s (Hilton, 2022; Hilton Worldwide Holdings Inc., 2023; Hilton Worldwide Holdings Inc, 2025). Financing cash flows were mostly negative as Hilton kept on paying dividends, repurchasing shares, and paying debt (Yahoo Finance, 2025).  </w:t>
      </w:r>
    </w:p>
    <w:p w14:paraId="49729E23" w14:textId="77777777" w:rsidR="009D4E2F" w:rsidRDefault="00314650">
      <w:pPr>
        <w:pStyle w:val="Heading2"/>
        <w:keepNext w:val="0"/>
        <w:keepLines w:val="0"/>
        <w:spacing w:before="280" w:after="80"/>
        <w:rPr>
          <w:rFonts w:ascii="Arial" w:hAnsi="Arial" w:cs="Arial"/>
        </w:rPr>
      </w:pPr>
      <w:bookmarkStart w:id="11" w:name="_Toc237472600"/>
      <w:r>
        <w:rPr>
          <w:rFonts w:ascii="Arial" w:hAnsi="Arial" w:cs="Arial"/>
        </w:rPr>
        <w:t>1.3 Trend Analysis</w:t>
      </w:r>
      <w:bookmarkEnd w:id="11"/>
    </w:p>
    <w:p w14:paraId="4D297377" w14:textId="6E41AD1F" w:rsidR="009D4E2F" w:rsidRDefault="00A7767D" w:rsidP="00185F5E">
      <w:pPr>
        <w:jc w:val="center"/>
        <w:rPr>
          <w:rFonts w:ascii="Arial" w:hAnsi="Arial" w:cs="Arial"/>
        </w:rPr>
      </w:pPr>
      <w:r>
        <w:rPr>
          <w:rFonts w:ascii="Arial" w:hAnsi="Arial" w:cs="Arial"/>
          <w:noProof/>
        </w:rPr>
        <w:drawing>
          <wp:inline distT="0" distB="0" distL="0" distR="0" wp14:anchorId="18218DC7" wp14:editId="63BF62CD">
            <wp:extent cx="5223850" cy="3261843"/>
            <wp:effectExtent l="0" t="0" r="0" b="0"/>
            <wp:docPr id="13438582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1218" cy="3266444"/>
                    </a:xfrm>
                    <a:prstGeom prst="rect">
                      <a:avLst/>
                    </a:prstGeom>
                    <a:noFill/>
                  </pic:spPr>
                </pic:pic>
              </a:graphicData>
            </a:graphic>
          </wp:inline>
        </w:drawing>
      </w:r>
    </w:p>
    <w:p w14:paraId="4A3F7266" w14:textId="77777777" w:rsidR="009D4E2F" w:rsidRDefault="00314650">
      <w:pPr>
        <w:jc w:val="center"/>
        <w:rPr>
          <w:rFonts w:ascii="Arial" w:hAnsi="Arial" w:cs="Arial"/>
          <w:b/>
          <w:bCs/>
        </w:rPr>
      </w:pPr>
      <w:r>
        <w:rPr>
          <w:rFonts w:ascii="Arial" w:hAnsi="Arial" w:cs="Arial"/>
          <w:b/>
          <w:bCs/>
        </w:rPr>
        <w:t>Figure 8: Trend Analysis</w:t>
      </w:r>
    </w:p>
    <w:p w14:paraId="7F14888B" w14:textId="77777777" w:rsidR="009D4E2F" w:rsidRDefault="00314650">
      <w:pPr>
        <w:jc w:val="center"/>
        <w:rPr>
          <w:rFonts w:ascii="Arial" w:hAnsi="Arial" w:cs="Arial"/>
          <w:b/>
          <w:bCs/>
        </w:rPr>
      </w:pPr>
      <w:r>
        <w:rPr>
          <w:rFonts w:ascii="Arial" w:hAnsi="Arial" w:cs="Arial"/>
        </w:rPr>
        <w:t>(Source: Self-Created using data from Hilton, 2022; Hilton Worldwide Holdings Inc., 2023; Hilton Worldwide Holdings Inc, 2025)</w:t>
      </w:r>
    </w:p>
    <w:p w14:paraId="51C7465D" w14:textId="77777777" w:rsidR="009D4E2F" w:rsidRDefault="00314650">
      <w:pPr>
        <w:rPr>
          <w:rFonts w:ascii="Arial" w:hAnsi="Arial" w:cs="Arial"/>
        </w:rPr>
      </w:pPr>
      <w:r>
        <w:rPr>
          <w:rFonts w:ascii="Arial" w:hAnsi="Arial" w:cs="Arial"/>
        </w:rPr>
        <w:lastRenderedPageBreak/>
        <w:t xml:space="preserve">The financial performance of Hilton shows three definite stages. The first period was 2021-2022, which was a period of </w:t>
      </w:r>
      <w:proofErr w:type="gramStart"/>
      <w:r>
        <w:rPr>
          <w:rFonts w:ascii="Arial" w:hAnsi="Arial" w:cs="Arial"/>
        </w:rPr>
        <w:t>recovering</w:t>
      </w:r>
      <w:proofErr w:type="gramEnd"/>
      <w:r>
        <w:rPr>
          <w:rFonts w:ascii="Arial" w:hAnsi="Arial" w:cs="Arial"/>
        </w:rPr>
        <w:t xml:space="preserve"> after the pandemic, with international travel being back, which brought a higher revenue at a rate of over three-thirds and increased operating rates. In the second phase, 2023-2024, increased growth was seen due to the rising leisure demand, recuperation of business travel, increasing average daily room rates, and further expansion of franchises (Müller, 2026). The net income amounted to more than $1.5 billion during this period, and operating cash flow has increased significantly. The last stage, 2025 sh</w:t>
      </w:r>
      <w:r>
        <w:rPr>
          <w:rFonts w:ascii="Arial" w:hAnsi="Arial" w:cs="Arial"/>
        </w:rPr>
        <w:t xml:space="preserve">ows business </w:t>
      </w:r>
      <w:proofErr w:type="spellStart"/>
      <w:r>
        <w:rPr>
          <w:rFonts w:ascii="Arial" w:hAnsi="Arial" w:cs="Arial"/>
        </w:rPr>
        <w:t>stabilisation</w:t>
      </w:r>
      <w:proofErr w:type="spellEnd"/>
      <w:r>
        <w:rPr>
          <w:rFonts w:ascii="Arial" w:hAnsi="Arial" w:cs="Arial"/>
        </w:rPr>
        <w:t xml:space="preserve"> as revenue is $12.04 billion and profitability is still strong, even with the pressures of inflation, high </w:t>
      </w:r>
      <w:proofErr w:type="spellStart"/>
      <w:r>
        <w:rPr>
          <w:rFonts w:ascii="Arial" w:hAnsi="Arial" w:cs="Arial"/>
        </w:rPr>
        <w:t>labour</w:t>
      </w:r>
      <w:proofErr w:type="spellEnd"/>
      <w:r>
        <w:rPr>
          <w:rFonts w:ascii="Arial" w:hAnsi="Arial" w:cs="Arial"/>
        </w:rPr>
        <w:t xml:space="preserve"> costs and increasing costs of borrowing. </w:t>
      </w:r>
      <w:proofErr w:type="gramStart"/>
      <w:r>
        <w:rPr>
          <w:rFonts w:ascii="Arial" w:hAnsi="Arial" w:cs="Arial"/>
        </w:rPr>
        <w:t>In spite of</w:t>
      </w:r>
      <w:proofErr w:type="gramEnd"/>
      <w:r>
        <w:rPr>
          <w:rFonts w:ascii="Arial" w:hAnsi="Arial" w:cs="Arial"/>
        </w:rPr>
        <w:t xml:space="preserve"> weakened liquidity ratios and negative shareholder equity, Hilton was still getting its operations more efficient and profitable and to use its assets better, which meant that the company was successfully transferring to recovery to sustainable long-term development (Hilton, 2026b).</w:t>
      </w:r>
    </w:p>
    <w:p w14:paraId="64E34004" w14:textId="77777777" w:rsidR="009D4E2F" w:rsidRDefault="00314650">
      <w:pPr>
        <w:pStyle w:val="Heading2"/>
        <w:keepNext w:val="0"/>
        <w:keepLines w:val="0"/>
        <w:spacing w:before="280" w:after="80"/>
        <w:rPr>
          <w:rFonts w:ascii="Arial" w:hAnsi="Arial" w:cs="Arial"/>
        </w:rPr>
      </w:pPr>
      <w:bookmarkStart w:id="12" w:name="_Toc237472601"/>
      <w:r>
        <w:rPr>
          <w:rFonts w:ascii="Arial" w:hAnsi="Arial" w:cs="Arial"/>
        </w:rPr>
        <w:t>1.4 Strengths and Weaknesses</w:t>
      </w:r>
      <w:bookmarkEnd w:id="12"/>
    </w:p>
    <w:p w14:paraId="7D1BB84F" w14:textId="77777777" w:rsidR="009D4E2F" w:rsidRDefault="00314650">
      <w:pPr>
        <w:rPr>
          <w:rFonts w:ascii="Arial" w:hAnsi="Arial" w:cs="Arial"/>
        </w:rPr>
      </w:pPr>
      <w:r>
        <w:rPr>
          <w:rFonts w:ascii="Arial" w:hAnsi="Arial" w:cs="Arial"/>
          <w:b/>
          <w:bCs/>
          <w:i/>
          <w:iCs/>
        </w:rPr>
        <w:t xml:space="preserve">Strengths: </w:t>
      </w:r>
      <w:r>
        <w:rPr>
          <w:rFonts w:ascii="Arial" w:hAnsi="Arial" w:cs="Arial"/>
        </w:rPr>
        <w:t>Hilton Worldwide Holdings, Inc.</w:t>
      </w:r>
      <w:proofErr w:type="gramStart"/>
      <w:r>
        <w:rPr>
          <w:rFonts w:ascii="Arial" w:hAnsi="Arial" w:cs="Arial"/>
        </w:rPr>
        <w:t xml:space="preserve"> has</w:t>
      </w:r>
      <w:proofErr w:type="gramEnd"/>
      <w:r>
        <w:rPr>
          <w:rFonts w:ascii="Arial" w:hAnsi="Arial" w:cs="Arial"/>
        </w:rPr>
        <w:t xml:space="preserve"> </w:t>
      </w:r>
      <w:proofErr w:type="gramStart"/>
      <w:r>
        <w:rPr>
          <w:rFonts w:ascii="Arial" w:hAnsi="Arial" w:cs="Arial"/>
        </w:rPr>
        <w:t>a number of</w:t>
      </w:r>
      <w:proofErr w:type="gramEnd"/>
      <w:r>
        <w:rPr>
          <w:rFonts w:ascii="Arial" w:hAnsi="Arial" w:cs="Arial"/>
        </w:rPr>
        <w:t xml:space="preserve"> financial strengths that help it to be competitive within the long term. The raising of </w:t>
      </w:r>
      <w:proofErr w:type="gramStart"/>
      <w:r>
        <w:rPr>
          <w:rFonts w:ascii="Arial" w:hAnsi="Arial" w:cs="Arial"/>
        </w:rPr>
        <w:t>the revenue</w:t>
      </w:r>
      <w:proofErr w:type="gramEnd"/>
      <w:r>
        <w:rPr>
          <w:rFonts w:ascii="Arial" w:hAnsi="Arial" w:cs="Arial"/>
        </w:rPr>
        <w:t xml:space="preserve"> to $12.04 billion in 2025 compared to $5.79 billion in 2021 and the rise of the net profit margin to 12.1% against 7.0% indicate the improved efficiency of the operations. ROCE increased by 22.0% to 8.1, and asset turnover nearly doubled by </w:t>
      </w:r>
      <w:proofErr w:type="gramStart"/>
      <w:r>
        <w:rPr>
          <w:rFonts w:ascii="Arial" w:hAnsi="Arial" w:cs="Arial"/>
        </w:rPr>
        <w:t>0.37</w:t>
      </w:r>
      <w:proofErr w:type="gramEnd"/>
      <w:r>
        <w:rPr>
          <w:rFonts w:ascii="Arial" w:hAnsi="Arial" w:cs="Arial"/>
        </w:rPr>
        <w:t xml:space="preserve"> almost </w:t>
      </w:r>
      <w:proofErr w:type="gramStart"/>
      <w:r>
        <w:rPr>
          <w:rFonts w:ascii="Arial" w:hAnsi="Arial" w:cs="Arial"/>
        </w:rPr>
        <w:t>0.72</w:t>
      </w:r>
      <w:proofErr w:type="gramEnd"/>
      <w:r>
        <w:rPr>
          <w:rFonts w:ascii="Arial" w:hAnsi="Arial" w:cs="Arial"/>
        </w:rPr>
        <w:t xml:space="preserve"> showing that it </w:t>
      </w:r>
      <w:proofErr w:type="spellStart"/>
      <w:r>
        <w:rPr>
          <w:rFonts w:ascii="Arial" w:hAnsi="Arial" w:cs="Arial"/>
        </w:rPr>
        <w:t>utilised</w:t>
      </w:r>
      <w:proofErr w:type="spellEnd"/>
      <w:r>
        <w:rPr>
          <w:rFonts w:ascii="Arial" w:hAnsi="Arial" w:cs="Arial"/>
        </w:rPr>
        <w:t xml:space="preserve"> the long-term capital from a better standpoint. Good operating cash flows also facilitate growth, debt repairs and dividends to shareholders (Olaoluwa </w:t>
      </w:r>
      <w:proofErr w:type="spellStart"/>
      <w:r>
        <w:rPr>
          <w:rFonts w:ascii="Arial" w:hAnsi="Arial" w:cs="Arial"/>
        </w:rPr>
        <w:t>Fowosere</w:t>
      </w:r>
      <w:proofErr w:type="spellEnd"/>
      <w:r>
        <w:rPr>
          <w:rFonts w:ascii="Arial" w:hAnsi="Arial" w:cs="Arial"/>
        </w:rPr>
        <w:t xml:space="preserve"> and Mohammed, 2024). Hilton also has an asset-light business model that limits its capital investment and produces consistent income in the form of franchise and management fees (</w:t>
      </w:r>
      <w:proofErr w:type="spellStart"/>
      <w:r>
        <w:rPr>
          <w:rFonts w:ascii="Arial" w:hAnsi="Arial" w:cs="Arial"/>
        </w:rPr>
        <w:t>Umbrex</w:t>
      </w:r>
      <w:proofErr w:type="spellEnd"/>
      <w:r>
        <w:rPr>
          <w:rFonts w:ascii="Arial" w:hAnsi="Arial" w:cs="Arial"/>
        </w:rPr>
        <w:t>, 2026).</w:t>
      </w:r>
    </w:p>
    <w:p w14:paraId="2B7AAD41" w14:textId="77777777" w:rsidR="009D4E2F" w:rsidRDefault="00314650">
      <w:pPr>
        <w:rPr>
          <w:rFonts w:ascii="Arial" w:hAnsi="Arial" w:cs="Arial"/>
        </w:rPr>
      </w:pPr>
      <w:r>
        <w:rPr>
          <w:rFonts w:ascii="Arial" w:hAnsi="Arial" w:cs="Arial"/>
          <w:b/>
          <w:bCs/>
          <w:i/>
          <w:iCs/>
        </w:rPr>
        <w:t xml:space="preserve">Weaknesses: </w:t>
      </w:r>
      <w:r>
        <w:rPr>
          <w:rFonts w:ascii="Arial" w:hAnsi="Arial" w:cs="Arial"/>
        </w:rPr>
        <w:t xml:space="preserve">But there are also various weaknesses of the company. The current ratio has gone down to 0.66 and is thus relatively low in the sense of </w:t>
      </w:r>
      <w:proofErr w:type="gramStart"/>
      <w:r>
        <w:rPr>
          <w:rFonts w:ascii="Arial" w:hAnsi="Arial" w:cs="Arial"/>
        </w:rPr>
        <w:t>short term</w:t>
      </w:r>
      <w:proofErr w:type="gramEnd"/>
      <w:r>
        <w:rPr>
          <w:rFonts w:ascii="Arial" w:hAnsi="Arial" w:cs="Arial"/>
        </w:rPr>
        <w:t xml:space="preserve"> liquidity but the shareholder equity is negative so the </w:t>
      </w:r>
      <w:proofErr w:type="gramStart"/>
      <w:r>
        <w:rPr>
          <w:rFonts w:ascii="Arial" w:hAnsi="Arial" w:cs="Arial"/>
        </w:rPr>
        <w:t>short term</w:t>
      </w:r>
      <w:proofErr w:type="gramEnd"/>
      <w:r>
        <w:rPr>
          <w:rFonts w:ascii="Arial" w:hAnsi="Arial" w:cs="Arial"/>
        </w:rPr>
        <w:t xml:space="preserve"> leverage ratios are not useful as such. Throughout the period, long-term debt was growing, which exposes Hilton to </w:t>
      </w:r>
      <w:proofErr w:type="gramStart"/>
      <w:r>
        <w:rPr>
          <w:rFonts w:ascii="Arial" w:hAnsi="Arial" w:cs="Arial"/>
        </w:rPr>
        <w:t>a cost</w:t>
      </w:r>
      <w:proofErr w:type="gramEnd"/>
      <w:r>
        <w:rPr>
          <w:rFonts w:ascii="Arial" w:hAnsi="Arial" w:cs="Arial"/>
        </w:rPr>
        <w:t xml:space="preserve"> of increased financing operation, especially when the interest rate is high. In addition, the </w:t>
      </w:r>
      <w:r>
        <w:rPr>
          <w:rFonts w:ascii="Arial" w:hAnsi="Arial" w:cs="Arial"/>
        </w:rPr>
        <w:lastRenderedPageBreak/>
        <w:t>decreasing amount of cash can lead to a decrease in financial flexibility in the case of negative market conditions (Santos et al., 2024).</w:t>
      </w:r>
    </w:p>
    <w:p w14:paraId="1C556883" w14:textId="77777777" w:rsidR="009D4E2F" w:rsidRDefault="00314650">
      <w:pPr>
        <w:pStyle w:val="Heading2"/>
        <w:keepNext w:val="0"/>
        <w:keepLines w:val="0"/>
        <w:spacing w:before="280" w:after="80"/>
        <w:rPr>
          <w:rFonts w:ascii="Arial" w:hAnsi="Arial" w:cs="Arial"/>
        </w:rPr>
      </w:pPr>
      <w:bookmarkStart w:id="13" w:name="_Toc237472602"/>
      <w:r>
        <w:rPr>
          <w:rFonts w:ascii="Arial" w:hAnsi="Arial" w:cs="Arial"/>
        </w:rPr>
        <w:t>1.5 Evaluating Hilton's Performance with industry benchmark</w:t>
      </w:r>
      <w:bookmarkEnd w:id="13"/>
    </w:p>
    <w:p w14:paraId="13973186" w14:textId="77777777" w:rsidR="009D4E2F" w:rsidRDefault="00314650">
      <w:pPr>
        <w:rPr>
          <w:rFonts w:ascii="Arial" w:hAnsi="Arial" w:cs="Arial"/>
        </w:rPr>
      </w:pPr>
      <w:r>
        <w:rPr>
          <w:rFonts w:ascii="Arial" w:hAnsi="Arial" w:cs="Arial"/>
        </w:rPr>
        <w:t xml:space="preserve">Hilton's liquidity ratios are below conventional hospitality industry standards. Current ratio of the company was 0.66 with quick ratio being 0.66 in 2025 which is lower than the industry standard of about 1.0-1.2 times. These ratios show relatively lower liquidity in the short term as the current liabilities are higher than the current assets. Nevertheless, the performance of Hilton needs to be viewed in the framework of its asset-lite business model that yields consistent franchise fee and management fee </w:t>
      </w:r>
      <w:r>
        <w:rPr>
          <w:rFonts w:ascii="Arial" w:hAnsi="Arial" w:cs="Arial"/>
        </w:rPr>
        <w:t xml:space="preserve">revenues with minimal inventory needs (Hilton Worldwide Holdings Inc, 2025). Stable operating cash flows and cash conversion cycle having consistently negative values, Hilton can run smoothly with significant liquidity ratios below industry norms and thus the risk of </w:t>
      </w:r>
      <w:proofErr w:type="gramStart"/>
      <w:r>
        <w:rPr>
          <w:rFonts w:ascii="Arial" w:hAnsi="Arial" w:cs="Arial"/>
        </w:rPr>
        <w:t>short term</w:t>
      </w:r>
      <w:proofErr w:type="gramEnd"/>
      <w:r>
        <w:rPr>
          <w:rFonts w:ascii="Arial" w:hAnsi="Arial" w:cs="Arial"/>
        </w:rPr>
        <w:t xml:space="preserve"> financial stress decreasing.</w:t>
      </w:r>
    </w:p>
    <w:p w14:paraId="74D1A877" w14:textId="77777777" w:rsidR="0045392C" w:rsidRDefault="0045392C">
      <w:pPr>
        <w:spacing w:after="0" w:line="240" w:lineRule="auto"/>
        <w:jc w:val="left"/>
        <w:rPr>
          <w:rFonts w:ascii="Arial" w:hAnsi="Arial" w:cs="Arial"/>
          <w:b/>
          <w:bCs/>
        </w:rPr>
      </w:pPr>
      <w:bookmarkStart w:id="14" w:name="_Toc237472603"/>
      <w:r>
        <w:rPr>
          <w:rFonts w:ascii="Arial" w:hAnsi="Arial" w:cs="Arial"/>
        </w:rPr>
        <w:br w:type="page"/>
      </w:r>
    </w:p>
    <w:p w14:paraId="2A53A38B" w14:textId="0EDDFA22" w:rsidR="009D4E2F" w:rsidRDefault="00314650">
      <w:pPr>
        <w:pStyle w:val="Heading1"/>
        <w:rPr>
          <w:rFonts w:ascii="Arial" w:hAnsi="Arial" w:cs="Arial"/>
          <w:sz w:val="24"/>
          <w:szCs w:val="24"/>
        </w:rPr>
      </w:pPr>
      <w:r>
        <w:rPr>
          <w:rFonts w:ascii="Arial" w:hAnsi="Arial" w:cs="Arial"/>
          <w:sz w:val="24"/>
          <w:szCs w:val="24"/>
        </w:rPr>
        <w:lastRenderedPageBreak/>
        <w:t>2. Working Capital Management Analysis</w:t>
      </w:r>
      <w:bookmarkEnd w:id="14"/>
    </w:p>
    <w:p w14:paraId="65B5D85F" w14:textId="77777777" w:rsidR="009D4E2F" w:rsidRDefault="00314650">
      <w:pPr>
        <w:pStyle w:val="Heading2"/>
        <w:rPr>
          <w:rFonts w:ascii="Arial" w:hAnsi="Arial" w:cs="Arial"/>
        </w:rPr>
      </w:pPr>
      <w:bookmarkStart w:id="15" w:name="_Toc237472604"/>
      <w:r>
        <w:rPr>
          <w:rFonts w:ascii="Arial" w:hAnsi="Arial" w:cs="Arial"/>
        </w:rPr>
        <w:t>2.1 Cash Operating Cycle Analysis</w:t>
      </w:r>
      <w:bookmarkEnd w:id="15"/>
    </w:p>
    <w:p w14:paraId="0C3A9C4A" w14:textId="68CD888E" w:rsidR="009D4E2F" w:rsidRDefault="003264D6">
      <w:pPr>
        <w:jc w:val="center"/>
        <w:rPr>
          <w:rFonts w:ascii="Arial" w:hAnsi="Arial" w:cs="Arial"/>
        </w:rPr>
      </w:pPr>
      <w:r>
        <w:rPr>
          <w:rFonts w:ascii="Arial" w:hAnsi="Arial" w:cs="Arial"/>
          <w:noProof/>
        </w:rPr>
        <w:drawing>
          <wp:inline distT="0" distB="0" distL="0" distR="0" wp14:anchorId="46855443" wp14:editId="1B4CB522">
            <wp:extent cx="5956300" cy="3133725"/>
            <wp:effectExtent l="0" t="0" r="6350" b="9525"/>
            <wp:docPr id="4008243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56300" cy="3133725"/>
                    </a:xfrm>
                    <a:prstGeom prst="rect">
                      <a:avLst/>
                    </a:prstGeom>
                    <a:noFill/>
                  </pic:spPr>
                </pic:pic>
              </a:graphicData>
            </a:graphic>
          </wp:inline>
        </w:drawing>
      </w:r>
    </w:p>
    <w:p w14:paraId="3F8A8C50" w14:textId="77777777" w:rsidR="009D4E2F" w:rsidRDefault="00314650">
      <w:pPr>
        <w:jc w:val="center"/>
        <w:rPr>
          <w:rFonts w:ascii="Arial" w:hAnsi="Arial" w:cs="Arial"/>
          <w:b/>
          <w:bCs/>
        </w:rPr>
      </w:pPr>
      <w:r>
        <w:rPr>
          <w:rFonts w:ascii="Arial" w:hAnsi="Arial" w:cs="Arial"/>
          <w:b/>
          <w:bCs/>
        </w:rPr>
        <w:t>Figure 9: Working Capital Management Analysis</w:t>
      </w:r>
    </w:p>
    <w:p w14:paraId="4135B334" w14:textId="77777777" w:rsidR="009D4E2F" w:rsidRDefault="00314650">
      <w:pPr>
        <w:jc w:val="center"/>
        <w:rPr>
          <w:rFonts w:ascii="Arial" w:hAnsi="Arial" w:cs="Arial"/>
          <w:b/>
          <w:bCs/>
        </w:rPr>
      </w:pPr>
      <w:r>
        <w:rPr>
          <w:rFonts w:ascii="Arial" w:hAnsi="Arial" w:cs="Arial"/>
        </w:rPr>
        <w:t>(Source: Self-Created using data from Hilton, 2022; Hilton Worldwide Holdings Inc., 2023; Hilton Worldwide Holdings Inc, 2025)</w:t>
      </w:r>
    </w:p>
    <w:p w14:paraId="44289913" w14:textId="77777777" w:rsidR="009D4E2F" w:rsidRDefault="00314650">
      <w:pPr>
        <w:rPr>
          <w:rFonts w:ascii="Arial" w:hAnsi="Arial" w:cs="Arial"/>
        </w:rPr>
      </w:pPr>
      <w:r>
        <w:rPr>
          <w:rFonts w:ascii="Arial" w:hAnsi="Arial" w:cs="Arial"/>
        </w:rPr>
        <w:t xml:space="preserve">The Hilton cash operating cycle shows </w:t>
      </w:r>
      <w:proofErr w:type="gramStart"/>
      <w:r>
        <w:rPr>
          <w:rFonts w:ascii="Arial" w:hAnsi="Arial" w:cs="Arial"/>
        </w:rPr>
        <w:t>the effective</w:t>
      </w:r>
      <w:proofErr w:type="gramEnd"/>
      <w:r>
        <w:rPr>
          <w:rFonts w:ascii="Arial" w:hAnsi="Arial" w:cs="Arial"/>
        </w:rPr>
        <w:t xml:space="preserve"> management of working capital over the </w:t>
      </w:r>
      <w:proofErr w:type="gramStart"/>
      <w:r>
        <w:rPr>
          <w:rFonts w:ascii="Arial" w:hAnsi="Arial" w:cs="Arial"/>
        </w:rPr>
        <w:t>year</w:t>
      </w:r>
      <w:proofErr w:type="gramEnd"/>
      <w:r>
        <w:rPr>
          <w:rFonts w:ascii="Arial" w:hAnsi="Arial" w:cs="Arial"/>
        </w:rPr>
        <w:t xml:space="preserve"> 2021-2025. As the firm uses asset light hotel franchise and management system, it does not have inventories hence Days Inventory Outstanding (DIO) does not apply. As a result, Days Sales Outstanding (DSO)- Days Payables Outstanding (DPO) are used to determine Cash Conversion Cycle (CCC). DSO dropped to 51.2 days in 2025 compared to 67.3 days in 2021 as the company collects the receivables of the hotel owners and </w:t>
      </w:r>
      <w:proofErr w:type="gramStart"/>
      <w:r>
        <w:rPr>
          <w:rFonts w:ascii="Arial" w:hAnsi="Arial" w:cs="Arial"/>
        </w:rPr>
        <w:t>franchisees</w:t>
      </w:r>
      <w:proofErr w:type="gramEnd"/>
      <w:r>
        <w:rPr>
          <w:rFonts w:ascii="Arial" w:hAnsi="Arial" w:cs="Arial"/>
        </w:rPr>
        <w:t xml:space="preserve"> quicker. Despite a decline of DPO that was 138.5 days to 98.6 days, Hilton had a negative CCC all over the review period, with a range of -71.1 days to -47.4 days. The achieved negative trend in the cash conversion cycle implies that the company </w:t>
      </w:r>
      <w:r>
        <w:rPr>
          <w:rFonts w:ascii="Arial" w:hAnsi="Arial" w:cs="Arial"/>
        </w:rPr>
        <w:lastRenderedPageBreak/>
        <w:t xml:space="preserve">accommodates cash flow prior to paying them off to suppliers and, thus, minimizes financial needs and enhances the liquidity of operations (Ghosh, 2022; Ali, 2024).  </w:t>
      </w:r>
    </w:p>
    <w:p w14:paraId="648536CE" w14:textId="77777777" w:rsidR="009D4E2F" w:rsidRDefault="00314650">
      <w:pPr>
        <w:pStyle w:val="Heading2"/>
        <w:rPr>
          <w:rFonts w:ascii="Arial" w:hAnsi="Arial" w:cs="Arial"/>
        </w:rPr>
      </w:pPr>
      <w:bookmarkStart w:id="16" w:name="_Toc237472605"/>
      <w:r>
        <w:rPr>
          <w:rFonts w:ascii="Arial" w:hAnsi="Arial" w:cs="Arial"/>
        </w:rPr>
        <w:t>2.2 Evaluation of Current Working Capital Position</w:t>
      </w:r>
      <w:bookmarkEnd w:id="16"/>
    </w:p>
    <w:p w14:paraId="659472EC" w14:textId="77777777" w:rsidR="009D4E2F" w:rsidRDefault="00314650">
      <w:pPr>
        <w:jc w:val="center"/>
        <w:rPr>
          <w:rFonts w:ascii="Arial" w:hAnsi="Arial" w:cs="Arial"/>
        </w:rPr>
      </w:pPr>
      <w:r>
        <w:rPr>
          <w:rFonts w:ascii="Arial" w:hAnsi="Arial" w:cs="Arial"/>
          <w:noProof/>
        </w:rPr>
        <w:drawing>
          <wp:inline distT="0" distB="0" distL="0" distR="0" wp14:anchorId="373CECC9" wp14:editId="3754A0C7">
            <wp:extent cx="5943600" cy="2118360"/>
            <wp:effectExtent l="0" t="0" r="0" b="0"/>
            <wp:docPr id="84021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18826"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943600" cy="2118360"/>
                    </a:xfrm>
                    <a:prstGeom prst="rect">
                      <a:avLst/>
                    </a:prstGeom>
                    <a:noFill/>
                    <a:ln>
                      <a:noFill/>
                    </a:ln>
                  </pic:spPr>
                </pic:pic>
              </a:graphicData>
            </a:graphic>
          </wp:inline>
        </w:drawing>
      </w:r>
    </w:p>
    <w:p w14:paraId="0B09ABC4" w14:textId="77777777" w:rsidR="009D4E2F" w:rsidRDefault="00314650">
      <w:pPr>
        <w:jc w:val="center"/>
        <w:rPr>
          <w:rFonts w:ascii="Arial" w:hAnsi="Arial" w:cs="Arial"/>
          <w:b/>
          <w:bCs/>
        </w:rPr>
      </w:pPr>
      <w:r>
        <w:rPr>
          <w:rFonts w:ascii="Arial" w:hAnsi="Arial" w:cs="Arial"/>
          <w:b/>
          <w:bCs/>
        </w:rPr>
        <w:t>Table 6: WORKING CAPITAL MANAGEMENT ANALYSIS</w:t>
      </w:r>
    </w:p>
    <w:p w14:paraId="0D0F447D" w14:textId="77777777" w:rsidR="009D4E2F" w:rsidRDefault="00314650">
      <w:pPr>
        <w:jc w:val="center"/>
        <w:rPr>
          <w:rFonts w:ascii="Arial" w:hAnsi="Arial" w:cs="Arial"/>
          <w:b/>
          <w:bCs/>
        </w:rPr>
      </w:pPr>
      <w:r>
        <w:rPr>
          <w:rFonts w:ascii="Arial" w:hAnsi="Arial" w:cs="Arial"/>
        </w:rPr>
        <w:t>(Source: Self-Created using data from Hilton, 2022; Hilton Worldwide Holdings Inc., 2023; Hilton Worldwide Holdings Inc, 2025)</w:t>
      </w:r>
    </w:p>
    <w:p w14:paraId="1DC3316D" w14:textId="77777777" w:rsidR="009D4E2F" w:rsidRDefault="00314650">
      <w:pPr>
        <w:rPr>
          <w:rFonts w:ascii="Arial" w:hAnsi="Arial" w:cs="Arial"/>
        </w:rPr>
      </w:pPr>
      <w:r>
        <w:rPr>
          <w:rFonts w:ascii="Arial" w:hAnsi="Arial" w:cs="Arial"/>
        </w:rPr>
        <w:t xml:space="preserve">The working capital position of Hilton was negative in all the five years. Compared to the increase in current assets by $2,871 million to $2,996 million between 2021 and 2025, current liabilities grew significantly by $3,019 million to $4,508 million between 2021 and 2025. As a </w:t>
      </w:r>
      <w:proofErr w:type="gramStart"/>
      <w:r>
        <w:rPr>
          <w:rFonts w:ascii="Arial" w:hAnsi="Arial" w:cs="Arial"/>
        </w:rPr>
        <w:t>result</w:t>
      </w:r>
      <w:proofErr w:type="gramEnd"/>
      <w:r>
        <w:rPr>
          <w:rFonts w:ascii="Arial" w:hAnsi="Arial" w:cs="Arial"/>
        </w:rPr>
        <w:t xml:space="preserve"> net working capital dropped to negative $1,512 million as compared to negative $148 million. On the same note, the current ratio and the quick ratio also dropped by 0.95 times to 0.66 times which means that short-term liabilities surpassed current liabilities. Although all these ratios would present an opinion of liquidity problem, Hilton is not a typical hotel ownership company (Austin and </w:t>
      </w:r>
      <w:proofErr w:type="spellStart"/>
      <w:r>
        <w:rPr>
          <w:rFonts w:ascii="Arial" w:hAnsi="Arial" w:cs="Arial"/>
        </w:rPr>
        <w:t>Phalippou</w:t>
      </w:r>
      <w:proofErr w:type="spellEnd"/>
      <w:r>
        <w:rPr>
          <w:rFonts w:ascii="Arial" w:hAnsi="Arial" w:cs="Arial"/>
        </w:rPr>
        <w:t xml:space="preserve">, 2022). The company </w:t>
      </w:r>
      <w:proofErr w:type="gramStart"/>
      <w:r>
        <w:rPr>
          <w:rFonts w:ascii="Arial" w:hAnsi="Arial" w:cs="Arial"/>
        </w:rPr>
        <w:t>is able to</w:t>
      </w:r>
      <w:proofErr w:type="gramEnd"/>
      <w:r>
        <w:rPr>
          <w:rFonts w:ascii="Arial" w:hAnsi="Arial" w:cs="Arial"/>
        </w:rPr>
        <w:t xml:space="preserve"> perform operations albeit having negative working capital due to constant management </w:t>
      </w:r>
      <w:proofErr w:type="gramStart"/>
      <w:r>
        <w:rPr>
          <w:rFonts w:ascii="Arial" w:hAnsi="Arial" w:cs="Arial"/>
        </w:rPr>
        <w:t>fee</w:t>
      </w:r>
      <w:proofErr w:type="gramEnd"/>
      <w:r>
        <w:rPr>
          <w:rFonts w:ascii="Arial" w:hAnsi="Arial" w:cs="Arial"/>
        </w:rPr>
        <w:t>, franchise revenue and consistent operating cash flows.</w:t>
      </w:r>
    </w:p>
    <w:p w14:paraId="644BD70C" w14:textId="77777777" w:rsidR="009D4E2F" w:rsidRDefault="00314650">
      <w:pPr>
        <w:pStyle w:val="Heading2"/>
        <w:rPr>
          <w:rFonts w:ascii="Arial" w:hAnsi="Arial" w:cs="Arial"/>
        </w:rPr>
      </w:pPr>
      <w:bookmarkStart w:id="17" w:name="_Toc237472606"/>
      <w:r>
        <w:rPr>
          <w:rFonts w:ascii="Arial" w:hAnsi="Arial" w:cs="Arial"/>
        </w:rPr>
        <w:lastRenderedPageBreak/>
        <w:t>2.3 Working Capital Improvement Strategies</w:t>
      </w:r>
      <w:bookmarkEnd w:id="17"/>
    </w:p>
    <w:p w14:paraId="4C85C6E4" w14:textId="77777777" w:rsidR="009D4E2F" w:rsidRDefault="00314650">
      <w:pPr>
        <w:pStyle w:val="Heading3"/>
        <w:rPr>
          <w:rFonts w:ascii="Arial" w:hAnsi="Arial" w:cs="Arial"/>
        </w:rPr>
      </w:pPr>
      <w:bookmarkStart w:id="18" w:name="_6xf1s69dtm39" w:colFirst="0" w:colLast="0"/>
      <w:bookmarkEnd w:id="18"/>
      <w:r>
        <w:rPr>
          <w:rFonts w:ascii="Arial" w:hAnsi="Arial" w:cs="Arial"/>
        </w:rPr>
        <w:t>2.3.1 Cash Management</w:t>
      </w:r>
    </w:p>
    <w:p w14:paraId="432C095F" w14:textId="77777777" w:rsidR="009D4E2F" w:rsidRDefault="00314650">
      <w:pPr>
        <w:rPr>
          <w:rFonts w:ascii="Arial" w:hAnsi="Arial" w:cs="Arial"/>
        </w:rPr>
      </w:pPr>
      <w:r>
        <w:rPr>
          <w:rFonts w:ascii="Arial" w:hAnsi="Arial" w:cs="Arial"/>
        </w:rPr>
        <w:t xml:space="preserve">Hilton must ensure that it is well liquidated by enhancing cash forecasting as well as treasury management. Any excess cash ought to be invested in the interest-bearing short-term instruments and have enough cash reserves to cater to seasonal changes, debt payment and </w:t>
      </w:r>
      <w:proofErr w:type="gramStart"/>
      <w:r>
        <w:rPr>
          <w:rFonts w:ascii="Arial" w:hAnsi="Arial" w:cs="Arial"/>
        </w:rPr>
        <w:t>the long run</w:t>
      </w:r>
      <w:proofErr w:type="gramEnd"/>
      <w:r>
        <w:rPr>
          <w:rFonts w:ascii="Arial" w:hAnsi="Arial" w:cs="Arial"/>
        </w:rPr>
        <w:t xml:space="preserve"> growth. Better predicting also </w:t>
      </w:r>
      <w:proofErr w:type="spellStart"/>
      <w:r>
        <w:rPr>
          <w:rFonts w:ascii="Arial" w:hAnsi="Arial" w:cs="Arial"/>
        </w:rPr>
        <w:t>maximises</w:t>
      </w:r>
      <w:proofErr w:type="spellEnd"/>
      <w:r>
        <w:rPr>
          <w:rFonts w:ascii="Arial" w:hAnsi="Arial" w:cs="Arial"/>
        </w:rPr>
        <w:t xml:space="preserve"> sitting cash and boosts returns on liquid assets (Barnabas and Oloyede, 2025).</w:t>
      </w:r>
    </w:p>
    <w:p w14:paraId="0B70549C" w14:textId="77777777" w:rsidR="009D4E2F" w:rsidRDefault="00314650">
      <w:pPr>
        <w:pStyle w:val="Heading3"/>
        <w:rPr>
          <w:rFonts w:ascii="Arial" w:hAnsi="Arial" w:cs="Arial"/>
        </w:rPr>
      </w:pPr>
      <w:bookmarkStart w:id="19" w:name="_f6nyymy8lwp4" w:colFirst="0" w:colLast="0"/>
      <w:bookmarkEnd w:id="19"/>
      <w:r>
        <w:rPr>
          <w:rFonts w:ascii="Arial" w:hAnsi="Arial" w:cs="Arial"/>
        </w:rPr>
        <w:t>2.3.2 Receivables Management</w:t>
      </w:r>
    </w:p>
    <w:p w14:paraId="6F6AA901" w14:textId="77777777" w:rsidR="009D4E2F" w:rsidRDefault="00314650">
      <w:pPr>
        <w:rPr>
          <w:rFonts w:ascii="Arial" w:hAnsi="Arial" w:cs="Arial"/>
        </w:rPr>
      </w:pPr>
      <w:r>
        <w:rPr>
          <w:rFonts w:ascii="Arial" w:hAnsi="Arial" w:cs="Arial"/>
        </w:rPr>
        <w:t xml:space="preserve">The reduction in DSO is an indication of an increase in collection efficiency. Hilton should proceed with automated </w:t>
      </w:r>
      <w:proofErr w:type="gramStart"/>
      <w:r>
        <w:rPr>
          <w:rFonts w:ascii="Arial" w:hAnsi="Arial" w:cs="Arial"/>
        </w:rPr>
        <w:t>invoicing</w:t>
      </w:r>
      <w:proofErr w:type="gramEnd"/>
      <w:r>
        <w:rPr>
          <w:rFonts w:ascii="Arial" w:hAnsi="Arial" w:cs="Arial"/>
        </w:rPr>
        <w:t xml:space="preserve"> and digital payment systems and increasing credit coverage to reduce even further the time to collect (Nuno, 2026). The routine check of the </w:t>
      </w:r>
      <w:proofErr w:type="gramStart"/>
      <w:r>
        <w:rPr>
          <w:rFonts w:ascii="Arial" w:hAnsi="Arial" w:cs="Arial"/>
        </w:rPr>
        <w:t>franchisees</w:t>
      </w:r>
      <w:proofErr w:type="gramEnd"/>
      <w:r>
        <w:rPr>
          <w:rFonts w:ascii="Arial" w:hAnsi="Arial" w:cs="Arial"/>
        </w:rPr>
        <w:t xml:space="preserve"> pay performance would reduce the outstanding balances and enhance operating cash inflows.</w:t>
      </w:r>
    </w:p>
    <w:p w14:paraId="69E27E60" w14:textId="77777777" w:rsidR="009D4E2F" w:rsidRDefault="00314650">
      <w:pPr>
        <w:pStyle w:val="Heading3"/>
        <w:rPr>
          <w:rFonts w:ascii="Arial" w:hAnsi="Arial" w:cs="Arial"/>
        </w:rPr>
      </w:pPr>
      <w:bookmarkStart w:id="20" w:name="_jcl7xql9bw9k" w:colFirst="0" w:colLast="0"/>
      <w:bookmarkEnd w:id="20"/>
      <w:r>
        <w:rPr>
          <w:rFonts w:ascii="Arial" w:hAnsi="Arial" w:cs="Arial"/>
        </w:rPr>
        <w:t>2.3.3 Payables Management</w:t>
      </w:r>
    </w:p>
    <w:p w14:paraId="3117222F" w14:textId="77777777" w:rsidR="009D4E2F" w:rsidRDefault="00314650">
      <w:pPr>
        <w:rPr>
          <w:rFonts w:ascii="Arial" w:hAnsi="Arial" w:cs="Arial"/>
        </w:rPr>
      </w:pPr>
      <w:r>
        <w:rPr>
          <w:rFonts w:ascii="Arial" w:hAnsi="Arial" w:cs="Arial"/>
        </w:rPr>
        <w:t xml:space="preserve">Despite the drop in DPO during the period of review, Hilton must negotiate </w:t>
      </w:r>
      <w:proofErr w:type="spellStart"/>
      <w:r>
        <w:rPr>
          <w:rFonts w:ascii="Arial" w:hAnsi="Arial" w:cs="Arial"/>
        </w:rPr>
        <w:t>favourable</w:t>
      </w:r>
      <w:proofErr w:type="spellEnd"/>
      <w:r>
        <w:rPr>
          <w:rFonts w:ascii="Arial" w:hAnsi="Arial" w:cs="Arial"/>
        </w:rPr>
        <w:t xml:space="preserve"> terms of payment with suppliers and still ensure good commercial relations. Prolonging payment to </w:t>
      </w:r>
      <w:proofErr w:type="gramStart"/>
      <w:r>
        <w:rPr>
          <w:rFonts w:ascii="Arial" w:hAnsi="Arial" w:cs="Arial"/>
        </w:rPr>
        <w:t>where</w:t>
      </w:r>
      <w:proofErr w:type="gramEnd"/>
      <w:r>
        <w:rPr>
          <w:rFonts w:ascii="Arial" w:hAnsi="Arial" w:cs="Arial"/>
        </w:rPr>
        <w:t xml:space="preserve"> warranted without compromising the trust of the supplier would maintain the liquidity and the negative cash conversion cycle would be further entrenched in the company (Krieger, 2025).</w:t>
      </w:r>
    </w:p>
    <w:p w14:paraId="5F8741D5" w14:textId="77777777" w:rsidR="009D4E2F" w:rsidRDefault="00314650">
      <w:pPr>
        <w:pStyle w:val="Heading2"/>
        <w:keepNext w:val="0"/>
        <w:keepLines w:val="0"/>
        <w:spacing w:before="280" w:after="80"/>
        <w:rPr>
          <w:rFonts w:ascii="Arial" w:hAnsi="Arial" w:cs="Arial"/>
        </w:rPr>
      </w:pPr>
      <w:bookmarkStart w:id="21" w:name="_Toc237472607"/>
      <w:r>
        <w:rPr>
          <w:rFonts w:ascii="Arial" w:hAnsi="Arial" w:cs="Arial"/>
        </w:rPr>
        <w:t>2.4 Financing Working Capital</w:t>
      </w:r>
      <w:bookmarkEnd w:id="21"/>
    </w:p>
    <w:p w14:paraId="62F583A2" w14:textId="77777777" w:rsidR="009D4E2F" w:rsidRDefault="00314650">
      <w:pPr>
        <w:pStyle w:val="Heading3"/>
        <w:keepNext w:val="0"/>
        <w:keepLines w:val="0"/>
        <w:spacing w:before="240" w:after="40"/>
        <w:rPr>
          <w:rFonts w:ascii="Arial" w:hAnsi="Arial" w:cs="Arial"/>
        </w:rPr>
      </w:pPr>
      <w:bookmarkStart w:id="22" w:name="_41esmeprjj6h" w:colFirst="0" w:colLast="0"/>
      <w:bookmarkEnd w:id="22"/>
      <w:r>
        <w:rPr>
          <w:rFonts w:ascii="Arial" w:hAnsi="Arial" w:cs="Arial"/>
        </w:rPr>
        <w:t>2.4.1 Short-Term Financing Options</w:t>
      </w:r>
    </w:p>
    <w:tbl>
      <w:tblPr>
        <w:tblStyle w:val="GridTable4-Accent21"/>
        <w:tblW w:w="9360" w:type="dxa"/>
        <w:tblLayout w:type="fixed"/>
        <w:tblLook w:val="04A0" w:firstRow="1" w:lastRow="0" w:firstColumn="1" w:lastColumn="0" w:noHBand="0" w:noVBand="1"/>
      </w:tblPr>
      <w:tblGrid>
        <w:gridCol w:w="1896"/>
        <w:gridCol w:w="1785"/>
        <w:gridCol w:w="1326"/>
        <w:gridCol w:w="1000"/>
        <w:gridCol w:w="3353"/>
      </w:tblGrid>
      <w:tr w:rsidR="009D4E2F" w14:paraId="4E2234CE" w14:textId="77777777" w:rsidTr="009D4E2F">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896" w:type="dxa"/>
          </w:tcPr>
          <w:p w14:paraId="7FC7D655" w14:textId="77777777" w:rsidR="009D4E2F" w:rsidRDefault="00314650">
            <w:pPr>
              <w:spacing w:after="0"/>
              <w:jc w:val="center"/>
              <w:rPr>
                <w:rFonts w:ascii="Arial" w:hAnsi="Arial" w:cs="Arial"/>
              </w:rPr>
            </w:pPr>
            <w:r>
              <w:rPr>
                <w:rFonts w:ascii="Arial" w:hAnsi="Arial" w:cs="Arial"/>
              </w:rPr>
              <w:t>Option</w:t>
            </w:r>
          </w:p>
        </w:tc>
        <w:tc>
          <w:tcPr>
            <w:tcW w:w="1785" w:type="dxa"/>
          </w:tcPr>
          <w:p w14:paraId="30767E14"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Cost</w:t>
            </w:r>
          </w:p>
        </w:tc>
        <w:tc>
          <w:tcPr>
            <w:tcW w:w="1326" w:type="dxa"/>
          </w:tcPr>
          <w:p w14:paraId="4CCFA134"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Flexibility</w:t>
            </w:r>
          </w:p>
        </w:tc>
        <w:tc>
          <w:tcPr>
            <w:tcW w:w="1000" w:type="dxa"/>
          </w:tcPr>
          <w:p w14:paraId="54681CDC"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Risk</w:t>
            </w:r>
          </w:p>
        </w:tc>
        <w:tc>
          <w:tcPr>
            <w:tcW w:w="3353" w:type="dxa"/>
          </w:tcPr>
          <w:p w14:paraId="3927FD03"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Best Use</w:t>
            </w:r>
          </w:p>
        </w:tc>
      </w:tr>
      <w:tr w:rsidR="009D4E2F" w14:paraId="0F6A75A3"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11509F13" w14:textId="77777777" w:rsidR="009D4E2F" w:rsidRDefault="00314650">
            <w:pPr>
              <w:spacing w:after="0"/>
              <w:rPr>
                <w:rFonts w:ascii="Arial" w:hAnsi="Arial" w:cs="Arial"/>
              </w:rPr>
            </w:pPr>
            <w:r>
              <w:rPr>
                <w:rFonts w:ascii="Arial" w:hAnsi="Arial" w:cs="Arial"/>
              </w:rPr>
              <w:t>Trade Credit</w:t>
            </w:r>
          </w:p>
        </w:tc>
        <w:tc>
          <w:tcPr>
            <w:tcW w:w="1785" w:type="dxa"/>
          </w:tcPr>
          <w:p w14:paraId="5CF36661"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direct financing cost</w:t>
            </w:r>
          </w:p>
        </w:tc>
        <w:tc>
          <w:tcPr>
            <w:tcW w:w="1326" w:type="dxa"/>
          </w:tcPr>
          <w:p w14:paraId="00AB8636"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w:t>
            </w:r>
          </w:p>
        </w:tc>
        <w:tc>
          <w:tcPr>
            <w:tcW w:w="1000" w:type="dxa"/>
          </w:tcPr>
          <w:p w14:paraId="4F487978"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Low</w:t>
            </w:r>
          </w:p>
        </w:tc>
        <w:tc>
          <w:tcPr>
            <w:tcW w:w="3353" w:type="dxa"/>
          </w:tcPr>
          <w:p w14:paraId="2A68BEBF"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Managing routine operating expenses and supplier payments (Vora, 2026)</w:t>
            </w:r>
          </w:p>
        </w:tc>
      </w:tr>
      <w:tr w:rsidR="009D4E2F" w14:paraId="2811E777" w14:textId="77777777" w:rsidTr="009D4E2F">
        <w:trPr>
          <w:trHeight w:val="1070"/>
        </w:trPr>
        <w:tc>
          <w:tcPr>
            <w:cnfStyle w:val="001000000000" w:firstRow="0" w:lastRow="0" w:firstColumn="1" w:lastColumn="0" w:oddVBand="0" w:evenVBand="0" w:oddHBand="0" w:evenHBand="0" w:firstRowFirstColumn="0" w:firstRowLastColumn="0" w:lastRowFirstColumn="0" w:lastRowLastColumn="0"/>
            <w:tcW w:w="1896" w:type="dxa"/>
          </w:tcPr>
          <w:p w14:paraId="022FB64D" w14:textId="77777777" w:rsidR="009D4E2F" w:rsidRDefault="00314650">
            <w:pPr>
              <w:spacing w:after="0"/>
              <w:rPr>
                <w:rFonts w:ascii="Arial" w:hAnsi="Arial" w:cs="Arial"/>
              </w:rPr>
            </w:pPr>
            <w:r>
              <w:rPr>
                <w:rFonts w:ascii="Arial" w:hAnsi="Arial" w:cs="Arial"/>
              </w:rPr>
              <w:lastRenderedPageBreak/>
              <w:t>Bank Overdraft</w:t>
            </w:r>
          </w:p>
        </w:tc>
        <w:tc>
          <w:tcPr>
            <w:tcW w:w="1785" w:type="dxa"/>
          </w:tcPr>
          <w:p w14:paraId="7B715168"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Variable interest rate</w:t>
            </w:r>
          </w:p>
        </w:tc>
        <w:tc>
          <w:tcPr>
            <w:tcW w:w="1326" w:type="dxa"/>
          </w:tcPr>
          <w:p w14:paraId="454CEDC8"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Very High</w:t>
            </w:r>
          </w:p>
        </w:tc>
        <w:tc>
          <w:tcPr>
            <w:tcW w:w="1000" w:type="dxa"/>
          </w:tcPr>
          <w:p w14:paraId="334AEAE6"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3353" w:type="dxa"/>
          </w:tcPr>
          <w:p w14:paraId="5C2239D7"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Covering temporary cash shortages and seasonal fluctuations</w:t>
            </w:r>
          </w:p>
        </w:tc>
      </w:tr>
      <w:tr w:rsidR="009D4E2F" w14:paraId="641EB8C8"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51E98B75" w14:textId="77777777" w:rsidR="009D4E2F" w:rsidRDefault="00314650">
            <w:pPr>
              <w:spacing w:after="0"/>
              <w:rPr>
                <w:rFonts w:ascii="Arial" w:hAnsi="Arial" w:cs="Arial"/>
              </w:rPr>
            </w:pPr>
            <w:r>
              <w:rPr>
                <w:rFonts w:ascii="Arial" w:hAnsi="Arial" w:cs="Arial"/>
              </w:rPr>
              <w:t>Revolving Credit Facility</w:t>
            </w:r>
          </w:p>
        </w:tc>
        <w:tc>
          <w:tcPr>
            <w:tcW w:w="1785" w:type="dxa"/>
          </w:tcPr>
          <w:p w14:paraId="0797EF6F"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SOFR + lending margin</w:t>
            </w:r>
          </w:p>
        </w:tc>
        <w:tc>
          <w:tcPr>
            <w:tcW w:w="1326" w:type="dxa"/>
          </w:tcPr>
          <w:p w14:paraId="6AC92653"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w:t>
            </w:r>
          </w:p>
        </w:tc>
        <w:tc>
          <w:tcPr>
            <w:tcW w:w="1000" w:type="dxa"/>
          </w:tcPr>
          <w:p w14:paraId="41D0366A"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Low</w:t>
            </w:r>
          </w:p>
        </w:tc>
        <w:tc>
          <w:tcPr>
            <w:tcW w:w="3353" w:type="dxa"/>
          </w:tcPr>
          <w:p w14:paraId="6BC44883"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Maintaining liquidity and emergency funding requirements (BBVA, 2025)</w:t>
            </w:r>
          </w:p>
        </w:tc>
      </w:tr>
      <w:tr w:rsidR="009D4E2F" w14:paraId="6DDA4A01"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1896" w:type="dxa"/>
          </w:tcPr>
          <w:p w14:paraId="09A3BFC7" w14:textId="77777777" w:rsidR="009D4E2F" w:rsidRDefault="00314650">
            <w:pPr>
              <w:spacing w:after="0"/>
              <w:rPr>
                <w:rFonts w:ascii="Arial" w:hAnsi="Arial" w:cs="Arial"/>
              </w:rPr>
            </w:pPr>
            <w:r>
              <w:rPr>
                <w:rFonts w:ascii="Arial" w:hAnsi="Arial" w:cs="Arial"/>
              </w:rPr>
              <w:t>Commercial Paper</w:t>
            </w:r>
          </w:p>
        </w:tc>
        <w:tc>
          <w:tcPr>
            <w:tcW w:w="1785" w:type="dxa"/>
          </w:tcPr>
          <w:p w14:paraId="6A00F714"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Lower than bank borrowing</w:t>
            </w:r>
          </w:p>
        </w:tc>
        <w:tc>
          <w:tcPr>
            <w:tcW w:w="1326" w:type="dxa"/>
          </w:tcPr>
          <w:p w14:paraId="4213A68A"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1000" w:type="dxa"/>
          </w:tcPr>
          <w:p w14:paraId="06E8C1AC"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3353" w:type="dxa"/>
          </w:tcPr>
          <w:p w14:paraId="2A5A862E"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Short-term corporate funding for working capital needs</w:t>
            </w:r>
          </w:p>
        </w:tc>
      </w:tr>
    </w:tbl>
    <w:p w14:paraId="6A560A83" w14:textId="77777777" w:rsidR="009D4E2F" w:rsidRDefault="00314650">
      <w:pPr>
        <w:jc w:val="center"/>
        <w:rPr>
          <w:rFonts w:ascii="Arial" w:hAnsi="Arial" w:cs="Arial"/>
          <w:b/>
          <w:bCs/>
        </w:rPr>
      </w:pPr>
      <w:r>
        <w:rPr>
          <w:rFonts w:ascii="Arial" w:hAnsi="Arial" w:cs="Arial"/>
          <w:b/>
          <w:bCs/>
        </w:rPr>
        <w:t>Table 7: Short-Term Financing Options</w:t>
      </w:r>
    </w:p>
    <w:p w14:paraId="01DE3110" w14:textId="77777777" w:rsidR="009D4E2F" w:rsidRDefault="00314650">
      <w:pPr>
        <w:jc w:val="center"/>
        <w:rPr>
          <w:rFonts w:ascii="Arial" w:hAnsi="Arial" w:cs="Arial"/>
          <w:b/>
          <w:bCs/>
        </w:rPr>
      </w:pPr>
      <w:r>
        <w:rPr>
          <w:rFonts w:ascii="Arial" w:hAnsi="Arial" w:cs="Arial"/>
        </w:rPr>
        <w:t>(Source: Self-Created)</w:t>
      </w:r>
    </w:p>
    <w:p w14:paraId="440CF4C0" w14:textId="77777777" w:rsidR="009D4E2F" w:rsidRDefault="00314650">
      <w:pPr>
        <w:pStyle w:val="Heading3"/>
        <w:keepNext w:val="0"/>
        <w:keepLines w:val="0"/>
        <w:spacing w:before="240" w:after="40"/>
        <w:rPr>
          <w:rFonts w:ascii="Arial" w:hAnsi="Arial" w:cs="Arial"/>
        </w:rPr>
      </w:pPr>
      <w:bookmarkStart w:id="23" w:name="_9hp7ifrf02u2" w:colFirst="0" w:colLast="0"/>
      <w:bookmarkEnd w:id="23"/>
      <w:r>
        <w:rPr>
          <w:rFonts w:ascii="Arial" w:hAnsi="Arial" w:cs="Arial"/>
        </w:rPr>
        <w:t>2.4.2 Long-Term Financing Options</w:t>
      </w:r>
    </w:p>
    <w:tbl>
      <w:tblPr>
        <w:tblStyle w:val="GridTable4-Accent41"/>
        <w:tblW w:w="9360" w:type="dxa"/>
        <w:tblLayout w:type="fixed"/>
        <w:tblLook w:val="04A0" w:firstRow="1" w:lastRow="0" w:firstColumn="1" w:lastColumn="0" w:noHBand="0" w:noVBand="1"/>
      </w:tblPr>
      <w:tblGrid>
        <w:gridCol w:w="2184"/>
        <w:gridCol w:w="1852"/>
        <w:gridCol w:w="1216"/>
        <w:gridCol w:w="1000"/>
        <w:gridCol w:w="3108"/>
      </w:tblGrid>
      <w:tr w:rsidR="009D4E2F" w14:paraId="262AC9B7" w14:textId="77777777" w:rsidTr="009D4E2F">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183" w:type="dxa"/>
          </w:tcPr>
          <w:p w14:paraId="40163D99" w14:textId="77777777" w:rsidR="009D4E2F" w:rsidRDefault="00314650">
            <w:pPr>
              <w:spacing w:after="0"/>
              <w:jc w:val="center"/>
              <w:rPr>
                <w:rFonts w:ascii="Arial" w:hAnsi="Arial" w:cs="Arial"/>
              </w:rPr>
            </w:pPr>
            <w:r>
              <w:rPr>
                <w:rFonts w:ascii="Arial" w:hAnsi="Arial" w:cs="Arial"/>
              </w:rPr>
              <w:t>Option</w:t>
            </w:r>
          </w:p>
        </w:tc>
        <w:tc>
          <w:tcPr>
            <w:tcW w:w="1851" w:type="dxa"/>
          </w:tcPr>
          <w:p w14:paraId="3045EAE1"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Cost</w:t>
            </w:r>
          </w:p>
        </w:tc>
        <w:tc>
          <w:tcPr>
            <w:tcW w:w="1216" w:type="dxa"/>
          </w:tcPr>
          <w:p w14:paraId="05507A7B"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Maturity</w:t>
            </w:r>
          </w:p>
        </w:tc>
        <w:tc>
          <w:tcPr>
            <w:tcW w:w="1000" w:type="dxa"/>
          </w:tcPr>
          <w:p w14:paraId="7B7771C2"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Risk</w:t>
            </w:r>
          </w:p>
        </w:tc>
        <w:tc>
          <w:tcPr>
            <w:tcW w:w="3107" w:type="dxa"/>
          </w:tcPr>
          <w:p w14:paraId="30541EB5" w14:textId="77777777" w:rsidR="009D4E2F" w:rsidRDefault="00314650">
            <w:pPr>
              <w:spacing w:after="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Best Use</w:t>
            </w:r>
          </w:p>
        </w:tc>
      </w:tr>
      <w:tr w:rsidR="009D4E2F" w14:paraId="21FB3124"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528941A7" w14:textId="77777777" w:rsidR="009D4E2F" w:rsidRDefault="00314650">
            <w:pPr>
              <w:spacing w:after="0"/>
              <w:rPr>
                <w:rFonts w:ascii="Arial" w:hAnsi="Arial" w:cs="Arial"/>
              </w:rPr>
            </w:pPr>
            <w:r>
              <w:rPr>
                <w:rFonts w:ascii="Arial" w:hAnsi="Arial" w:cs="Arial"/>
              </w:rPr>
              <w:t>Corporate Bonds</w:t>
            </w:r>
          </w:p>
        </w:tc>
        <w:tc>
          <w:tcPr>
            <w:tcW w:w="1851" w:type="dxa"/>
          </w:tcPr>
          <w:p w14:paraId="76A88B24"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Fixed interest rate</w:t>
            </w:r>
          </w:p>
        </w:tc>
        <w:tc>
          <w:tcPr>
            <w:tcW w:w="1216" w:type="dxa"/>
          </w:tcPr>
          <w:p w14:paraId="3AEEDE5D"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5–10 years</w:t>
            </w:r>
          </w:p>
        </w:tc>
        <w:tc>
          <w:tcPr>
            <w:tcW w:w="1000" w:type="dxa"/>
          </w:tcPr>
          <w:p w14:paraId="78D55A0B"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Low</w:t>
            </w:r>
          </w:p>
        </w:tc>
        <w:tc>
          <w:tcPr>
            <w:tcW w:w="3107" w:type="dxa"/>
          </w:tcPr>
          <w:p w14:paraId="2BEC440B"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Long-term expansion and refinancing existing debt</w:t>
            </w:r>
          </w:p>
        </w:tc>
      </w:tr>
      <w:tr w:rsidR="009D4E2F" w14:paraId="3EBBF2BC"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3C98EF12" w14:textId="77777777" w:rsidR="009D4E2F" w:rsidRDefault="00314650">
            <w:pPr>
              <w:spacing w:after="0"/>
              <w:rPr>
                <w:rFonts w:ascii="Arial" w:hAnsi="Arial" w:cs="Arial"/>
              </w:rPr>
            </w:pPr>
            <w:r>
              <w:rPr>
                <w:rFonts w:ascii="Arial" w:hAnsi="Arial" w:cs="Arial"/>
              </w:rPr>
              <w:t>Sustainability-Linked Loans</w:t>
            </w:r>
          </w:p>
        </w:tc>
        <w:tc>
          <w:tcPr>
            <w:tcW w:w="1851" w:type="dxa"/>
          </w:tcPr>
          <w:p w14:paraId="521859D5"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Floating rate</w:t>
            </w:r>
          </w:p>
        </w:tc>
        <w:tc>
          <w:tcPr>
            <w:tcW w:w="1216" w:type="dxa"/>
          </w:tcPr>
          <w:p w14:paraId="0B3B277C"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3–7 years</w:t>
            </w:r>
          </w:p>
        </w:tc>
        <w:tc>
          <w:tcPr>
            <w:tcW w:w="1000" w:type="dxa"/>
          </w:tcPr>
          <w:p w14:paraId="7766711F"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3107" w:type="dxa"/>
          </w:tcPr>
          <w:p w14:paraId="300EB17E"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ESG initiatives and technology investments (Chura, 2026)</w:t>
            </w:r>
          </w:p>
        </w:tc>
      </w:tr>
      <w:tr w:rsidR="009D4E2F" w14:paraId="4515427A" w14:textId="77777777" w:rsidTr="009D4E2F">
        <w:trPr>
          <w:trHeight w:val="785"/>
        </w:trPr>
        <w:tc>
          <w:tcPr>
            <w:cnfStyle w:val="001000000000" w:firstRow="0" w:lastRow="0" w:firstColumn="1" w:lastColumn="0" w:oddVBand="0" w:evenVBand="0" w:oddHBand="0" w:evenHBand="0" w:firstRowFirstColumn="0" w:firstRowLastColumn="0" w:lastRowFirstColumn="0" w:lastRowLastColumn="0"/>
            <w:tcW w:w="2183" w:type="dxa"/>
          </w:tcPr>
          <w:p w14:paraId="4B5BE678" w14:textId="77777777" w:rsidR="009D4E2F" w:rsidRDefault="00314650">
            <w:pPr>
              <w:spacing w:after="0"/>
              <w:rPr>
                <w:rFonts w:ascii="Arial" w:hAnsi="Arial" w:cs="Arial"/>
              </w:rPr>
            </w:pPr>
            <w:r>
              <w:rPr>
                <w:rFonts w:ascii="Arial" w:hAnsi="Arial" w:cs="Arial"/>
              </w:rPr>
              <w:t>Equity Financing</w:t>
            </w:r>
          </w:p>
        </w:tc>
        <w:tc>
          <w:tcPr>
            <w:tcW w:w="1851" w:type="dxa"/>
          </w:tcPr>
          <w:p w14:paraId="1FA57112"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repayment obligation</w:t>
            </w:r>
          </w:p>
        </w:tc>
        <w:tc>
          <w:tcPr>
            <w:tcW w:w="1216" w:type="dxa"/>
          </w:tcPr>
          <w:p w14:paraId="28EF9376"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Permanent</w:t>
            </w:r>
          </w:p>
        </w:tc>
        <w:tc>
          <w:tcPr>
            <w:tcW w:w="1000" w:type="dxa"/>
          </w:tcPr>
          <w:p w14:paraId="09F8DA21"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Low</w:t>
            </w:r>
          </w:p>
        </w:tc>
        <w:tc>
          <w:tcPr>
            <w:tcW w:w="3107" w:type="dxa"/>
          </w:tcPr>
          <w:p w14:paraId="2AD4E9AC"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Strategic acquisitions and major expansion projects</w:t>
            </w:r>
          </w:p>
        </w:tc>
      </w:tr>
      <w:tr w:rsidR="009D4E2F" w14:paraId="1644B77C" w14:textId="77777777" w:rsidTr="009D4E2F">
        <w:trPr>
          <w:trHeight w:val="1177"/>
        </w:trPr>
        <w:tc>
          <w:tcPr>
            <w:cnfStyle w:val="001000000000" w:firstRow="0" w:lastRow="0" w:firstColumn="1" w:lastColumn="0" w:oddVBand="0" w:evenVBand="0" w:oddHBand="0" w:evenHBand="0" w:firstRowFirstColumn="0" w:firstRowLastColumn="0" w:lastRowFirstColumn="0" w:lastRowLastColumn="0"/>
            <w:tcW w:w="2183" w:type="dxa"/>
          </w:tcPr>
          <w:p w14:paraId="5BA417BD" w14:textId="77777777" w:rsidR="009D4E2F" w:rsidRDefault="00314650">
            <w:pPr>
              <w:spacing w:after="0"/>
              <w:rPr>
                <w:rFonts w:ascii="Arial" w:hAnsi="Arial" w:cs="Arial"/>
              </w:rPr>
            </w:pPr>
            <w:r>
              <w:rPr>
                <w:rFonts w:ascii="Arial" w:hAnsi="Arial" w:cs="Arial"/>
              </w:rPr>
              <w:t>Term Loans</w:t>
            </w:r>
          </w:p>
        </w:tc>
        <w:tc>
          <w:tcPr>
            <w:tcW w:w="1851" w:type="dxa"/>
          </w:tcPr>
          <w:p w14:paraId="412F8A32"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Fixed or variable interest</w:t>
            </w:r>
          </w:p>
        </w:tc>
        <w:tc>
          <w:tcPr>
            <w:tcW w:w="1216" w:type="dxa"/>
          </w:tcPr>
          <w:p w14:paraId="57D58684"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5–8 years</w:t>
            </w:r>
          </w:p>
        </w:tc>
        <w:tc>
          <w:tcPr>
            <w:tcW w:w="1000" w:type="dxa"/>
          </w:tcPr>
          <w:p w14:paraId="35965470"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Medium</w:t>
            </w:r>
          </w:p>
        </w:tc>
        <w:tc>
          <w:tcPr>
            <w:tcW w:w="3107" w:type="dxa"/>
          </w:tcPr>
          <w:p w14:paraId="63322866" w14:textId="77777777" w:rsidR="009D4E2F" w:rsidRDefault="00314650">
            <w:pPr>
              <w:spacing w:after="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Capital investment and refinancing (SoFi, 2020)</w:t>
            </w:r>
          </w:p>
        </w:tc>
      </w:tr>
    </w:tbl>
    <w:p w14:paraId="653FCF22" w14:textId="77777777" w:rsidR="009D4E2F" w:rsidRDefault="00314650">
      <w:pPr>
        <w:jc w:val="center"/>
        <w:rPr>
          <w:rFonts w:ascii="Arial" w:hAnsi="Arial" w:cs="Arial"/>
          <w:b/>
          <w:bCs/>
        </w:rPr>
      </w:pPr>
      <w:r>
        <w:rPr>
          <w:rFonts w:ascii="Arial" w:hAnsi="Arial" w:cs="Arial"/>
          <w:b/>
          <w:bCs/>
        </w:rPr>
        <w:t>Table 8: Long-Term Financing Options</w:t>
      </w:r>
    </w:p>
    <w:p w14:paraId="5BFA494E" w14:textId="77777777" w:rsidR="009D4E2F" w:rsidRDefault="00314650">
      <w:pPr>
        <w:jc w:val="center"/>
        <w:rPr>
          <w:rFonts w:ascii="Arial" w:hAnsi="Arial" w:cs="Arial"/>
        </w:rPr>
      </w:pPr>
      <w:r>
        <w:rPr>
          <w:rFonts w:ascii="Arial" w:hAnsi="Arial" w:cs="Arial"/>
        </w:rPr>
        <w:t>(Source: Self-Created)</w:t>
      </w:r>
    </w:p>
    <w:p w14:paraId="6E3A6548" w14:textId="77777777" w:rsidR="001B685A" w:rsidRDefault="001B685A">
      <w:pPr>
        <w:spacing w:after="0" w:line="240" w:lineRule="auto"/>
        <w:jc w:val="left"/>
        <w:rPr>
          <w:rFonts w:ascii="Arial" w:hAnsi="Arial" w:cs="Arial"/>
          <w:b/>
          <w:bCs/>
        </w:rPr>
      </w:pPr>
      <w:bookmarkStart w:id="24" w:name="_Toc237472608"/>
      <w:r>
        <w:rPr>
          <w:rFonts w:ascii="Arial" w:hAnsi="Arial" w:cs="Arial"/>
        </w:rPr>
        <w:br w:type="page"/>
      </w:r>
    </w:p>
    <w:p w14:paraId="2BDB1C24" w14:textId="223F3754" w:rsidR="009D4E2F" w:rsidRDefault="00314650">
      <w:pPr>
        <w:pStyle w:val="Heading2"/>
        <w:keepNext w:val="0"/>
        <w:keepLines w:val="0"/>
        <w:spacing w:before="280" w:after="80"/>
        <w:rPr>
          <w:rFonts w:ascii="Arial" w:hAnsi="Arial" w:cs="Arial"/>
        </w:rPr>
      </w:pPr>
      <w:r>
        <w:rPr>
          <w:rFonts w:ascii="Arial" w:hAnsi="Arial" w:cs="Arial"/>
        </w:rPr>
        <w:lastRenderedPageBreak/>
        <w:t>2.5 Evaluation of Financing Choice</w:t>
      </w:r>
      <w:bookmarkEnd w:id="24"/>
    </w:p>
    <w:p w14:paraId="0FD34CA6" w14:textId="77777777" w:rsidR="009D4E2F" w:rsidRDefault="00314650">
      <w:pPr>
        <w:rPr>
          <w:rFonts w:ascii="Arial" w:hAnsi="Arial" w:cs="Arial"/>
        </w:rPr>
      </w:pPr>
      <w:r>
        <w:rPr>
          <w:rFonts w:ascii="Arial" w:hAnsi="Arial" w:cs="Arial"/>
        </w:rPr>
        <w:t xml:space="preserve">A balanced financing structure is the most appropriate financing structure to embrace by Hilton. The main source of working capital funding needs to be strong operating cash flows obtained </w:t>
      </w:r>
      <w:proofErr w:type="gramStart"/>
      <w:r>
        <w:rPr>
          <w:rFonts w:ascii="Arial" w:hAnsi="Arial" w:cs="Arial"/>
        </w:rPr>
        <w:t>as a result of</w:t>
      </w:r>
      <w:proofErr w:type="gramEnd"/>
      <w:r>
        <w:rPr>
          <w:rFonts w:ascii="Arial" w:hAnsi="Arial" w:cs="Arial"/>
        </w:rPr>
        <w:t xml:space="preserve"> its franchise and management business. Short term financing instruments will be provided and revolving credit facilities and trade credit </w:t>
      </w:r>
      <w:proofErr w:type="gramStart"/>
      <w:r>
        <w:rPr>
          <w:rFonts w:ascii="Arial" w:hAnsi="Arial" w:cs="Arial"/>
        </w:rPr>
        <w:t>in particular released</w:t>
      </w:r>
      <w:proofErr w:type="gramEnd"/>
      <w:r>
        <w:rPr>
          <w:rFonts w:ascii="Arial" w:hAnsi="Arial" w:cs="Arial"/>
        </w:rPr>
        <w:t xml:space="preserve"> to satisfy the </w:t>
      </w:r>
      <w:proofErr w:type="gramStart"/>
      <w:r>
        <w:rPr>
          <w:rFonts w:ascii="Arial" w:hAnsi="Arial" w:cs="Arial"/>
        </w:rPr>
        <w:t>short term</w:t>
      </w:r>
      <w:proofErr w:type="gramEnd"/>
      <w:r>
        <w:rPr>
          <w:rFonts w:ascii="Arial" w:hAnsi="Arial" w:cs="Arial"/>
        </w:rPr>
        <w:t xml:space="preserve"> liquidity requirement but not financial commitments of the long term (Hilton Worldwide Holdings Inc, 2025). The Hilton needs to be reliant on corporate bonds and sustainability-linked loans to continue growing strategically, refinancing and investing in technology </w:t>
      </w:r>
      <w:proofErr w:type="gramStart"/>
      <w:r>
        <w:rPr>
          <w:rFonts w:ascii="Arial" w:hAnsi="Arial" w:cs="Arial"/>
        </w:rPr>
        <w:t>as long as</w:t>
      </w:r>
      <w:proofErr w:type="gramEnd"/>
      <w:r>
        <w:rPr>
          <w:rFonts w:ascii="Arial" w:hAnsi="Arial" w:cs="Arial"/>
        </w:rPr>
        <w:t xml:space="preserve"> the firm </w:t>
      </w:r>
      <w:proofErr w:type="gramStart"/>
      <w:r>
        <w:rPr>
          <w:rFonts w:ascii="Arial" w:hAnsi="Arial" w:cs="Arial"/>
        </w:rPr>
        <w:t>is able to</w:t>
      </w:r>
      <w:proofErr w:type="gramEnd"/>
      <w:r>
        <w:rPr>
          <w:rFonts w:ascii="Arial" w:hAnsi="Arial" w:cs="Arial"/>
        </w:rPr>
        <w:t xml:space="preserve"> access relatively cheap financing and achieve the objectives of funding environmental activities (Osman Ahmed El-Said et al., 2024). </w:t>
      </w:r>
    </w:p>
    <w:p w14:paraId="38303F4B" w14:textId="77777777" w:rsidR="009D4E2F" w:rsidRDefault="00314650">
      <w:pPr>
        <w:pStyle w:val="Heading1"/>
        <w:keepNext w:val="0"/>
        <w:keepLines w:val="0"/>
        <w:spacing w:before="360" w:after="80"/>
        <w:rPr>
          <w:rFonts w:ascii="Arial" w:hAnsi="Arial" w:cs="Arial"/>
          <w:sz w:val="24"/>
          <w:szCs w:val="24"/>
        </w:rPr>
      </w:pPr>
      <w:bookmarkStart w:id="25" w:name="_Toc237472609"/>
      <w:r>
        <w:rPr>
          <w:rFonts w:ascii="Arial" w:hAnsi="Arial" w:cs="Arial"/>
          <w:sz w:val="24"/>
          <w:szCs w:val="24"/>
        </w:rPr>
        <w:t>3. Strategic Financial Restructuring Plan</w:t>
      </w:r>
      <w:bookmarkEnd w:id="25"/>
    </w:p>
    <w:p w14:paraId="2DF8E28F" w14:textId="77777777" w:rsidR="009D4E2F" w:rsidRDefault="00314650">
      <w:pPr>
        <w:pStyle w:val="Heading2"/>
        <w:keepNext w:val="0"/>
        <w:keepLines w:val="0"/>
        <w:spacing w:before="280" w:after="80"/>
        <w:rPr>
          <w:rFonts w:ascii="Arial" w:hAnsi="Arial" w:cs="Arial"/>
        </w:rPr>
      </w:pPr>
      <w:bookmarkStart w:id="26" w:name="_Toc237472610"/>
      <w:r>
        <w:rPr>
          <w:rFonts w:ascii="Arial" w:hAnsi="Arial" w:cs="Arial"/>
        </w:rPr>
        <w:t>3.1 Need for Financial Restructuring</w:t>
      </w:r>
      <w:bookmarkEnd w:id="26"/>
    </w:p>
    <w:p w14:paraId="40185846" w14:textId="77777777" w:rsidR="009D4E2F" w:rsidRDefault="00314650">
      <w:pPr>
        <w:rPr>
          <w:rFonts w:ascii="Arial" w:hAnsi="Arial" w:cs="Arial"/>
        </w:rPr>
      </w:pPr>
      <w:r>
        <w:rPr>
          <w:rFonts w:ascii="Arial" w:hAnsi="Arial" w:cs="Arial"/>
        </w:rPr>
        <w:t xml:space="preserve">Hilton Worldwide Holdings Inc. is operationally sound, but it needs to undergo specific financial restructuring that would enable it to attain sustainable long-term growth and increase its flexibility on the balance sheet. Between 2021 and 2025, the long-term debt increased by $3.63 billion to $12.34 billion, and the current ratio has decreased to 0.66, although it was 0.95 in 2021, which means that the company is more dependent on debt and suffers poor short-term liquidity.  </w:t>
      </w:r>
    </w:p>
    <w:p w14:paraId="00FF447C" w14:textId="77777777" w:rsidR="009D4E2F" w:rsidRDefault="00314650">
      <w:pPr>
        <w:pStyle w:val="Heading2"/>
        <w:keepNext w:val="0"/>
        <w:keepLines w:val="0"/>
        <w:spacing w:before="280" w:after="80"/>
        <w:rPr>
          <w:rFonts w:ascii="Arial" w:hAnsi="Arial" w:cs="Arial"/>
        </w:rPr>
      </w:pPr>
      <w:bookmarkStart w:id="27" w:name="_Toc237472611"/>
      <w:r>
        <w:rPr>
          <w:rFonts w:ascii="Arial" w:hAnsi="Arial" w:cs="Arial"/>
        </w:rPr>
        <w:t>3.2 Proposed Restructuring Strategies</w:t>
      </w:r>
      <w:bookmarkEnd w:id="27"/>
    </w:p>
    <w:p w14:paraId="5BF2EE5C" w14:textId="77777777" w:rsidR="009D4E2F" w:rsidRDefault="00314650">
      <w:pPr>
        <w:pStyle w:val="Heading3"/>
        <w:keepNext w:val="0"/>
        <w:keepLines w:val="0"/>
        <w:spacing w:before="240" w:after="40"/>
        <w:rPr>
          <w:rFonts w:ascii="Arial" w:hAnsi="Arial" w:cs="Arial"/>
        </w:rPr>
      </w:pPr>
      <w:bookmarkStart w:id="28" w:name="_am2hduwgw1vh" w:colFirst="0" w:colLast="0"/>
      <w:bookmarkEnd w:id="28"/>
      <w:r>
        <w:rPr>
          <w:rFonts w:ascii="Arial" w:hAnsi="Arial" w:cs="Arial"/>
        </w:rPr>
        <w:t xml:space="preserve">3.2.1 Capital Structure </w:t>
      </w:r>
      <w:proofErr w:type="spellStart"/>
      <w:r>
        <w:rPr>
          <w:rFonts w:ascii="Arial" w:hAnsi="Arial" w:cs="Arial"/>
        </w:rPr>
        <w:t>Optimisation</w:t>
      </w:r>
      <w:proofErr w:type="spellEnd"/>
    </w:p>
    <w:p w14:paraId="11AF2ACC" w14:textId="77777777" w:rsidR="009D4E2F" w:rsidRDefault="00314650">
      <w:pPr>
        <w:rPr>
          <w:rFonts w:ascii="Arial" w:hAnsi="Arial" w:cs="Arial"/>
        </w:rPr>
      </w:pPr>
      <w:r>
        <w:rPr>
          <w:rFonts w:ascii="Arial" w:hAnsi="Arial" w:cs="Arial"/>
        </w:rPr>
        <w:t xml:space="preserve">Hilton need not be in a hurry to </w:t>
      </w:r>
      <w:proofErr w:type="gramStart"/>
      <w:r>
        <w:rPr>
          <w:rFonts w:ascii="Arial" w:hAnsi="Arial" w:cs="Arial"/>
        </w:rPr>
        <w:t>deleverage</w:t>
      </w:r>
      <w:proofErr w:type="gramEnd"/>
      <w:r>
        <w:rPr>
          <w:rFonts w:ascii="Arial" w:hAnsi="Arial" w:cs="Arial"/>
        </w:rPr>
        <w:t xml:space="preserve"> itself but allocate a higher proportion of operating cash flow to cut on </w:t>
      </w:r>
      <w:proofErr w:type="gramStart"/>
      <w:r>
        <w:rPr>
          <w:rFonts w:ascii="Arial" w:hAnsi="Arial" w:cs="Arial"/>
        </w:rPr>
        <w:t>high cost</w:t>
      </w:r>
      <w:proofErr w:type="gramEnd"/>
      <w:r>
        <w:rPr>
          <w:rFonts w:ascii="Arial" w:hAnsi="Arial" w:cs="Arial"/>
        </w:rPr>
        <w:t xml:space="preserve"> debt. The company ought to convert </w:t>
      </w:r>
      <w:proofErr w:type="gramStart"/>
      <w:r>
        <w:rPr>
          <w:rFonts w:ascii="Arial" w:hAnsi="Arial" w:cs="Arial"/>
        </w:rPr>
        <w:t>short term</w:t>
      </w:r>
      <w:proofErr w:type="gramEnd"/>
      <w:r>
        <w:rPr>
          <w:rFonts w:ascii="Arial" w:hAnsi="Arial" w:cs="Arial"/>
        </w:rPr>
        <w:t xml:space="preserve"> maturities into </w:t>
      </w:r>
      <w:proofErr w:type="gramStart"/>
      <w:r>
        <w:rPr>
          <w:rFonts w:ascii="Arial" w:hAnsi="Arial" w:cs="Arial"/>
        </w:rPr>
        <w:t>long run</w:t>
      </w:r>
      <w:proofErr w:type="gramEnd"/>
      <w:r>
        <w:rPr>
          <w:rFonts w:ascii="Arial" w:hAnsi="Arial" w:cs="Arial"/>
        </w:rPr>
        <w:t xml:space="preserve"> low coupon instruments wherever the market allows to reduce interest charge and to smooth out the maturity structure. The disciplined range of target leverage, based on EBITDA and cash production, will assist in regaining investor </w:t>
      </w:r>
      <w:r>
        <w:rPr>
          <w:rFonts w:ascii="Arial" w:hAnsi="Arial" w:cs="Arial"/>
        </w:rPr>
        <w:lastRenderedPageBreak/>
        <w:t>confidence and enhance credit ratings without limiting growth (</w:t>
      </w:r>
      <w:proofErr w:type="spellStart"/>
      <w:r>
        <w:rPr>
          <w:rFonts w:ascii="Arial" w:hAnsi="Arial" w:cs="Arial"/>
        </w:rPr>
        <w:t>Velickovic</w:t>
      </w:r>
      <w:proofErr w:type="spellEnd"/>
      <w:r>
        <w:rPr>
          <w:rFonts w:ascii="Arial" w:hAnsi="Arial" w:cs="Arial"/>
        </w:rPr>
        <w:t>, Stanojevic and Veselinovic, 2023).</w:t>
      </w:r>
    </w:p>
    <w:p w14:paraId="08099E38" w14:textId="77777777" w:rsidR="009D4E2F" w:rsidRDefault="00314650">
      <w:pPr>
        <w:pStyle w:val="Heading3"/>
        <w:keepNext w:val="0"/>
        <w:keepLines w:val="0"/>
        <w:spacing w:before="240" w:after="40"/>
        <w:rPr>
          <w:rFonts w:ascii="Arial" w:hAnsi="Arial" w:cs="Arial"/>
        </w:rPr>
      </w:pPr>
      <w:bookmarkStart w:id="29" w:name="_may1u2om6umy" w:colFirst="0" w:colLast="0"/>
      <w:bookmarkEnd w:id="29"/>
      <w:r>
        <w:rPr>
          <w:rFonts w:ascii="Arial" w:hAnsi="Arial" w:cs="Arial"/>
        </w:rPr>
        <w:t>3.2.2 Asset-Light Expansion Strategy</w:t>
      </w:r>
    </w:p>
    <w:p w14:paraId="7407701B" w14:textId="77777777" w:rsidR="009D4E2F" w:rsidRDefault="00314650">
      <w:pPr>
        <w:rPr>
          <w:rFonts w:ascii="Arial" w:hAnsi="Arial" w:cs="Arial"/>
        </w:rPr>
      </w:pPr>
      <w:r>
        <w:rPr>
          <w:rFonts w:ascii="Arial" w:hAnsi="Arial" w:cs="Arial"/>
        </w:rPr>
        <w:t xml:space="preserve">The asset-light model where the franchise and management and not essence ownership are used to multiply should be at the center. This will reduce the amount of capital outlay, save cash and raise recurring fees. Hilton </w:t>
      </w:r>
      <w:proofErr w:type="gramStart"/>
      <w:r>
        <w:rPr>
          <w:rFonts w:ascii="Arial" w:hAnsi="Arial" w:cs="Arial"/>
        </w:rPr>
        <w:t>has the opportunity to</w:t>
      </w:r>
      <w:proofErr w:type="gramEnd"/>
      <w:r>
        <w:rPr>
          <w:rFonts w:ascii="Arial" w:hAnsi="Arial" w:cs="Arial"/>
        </w:rPr>
        <w:t xml:space="preserve"> expand internationally and reduce the risks of being exposed to the balance sheet since it has more than 527,000 rooms in the global development pipeline in 2026 (Business Wire, 2026). Disposition of non-core owned assets can also be selected to further increase liquidity and redeploy capital to more lucrative and fee-based programs.</w:t>
      </w:r>
    </w:p>
    <w:p w14:paraId="5C64AAA0" w14:textId="77777777" w:rsidR="009D4E2F" w:rsidRDefault="00314650">
      <w:pPr>
        <w:pStyle w:val="Heading3"/>
        <w:keepNext w:val="0"/>
        <w:keepLines w:val="0"/>
        <w:spacing w:before="240" w:after="40"/>
        <w:rPr>
          <w:rFonts w:ascii="Arial" w:hAnsi="Arial" w:cs="Arial"/>
        </w:rPr>
      </w:pPr>
      <w:bookmarkStart w:id="30" w:name="_dgiprlhj7433" w:colFirst="0" w:colLast="0"/>
      <w:bookmarkEnd w:id="30"/>
      <w:r>
        <w:rPr>
          <w:rFonts w:ascii="Arial" w:hAnsi="Arial" w:cs="Arial"/>
        </w:rPr>
        <w:t>3.2.3 Strategic Partnerships, Acquisitions and Joint Ventures</w:t>
      </w:r>
    </w:p>
    <w:p w14:paraId="1CF2AED8" w14:textId="77777777" w:rsidR="009D4E2F" w:rsidRDefault="00314650">
      <w:pPr>
        <w:rPr>
          <w:rFonts w:ascii="Arial" w:hAnsi="Arial" w:cs="Arial"/>
        </w:rPr>
      </w:pPr>
      <w:r>
        <w:rPr>
          <w:rFonts w:ascii="Arial" w:hAnsi="Arial" w:cs="Arial"/>
        </w:rPr>
        <w:t>The joint venture and strategic partnership with developers and institutional investors will shorten the process of entering new markets in high-growth markets like Asia-Pacific, Middle East, and Africa and share the risk of investments (</w:t>
      </w:r>
      <w:proofErr w:type="spellStart"/>
      <w:r>
        <w:rPr>
          <w:rFonts w:ascii="Arial" w:hAnsi="Arial" w:cs="Arial"/>
        </w:rPr>
        <w:t>Janberg</w:t>
      </w:r>
      <w:proofErr w:type="spellEnd"/>
      <w:r>
        <w:rPr>
          <w:rFonts w:ascii="Arial" w:hAnsi="Arial" w:cs="Arial"/>
        </w:rPr>
        <w:t>, 2024). The mix of cash, debt and selective equity or hybrid instrumentation should be used to fund targeted acquisitions that improve distribution, loyalty, or digital capabilities to prevent over leverage.</w:t>
      </w:r>
    </w:p>
    <w:p w14:paraId="252A4B78" w14:textId="77777777" w:rsidR="009D4E2F" w:rsidRDefault="00314650">
      <w:pPr>
        <w:pStyle w:val="Heading3"/>
        <w:keepNext w:val="0"/>
        <w:keepLines w:val="0"/>
        <w:spacing w:before="240" w:after="40"/>
        <w:rPr>
          <w:rFonts w:ascii="Arial" w:hAnsi="Arial" w:cs="Arial"/>
        </w:rPr>
      </w:pPr>
      <w:bookmarkStart w:id="31" w:name="_sw8ue1jbbxg3" w:colFirst="0" w:colLast="0"/>
      <w:bookmarkEnd w:id="31"/>
      <w:r>
        <w:rPr>
          <w:rFonts w:ascii="Arial" w:hAnsi="Arial" w:cs="Arial"/>
        </w:rPr>
        <w:t>3.2.4 Equity or Capital Raising Strategy</w:t>
      </w:r>
    </w:p>
    <w:p w14:paraId="629DFA81" w14:textId="77777777" w:rsidR="009D4E2F" w:rsidRDefault="00314650">
      <w:pPr>
        <w:rPr>
          <w:rFonts w:ascii="Arial" w:hAnsi="Arial" w:cs="Arial"/>
        </w:rPr>
      </w:pPr>
      <w:r>
        <w:rPr>
          <w:rFonts w:ascii="Arial" w:hAnsi="Arial" w:cs="Arial"/>
        </w:rPr>
        <w:t>Although the cash flow of Hilton is high, the selective issuance of equity or hybrid funds is perhaps suitable towards transformational investments- digital platforms, loyalty upgrades, or big strategic acquisitions. The equity or any hybrid issuance must be tuned to the lowest possible shareholder dilution and maintain the flexibility such that proceeds are used to finance growth that can clearly raise the long-term free cash flow (Research and Markets, 2024).</w:t>
      </w:r>
    </w:p>
    <w:p w14:paraId="18593CA3" w14:textId="77777777" w:rsidR="003B3B54" w:rsidRDefault="003B3B54">
      <w:pPr>
        <w:spacing w:after="0" w:line="240" w:lineRule="auto"/>
        <w:jc w:val="left"/>
        <w:rPr>
          <w:rFonts w:ascii="Arial" w:hAnsi="Arial" w:cs="Arial"/>
          <w:b/>
          <w:bCs/>
        </w:rPr>
      </w:pPr>
      <w:bookmarkStart w:id="32" w:name="_Toc237472612"/>
      <w:r>
        <w:rPr>
          <w:rFonts w:ascii="Arial" w:hAnsi="Arial" w:cs="Arial"/>
        </w:rPr>
        <w:br w:type="page"/>
      </w:r>
    </w:p>
    <w:p w14:paraId="61A024BE" w14:textId="41594282" w:rsidR="009D4E2F" w:rsidRDefault="00314650">
      <w:pPr>
        <w:pStyle w:val="Heading2"/>
        <w:keepNext w:val="0"/>
        <w:keepLines w:val="0"/>
        <w:spacing w:before="280" w:after="80"/>
        <w:rPr>
          <w:rFonts w:ascii="Arial" w:hAnsi="Arial" w:cs="Arial"/>
        </w:rPr>
      </w:pPr>
      <w:r>
        <w:rPr>
          <w:rFonts w:ascii="Arial" w:hAnsi="Arial" w:cs="Arial"/>
        </w:rPr>
        <w:lastRenderedPageBreak/>
        <w:t>3.3 Impact Assessment</w:t>
      </w:r>
      <w:bookmarkEnd w:id="32"/>
    </w:p>
    <w:p w14:paraId="57AE6CDB" w14:textId="77777777" w:rsidR="009D4E2F" w:rsidRDefault="00314650">
      <w:pPr>
        <w:pStyle w:val="Heading3"/>
        <w:keepNext w:val="0"/>
        <w:keepLines w:val="0"/>
        <w:spacing w:before="240" w:after="40"/>
        <w:rPr>
          <w:rFonts w:ascii="Arial" w:hAnsi="Arial" w:cs="Arial"/>
        </w:rPr>
      </w:pPr>
      <w:bookmarkStart w:id="33" w:name="_bggfcn12etca" w:colFirst="0" w:colLast="0"/>
      <w:bookmarkEnd w:id="33"/>
      <w:r>
        <w:rPr>
          <w:rFonts w:ascii="Arial" w:hAnsi="Arial" w:cs="Arial"/>
        </w:rPr>
        <w:t>3.3.1 Shareholder Value</w:t>
      </w:r>
    </w:p>
    <w:p w14:paraId="5992F39C" w14:textId="77777777" w:rsidR="009D4E2F" w:rsidRDefault="00314650">
      <w:pPr>
        <w:rPr>
          <w:rFonts w:ascii="Arial" w:hAnsi="Arial" w:cs="Arial"/>
        </w:rPr>
      </w:pPr>
      <w:r>
        <w:rPr>
          <w:rFonts w:ascii="Arial" w:hAnsi="Arial" w:cs="Arial"/>
        </w:rPr>
        <w:t xml:space="preserve">A better way to remodel is to focus on a system that lowers financing expenses and moves towards a greater focus on fee-driven growth; this should increase profitability and free cash flow to support dividends and disciplined share buybacks over time. The projections of net income of $1.911.94 billion over 2026 and the ongoing recovery of the RevPAR also offer a basis on which Hilton can create </w:t>
      </w:r>
      <w:proofErr w:type="gramStart"/>
      <w:r>
        <w:rPr>
          <w:rFonts w:ascii="Arial" w:hAnsi="Arial" w:cs="Arial"/>
        </w:rPr>
        <w:t>the value</w:t>
      </w:r>
      <w:proofErr w:type="gramEnd"/>
      <w:r>
        <w:rPr>
          <w:rFonts w:ascii="Arial" w:hAnsi="Arial" w:cs="Arial"/>
        </w:rPr>
        <w:t xml:space="preserve"> in the future (Tulum and Maya, 2023). The increased predictability through franchise revenues will diminish the changeability in earnings and underpin a more tenable valuation multiple.</w:t>
      </w:r>
    </w:p>
    <w:p w14:paraId="759890A5" w14:textId="77777777" w:rsidR="009D4E2F" w:rsidRDefault="00314650">
      <w:pPr>
        <w:pStyle w:val="Heading3"/>
        <w:keepNext w:val="0"/>
        <w:keepLines w:val="0"/>
        <w:spacing w:before="240" w:after="40"/>
        <w:rPr>
          <w:rFonts w:ascii="Arial" w:hAnsi="Arial" w:cs="Arial"/>
        </w:rPr>
      </w:pPr>
      <w:bookmarkStart w:id="34" w:name="_hrxjfoox2twa" w:colFirst="0" w:colLast="0"/>
      <w:bookmarkEnd w:id="34"/>
      <w:r>
        <w:rPr>
          <w:rFonts w:ascii="Arial" w:hAnsi="Arial" w:cs="Arial"/>
        </w:rPr>
        <w:t>3.3.2 Debt Structure</w:t>
      </w:r>
    </w:p>
    <w:p w14:paraId="78F1F622" w14:textId="77777777" w:rsidR="009D4E2F" w:rsidRDefault="00314650">
      <w:pPr>
        <w:rPr>
          <w:rFonts w:ascii="Arial" w:hAnsi="Arial" w:cs="Arial"/>
        </w:rPr>
      </w:pPr>
      <w:r>
        <w:rPr>
          <w:rFonts w:ascii="Arial" w:hAnsi="Arial" w:cs="Arial"/>
        </w:rPr>
        <w:t xml:space="preserve">Refinancing risk and interest expense will be reduced through improvement of the debt profile through extension of maturities and substitution of high-cost borrowings. The net debt of approximately $11.8 billion and a net leverage of approximately 3.1X EBITDA (per 2026 projection) give it the opportunity to </w:t>
      </w:r>
      <w:proofErr w:type="gramStart"/>
      <w:r>
        <w:rPr>
          <w:rFonts w:ascii="Arial" w:hAnsi="Arial" w:cs="Arial"/>
        </w:rPr>
        <w:t>deleverage</w:t>
      </w:r>
      <w:proofErr w:type="gramEnd"/>
      <w:r>
        <w:rPr>
          <w:rFonts w:ascii="Arial" w:hAnsi="Arial" w:cs="Arial"/>
        </w:rPr>
        <w:t xml:space="preserve"> materially and control maturities, which will mean better credit ratios and get access to capital markets at </w:t>
      </w:r>
      <w:proofErr w:type="spellStart"/>
      <w:r>
        <w:rPr>
          <w:rFonts w:ascii="Arial" w:hAnsi="Arial" w:cs="Arial"/>
        </w:rPr>
        <w:t>favourable</w:t>
      </w:r>
      <w:proofErr w:type="spellEnd"/>
      <w:r>
        <w:rPr>
          <w:rFonts w:ascii="Arial" w:hAnsi="Arial" w:cs="Arial"/>
        </w:rPr>
        <w:t xml:space="preserve"> rates.</w:t>
      </w:r>
    </w:p>
    <w:p w14:paraId="757C81A4" w14:textId="77777777" w:rsidR="009D4E2F" w:rsidRDefault="00314650">
      <w:pPr>
        <w:pStyle w:val="Heading3"/>
        <w:keepNext w:val="0"/>
        <w:keepLines w:val="0"/>
        <w:spacing w:before="240" w:after="40"/>
        <w:rPr>
          <w:rFonts w:ascii="Arial" w:hAnsi="Arial" w:cs="Arial"/>
        </w:rPr>
      </w:pPr>
      <w:bookmarkStart w:id="35" w:name="_342nisvyp6p0" w:colFirst="0" w:colLast="0"/>
      <w:bookmarkEnd w:id="35"/>
      <w:r>
        <w:rPr>
          <w:rFonts w:ascii="Arial" w:hAnsi="Arial" w:cs="Arial"/>
        </w:rPr>
        <w:t>3.3.3 Operational Flexibility</w:t>
      </w:r>
    </w:p>
    <w:p w14:paraId="44866431" w14:textId="77777777" w:rsidR="009D4E2F" w:rsidRDefault="00314650">
      <w:pPr>
        <w:rPr>
          <w:rFonts w:ascii="Arial" w:hAnsi="Arial" w:cs="Arial"/>
        </w:rPr>
      </w:pPr>
      <w:r>
        <w:rPr>
          <w:rFonts w:ascii="Arial" w:hAnsi="Arial" w:cs="Arial"/>
        </w:rPr>
        <w:t>The resilient balance sheet is contributing to the ability of investing in technology, sustainability and overseas growth. The asset-light model would reduce capital intensity, enabling Hilton to enhance the brand, customer experience and digital innovation and keep the cash liquid to make opportunistic investments (BCG Global, 2023).</w:t>
      </w:r>
    </w:p>
    <w:p w14:paraId="72BE9021" w14:textId="77777777" w:rsidR="009D4E2F" w:rsidRDefault="00314650">
      <w:pPr>
        <w:pStyle w:val="Heading2"/>
        <w:keepNext w:val="0"/>
        <w:keepLines w:val="0"/>
        <w:spacing w:before="280" w:after="80"/>
        <w:rPr>
          <w:rFonts w:ascii="Arial" w:hAnsi="Arial" w:cs="Arial"/>
        </w:rPr>
      </w:pPr>
      <w:bookmarkStart w:id="36" w:name="_Toc237472613"/>
      <w:r>
        <w:rPr>
          <w:rFonts w:ascii="Arial" w:hAnsi="Arial" w:cs="Arial"/>
        </w:rPr>
        <w:t>3.4 International Considerations</w:t>
      </w:r>
      <w:bookmarkEnd w:id="36"/>
    </w:p>
    <w:p w14:paraId="13AC2426" w14:textId="77777777" w:rsidR="009D4E2F" w:rsidRDefault="00314650">
      <w:pPr>
        <w:rPr>
          <w:rFonts w:ascii="Arial" w:hAnsi="Arial" w:cs="Arial"/>
        </w:rPr>
      </w:pPr>
      <w:r>
        <w:rPr>
          <w:rFonts w:ascii="Arial" w:hAnsi="Arial" w:cs="Arial"/>
        </w:rPr>
        <w:t xml:space="preserve">This system is exposed to currency risk in the international presence of Hilton, changes in the taxation system including the minimum tax in the OECD, long term inflationary pressures of </w:t>
      </w:r>
      <w:proofErr w:type="spellStart"/>
      <w:r>
        <w:rPr>
          <w:rFonts w:ascii="Arial" w:hAnsi="Arial" w:cs="Arial"/>
        </w:rPr>
        <w:t>labour</w:t>
      </w:r>
      <w:proofErr w:type="spellEnd"/>
      <w:r>
        <w:rPr>
          <w:rFonts w:ascii="Arial" w:hAnsi="Arial" w:cs="Arial"/>
        </w:rPr>
        <w:t xml:space="preserve"> and input prices. Downside risks to demand are geopolitical tensions and disruptions to travel. The appropriate application of currency hedging, tax planning and local costs will be required </w:t>
      </w:r>
      <w:proofErr w:type="gramStart"/>
      <w:r>
        <w:rPr>
          <w:rFonts w:ascii="Arial" w:hAnsi="Arial" w:cs="Arial"/>
        </w:rPr>
        <w:t>in order to</w:t>
      </w:r>
      <w:proofErr w:type="gramEnd"/>
      <w:r>
        <w:rPr>
          <w:rFonts w:ascii="Arial" w:hAnsi="Arial" w:cs="Arial"/>
        </w:rPr>
        <w:t xml:space="preserve"> cushion margins and translated earnings (</w:t>
      </w:r>
      <w:proofErr w:type="spellStart"/>
      <w:r>
        <w:rPr>
          <w:rFonts w:ascii="Arial" w:hAnsi="Arial" w:cs="Arial"/>
        </w:rPr>
        <w:t>Jelski</w:t>
      </w:r>
      <w:proofErr w:type="spellEnd"/>
      <w:r>
        <w:rPr>
          <w:rFonts w:ascii="Arial" w:hAnsi="Arial" w:cs="Arial"/>
        </w:rPr>
        <w:t>, 2026).</w:t>
      </w:r>
    </w:p>
    <w:p w14:paraId="4DF3777B" w14:textId="77777777" w:rsidR="009D4E2F" w:rsidRDefault="00314650">
      <w:pPr>
        <w:pStyle w:val="Heading2"/>
        <w:keepNext w:val="0"/>
        <w:keepLines w:val="0"/>
        <w:spacing w:before="280" w:after="80"/>
        <w:rPr>
          <w:rFonts w:ascii="Arial" w:hAnsi="Arial" w:cs="Arial"/>
        </w:rPr>
      </w:pPr>
      <w:bookmarkStart w:id="37" w:name="_Toc237472614"/>
      <w:r>
        <w:rPr>
          <w:rFonts w:ascii="Arial" w:hAnsi="Arial" w:cs="Arial"/>
        </w:rPr>
        <w:lastRenderedPageBreak/>
        <w:t>3.5 Ethical and CSR Considerations</w:t>
      </w:r>
      <w:bookmarkEnd w:id="37"/>
    </w:p>
    <w:p w14:paraId="103B93EF" w14:textId="77777777" w:rsidR="009D4E2F" w:rsidRDefault="00314650">
      <w:pPr>
        <w:rPr>
          <w:rFonts w:ascii="Arial" w:hAnsi="Arial" w:cs="Arial"/>
        </w:rPr>
      </w:pPr>
      <w:r>
        <w:rPr>
          <w:rFonts w:ascii="Arial" w:hAnsi="Arial" w:cs="Arial"/>
        </w:rPr>
        <w:t xml:space="preserve">Restructuring should be based on the ESG commitments of Hilton. Further investments in energy efficiency, responsible sourcing, employee welfare, diversity and community </w:t>
      </w:r>
      <w:proofErr w:type="spellStart"/>
      <w:r>
        <w:rPr>
          <w:rFonts w:ascii="Arial" w:hAnsi="Arial" w:cs="Arial"/>
        </w:rPr>
        <w:t>programmes</w:t>
      </w:r>
      <w:proofErr w:type="spellEnd"/>
      <w:r>
        <w:rPr>
          <w:rFonts w:ascii="Arial" w:hAnsi="Arial" w:cs="Arial"/>
        </w:rPr>
        <w:t xml:space="preserve"> will ward off reputation and regulatory position. Reporting sustainability in capital allocation will increase long run resilience, attract responsible investors and ultimately enhance the competitiveness of Hilton in the global hospitality sector (Conrad and Arzana, 2024).</w:t>
      </w:r>
    </w:p>
    <w:p w14:paraId="58A70107" w14:textId="77777777" w:rsidR="009D4E2F" w:rsidRDefault="00314650">
      <w:pPr>
        <w:pStyle w:val="Heading1"/>
        <w:keepNext w:val="0"/>
        <w:keepLines w:val="0"/>
        <w:spacing w:before="360" w:after="80"/>
        <w:rPr>
          <w:rFonts w:ascii="Arial" w:hAnsi="Arial" w:cs="Arial"/>
          <w:sz w:val="24"/>
          <w:szCs w:val="24"/>
        </w:rPr>
      </w:pPr>
      <w:bookmarkStart w:id="38" w:name="_Toc237472615"/>
      <w:r>
        <w:rPr>
          <w:rFonts w:ascii="Arial" w:hAnsi="Arial" w:cs="Arial"/>
          <w:sz w:val="24"/>
          <w:szCs w:val="24"/>
        </w:rPr>
        <w:t>4. Investment Appraisal and Capital Budgeting</w:t>
      </w:r>
      <w:bookmarkEnd w:id="38"/>
    </w:p>
    <w:p w14:paraId="19DF5525" w14:textId="77777777" w:rsidR="009D4E2F" w:rsidRDefault="00314650">
      <w:pPr>
        <w:pStyle w:val="Heading2"/>
        <w:keepNext w:val="0"/>
        <w:keepLines w:val="0"/>
        <w:spacing w:before="280" w:after="80"/>
        <w:rPr>
          <w:rFonts w:ascii="Arial" w:hAnsi="Arial" w:cs="Arial"/>
        </w:rPr>
      </w:pPr>
      <w:bookmarkStart w:id="39" w:name="_Toc237472616"/>
      <w:r>
        <w:rPr>
          <w:rFonts w:ascii="Arial" w:hAnsi="Arial" w:cs="Arial"/>
        </w:rPr>
        <w:t>4.1 Overview of Investment Projects</w:t>
      </w:r>
      <w:bookmarkEnd w:id="39"/>
    </w:p>
    <w:p w14:paraId="27D219A0" w14:textId="77777777" w:rsidR="009D4E2F" w:rsidRDefault="00314650">
      <w:pPr>
        <w:rPr>
          <w:rFonts w:ascii="Arial" w:hAnsi="Arial" w:cs="Arial"/>
        </w:rPr>
      </w:pPr>
      <w:r>
        <w:rPr>
          <w:rFonts w:ascii="Arial" w:hAnsi="Arial" w:cs="Arial"/>
          <w:noProof/>
        </w:rPr>
        <w:drawing>
          <wp:inline distT="0" distB="0" distL="0" distR="0" wp14:anchorId="44A8D041" wp14:editId="54B439B6">
            <wp:extent cx="5941805" cy="760491"/>
            <wp:effectExtent l="0" t="0" r="1905" b="1905"/>
            <wp:docPr id="2786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7809"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973230" cy="764513"/>
                    </a:xfrm>
                    <a:prstGeom prst="rect">
                      <a:avLst/>
                    </a:prstGeom>
                    <a:noFill/>
                    <a:ln>
                      <a:noFill/>
                    </a:ln>
                  </pic:spPr>
                </pic:pic>
              </a:graphicData>
            </a:graphic>
          </wp:inline>
        </w:drawing>
      </w:r>
    </w:p>
    <w:p w14:paraId="422DD6E8" w14:textId="77777777" w:rsidR="009D4E2F" w:rsidRDefault="00314650">
      <w:pPr>
        <w:jc w:val="center"/>
        <w:rPr>
          <w:rFonts w:ascii="Arial" w:hAnsi="Arial" w:cs="Arial"/>
          <w:b/>
          <w:bCs/>
        </w:rPr>
      </w:pPr>
      <w:r>
        <w:rPr>
          <w:rFonts w:ascii="Arial" w:hAnsi="Arial" w:cs="Arial"/>
          <w:b/>
          <w:bCs/>
        </w:rPr>
        <w:t>Table 9: Project Cash Flow Schedules (£ Millions)</w:t>
      </w:r>
    </w:p>
    <w:p w14:paraId="739A5C91" w14:textId="77777777" w:rsidR="009D4E2F" w:rsidRDefault="00314650">
      <w:pPr>
        <w:jc w:val="center"/>
        <w:rPr>
          <w:rFonts w:ascii="Arial" w:hAnsi="Arial" w:cs="Arial"/>
          <w:b/>
          <w:bCs/>
        </w:rPr>
      </w:pPr>
      <w:r>
        <w:rPr>
          <w:rFonts w:ascii="Arial" w:hAnsi="Arial" w:cs="Arial"/>
        </w:rPr>
        <w:t>(Source: Self-Created)</w:t>
      </w:r>
    </w:p>
    <w:p w14:paraId="03DE2229" w14:textId="77777777" w:rsidR="009D4E2F" w:rsidRDefault="00314650">
      <w:pPr>
        <w:rPr>
          <w:rFonts w:ascii="Arial" w:hAnsi="Arial" w:cs="Arial"/>
        </w:rPr>
      </w:pPr>
      <w:r>
        <w:rPr>
          <w:rFonts w:ascii="Arial" w:hAnsi="Arial" w:cs="Arial"/>
        </w:rPr>
        <w:t xml:space="preserve">There are three mutually exclusive investment projects that have been suggested to be allocated in the capital of Hilton. They need the same initial investment of 50 million pounds, but the projects are themselves materially different in terms of their cash inflow velocity shapes in the </w:t>
      </w:r>
      <w:proofErr w:type="gramStart"/>
      <w:r>
        <w:rPr>
          <w:rFonts w:ascii="Arial" w:hAnsi="Arial" w:cs="Arial"/>
        </w:rPr>
        <w:t>five year</w:t>
      </w:r>
      <w:proofErr w:type="gramEnd"/>
      <w:r>
        <w:rPr>
          <w:rFonts w:ascii="Arial" w:hAnsi="Arial" w:cs="Arial"/>
        </w:rPr>
        <w:t xml:space="preserve"> horizon. Project A is rising followed by a fall that adds up to £54m, Project B is a flat-rate annuity of £11m per year which adds up to £55m, and Project C is heavily-back-loaded with the highest inflow in Year 4 of cumulative inflows </w:t>
      </w:r>
      <w:proofErr w:type="spellStart"/>
      <w:r>
        <w:rPr>
          <w:rFonts w:ascii="Arial" w:hAnsi="Arial" w:cs="Arial"/>
        </w:rPr>
        <w:t>totalling</w:t>
      </w:r>
      <w:proofErr w:type="spellEnd"/>
      <w:r>
        <w:rPr>
          <w:rFonts w:ascii="Arial" w:hAnsi="Arial" w:cs="Arial"/>
        </w:rPr>
        <w:t xml:space="preserve"> £65m. This section will be aimed at an evaluation of every option based on conventional capital budgeting </w:t>
      </w:r>
      <w:proofErr w:type="gramStart"/>
      <w:r>
        <w:rPr>
          <w:rFonts w:ascii="Arial" w:hAnsi="Arial" w:cs="Arial"/>
        </w:rPr>
        <w:t>methodologies, and</w:t>
      </w:r>
      <w:proofErr w:type="gramEnd"/>
      <w:r>
        <w:rPr>
          <w:rFonts w:ascii="Arial" w:hAnsi="Arial" w:cs="Arial"/>
        </w:rPr>
        <w:t xml:space="preserve"> propose a course of action that is also aligned with Hilton financial profile.</w:t>
      </w:r>
    </w:p>
    <w:p w14:paraId="04A6C4A9" w14:textId="77777777" w:rsidR="00CD6E48" w:rsidRDefault="00CD6E48">
      <w:pPr>
        <w:spacing w:after="0" w:line="240" w:lineRule="auto"/>
        <w:jc w:val="left"/>
        <w:rPr>
          <w:rFonts w:ascii="Arial" w:hAnsi="Arial" w:cs="Arial"/>
          <w:b/>
          <w:bCs/>
        </w:rPr>
      </w:pPr>
      <w:bookmarkStart w:id="40" w:name="_Toc237472617"/>
      <w:r>
        <w:rPr>
          <w:rFonts w:ascii="Arial" w:hAnsi="Arial" w:cs="Arial"/>
        </w:rPr>
        <w:br w:type="page"/>
      </w:r>
    </w:p>
    <w:p w14:paraId="7BD13F8E" w14:textId="2116D99B" w:rsidR="009D4E2F" w:rsidRDefault="00314650">
      <w:pPr>
        <w:pStyle w:val="Heading2"/>
        <w:keepNext w:val="0"/>
        <w:keepLines w:val="0"/>
        <w:spacing w:before="280" w:after="80"/>
        <w:rPr>
          <w:rFonts w:ascii="Arial" w:hAnsi="Arial" w:cs="Arial"/>
        </w:rPr>
      </w:pPr>
      <w:r>
        <w:rPr>
          <w:rFonts w:ascii="Arial" w:hAnsi="Arial" w:cs="Arial"/>
        </w:rPr>
        <w:lastRenderedPageBreak/>
        <w:t>4.2 Assumptions</w:t>
      </w:r>
      <w:bookmarkEnd w:id="40"/>
    </w:p>
    <w:p w14:paraId="2580216D" w14:textId="77777777" w:rsidR="009D4E2F" w:rsidRDefault="00314650">
      <w:pPr>
        <w:jc w:val="center"/>
        <w:rPr>
          <w:rFonts w:ascii="Arial" w:hAnsi="Arial" w:cs="Arial"/>
        </w:rPr>
      </w:pPr>
      <w:r>
        <w:rPr>
          <w:rFonts w:ascii="Arial" w:hAnsi="Arial" w:cs="Arial"/>
          <w:noProof/>
        </w:rPr>
        <w:drawing>
          <wp:inline distT="0" distB="0" distL="0" distR="0" wp14:anchorId="0590AD8F" wp14:editId="3A0720DB">
            <wp:extent cx="5942984" cy="543208"/>
            <wp:effectExtent l="0" t="0" r="635" b="9525"/>
            <wp:docPr id="2003532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32895"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988542" cy="547372"/>
                    </a:xfrm>
                    <a:prstGeom prst="rect">
                      <a:avLst/>
                    </a:prstGeom>
                    <a:noFill/>
                    <a:ln>
                      <a:noFill/>
                    </a:ln>
                  </pic:spPr>
                </pic:pic>
              </a:graphicData>
            </a:graphic>
          </wp:inline>
        </w:drawing>
      </w:r>
    </w:p>
    <w:p w14:paraId="3F8F095F" w14:textId="77777777" w:rsidR="009D4E2F" w:rsidRDefault="00314650">
      <w:pPr>
        <w:jc w:val="center"/>
        <w:rPr>
          <w:rFonts w:ascii="Arial" w:hAnsi="Arial" w:cs="Arial"/>
          <w:b/>
          <w:bCs/>
        </w:rPr>
      </w:pPr>
      <w:r>
        <w:rPr>
          <w:rFonts w:ascii="Arial" w:hAnsi="Arial" w:cs="Arial"/>
          <w:b/>
          <w:bCs/>
        </w:rPr>
        <w:t>Table 10: Discount Factors</w:t>
      </w:r>
    </w:p>
    <w:p w14:paraId="6D6752E2" w14:textId="77777777" w:rsidR="009D4E2F" w:rsidRDefault="00314650">
      <w:pPr>
        <w:jc w:val="center"/>
        <w:rPr>
          <w:rFonts w:ascii="Arial" w:hAnsi="Arial" w:cs="Arial"/>
          <w:b/>
          <w:bCs/>
        </w:rPr>
      </w:pPr>
      <w:r>
        <w:rPr>
          <w:rFonts w:ascii="Arial" w:hAnsi="Arial" w:cs="Arial"/>
        </w:rPr>
        <w:t>(Source: Self-Created)</w:t>
      </w:r>
    </w:p>
    <w:p w14:paraId="2FE38BFB" w14:textId="77777777" w:rsidR="009D4E2F" w:rsidRDefault="00314650">
      <w:pPr>
        <w:rPr>
          <w:rFonts w:ascii="Arial" w:hAnsi="Arial" w:cs="Arial"/>
        </w:rPr>
      </w:pPr>
      <w:r>
        <w:rPr>
          <w:rFonts w:ascii="Arial" w:hAnsi="Arial" w:cs="Arial"/>
        </w:rPr>
        <w:t xml:space="preserve">The appraisal uses a discount rate of 8 percent, which is the weighted cost of capital that has been adjusted to the hotel-sector risk of Hilton. The straight-line depreciation is applied over the five-year life of each project and the investment of £50m is written down to zero salvage value producing a depreciation charge of 10m/year. The approaches to cash flows include treating cash flows as accruing at the end of every period, assuming an identical taxation impact on the project, and assuming </w:t>
      </w:r>
      <w:proofErr w:type="gramStart"/>
      <w:r>
        <w:rPr>
          <w:rFonts w:ascii="Arial" w:hAnsi="Arial" w:cs="Arial"/>
        </w:rPr>
        <w:t>a constant</w:t>
      </w:r>
      <w:proofErr w:type="gramEnd"/>
      <w:r>
        <w:rPr>
          <w:rFonts w:ascii="Arial" w:hAnsi="Arial" w:cs="Arial"/>
        </w:rPr>
        <w:t xml:space="preserve"> inflation (Hilton, 2025). Figures are all in pounds sterling. To maintain comparability, the 8% hurdle rate is consistently used in NPV, PI and IRR calculations.</w:t>
      </w:r>
    </w:p>
    <w:p w14:paraId="477DFAF8" w14:textId="77777777" w:rsidR="009D4E2F" w:rsidRDefault="00314650">
      <w:pPr>
        <w:pStyle w:val="Heading2"/>
        <w:keepNext w:val="0"/>
        <w:keepLines w:val="0"/>
        <w:spacing w:before="280" w:after="80"/>
        <w:rPr>
          <w:rFonts w:ascii="Arial" w:hAnsi="Arial" w:cs="Arial"/>
        </w:rPr>
      </w:pPr>
      <w:bookmarkStart w:id="41" w:name="_Toc237472618"/>
      <w:r>
        <w:rPr>
          <w:rFonts w:ascii="Arial" w:hAnsi="Arial" w:cs="Arial"/>
        </w:rPr>
        <w:t>4.3 Investment Appraisal Techniques</w:t>
      </w:r>
      <w:bookmarkEnd w:id="41"/>
    </w:p>
    <w:p w14:paraId="4711CD51" w14:textId="77777777" w:rsidR="009D4E2F" w:rsidRDefault="00314650">
      <w:pPr>
        <w:pStyle w:val="Heading3"/>
        <w:keepNext w:val="0"/>
        <w:keepLines w:val="0"/>
        <w:spacing w:before="240" w:after="40"/>
        <w:rPr>
          <w:rFonts w:ascii="Arial" w:hAnsi="Arial" w:cs="Arial"/>
        </w:rPr>
      </w:pPr>
      <w:bookmarkStart w:id="42" w:name="_73fgu4ab3fm5" w:colFirst="0" w:colLast="0"/>
      <w:bookmarkEnd w:id="42"/>
      <w:r>
        <w:rPr>
          <w:rFonts w:ascii="Arial" w:hAnsi="Arial" w:cs="Arial"/>
        </w:rPr>
        <w:t>4.3.1 Payback Period (PBP)</w:t>
      </w:r>
    </w:p>
    <w:p w14:paraId="10FE725F" w14:textId="77777777" w:rsidR="009D4E2F" w:rsidRDefault="00314650">
      <w:pPr>
        <w:rPr>
          <w:rFonts w:ascii="Arial" w:hAnsi="Arial" w:cs="Arial"/>
        </w:rPr>
      </w:pPr>
      <w:r>
        <w:rPr>
          <w:rFonts w:ascii="Arial" w:hAnsi="Arial" w:cs="Arial"/>
          <w:noProof/>
        </w:rPr>
        <w:drawing>
          <wp:inline distT="0" distB="0" distL="0" distR="0" wp14:anchorId="4A12E9C0" wp14:editId="584F5CD1">
            <wp:extent cx="5943600" cy="999461"/>
            <wp:effectExtent l="0" t="0" r="0" b="0"/>
            <wp:docPr id="127789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9491"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958672" cy="1001996"/>
                    </a:xfrm>
                    <a:prstGeom prst="rect">
                      <a:avLst/>
                    </a:prstGeom>
                    <a:noFill/>
                    <a:ln>
                      <a:noFill/>
                    </a:ln>
                  </pic:spPr>
                </pic:pic>
              </a:graphicData>
            </a:graphic>
          </wp:inline>
        </w:drawing>
      </w:r>
    </w:p>
    <w:p w14:paraId="0C76671A" w14:textId="77777777" w:rsidR="009D4E2F" w:rsidRDefault="00314650">
      <w:pPr>
        <w:jc w:val="center"/>
        <w:rPr>
          <w:rFonts w:ascii="Arial" w:hAnsi="Arial" w:cs="Arial"/>
          <w:b/>
          <w:bCs/>
        </w:rPr>
      </w:pPr>
      <w:r>
        <w:rPr>
          <w:rFonts w:ascii="Arial" w:hAnsi="Arial" w:cs="Arial"/>
          <w:b/>
          <w:bCs/>
        </w:rPr>
        <w:t>Table 11: Payback Period (PBP)</w:t>
      </w:r>
    </w:p>
    <w:p w14:paraId="355E19F3" w14:textId="77777777" w:rsidR="009D4E2F" w:rsidRDefault="00314650">
      <w:pPr>
        <w:jc w:val="center"/>
        <w:rPr>
          <w:rFonts w:ascii="Arial" w:hAnsi="Arial" w:cs="Arial"/>
          <w:b/>
          <w:bCs/>
        </w:rPr>
      </w:pPr>
      <w:r>
        <w:rPr>
          <w:rFonts w:ascii="Arial" w:hAnsi="Arial" w:cs="Arial"/>
        </w:rPr>
        <w:t>(Source: Self-Created)</w:t>
      </w:r>
    </w:p>
    <w:p w14:paraId="76166062" w14:textId="77777777" w:rsidR="009D4E2F" w:rsidRDefault="00314650">
      <w:pPr>
        <w:rPr>
          <w:rFonts w:ascii="Arial" w:hAnsi="Arial" w:cs="Arial"/>
        </w:rPr>
      </w:pPr>
      <w:r>
        <w:rPr>
          <w:rFonts w:ascii="Arial" w:hAnsi="Arial" w:cs="Arial"/>
        </w:rPr>
        <w:t xml:space="preserve">PBP quantifies the rate of breaking even of every project. Project A will recover its money of £50m in about 4 years and 6 months, Project B in 4 years and 7 months and Project C in 3 years and 7 months. Project C is quickest nearly </w:t>
      </w:r>
      <w:proofErr w:type="gramStart"/>
      <w:r>
        <w:rPr>
          <w:rFonts w:ascii="Arial" w:hAnsi="Arial" w:cs="Arial"/>
        </w:rPr>
        <w:t>one-year</w:t>
      </w:r>
      <w:proofErr w:type="gramEnd"/>
      <w:r>
        <w:rPr>
          <w:rFonts w:ascii="Arial" w:hAnsi="Arial" w:cs="Arial"/>
        </w:rPr>
        <w:t xml:space="preserve"> ahead of the other due to its solid Year 3 and Year 4 inflows. PBP will approach scenarios that </w:t>
      </w:r>
      <w:proofErr w:type="spellStart"/>
      <w:r>
        <w:rPr>
          <w:rFonts w:ascii="Arial" w:hAnsi="Arial" w:cs="Arial"/>
        </w:rPr>
        <w:t>favour</w:t>
      </w:r>
      <w:proofErr w:type="spellEnd"/>
      <w:r>
        <w:rPr>
          <w:rFonts w:ascii="Arial" w:hAnsi="Arial" w:cs="Arial"/>
        </w:rPr>
        <w:t xml:space="preserve"> liquidity and </w:t>
      </w:r>
      <w:proofErr w:type="gramStart"/>
      <w:r>
        <w:rPr>
          <w:rFonts w:ascii="Arial" w:hAnsi="Arial" w:cs="Arial"/>
        </w:rPr>
        <w:lastRenderedPageBreak/>
        <w:t>reducing</w:t>
      </w:r>
      <w:proofErr w:type="gramEnd"/>
      <w:r>
        <w:rPr>
          <w:rFonts w:ascii="Arial" w:hAnsi="Arial" w:cs="Arial"/>
        </w:rPr>
        <w:t xml:space="preserve"> risk, but neglects cash </w:t>
      </w:r>
      <w:proofErr w:type="gramStart"/>
      <w:r>
        <w:rPr>
          <w:rFonts w:ascii="Arial" w:hAnsi="Arial" w:cs="Arial"/>
        </w:rPr>
        <w:t>flows</w:t>
      </w:r>
      <w:proofErr w:type="gramEnd"/>
      <w:r>
        <w:rPr>
          <w:rFonts w:ascii="Arial" w:hAnsi="Arial" w:cs="Arial"/>
        </w:rPr>
        <w:t xml:space="preserve"> after the recovery point and not discounting time (Oyetola </w:t>
      </w:r>
      <w:proofErr w:type="spellStart"/>
      <w:r>
        <w:rPr>
          <w:rFonts w:ascii="Arial" w:hAnsi="Arial" w:cs="Arial"/>
        </w:rPr>
        <w:t>Oyelakun</w:t>
      </w:r>
      <w:proofErr w:type="spellEnd"/>
      <w:r>
        <w:rPr>
          <w:rFonts w:ascii="Arial" w:hAnsi="Arial" w:cs="Arial"/>
        </w:rPr>
        <w:t xml:space="preserve"> et al., 2025). Project </w:t>
      </w:r>
      <w:proofErr w:type="gramStart"/>
      <w:r>
        <w:rPr>
          <w:rFonts w:ascii="Arial" w:hAnsi="Arial" w:cs="Arial"/>
        </w:rPr>
        <w:t>C being</w:t>
      </w:r>
      <w:proofErr w:type="gramEnd"/>
      <w:r>
        <w:rPr>
          <w:rFonts w:ascii="Arial" w:hAnsi="Arial" w:cs="Arial"/>
        </w:rPr>
        <w:t xml:space="preserve"> the least exposed to long-horizon </w:t>
      </w:r>
      <w:proofErr w:type="gramStart"/>
      <w:r>
        <w:rPr>
          <w:rFonts w:ascii="Arial" w:hAnsi="Arial" w:cs="Arial"/>
        </w:rPr>
        <w:t>uncertainty</w:t>
      </w:r>
      <w:proofErr w:type="gramEnd"/>
      <w:r>
        <w:rPr>
          <w:rFonts w:ascii="Arial" w:hAnsi="Arial" w:cs="Arial"/>
        </w:rPr>
        <w:t xml:space="preserve"> is identified as such by the screening tool.</w:t>
      </w:r>
    </w:p>
    <w:p w14:paraId="537C7906" w14:textId="77777777" w:rsidR="009D4E2F" w:rsidRDefault="00314650">
      <w:pPr>
        <w:pStyle w:val="Heading3"/>
        <w:keepNext w:val="0"/>
        <w:keepLines w:val="0"/>
        <w:spacing w:before="240" w:after="40"/>
        <w:rPr>
          <w:rFonts w:ascii="Arial" w:hAnsi="Arial" w:cs="Arial"/>
        </w:rPr>
      </w:pPr>
      <w:bookmarkStart w:id="43" w:name="_o5puyd5jb1cb" w:colFirst="0" w:colLast="0"/>
      <w:bookmarkEnd w:id="43"/>
      <w:r>
        <w:rPr>
          <w:rFonts w:ascii="Arial" w:hAnsi="Arial" w:cs="Arial"/>
        </w:rPr>
        <w:t>4.3.2 Accounting Rate of Return (ARR)</w:t>
      </w:r>
    </w:p>
    <w:p w14:paraId="693BCAE5" w14:textId="77777777" w:rsidR="009D4E2F" w:rsidRDefault="00314650">
      <w:pPr>
        <w:rPr>
          <w:rFonts w:ascii="Arial" w:hAnsi="Arial" w:cs="Arial"/>
        </w:rPr>
      </w:pPr>
      <w:r>
        <w:rPr>
          <w:rFonts w:ascii="Arial" w:hAnsi="Arial" w:cs="Arial"/>
          <w:noProof/>
        </w:rPr>
        <w:drawing>
          <wp:inline distT="0" distB="0" distL="0" distR="0" wp14:anchorId="1D49E010" wp14:editId="30B7047F">
            <wp:extent cx="5943600" cy="1169582"/>
            <wp:effectExtent l="0" t="0" r="0" b="0"/>
            <wp:docPr id="352693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93395"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953692" cy="1171568"/>
                    </a:xfrm>
                    <a:prstGeom prst="rect">
                      <a:avLst/>
                    </a:prstGeom>
                    <a:noFill/>
                    <a:ln>
                      <a:noFill/>
                    </a:ln>
                  </pic:spPr>
                </pic:pic>
              </a:graphicData>
            </a:graphic>
          </wp:inline>
        </w:drawing>
      </w:r>
    </w:p>
    <w:p w14:paraId="35E3ACBA" w14:textId="77777777" w:rsidR="009D4E2F" w:rsidRDefault="00314650">
      <w:pPr>
        <w:jc w:val="center"/>
        <w:rPr>
          <w:rFonts w:ascii="Arial" w:hAnsi="Arial" w:cs="Arial"/>
          <w:b/>
          <w:bCs/>
        </w:rPr>
      </w:pPr>
      <w:r>
        <w:rPr>
          <w:rFonts w:ascii="Arial" w:hAnsi="Arial" w:cs="Arial"/>
          <w:b/>
          <w:bCs/>
        </w:rPr>
        <w:t>Table 12: Accounting Rate of Return (ARR)</w:t>
      </w:r>
    </w:p>
    <w:p w14:paraId="7A6626DF" w14:textId="77777777" w:rsidR="009D4E2F" w:rsidRDefault="00314650">
      <w:pPr>
        <w:jc w:val="center"/>
        <w:rPr>
          <w:rFonts w:ascii="Arial" w:hAnsi="Arial" w:cs="Arial"/>
          <w:b/>
          <w:bCs/>
        </w:rPr>
      </w:pPr>
      <w:r>
        <w:rPr>
          <w:rFonts w:ascii="Arial" w:hAnsi="Arial" w:cs="Arial"/>
        </w:rPr>
        <w:t>(Source: Self-Created)</w:t>
      </w:r>
    </w:p>
    <w:p w14:paraId="3BEE27E8" w14:textId="77777777" w:rsidR="009D4E2F" w:rsidRDefault="00314650">
      <w:pPr>
        <w:rPr>
          <w:rFonts w:ascii="Arial" w:hAnsi="Arial" w:cs="Arial"/>
        </w:rPr>
      </w:pPr>
      <w:r>
        <w:rPr>
          <w:rFonts w:ascii="Arial" w:hAnsi="Arial" w:cs="Arial"/>
        </w:rPr>
        <w:t>ARR is a statement of the average annual accounting profit as a percentage of the average investment (£25m under straight-line depreciation). Project A yields an ARR of 3.2%, Project B 4.0%, and Project C 12%. The ARR of project C is greater than its competitors since the cumulative inflows make a cumulative accounting profit of this project as £13m in the five years thus this can be converted into the average annual profit as £2.6m. ARR is consistent with reported earnings but does not consider timing of c</w:t>
      </w:r>
      <w:r>
        <w:rPr>
          <w:rFonts w:ascii="Arial" w:hAnsi="Arial" w:cs="Arial"/>
        </w:rPr>
        <w:t>ash flows, cost of capital thus needs to be used in conjunction with discounted indicators and not independently (Fisher, 2024).</w:t>
      </w:r>
    </w:p>
    <w:p w14:paraId="3A7DC287" w14:textId="77777777" w:rsidR="009D4E2F" w:rsidRDefault="00314650">
      <w:pPr>
        <w:pStyle w:val="Heading3"/>
        <w:keepNext w:val="0"/>
        <w:keepLines w:val="0"/>
        <w:spacing w:before="240" w:after="40"/>
        <w:rPr>
          <w:rFonts w:ascii="Arial" w:hAnsi="Arial" w:cs="Arial"/>
        </w:rPr>
      </w:pPr>
      <w:bookmarkStart w:id="44" w:name="_j7q3qlaf1no6" w:colFirst="0" w:colLast="0"/>
      <w:bookmarkEnd w:id="44"/>
      <w:r>
        <w:rPr>
          <w:rFonts w:ascii="Arial" w:hAnsi="Arial" w:cs="Arial"/>
        </w:rPr>
        <w:t>4.3.3 Net Present Value (NPV)</w:t>
      </w:r>
    </w:p>
    <w:p w14:paraId="059C8751" w14:textId="77777777" w:rsidR="009D4E2F" w:rsidRDefault="00314650">
      <w:pPr>
        <w:rPr>
          <w:rFonts w:ascii="Arial" w:hAnsi="Arial" w:cs="Arial"/>
        </w:rPr>
      </w:pPr>
      <w:r>
        <w:rPr>
          <w:rFonts w:ascii="Arial" w:hAnsi="Arial" w:cs="Arial"/>
          <w:noProof/>
        </w:rPr>
        <w:drawing>
          <wp:inline distT="0" distB="0" distL="0" distR="0" wp14:anchorId="5A3734B0" wp14:editId="12ED1F6E">
            <wp:extent cx="5943600" cy="1417320"/>
            <wp:effectExtent l="0" t="0" r="0" b="0"/>
            <wp:docPr id="13516614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61489"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943600" cy="1417320"/>
                    </a:xfrm>
                    <a:prstGeom prst="rect">
                      <a:avLst/>
                    </a:prstGeom>
                    <a:noFill/>
                    <a:ln>
                      <a:noFill/>
                    </a:ln>
                  </pic:spPr>
                </pic:pic>
              </a:graphicData>
            </a:graphic>
          </wp:inline>
        </w:drawing>
      </w:r>
    </w:p>
    <w:p w14:paraId="60FFF2D5" w14:textId="77777777" w:rsidR="009D4E2F" w:rsidRDefault="00314650">
      <w:pPr>
        <w:jc w:val="center"/>
        <w:rPr>
          <w:rFonts w:ascii="Arial" w:hAnsi="Arial" w:cs="Arial"/>
          <w:b/>
          <w:bCs/>
        </w:rPr>
      </w:pPr>
      <w:r>
        <w:rPr>
          <w:rFonts w:ascii="Arial" w:hAnsi="Arial" w:cs="Arial"/>
          <w:b/>
          <w:bCs/>
        </w:rPr>
        <w:t>Table 13: Net Present Value (NPV)</w:t>
      </w:r>
    </w:p>
    <w:p w14:paraId="5613CF5C" w14:textId="77777777" w:rsidR="009D4E2F" w:rsidRDefault="00314650">
      <w:pPr>
        <w:jc w:val="center"/>
        <w:rPr>
          <w:rFonts w:ascii="Arial" w:hAnsi="Arial" w:cs="Arial"/>
          <w:b/>
          <w:bCs/>
        </w:rPr>
      </w:pPr>
      <w:r>
        <w:rPr>
          <w:rFonts w:ascii="Arial" w:hAnsi="Arial" w:cs="Arial"/>
        </w:rPr>
        <w:lastRenderedPageBreak/>
        <w:t>(Source: Self-Created)</w:t>
      </w:r>
    </w:p>
    <w:p w14:paraId="5106F189" w14:textId="77777777" w:rsidR="009D4E2F" w:rsidRDefault="00314650">
      <w:pPr>
        <w:rPr>
          <w:rFonts w:ascii="Arial" w:hAnsi="Arial" w:cs="Arial"/>
        </w:rPr>
      </w:pPr>
      <w:r>
        <w:rPr>
          <w:rFonts w:ascii="Arial" w:hAnsi="Arial" w:cs="Arial"/>
        </w:rPr>
        <w:t xml:space="preserve">The main decision criterion in capital budgeting is NPV as it quantifies the absolute worth which is added to shareholders at the required rate of return. When discounted at 8 percent, the cash </w:t>
      </w:r>
      <w:proofErr w:type="gramStart"/>
      <w:r>
        <w:rPr>
          <w:rFonts w:ascii="Arial" w:hAnsi="Arial" w:cs="Arial"/>
        </w:rPr>
        <w:t>flows</w:t>
      </w:r>
      <w:proofErr w:type="gramEnd"/>
      <w:r>
        <w:rPr>
          <w:rFonts w:ascii="Arial" w:hAnsi="Arial" w:cs="Arial"/>
        </w:rPr>
        <w:t xml:space="preserve"> of the projects will result as depicted below. Project A has </w:t>
      </w:r>
      <w:proofErr w:type="gramStart"/>
      <w:r>
        <w:rPr>
          <w:rFonts w:ascii="Arial" w:hAnsi="Arial" w:cs="Arial"/>
        </w:rPr>
        <w:t>the</w:t>
      </w:r>
      <w:proofErr w:type="gramEnd"/>
      <w:r>
        <w:rPr>
          <w:rFonts w:ascii="Arial" w:hAnsi="Arial" w:cs="Arial"/>
        </w:rPr>
        <w:t xml:space="preserve"> negative NPV of -£6.54m and would be </w:t>
      </w:r>
      <w:proofErr w:type="gramStart"/>
      <w:r>
        <w:rPr>
          <w:rFonts w:ascii="Arial" w:hAnsi="Arial" w:cs="Arial"/>
        </w:rPr>
        <w:t>value</w:t>
      </w:r>
      <w:proofErr w:type="gramEnd"/>
      <w:r>
        <w:rPr>
          <w:rFonts w:ascii="Arial" w:hAnsi="Arial" w:cs="Arial"/>
        </w:rPr>
        <w:t xml:space="preserve"> destroying. Project B generates a negative of -£6.08m. Project C generates the highest, comfortably, of the three </w:t>
      </w:r>
      <w:proofErr w:type="gramStart"/>
      <w:r>
        <w:rPr>
          <w:rFonts w:ascii="Arial" w:hAnsi="Arial" w:cs="Arial"/>
        </w:rPr>
        <w:t>funds</w:t>
      </w:r>
      <w:proofErr w:type="gramEnd"/>
      <w:r>
        <w:rPr>
          <w:rFonts w:ascii="Arial" w:hAnsi="Arial" w:cs="Arial"/>
        </w:rPr>
        <w:t xml:space="preserve"> 0.26m. The back-loaded profile of </w:t>
      </w:r>
      <w:proofErr w:type="gramStart"/>
      <w:r>
        <w:rPr>
          <w:rFonts w:ascii="Arial" w:hAnsi="Arial" w:cs="Arial"/>
        </w:rPr>
        <w:t>the project</w:t>
      </w:r>
      <w:proofErr w:type="gramEnd"/>
      <w:r>
        <w:rPr>
          <w:rFonts w:ascii="Arial" w:hAnsi="Arial" w:cs="Arial"/>
        </w:rPr>
        <w:t xml:space="preserve"> C has the advantage of the compounding effect of the high inflows in Years 3 and 4 after discounting. On a naked NPV basis, Project C is the unquestionably strongest.</w:t>
      </w:r>
    </w:p>
    <w:p w14:paraId="126CEAF1" w14:textId="77777777" w:rsidR="009D4E2F" w:rsidRDefault="00314650">
      <w:pPr>
        <w:pStyle w:val="Heading3"/>
        <w:keepNext w:val="0"/>
        <w:keepLines w:val="0"/>
        <w:spacing w:before="240" w:after="40"/>
        <w:rPr>
          <w:rFonts w:ascii="Arial" w:hAnsi="Arial" w:cs="Arial"/>
        </w:rPr>
      </w:pPr>
      <w:bookmarkStart w:id="45" w:name="_n4h41ys6acx" w:colFirst="0" w:colLast="0"/>
      <w:bookmarkEnd w:id="45"/>
      <w:r>
        <w:rPr>
          <w:rFonts w:ascii="Arial" w:hAnsi="Arial" w:cs="Arial"/>
        </w:rPr>
        <w:t>4.3.4 Profitability Index (PI)</w:t>
      </w:r>
    </w:p>
    <w:p w14:paraId="777DCEAD" w14:textId="77777777" w:rsidR="009D4E2F" w:rsidRDefault="00314650">
      <w:pPr>
        <w:rPr>
          <w:rFonts w:ascii="Arial" w:hAnsi="Arial" w:cs="Arial"/>
        </w:rPr>
      </w:pPr>
      <w:r>
        <w:rPr>
          <w:rFonts w:ascii="Arial" w:hAnsi="Arial" w:cs="Arial"/>
          <w:noProof/>
        </w:rPr>
        <w:drawing>
          <wp:inline distT="0" distB="0" distL="0" distR="0" wp14:anchorId="2DDB6A1F" wp14:editId="7B8061AE">
            <wp:extent cx="5943600" cy="1294960"/>
            <wp:effectExtent l="0" t="0" r="0" b="635"/>
            <wp:docPr id="20249490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49057"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955228" cy="1297493"/>
                    </a:xfrm>
                    <a:prstGeom prst="rect">
                      <a:avLst/>
                    </a:prstGeom>
                    <a:noFill/>
                    <a:ln>
                      <a:noFill/>
                    </a:ln>
                  </pic:spPr>
                </pic:pic>
              </a:graphicData>
            </a:graphic>
          </wp:inline>
        </w:drawing>
      </w:r>
    </w:p>
    <w:p w14:paraId="306ECCB8" w14:textId="77777777" w:rsidR="009D4E2F" w:rsidRDefault="00314650">
      <w:pPr>
        <w:jc w:val="center"/>
        <w:rPr>
          <w:rFonts w:ascii="Arial" w:hAnsi="Arial" w:cs="Arial"/>
          <w:b/>
          <w:bCs/>
        </w:rPr>
      </w:pPr>
      <w:r>
        <w:rPr>
          <w:rFonts w:ascii="Arial" w:hAnsi="Arial" w:cs="Arial"/>
          <w:b/>
          <w:bCs/>
        </w:rPr>
        <w:t>Table 14: Profitability Index (PI)</w:t>
      </w:r>
    </w:p>
    <w:p w14:paraId="25B06AB7" w14:textId="77777777" w:rsidR="009D4E2F" w:rsidRDefault="00314650">
      <w:pPr>
        <w:jc w:val="center"/>
        <w:rPr>
          <w:rFonts w:ascii="Arial" w:hAnsi="Arial" w:cs="Arial"/>
          <w:b/>
          <w:bCs/>
        </w:rPr>
      </w:pPr>
      <w:r>
        <w:rPr>
          <w:rFonts w:ascii="Arial" w:hAnsi="Arial" w:cs="Arial"/>
        </w:rPr>
        <w:t>(Source: Self-Created)</w:t>
      </w:r>
    </w:p>
    <w:p w14:paraId="7BFAA6F9" w14:textId="77777777" w:rsidR="009D4E2F" w:rsidRDefault="00314650">
      <w:pPr>
        <w:rPr>
          <w:rFonts w:ascii="Arial" w:hAnsi="Arial" w:cs="Arial"/>
        </w:rPr>
      </w:pPr>
      <w:r>
        <w:rPr>
          <w:rFonts w:ascii="Arial" w:hAnsi="Arial" w:cs="Arial"/>
        </w:rPr>
        <w:t xml:space="preserve">PI puts forward the value of inflows/pounds </w:t>
      </w:r>
      <w:proofErr w:type="gramStart"/>
      <w:r>
        <w:rPr>
          <w:rFonts w:ascii="Arial" w:hAnsi="Arial" w:cs="Arial"/>
        </w:rPr>
        <w:t>invested,</w:t>
      </w:r>
      <w:proofErr w:type="gramEnd"/>
      <w:r>
        <w:rPr>
          <w:rFonts w:ascii="Arial" w:hAnsi="Arial" w:cs="Arial"/>
        </w:rPr>
        <w:t xml:space="preserve"> this is mainly valuable where the restricted capital budget applies. Project A has a PI of 0.8691x, suggesting value destruction and Project B is just below unity of 0.8784x. Project C is the top in 1.0172x as it brings forth a present value of 1.17 on each pound invested. In the current situation, PI prioritizes projects sequentially as NPV, but its per pound framing becomes the determinant in a subsequent capital rationing exercise that ensues in section 5.6 below (CFI Team, 2023).</w:t>
      </w:r>
    </w:p>
    <w:p w14:paraId="647299B4" w14:textId="77777777" w:rsidR="009F4053" w:rsidRDefault="009F4053">
      <w:pPr>
        <w:spacing w:after="0" w:line="240" w:lineRule="auto"/>
        <w:jc w:val="left"/>
        <w:rPr>
          <w:rFonts w:ascii="Arial" w:hAnsi="Arial" w:cs="Arial"/>
          <w:b/>
          <w:bCs/>
          <w:i/>
          <w:iCs/>
        </w:rPr>
      </w:pPr>
      <w:bookmarkStart w:id="46" w:name="_dgtgcqvopj00" w:colFirst="0" w:colLast="0"/>
      <w:bookmarkEnd w:id="46"/>
      <w:r>
        <w:rPr>
          <w:rFonts w:ascii="Arial" w:hAnsi="Arial" w:cs="Arial"/>
        </w:rPr>
        <w:br w:type="page"/>
      </w:r>
    </w:p>
    <w:p w14:paraId="59E49D02" w14:textId="0730567C" w:rsidR="009D4E2F" w:rsidRDefault="00314650">
      <w:pPr>
        <w:pStyle w:val="Heading3"/>
        <w:keepNext w:val="0"/>
        <w:keepLines w:val="0"/>
        <w:spacing w:before="240" w:after="40"/>
        <w:rPr>
          <w:rFonts w:ascii="Arial" w:hAnsi="Arial" w:cs="Arial"/>
        </w:rPr>
      </w:pPr>
      <w:r>
        <w:rPr>
          <w:rFonts w:ascii="Arial" w:hAnsi="Arial" w:cs="Arial"/>
        </w:rPr>
        <w:lastRenderedPageBreak/>
        <w:t>4.3.5 Internal Rate of Return (IRR)</w:t>
      </w:r>
    </w:p>
    <w:p w14:paraId="32684DFD" w14:textId="77777777" w:rsidR="009D4E2F" w:rsidRDefault="00314650">
      <w:pPr>
        <w:rPr>
          <w:rFonts w:ascii="Arial" w:hAnsi="Arial" w:cs="Arial"/>
        </w:rPr>
      </w:pPr>
      <w:r>
        <w:rPr>
          <w:rFonts w:ascii="Arial" w:hAnsi="Arial" w:cs="Arial"/>
          <w:noProof/>
        </w:rPr>
        <w:drawing>
          <wp:inline distT="0" distB="0" distL="0" distR="0" wp14:anchorId="1BA62CF3" wp14:editId="581A258E">
            <wp:extent cx="5943600" cy="1210390"/>
            <wp:effectExtent l="0" t="0" r="0" b="8890"/>
            <wp:docPr id="6873247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24791"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960100" cy="1213750"/>
                    </a:xfrm>
                    <a:prstGeom prst="rect">
                      <a:avLst/>
                    </a:prstGeom>
                    <a:noFill/>
                    <a:ln>
                      <a:noFill/>
                    </a:ln>
                  </pic:spPr>
                </pic:pic>
              </a:graphicData>
            </a:graphic>
          </wp:inline>
        </w:drawing>
      </w:r>
    </w:p>
    <w:p w14:paraId="6684AAD7" w14:textId="77777777" w:rsidR="009D4E2F" w:rsidRDefault="00314650">
      <w:pPr>
        <w:jc w:val="center"/>
        <w:rPr>
          <w:rFonts w:ascii="Arial" w:hAnsi="Arial" w:cs="Arial"/>
          <w:b/>
          <w:bCs/>
        </w:rPr>
      </w:pPr>
      <w:r>
        <w:rPr>
          <w:rFonts w:ascii="Arial" w:hAnsi="Arial" w:cs="Arial"/>
          <w:b/>
          <w:bCs/>
        </w:rPr>
        <w:t>Table 15: Internal Rate of Return (IRR)</w:t>
      </w:r>
    </w:p>
    <w:p w14:paraId="0A9AE256" w14:textId="77777777" w:rsidR="009D4E2F" w:rsidRDefault="00314650">
      <w:pPr>
        <w:jc w:val="center"/>
        <w:rPr>
          <w:rFonts w:ascii="Arial" w:hAnsi="Arial" w:cs="Arial"/>
          <w:b/>
          <w:bCs/>
        </w:rPr>
      </w:pPr>
      <w:r>
        <w:rPr>
          <w:rFonts w:ascii="Arial" w:hAnsi="Arial" w:cs="Arial"/>
        </w:rPr>
        <w:t>(Source: Self-Created)</w:t>
      </w:r>
    </w:p>
    <w:p w14:paraId="72E9A3C1" w14:textId="77777777" w:rsidR="009D4E2F" w:rsidRDefault="00314650">
      <w:pPr>
        <w:rPr>
          <w:rFonts w:ascii="Arial" w:hAnsi="Arial" w:cs="Arial"/>
        </w:rPr>
      </w:pPr>
      <w:r>
        <w:rPr>
          <w:rFonts w:ascii="Arial" w:hAnsi="Arial" w:cs="Arial"/>
        </w:rPr>
        <w:t xml:space="preserve">IRR determines the discount rate at which the net present value of each project is zero. The IRR of Project A is about 2.72%, Project B is 3.26% and Project C is 8.59%. In pure terms of IRR, Project C will again lead out by a wide margin as compared to the two projects. The IRR is also intuitive in the sense that it is written in the form of percentage of </w:t>
      </w:r>
      <w:proofErr w:type="gramStart"/>
      <w:r>
        <w:rPr>
          <w:rFonts w:ascii="Arial" w:hAnsi="Arial" w:cs="Arial"/>
        </w:rPr>
        <w:t>returns</w:t>
      </w:r>
      <w:proofErr w:type="gramEnd"/>
      <w:r>
        <w:rPr>
          <w:rFonts w:ascii="Arial" w:hAnsi="Arial" w:cs="Arial"/>
        </w:rPr>
        <w:t xml:space="preserve"> but it is deceptive where the profiles of cash flows vary markedly, such as is the case here (Wilson, 2025). Since the three projects are equally big in nature, NPV must be adopted as the winning tool.</w:t>
      </w:r>
    </w:p>
    <w:p w14:paraId="083C0AE5" w14:textId="77777777" w:rsidR="009D4E2F" w:rsidRDefault="00314650">
      <w:pPr>
        <w:pStyle w:val="Heading2"/>
        <w:keepNext w:val="0"/>
        <w:keepLines w:val="0"/>
        <w:spacing w:before="280" w:after="80"/>
        <w:rPr>
          <w:rFonts w:ascii="Arial" w:hAnsi="Arial" w:cs="Arial"/>
        </w:rPr>
      </w:pPr>
      <w:bookmarkStart w:id="47" w:name="_Toc237472619"/>
      <w:r>
        <w:rPr>
          <w:rFonts w:ascii="Arial" w:hAnsi="Arial" w:cs="Arial"/>
        </w:rPr>
        <w:t>4.4 Results and Comparative Analysis</w:t>
      </w:r>
      <w:bookmarkEnd w:id="47"/>
    </w:p>
    <w:p w14:paraId="027A9656" w14:textId="77777777" w:rsidR="009D4E2F" w:rsidRDefault="00314650">
      <w:pPr>
        <w:rPr>
          <w:rFonts w:ascii="Arial" w:hAnsi="Arial" w:cs="Arial"/>
        </w:rPr>
      </w:pPr>
      <w:r>
        <w:rPr>
          <w:rFonts w:ascii="Arial" w:hAnsi="Arial" w:cs="Arial"/>
        </w:rPr>
        <w:t xml:space="preserve">Bringing together the five techniques, Project C tops all the single measures; fastest PBP 3 years 7 months, highest ARR 12%, largest NPV of 0.86m, highest PI 1.0172x, and highest IRR of 8.59%. Project B comes way behind, generating a mere positive NPV, and PI slightly greater than 1.00x. Project A </w:t>
      </w:r>
      <w:proofErr w:type="gramStart"/>
      <w:r>
        <w:rPr>
          <w:rFonts w:ascii="Arial" w:hAnsi="Arial" w:cs="Arial"/>
        </w:rPr>
        <w:t>is prevailing</w:t>
      </w:r>
      <w:proofErr w:type="gramEnd"/>
      <w:r>
        <w:rPr>
          <w:rFonts w:ascii="Arial" w:hAnsi="Arial" w:cs="Arial"/>
        </w:rPr>
        <w:t xml:space="preserve"> in all parameters and would diminish shareholder value. The difference between the ranking of the two discounted measures and non-discounted measures gives a lot of confidence to the conclusion and removes the uncertainty that is sometimes presented by non-agreement between NPV and IRR measures (</w:t>
      </w:r>
      <w:proofErr w:type="spellStart"/>
      <w:r>
        <w:rPr>
          <w:rFonts w:ascii="Arial" w:hAnsi="Arial" w:cs="Arial"/>
        </w:rPr>
        <w:t>Imarticus</w:t>
      </w:r>
      <w:proofErr w:type="spellEnd"/>
      <w:r>
        <w:rPr>
          <w:rFonts w:ascii="Arial" w:hAnsi="Arial" w:cs="Arial"/>
        </w:rPr>
        <w:t>, 2024).</w:t>
      </w:r>
    </w:p>
    <w:p w14:paraId="33E61BFD" w14:textId="77777777" w:rsidR="009D4E2F" w:rsidRDefault="00314650">
      <w:pPr>
        <w:pStyle w:val="Heading2"/>
        <w:keepNext w:val="0"/>
        <w:keepLines w:val="0"/>
        <w:spacing w:before="280" w:after="80"/>
        <w:rPr>
          <w:rFonts w:ascii="Arial" w:hAnsi="Arial" w:cs="Arial"/>
        </w:rPr>
      </w:pPr>
      <w:bookmarkStart w:id="48" w:name="_Toc237472620"/>
      <w:r>
        <w:rPr>
          <w:rFonts w:ascii="Arial" w:hAnsi="Arial" w:cs="Arial"/>
        </w:rPr>
        <w:t>4.5 Project Selection Decision</w:t>
      </w:r>
      <w:bookmarkEnd w:id="48"/>
    </w:p>
    <w:p w14:paraId="1DCC7BFA" w14:textId="77777777" w:rsidR="009D4E2F" w:rsidRDefault="00314650">
      <w:pPr>
        <w:rPr>
          <w:rFonts w:ascii="Arial" w:hAnsi="Arial" w:cs="Arial"/>
        </w:rPr>
      </w:pPr>
      <w:r>
        <w:rPr>
          <w:rFonts w:ascii="Arial" w:hAnsi="Arial" w:cs="Arial"/>
        </w:rPr>
        <w:t xml:space="preserve">It can be recommended that Project C standalone be selected. Hilton is currently financially </w:t>
      </w:r>
      <w:proofErr w:type="gramStart"/>
      <w:r>
        <w:rPr>
          <w:rFonts w:ascii="Arial" w:hAnsi="Arial" w:cs="Arial"/>
        </w:rPr>
        <w:t>sound</w:t>
      </w:r>
      <w:proofErr w:type="gramEnd"/>
      <w:r>
        <w:rPr>
          <w:rFonts w:ascii="Arial" w:hAnsi="Arial" w:cs="Arial"/>
        </w:rPr>
        <w:t xml:space="preserve"> which makes this recommendation stronger. The Hilton operations </w:t>
      </w:r>
      <w:r>
        <w:rPr>
          <w:rFonts w:ascii="Arial" w:hAnsi="Arial" w:cs="Arial"/>
        </w:rPr>
        <w:lastRenderedPageBreak/>
        <w:t xml:space="preserve">margin of 22.4% and EBITDA margin of 23.8% and free cash flow of UK2,028 million give Hilton the sufficient room to finance a 50m project internally. The interest coverage ratio of 4.34 times indicates that the debt servicing is comfortable and the current ratio of 0.66 times, as is usual with operators of hotel high deferred revenue balances, does not actually constitute a liquidity constraint. The smaller payback and bigger NPV of project C also </w:t>
      </w:r>
      <w:proofErr w:type="gramStart"/>
      <w:r>
        <w:rPr>
          <w:rFonts w:ascii="Arial" w:hAnsi="Arial" w:cs="Arial"/>
        </w:rPr>
        <w:t>fits</w:t>
      </w:r>
      <w:proofErr w:type="gramEnd"/>
      <w:r>
        <w:rPr>
          <w:rFonts w:ascii="Arial" w:hAnsi="Arial" w:cs="Arial"/>
        </w:rPr>
        <w:t xml:space="preserve"> into a company that would take back the capital aggressively to the </w:t>
      </w:r>
      <w:proofErr w:type="spellStart"/>
      <w:proofErr w:type="gramStart"/>
      <w:r>
        <w:rPr>
          <w:rFonts w:ascii="Arial" w:hAnsi="Arial" w:cs="Arial"/>
        </w:rPr>
        <w:t>share holders</w:t>
      </w:r>
      <w:proofErr w:type="spellEnd"/>
      <w:proofErr w:type="gramEnd"/>
      <w:r>
        <w:rPr>
          <w:rFonts w:ascii="Arial" w:hAnsi="Arial" w:cs="Arial"/>
        </w:rPr>
        <w:t xml:space="preserve"> as with shorter payback flexibility remains as they can give back with further buybacks and dividends (</w:t>
      </w:r>
      <w:proofErr w:type="spellStart"/>
      <w:r>
        <w:rPr>
          <w:rFonts w:ascii="Arial" w:hAnsi="Arial" w:cs="Arial"/>
        </w:rPr>
        <w:t>Syaiful</w:t>
      </w:r>
      <w:proofErr w:type="spellEnd"/>
      <w:r>
        <w:rPr>
          <w:rFonts w:ascii="Arial" w:hAnsi="Arial" w:cs="Arial"/>
        </w:rPr>
        <w:t>, 2025).</w:t>
      </w:r>
    </w:p>
    <w:p w14:paraId="48BCDFBD" w14:textId="77777777" w:rsidR="009D4E2F" w:rsidRDefault="00314650">
      <w:pPr>
        <w:pStyle w:val="Heading2"/>
        <w:keepNext w:val="0"/>
        <w:keepLines w:val="0"/>
        <w:spacing w:before="280" w:after="80"/>
        <w:rPr>
          <w:rFonts w:ascii="Arial" w:hAnsi="Arial" w:cs="Arial"/>
        </w:rPr>
      </w:pPr>
      <w:bookmarkStart w:id="49" w:name="_Toc237472621"/>
      <w:r>
        <w:rPr>
          <w:rFonts w:ascii="Arial" w:hAnsi="Arial" w:cs="Arial"/>
        </w:rPr>
        <w:t>4.6 Capital Rationing Decision (£100 Million Budget)</w:t>
      </w:r>
      <w:bookmarkEnd w:id="49"/>
    </w:p>
    <w:p w14:paraId="10E03F2A" w14:textId="77777777" w:rsidR="009D4E2F" w:rsidRDefault="00314650">
      <w:pPr>
        <w:rPr>
          <w:rFonts w:ascii="Arial" w:hAnsi="Arial" w:cs="Arial"/>
        </w:rPr>
      </w:pPr>
      <w:r>
        <w:rPr>
          <w:rFonts w:ascii="Arial" w:hAnsi="Arial" w:cs="Arial"/>
          <w:noProof/>
        </w:rPr>
        <w:drawing>
          <wp:inline distT="0" distB="0" distL="0" distR="0" wp14:anchorId="01CA6A2E" wp14:editId="4D582414">
            <wp:extent cx="5943600" cy="2667000"/>
            <wp:effectExtent l="0" t="0" r="0" b="0"/>
            <wp:docPr id="1512990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9072"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943600" cy="2667000"/>
                    </a:xfrm>
                    <a:prstGeom prst="rect">
                      <a:avLst/>
                    </a:prstGeom>
                    <a:noFill/>
                    <a:ln>
                      <a:noFill/>
                    </a:ln>
                  </pic:spPr>
                </pic:pic>
              </a:graphicData>
            </a:graphic>
          </wp:inline>
        </w:drawing>
      </w:r>
    </w:p>
    <w:p w14:paraId="05E3D826" w14:textId="77777777" w:rsidR="009D4E2F" w:rsidRDefault="00314650">
      <w:pPr>
        <w:jc w:val="center"/>
        <w:rPr>
          <w:rFonts w:ascii="Arial" w:hAnsi="Arial" w:cs="Arial"/>
          <w:b/>
          <w:bCs/>
        </w:rPr>
      </w:pPr>
      <w:r>
        <w:rPr>
          <w:rFonts w:ascii="Arial" w:hAnsi="Arial" w:cs="Arial"/>
          <w:b/>
          <w:bCs/>
        </w:rPr>
        <w:t>Table 16: Capital Rationing</w:t>
      </w:r>
    </w:p>
    <w:p w14:paraId="10E7CB87" w14:textId="77777777" w:rsidR="009D4E2F" w:rsidRDefault="00314650">
      <w:pPr>
        <w:jc w:val="center"/>
        <w:rPr>
          <w:rFonts w:ascii="Arial" w:hAnsi="Arial" w:cs="Arial"/>
          <w:b/>
          <w:bCs/>
        </w:rPr>
      </w:pPr>
      <w:r>
        <w:rPr>
          <w:rFonts w:ascii="Arial" w:hAnsi="Arial" w:cs="Arial"/>
        </w:rPr>
        <w:t>(Source: Self-Created)</w:t>
      </w:r>
    </w:p>
    <w:p w14:paraId="2777A37B" w14:textId="77777777" w:rsidR="009D4E2F" w:rsidRDefault="00314650">
      <w:pPr>
        <w:rPr>
          <w:rFonts w:ascii="Arial" w:hAnsi="Arial" w:cs="Arial"/>
        </w:rPr>
      </w:pPr>
      <w:r>
        <w:rPr>
          <w:rFonts w:ascii="Arial" w:hAnsi="Arial" w:cs="Arial"/>
        </w:rPr>
        <w:t xml:space="preserve">Only two of the three </w:t>
      </w:r>
      <w:proofErr w:type="gramStart"/>
      <w:r>
        <w:rPr>
          <w:rFonts w:ascii="Arial" w:hAnsi="Arial" w:cs="Arial"/>
        </w:rPr>
        <w:t>close</w:t>
      </w:r>
      <w:proofErr w:type="gramEnd"/>
      <w:r>
        <w:rPr>
          <w:rFonts w:ascii="Arial" w:hAnsi="Arial" w:cs="Arial"/>
        </w:rPr>
        <w:t xml:space="preserve"> to half of the projects amounting to 50 m can be pursued under a ceiling of less than 100 million. The A+C combination would give a smaller cumulative NPV of or less 0.86, since Project A will create negative value to C, a-bit, and therefore, this should be discarded straight away. A+B will have a cumulative NPV of negative 12.62m and this should be jettisoned. B+C thus will </w:t>
      </w:r>
      <w:proofErr w:type="spellStart"/>
      <w:r>
        <w:rPr>
          <w:rFonts w:ascii="Arial" w:hAnsi="Arial" w:cs="Arial"/>
        </w:rPr>
        <w:t>maximise</w:t>
      </w:r>
      <w:proofErr w:type="spellEnd"/>
      <w:r>
        <w:rPr>
          <w:rFonts w:ascii="Arial" w:hAnsi="Arial" w:cs="Arial"/>
        </w:rPr>
        <w:t xml:space="preserve"> value creation within the constraint to meet the NPV rule, and the per-pound efficiency of PI-based rationing.</w:t>
      </w:r>
    </w:p>
    <w:p w14:paraId="33C76A52" w14:textId="77777777" w:rsidR="009D4E2F" w:rsidRDefault="00314650">
      <w:pPr>
        <w:pStyle w:val="Heading2"/>
        <w:keepNext w:val="0"/>
        <w:keepLines w:val="0"/>
        <w:spacing w:before="280" w:after="80"/>
        <w:rPr>
          <w:rFonts w:ascii="Arial" w:hAnsi="Arial" w:cs="Arial"/>
        </w:rPr>
      </w:pPr>
      <w:bookmarkStart w:id="50" w:name="_Toc237472622"/>
      <w:r>
        <w:rPr>
          <w:rFonts w:ascii="Arial" w:hAnsi="Arial" w:cs="Arial"/>
        </w:rPr>
        <w:lastRenderedPageBreak/>
        <w:t>4.7 Consideration of Non-Financial Factors</w:t>
      </w:r>
      <w:bookmarkEnd w:id="50"/>
    </w:p>
    <w:p w14:paraId="04468DF4" w14:textId="77777777" w:rsidR="009D4E2F" w:rsidRDefault="00314650">
      <w:pPr>
        <w:rPr>
          <w:rFonts w:ascii="Arial" w:hAnsi="Arial" w:cs="Arial"/>
        </w:rPr>
      </w:pPr>
      <w:r>
        <w:rPr>
          <w:rFonts w:ascii="Arial" w:hAnsi="Arial" w:cs="Arial"/>
        </w:rPr>
        <w:t xml:space="preserve">There are non-financial risks that make the recommendation strong in addition to the quantitative case. The future cash flows of project C rely on the maintenance of travel demand which leaves it vulnerable to political and </w:t>
      </w:r>
      <w:proofErr w:type="spellStart"/>
      <w:r>
        <w:rPr>
          <w:rFonts w:ascii="Arial" w:hAnsi="Arial" w:cs="Arial"/>
        </w:rPr>
        <w:t>macro economic</w:t>
      </w:r>
      <w:proofErr w:type="spellEnd"/>
      <w:r>
        <w:rPr>
          <w:rFonts w:ascii="Arial" w:hAnsi="Arial" w:cs="Arial"/>
        </w:rPr>
        <w:t xml:space="preserve"> risks like changes in regulations, restrictions on travel and geopolitical conflicts in major markets. This is partly offset by the global brand recognition that Hilton has, the number of its Hilton Honors loyalty members (over 220 million) and the diverse geographic presence which diversifies country-specific risk. The reputational and ESG and customer loyalty factors combined with the resilience shown in the recent industry cycles also justify the effort of pursuing a growth orientated, </w:t>
      </w:r>
      <w:proofErr w:type="gramStart"/>
      <w:r>
        <w:rPr>
          <w:rFonts w:ascii="Arial" w:hAnsi="Arial" w:cs="Arial"/>
        </w:rPr>
        <w:t>back loaded</w:t>
      </w:r>
      <w:proofErr w:type="gramEnd"/>
      <w:r>
        <w:rPr>
          <w:rFonts w:ascii="Arial" w:hAnsi="Arial" w:cs="Arial"/>
        </w:rPr>
        <w:t xml:space="preserve"> project like Project C in addition to the more stable annuity character of Project B in capital rationing scenario (Ahmed and Khalaf, 2025).</w:t>
      </w:r>
    </w:p>
    <w:p w14:paraId="21C08C07" w14:textId="77777777" w:rsidR="009D4E2F" w:rsidRDefault="00314650">
      <w:pPr>
        <w:rPr>
          <w:rFonts w:ascii="Arial" w:hAnsi="Arial" w:cs="Arial"/>
        </w:rPr>
      </w:pPr>
      <w:r>
        <w:rPr>
          <w:rFonts w:ascii="Arial" w:hAnsi="Arial" w:cs="Arial"/>
        </w:rPr>
        <w:br w:type="page"/>
      </w:r>
    </w:p>
    <w:p w14:paraId="72C8BFD5" w14:textId="77777777" w:rsidR="009D4E2F" w:rsidRDefault="00314650">
      <w:pPr>
        <w:pStyle w:val="Heading1"/>
        <w:keepNext w:val="0"/>
        <w:keepLines w:val="0"/>
        <w:spacing w:before="360" w:after="80"/>
        <w:rPr>
          <w:rFonts w:ascii="Arial" w:hAnsi="Arial" w:cs="Arial"/>
          <w:sz w:val="24"/>
          <w:szCs w:val="24"/>
        </w:rPr>
      </w:pPr>
      <w:bookmarkStart w:id="51" w:name="_Toc237472623"/>
      <w:r>
        <w:rPr>
          <w:rFonts w:ascii="Arial" w:hAnsi="Arial" w:cs="Arial"/>
          <w:sz w:val="24"/>
          <w:szCs w:val="24"/>
        </w:rPr>
        <w:lastRenderedPageBreak/>
        <w:t>5. Conclusion</w:t>
      </w:r>
      <w:bookmarkEnd w:id="51"/>
    </w:p>
    <w:p w14:paraId="1A743FAC" w14:textId="77777777" w:rsidR="009D4E2F" w:rsidRDefault="00314650">
      <w:pPr>
        <w:pStyle w:val="Heading2"/>
        <w:keepNext w:val="0"/>
        <w:keepLines w:val="0"/>
        <w:spacing w:before="280" w:after="80"/>
        <w:rPr>
          <w:rFonts w:ascii="Arial" w:hAnsi="Arial" w:cs="Arial"/>
        </w:rPr>
      </w:pPr>
      <w:bookmarkStart w:id="52" w:name="_Toc237472624"/>
      <w:r>
        <w:rPr>
          <w:rFonts w:ascii="Arial" w:hAnsi="Arial" w:cs="Arial"/>
        </w:rPr>
        <w:t>5.1 Tool Disclosure</w:t>
      </w:r>
      <w:bookmarkEnd w:id="52"/>
    </w:p>
    <w:p w14:paraId="78BB7589" w14:textId="77777777" w:rsidR="009D4E2F" w:rsidRDefault="00314650">
      <w:pPr>
        <w:spacing w:before="240" w:after="240"/>
        <w:rPr>
          <w:rFonts w:ascii="Arial" w:hAnsi="Arial" w:cs="Arial"/>
        </w:rPr>
      </w:pPr>
      <w:r>
        <w:rPr>
          <w:rFonts w:ascii="Arial" w:hAnsi="Arial" w:cs="Arial"/>
        </w:rPr>
        <w:t>In the creation of this report, Artificial Intelligence (AI) was only utilized to take care of the proofreading. Namely, AI was used to test grammar, spelling, sentence organization, punctuation, and overall clarity of the language to enhance the clarity and presentability of the report. None of the AI generated financial and computation, interpretation, recommendations and strategic analysis were directly included in the final submission. This modest use has been reported by filling in the AI Use Acknowled</w:t>
      </w:r>
      <w:r>
        <w:rPr>
          <w:rFonts w:ascii="Arial" w:hAnsi="Arial" w:cs="Arial"/>
        </w:rPr>
        <w:t>gement to acknowledge the academic integrity requirements (Auro del Giglio and Mateus, 2023). All the financial computations, ratio analysis, investment assessment/assessment and strategic inference were done on their own through the published financial statements of the company on their own and with the assistance of the academic reference material.</w:t>
      </w:r>
    </w:p>
    <w:p w14:paraId="4A98F09F" w14:textId="77777777" w:rsidR="009D4E2F" w:rsidRDefault="00314650">
      <w:pPr>
        <w:pStyle w:val="Heading2"/>
        <w:keepNext w:val="0"/>
        <w:keepLines w:val="0"/>
        <w:spacing w:before="280" w:after="80"/>
        <w:rPr>
          <w:rFonts w:ascii="Arial" w:hAnsi="Arial" w:cs="Arial"/>
        </w:rPr>
      </w:pPr>
      <w:bookmarkStart w:id="53" w:name="_Toc237472625"/>
      <w:r>
        <w:rPr>
          <w:rFonts w:ascii="Arial" w:hAnsi="Arial" w:cs="Arial"/>
        </w:rPr>
        <w:t>5.2 Critical Evaluation of AI Output</w:t>
      </w:r>
      <w:bookmarkEnd w:id="53"/>
    </w:p>
    <w:p w14:paraId="6853D44F" w14:textId="77777777" w:rsidR="009D4E2F" w:rsidRPr="00EE5A64" w:rsidRDefault="00314650">
      <w:pPr>
        <w:spacing w:before="240" w:after="240"/>
        <w:rPr>
          <w:rFonts w:ascii="Arial" w:hAnsi="Arial" w:cs="Arial"/>
        </w:rPr>
      </w:pPr>
      <w:r w:rsidRPr="00EE5A64">
        <w:rPr>
          <w:rFonts w:ascii="Arial" w:hAnsi="Arial" w:cs="Arial"/>
        </w:rPr>
        <w:t xml:space="preserve">Although this report was my very own work in terms of financial analysis, I did rely on Claude as a type </w:t>
      </w:r>
      <w:proofErr w:type="gramStart"/>
      <w:r w:rsidRPr="00EE5A64">
        <w:rPr>
          <w:rFonts w:ascii="Arial" w:hAnsi="Arial" w:cs="Arial"/>
        </w:rPr>
        <w:t>of a</w:t>
      </w:r>
      <w:proofErr w:type="gramEnd"/>
      <w:r w:rsidRPr="00EE5A64">
        <w:rPr>
          <w:rFonts w:ascii="Arial" w:hAnsi="Arial" w:cs="Arial"/>
        </w:rPr>
        <w:t xml:space="preserve"> </w:t>
      </w:r>
      <w:proofErr w:type="gramStart"/>
      <w:r w:rsidRPr="00EE5A64">
        <w:rPr>
          <w:rFonts w:ascii="Arial" w:hAnsi="Arial" w:cs="Arial"/>
        </w:rPr>
        <w:t>proof reading</w:t>
      </w:r>
      <w:proofErr w:type="gramEnd"/>
      <w:r w:rsidRPr="00EE5A64">
        <w:rPr>
          <w:rFonts w:ascii="Arial" w:hAnsi="Arial" w:cs="Arial"/>
        </w:rPr>
        <w:t xml:space="preserve"> software to </w:t>
      </w:r>
      <w:proofErr w:type="gramStart"/>
      <w:r w:rsidRPr="00EE5A64">
        <w:rPr>
          <w:rFonts w:ascii="Arial" w:hAnsi="Arial" w:cs="Arial"/>
        </w:rPr>
        <w:t>identify,</w:t>
      </w:r>
      <w:proofErr w:type="gramEnd"/>
      <w:r w:rsidRPr="00EE5A64">
        <w:rPr>
          <w:rFonts w:ascii="Arial" w:hAnsi="Arial" w:cs="Arial"/>
        </w:rPr>
        <w:t xml:space="preserve"> the grammatical slip and to tighten my writing. Saying this, however, I did not follow its recommendations blindly. Any changes suggested were verified in relation to what I </w:t>
      </w:r>
      <w:proofErr w:type="gramStart"/>
      <w:r w:rsidRPr="00EE5A64">
        <w:rPr>
          <w:rFonts w:ascii="Arial" w:hAnsi="Arial" w:cs="Arial"/>
        </w:rPr>
        <w:t>actually wanted</w:t>
      </w:r>
      <w:proofErr w:type="gramEnd"/>
      <w:r w:rsidRPr="00EE5A64">
        <w:rPr>
          <w:rFonts w:ascii="Arial" w:hAnsi="Arial" w:cs="Arial"/>
        </w:rPr>
        <w:t xml:space="preserve"> to say and anything that would lead to changing the financial terms or </w:t>
      </w:r>
      <w:proofErr w:type="gramStart"/>
      <w:r w:rsidRPr="00EE5A64">
        <w:rPr>
          <w:rFonts w:ascii="Arial" w:hAnsi="Arial" w:cs="Arial"/>
        </w:rPr>
        <w:t>alter</w:t>
      </w:r>
      <w:proofErr w:type="gramEnd"/>
      <w:r w:rsidRPr="00EE5A64">
        <w:rPr>
          <w:rFonts w:ascii="Arial" w:hAnsi="Arial" w:cs="Arial"/>
        </w:rPr>
        <w:t xml:space="preserve"> the vibe of explaining the figures was simply discarded. The probability of fake numbers or delusional financial statements was not high since the analysis itself was created without the involvement of AI (</w:t>
      </w:r>
      <w:proofErr w:type="spellStart"/>
      <w:r w:rsidRPr="00EE5A64">
        <w:rPr>
          <w:rFonts w:ascii="Arial" w:hAnsi="Arial" w:cs="Arial"/>
        </w:rPr>
        <w:t>Belanche</w:t>
      </w:r>
      <w:proofErr w:type="spellEnd"/>
      <w:r w:rsidRPr="00EE5A64">
        <w:rPr>
          <w:rFonts w:ascii="Arial" w:hAnsi="Arial" w:cs="Arial"/>
        </w:rPr>
        <w:t xml:space="preserve">, </w:t>
      </w:r>
      <w:proofErr w:type="spellStart"/>
      <w:r w:rsidRPr="00EE5A64">
        <w:rPr>
          <w:rFonts w:ascii="Arial" w:hAnsi="Arial" w:cs="Arial"/>
        </w:rPr>
        <w:t>Casaló</w:t>
      </w:r>
      <w:proofErr w:type="spellEnd"/>
      <w:r w:rsidRPr="00EE5A64">
        <w:rPr>
          <w:rFonts w:ascii="Arial" w:hAnsi="Arial" w:cs="Arial"/>
        </w:rPr>
        <w:t xml:space="preserve"> and Flavián, 2026). However, I personally checked and contrasted every numerical value, ratio, and calculation with annual reports of Hilton Worldwide Holdings Inc. and compared it with the whole academic literature to ensure that nothing got away (Alameri et al., 2021). proofreading comes in handy, but the correctness of this report was never a task to which I was prepared to delegate a tool- that was my own business throughout.</w:t>
      </w:r>
    </w:p>
    <w:p w14:paraId="7304BEA7" w14:textId="77777777" w:rsidR="009D4E2F" w:rsidRDefault="00314650">
      <w:pPr>
        <w:rPr>
          <w:rFonts w:ascii="Arial" w:hAnsi="Arial" w:cs="Arial"/>
        </w:rPr>
      </w:pPr>
      <w:r>
        <w:rPr>
          <w:rFonts w:ascii="Arial" w:hAnsi="Arial" w:cs="Arial"/>
        </w:rPr>
        <w:br w:type="page"/>
      </w:r>
    </w:p>
    <w:p w14:paraId="1812F259" w14:textId="77777777" w:rsidR="009D4E2F" w:rsidRDefault="00314650">
      <w:pPr>
        <w:pStyle w:val="Heading2"/>
        <w:keepNext w:val="0"/>
        <w:keepLines w:val="0"/>
        <w:spacing w:before="280" w:after="80"/>
        <w:rPr>
          <w:rFonts w:ascii="Arial" w:hAnsi="Arial" w:cs="Arial"/>
        </w:rPr>
      </w:pPr>
      <w:bookmarkStart w:id="54" w:name="_Toc237472626"/>
      <w:r>
        <w:rPr>
          <w:rFonts w:ascii="Arial" w:hAnsi="Arial" w:cs="Arial"/>
        </w:rPr>
        <w:lastRenderedPageBreak/>
        <w:t>5.3 Contribution Analysis</w:t>
      </w:r>
      <w:bookmarkEnd w:id="54"/>
    </w:p>
    <w:p w14:paraId="29E8068B" w14:textId="77777777" w:rsidR="009D4E2F" w:rsidRDefault="00314650">
      <w:pPr>
        <w:spacing w:before="240" w:after="240"/>
        <w:rPr>
          <w:rFonts w:ascii="Arial" w:hAnsi="Arial" w:cs="Arial"/>
        </w:rPr>
      </w:pPr>
      <w:r>
        <w:rPr>
          <w:rFonts w:ascii="Arial" w:hAnsi="Arial" w:cs="Arial"/>
        </w:rPr>
        <w:t>The author is the original author of the report. The entire calculations and analysis of the financial ratios, working capital, investment appraisals, strategic financial restructuring plans, critical analysis, and recommendations were all made by the author without any author contribution and without the input of referring to the working capital, annual report of Hilton Worldwide Holdings Inc. or any other academic sources (Martinho, 2021). Financial arguments were not developed using artificial intelligen</w:t>
      </w:r>
      <w:r>
        <w:rPr>
          <w:rFonts w:ascii="Arial" w:hAnsi="Arial" w:cs="Arial"/>
        </w:rPr>
        <w:t xml:space="preserve">ce, nor were the results of the study or conclusions formulated through artificial intelligence. It only proofread, which entailed tracking </w:t>
      </w:r>
      <w:proofErr w:type="gramStart"/>
      <w:r>
        <w:rPr>
          <w:rFonts w:ascii="Arial" w:hAnsi="Arial" w:cs="Arial"/>
        </w:rPr>
        <w:t>down of</w:t>
      </w:r>
      <w:proofErr w:type="gramEnd"/>
      <w:r>
        <w:rPr>
          <w:rFonts w:ascii="Arial" w:hAnsi="Arial" w:cs="Arial"/>
        </w:rPr>
        <w:t xml:space="preserve"> grammar flaws, bettering the writing process, increasing our readability, and making the report overall more presentable. Consequently, all the analytical material, critical analysis, strategic syntheses, interpretations, conclusions and final statements are solely of intellectual input of the author and reflect a responsible approach to research and adherence to institutional academic integrity policies (AllahRakha, 2026). It has been done through clear disclosure of AI use in accordance with university g</w:t>
      </w:r>
      <w:r>
        <w:rPr>
          <w:rFonts w:ascii="Arial" w:hAnsi="Arial" w:cs="Arial"/>
        </w:rPr>
        <w:t>uidelines during the evaluation process and submission policies.</w:t>
      </w:r>
    </w:p>
    <w:p w14:paraId="454FBD8A" w14:textId="77777777" w:rsidR="009D4E2F" w:rsidRDefault="00314650">
      <w:pPr>
        <w:pStyle w:val="Heading2"/>
        <w:keepNext w:val="0"/>
        <w:keepLines w:val="0"/>
        <w:spacing w:before="280" w:after="80"/>
        <w:rPr>
          <w:rFonts w:ascii="Arial" w:hAnsi="Arial" w:cs="Arial"/>
        </w:rPr>
      </w:pPr>
      <w:bookmarkStart w:id="55" w:name="_Toc237472627"/>
      <w:r>
        <w:rPr>
          <w:rFonts w:ascii="Arial" w:hAnsi="Arial" w:cs="Arial"/>
        </w:rPr>
        <w:t>5.4 Ethical and Professional Reflection</w:t>
      </w:r>
      <w:bookmarkEnd w:id="55"/>
    </w:p>
    <w:p w14:paraId="1F273612" w14:textId="77777777" w:rsidR="009D4E2F" w:rsidRDefault="00314650">
      <w:pPr>
        <w:spacing w:before="240" w:after="240"/>
        <w:rPr>
          <w:rFonts w:ascii="Arial" w:hAnsi="Arial" w:cs="Arial"/>
        </w:rPr>
      </w:pPr>
      <w:r>
        <w:rPr>
          <w:rFonts w:ascii="Arial" w:hAnsi="Arial" w:cs="Arial"/>
        </w:rPr>
        <w:t xml:space="preserve">In both academic and professional financial practice, responsibility as of AI use is necessary. AI as a tool only to aid in proofreading does not affect academic integrity or independent critical thinking. It is essential to be transparent in terms of the use of AI to be honest and preserve trust in the originality of the work provided (Deep and Chen, 2025). Moreover, sensitive financial data must never be disregarded </w:t>
      </w:r>
      <w:proofErr w:type="gramStart"/>
      <w:r>
        <w:rPr>
          <w:rFonts w:ascii="Arial" w:hAnsi="Arial" w:cs="Arial"/>
        </w:rPr>
        <w:t>in order to</w:t>
      </w:r>
      <w:proofErr w:type="gramEnd"/>
      <w:r>
        <w:rPr>
          <w:rFonts w:ascii="Arial" w:hAnsi="Arial" w:cs="Arial"/>
        </w:rPr>
        <w:t xml:space="preserve"> ensure </w:t>
      </w:r>
      <w:proofErr w:type="spellStart"/>
      <w:r>
        <w:rPr>
          <w:rFonts w:ascii="Arial" w:hAnsi="Arial" w:cs="Arial"/>
        </w:rPr>
        <w:t>organisational</w:t>
      </w:r>
      <w:proofErr w:type="spellEnd"/>
      <w:r>
        <w:rPr>
          <w:rFonts w:ascii="Arial" w:hAnsi="Arial" w:cs="Arial"/>
        </w:rPr>
        <w:t xml:space="preserve"> data privacy as well as adhere to professional practice. When making executive-level decisions, financial professionals must not over-use AI because strategic financial planning involves professional judgement, ethical decision-making, and situational analysis that cannot be automated by automated systems (</w:t>
      </w:r>
      <w:proofErr w:type="spellStart"/>
      <w:r>
        <w:rPr>
          <w:rFonts w:ascii="Arial" w:hAnsi="Arial" w:cs="Arial"/>
        </w:rPr>
        <w:t>Diro</w:t>
      </w:r>
      <w:proofErr w:type="spellEnd"/>
      <w:r>
        <w:rPr>
          <w:rFonts w:ascii="Arial" w:hAnsi="Arial" w:cs="Arial"/>
        </w:rPr>
        <w:t xml:space="preserve"> et al., 2025). Thus, AI needs to be considered as a complementary tool to enhance written communication, but it is not a replacement </w:t>
      </w:r>
      <w:proofErr w:type="gramStart"/>
      <w:r>
        <w:rPr>
          <w:rFonts w:ascii="Arial" w:hAnsi="Arial" w:cs="Arial"/>
        </w:rPr>
        <w:t>of</w:t>
      </w:r>
      <w:proofErr w:type="gramEnd"/>
      <w:r>
        <w:rPr>
          <w:rFonts w:ascii="Arial" w:hAnsi="Arial" w:cs="Arial"/>
        </w:rPr>
        <w:t xml:space="preserve"> independent financial analytical research.</w:t>
      </w:r>
    </w:p>
    <w:p w14:paraId="6C3CF5F1" w14:textId="77777777" w:rsidR="009D4E2F" w:rsidRDefault="00314650">
      <w:pPr>
        <w:pStyle w:val="Heading1"/>
        <w:keepNext w:val="0"/>
        <w:keepLines w:val="0"/>
        <w:spacing w:before="360" w:after="80"/>
        <w:rPr>
          <w:rFonts w:ascii="Arial" w:hAnsi="Arial" w:cs="Arial"/>
          <w:sz w:val="24"/>
          <w:szCs w:val="24"/>
        </w:rPr>
      </w:pPr>
      <w:bookmarkStart w:id="56" w:name="_Toc237472628"/>
      <w:r>
        <w:rPr>
          <w:rFonts w:ascii="Arial" w:hAnsi="Arial" w:cs="Arial"/>
          <w:sz w:val="24"/>
          <w:szCs w:val="24"/>
        </w:rPr>
        <w:lastRenderedPageBreak/>
        <w:t>Reference List</w:t>
      </w:r>
      <w:bookmarkEnd w:id="56"/>
    </w:p>
    <w:p w14:paraId="79B40640" w14:textId="77777777" w:rsidR="009D4E2F" w:rsidRDefault="00314650">
      <w:pPr>
        <w:spacing w:after="240"/>
        <w:rPr>
          <w:rFonts w:ascii="Arial" w:hAnsi="Arial" w:cs="Arial"/>
        </w:rPr>
      </w:pPr>
      <w:r>
        <w:rPr>
          <w:rFonts w:ascii="Arial" w:hAnsi="Arial" w:cs="Arial"/>
        </w:rPr>
        <w:t xml:space="preserve">Ahmed, O. and Khalaf, B.A. (2025) “The Impact of ESG on Firm Value: The Moderating Role of Cash Holdings,” </w:t>
      </w:r>
      <w:proofErr w:type="spellStart"/>
      <w:r>
        <w:rPr>
          <w:rFonts w:ascii="Arial" w:hAnsi="Arial" w:cs="Arial"/>
          <w:i/>
          <w:iCs/>
        </w:rPr>
        <w:t>Heliyon</w:t>
      </w:r>
      <w:proofErr w:type="spellEnd"/>
      <w:r>
        <w:rPr>
          <w:rFonts w:ascii="Arial" w:hAnsi="Arial" w:cs="Arial"/>
        </w:rPr>
        <w:t xml:space="preserve">, 11(2), p. e41868. Available at: </w:t>
      </w:r>
      <w:hyperlink r:id="rId30">
        <w:r w:rsidR="009D4E2F">
          <w:rPr>
            <w:rFonts w:ascii="Arial" w:hAnsi="Arial" w:cs="Arial"/>
            <w:color w:val="1155CC"/>
            <w:u w:val="single"/>
          </w:rPr>
          <w:t>https://doi.org/10.1016/j.heliyon.2025.e41868</w:t>
        </w:r>
      </w:hyperlink>
      <w:r>
        <w:rPr>
          <w:rFonts w:ascii="Arial" w:hAnsi="Arial" w:cs="Arial"/>
        </w:rPr>
        <w:t xml:space="preserve">. </w:t>
      </w:r>
    </w:p>
    <w:p w14:paraId="0A60AE14" w14:textId="77777777" w:rsidR="009D4E2F" w:rsidRDefault="00314650">
      <w:pPr>
        <w:spacing w:after="240"/>
        <w:rPr>
          <w:rFonts w:ascii="Arial" w:hAnsi="Arial" w:cs="Arial"/>
        </w:rPr>
      </w:pPr>
      <w:r>
        <w:rPr>
          <w:rFonts w:ascii="Arial" w:hAnsi="Arial" w:cs="Arial"/>
        </w:rPr>
        <w:t xml:space="preserve">Alameri, M., </w:t>
      </w:r>
      <w:proofErr w:type="spellStart"/>
      <w:r>
        <w:rPr>
          <w:rFonts w:ascii="Arial" w:hAnsi="Arial" w:cs="Arial"/>
        </w:rPr>
        <w:t>Alshamsi</w:t>
      </w:r>
      <w:proofErr w:type="spellEnd"/>
      <w:r>
        <w:rPr>
          <w:rFonts w:ascii="Arial" w:hAnsi="Arial" w:cs="Arial"/>
        </w:rPr>
        <w:t xml:space="preserve">, F., Alsaedi, S., Alkaabi, A., Alamri, R., </w:t>
      </w:r>
      <w:proofErr w:type="spellStart"/>
      <w:r>
        <w:rPr>
          <w:rFonts w:ascii="Arial" w:hAnsi="Arial" w:cs="Arial"/>
        </w:rPr>
        <w:t>Alshamsi</w:t>
      </w:r>
      <w:proofErr w:type="spellEnd"/>
      <w:r>
        <w:rPr>
          <w:rFonts w:ascii="Arial" w:hAnsi="Arial" w:cs="Arial"/>
        </w:rPr>
        <w:t xml:space="preserve">, M. and </w:t>
      </w:r>
      <w:proofErr w:type="spellStart"/>
      <w:r>
        <w:rPr>
          <w:rFonts w:ascii="Arial" w:hAnsi="Arial" w:cs="Arial"/>
        </w:rPr>
        <w:t>Nobanee</w:t>
      </w:r>
      <w:proofErr w:type="spellEnd"/>
      <w:r>
        <w:rPr>
          <w:rFonts w:ascii="Arial" w:hAnsi="Arial" w:cs="Arial"/>
        </w:rPr>
        <w:t xml:space="preserve">, H. (2021) “Financial Analysis of Hilton Holdings,” </w:t>
      </w:r>
      <w:r>
        <w:rPr>
          <w:rFonts w:ascii="Arial" w:hAnsi="Arial" w:cs="Arial"/>
          <w:i/>
          <w:iCs/>
        </w:rPr>
        <w:t>SSRN Electronic Journal</w:t>
      </w:r>
      <w:r>
        <w:rPr>
          <w:rFonts w:ascii="Arial" w:hAnsi="Arial" w:cs="Arial"/>
        </w:rPr>
        <w:t xml:space="preserve"> [Preprint]. Available at: </w:t>
      </w:r>
      <w:hyperlink r:id="rId31">
        <w:r w:rsidR="009D4E2F">
          <w:rPr>
            <w:rFonts w:ascii="Arial" w:hAnsi="Arial" w:cs="Arial"/>
            <w:color w:val="1155CC"/>
            <w:u w:val="single"/>
          </w:rPr>
          <w:t>https://doi.org/10.2139/ssrn.3930493</w:t>
        </w:r>
      </w:hyperlink>
      <w:r>
        <w:rPr>
          <w:rFonts w:ascii="Arial" w:hAnsi="Arial" w:cs="Arial"/>
        </w:rPr>
        <w:t xml:space="preserve">. </w:t>
      </w:r>
    </w:p>
    <w:p w14:paraId="3A02ED3D" w14:textId="77777777" w:rsidR="009D4E2F" w:rsidRDefault="00314650">
      <w:pPr>
        <w:spacing w:after="240"/>
        <w:rPr>
          <w:rFonts w:ascii="Arial" w:hAnsi="Arial" w:cs="Arial"/>
        </w:rPr>
      </w:pPr>
      <w:r>
        <w:rPr>
          <w:rFonts w:ascii="Arial" w:hAnsi="Arial" w:cs="Arial"/>
        </w:rPr>
        <w:t xml:space="preserve">Ali, R. (2024) </w:t>
      </w:r>
      <w:r>
        <w:rPr>
          <w:rFonts w:ascii="Arial" w:hAnsi="Arial" w:cs="Arial"/>
          <w:i/>
          <w:iCs/>
        </w:rPr>
        <w:t>Hospitality Financial Management: A Complete Guide</w:t>
      </w:r>
      <w:r>
        <w:rPr>
          <w:rFonts w:ascii="Arial" w:hAnsi="Arial" w:cs="Arial"/>
        </w:rPr>
        <w:t xml:space="preserve">, </w:t>
      </w:r>
      <w:r>
        <w:rPr>
          <w:rFonts w:ascii="Arial" w:hAnsi="Arial" w:cs="Arial"/>
          <w:i/>
          <w:iCs/>
        </w:rPr>
        <w:t>Oracle NetSuite</w:t>
      </w:r>
      <w:r>
        <w:rPr>
          <w:rFonts w:ascii="Arial" w:hAnsi="Arial" w:cs="Arial"/>
        </w:rPr>
        <w:t xml:space="preserve">. Available at: </w:t>
      </w:r>
      <w:hyperlink r:id="rId32">
        <w:r w:rsidR="009D4E2F">
          <w:rPr>
            <w:rFonts w:ascii="Arial" w:hAnsi="Arial" w:cs="Arial"/>
            <w:color w:val="1155CC"/>
            <w:u w:val="single"/>
          </w:rPr>
          <w:t>https://www.netsuite.com/portal/resource/articles/financial-management/hospitality-financial-management.shtml</w:t>
        </w:r>
      </w:hyperlink>
      <w:r>
        <w:rPr>
          <w:rFonts w:ascii="Arial" w:hAnsi="Arial" w:cs="Arial"/>
        </w:rPr>
        <w:t xml:space="preserve"> </w:t>
      </w:r>
    </w:p>
    <w:p w14:paraId="1D540AF0" w14:textId="77777777" w:rsidR="009D4E2F" w:rsidRDefault="00314650">
      <w:pPr>
        <w:spacing w:after="240"/>
        <w:rPr>
          <w:rFonts w:ascii="Arial" w:hAnsi="Arial" w:cs="Arial"/>
        </w:rPr>
      </w:pPr>
      <w:r>
        <w:rPr>
          <w:rFonts w:ascii="Arial" w:hAnsi="Arial" w:cs="Arial"/>
        </w:rPr>
        <w:t xml:space="preserve">AllahRakha, N. (2026) “Accuracy, reliability, and regulatory concerns in the use of AI tools in education and research,” </w:t>
      </w:r>
      <w:r>
        <w:rPr>
          <w:rFonts w:ascii="Arial" w:hAnsi="Arial" w:cs="Arial"/>
          <w:i/>
          <w:iCs/>
        </w:rPr>
        <w:t>Social Sciences &amp; Humanities Open</w:t>
      </w:r>
      <w:r>
        <w:rPr>
          <w:rFonts w:ascii="Arial" w:hAnsi="Arial" w:cs="Arial"/>
        </w:rPr>
        <w:t xml:space="preserve">, 14, p. 103102. Available at: </w:t>
      </w:r>
      <w:hyperlink r:id="rId33">
        <w:r w:rsidR="009D4E2F">
          <w:rPr>
            <w:rFonts w:ascii="Arial" w:hAnsi="Arial" w:cs="Arial"/>
            <w:color w:val="1155CC"/>
            <w:u w:val="single"/>
          </w:rPr>
          <w:t>https://doi.org/10.1016/j.ssaho.2026.103102</w:t>
        </w:r>
      </w:hyperlink>
      <w:r>
        <w:rPr>
          <w:rFonts w:ascii="Arial" w:hAnsi="Arial" w:cs="Arial"/>
        </w:rPr>
        <w:t xml:space="preserve">. </w:t>
      </w:r>
    </w:p>
    <w:p w14:paraId="3C34617E" w14:textId="77777777" w:rsidR="009D4E2F" w:rsidRDefault="00314650">
      <w:pPr>
        <w:spacing w:after="240"/>
        <w:rPr>
          <w:rFonts w:ascii="Arial" w:hAnsi="Arial" w:cs="Arial"/>
        </w:rPr>
      </w:pPr>
      <w:r>
        <w:rPr>
          <w:rFonts w:ascii="Arial" w:hAnsi="Arial" w:cs="Arial"/>
        </w:rPr>
        <w:t xml:space="preserve">Auro del Giglio and Mateus (2023) “The use of artificial intelligence to improve the scientific writing of non-native </w:t>
      </w:r>
      <w:proofErr w:type="spellStart"/>
      <w:r>
        <w:rPr>
          <w:rFonts w:ascii="Arial" w:hAnsi="Arial" w:cs="Arial"/>
        </w:rPr>
        <w:t>english</w:t>
      </w:r>
      <w:proofErr w:type="spellEnd"/>
      <w:r>
        <w:rPr>
          <w:rFonts w:ascii="Arial" w:hAnsi="Arial" w:cs="Arial"/>
        </w:rPr>
        <w:t xml:space="preserve"> speakers,” </w:t>
      </w:r>
      <w:r>
        <w:rPr>
          <w:rFonts w:ascii="Arial" w:hAnsi="Arial" w:cs="Arial"/>
          <w:i/>
          <w:iCs/>
        </w:rPr>
        <w:t xml:space="preserve">Revista Da </w:t>
      </w:r>
      <w:proofErr w:type="spellStart"/>
      <w:r>
        <w:rPr>
          <w:rFonts w:ascii="Arial" w:hAnsi="Arial" w:cs="Arial"/>
          <w:i/>
          <w:iCs/>
        </w:rPr>
        <w:t>Associacao</w:t>
      </w:r>
      <w:proofErr w:type="spellEnd"/>
      <w:r>
        <w:rPr>
          <w:rFonts w:ascii="Arial" w:hAnsi="Arial" w:cs="Arial"/>
          <w:i/>
          <w:iCs/>
        </w:rPr>
        <w:t xml:space="preserve"> Medica Brasileira</w:t>
      </w:r>
      <w:r>
        <w:rPr>
          <w:rFonts w:ascii="Arial" w:hAnsi="Arial" w:cs="Arial"/>
        </w:rPr>
        <w:t xml:space="preserve">, 69(9). Available at: </w:t>
      </w:r>
      <w:hyperlink r:id="rId34">
        <w:r w:rsidR="009D4E2F">
          <w:rPr>
            <w:rFonts w:ascii="Arial" w:hAnsi="Arial" w:cs="Arial"/>
            <w:color w:val="1155CC"/>
            <w:u w:val="single"/>
          </w:rPr>
          <w:t>https://doi.org/10.1590/1806-9282.20230560</w:t>
        </w:r>
      </w:hyperlink>
      <w:r>
        <w:rPr>
          <w:rFonts w:ascii="Arial" w:hAnsi="Arial" w:cs="Arial"/>
        </w:rPr>
        <w:t xml:space="preserve">. </w:t>
      </w:r>
    </w:p>
    <w:p w14:paraId="408D037A" w14:textId="77777777" w:rsidR="009D4E2F" w:rsidRDefault="00314650">
      <w:pPr>
        <w:spacing w:after="240"/>
        <w:rPr>
          <w:rFonts w:ascii="Arial" w:hAnsi="Arial" w:cs="Arial"/>
        </w:rPr>
      </w:pPr>
      <w:r>
        <w:rPr>
          <w:rFonts w:ascii="Arial" w:hAnsi="Arial" w:cs="Arial"/>
        </w:rPr>
        <w:t xml:space="preserve">Austin, N. and </w:t>
      </w:r>
      <w:proofErr w:type="spellStart"/>
      <w:r>
        <w:rPr>
          <w:rFonts w:ascii="Arial" w:hAnsi="Arial" w:cs="Arial"/>
        </w:rPr>
        <w:t>Phalippou</w:t>
      </w:r>
      <w:proofErr w:type="spellEnd"/>
      <w:r>
        <w:rPr>
          <w:rFonts w:ascii="Arial" w:hAnsi="Arial" w:cs="Arial"/>
        </w:rPr>
        <w:t xml:space="preserve">, L. (2022) “Decomposing value gains – The case of the best leveraged buy-out ever,” </w:t>
      </w:r>
      <w:r>
        <w:rPr>
          <w:rFonts w:ascii="Arial" w:hAnsi="Arial" w:cs="Arial"/>
          <w:i/>
          <w:iCs/>
        </w:rPr>
        <w:t>Journal of Corporate Finance</w:t>
      </w:r>
      <w:r>
        <w:rPr>
          <w:rFonts w:ascii="Arial" w:hAnsi="Arial" w:cs="Arial"/>
        </w:rPr>
        <w:t xml:space="preserve">, 81, p. 102317. Available at: </w:t>
      </w:r>
      <w:hyperlink r:id="rId35">
        <w:r w:rsidR="009D4E2F">
          <w:rPr>
            <w:rFonts w:ascii="Arial" w:hAnsi="Arial" w:cs="Arial"/>
            <w:color w:val="1155CC"/>
            <w:u w:val="single"/>
          </w:rPr>
          <w:t>https://doi.org/10.1016/j.jcorpfin.2022.102317</w:t>
        </w:r>
      </w:hyperlink>
      <w:r>
        <w:rPr>
          <w:rFonts w:ascii="Arial" w:hAnsi="Arial" w:cs="Arial"/>
        </w:rPr>
        <w:t xml:space="preserve">. </w:t>
      </w:r>
    </w:p>
    <w:p w14:paraId="7CCB3DF4" w14:textId="77777777" w:rsidR="009D4E2F" w:rsidRDefault="00314650">
      <w:pPr>
        <w:spacing w:after="240"/>
        <w:rPr>
          <w:rFonts w:ascii="Arial" w:hAnsi="Arial" w:cs="Arial"/>
        </w:rPr>
      </w:pPr>
      <w:r>
        <w:rPr>
          <w:rFonts w:ascii="Arial" w:hAnsi="Arial" w:cs="Arial"/>
        </w:rPr>
        <w:t xml:space="preserve">Barnabas, B. and Oloyede, J. (2025) “Cash Flow Optimization: Strategies for Enhancing Short-Term Liquidity,” </w:t>
      </w:r>
      <w:r>
        <w:rPr>
          <w:rFonts w:ascii="Arial" w:hAnsi="Arial" w:cs="Arial"/>
          <w:i/>
          <w:iCs/>
        </w:rPr>
        <w:t>Cash Flow Optimization: Strategies for Enhancing Short-Term Liquidity</w:t>
      </w:r>
      <w:r>
        <w:rPr>
          <w:rFonts w:ascii="Arial" w:hAnsi="Arial" w:cs="Arial"/>
        </w:rPr>
        <w:t xml:space="preserve"> [Preprint]. Available at: </w:t>
      </w:r>
      <w:hyperlink r:id="rId36">
        <w:r w:rsidR="009D4E2F">
          <w:rPr>
            <w:rFonts w:ascii="Arial" w:hAnsi="Arial" w:cs="Arial"/>
            <w:color w:val="1155CC"/>
            <w:u w:val="single"/>
          </w:rPr>
          <w:t>https://doi.org/10.2139/ssrn.5004465</w:t>
        </w:r>
      </w:hyperlink>
      <w:r>
        <w:rPr>
          <w:rFonts w:ascii="Arial" w:hAnsi="Arial" w:cs="Arial"/>
        </w:rPr>
        <w:t xml:space="preserve">. </w:t>
      </w:r>
    </w:p>
    <w:p w14:paraId="1C14A34B" w14:textId="77777777" w:rsidR="009D4E2F" w:rsidRDefault="00314650">
      <w:pPr>
        <w:spacing w:after="240"/>
        <w:rPr>
          <w:rFonts w:ascii="Arial" w:hAnsi="Arial" w:cs="Arial"/>
        </w:rPr>
      </w:pPr>
      <w:r>
        <w:rPr>
          <w:rFonts w:ascii="Arial" w:hAnsi="Arial" w:cs="Arial"/>
        </w:rPr>
        <w:t xml:space="preserve">BBVA (2025) </w:t>
      </w:r>
      <w:r>
        <w:rPr>
          <w:rFonts w:ascii="Arial" w:hAnsi="Arial" w:cs="Arial"/>
          <w:i/>
          <w:iCs/>
        </w:rPr>
        <w:t xml:space="preserve">What is a RCF or Revolving Credit </w:t>
      </w:r>
      <w:proofErr w:type="gramStart"/>
      <w:r>
        <w:rPr>
          <w:rFonts w:ascii="Arial" w:hAnsi="Arial" w:cs="Arial"/>
          <w:i/>
          <w:iCs/>
        </w:rPr>
        <w:t>Facility?</w:t>
      </w:r>
      <w:r>
        <w:rPr>
          <w:rFonts w:ascii="Arial" w:hAnsi="Arial" w:cs="Arial"/>
        </w:rPr>
        <w:t>,</w:t>
      </w:r>
      <w:proofErr w:type="gramEnd"/>
      <w:r>
        <w:rPr>
          <w:rFonts w:ascii="Arial" w:hAnsi="Arial" w:cs="Arial"/>
        </w:rPr>
        <w:t xml:space="preserve"> </w:t>
      </w:r>
      <w:r>
        <w:rPr>
          <w:rFonts w:ascii="Arial" w:hAnsi="Arial" w:cs="Arial"/>
          <w:i/>
          <w:iCs/>
        </w:rPr>
        <w:t>NEWS BBVA</w:t>
      </w:r>
      <w:r>
        <w:rPr>
          <w:rFonts w:ascii="Arial" w:hAnsi="Arial" w:cs="Arial"/>
        </w:rPr>
        <w:t xml:space="preserve">. BBVA. Available at: </w:t>
      </w:r>
      <w:hyperlink r:id="rId37">
        <w:r w:rsidR="009D4E2F">
          <w:rPr>
            <w:rFonts w:ascii="Arial" w:hAnsi="Arial" w:cs="Arial"/>
            <w:color w:val="1155CC"/>
            <w:u w:val="single"/>
          </w:rPr>
          <w:t>https://www.bbva.com/en/economy-and-finance/what-is-a-rcf-or-revolving-credit-facility/</w:t>
        </w:r>
      </w:hyperlink>
      <w:r>
        <w:rPr>
          <w:rFonts w:ascii="Arial" w:hAnsi="Arial" w:cs="Arial"/>
        </w:rPr>
        <w:t xml:space="preserve"> </w:t>
      </w:r>
    </w:p>
    <w:p w14:paraId="5EC92C37" w14:textId="77777777" w:rsidR="009D4E2F" w:rsidRDefault="00314650">
      <w:pPr>
        <w:spacing w:after="240"/>
        <w:rPr>
          <w:rFonts w:ascii="Arial" w:hAnsi="Arial" w:cs="Arial"/>
        </w:rPr>
      </w:pPr>
      <w:r>
        <w:rPr>
          <w:rFonts w:ascii="Arial" w:hAnsi="Arial" w:cs="Arial"/>
        </w:rPr>
        <w:lastRenderedPageBreak/>
        <w:t xml:space="preserve">BCG Global (2023) </w:t>
      </w:r>
      <w:r>
        <w:rPr>
          <w:rFonts w:ascii="Arial" w:hAnsi="Arial" w:cs="Arial"/>
          <w:i/>
          <w:iCs/>
        </w:rPr>
        <w:t>A Resilient Balance Sheet Pays Off in Uncertain Times</w:t>
      </w:r>
      <w:r>
        <w:rPr>
          <w:rFonts w:ascii="Arial" w:hAnsi="Arial" w:cs="Arial"/>
        </w:rPr>
        <w:t xml:space="preserve">, </w:t>
      </w:r>
      <w:r>
        <w:rPr>
          <w:rFonts w:ascii="Arial" w:hAnsi="Arial" w:cs="Arial"/>
          <w:i/>
          <w:iCs/>
        </w:rPr>
        <w:t>BCG Global</w:t>
      </w:r>
      <w:r>
        <w:rPr>
          <w:rFonts w:ascii="Arial" w:hAnsi="Arial" w:cs="Arial"/>
        </w:rPr>
        <w:t xml:space="preserve">. Available at: </w:t>
      </w:r>
      <w:hyperlink r:id="rId38">
        <w:r w:rsidR="009D4E2F">
          <w:rPr>
            <w:rFonts w:ascii="Arial" w:hAnsi="Arial" w:cs="Arial"/>
            <w:color w:val="1155CC"/>
            <w:u w:val="single"/>
          </w:rPr>
          <w:t>https://www.bcg.com/publications/2023/why-a-resilient-balance-sheet-is-critical-to-creating-value</w:t>
        </w:r>
      </w:hyperlink>
      <w:r>
        <w:rPr>
          <w:rFonts w:ascii="Arial" w:hAnsi="Arial" w:cs="Arial"/>
        </w:rPr>
        <w:t xml:space="preserve"> </w:t>
      </w:r>
    </w:p>
    <w:p w14:paraId="66B22E1E" w14:textId="77777777" w:rsidR="009D4E2F" w:rsidRDefault="00314650">
      <w:pPr>
        <w:spacing w:after="240"/>
        <w:rPr>
          <w:rFonts w:ascii="Arial" w:hAnsi="Arial" w:cs="Arial"/>
        </w:rPr>
      </w:pPr>
      <w:proofErr w:type="spellStart"/>
      <w:r>
        <w:rPr>
          <w:rFonts w:ascii="Arial" w:hAnsi="Arial" w:cs="Arial"/>
        </w:rPr>
        <w:t>Belanche</w:t>
      </w:r>
      <w:proofErr w:type="spellEnd"/>
      <w:r>
        <w:rPr>
          <w:rFonts w:ascii="Arial" w:hAnsi="Arial" w:cs="Arial"/>
        </w:rPr>
        <w:t xml:space="preserve">, D., </w:t>
      </w:r>
      <w:proofErr w:type="spellStart"/>
      <w:r>
        <w:rPr>
          <w:rFonts w:ascii="Arial" w:hAnsi="Arial" w:cs="Arial"/>
        </w:rPr>
        <w:t>Casaló</w:t>
      </w:r>
      <w:proofErr w:type="spellEnd"/>
      <w:r>
        <w:rPr>
          <w:rFonts w:ascii="Arial" w:hAnsi="Arial" w:cs="Arial"/>
        </w:rPr>
        <w:t xml:space="preserve">, L.V. and Flavián, C. (2026) “When AI Fails: The Impacts of Hallucinations and Service Errors on Customer Loyalty and Word of Mouth,” </w:t>
      </w:r>
      <w:r>
        <w:rPr>
          <w:rFonts w:ascii="Arial" w:hAnsi="Arial" w:cs="Arial"/>
          <w:i/>
          <w:iCs/>
        </w:rPr>
        <w:t>Journal of Travel Research</w:t>
      </w:r>
      <w:r>
        <w:rPr>
          <w:rFonts w:ascii="Arial" w:hAnsi="Arial" w:cs="Arial"/>
        </w:rPr>
        <w:t xml:space="preserve"> [Preprint]. Available at: </w:t>
      </w:r>
      <w:hyperlink r:id="rId39">
        <w:r w:rsidR="009D4E2F">
          <w:rPr>
            <w:rFonts w:ascii="Arial" w:hAnsi="Arial" w:cs="Arial"/>
            <w:color w:val="1155CC"/>
            <w:u w:val="single"/>
          </w:rPr>
          <w:t>https://doi.org/10.1177/00472875261456334</w:t>
        </w:r>
      </w:hyperlink>
      <w:r>
        <w:rPr>
          <w:rFonts w:ascii="Arial" w:hAnsi="Arial" w:cs="Arial"/>
        </w:rPr>
        <w:t xml:space="preserve">. </w:t>
      </w:r>
    </w:p>
    <w:p w14:paraId="5CA02391" w14:textId="77777777" w:rsidR="009D4E2F" w:rsidRDefault="00314650">
      <w:pPr>
        <w:spacing w:after="240"/>
        <w:rPr>
          <w:rFonts w:ascii="Arial" w:hAnsi="Arial" w:cs="Arial"/>
        </w:rPr>
      </w:pPr>
      <w:r>
        <w:rPr>
          <w:rFonts w:ascii="Arial" w:hAnsi="Arial" w:cs="Arial"/>
        </w:rPr>
        <w:t xml:space="preserve">Business Wire (2026) </w:t>
      </w:r>
      <w:r>
        <w:rPr>
          <w:rFonts w:ascii="Arial" w:hAnsi="Arial" w:cs="Arial"/>
          <w:i/>
          <w:iCs/>
        </w:rPr>
        <w:t>Hilton Reports First Quarter Results; Raises Full Year Outlook</w:t>
      </w:r>
      <w:r>
        <w:rPr>
          <w:rFonts w:ascii="Arial" w:hAnsi="Arial" w:cs="Arial"/>
        </w:rPr>
        <w:t xml:space="preserve">. Available at: </w:t>
      </w:r>
      <w:hyperlink r:id="rId40">
        <w:r w:rsidR="009D4E2F">
          <w:rPr>
            <w:rFonts w:ascii="Arial" w:hAnsi="Arial" w:cs="Arial"/>
            <w:color w:val="1155CC"/>
            <w:u w:val="single"/>
          </w:rPr>
          <w:t>https://www.businesswire.com/news/home/20260428679863/en/Hilton-Reports-First-Quarter-Results-Raises-Full-Year-Outlook</w:t>
        </w:r>
      </w:hyperlink>
      <w:r>
        <w:rPr>
          <w:rFonts w:ascii="Arial" w:hAnsi="Arial" w:cs="Arial"/>
        </w:rPr>
        <w:t xml:space="preserve">. </w:t>
      </w:r>
    </w:p>
    <w:p w14:paraId="06815662" w14:textId="77777777" w:rsidR="009D4E2F" w:rsidRDefault="00314650">
      <w:pPr>
        <w:spacing w:after="240"/>
        <w:rPr>
          <w:rFonts w:ascii="Arial" w:hAnsi="Arial" w:cs="Arial"/>
        </w:rPr>
      </w:pPr>
      <w:r>
        <w:rPr>
          <w:rFonts w:ascii="Arial" w:hAnsi="Arial" w:cs="Arial"/>
        </w:rPr>
        <w:t xml:space="preserve">CFI Team (2023) </w:t>
      </w:r>
      <w:r>
        <w:rPr>
          <w:rFonts w:ascii="Arial" w:hAnsi="Arial" w:cs="Arial"/>
          <w:i/>
          <w:iCs/>
        </w:rPr>
        <w:t>Net Present Value Rule</w:t>
      </w:r>
      <w:r>
        <w:rPr>
          <w:rFonts w:ascii="Arial" w:hAnsi="Arial" w:cs="Arial"/>
        </w:rPr>
        <w:t xml:space="preserve">, </w:t>
      </w:r>
      <w:r>
        <w:rPr>
          <w:rFonts w:ascii="Arial" w:hAnsi="Arial" w:cs="Arial"/>
          <w:i/>
          <w:iCs/>
        </w:rPr>
        <w:t>Corporate Finance Institute</w:t>
      </w:r>
      <w:r>
        <w:rPr>
          <w:rFonts w:ascii="Arial" w:hAnsi="Arial" w:cs="Arial"/>
        </w:rPr>
        <w:t xml:space="preserve">. Available at: </w:t>
      </w:r>
      <w:hyperlink r:id="rId41">
        <w:r w:rsidR="009D4E2F">
          <w:rPr>
            <w:rFonts w:ascii="Arial" w:hAnsi="Arial" w:cs="Arial"/>
            <w:color w:val="1155CC"/>
            <w:u w:val="single"/>
          </w:rPr>
          <w:t>https://corporatefinanceinstitute.com/resources/valuation/net-present-value-rule/</w:t>
        </w:r>
      </w:hyperlink>
      <w:r>
        <w:rPr>
          <w:rFonts w:ascii="Arial" w:hAnsi="Arial" w:cs="Arial"/>
        </w:rPr>
        <w:t xml:space="preserve"> </w:t>
      </w:r>
    </w:p>
    <w:p w14:paraId="2ADBA5E0" w14:textId="77777777" w:rsidR="009D4E2F" w:rsidRDefault="00314650">
      <w:pPr>
        <w:spacing w:after="240"/>
        <w:rPr>
          <w:rFonts w:ascii="Arial" w:hAnsi="Arial" w:cs="Arial"/>
        </w:rPr>
      </w:pPr>
      <w:r>
        <w:rPr>
          <w:rFonts w:ascii="Arial" w:hAnsi="Arial" w:cs="Arial"/>
        </w:rPr>
        <w:t xml:space="preserve">Chura, S. (2026) </w:t>
      </w:r>
      <w:r>
        <w:rPr>
          <w:rFonts w:ascii="Arial" w:hAnsi="Arial" w:cs="Arial"/>
          <w:i/>
          <w:iCs/>
        </w:rPr>
        <w:t>Overview of sustainability-linked loans – Vinod Kothari Consultants</w:t>
      </w:r>
      <w:r>
        <w:rPr>
          <w:rFonts w:ascii="Arial" w:hAnsi="Arial" w:cs="Arial"/>
        </w:rPr>
        <w:t xml:space="preserve">. Available at: </w:t>
      </w:r>
      <w:hyperlink r:id="rId42">
        <w:r w:rsidR="009D4E2F">
          <w:rPr>
            <w:rFonts w:ascii="Arial" w:hAnsi="Arial" w:cs="Arial"/>
            <w:color w:val="1155CC"/>
            <w:u w:val="single"/>
          </w:rPr>
          <w:t>https://vinodkothari.com/2024/03/overview-of-sustainability-linked-loans/</w:t>
        </w:r>
      </w:hyperlink>
      <w:r>
        <w:rPr>
          <w:rFonts w:ascii="Arial" w:hAnsi="Arial" w:cs="Arial"/>
        </w:rPr>
        <w:t xml:space="preserve"> </w:t>
      </w:r>
    </w:p>
    <w:p w14:paraId="477745A9" w14:textId="77777777" w:rsidR="009D4E2F" w:rsidRDefault="00314650">
      <w:pPr>
        <w:spacing w:after="240"/>
        <w:rPr>
          <w:rFonts w:ascii="Arial" w:hAnsi="Arial" w:cs="Arial"/>
        </w:rPr>
      </w:pPr>
      <w:r>
        <w:rPr>
          <w:rFonts w:ascii="Arial" w:hAnsi="Arial" w:cs="Arial"/>
        </w:rPr>
        <w:t xml:space="preserve">Conrad, R. and Arzana (2024) </w:t>
      </w:r>
      <w:r>
        <w:rPr>
          <w:rFonts w:ascii="Arial" w:hAnsi="Arial" w:cs="Arial"/>
          <w:i/>
          <w:iCs/>
        </w:rPr>
        <w:t>Travel with Purpose 2024 Report</w:t>
      </w:r>
      <w:r>
        <w:rPr>
          <w:rFonts w:ascii="Arial" w:hAnsi="Arial" w:cs="Arial"/>
        </w:rPr>
        <w:t xml:space="preserve">. Available at: </w:t>
      </w:r>
      <w:hyperlink r:id="rId43">
        <w:r w:rsidR="009D4E2F">
          <w:rPr>
            <w:rFonts w:ascii="Arial" w:hAnsi="Arial" w:cs="Arial"/>
            <w:color w:val="1155CC"/>
            <w:u w:val="single"/>
          </w:rPr>
          <w:t>https://travelwithpurpose.hilton.com/wp-content/uploads/sites/4/2025/06/2024Report.pdf</w:t>
        </w:r>
      </w:hyperlink>
      <w:r>
        <w:rPr>
          <w:rFonts w:ascii="Arial" w:hAnsi="Arial" w:cs="Arial"/>
        </w:rPr>
        <w:t xml:space="preserve"> </w:t>
      </w:r>
    </w:p>
    <w:p w14:paraId="45B84294" w14:textId="77777777" w:rsidR="009D4E2F" w:rsidRDefault="00314650">
      <w:pPr>
        <w:spacing w:after="240"/>
        <w:rPr>
          <w:rFonts w:ascii="Arial" w:hAnsi="Arial" w:cs="Arial"/>
        </w:rPr>
      </w:pPr>
      <w:r>
        <w:rPr>
          <w:rFonts w:ascii="Arial" w:hAnsi="Arial" w:cs="Arial"/>
        </w:rPr>
        <w:t xml:space="preserve">Deep, P. Das and Chen, Y. (2025) “The Role of AI in Academic Writing: Impacts on Writing Skills, Critical Thinking, and Integrity in Higher Education,” </w:t>
      </w:r>
      <w:r>
        <w:rPr>
          <w:rFonts w:ascii="Arial" w:hAnsi="Arial" w:cs="Arial"/>
          <w:i/>
          <w:iCs/>
        </w:rPr>
        <w:t>Societies</w:t>
      </w:r>
      <w:r>
        <w:rPr>
          <w:rFonts w:ascii="Arial" w:hAnsi="Arial" w:cs="Arial"/>
        </w:rPr>
        <w:t xml:space="preserve">, 15(9), pp. 247–247. Available at: </w:t>
      </w:r>
      <w:hyperlink r:id="rId44">
        <w:r w:rsidR="009D4E2F">
          <w:rPr>
            <w:rFonts w:ascii="Arial" w:hAnsi="Arial" w:cs="Arial"/>
            <w:color w:val="1155CC"/>
            <w:u w:val="single"/>
          </w:rPr>
          <w:t>https://doi.org/10.3390/soc15090247</w:t>
        </w:r>
      </w:hyperlink>
      <w:r>
        <w:rPr>
          <w:rFonts w:ascii="Arial" w:hAnsi="Arial" w:cs="Arial"/>
        </w:rPr>
        <w:t xml:space="preserve">. </w:t>
      </w:r>
    </w:p>
    <w:p w14:paraId="48DF0DF8" w14:textId="77777777" w:rsidR="009D4E2F" w:rsidRDefault="00314650">
      <w:pPr>
        <w:spacing w:after="240"/>
        <w:rPr>
          <w:rFonts w:ascii="Arial" w:hAnsi="Arial" w:cs="Arial"/>
        </w:rPr>
      </w:pPr>
      <w:proofErr w:type="spellStart"/>
      <w:r>
        <w:rPr>
          <w:rFonts w:ascii="Arial" w:hAnsi="Arial" w:cs="Arial"/>
        </w:rPr>
        <w:t>Diro</w:t>
      </w:r>
      <w:proofErr w:type="spellEnd"/>
      <w:r>
        <w:rPr>
          <w:rFonts w:ascii="Arial" w:hAnsi="Arial" w:cs="Arial"/>
        </w:rPr>
        <w:t xml:space="preserve">, A., Kaisar, S., Saini, A., Fatima, S., Hiep, P.C. and Erba, F. (2025) “Workplace security and privacy implications in the GenAI age: A survey,” </w:t>
      </w:r>
      <w:r>
        <w:rPr>
          <w:rFonts w:ascii="Arial" w:hAnsi="Arial" w:cs="Arial"/>
          <w:i/>
          <w:iCs/>
        </w:rPr>
        <w:t>Journal of Information Security and Applications</w:t>
      </w:r>
      <w:r>
        <w:rPr>
          <w:rFonts w:ascii="Arial" w:hAnsi="Arial" w:cs="Arial"/>
        </w:rPr>
        <w:t xml:space="preserve">, 89, pp. 103960–103960. Available at: </w:t>
      </w:r>
      <w:hyperlink r:id="rId45">
        <w:r w:rsidR="009D4E2F">
          <w:rPr>
            <w:rFonts w:ascii="Arial" w:hAnsi="Arial" w:cs="Arial"/>
            <w:color w:val="1155CC"/>
            <w:u w:val="single"/>
          </w:rPr>
          <w:t>https://doi.org/10.1016/j.jisa.2024.103960</w:t>
        </w:r>
      </w:hyperlink>
      <w:r>
        <w:rPr>
          <w:rFonts w:ascii="Arial" w:hAnsi="Arial" w:cs="Arial"/>
        </w:rPr>
        <w:t xml:space="preserve">. </w:t>
      </w:r>
    </w:p>
    <w:p w14:paraId="3027B3A5" w14:textId="77777777" w:rsidR="009D4E2F" w:rsidRDefault="00314650">
      <w:pPr>
        <w:spacing w:after="240"/>
        <w:rPr>
          <w:rFonts w:ascii="Arial" w:hAnsi="Arial" w:cs="Arial"/>
        </w:rPr>
      </w:pPr>
      <w:r>
        <w:rPr>
          <w:rFonts w:ascii="Arial" w:hAnsi="Arial" w:cs="Arial"/>
        </w:rPr>
        <w:t xml:space="preserve">Fisher, R. (2024) </w:t>
      </w:r>
      <w:r>
        <w:rPr>
          <w:rFonts w:ascii="Arial" w:hAnsi="Arial" w:cs="Arial"/>
          <w:i/>
          <w:iCs/>
        </w:rPr>
        <w:t>What Is Accounting Rate of Return (ARR): Formula and Examples</w:t>
      </w:r>
      <w:r>
        <w:rPr>
          <w:rFonts w:ascii="Arial" w:hAnsi="Arial" w:cs="Arial"/>
        </w:rPr>
        <w:t xml:space="preserve">, </w:t>
      </w:r>
      <w:r>
        <w:rPr>
          <w:rFonts w:ascii="Arial" w:hAnsi="Arial" w:cs="Arial"/>
          <w:i/>
          <w:iCs/>
        </w:rPr>
        <w:t>Www.highradius.com</w:t>
      </w:r>
      <w:r>
        <w:rPr>
          <w:rFonts w:ascii="Arial" w:hAnsi="Arial" w:cs="Arial"/>
        </w:rPr>
        <w:t xml:space="preserve">. Available at: </w:t>
      </w:r>
      <w:hyperlink r:id="rId46">
        <w:r w:rsidR="009D4E2F">
          <w:rPr>
            <w:rFonts w:ascii="Arial" w:hAnsi="Arial" w:cs="Arial"/>
            <w:color w:val="1155CC"/>
            <w:u w:val="single"/>
          </w:rPr>
          <w:t>https://www.highradius.com/resources/Blog/accounting-rate-of-return-arr/</w:t>
        </w:r>
      </w:hyperlink>
      <w:r>
        <w:rPr>
          <w:rFonts w:ascii="Arial" w:hAnsi="Arial" w:cs="Arial"/>
        </w:rPr>
        <w:t xml:space="preserve"> </w:t>
      </w:r>
    </w:p>
    <w:p w14:paraId="7E237E87" w14:textId="77777777" w:rsidR="009D4E2F" w:rsidRDefault="00314650">
      <w:pPr>
        <w:spacing w:after="240"/>
        <w:rPr>
          <w:rFonts w:ascii="Arial" w:hAnsi="Arial" w:cs="Arial"/>
        </w:rPr>
      </w:pPr>
      <w:r>
        <w:rPr>
          <w:rFonts w:ascii="Arial" w:hAnsi="Arial" w:cs="Arial"/>
        </w:rPr>
        <w:lastRenderedPageBreak/>
        <w:t xml:space="preserve">Ghosh, N. (2022) </w:t>
      </w:r>
      <w:r>
        <w:rPr>
          <w:rFonts w:ascii="Arial" w:hAnsi="Arial" w:cs="Arial"/>
          <w:i/>
          <w:iCs/>
        </w:rPr>
        <w:t>What is Cash Conversion Cycle (CCC)? – Formula &amp; Calculation</w:t>
      </w:r>
      <w:r>
        <w:rPr>
          <w:rFonts w:ascii="Arial" w:hAnsi="Arial" w:cs="Arial"/>
        </w:rPr>
        <w:t xml:space="preserve">. Available at: </w:t>
      </w:r>
      <w:hyperlink r:id="rId47">
        <w:r w:rsidR="009D4E2F">
          <w:rPr>
            <w:rFonts w:ascii="Arial" w:hAnsi="Arial" w:cs="Arial"/>
            <w:color w:val="1155CC"/>
            <w:u w:val="single"/>
          </w:rPr>
          <w:t>https://www.highradius.com/resources/Blog/what-is-cash-conversion-cycle/</w:t>
        </w:r>
      </w:hyperlink>
      <w:r>
        <w:rPr>
          <w:rFonts w:ascii="Arial" w:hAnsi="Arial" w:cs="Arial"/>
        </w:rPr>
        <w:t xml:space="preserve"> </w:t>
      </w:r>
    </w:p>
    <w:p w14:paraId="32BA0D16" w14:textId="77777777" w:rsidR="009D4E2F" w:rsidRDefault="00314650">
      <w:pPr>
        <w:spacing w:after="240"/>
        <w:rPr>
          <w:rFonts w:ascii="Arial" w:hAnsi="Arial" w:cs="Arial"/>
        </w:rPr>
      </w:pPr>
      <w:r>
        <w:rPr>
          <w:rFonts w:ascii="Arial" w:hAnsi="Arial" w:cs="Arial"/>
        </w:rPr>
        <w:t xml:space="preserve">Hilton (2022) </w:t>
      </w:r>
      <w:r>
        <w:rPr>
          <w:rFonts w:ascii="Arial" w:hAnsi="Arial" w:cs="Arial"/>
          <w:i/>
          <w:iCs/>
        </w:rPr>
        <w:t>Hilton 2022 year in review</w:t>
      </w:r>
      <w:r>
        <w:rPr>
          <w:rFonts w:ascii="Arial" w:hAnsi="Arial" w:cs="Arial"/>
        </w:rPr>
        <w:t xml:space="preserve">, </w:t>
      </w:r>
      <w:r>
        <w:rPr>
          <w:rFonts w:ascii="Arial" w:hAnsi="Arial" w:cs="Arial"/>
          <w:i/>
          <w:iCs/>
        </w:rPr>
        <w:t>Stories from Hilton</w:t>
      </w:r>
      <w:r>
        <w:rPr>
          <w:rFonts w:ascii="Arial" w:hAnsi="Arial" w:cs="Arial"/>
        </w:rPr>
        <w:t xml:space="preserve">. Available at: </w:t>
      </w:r>
      <w:hyperlink r:id="rId48">
        <w:r w:rsidR="009D4E2F">
          <w:rPr>
            <w:rFonts w:ascii="Arial" w:hAnsi="Arial" w:cs="Arial"/>
            <w:color w:val="1155CC"/>
            <w:u w:val="single"/>
          </w:rPr>
          <w:t>https://stories.hilton.com/2022-annual-report</w:t>
        </w:r>
      </w:hyperlink>
      <w:r>
        <w:rPr>
          <w:rFonts w:ascii="Arial" w:hAnsi="Arial" w:cs="Arial"/>
        </w:rPr>
        <w:t xml:space="preserve"> </w:t>
      </w:r>
    </w:p>
    <w:p w14:paraId="2694CB34" w14:textId="77777777" w:rsidR="009D4E2F" w:rsidRDefault="00314650">
      <w:pPr>
        <w:spacing w:after="240"/>
        <w:rPr>
          <w:rFonts w:ascii="Arial" w:hAnsi="Arial" w:cs="Arial"/>
        </w:rPr>
      </w:pPr>
      <w:r>
        <w:rPr>
          <w:rFonts w:ascii="Arial" w:hAnsi="Arial" w:cs="Arial"/>
        </w:rPr>
        <w:t xml:space="preserve">Hilton (2025) </w:t>
      </w:r>
      <w:r>
        <w:rPr>
          <w:rFonts w:ascii="Arial" w:hAnsi="Arial" w:cs="Arial"/>
          <w:i/>
          <w:iCs/>
        </w:rPr>
        <w:t>Responsible Business</w:t>
      </w:r>
      <w:r>
        <w:rPr>
          <w:rFonts w:ascii="Arial" w:hAnsi="Arial" w:cs="Arial"/>
        </w:rPr>
        <w:t xml:space="preserve">. Available at: </w:t>
      </w:r>
      <w:hyperlink r:id="rId49">
        <w:r w:rsidR="009D4E2F">
          <w:rPr>
            <w:rFonts w:ascii="Arial" w:hAnsi="Arial" w:cs="Arial"/>
            <w:color w:val="1155CC"/>
            <w:u w:val="single"/>
          </w:rPr>
          <w:t>https://travelwithpurpose.hilton.com/wp-content/uploads/sites/4/2025/06/Risk-Management.pdf</w:t>
        </w:r>
      </w:hyperlink>
      <w:r>
        <w:rPr>
          <w:rFonts w:ascii="Arial" w:hAnsi="Arial" w:cs="Arial"/>
        </w:rPr>
        <w:t xml:space="preserve"> </w:t>
      </w:r>
    </w:p>
    <w:p w14:paraId="354444EF" w14:textId="77777777" w:rsidR="009D4E2F" w:rsidRDefault="00314650">
      <w:pPr>
        <w:spacing w:after="240"/>
        <w:rPr>
          <w:rFonts w:ascii="Arial" w:hAnsi="Arial" w:cs="Arial"/>
        </w:rPr>
      </w:pPr>
      <w:r>
        <w:rPr>
          <w:rFonts w:ascii="Arial" w:hAnsi="Arial" w:cs="Arial"/>
        </w:rPr>
        <w:t xml:space="preserve">Hilton (2026a) </w:t>
      </w:r>
      <w:r>
        <w:rPr>
          <w:rFonts w:ascii="Arial" w:hAnsi="Arial" w:cs="Arial"/>
          <w:i/>
          <w:iCs/>
        </w:rPr>
        <w:t>Hilton Reports First Quarter Results; Raises Full Year Outlook</w:t>
      </w:r>
      <w:r>
        <w:rPr>
          <w:rFonts w:ascii="Arial" w:hAnsi="Arial" w:cs="Arial"/>
        </w:rPr>
        <w:t xml:space="preserve">. Available at: </w:t>
      </w:r>
      <w:hyperlink r:id="rId50">
        <w:r w:rsidR="009D4E2F">
          <w:rPr>
            <w:rFonts w:ascii="Arial" w:hAnsi="Arial" w:cs="Arial"/>
            <w:color w:val="1155CC"/>
            <w:u w:val="single"/>
          </w:rPr>
          <w:t>https://ir.hilton.com/~/media/Files/H/Hilton-Worldwide-IR-V3/quarterly-results/2026/q1-2026-earnings-release.pdf</w:t>
        </w:r>
      </w:hyperlink>
      <w:r>
        <w:rPr>
          <w:rFonts w:ascii="Arial" w:hAnsi="Arial" w:cs="Arial"/>
        </w:rPr>
        <w:t xml:space="preserve"> </w:t>
      </w:r>
    </w:p>
    <w:p w14:paraId="171563C3" w14:textId="77777777" w:rsidR="009D4E2F" w:rsidRDefault="00314650">
      <w:pPr>
        <w:spacing w:after="240"/>
        <w:rPr>
          <w:rFonts w:ascii="Arial" w:hAnsi="Arial" w:cs="Arial"/>
        </w:rPr>
      </w:pPr>
      <w:r>
        <w:rPr>
          <w:rFonts w:ascii="Arial" w:hAnsi="Arial" w:cs="Arial"/>
        </w:rPr>
        <w:t xml:space="preserve">Hilton (2026b) </w:t>
      </w:r>
      <w:r>
        <w:rPr>
          <w:rFonts w:ascii="Arial" w:hAnsi="Arial" w:cs="Arial"/>
          <w:i/>
          <w:iCs/>
        </w:rPr>
        <w:t>Investor Presentation</w:t>
      </w:r>
      <w:r>
        <w:rPr>
          <w:rFonts w:ascii="Arial" w:hAnsi="Arial" w:cs="Arial"/>
        </w:rPr>
        <w:t xml:space="preserve">. Available at: </w:t>
      </w:r>
      <w:hyperlink r:id="rId51">
        <w:r w:rsidR="009D4E2F">
          <w:rPr>
            <w:rFonts w:ascii="Arial" w:hAnsi="Arial" w:cs="Arial"/>
            <w:color w:val="1155CC"/>
            <w:u w:val="single"/>
          </w:rPr>
          <w:t>https://ir.hilton.com/~/media/Files/H/Hilton-Worldwide-IR-V3/presentations/hlt-investor-presentation-february-2026</w:t>
        </w:r>
      </w:hyperlink>
      <w:r>
        <w:rPr>
          <w:rFonts w:ascii="Arial" w:hAnsi="Arial" w:cs="Arial"/>
        </w:rPr>
        <w:t xml:space="preserve">. </w:t>
      </w:r>
    </w:p>
    <w:p w14:paraId="2AA0E8A3" w14:textId="77777777" w:rsidR="009D4E2F" w:rsidRDefault="00314650">
      <w:pPr>
        <w:spacing w:after="240"/>
        <w:rPr>
          <w:rFonts w:ascii="Arial" w:hAnsi="Arial" w:cs="Arial"/>
        </w:rPr>
      </w:pPr>
      <w:r>
        <w:rPr>
          <w:rFonts w:ascii="Arial" w:hAnsi="Arial" w:cs="Arial"/>
        </w:rPr>
        <w:t xml:space="preserve">Hilton Worldwide Holdings Inc. (2023) </w:t>
      </w:r>
      <w:r>
        <w:rPr>
          <w:rFonts w:ascii="Arial" w:hAnsi="Arial" w:cs="Arial"/>
          <w:i/>
          <w:iCs/>
        </w:rPr>
        <w:t>Hilton Worldwide Holdings Inc. 2023</w:t>
      </w:r>
      <w:r>
        <w:rPr>
          <w:rFonts w:ascii="Arial" w:hAnsi="Arial" w:cs="Arial"/>
        </w:rPr>
        <w:t xml:space="preserve">. Available at: </w:t>
      </w:r>
      <w:hyperlink r:id="rId52">
        <w:r w:rsidR="009D4E2F">
          <w:rPr>
            <w:rFonts w:ascii="Arial" w:hAnsi="Arial" w:cs="Arial"/>
            <w:color w:val="1155CC"/>
            <w:u w:val="single"/>
          </w:rPr>
          <w:t>https://stories-editor.hilton.com/wp-content/uploads/2024/04/2023-Annual-Report-10-K.pdf</w:t>
        </w:r>
      </w:hyperlink>
      <w:r>
        <w:rPr>
          <w:rFonts w:ascii="Arial" w:hAnsi="Arial" w:cs="Arial"/>
        </w:rPr>
        <w:t xml:space="preserve"> </w:t>
      </w:r>
    </w:p>
    <w:p w14:paraId="7A0982EA" w14:textId="77777777" w:rsidR="009D4E2F" w:rsidRDefault="00314650">
      <w:pPr>
        <w:spacing w:after="240"/>
        <w:rPr>
          <w:rFonts w:ascii="Arial" w:hAnsi="Arial" w:cs="Arial"/>
        </w:rPr>
      </w:pPr>
      <w:r>
        <w:rPr>
          <w:rFonts w:ascii="Arial" w:hAnsi="Arial" w:cs="Arial"/>
        </w:rPr>
        <w:t xml:space="preserve">Hilton Worldwide Holdings Inc (2025) </w:t>
      </w:r>
      <w:r>
        <w:rPr>
          <w:rFonts w:ascii="Arial" w:hAnsi="Arial" w:cs="Arial"/>
          <w:i/>
          <w:iCs/>
        </w:rPr>
        <w:t>Hilton Worldwide Holdings Inc. 2025</w:t>
      </w:r>
      <w:r>
        <w:rPr>
          <w:rFonts w:ascii="Arial" w:hAnsi="Arial" w:cs="Arial"/>
        </w:rPr>
        <w:t xml:space="preserve">. Available at: </w:t>
      </w:r>
      <w:hyperlink r:id="rId53">
        <w:r w:rsidR="009D4E2F">
          <w:rPr>
            <w:rFonts w:ascii="Arial" w:hAnsi="Arial" w:cs="Arial"/>
            <w:color w:val="1155CC"/>
            <w:u w:val="single"/>
          </w:rPr>
          <w:t>https://stories-editor.hilton.com/wp-content/uploads/2026/03/Hilton-2025-Annual-Report-SEC-Form-10-K.pdf</w:t>
        </w:r>
      </w:hyperlink>
      <w:r>
        <w:rPr>
          <w:rFonts w:ascii="Arial" w:hAnsi="Arial" w:cs="Arial"/>
        </w:rPr>
        <w:t xml:space="preserve"> </w:t>
      </w:r>
    </w:p>
    <w:p w14:paraId="59F032B5" w14:textId="77777777" w:rsidR="009D4E2F" w:rsidRDefault="00314650">
      <w:pPr>
        <w:spacing w:after="240"/>
        <w:rPr>
          <w:rFonts w:ascii="Arial" w:hAnsi="Arial" w:cs="Arial"/>
        </w:rPr>
      </w:pPr>
      <w:proofErr w:type="spellStart"/>
      <w:r>
        <w:rPr>
          <w:rFonts w:ascii="Arial" w:hAnsi="Arial" w:cs="Arial"/>
        </w:rPr>
        <w:t>Imarticus</w:t>
      </w:r>
      <w:proofErr w:type="spellEnd"/>
      <w:r>
        <w:rPr>
          <w:rFonts w:ascii="Arial" w:hAnsi="Arial" w:cs="Arial"/>
        </w:rPr>
        <w:t xml:space="preserve"> (2024) </w:t>
      </w:r>
      <w:r>
        <w:rPr>
          <w:rFonts w:ascii="Arial" w:hAnsi="Arial" w:cs="Arial"/>
          <w:i/>
          <w:iCs/>
        </w:rPr>
        <w:t xml:space="preserve">Discounting vs. Non-Discounting Methods: Which is Better for Capital </w:t>
      </w:r>
      <w:proofErr w:type="gramStart"/>
      <w:r>
        <w:rPr>
          <w:rFonts w:ascii="Arial" w:hAnsi="Arial" w:cs="Arial"/>
          <w:i/>
          <w:iCs/>
        </w:rPr>
        <w:t>Budgeting?</w:t>
      </w:r>
      <w:r>
        <w:rPr>
          <w:rFonts w:ascii="Arial" w:hAnsi="Arial" w:cs="Arial"/>
        </w:rPr>
        <w:t>,</w:t>
      </w:r>
      <w:proofErr w:type="gramEnd"/>
      <w:r>
        <w:rPr>
          <w:rFonts w:ascii="Arial" w:hAnsi="Arial" w:cs="Arial"/>
        </w:rPr>
        <w:t xml:space="preserve"> </w:t>
      </w:r>
      <w:r>
        <w:rPr>
          <w:rFonts w:ascii="Arial" w:hAnsi="Arial" w:cs="Arial"/>
          <w:i/>
          <w:iCs/>
        </w:rPr>
        <w:t xml:space="preserve">Finance, Tech &amp; Analytics Career Resources | </w:t>
      </w:r>
      <w:proofErr w:type="spellStart"/>
      <w:r>
        <w:rPr>
          <w:rFonts w:ascii="Arial" w:hAnsi="Arial" w:cs="Arial"/>
          <w:i/>
          <w:iCs/>
        </w:rPr>
        <w:t>Imarticus</w:t>
      </w:r>
      <w:proofErr w:type="spellEnd"/>
      <w:r>
        <w:rPr>
          <w:rFonts w:ascii="Arial" w:hAnsi="Arial" w:cs="Arial"/>
          <w:i/>
          <w:iCs/>
        </w:rPr>
        <w:t xml:space="preserve"> Blog</w:t>
      </w:r>
      <w:r>
        <w:rPr>
          <w:rFonts w:ascii="Arial" w:hAnsi="Arial" w:cs="Arial"/>
        </w:rPr>
        <w:t xml:space="preserve">. </w:t>
      </w:r>
      <w:proofErr w:type="spellStart"/>
      <w:r>
        <w:rPr>
          <w:rFonts w:ascii="Arial" w:hAnsi="Arial" w:cs="Arial"/>
        </w:rPr>
        <w:t>Imarticus</w:t>
      </w:r>
      <w:proofErr w:type="spellEnd"/>
      <w:r>
        <w:rPr>
          <w:rFonts w:ascii="Arial" w:hAnsi="Arial" w:cs="Arial"/>
        </w:rPr>
        <w:t xml:space="preserve"> Learning. Available at: </w:t>
      </w:r>
      <w:hyperlink r:id="rId54">
        <w:r w:rsidR="009D4E2F">
          <w:rPr>
            <w:rFonts w:ascii="Arial" w:hAnsi="Arial" w:cs="Arial"/>
            <w:color w:val="1155CC"/>
            <w:u w:val="single"/>
          </w:rPr>
          <w:t>https://imarticus.org/blog/capital-budgeting-methods/</w:t>
        </w:r>
      </w:hyperlink>
      <w:r>
        <w:rPr>
          <w:rFonts w:ascii="Arial" w:hAnsi="Arial" w:cs="Arial"/>
        </w:rPr>
        <w:t xml:space="preserve"> </w:t>
      </w:r>
    </w:p>
    <w:p w14:paraId="6ED63293" w14:textId="77777777" w:rsidR="009D4E2F" w:rsidRDefault="00314650">
      <w:pPr>
        <w:spacing w:after="240"/>
        <w:rPr>
          <w:rFonts w:ascii="Arial" w:hAnsi="Arial" w:cs="Arial"/>
        </w:rPr>
      </w:pPr>
      <w:r>
        <w:rPr>
          <w:rFonts w:ascii="Arial" w:hAnsi="Arial" w:cs="Arial"/>
        </w:rPr>
        <w:t xml:space="preserve">Janberg, W. (2024) </w:t>
      </w:r>
      <w:r>
        <w:rPr>
          <w:rFonts w:ascii="Arial" w:hAnsi="Arial" w:cs="Arial"/>
          <w:i/>
          <w:iCs/>
        </w:rPr>
        <w:t>Hilton’s Strategic Expansion in Asia Pacific: A Vision for Growth</w:t>
      </w:r>
      <w:r>
        <w:rPr>
          <w:rFonts w:ascii="Arial" w:hAnsi="Arial" w:cs="Arial"/>
        </w:rPr>
        <w:t xml:space="preserve">, </w:t>
      </w:r>
      <w:proofErr w:type="spellStart"/>
      <w:r>
        <w:rPr>
          <w:rFonts w:ascii="Arial" w:hAnsi="Arial" w:cs="Arial"/>
          <w:i/>
          <w:iCs/>
        </w:rPr>
        <w:t>ReportLinker</w:t>
      </w:r>
      <w:proofErr w:type="spellEnd"/>
      <w:r>
        <w:rPr>
          <w:rFonts w:ascii="Arial" w:hAnsi="Arial" w:cs="Arial"/>
        </w:rPr>
        <w:t xml:space="preserve">. Available at: </w:t>
      </w:r>
      <w:hyperlink r:id="rId55">
        <w:r w:rsidR="009D4E2F">
          <w:rPr>
            <w:rFonts w:ascii="Arial" w:hAnsi="Arial" w:cs="Arial"/>
            <w:color w:val="1155CC"/>
            <w:u w:val="single"/>
          </w:rPr>
          <w:t>https://www.reportlinker.com/article/8138</w:t>
        </w:r>
      </w:hyperlink>
      <w:r>
        <w:rPr>
          <w:rFonts w:ascii="Arial" w:hAnsi="Arial" w:cs="Arial"/>
        </w:rPr>
        <w:t xml:space="preserve"> </w:t>
      </w:r>
    </w:p>
    <w:p w14:paraId="2A5F3607" w14:textId="77777777" w:rsidR="009D4E2F" w:rsidRDefault="00314650">
      <w:pPr>
        <w:spacing w:after="240"/>
        <w:rPr>
          <w:rFonts w:ascii="Arial" w:hAnsi="Arial" w:cs="Arial"/>
        </w:rPr>
      </w:pPr>
      <w:r>
        <w:rPr>
          <w:rFonts w:ascii="Arial" w:hAnsi="Arial" w:cs="Arial"/>
        </w:rPr>
        <w:lastRenderedPageBreak/>
        <w:t xml:space="preserve">Jelski, C. (2026) </w:t>
      </w:r>
      <w:r>
        <w:rPr>
          <w:rFonts w:ascii="Arial" w:hAnsi="Arial" w:cs="Arial"/>
          <w:i/>
          <w:iCs/>
        </w:rPr>
        <w:t>Hilton braces for ripple effects from Iran war</w:t>
      </w:r>
      <w:r>
        <w:rPr>
          <w:rFonts w:ascii="Arial" w:hAnsi="Arial" w:cs="Arial"/>
        </w:rPr>
        <w:t xml:space="preserve">, </w:t>
      </w:r>
      <w:r>
        <w:rPr>
          <w:rFonts w:ascii="Arial" w:hAnsi="Arial" w:cs="Arial"/>
          <w:i/>
          <w:iCs/>
        </w:rPr>
        <w:t>Travelweekly.com</w:t>
      </w:r>
      <w:r>
        <w:rPr>
          <w:rFonts w:ascii="Arial" w:hAnsi="Arial" w:cs="Arial"/>
        </w:rPr>
        <w:t xml:space="preserve">. Travel Weekly. Available at: </w:t>
      </w:r>
      <w:hyperlink r:id="rId56">
        <w:r w:rsidR="009D4E2F">
          <w:rPr>
            <w:rFonts w:ascii="Arial" w:hAnsi="Arial" w:cs="Arial"/>
            <w:color w:val="1155CC"/>
            <w:u w:val="single"/>
          </w:rPr>
          <w:t>https://www.travelweekly.com/travel-news/hotel-news/hilton-braces-for-ripple-effects-from-iran-war</w:t>
        </w:r>
      </w:hyperlink>
      <w:r>
        <w:rPr>
          <w:rFonts w:ascii="Arial" w:hAnsi="Arial" w:cs="Arial"/>
        </w:rPr>
        <w:t xml:space="preserve"> </w:t>
      </w:r>
    </w:p>
    <w:p w14:paraId="21A87181" w14:textId="77777777" w:rsidR="009D4E2F" w:rsidRDefault="00314650">
      <w:pPr>
        <w:spacing w:after="240"/>
        <w:rPr>
          <w:rFonts w:ascii="Arial" w:hAnsi="Arial" w:cs="Arial"/>
        </w:rPr>
      </w:pPr>
      <w:r>
        <w:rPr>
          <w:rFonts w:ascii="Arial" w:hAnsi="Arial" w:cs="Arial"/>
        </w:rPr>
        <w:t xml:space="preserve">Krieger, A. (2025) </w:t>
      </w:r>
      <w:r>
        <w:rPr>
          <w:rFonts w:ascii="Arial" w:hAnsi="Arial" w:cs="Arial"/>
          <w:i/>
          <w:iCs/>
        </w:rPr>
        <w:t xml:space="preserve">A Strategic Audit of Hilton Hotels </w:t>
      </w:r>
      <w:proofErr w:type="gramStart"/>
      <w:r>
        <w:rPr>
          <w:rFonts w:ascii="Arial" w:hAnsi="Arial" w:cs="Arial"/>
          <w:i/>
          <w:iCs/>
        </w:rPr>
        <w:t>A</w:t>
      </w:r>
      <w:proofErr w:type="gramEnd"/>
      <w:r>
        <w:rPr>
          <w:rFonts w:ascii="Arial" w:hAnsi="Arial" w:cs="Arial"/>
          <w:i/>
          <w:iCs/>
        </w:rPr>
        <w:t xml:space="preserve"> Strategic Audit of Hilton Hotels</w:t>
      </w:r>
      <w:r>
        <w:rPr>
          <w:rFonts w:ascii="Arial" w:hAnsi="Arial" w:cs="Arial"/>
        </w:rPr>
        <w:t xml:space="preserve">. Available at: </w:t>
      </w:r>
      <w:hyperlink r:id="rId57">
        <w:r w:rsidR="009D4E2F">
          <w:rPr>
            <w:rFonts w:ascii="Arial" w:hAnsi="Arial" w:cs="Arial"/>
            <w:color w:val="1155CC"/>
            <w:u w:val="single"/>
          </w:rPr>
          <w:t>https://digitalcommons.unl.edu/cgi/viewcontent.cgi?article=1849&amp;context=honorstheses</w:t>
        </w:r>
      </w:hyperlink>
      <w:r>
        <w:rPr>
          <w:rFonts w:ascii="Arial" w:hAnsi="Arial" w:cs="Arial"/>
        </w:rPr>
        <w:t xml:space="preserve"> </w:t>
      </w:r>
    </w:p>
    <w:p w14:paraId="561715DD" w14:textId="77777777" w:rsidR="009D4E2F" w:rsidRDefault="00314650">
      <w:pPr>
        <w:spacing w:after="240"/>
        <w:rPr>
          <w:rFonts w:ascii="Arial" w:hAnsi="Arial" w:cs="Arial"/>
        </w:rPr>
      </w:pPr>
      <w:r>
        <w:rPr>
          <w:rFonts w:ascii="Arial" w:hAnsi="Arial" w:cs="Arial"/>
        </w:rPr>
        <w:t xml:space="preserve">Martinho, V.J.P.D. (2021) “Bibliometric Analysis for Working Capital: Identifying Gaps, Co-Authorships and Insights from a Literature Survey,” </w:t>
      </w:r>
      <w:r>
        <w:rPr>
          <w:rFonts w:ascii="Arial" w:hAnsi="Arial" w:cs="Arial"/>
          <w:i/>
          <w:iCs/>
        </w:rPr>
        <w:t>International Journal of Financial Studies</w:t>
      </w:r>
      <w:r>
        <w:rPr>
          <w:rFonts w:ascii="Arial" w:hAnsi="Arial" w:cs="Arial"/>
        </w:rPr>
        <w:t xml:space="preserve">, 9(4), p. 72. Available at: </w:t>
      </w:r>
      <w:hyperlink r:id="rId58">
        <w:r w:rsidR="009D4E2F">
          <w:rPr>
            <w:rFonts w:ascii="Arial" w:hAnsi="Arial" w:cs="Arial"/>
            <w:color w:val="1155CC"/>
            <w:u w:val="single"/>
          </w:rPr>
          <w:t>https://doi.org/10.3390/ijfs9040072</w:t>
        </w:r>
      </w:hyperlink>
      <w:r>
        <w:rPr>
          <w:rFonts w:ascii="Arial" w:hAnsi="Arial" w:cs="Arial"/>
        </w:rPr>
        <w:t xml:space="preserve">. </w:t>
      </w:r>
    </w:p>
    <w:p w14:paraId="4EAE9B5F" w14:textId="77777777" w:rsidR="009D4E2F" w:rsidRDefault="00314650">
      <w:pPr>
        <w:spacing w:after="240"/>
        <w:rPr>
          <w:rFonts w:ascii="Arial" w:hAnsi="Arial" w:cs="Arial"/>
        </w:rPr>
      </w:pPr>
      <w:r>
        <w:rPr>
          <w:rFonts w:ascii="Arial" w:hAnsi="Arial" w:cs="Arial"/>
        </w:rPr>
        <w:t xml:space="preserve">Müller, R. (2026) </w:t>
      </w:r>
      <w:r>
        <w:rPr>
          <w:rFonts w:ascii="Arial" w:hAnsi="Arial" w:cs="Arial"/>
          <w:i/>
          <w:iCs/>
        </w:rPr>
        <w:t>Hilton Worldwide stock reflects global hotel recovery amid steady US travel demand</w:t>
      </w:r>
      <w:r>
        <w:rPr>
          <w:rFonts w:ascii="Arial" w:hAnsi="Arial" w:cs="Arial"/>
        </w:rPr>
        <w:t xml:space="preserve">, </w:t>
      </w:r>
      <w:r>
        <w:rPr>
          <w:rFonts w:ascii="Arial" w:hAnsi="Arial" w:cs="Arial"/>
          <w:i/>
          <w:iCs/>
        </w:rPr>
        <w:t>Hilton Worldwide stock reflects global hotel recovery amid steady US travel demand</w:t>
      </w:r>
      <w:r>
        <w:rPr>
          <w:rFonts w:ascii="Arial" w:hAnsi="Arial" w:cs="Arial"/>
        </w:rPr>
        <w:t xml:space="preserve">. ad-hoc-news.de. Available at: </w:t>
      </w:r>
      <w:hyperlink r:id="rId59">
        <w:r w:rsidR="009D4E2F">
          <w:rPr>
            <w:rFonts w:ascii="Arial" w:hAnsi="Arial" w:cs="Arial"/>
            <w:color w:val="1155CC"/>
            <w:u w:val="single"/>
          </w:rPr>
          <w:t>https://www.ad-hoc-news.de/boerse/news/ueberblick/hilton-worldwide-stock-reflects-global-hotel-recovery-amid-steady-us/69737600</w:t>
        </w:r>
      </w:hyperlink>
      <w:r>
        <w:rPr>
          <w:rFonts w:ascii="Arial" w:hAnsi="Arial" w:cs="Arial"/>
        </w:rPr>
        <w:t xml:space="preserve"> </w:t>
      </w:r>
    </w:p>
    <w:p w14:paraId="1B8B6E6B" w14:textId="77777777" w:rsidR="009D4E2F" w:rsidRDefault="00314650">
      <w:pPr>
        <w:spacing w:after="240"/>
        <w:rPr>
          <w:rFonts w:ascii="Arial" w:hAnsi="Arial" w:cs="Arial"/>
        </w:rPr>
      </w:pPr>
      <w:proofErr w:type="spellStart"/>
      <w:r>
        <w:rPr>
          <w:rFonts w:ascii="Arial" w:hAnsi="Arial" w:cs="Arial"/>
        </w:rPr>
        <w:t>Newsdesk</w:t>
      </w:r>
      <w:proofErr w:type="spellEnd"/>
      <w:r>
        <w:rPr>
          <w:rFonts w:ascii="Arial" w:hAnsi="Arial" w:cs="Arial"/>
        </w:rPr>
        <w:t xml:space="preserve"> (2026) </w:t>
      </w:r>
      <w:r>
        <w:rPr>
          <w:rFonts w:ascii="Arial" w:hAnsi="Arial" w:cs="Arial"/>
          <w:i/>
          <w:iCs/>
        </w:rPr>
        <w:t>Hilton (HLT) Has a Fee-and-Loyalty Engine Bigger Than a Hotel-Cycle Trade</w:t>
      </w:r>
      <w:r>
        <w:rPr>
          <w:rFonts w:ascii="Arial" w:hAnsi="Arial" w:cs="Arial"/>
        </w:rPr>
        <w:t xml:space="preserve">, </w:t>
      </w:r>
      <w:proofErr w:type="spellStart"/>
      <w:r>
        <w:rPr>
          <w:rFonts w:ascii="Arial" w:hAnsi="Arial" w:cs="Arial"/>
          <w:i/>
          <w:iCs/>
        </w:rPr>
        <w:t>Alphastreet</w:t>
      </w:r>
      <w:proofErr w:type="spellEnd"/>
      <w:r>
        <w:rPr>
          <w:rFonts w:ascii="Arial" w:hAnsi="Arial" w:cs="Arial"/>
          <w:i/>
          <w:iCs/>
        </w:rPr>
        <w:t xml:space="preserve"> - Earnings Decoded. Market Intelligence Delivered</w:t>
      </w:r>
      <w:r>
        <w:rPr>
          <w:rFonts w:ascii="Arial" w:hAnsi="Arial" w:cs="Arial"/>
        </w:rPr>
        <w:t xml:space="preserve">. Available at: </w:t>
      </w:r>
      <w:hyperlink r:id="rId60">
        <w:r w:rsidR="009D4E2F">
          <w:rPr>
            <w:rFonts w:ascii="Arial" w:hAnsi="Arial" w:cs="Arial"/>
            <w:color w:val="1155CC"/>
            <w:u w:val="single"/>
          </w:rPr>
          <w:t>https://news.alphastreet.com/hilton-hlt-has-a-fee-and-loyalty-engine-bigger-than-a-hotel-cycle-trade/</w:t>
        </w:r>
      </w:hyperlink>
      <w:r>
        <w:rPr>
          <w:rFonts w:ascii="Arial" w:hAnsi="Arial" w:cs="Arial"/>
        </w:rPr>
        <w:t xml:space="preserve"> </w:t>
      </w:r>
    </w:p>
    <w:p w14:paraId="4F17CFB8" w14:textId="77777777" w:rsidR="009D4E2F" w:rsidRDefault="00314650">
      <w:pPr>
        <w:spacing w:after="240"/>
        <w:rPr>
          <w:rFonts w:ascii="Arial" w:hAnsi="Arial" w:cs="Arial"/>
        </w:rPr>
      </w:pPr>
      <w:r>
        <w:rPr>
          <w:rFonts w:ascii="Arial" w:hAnsi="Arial" w:cs="Arial"/>
        </w:rPr>
        <w:t xml:space="preserve">Nuno (2026) </w:t>
      </w:r>
      <w:r>
        <w:rPr>
          <w:rFonts w:ascii="Arial" w:hAnsi="Arial" w:cs="Arial"/>
          <w:i/>
          <w:iCs/>
        </w:rPr>
        <w:t>Understanding days sales outstanding (DSO) in accounts receivable: Why it matters</w:t>
      </w:r>
      <w:r>
        <w:rPr>
          <w:rFonts w:ascii="Arial" w:hAnsi="Arial" w:cs="Arial"/>
        </w:rPr>
        <w:t xml:space="preserve">, </w:t>
      </w:r>
      <w:proofErr w:type="spellStart"/>
      <w:r>
        <w:rPr>
          <w:rFonts w:ascii="Arial" w:hAnsi="Arial" w:cs="Arial"/>
          <w:i/>
          <w:iCs/>
        </w:rPr>
        <w:t>Serrala</w:t>
      </w:r>
      <w:proofErr w:type="spellEnd"/>
      <w:r>
        <w:rPr>
          <w:rFonts w:ascii="Arial" w:hAnsi="Arial" w:cs="Arial"/>
        </w:rPr>
        <w:t xml:space="preserve">. Available at: </w:t>
      </w:r>
      <w:hyperlink r:id="rId61">
        <w:r w:rsidR="009D4E2F">
          <w:rPr>
            <w:rFonts w:ascii="Arial" w:hAnsi="Arial" w:cs="Arial"/>
            <w:color w:val="1155CC"/>
            <w:u w:val="single"/>
          </w:rPr>
          <w:t>https://www.serrala.com/blog/understanding-days-sales-outstanding-in-accounts-receivable-and-why-it-matters</w:t>
        </w:r>
      </w:hyperlink>
      <w:r>
        <w:rPr>
          <w:rFonts w:ascii="Arial" w:hAnsi="Arial" w:cs="Arial"/>
        </w:rPr>
        <w:t xml:space="preserve"> </w:t>
      </w:r>
    </w:p>
    <w:p w14:paraId="5F889F4E" w14:textId="77777777" w:rsidR="009D4E2F" w:rsidRDefault="00314650">
      <w:pPr>
        <w:spacing w:after="240"/>
        <w:rPr>
          <w:rFonts w:ascii="Arial" w:hAnsi="Arial" w:cs="Arial"/>
        </w:rPr>
      </w:pPr>
      <w:r>
        <w:rPr>
          <w:rFonts w:ascii="Arial" w:hAnsi="Arial" w:cs="Arial"/>
        </w:rPr>
        <w:t xml:space="preserve">Olaoluwa </w:t>
      </w:r>
      <w:proofErr w:type="spellStart"/>
      <w:r>
        <w:rPr>
          <w:rFonts w:ascii="Arial" w:hAnsi="Arial" w:cs="Arial"/>
        </w:rPr>
        <w:t>Fowosere</w:t>
      </w:r>
      <w:proofErr w:type="spellEnd"/>
      <w:r>
        <w:rPr>
          <w:rFonts w:ascii="Arial" w:hAnsi="Arial" w:cs="Arial"/>
        </w:rPr>
        <w:t xml:space="preserve"> and Mohammed, S.A. (2024) </w:t>
      </w:r>
      <w:r>
        <w:rPr>
          <w:rFonts w:ascii="Arial" w:hAnsi="Arial" w:cs="Arial"/>
          <w:i/>
          <w:iCs/>
        </w:rPr>
        <w:t>Comparative Financial Performance and Social Impact in the Global Hospitality Industry: Evidence from Marriott International and Hilton Worldwide</w:t>
      </w:r>
      <w:r>
        <w:rPr>
          <w:rFonts w:ascii="Arial" w:hAnsi="Arial" w:cs="Arial"/>
        </w:rPr>
        <w:t xml:space="preserve">. Available at: </w:t>
      </w:r>
      <w:hyperlink r:id="rId62">
        <w:r w:rsidR="009D4E2F">
          <w:rPr>
            <w:rFonts w:ascii="Arial" w:hAnsi="Arial" w:cs="Arial"/>
            <w:color w:val="1155CC"/>
            <w:u w:val="single"/>
          </w:rPr>
          <w:t>https://www.researchgate.net/publication/399899124_Comparative_Financial_Performa</w:t>
        </w:r>
        <w:r w:rsidR="009D4E2F">
          <w:rPr>
            <w:rFonts w:ascii="Arial" w:hAnsi="Arial" w:cs="Arial"/>
            <w:color w:val="1155CC"/>
            <w:u w:val="single"/>
          </w:rPr>
          <w:lastRenderedPageBreak/>
          <w:t>nce_and_Social_Impact_in_the_Global_Hospitality_Industry_Evidence_from_Marriott_International_and_Hilton_Worldwide</w:t>
        </w:r>
      </w:hyperlink>
      <w:r>
        <w:rPr>
          <w:rFonts w:ascii="Arial" w:hAnsi="Arial" w:cs="Arial"/>
        </w:rPr>
        <w:t xml:space="preserve"> </w:t>
      </w:r>
    </w:p>
    <w:p w14:paraId="17546EE5" w14:textId="77777777" w:rsidR="009D4E2F" w:rsidRDefault="00314650">
      <w:pPr>
        <w:spacing w:after="240"/>
        <w:rPr>
          <w:rFonts w:ascii="Arial" w:hAnsi="Arial" w:cs="Arial"/>
        </w:rPr>
      </w:pPr>
      <w:r>
        <w:rPr>
          <w:rFonts w:ascii="Arial" w:hAnsi="Arial" w:cs="Arial"/>
        </w:rPr>
        <w:t xml:space="preserve">Osman Ahmed El-Said, Sayed Elhoushy, Smith, M. and Marwa Youssif (2024) “Crisis-driven innovation in hospitality: How do international hotel chains innovate to recover from a global </w:t>
      </w:r>
      <w:proofErr w:type="gramStart"/>
      <w:r>
        <w:rPr>
          <w:rFonts w:ascii="Arial" w:hAnsi="Arial" w:cs="Arial"/>
        </w:rPr>
        <w:t>crisis?,</w:t>
      </w:r>
      <w:proofErr w:type="gramEnd"/>
      <w:r>
        <w:rPr>
          <w:rFonts w:ascii="Arial" w:hAnsi="Arial" w:cs="Arial"/>
        </w:rPr>
        <w:t xml:space="preserve">” </w:t>
      </w:r>
      <w:r>
        <w:rPr>
          <w:rFonts w:ascii="Arial" w:hAnsi="Arial" w:cs="Arial"/>
          <w:i/>
          <w:iCs/>
        </w:rPr>
        <w:t>International journal of hospitality management</w:t>
      </w:r>
      <w:r>
        <w:rPr>
          <w:rFonts w:ascii="Arial" w:hAnsi="Arial" w:cs="Arial"/>
        </w:rPr>
        <w:t xml:space="preserve">, 120, pp. 103758–103758. Available at: </w:t>
      </w:r>
      <w:hyperlink r:id="rId63">
        <w:r w:rsidR="009D4E2F">
          <w:rPr>
            <w:rFonts w:ascii="Arial" w:hAnsi="Arial" w:cs="Arial"/>
            <w:color w:val="1155CC"/>
            <w:u w:val="single"/>
          </w:rPr>
          <w:t>https://doi.org/10.1016/j.ijhm.2024.103758</w:t>
        </w:r>
      </w:hyperlink>
      <w:r>
        <w:rPr>
          <w:rFonts w:ascii="Arial" w:hAnsi="Arial" w:cs="Arial"/>
        </w:rPr>
        <w:t xml:space="preserve">. </w:t>
      </w:r>
    </w:p>
    <w:p w14:paraId="1D2F0ED3" w14:textId="77777777" w:rsidR="009D4E2F" w:rsidRDefault="00314650">
      <w:pPr>
        <w:spacing w:after="240"/>
        <w:rPr>
          <w:rFonts w:ascii="Arial" w:hAnsi="Arial" w:cs="Arial"/>
        </w:rPr>
      </w:pPr>
      <w:r>
        <w:rPr>
          <w:rFonts w:ascii="Arial" w:hAnsi="Arial" w:cs="Arial"/>
        </w:rPr>
        <w:t xml:space="preserve">Oyetola </w:t>
      </w:r>
      <w:proofErr w:type="spellStart"/>
      <w:r>
        <w:rPr>
          <w:rFonts w:ascii="Arial" w:hAnsi="Arial" w:cs="Arial"/>
        </w:rPr>
        <w:t>Oyelakun</w:t>
      </w:r>
      <w:proofErr w:type="spellEnd"/>
      <w:r>
        <w:rPr>
          <w:rFonts w:ascii="Arial" w:hAnsi="Arial" w:cs="Arial"/>
        </w:rPr>
        <w:t xml:space="preserve">, Adetunji Aderemi, </w:t>
      </w:r>
      <w:proofErr w:type="spellStart"/>
      <w:r>
        <w:rPr>
          <w:rFonts w:ascii="Arial" w:hAnsi="Arial" w:cs="Arial"/>
        </w:rPr>
        <w:t>Oluseyanu</w:t>
      </w:r>
      <w:proofErr w:type="spellEnd"/>
      <w:r>
        <w:rPr>
          <w:rFonts w:ascii="Arial" w:hAnsi="Arial" w:cs="Arial"/>
        </w:rPr>
        <w:t xml:space="preserve"> Olamide Abdul-Azeez and Ibrahim, A.-L. (2025) “THE PAYBACK PERIOD (PBP) UNIFIED FORMULA: A SIMPLIFIED PROPOSED METHOD FOR CALCULATING PBP IN CAPITAL...,” </w:t>
      </w:r>
      <w:r>
        <w:rPr>
          <w:rFonts w:ascii="Arial" w:hAnsi="Arial" w:cs="Arial"/>
          <w:i/>
          <w:iCs/>
        </w:rPr>
        <w:t>ResearchGate</w:t>
      </w:r>
      <w:r>
        <w:rPr>
          <w:rFonts w:ascii="Arial" w:hAnsi="Arial" w:cs="Arial"/>
        </w:rPr>
        <w:t xml:space="preserve">, 10(2), pp. 31–42. Available at: </w:t>
      </w:r>
      <w:hyperlink r:id="rId64">
        <w:r w:rsidR="009D4E2F">
          <w:rPr>
            <w:rFonts w:ascii="Arial" w:hAnsi="Arial" w:cs="Arial"/>
            <w:color w:val="1155CC"/>
            <w:u w:val="single"/>
          </w:rPr>
          <w:t>https://www.researchgate.net/publication/389436092_THE_PAYBACK_PERIOD_PBP_UNIFIED_FORMULA_A_SIMPLIFIED_PROPOSED_METHOD_FOR_CALCULATING_PBP_IN_CAPITAL_BUDGETING_DECISION</w:t>
        </w:r>
      </w:hyperlink>
      <w:r>
        <w:rPr>
          <w:rFonts w:ascii="Arial" w:hAnsi="Arial" w:cs="Arial"/>
        </w:rPr>
        <w:t xml:space="preserve"> </w:t>
      </w:r>
    </w:p>
    <w:p w14:paraId="31588101" w14:textId="77777777" w:rsidR="009D4E2F" w:rsidRDefault="00314650">
      <w:pPr>
        <w:spacing w:after="240"/>
        <w:rPr>
          <w:rFonts w:ascii="Arial" w:hAnsi="Arial" w:cs="Arial"/>
        </w:rPr>
      </w:pPr>
      <w:r>
        <w:rPr>
          <w:rFonts w:ascii="Arial" w:hAnsi="Arial" w:cs="Arial"/>
        </w:rPr>
        <w:t xml:space="preserve">Research and Markets (2024) </w:t>
      </w:r>
      <w:r>
        <w:rPr>
          <w:rFonts w:ascii="Arial" w:hAnsi="Arial" w:cs="Arial"/>
          <w:i/>
          <w:iCs/>
        </w:rPr>
        <w:t>Hilton Worldwide Holdings Digital Transformation Strategy Analysis 2024: Innovation Programs, Technology Initiatives, Estimated ICT Budget, and Major ICT Contracts</w:t>
      </w:r>
      <w:r>
        <w:rPr>
          <w:rFonts w:ascii="Arial" w:hAnsi="Arial" w:cs="Arial"/>
        </w:rPr>
        <w:t xml:space="preserve">, </w:t>
      </w:r>
      <w:r>
        <w:rPr>
          <w:rFonts w:ascii="Arial" w:hAnsi="Arial" w:cs="Arial"/>
          <w:i/>
          <w:iCs/>
        </w:rPr>
        <w:t>Yahoo Finance</w:t>
      </w:r>
      <w:r>
        <w:rPr>
          <w:rFonts w:ascii="Arial" w:hAnsi="Arial" w:cs="Arial"/>
        </w:rPr>
        <w:t xml:space="preserve">. Available at: </w:t>
      </w:r>
      <w:hyperlink r:id="rId65">
        <w:r w:rsidR="009D4E2F">
          <w:rPr>
            <w:rFonts w:ascii="Arial" w:hAnsi="Arial" w:cs="Arial"/>
            <w:color w:val="1155CC"/>
            <w:u w:val="single"/>
          </w:rPr>
          <w:t>https://finance.yahoo.com/news/hilton-worldwide-holdings-digital-transformation-095700618.html</w:t>
        </w:r>
      </w:hyperlink>
      <w:r>
        <w:rPr>
          <w:rFonts w:ascii="Arial" w:hAnsi="Arial" w:cs="Arial"/>
        </w:rPr>
        <w:t xml:space="preserve"> </w:t>
      </w:r>
    </w:p>
    <w:p w14:paraId="2B59E0BA" w14:textId="77777777" w:rsidR="009D4E2F" w:rsidRDefault="00314650">
      <w:pPr>
        <w:spacing w:after="240"/>
        <w:rPr>
          <w:rFonts w:ascii="Arial" w:hAnsi="Arial" w:cs="Arial"/>
        </w:rPr>
      </w:pPr>
      <w:r>
        <w:rPr>
          <w:rFonts w:ascii="Arial" w:hAnsi="Arial" w:cs="Arial"/>
        </w:rPr>
        <w:t xml:space="preserve">Santos, L.L., Gomes, C., Malheiros, C., Crespo, C. and Bento, C. (2024) “Factors Influencing Hotel Revenue Management in Times of Crisis: Towards Financial Sustainability,” </w:t>
      </w:r>
      <w:r>
        <w:rPr>
          <w:rFonts w:ascii="Arial" w:hAnsi="Arial" w:cs="Arial"/>
          <w:i/>
          <w:iCs/>
        </w:rPr>
        <w:t>International Journal of Financial Studies</w:t>
      </w:r>
      <w:r>
        <w:rPr>
          <w:rFonts w:ascii="Arial" w:hAnsi="Arial" w:cs="Arial"/>
        </w:rPr>
        <w:t xml:space="preserve">, 12(4), pp. 112–112. Available at: </w:t>
      </w:r>
      <w:hyperlink r:id="rId66">
        <w:r w:rsidR="009D4E2F">
          <w:rPr>
            <w:rFonts w:ascii="Arial" w:hAnsi="Arial" w:cs="Arial"/>
            <w:color w:val="1155CC"/>
            <w:u w:val="single"/>
          </w:rPr>
          <w:t>https://doi.org/10.3390/ijfs12040112</w:t>
        </w:r>
      </w:hyperlink>
      <w:r>
        <w:rPr>
          <w:rFonts w:ascii="Arial" w:hAnsi="Arial" w:cs="Arial"/>
        </w:rPr>
        <w:t xml:space="preserve">. </w:t>
      </w:r>
    </w:p>
    <w:p w14:paraId="320EFF7C" w14:textId="77777777" w:rsidR="009D4E2F" w:rsidRDefault="00314650">
      <w:pPr>
        <w:spacing w:after="240"/>
        <w:rPr>
          <w:rFonts w:ascii="Arial" w:hAnsi="Arial" w:cs="Arial"/>
        </w:rPr>
      </w:pPr>
      <w:r>
        <w:rPr>
          <w:rFonts w:ascii="Arial" w:hAnsi="Arial" w:cs="Arial"/>
        </w:rPr>
        <w:t xml:space="preserve">Simply Wall St (2026) </w:t>
      </w:r>
      <w:r>
        <w:rPr>
          <w:rFonts w:ascii="Arial" w:hAnsi="Arial" w:cs="Arial"/>
          <w:i/>
          <w:iCs/>
        </w:rPr>
        <w:t xml:space="preserve">A Look </w:t>
      </w:r>
      <w:proofErr w:type="gramStart"/>
      <w:r>
        <w:rPr>
          <w:rFonts w:ascii="Arial" w:hAnsi="Arial" w:cs="Arial"/>
          <w:i/>
          <w:iCs/>
        </w:rPr>
        <w:t>At</w:t>
      </w:r>
      <w:proofErr w:type="gramEnd"/>
      <w:r>
        <w:rPr>
          <w:rFonts w:ascii="Arial" w:hAnsi="Arial" w:cs="Arial"/>
          <w:i/>
          <w:iCs/>
        </w:rPr>
        <w:t xml:space="preserve"> Hilton Worldwide Holdings (HLT) Valuation After Recent Share Price Strength</w:t>
      </w:r>
      <w:r>
        <w:rPr>
          <w:rFonts w:ascii="Arial" w:hAnsi="Arial" w:cs="Arial"/>
        </w:rPr>
        <w:t xml:space="preserve">, </w:t>
      </w:r>
      <w:r>
        <w:rPr>
          <w:rFonts w:ascii="Arial" w:hAnsi="Arial" w:cs="Arial"/>
          <w:i/>
          <w:iCs/>
        </w:rPr>
        <w:t>Yahoo Finance</w:t>
      </w:r>
      <w:r>
        <w:rPr>
          <w:rFonts w:ascii="Arial" w:hAnsi="Arial" w:cs="Arial"/>
        </w:rPr>
        <w:t xml:space="preserve">. Yahoo! Finance. Available at: </w:t>
      </w:r>
      <w:hyperlink r:id="rId67">
        <w:r w:rsidR="009D4E2F">
          <w:rPr>
            <w:rFonts w:ascii="Arial" w:hAnsi="Arial" w:cs="Arial"/>
            <w:color w:val="1155CC"/>
            <w:u w:val="single"/>
          </w:rPr>
          <w:t>https://finance.yahoo.com/news/look-hilton-worldwide-holdings-hlt-041502027.html</w:t>
        </w:r>
      </w:hyperlink>
      <w:r>
        <w:rPr>
          <w:rFonts w:ascii="Arial" w:hAnsi="Arial" w:cs="Arial"/>
        </w:rPr>
        <w:t xml:space="preserve"> </w:t>
      </w:r>
    </w:p>
    <w:p w14:paraId="046C0F91" w14:textId="77777777" w:rsidR="009D4E2F" w:rsidRDefault="00314650">
      <w:pPr>
        <w:spacing w:after="240"/>
        <w:rPr>
          <w:rFonts w:ascii="Arial" w:hAnsi="Arial" w:cs="Arial"/>
        </w:rPr>
      </w:pPr>
      <w:r>
        <w:rPr>
          <w:rFonts w:ascii="Arial" w:hAnsi="Arial" w:cs="Arial"/>
        </w:rPr>
        <w:lastRenderedPageBreak/>
        <w:t xml:space="preserve">SoFi (2020) </w:t>
      </w:r>
      <w:r>
        <w:rPr>
          <w:rFonts w:ascii="Arial" w:hAnsi="Arial" w:cs="Arial"/>
          <w:i/>
          <w:iCs/>
        </w:rPr>
        <w:t>Fixed vs Variable Rates Explained</w:t>
      </w:r>
      <w:r>
        <w:rPr>
          <w:rFonts w:ascii="Arial" w:hAnsi="Arial" w:cs="Arial"/>
        </w:rPr>
        <w:t xml:space="preserve">, </w:t>
      </w:r>
      <w:r>
        <w:rPr>
          <w:rFonts w:ascii="Arial" w:hAnsi="Arial" w:cs="Arial"/>
          <w:i/>
          <w:iCs/>
        </w:rPr>
        <w:t>SoFi</w:t>
      </w:r>
      <w:r>
        <w:rPr>
          <w:rFonts w:ascii="Arial" w:hAnsi="Arial" w:cs="Arial"/>
        </w:rPr>
        <w:t xml:space="preserve">. Available at: </w:t>
      </w:r>
      <w:hyperlink r:id="rId68">
        <w:r w:rsidR="009D4E2F">
          <w:rPr>
            <w:rFonts w:ascii="Arial" w:hAnsi="Arial" w:cs="Arial"/>
            <w:color w:val="1155CC"/>
            <w:u w:val="single"/>
          </w:rPr>
          <w:t>https://www.sofi.com/fixed-vs-variable-rate-loans/</w:t>
        </w:r>
      </w:hyperlink>
      <w:r>
        <w:rPr>
          <w:rFonts w:ascii="Arial" w:hAnsi="Arial" w:cs="Arial"/>
        </w:rPr>
        <w:t xml:space="preserve"> </w:t>
      </w:r>
    </w:p>
    <w:p w14:paraId="409DE725" w14:textId="77777777" w:rsidR="009D4E2F" w:rsidRDefault="00314650">
      <w:pPr>
        <w:spacing w:after="240"/>
        <w:rPr>
          <w:rFonts w:ascii="Arial" w:hAnsi="Arial" w:cs="Arial"/>
        </w:rPr>
      </w:pPr>
      <w:proofErr w:type="spellStart"/>
      <w:r>
        <w:rPr>
          <w:rFonts w:ascii="Arial" w:hAnsi="Arial" w:cs="Arial"/>
        </w:rPr>
        <w:t>Syaiful</w:t>
      </w:r>
      <w:proofErr w:type="spellEnd"/>
      <w:r>
        <w:rPr>
          <w:rFonts w:ascii="Arial" w:hAnsi="Arial" w:cs="Arial"/>
        </w:rPr>
        <w:t xml:space="preserve">, S. (2025) “Decision Analysis of Dividend Distribution versus Share Buyback in Shareholder Value Strategy,” </w:t>
      </w:r>
      <w:r>
        <w:rPr>
          <w:rFonts w:ascii="Arial" w:hAnsi="Arial" w:cs="Arial"/>
          <w:i/>
          <w:iCs/>
        </w:rPr>
        <w:t>Advances in Management &amp; Financial Reporting</w:t>
      </w:r>
      <w:r>
        <w:rPr>
          <w:rFonts w:ascii="Arial" w:hAnsi="Arial" w:cs="Arial"/>
        </w:rPr>
        <w:t xml:space="preserve">, 3(1), pp. 43–56. Available at: </w:t>
      </w:r>
      <w:hyperlink r:id="rId69">
        <w:r w:rsidR="009D4E2F">
          <w:rPr>
            <w:rFonts w:ascii="Arial" w:hAnsi="Arial" w:cs="Arial"/>
            <w:color w:val="1155CC"/>
            <w:u w:val="single"/>
          </w:rPr>
          <w:t>https://doi.org/10.60079/amfr.v3i1.433</w:t>
        </w:r>
      </w:hyperlink>
      <w:r>
        <w:rPr>
          <w:rFonts w:ascii="Arial" w:hAnsi="Arial" w:cs="Arial"/>
        </w:rPr>
        <w:t xml:space="preserve">. </w:t>
      </w:r>
    </w:p>
    <w:p w14:paraId="04B95C7F" w14:textId="77777777" w:rsidR="009D4E2F" w:rsidRDefault="00314650">
      <w:pPr>
        <w:spacing w:after="240"/>
        <w:rPr>
          <w:rFonts w:ascii="Arial" w:hAnsi="Arial" w:cs="Arial"/>
        </w:rPr>
      </w:pPr>
      <w:r>
        <w:rPr>
          <w:rFonts w:ascii="Arial" w:hAnsi="Arial" w:cs="Arial"/>
        </w:rPr>
        <w:t xml:space="preserve">Tulum, C. and Maya, R. (2023) </w:t>
      </w:r>
      <w:r>
        <w:rPr>
          <w:rFonts w:ascii="Arial" w:hAnsi="Arial" w:cs="Arial"/>
          <w:i/>
          <w:iCs/>
        </w:rPr>
        <w:t>Investor Presentation</w:t>
      </w:r>
      <w:r>
        <w:rPr>
          <w:rFonts w:ascii="Arial" w:hAnsi="Arial" w:cs="Arial"/>
        </w:rPr>
        <w:t xml:space="preserve">. Available at: </w:t>
      </w:r>
      <w:hyperlink r:id="rId70">
        <w:r w:rsidR="009D4E2F">
          <w:rPr>
            <w:rFonts w:ascii="Arial" w:hAnsi="Arial" w:cs="Arial"/>
            <w:color w:val="1155CC"/>
            <w:u w:val="single"/>
          </w:rPr>
          <w:t>https://ir.hilton.com/~/media/Files/H/Hilton-Worldwide-IR-V3/presentations/hlt-investor-presentation-august-2023.pdf</w:t>
        </w:r>
      </w:hyperlink>
      <w:r>
        <w:rPr>
          <w:rFonts w:ascii="Arial" w:hAnsi="Arial" w:cs="Arial"/>
        </w:rPr>
        <w:t xml:space="preserve"> </w:t>
      </w:r>
    </w:p>
    <w:p w14:paraId="561E36BF" w14:textId="77777777" w:rsidR="009D4E2F" w:rsidRDefault="00314650">
      <w:pPr>
        <w:spacing w:after="240"/>
        <w:rPr>
          <w:rFonts w:ascii="Arial" w:hAnsi="Arial" w:cs="Arial"/>
        </w:rPr>
      </w:pPr>
      <w:proofErr w:type="spellStart"/>
      <w:r>
        <w:rPr>
          <w:rFonts w:ascii="Arial" w:hAnsi="Arial" w:cs="Arial"/>
        </w:rPr>
        <w:t>Umbrex</w:t>
      </w:r>
      <w:proofErr w:type="spellEnd"/>
      <w:r>
        <w:rPr>
          <w:rFonts w:ascii="Arial" w:hAnsi="Arial" w:cs="Arial"/>
        </w:rPr>
        <w:t xml:space="preserve"> (2026) </w:t>
      </w:r>
      <w:r>
        <w:rPr>
          <w:rFonts w:ascii="Arial" w:hAnsi="Arial" w:cs="Arial"/>
          <w:i/>
          <w:iCs/>
        </w:rPr>
        <w:t>Hilton Strategy and Business Model</w:t>
      </w:r>
      <w:r>
        <w:rPr>
          <w:rFonts w:ascii="Arial" w:hAnsi="Arial" w:cs="Arial"/>
        </w:rPr>
        <w:t xml:space="preserve">, </w:t>
      </w:r>
      <w:r>
        <w:rPr>
          <w:rFonts w:ascii="Arial" w:hAnsi="Arial" w:cs="Arial"/>
          <w:i/>
          <w:iCs/>
        </w:rPr>
        <w:t>Independent Management Consultants</w:t>
      </w:r>
      <w:r>
        <w:rPr>
          <w:rFonts w:ascii="Arial" w:hAnsi="Arial" w:cs="Arial"/>
        </w:rPr>
        <w:t xml:space="preserve">. Available at: </w:t>
      </w:r>
      <w:hyperlink r:id="rId71">
        <w:r w:rsidR="009D4E2F">
          <w:rPr>
            <w:rFonts w:ascii="Arial" w:hAnsi="Arial" w:cs="Arial"/>
            <w:color w:val="1155CC"/>
            <w:u w:val="single"/>
          </w:rPr>
          <w:t>https://umbrex.com/resources/company-profiles/hilton/</w:t>
        </w:r>
      </w:hyperlink>
      <w:r>
        <w:rPr>
          <w:rFonts w:ascii="Arial" w:hAnsi="Arial" w:cs="Arial"/>
        </w:rPr>
        <w:t xml:space="preserve"> </w:t>
      </w:r>
    </w:p>
    <w:p w14:paraId="60272995" w14:textId="77777777" w:rsidR="009D4E2F" w:rsidRDefault="00314650">
      <w:pPr>
        <w:spacing w:after="240"/>
        <w:rPr>
          <w:rFonts w:ascii="Arial" w:hAnsi="Arial" w:cs="Arial"/>
        </w:rPr>
      </w:pPr>
      <w:proofErr w:type="spellStart"/>
      <w:r>
        <w:rPr>
          <w:rFonts w:ascii="Arial" w:hAnsi="Arial" w:cs="Arial"/>
        </w:rPr>
        <w:t>Velickovic</w:t>
      </w:r>
      <w:proofErr w:type="spellEnd"/>
      <w:r>
        <w:rPr>
          <w:rFonts w:ascii="Arial" w:hAnsi="Arial" w:cs="Arial"/>
        </w:rPr>
        <w:t xml:space="preserve">, G., Stanojevic, J. and Veselinovic, M. (2023) “Managing Financial Performance toward Achievements in Sustainability Prospects: Comparative Analysis of the e-Commerce and Hospitality Industries,” </w:t>
      </w:r>
      <w:r>
        <w:rPr>
          <w:rFonts w:ascii="Arial" w:hAnsi="Arial" w:cs="Arial"/>
          <w:i/>
          <w:iCs/>
        </w:rPr>
        <w:t>Journal of Risk and Financial Management</w:t>
      </w:r>
      <w:r>
        <w:rPr>
          <w:rFonts w:ascii="Arial" w:hAnsi="Arial" w:cs="Arial"/>
        </w:rPr>
        <w:t xml:space="preserve">, 16(9), p. 395. Available at: </w:t>
      </w:r>
      <w:hyperlink r:id="rId72">
        <w:r w:rsidR="009D4E2F">
          <w:rPr>
            <w:rFonts w:ascii="Arial" w:hAnsi="Arial" w:cs="Arial"/>
            <w:color w:val="1155CC"/>
            <w:u w:val="single"/>
          </w:rPr>
          <w:t>https://doi.org/10.3390/jrfm16090395</w:t>
        </w:r>
      </w:hyperlink>
      <w:r>
        <w:rPr>
          <w:rFonts w:ascii="Arial" w:hAnsi="Arial" w:cs="Arial"/>
        </w:rPr>
        <w:t xml:space="preserve">. </w:t>
      </w:r>
    </w:p>
    <w:p w14:paraId="59731E0E" w14:textId="77777777" w:rsidR="009D4E2F" w:rsidRDefault="00314650">
      <w:pPr>
        <w:spacing w:after="240"/>
        <w:rPr>
          <w:rFonts w:ascii="Arial" w:hAnsi="Arial" w:cs="Arial"/>
        </w:rPr>
      </w:pPr>
      <w:r>
        <w:rPr>
          <w:rFonts w:ascii="Arial" w:hAnsi="Arial" w:cs="Arial"/>
        </w:rPr>
        <w:t xml:space="preserve">Vora, R. (2026) </w:t>
      </w:r>
      <w:r>
        <w:rPr>
          <w:rFonts w:ascii="Arial" w:hAnsi="Arial" w:cs="Arial"/>
          <w:i/>
          <w:iCs/>
        </w:rPr>
        <w:t xml:space="preserve">Vendor Financing vs Trade Credit | Which Suits Your </w:t>
      </w:r>
      <w:proofErr w:type="gramStart"/>
      <w:r>
        <w:rPr>
          <w:rFonts w:ascii="Arial" w:hAnsi="Arial" w:cs="Arial"/>
          <w:i/>
          <w:iCs/>
        </w:rPr>
        <w:t>Business?</w:t>
      </w:r>
      <w:r>
        <w:rPr>
          <w:rFonts w:ascii="Arial" w:hAnsi="Arial" w:cs="Arial"/>
        </w:rPr>
        <w:t>,</w:t>
      </w:r>
      <w:proofErr w:type="gramEnd"/>
      <w:r>
        <w:rPr>
          <w:rFonts w:ascii="Arial" w:hAnsi="Arial" w:cs="Arial"/>
        </w:rPr>
        <w:t xml:space="preserve"> </w:t>
      </w:r>
      <w:r>
        <w:rPr>
          <w:rFonts w:ascii="Arial" w:hAnsi="Arial" w:cs="Arial"/>
          <w:i/>
          <w:iCs/>
        </w:rPr>
        <w:t>Dripcapital.com</w:t>
      </w:r>
      <w:r>
        <w:rPr>
          <w:rFonts w:ascii="Arial" w:hAnsi="Arial" w:cs="Arial"/>
        </w:rPr>
        <w:t xml:space="preserve">. Available at: </w:t>
      </w:r>
      <w:hyperlink r:id="rId73">
        <w:r w:rsidR="009D4E2F">
          <w:rPr>
            <w:rFonts w:ascii="Arial" w:hAnsi="Arial" w:cs="Arial"/>
            <w:color w:val="1155CC"/>
            <w:u w:val="single"/>
          </w:rPr>
          <w:t>https://www.dripcapital.com/resources/blog/vendor-financing-vs-trade-credit</w:t>
        </w:r>
      </w:hyperlink>
      <w:r>
        <w:rPr>
          <w:rFonts w:ascii="Arial" w:hAnsi="Arial" w:cs="Arial"/>
        </w:rPr>
        <w:t xml:space="preserve"> </w:t>
      </w:r>
    </w:p>
    <w:p w14:paraId="3054F2A0" w14:textId="77777777" w:rsidR="009D4E2F" w:rsidRDefault="00314650">
      <w:pPr>
        <w:spacing w:after="240"/>
        <w:rPr>
          <w:rFonts w:ascii="Arial" w:hAnsi="Arial" w:cs="Arial"/>
        </w:rPr>
      </w:pPr>
      <w:r>
        <w:rPr>
          <w:rFonts w:ascii="Arial" w:hAnsi="Arial" w:cs="Arial"/>
        </w:rPr>
        <w:t xml:space="preserve">Wilson, E. (2025) </w:t>
      </w:r>
      <w:r>
        <w:rPr>
          <w:rFonts w:ascii="Arial" w:hAnsi="Arial" w:cs="Arial"/>
          <w:i/>
          <w:iCs/>
        </w:rPr>
        <w:t>IRR Exposed: How the Internal Rate of Return Can Mislead Investors</w:t>
      </w:r>
      <w:r>
        <w:rPr>
          <w:rFonts w:ascii="Arial" w:hAnsi="Arial" w:cs="Arial"/>
        </w:rPr>
        <w:t xml:space="preserve">, </w:t>
      </w:r>
      <w:r>
        <w:rPr>
          <w:rFonts w:ascii="Arial" w:hAnsi="Arial" w:cs="Arial"/>
          <w:i/>
          <w:iCs/>
        </w:rPr>
        <w:t>Freedomventure.com</w:t>
      </w:r>
      <w:r>
        <w:rPr>
          <w:rFonts w:ascii="Arial" w:hAnsi="Arial" w:cs="Arial"/>
        </w:rPr>
        <w:t xml:space="preserve">. Available at: </w:t>
      </w:r>
      <w:hyperlink r:id="rId74">
        <w:r w:rsidR="009D4E2F">
          <w:rPr>
            <w:rFonts w:ascii="Arial" w:hAnsi="Arial" w:cs="Arial"/>
            <w:color w:val="1155CC"/>
            <w:u w:val="single"/>
          </w:rPr>
          <w:t>https://www.freedomventure.com/blogs/irr-exposed-how-the-internal-rate-of-return-can-mislead-investors</w:t>
        </w:r>
      </w:hyperlink>
      <w:r>
        <w:rPr>
          <w:rFonts w:ascii="Arial" w:hAnsi="Arial" w:cs="Arial"/>
        </w:rPr>
        <w:t xml:space="preserve"> </w:t>
      </w:r>
    </w:p>
    <w:p w14:paraId="45ECC169" w14:textId="77777777" w:rsidR="009D4E2F" w:rsidRDefault="00314650">
      <w:pPr>
        <w:spacing w:after="240"/>
        <w:rPr>
          <w:rFonts w:ascii="Arial" w:hAnsi="Arial" w:cs="Arial"/>
        </w:rPr>
      </w:pPr>
      <w:r>
        <w:rPr>
          <w:rFonts w:ascii="Arial" w:hAnsi="Arial" w:cs="Arial"/>
        </w:rPr>
        <w:t xml:space="preserve">Yahoo Finance (2025) </w:t>
      </w:r>
      <w:r>
        <w:rPr>
          <w:rFonts w:ascii="Arial" w:hAnsi="Arial" w:cs="Arial"/>
          <w:i/>
          <w:iCs/>
        </w:rPr>
        <w:t>Hilton Worldwide Holdings Inc. (HLT) Cash Flow - Yahoo Finance - Yahoo Finance</w:t>
      </w:r>
      <w:r>
        <w:rPr>
          <w:rFonts w:ascii="Arial" w:hAnsi="Arial" w:cs="Arial"/>
        </w:rPr>
        <w:t xml:space="preserve">, </w:t>
      </w:r>
      <w:r>
        <w:rPr>
          <w:rFonts w:ascii="Arial" w:hAnsi="Arial" w:cs="Arial"/>
          <w:i/>
          <w:iCs/>
        </w:rPr>
        <w:t>Finance.yahoo.com</w:t>
      </w:r>
      <w:r>
        <w:rPr>
          <w:rFonts w:ascii="Arial" w:hAnsi="Arial" w:cs="Arial"/>
        </w:rPr>
        <w:t xml:space="preserve">. Available at: </w:t>
      </w:r>
      <w:hyperlink r:id="rId75">
        <w:r w:rsidR="009D4E2F">
          <w:rPr>
            <w:rFonts w:ascii="Arial" w:hAnsi="Arial" w:cs="Arial"/>
            <w:color w:val="1155CC"/>
            <w:u w:val="single"/>
          </w:rPr>
          <w:t>https://finance.yahoo.com/quote/HLT/cash-flow/</w:t>
        </w:r>
      </w:hyperlink>
      <w:r>
        <w:rPr>
          <w:rFonts w:ascii="Arial" w:hAnsi="Arial" w:cs="Arial"/>
        </w:rPr>
        <w:t xml:space="preserve"> </w:t>
      </w:r>
    </w:p>
    <w:p w14:paraId="26C4B875" w14:textId="77777777" w:rsidR="009D4E2F" w:rsidRDefault="009D4E2F">
      <w:pPr>
        <w:rPr>
          <w:rFonts w:ascii="Arial" w:hAnsi="Arial" w:cs="Arial"/>
        </w:rPr>
      </w:pPr>
    </w:p>
    <w:p w14:paraId="63E515C7" w14:textId="77777777" w:rsidR="009D4E2F" w:rsidRDefault="00314650">
      <w:pPr>
        <w:rPr>
          <w:rFonts w:ascii="Arial" w:hAnsi="Arial" w:cs="Arial"/>
          <w:b/>
          <w:bCs/>
        </w:rPr>
      </w:pPr>
      <w:r>
        <w:rPr>
          <w:rFonts w:ascii="Arial" w:hAnsi="Arial" w:cs="Arial"/>
        </w:rPr>
        <w:br w:type="page"/>
      </w:r>
    </w:p>
    <w:p w14:paraId="668152C0" w14:textId="77777777" w:rsidR="009D4E2F" w:rsidRDefault="00314650">
      <w:pPr>
        <w:pStyle w:val="Heading1"/>
        <w:keepNext w:val="0"/>
        <w:keepLines w:val="0"/>
        <w:spacing w:before="360" w:after="80"/>
        <w:rPr>
          <w:rFonts w:ascii="Arial" w:hAnsi="Arial" w:cs="Arial"/>
          <w:sz w:val="24"/>
          <w:szCs w:val="24"/>
        </w:rPr>
      </w:pPr>
      <w:bookmarkStart w:id="57" w:name="_Toc237472629"/>
      <w:r>
        <w:rPr>
          <w:rFonts w:ascii="Arial" w:hAnsi="Arial" w:cs="Arial"/>
          <w:sz w:val="24"/>
          <w:szCs w:val="24"/>
        </w:rPr>
        <w:lastRenderedPageBreak/>
        <w:t>Appendices</w:t>
      </w:r>
      <w:bookmarkEnd w:id="57"/>
    </w:p>
    <w:p w14:paraId="0A507954" w14:textId="77777777" w:rsidR="009D4E2F" w:rsidRDefault="00314650">
      <w:pPr>
        <w:pStyle w:val="Heading2"/>
        <w:keepNext w:val="0"/>
        <w:keepLines w:val="0"/>
        <w:spacing w:before="280" w:after="80"/>
        <w:rPr>
          <w:rFonts w:ascii="Arial" w:hAnsi="Arial" w:cs="Arial"/>
        </w:rPr>
      </w:pPr>
      <w:bookmarkStart w:id="58" w:name="_Toc237472630"/>
      <w:r>
        <w:rPr>
          <w:rFonts w:ascii="Arial" w:hAnsi="Arial" w:cs="Arial"/>
        </w:rPr>
        <w:t>Appendix A: Financial Ratio Tables</w:t>
      </w:r>
      <w:bookmarkEnd w:id="58"/>
    </w:p>
    <w:tbl>
      <w:tblPr>
        <w:tblStyle w:val="TableGrid"/>
        <w:tblW w:w="0" w:type="auto"/>
        <w:tblLook w:val="04A0" w:firstRow="1" w:lastRow="0" w:firstColumn="1" w:lastColumn="0" w:noHBand="0" w:noVBand="1"/>
      </w:tblPr>
      <w:tblGrid>
        <w:gridCol w:w="3368"/>
        <w:gridCol w:w="707"/>
        <w:gridCol w:w="1055"/>
        <w:gridCol w:w="1055"/>
        <w:gridCol w:w="1055"/>
        <w:gridCol w:w="1055"/>
        <w:gridCol w:w="1055"/>
      </w:tblGrid>
      <w:tr w:rsidR="009D4E2F" w14:paraId="7D57CC78" w14:textId="77777777">
        <w:trPr>
          <w:trHeight w:val="390"/>
        </w:trPr>
        <w:tc>
          <w:tcPr>
            <w:tcW w:w="13880" w:type="dxa"/>
            <w:gridSpan w:val="7"/>
            <w:noWrap/>
          </w:tcPr>
          <w:p w14:paraId="4C4B3C5E" w14:textId="77777777" w:rsidR="009D4E2F" w:rsidRDefault="00314650">
            <w:pPr>
              <w:spacing w:after="0"/>
              <w:rPr>
                <w:rFonts w:ascii="Arial" w:hAnsi="Arial" w:cs="Arial"/>
                <w:b/>
                <w:bCs/>
              </w:rPr>
            </w:pPr>
            <w:r>
              <w:rPr>
                <w:rFonts w:ascii="Arial" w:hAnsi="Arial" w:cs="Arial"/>
                <w:b/>
                <w:bCs/>
              </w:rPr>
              <w:t>1. PROFITABILITY RATIOS</w:t>
            </w:r>
          </w:p>
        </w:tc>
      </w:tr>
      <w:tr w:rsidR="009D4E2F" w14:paraId="3D57714F" w14:textId="77777777">
        <w:trPr>
          <w:trHeight w:val="288"/>
        </w:trPr>
        <w:tc>
          <w:tcPr>
            <w:tcW w:w="5285" w:type="dxa"/>
            <w:noWrap/>
          </w:tcPr>
          <w:p w14:paraId="2C4C0E22" w14:textId="77777777" w:rsidR="009D4E2F" w:rsidRDefault="00314650">
            <w:pPr>
              <w:spacing w:after="0"/>
              <w:rPr>
                <w:rFonts w:ascii="Arial" w:hAnsi="Arial" w:cs="Arial"/>
                <w:b/>
                <w:bCs/>
              </w:rPr>
            </w:pPr>
            <w:r>
              <w:rPr>
                <w:rFonts w:ascii="Arial" w:hAnsi="Arial" w:cs="Arial"/>
                <w:b/>
                <w:bCs/>
              </w:rPr>
              <w:t>Particulars</w:t>
            </w:r>
          </w:p>
        </w:tc>
        <w:tc>
          <w:tcPr>
            <w:tcW w:w="765" w:type="dxa"/>
            <w:noWrap/>
          </w:tcPr>
          <w:p w14:paraId="7CC6EF9C"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76E33BE3"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067D7C5D"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1718A9DE"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28397853"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3FC9D75A" w14:textId="77777777" w:rsidR="009D4E2F" w:rsidRDefault="00314650">
            <w:pPr>
              <w:spacing w:after="0"/>
              <w:rPr>
                <w:rFonts w:ascii="Arial" w:hAnsi="Arial" w:cs="Arial"/>
                <w:b/>
                <w:bCs/>
              </w:rPr>
            </w:pPr>
            <w:r>
              <w:rPr>
                <w:rFonts w:ascii="Arial" w:hAnsi="Arial" w:cs="Arial"/>
                <w:b/>
                <w:bCs/>
              </w:rPr>
              <w:t>2025</w:t>
            </w:r>
          </w:p>
        </w:tc>
      </w:tr>
      <w:tr w:rsidR="009D4E2F" w14:paraId="1064D203" w14:textId="77777777">
        <w:trPr>
          <w:trHeight w:val="288"/>
        </w:trPr>
        <w:tc>
          <w:tcPr>
            <w:tcW w:w="5285" w:type="dxa"/>
            <w:noWrap/>
          </w:tcPr>
          <w:p w14:paraId="5EA2C6D4" w14:textId="77777777" w:rsidR="009D4E2F" w:rsidRDefault="00314650">
            <w:pPr>
              <w:spacing w:after="0"/>
              <w:rPr>
                <w:rFonts w:ascii="Arial" w:hAnsi="Arial" w:cs="Arial"/>
              </w:rPr>
            </w:pPr>
            <w:r>
              <w:rPr>
                <w:rFonts w:ascii="Arial" w:hAnsi="Arial" w:cs="Arial"/>
              </w:rPr>
              <w:t>Revenue (USD M)</w:t>
            </w:r>
          </w:p>
        </w:tc>
        <w:tc>
          <w:tcPr>
            <w:tcW w:w="765" w:type="dxa"/>
            <w:noWrap/>
          </w:tcPr>
          <w:p w14:paraId="25B298C5" w14:textId="77777777" w:rsidR="009D4E2F" w:rsidRDefault="00314650">
            <w:pPr>
              <w:spacing w:after="0"/>
              <w:rPr>
                <w:rFonts w:ascii="Arial" w:hAnsi="Arial" w:cs="Arial"/>
                <w:b/>
                <w:bCs/>
              </w:rPr>
            </w:pPr>
            <w:r>
              <w:rPr>
                <w:rFonts w:ascii="Arial" w:hAnsi="Arial" w:cs="Arial"/>
                <w:b/>
                <w:bCs/>
              </w:rPr>
              <w:t>A</w:t>
            </w:r>
          </w:p>
        </w:tc>
        <w:tc>
          <w:tcPr>
            <w:tcW w:w="1566" w:type="dxa"/>
            <w:noWrap/>
          </w:tcPr>
          <w:p w14:paraId="4F9B8AAB" w14:textId="77777777" w:rsidR="009D4E2F" w:rsidRDefault="00314650">
            <w:pPr>
              <w:spacing w:after="0"/>
              <w:rPr>
                <w:rFonts w:ascii="Arial" w:hAnsi="Arial" w:cs="Arial"/>
              </w:rPr>
            </w:pPr>
            <w:r>
              <w:rPr>
                <w:rFonts w:ascii="Arial" w:hAnsi="Arial" w:cs="Arial"/>
              </w:rPr>
              <w:t xml:space="preserve"> $           5,788 </w:t>
            </w:r>
          </w:p>
        </w:tc>
        <w:tc>
          <w:tcPr>
            <w:tcW w:w="1566" w:type="dxa"/>
            <w:noWrap/>
          </w:tcPr>
          <w:p w14:paraId="1D239871" w14:textId="77777777" w:rsidR="009D4E2F" w:rsidRDefault="00314650">
            <w:pPr>
              <w:spacing w:after="0"/>
              <w:rPr>
                <w:rFonts w:ascii="Arial" w:hAnsi="Arial" w:cs="Arial"/>
              </w:rPr>
            </w:pPr>
            <w:r>
              <w:rPr>
                <w:rFonts w:ascii="Arial" w:hAnsi="Arial" w:cs="Arial"/>
              </w:rPr>
              <w:t xml:space="preserve"> $           8,773 </w:t>
            </w:r>
          </w:p>
        </w:tc>
        <w:tc>
          <w:tcPr>
            <w:tcW w:w="1566" w:type="dxa"/>
            <w:noWrap/>
          </w:tcPr>
          <w:p w14:paraId="799BE41D" w14:textId="77777777" w:rsidR="009D4E2F" w:rsidRDefault="00314650">
            <w:pPr>
              <w:spacing w:after="0"/>
              <w:rPr>
                <w:rFonts w:ascii="Arial" w:hAnsi="Arial" w:cs="Arial"/>
              </w:rPr>
            </w:pPr>
            <w:r>
              <w:rPr>
                <w:rFonts w:ascii="Arial" w:hAnsi="Arial" w:cs="Arial"/>
              </w:rPr>
              <w:t xml:space="preserve"> $           8,235 </w:t>
            </w:r>
          </w:p>
        </w:tc>
        <w:tc>
          <w:tcPr>
            <w:tcW w:w="1566" w:type="dxa"/>
            <w:noWrap/>
          </w:tcPr>
          <w:p w14:paraId="6C8B2E29" w14:textId="77777777" w:rsidR="009D4E2F" w:rsidRDefault="00314650">
            <w:pPr>
              <w:spacing w:after="0"/>
              <w:rPr>
                <w:rFonts w:ascii="Arial" w:hAnsi="Arial" w:cs="Arial"/>
              </w:rPr>
            </w:pPr>
            <w:r>
              <w:rPr>
                <w:rFonts w:ascii="Arial" w:hAnsi="Arial" w:cs="Arial"/>
              </w:rPr>
              <w:t xml:space="preserve"> $          11,174 </w:t>
            </w:r>
          </w:p>
        </w:tc>
        <w:tc>
          <w:tcPr>
            <w:tcW w:w="1566" w:type="dxa"/>
            <w:noWrap/>
          </w:tcPr>
          <w:p w14:paraId="3276BE07" w14:textId="77777777" w:rsidR="009D4E2F" w:rsidRDefault="00314650">
            <w:pPr>
              <w:spacing w:after="0"/>
              <w:rPr>
                <w:rFonts w:ascii="Arial" w:hAnsi="Arial" w:cs="Arial"/>
              </w:rPr>
            </w:pPr>
            <w:r>
              <w:rPr>
                <w:rFonts w:ascii="Arial" w:hAnsi="Arial" w:cs="Arial"/>
              </w:rPr>
              <w:t xml:space="preserve"> $          12,039 </w:t>
            </w:r>
          </w:p>
        </w:tc>
      </w:tr>
      <w:tr w:rsidR="009D4E2F" w14:paraId="4DD8F927" w14:textId="77777777">
        <w:trPr>
          <w:trHeight w:val="288"/>
        </w:trPr>
        <w:tc>
          <w:tcPr>
            <w:tcW w:w="5285" w:type="dxa"/>
            <w:noWrap/>
          </w:tcPr>
          <w:p w14:paraId="06D96ACD" w14:textId="77777777" w:rsidR="009D4E2F" w:rsidRDefault="00314650">
            <w:pPr>
              <w:spacing w:after="0"/>
              <w:rPr>
                <w:rFonts w:ascii="Arial" w:hAnsi="Arial" w:cs="Arial"/>
              </w:rPr>
            </w:pPr>
            <w:r>
              <w:rPr>
                <w:rFonts w:ascii="Arial" w:hAnsi="Arial" w:cs="Arial"/>
              </w:rPr>
              <w:t>Gross Profit (USD M)</w:t>
            </w:r>
          </w:p>
        </w:tc>
        <w:tc>
          <w:tcPr>
            <w:tcW w:w="765" w:type="dxa"/>
            <w:noWrap/>
          </w:tcPr>
          <w:p w14:paraId="5DE2E64E" w14:textId="77777777" w:rsidR="009D4E2F" w:rsidRDefault="00314650">
            <w:pPr>
              <w:spacing w:after="0"/>
              <w:rPr>
                <w:rFonts w:ascii="Arial" w:hAnsi="Arial" w:cs="Arial"/>
                <w:b/>
                <w:bCs/>
              </w:rPr>
            </w:pPr>
            <w:r>
              <w:rPr>
                <w:rFonts w:ascii="Arial" w:hAnsi="Arial" w:cs="Arial"/>
                <w:b/>
                <w:bCs/>
              </w:rPr>
              <w:t>B</w:t>
            </w:r>
          </w:p>
        </w:tc>
        <w:tc>
          <w:tcPr>
            <w:tcW w:w="1566" w:type="dxa"/>
            <w:noWrap/>
          </w:tcPr>
          <w:p w14:paraId="64AA2223" w14:textId="77777777" w:rsidR="009D4E2F" w:rsidRDefault="00314650">
            <w:pPr>
              <w:spacing w:after="0"/>
              <w:rPr>
                <w:rFonts w:ascii="Arial" w:hAnsi="Arial" w:cs="Arial"/>
              </w:rPr>
            </w:pPr>
            <w:r>
              <w:rPr>
                <w:rFonts w:ascii="Arial" w:hAnsi="Arial" w:cs="Arial"/>
              </w:rPr>
              <w:t xml:space="preserve"> $           1,655 </w:t>
            </w:r>
          </w:p>
        </w:tc>
        <w:tc>
          <w:tcPr>
            <w:tcW w:w="1566" w:type="dxa"/>
            <w:noWrap/>
          </w:tcPr>
          <w:p w14:paraId="6DEC96D1" w14:textId="77777777" w:rsidR="009D4E2F" w:rsidRDefault="00314650">
            <w:pPr>
              <w:spacing w:after="0"/>
              <w:rPr>
                <w:rFonts w:ascii="Arial" w:hAnsi="Arial" w:cs="Arial"/>
              </w:rPr>
            </w:pPr>
            <w:r>
              <w:rPr>
                <w:rFonts w:ascii="Arial" w:hAnsi="Arial" w:cs="Arial"/>
              </w:rPr>
              <w:t xml:space="preserve"> $           2,698 </w:t>
            </w:r>
          </w:p>
        </w:tc>
        <w:tc>
          <w:tcPr>
            <w:tcW w:w="1566" w:type="dxa"/>
            <w:noWrap/>
          </w:tcPr>
          <w:p w14:paraId="2862C4AA" w14:textId="77777777" w:rsidR="009D4E2F" w:rsidRDefault="00314650">
            <w:pPr>
              <w:spacing w:after="0"/>
              <w:rPr>
                <w:rFonts w:ascii="Arial" w:hAnsi="Arial" w:cs="Arial"/>
              </w:rPr>
            </w:pPr>
            <w:r>
              <w:rPr>
                <w:rFonts w:ascii="Arial" w:hAnsi="Arial" w:cs="Arial"/>
              </w:rPr>
              <w:t xml:space="preserve"> $              930 </w:t>
            </w:r>
          </w:p>
        </w:tc>
        <w:tc>
          <w:tcPr>
            <w:tcW w:w="1566" w:type="dxa"/>
            <w:noWrap/>
          </w:tcPr>
          <w:p w14:paraId="701F8798" w14:textId="77777777" w:rsidR="009D4E2F" w:rsidRDefault="00314650">
            <w:pPr>
              <w:spacing w:after="0"/>
              <w:rPr>
                <w:rFonts w:ascii="Arial" w:hAnsi="Arial" w:cs="Arial"/>
              </w:rPr>
            </w:pPr>
            <w:r>
              <w:rPr>
                <w:rFonts w:ascii="Arial" w:hAnsi="Arial" w:cs="Arial"/>
              </w:rPr>
              <w:t xml:space="preserve"> $           3,063 </w:t>
            </w:r>
          </w:p>
        </w:tc>
        <w:tc>
          <w:tcPr>
            <w:tcW w:w="1566" w:type="dxa"/>
            <w:noWrap/>
          </w:tcPr>
          <w:p w14:paraId="04A1CA42" w14:textId="77777777" w:rsidR="009D4E2F" w:rsidRDefault="00314650">
            <w:pPr>
              <w:spacing w:after="0"/>
              <w:rPr>
                <w:rFonts w:ascii="Arial" w:hAnsi="Arial" w:cs="Arial"/>
              </w:rPr>
            </w:pPr>
            <w:r>
              <w:rPr>
                <w:rFonts w:ascii="Arial" w:hAnsi="Arial" w:cs="Arial"/>
              </w:rPr>
              <w:t xml:space="preserve"> $           3,395 </w:t>
            </w:r>
          </w:p>
        </w:tc>
      </w:tr>
      <w:tr w:rsidR="009D4E2F" w14:paraId="59D9EF2F" w14:textId="77777777">
        <w:trPr>
          <w:trHeight w:val="288"/>
        </w:trPr>
        <w:tc>
          <w:tcPr>
            <w:tcW w:w="5285" w:type="dxa"/>
            <w:noWrap/>
          </w:tcPr>
          <w:p w14:paraId="17DB2955" w14:textId="77777777" w:rsidR="009D4E2F" w:rsidRDefault="00314650">
            <w:pPr>
              <w:spacing w:after="0"/>
              <w:rPr>
                <w:rFonts w:ascii="Arial" w:hAnsi="Arial" w:cs="Arial"/>
              </w:rPr>
            </w:pPr>
            <w:r>
              <w:rPr>
                <w:rFonts w:ascii="Arial" w:hAnsi="Arial" w:cs="Arial"/>
              </w:rPr>
              <w:t>EBIT / Operating Profit (USD M)</w:t>
            </w:r>
          </w:p>
        </w:tc>
        <w:tc>
          <w:tcPr>
            <w:tcW w:w="765" w:type="dxa"/>
            <w:noWrap/>
          </w:tcPr>
          <w:p w14:paraId="4DCD6564" w14:textId="77777777" w:rsidR="009D4E2F" w:rsidRDefault="00314650">
            <w:pPr>
              <w:spacing w:after="0"/>
              <w:rPr>
                <w:rFonts w:ascii="Arial" w:hAnsi="Arial" w:cs="Arial"/>
                <w:b/>
                <w:bCs/>
              </w:rPr>
            </w:pPr>
            <w:r>
              <w:rPr>
                <w:rFonts w:ascii="Arial" w:hAnsi="Arial" w:cs="Arial"/>
                <w:b/>
                <w:bCs/>
              </w:rPr>
              <w:t>C</w:t>
            </w:r>
          </w:p>
        </w:tc>
        <w:tc>
          <w:tcPr>
            <w:tcW w:w="1566" w:type="dxa"/>
            <w:noWrap/>
          </w:tcPr>
          <w:p w14:paraId="5BB77A0E" w14:textId="77777777" w:rsidR="009D4E2F" w:rsidRDefault="00314650">
            <w:pPr>
              <w:spacing w:after="0"/>
              <w:rPr>
                <w:rFonts w:ascii="Arial" w:hAnsi="Arial" w:cs="Arial"/>
              </w:rPr>
            </w:pPr>
            <w:r>
              <w:rPr>
                <w:rFonts w:ascii="Arial" w:hAnsi="Arial" w:cs="Arial"/>
              </w:rPr>
              <w:t xml:space="preserve"> $              333 </w:t>
            </w:r>
          </w:p>
        </w:tc>
        <w:tc>
          <w:tcPr>
            <w:tcW w:w="1566" w:type="dxa"/>
            <w:noWrap/>
          </w:tcPr>
          <w:p w14:paraId="28D244ED" w14:textId="77777777" w:rsidR="009D4E2F" w:rsidRDefault="00314650">
            <w:pPr>
              <w:spacing w:after="0"/>
              <w:rPr>
                <w:rFonts w:ascii="Arial" w:hAnsi="Arial" w:cs="Arial"/>
              </w:rPr>
            </w:pPr>
            <w:r>
              <w:rPr>
                <w:rFonts w:ascii="Arial" w:hAnsi="Arial" w:cs="Arial"/>
              </w:rPr>
              <w:t xml:space="preserve"> $              916 </w:t>
            </w:r>
          </w:p>
        </w:tc>
        <w:tc>
          <w:tcPr>
            <w:tcW w:w="1566" w:type="dxa"/>
            <w:noWrap/>
          </w:tcPr>
          <w:p w14:paraId="25AB09C5" w14:textId="77777777" w:rsidR="009D4E2F" w:rsidRDefault="00314650">
            <w:pPr>
              <w:spacing w:after="0"/>
              <w:rPr>
                <w:rFonts w:ascii="Arial" w:hAnsi="Arial" w:cs="Arial"/>
              </w:rPr>
            </w:pPr>
            <w:r>
              <w:rPr>
                <w:rFonts w:ascii="Arial" w:hAnsi="Arial" w:cs="Arial"/>
              </w:rPr>
              <w:t xml:space="preserve"> $              803 </w:t>
            </w:r>
          </w:p>
        </w:tc>
        <w:tc>
          <w:tcPr>
            <w:tcW w:w="1566" w:type="dxa"/>
            <w:noWrap/>
          </w:tcPr>
          <w:p w14:paraId="2DA2A3F5" w14:textId="77777777" w:rsidR="009D4E2F" w:rsidRDefault="00314650">
            <w:pPr>
              <w:spacing w:after="0"/>
              <w:rPr>
                <w:rFonts w:ascii="Arial" w:hAnsi="Arial" w:cs="Arial"/>
              </w:rPr>
            </w:pPr>
            <w:r>
              <w:rPr>
                <w:rFonts w:ascii="Arial" w:hAnsi="Arial" w:cs="Arial"/>
              </w:rPr>
              <w:t xml:space="preserve"> $              883 </w:t>
            </w:r>
          </w:p>
        </w:tc>
        <w:tc>
          <w:tcPr>
            <w:tcW w:w="1566" w:type="dxa"/>
            <w:noWrap/>
          </w:tcPr>
          <w:p w14:paraId="5378BC3A" w14:textId="77777777" w:rsidR="009D4E2F" w:rsidRDefault="00314650">
            <w:pPr>
              <w:spacing w:after="0"/>
              <w:rPr>
                <w:rFonts w:ascii="Arial" w:hAnsi="Arial" w:cs="Arial"/>
              </w:rPr>
            </w:pPr>
            <w:r>
              <w:rPr>
                <w:rFonts w:ascii="Arial" w:hAnsi="Arial" w:cs="Arial"/>
              </w:rPr>
              <w:t xml:space="preserve"> $           1,408 </w:t>
            </w:r>
          </w:p>
        </w:tc>
      </w:tr>
      <w:tr w:rsidR="009D4E2F" w14:paraId="3F6457E4" w14:textId="77777777">
        <w:trPr>
          <w:trHeight w:val="288"/>
        </w:trPr>
        <w:tc>
          <w:tcPr>
            <w:tcW w:w="5285" w:type="dxa"/>
            <w:noWrap/>
          </w:tcPr>
          <w:p w14:paraId="18B9D06B" w14:textId="77777777" w:rsidR="009D4E2F" w:rsidRDefault="00314650">
            <w:pPr>
              <w:spacing w:after="0"/>
              <w:rPr>
                <w:rFonts w:ascii="Arial" w:hAnsi="Arial" w:cs="Arial"/>
              </w:rPr>
            </w:pPr>
            <w:r>
              <w:rPr>
                <w:rFonts w:ascii="Arial" w:hAnsi="Arial" w:cs="Arial"/>
              </w:rPr>
              <w:t>Net Income / Net Profit (USD M)</w:t>
            </w:r>
          </w:p>
        </w:tc>
        <w:tc>
          <w:tcPr>
            <w:tcW w:w="765" w:type="dxa"/>
            <w:noWrap/>
          </w:tcPr>
          <w:p w14:paraId="2B7D5364" w14:textId="77777777" w:rsidR="009D4E2F" w:rsidRDefault="00314650">
            <w:pPr>
              <w:spacing w:after="0"/>
              <w:rPr>
                <w:rFonts w:ascii="Arial" w:hAnsi="Arial" w:cs="Arial"/>
                <w:b/>
                <w:bCs/>
              </w:rPr>
            </w:pPr>
            <w:r>
              <w:rPr>
                <w:rFonts w:ascii="Arial" w:hAnsi="Arial" w:cs="Arial"/>
                <w:b/>
                <w:bCs/>
              </w:rPr>
              <w:t>D</w:t>
            </w:r>
          </w:p>
        </w:tc>
        <w:tc>
          <w:tcPr>
            <w:tcW w:w="1566" w:type="dxa"/>
            <w:noWrap/>
          </w:tcPr>
          <w:p w14:paraId="01F4F7DA" w14:textId="77777777" w:rsidR="009D4E2F" w:rsidRDefault="00314650">
            <w:pPr>
              <w:spacing w:after="0"/>
              <w:rPr>
                <w:rFonts w:ascii="Arial" w:hAnsi="Arial" w:cs="Arial"/>
              </w:rPr>
            </w:pPr>
            <w:r>
              <w:rPr>
                <w:rFonts w:ascii="Arial" w:hAnsi="Arial" w:cs="Arial"/>
              </w:rPr>
              <w:t xml:space="preserve"> $              407 </w:t>
            </w:r>
          </w:p>
        </w:tc>
        <w:tc>
          <w:tcPr>
            <w:tcW w:w="1566" w:type="dxa"/>
            <w:noWrap/>
          </w:tcPr>
          <w:p w14:paraId="2DD5157A" w14:textId="77777777" w:rsidR="009D4E2F" w:rsidRDefault="00314650">
            <w:pPr>
              <w:spacing w:after="0"/>
              <w:rPr>
                <w:rFonts w:ascii="Arial" w:hAnsi="Arial" w:cs="Arial"/>
              </w:rPr>
            </w:pPr>
            <w:r>
              <w:rPr>
                <w:rFonts w:ascii="Arial" w:hAnsi="Arial" w:cs="Arial"/>
              </w:rPr>
              <w:t xml:space="preserve"> $           1,257 </w:t>
            </w:r>
          </w:p>
        </w:tc>
        <w:tc>
          <w:tcPr>
            <w:tcW w:w="1566" w:type="dxa"/>
            <w:noWrap/>
          </w:tcPr>
          <w:p w14:paraId="62A5B466" w14:textId="77777777" w:rsidR="009D4E2F" w:rsidRDefault="00314650">
            <w:pPr>
              <w:spacing w:after="0"/>
              <w:rPr>
                <w:rFonts w:ascii="Arial" w:hAnsi="Arial" w:cs="Arial"/>
              </w:rPr>
            </w:pPr>
            <w:r>
              <w:rPr>
                <w:rFonts w:ascii="Arial" w:hAnsi="Arial" w:cs="Arial"/>
              </w:rPr>
              <w:t xml:space="preserve"> $           1,151 </w:t>
            </w:r>
          </w:p>
        </w:tc>
        <w:tc>
          <w:tcPr>
            <w:tcW w:w="1566" w:type="dxa"/>
            <w:noWrap/>
          </w:tcPr>
          <w:p w14:paraId="0A069E0D" w14:textId="77777777" w:rsidR="009D4E2F" w:rsidRDefault="00314650">
            <w:pPr>
              <w:spacing w:after="0"/>
              <w:rPr>
                <w:rFonts w:ascii="Arial" w:hAnsi="Arial" w:cs="Arial"/>
              </w:rPr>
            </w:pPr>
            <w:r>
              <w:rPr>
                <w:rFonts w:ascii="Arial" w:hAnsi="Arial" w:cs="Arial"/>
              </w:rPr>
              <w:t xml:space="preserve"> $           1,539 </w:t>
            </w:r>
          </w:p>
        </w:tc>
        <w:tc>
          <w:tcPr>
            <w:tcW w:w="1566" w:type="dxa"/>
            <w:noWrap/>
          </w:tcPr>
          <w:p w14:paraId="3AEA08E7" w14:textId="77777777" w:rsidR="009D4E2F" w:rsidRDefault="00314650">
            <w:pPr>
              <w:spacing w:after="0"/>
              <w:rPr>
                <w:rFonts w:ascii="Arial" w:hAnsi="Arial" w:cs="Arial"/>
              </w:rPr>
            </w:pPr>
            <w:r>
              <w:rPr>
                <w:rFonts w:ascii="Arial" w:hAnsi="Arial" w:cs="Arial"/>
              </w:rPr>
              <w:t xml:space="preserve"> $           1,461 </w:t>
            </w:r>
          </w:p>
        </w:tc>
      </w:tr>
      <w:tr w:rsidR="009D4E2F" w14:paraId="474E6CA9" w14:textId="77777777">
        <w:trPr>
          <w:trHeight w:val="288"/>
        </w:trPr>
        <w:tc>
          <w:tcPr>
            <w:tcW w:w="5285" w:type="dxa"/>
            <w:noWrap/>
          </w:tcPr>
          <w:p w14:paraId="078C94BB" w14:textId="77777777" w:rsidR="009D4E2F" w:rsidRDefault="00314650">
            <w:pPr>
              <w:spacing w:after="0"/>
              <w:rPr>
                <w:rFonts w:ascii="Arial" w:hAnsi="Arial" w:cs="Arial"/>
              </w:rPr>
            </w:pPr>
            <w:r>
              <w:rPr>
                <w:rFonts w:ascii="Arial" w:hAnsi="Arial" w:cs="Arial"/>
              </w:rPr>
              <w:t>Total Assets (USD M)</w:t>
            </w:r>
          </w:p>
        </w:tc>
        <w:tc>
          <w:tcPr>
            <w:tcW w:w="765" w:type="dxa"/>
            <w:noWrap/>
          </w:tcPr>
          <w:p w14:paraId="373287AD" w14:textId="77777777" w:rsidR="009D4E2F" w:rsidRDefault="00314650">
            <w:pPr>
              <w:spacing w:after="0"/>
              <w:rPr>
                <w:rFonts w:ascii="Arial" w:hAnsi="Arial" w:cs="Arial"/>
                <w:b/>
                <w:bCs/>
              </w:rPr>
            </w:pPr>
            <w:r>
              <w:rPr>
                <w:rFonts w:ascii="Arial" w:hAnsi="Arial" w:cs="Arial"/>
                <w:b/>
                <w:bCs/>
              </w:rPr>
              <w:t>E</w:t>
            </w:r>
          </w:p>
        </w:tc>
        <w:tc>
          <w:tcPr>
            <w:tcW w:w="1566" w:type="dxa"/>
            <w:noWrap/>
          </w:tcPr>
          <w:p w14:paraId="288BC51A" w14:textId="77777777" w:rsidR="009D4E2F" w:rsidRDefault="00314650">
            <w:pPr>
              <w:spacing w:after="0"/>
              <w:rPr>
                <w:rFonts w:ascii="Arial" w:hAnsi="Arial" w:cs="Arial"/>
              </w:rPr>
            </w:pPr>
            <w:r>
              <w:rPr>
                <w:rFonts w:ascii="Arial" w:hAnsi="Arial" w:cs="Arial"/>
              </w:rPr>
              <w:t xml:space="preserve"> $          15,441 </w:t>
            </w:r>
          </w:p>
        </w:tc>
        <w:tc>
          <w:tcPr>
            <w:tcW w:w="1566" w:type="dxa"/>
            <w:noWrap/>
          </w:tcPr>
          <w:p w14:paraId="15153457" w14:textId="77777777" w:rsidR="009D4E2F" w:rsidRDefault="00314650">
            <w:pPr>
              <w:spacing w:after="0"/>
              <w:rPr>
                <w:rFonts w:ascii="Arial" w:hAnsi="Arial" w:cs="Arial"/>
              </w:rPr>
            </w:pPr>
            <w:r>
              <w:rPr>
                <w:rFonts w:ascii="Arial" w:hAnsi="Arial" w:cs="Arial"/>
              </w:rPr>
              <w:t xml:space="preserve"> $          15,512 </w:t>
            </w:r>
          </w:p>
        </w:tc>
        <w:tc>
          <w:tcPr>
            <w:tcW w:w="1566" w:type="dxa"/>
            <w:noWrap/>
          </w:tcPr>
          <w:p w14:paraId="6985A26D" w14:textId="77777777" w:rsidR="009D4E2F" w:rsidRDefault="00314650">
            <w:pPr>
              <w:spacing w:after="0"/>
              <w:rPr>
                <w:rFonts w:ascii="Arial" w:hAnsi="Arial" w:cs="Arial"/>
              </w:rPr>
            </w:pPr>
            <w:r>
              <w:rPr>
                <w:rFonts w:ascii="Arial" w:hAnsi="Arial" w:cs="Arial"/>
              </w:rPr>
              <w:t xml:space="preserve"> $          15,401 </w:t>
            </w:r>
          </w:p>
        </w:tc>
        <w:tc>
          <w:tcPr>
            <w:tcW w:w="1566" w:type="dxa"/>
            <w:noWrap/>
          </w:tcPr>
          <w:p w14:paraId="46B531F9" w14:textId="77777777" w:rsidR="009D4E2F" w:rsidRDefault="00314650">
            <w:pPr>
              <w:spacing w:after="0"/>
              <w:rPr>
                <w:rFonts w:ascii="Arial" w:hAnsi="Arial" w:cs="Arial"/>
              </w:rPr>
            </w:pPr>
            <w:r>
              <w:rPr>
                <w:rFonts w:ascii="Arial" w:hAnsi="Arial" w:cs="Arial"/>
              </w:rPr>
              <w:t xml:space="preserve"> $          16,522 </w:t>
            </w:r>
          </w:p>
        </w:tc>
        <w:tc>
          <w:tcPr>
            <w:tcW w:w="1566" w:type="dxa"/>
            <w:noWrap/>
          </w:tcPr>
          <w:p w14:paraId="304AF965" w14:textId="77777777" w:rsidR="009D4E2F" w:rsidRDefault="00314650">
            <w:pPr>
              <w:spacing w:after="0"/>
              <w:rPr>
                <w:rFonts w:ascii="Arial" w:hAnsi="Arial" w:cs="Arial"/>
              </w:rPr>
            </w:pPr>
            <w:r>
              <w:rPr>
                <w:rFonts w:ascii="Arial" w:hAnsi="Arial" w:cs="Arial"/>
              </w:rPr>
              <w:t xml:space="preserve"> $          16,774 </w:t>
            </w:r>
          </w:p>
        </w:tc>
      </w:tr>
      <w:tr w:rsidR="009D4E2F" w14:paraId="2522FBFD" w14:textId="77777777">
        <w:trPr>
          <w:trHeight w:val="288"/>
        </w:trPr>
        <w:tc>
          <w:tcPr>
            <w:tcW w:w="5285" w:type="dxa"/>
            <w:noWrap/>
          </w:tcPr>
          <w:p w14:paraId="26AB687C" w14:textId="77777777" w:rsidR="009D4E2F" w:rsidRDefault="00314650">
            <w:pPr>
              <w:spacing w:after="0"/>
              <w:rPr>
                <w:rFonts w:ascii="Arial" w:hAnsi="Arial" w:cs="Arial"/>
              </w:rPr>
            </w:pPr>
            <w:r>
              <w:rPr>
                <w:rFonts w:ascii="Arial" w:hAnsi="Arial" w:cs="Arial"/>
              </w:rPr>
              <w:t>Shareholders' Equity (USD M)</w:t>
            </w:r>
          </w:p>
        </w:tc>
        <w:tc>
          <w:tcPr>
            <w:tcW w:w="765" w:type="dxa"/>
            <w:noWrap/>
          </w:tcPr>
          <w:p w14:paraId="18D435C4" w14:textId="77777777" w:rsidR="009D4E2F" w:rsidRDefault="00314650">
            <w:pPr>
              <w:spacing w:after="0"/>
              <w:rPr>
                <w:rFonts w:ascii="Arial" w:hAnsi="Arial" w:cs="Arial"/>
                <w:b/>
                <w:bCs/>
              </w:rPr>
            </w:pPr>
            <w:r>
              <w:rPr>
                <w:rFonts w:ascii="Arial" w:hAnsi="Arial" w:cs="Arial"/>
                <w:b/>
                <w:bCs/>
              </w:rPr>
              <w:t>F</w:t>
            </w:r>
          </w:p>
        </w:tc>
        <w:tc>
          <w:tcPr>
            <w:tcW w:w="1566" w:type="dxa"/>
            <w:noWrap/>
          </w:tcPr>
          <w:p w14:paraId="201F5614"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821)</w:t>
            </w:r>
          </w:p>
        </w:tc>
        <w:tc>
          <w:tcPr>
            <w:tcW w:w="1566" w:type="dxa"/>
            <w:noWrap/>
          </w:tcPr>
          <w:p w14:paraId="6D3607BE"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182)</w:t>
            </w:r>
          </w:p>
        </w:tc>
        <w:tc>
          <w:tcPr>
            <w:tcW w:w="1566" w:type="dxa"/>
            <w:noWrap/>
          </w:tcPr>
          <w:p w14:paraId="4CD3F2FE"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2,360)</w:t>
            </w:r>
          </w:p>
        </w:tc>
        <w:tc>
          <w:tcPr>
            <w:tcW w:w="1566" w:type="dxa"/>
            <w:noWrap/>
          </w:tcPr>
          <w:p w14:paraId="7A1DD48F"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3,727)</w:t>
            </w:r>
          </w:p>
        </w:tc>
        <w:tc>
          <w:tcPr>
            <w:tcW w:w="1566" w:type="dxa"/>
            <w:noWrap/>
          </w:tcPr>
          <w:p w14:paraId="65706D6E"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5,388)</w:t>
            </w:r>
          </w:p>
        </w:tc>
      </w:tr>
      <w:tr w:rsidR="009D4E2F" w14:paraId="5AA2E7C4" w14:textId="77777777">
        <w:trPr>
          <w:trHeight w:val="288"/>
        </w:trPr>
        <w:tc>
          <w:tcPr>
            <w:tcW w:w="5285" w:type="dxa"/>
            <w:noWrap/>
          </w:tcPr>
          <w:p w14:paraId="4A29E962" w14:textId="77777777" w:rsidR="009D4E2F" w:rsidRDefault="00314650">
            <w:pPr>
              <w:spacing w:after="0"/>
              <w:rPr>
                <w:rFonts w:ascii="Arial" w:hAnsi="Arial" w:cs="Arial"/>
              </w:rPr>
            </w:pPr>
            <w:r>
              <w:rPr>
                <w:rFonts w:ascii="Arial" w:hAnsi="Arial" w:cs="Arial"/>
              </w:rPr>
              <w:t>Current Liabilities (USD M)</w:t>
            </w:r>
          </w:p>
        </w:tc>
        <w:tc>
          <w:tcPr>
            <w:tcW w:w="765" w:type="dxa"/>
            <w:noWrap/>
          </w:tcPr>
          <w:p w14:paraId="44EB3196" w14:textId="77777777" w:rsidR="009D4E2F" w:rsidRDefault="00314650">
            <w:pPr>
              <w:spacing w:after="0"/>
              <w:rPr>
                <w:rFonts w:ascii="Arial" w:hAnsi="Arial" w:cs="Arial"/>
                <w:b/>
                <w:bCs/>
              </w:rPr>
            </w:pPr>
            <w:r>
              <w:rPr>
                <w:rFonts w:ascii="Arial" w:hAnsi="Arial" w:cs="Arial"/>
                <w:b/>
                <w:bCs/>
              </w:rPr>
              <w:t>G</w:t>
            </w:r>
          </w:p>
        </w:tc>
        <w:tc>
          <w:tcPr>
            <w:tcW w:w="1566" w:type="dxa"/>
            <w:noWrap/>
          </w:tcPr>
          <w:p w14:paraId="0DDA314B" w14:textId="77777777" w:rsidR="009D4E2F" w:rsidRDefault="00314650">
            <w:pPr>
              <w:spacing w:after="0"/>
              <w:rPr>
                <w:rFonts w:ascii="Arial" w:hAnsi="Arial" w:cs="Arial"/>
              </w:rPr>
            </w:pPr>
            <w:r>
              <w:rPr>
                <w:rFonts w:ascii="Arial" w:hAnsi="Arial" w:cs="Arial"/>
              </w:rPr>
              <w:t xml:space="preserve"> $           3,019 </w:t>
            </w:r>
          </w:p>
        </w:tc>
        <w:tc>
          <w:tcPr>
            <w:tcW w:w="1566" w:type="dxa"/>
            <w:noWrap/>
          </w:tcPr>
          <w:p w14:paraId="06A1D002" w14:textId="77777777" w:rsidR="009D4E2F" w:rsidRDefault="00314650">
            <w:pPr>
              <w:spacing w:after="0"/>
              <w:rPr>
                <w:rFonts w:ascii="Arial" w:hAnsi="Arial" w:cs="Arial"/>
              </w:rPr>
            </w:pPr>
            <w:r>
              <w:rPr>
                <w:rFonts w:ascii="Arial" w:hAnsi="Arial" w:cs="Arial"/>
              </w:rPr>
              <w:t xml:space="preserve"> $           3,372 </w:t>
            </w:r>
          </w:p>
        </w:tc>
        <w:tc>
          <w:tcPr>
            <w:tcW w:w="1566" w:type="dxa"/>
            <w:noWrap/>
          </w:tcPr>
          <w:p w14:paraId="08B59454" w14:textId="77777777" w:rsidR="009D4E2F" w:rsidRDefault="00314650">
            <w:pPr>
              <w:spacing w:after="0"/>
              <w:rPr>
                <w:rFonts w:ascii="Arial" w:hAnsi="Arial" w:cs="Arial"/>
              </w:rPr>
            </w:pPr>
            <w:r>
              <w:rPr>
                <w:rFonts w:ascii="Arial" w:hAnsi="Arial" w:cs="Arial"/>
              </w:rPr>
              <w:t xml:space="preserve"> $           3,722 </w:t>
            </w:r>
          </w:p>
        </w:tc>
        <w:tc>
          <w:tcPr>
            <w:tcW w:w="1566" w:type="dxa"/>
            <w:noWrap/>
          </w:tcPr>
          <w:p w14:paraId="39080573" w14:textId="77777777" w:rsidR="009D4E2F" w:rsidRDefault="00314650">
            <w:pPr>
              <w:spacing w:after="0"/>
              <w:rPr>
                <w:rFonts w:ascii="Arial" w:hAnsi="Arial" w:cs="Arial"/>
              </w:rPr>
            </w:pPr>
            <w:r>
              <w:rPr>
                <w:rFonts w:ascii="Arial" w:hAnsi="Arial" w:cs="Arial"/>
              </w:rPr>
              <w:t xml:space="preserve"> $           4,700 </w:t>
            </w:r>
          </w:p>
        </w:tc>
        <w:tc>
          <w:tcPr>
            <w:tcW w:w="1566" w:type="dxa"/>
            <w:noWrap/>
          </w:tcPr>
          <w:p w14:paraId="03C5E9B1" w14:textId="77777777" w:rsidR="009D4E2F" w:rsidRDefault="00314650">
            <w:pPr>
              <w:spacing w:after="0"/>
              <w:rPr>
                <w:rFonts w:ascii="Arial" w:hAnsi="Arial" w:cs="Arial"/>
              </w:rPr>
            </w:pPr>
            <w:r>
              <w:rPr>
                <w:rFonts w:ascii="Arial" w:hAnsi="Arial" w:cs="Arial"/>
              </w:rPr>
              <w:t xml:space="preserve"> $           4,508 </w:t>
            </w:r>
          </w:p>
        </w:tc>
      </w:tr>
      <w:tr w:rsidR="009D4E2F" w14:paraId="522B7F51" w14:textId="77777777">
        <w:trPr>
          <w:trHeight w:val="288"/>
        </w:trPr>
        <w:tc>
          <w:tcPr>
            <w:tcW w:w="5285" w:type="dxa"/>
            <w:noWrap/>
          </w:tcPr>
          <w:p w14:paraId="36A23A72" w14:textId="77777777" w:rsidR="009D4E2F" w:rsidRDefault="00314650">
            <w:pPr>
              <w:spacing w:after="0"/>
              <w:rPr>
                <w:rFonts w:ascii="Arial" w:hAnsi="Arial" w:cs="Arial"/>
              </w:rPr>
            </w:pPr>
            <w:r>
              <w:rPr>
                <w:rFonts w:ascii="Arial" w:hAnsi="Arial" w:cs="Arial"/>
              </w:rPr>
              <w:t>EBITDA (USD M)</w:t>
            </w:r>
          </w:p>
        </w:tc>
        <w:tc>
          <w:tcPr>
            <w:tcW w:w="765" w:type="dxa"/>
            <w:noWrap/>
          </w:tcPr>
          <w:p w14:paraId="08A90501" w14:textId="77777777" w:rsidR="009D4E2F" w:rsidRDefault="00314650">
            <w:pPr>
              <w:spacing w:after="0"/>
              <w:rPr>
                <w:rFonts w:ascii="Arial" w:hAnsi="Arial" w:cs="Arial"/>
                <w:b/>
                <w:bCs/>
              </w:rPr>
            </w:pPr>
            <w:r>
              <w:rPr>
                <w:rFonts w:ascii="Arial" w:hAnsi="Arial" w:cs="Arial"/>
                <w:b/>
                <w:bCs/>
              </w:rPr>
              <w:t>H</w:t>
            </w:r>
          </w:p>
        </w:tc>
        <w:tc>
          <w:tcPr>
            <w:tcW w:w="1566" w:type="dxa"/>
            <w:noWrap/>
          </w:tcPr>
          <w:p w14:paraId="5731A5D1" w14:textId="77777777" w:rsidR="009D4E2F" w:rsidRDefault="00314650">
            <w:pPr>
              <w:spacing w:after="0"/>
              <w:rPr>
                <w:rFonts w:ascii="Arial" w:hAnsi="Arial" w:cs="Arial"/>
              </w:rPr>
            </w:pPr>
            <w:r>
              <w:rPr>
                <w:rFonts w:ascii="Arial" w:hAnsi="Arial" w:cs="Arial"/>
              </w:rPr>
              <w:t xml:space="preserve"> $              188 </w:t>
            </w:r>
          </w:p>
        </w:tc>
        <w:tc>
          <w:tcPr>
            <w:tcW w:w="1566" w:type="dxa"/>
            <w:noWrap/>
          </w:tcPr>
          <w:p w14:paraId="26B33472" w14:textId="77777777" w:rsidR="009D4E2F" w:rsidRDefault="00314650">
            <w:pPr>
              <w:spacing w:after="0"/>
              <w:rPr>
                <w:rFonts w:ascii="Arial" w:hAnsi="Arial" w:cs="Arial"/>
              </w:rPr>
            </w:pPr>
            <w:r>
              <w:rPr>
                <w:rFonts w:ascii="Arial" w:hAnsi="Arial" w:cs="Arial"/>
              </w:rPr>
              <w:t xml:space="preserve"> $              162 </w:t>
            </w:r>
          </w:p>
        </w:tc>
        <w:tc>
          <w:tcPr>
            <w:tcW w:w="1566" w:type="dxa"/>
            <w:noWrap/>
          </w:tcPr>
          <w:p w14:paraId="43EFB402" w14:textId="77777777" w:rsidR="009D4E2F" w:rsidRDefault="00314650">
            <w:pPr>
              <w:spacing w:after="0"/>
              <w:rPr>
                <w:rFonts w:ascii="Arial" w:hAnsi="Arial" w:cs="Arial"/>
              </w:rPr>
            </w:pPr>
            <w:r>
              <w:rPr>
                <w:rFonts w:ascii="Arial" w:hAnsi="Arial" w:cs="Arial"/>
              </w:rPr>
              <w:t xml:space="preserve"> $              147 </w:t>
            </w:r>
          </w:p>
        </w:tc>
        <w:tc>
          <w:tcPr>
            <w:tcW w:w="1566" w:type="dxa"/>
            <w:noWrap/>
          </w:tcPr>
          <w:p w14:paraId="5DD98C36" w14:textId="77777777" w:rsidR="009D4E2F" w:rsidRDefault="00314650">
            <w:pPr>
              <w:spacing w:after="0"/>
              <w:rPr>
                <w:rFonts w:ascii="Arial" w:hAnsi="Arial" w:cs="Arial"/>
              </w:rPr>
            </w:pPr>
            <w:r>
              <w:rPr>
                <w:rFonts w:ascii="Arial" w:hAnsi="Arial" w:cs="Arial"/>
              </w:rPr>
              <w:t xml:space="preserve"> $              146 </w:t>
            </w:r>
          </w:p>
        </w:tc>
        <w:tc>
          <w:tcPr>
            <w:tcW w:w="1566" w:type="dxa"/>
            <w:noWrap/>
          </w:tcPr>
          <w:p w14:paraId="7DE4EB80" w14:textId="77777777" w:rsidR="009D4E2F" w:rsidRDefault="00314650">
            <w:pPr>
              <w:spacing w:after="0"/>
              <w:rPr>
                <w:rFonts w:ascii="Arial" w:hAnsi="Arial" w:cs="Arial"/>
              </w:rPr>
            </w:pPr>
            <w:r>
              <w:rPr>
                <w:rFonts w:ascii="Arial" w:hAnsi="Arial" w:cs="Arial"/>
              </w:rPr>
              <w:t xml:space="preserve"> $              177 </w:t>
            </w:r>
          </w:p>
        </w:tc>
      </w:tr>
      <w:tr w:rsidR="009D4E2F" w14:paraId="6FF6165D" w14:textId="77777777">
        <w:trPr>
          <w:trHeight w:val="288"/>
        </w:trPr>
        <w:tc>
          <w:tcPr>
            <w:tcW w:w="5285" w:type="dxa"/>
            <w:noWrap/>
          </w:tcPr>
          <w:p w14:paraId="69C01CF7" w14:textId="77777777" w:rsidR="009D4E2F" w:rsidRDefault="00314650">
            <w:pPr>
              <w:spacing w:after="0"/>
              <w:rPr>
                <w:rFonts w:ascii="Arial" w:hAnsi="Arial" w:cs="Arial"/>
                <w:b/>
                <w:bCs/>
              </w:rPr>
            </w:pPr>
            <w:r>
              <w:rPr>
                <w:rFonts w:ascii="Arial" w:hAnsi="Arial" w:cs="Arial"/>
                <w:b/>
                <w:bCs/>
              </w:rPr>
              <w:t>Net Profit Margin (D/A)</w:t>
            </w:r>
          </w:p>
        </w:tc>
        <w:tc>
          <w:tcPr>
            <w:tcW w:w="765" w:type="dxa"/>
            <w:noWrap/>
          </w:tcPr>
          <w:p w14:paraId="0A242812" w14:textId="77777777" w:rsidR="009D4E2F" w:rsidRDefault="00314650">
            <w:pPr>
              <w:spacing w:after="0"/>
              <w:rPr>
                <w:rFonts w:ascii="Arial" w:hAnsi="Arial" w:cs="Arial"/>
              </w:rPr>
            </w:pPr>
            <w:r>
              <w:rPr>
                <w:rFonts w:ascii="Arial" w:hAnsi="Arial" w:cs="Arial"/>
              </w:rPr>
              <w:t> </w:t>
            </w:r>
          </w:p>
        </w:tc>
        <w:tc>
          <w:tcPr>
            <w:tcW w:w="1566" w:type="dxa"/>
            <w:noWrap/>
          </w:tcPr>
          <w:p w14:paraId="2821E314" w14:textId="77777777" w:rsidR="009D4E2F" w:rsidRDefault="00314650">
            <w:pPr>
              <w:spacing w:after="0"/>
              <w:rPr>
                <w:rFonts w:ascii="Arial" w:hAnsi="Arial" w:cs="Arial"/>
                <w:b/>
                <w:bCs/>
              </w:rPr>
            </w:pPr>
            <w:r>
              <w:rPr>
                <w:rFonts w:ascii="Arial" w:hAnsi="Arial" w:cs="Arial"/>
                <w:b/>
                <w:bCs/>
              </w:rPr>
              <w:t>7.03%</w:t>
            </w:r>
          </w:p>
        </w:tc>
        <w:tc>
          <w:tcPr>
            <w:tcW w:w="1566" w:type="dxa"/>
            <w:noWrap/>
          </w:tcPr>
          <w:p w14:paraId="37113402" w14:textId="77777777" w:rsidR="009D4E2F" w:rsidRDefault="00314650">
            <w:pPr>
              <w:spacing w:after="0"/>
              <w:rPr>
                <w:rFonts w:ascii="Arial" w:hAnsi="Arial" w:cs="Arial"/>
                <w:b/>
                <w:bCs/>
              </w:rPr>
            </w:pPr>
            <w:r>
              <w:rPr>
                <w:rFonts w:ascii="Arial" w:hAnsi="Arial" w:cs="Arial"/>
                <w:b/>
                <w:bCs/>
              </w:rPr>
              <w:t>14.33%</w:t>
            </w:r>
          </w:p>
        </w:tc>
        <w:tc>
          <w:tcPr>
            <w:tcW w:w="1566" w:type="dxa"/>
            <w:noWrap/>
          </w:tcPr>
          <w:p w14:paraId="2A04FDFB" w14:textId="77777777" w:rsidR="009D4E2F" w:rsidRDefault="00314650">
            <w:pPr>
              <w:spacing w:after="0"/>
              <w:rPr>
                <w:rFonts w:ascii="Arial" w:hAnsi="Arial" w:cs="Arial"/>
                <w:b/>
                <w:bCs/>
              </w:rPr>
            </w:pPr>
            <w:r>
              <w:rPr>
                <w:rFonts w:ascii="Arial" w:hAnsi="Arial" w:cs="Arial"/>
                <w:b/>
                <w:bCs/>
              </w:rPr>
              <w:t>13.98%</w:t>
            </w:r>
          </w:p>
        </w:tc>
        <w:tc>
          <w:tcPr>
            <w:tcW w:w="1566" w:type="dxa"/>
            <w:noWrap/>
          </w:tcPr>
          <w:p w14:paraId="1C904414" w14:textId="77777777" w:rsidR="009D4E2F" w:rsidRDefault="00314650">
            <w:pPr>
              <w:spacing w:after="0"/>
              <w:rPr>
                <w:rFonts w:ascii="Arial" w:hAnsi="Arial" w:cs="Arial"/>
                <w:b/>
                <w:bCs/>
              </w:rPr>
            </w:pPr>
            <w:r>
              <w:rPr>
                <w:rFonts w:ascii="Arial" w:hAnsi="Arial" w:cs="Arial"/>
                <w:b/>
                <w:bCs/>
              </w:rPr>
              <w:t>13.77%</w:t>
            </w:r>
          </w:p>
        </w:tc>
        <w:tc>
          <w:tcPr>
            <w:tcW w:w="1566" w:type="dxa"/>
            <w:noWrap/>
          </w:tcPr>
          <w:p w14:paraId="65906817" w14:textId="77777777" w:rsidR="009D4E2F" w:rsidRDefault="00314650">
            <w:pPr>
              <w:spacing w:after="0"/>
              <w:rPr>
                <w:rFonts w:ascii="Arial" w:hAnsi="Arial" w:cs="Arial"/>
                <w:b/>
                <w:bCs/>
              </w:rPr>
            </w:pPr>
            <w:r>
              <w:rPr>
                <w:rFonts w:ascii="Arial" w:hAnsi="Arial" w:cs="Arial"/>
                <w:b/>
                <w:bCs/>
              </w:rPr>
              <w:t>12.14%</w:t>
            </w:r>
          </w:p>
        </w:tc>
      </w:tr>
      <w:tr w:rsidR="009D4E2F" w14:paraId="57161EE6" w14:textId="77777777">
        <w:trPr>
          <w:trHeight w:val="288"/>
        </w:trPr>
        <w:tc>
          <w:tcPr>
            <w:tcW w:w="5285" w:type="dxa"/>
            <w:noWrap/>
          </w:tcPr>
          <w:p w14:paraId="4EC4F016" w14:textId="77777777" w:rsidR="009D4E2F" w:rsidRDefault="00314650">
            <w:pPr>
              <w:spacing w:after="0"/>
              <w:rPr>
                <w:rFonts w:ascii="Arial" w:hAnsi="Arial" w:cs="Arial"/>
                <w:b/>
                <w:bCs/>
              </w:rPr>
            </w:pPr>
            <w:r>
              <w:rPr>
                <w:rFonts w:ascii="Arial" w:hAnsi="Arial" w:cs="Arial"/>
                <w:b/>
                <w:bCs/>
              </w:rPr>
              <w:t>Return on Capital Employed (ROCE) (</w:t>
            </w:r>
            <w:proofErr w:type="gramStart"/>
            <w:r>
              <w:rPr>
                <w:rFonts w:ascii="Arial" w:hAnsi="Arial" w:cs="Arial"/>
                <w:b/>
                <w:bCs/>
              </w:rPr>
              <w:t>C/(</w:t>
            </w:r>
            <w:proofErr w:type="gramEnd"/>
            <w:r>
              <w:rPr>
                <w:rFonts w:ascii="Arial" w:hAnsi="Arial" w:cs="Arial"/>
                <w:b/>
                <w:bCs/>
              </w:rPr>
              <w:t>E-G))</w:t>
            </w:r>
          </w:p>
        </w:tc>
        <w:tc>
          <w:tcPr>
            <w:tcW w:w="765" w:type="dxa"/>
            <w:noWrap/>
          </w:tcPr>
          <w:p w14:paraId="743B5108" w14:textId="77777777" w:rsidR="009D4E2F" w:rsidRDefault="00314650">
            <w:pPr>
              <w:spacing w:after="0"/>
              <w:rPr>
                <w:rFonts w:ascii="Arial" w:hAnsi="Arial" w:cs="Arial"/>
              </w:rPr>
            </w:pPr>
            <w:r>
              <w:rPr>
                <w:rFonts w:ascii="Arial" w:hAnsi="Arial" w:cs="Arial"/>
              </w:rPr>
              <w:t> </w:t>
            </w:r>
          </w:p>
        </w:tc>
        <w:tc>
          <w:tcPr>
            <w:tcW w:w="1566" w:type="dxa"/>
            <w:noWrap/>
          </w:tcPr>
          <w:p w14:paraId="22A0A654" w14:textId="77777777" w:rsidR="009D4E2F" w:rsidRDefault="00314650">
            <w:pPr>
              <w:spacing w:after="0"/>
              <w:rPr>
                <w:rFonts w:ascii="Arial" w:hAnsi="Arial" w:cs="Arial"/>
                <w:b/>
                <w:bCs/>
              </w:rPr>
            </w:pPr>
            <w:r>
              <w:rPr>
                <w:rFonts w:ascii="Arial" w:hAnsi="Arial" w:cs="Arial"/>
                <w:b/>
                <w:bCs/>
              </w:rPr>
              <w:t>(12.40%)</w:t>
            </w:r>
          </w:p>
        </w:tc>
        <w:tc>
          <w:tcPr>
            <w:tcW w:w="1566" w:type="dxa"/>
            <w:noWrap/>
          </w:tcPr>
          <w:p w14:paraId="0819B943" w14:textId="77777777" w:rsidR="009D4E2F" w:rsidRDefault="00314650">
            <w:pPr>
              <w:spacing w:after="0"/>
              <w:rPr>
                <w:rFonts w:ascii="Arial" w:hAnsi="Arial" w:cs="Arial"/>
                <w:b/>
                <w:bCs/>
              </w:rPr>
            </w:pPr>
            <w:r>
              <w:rPr>
                <w:rFonts w:ascii="Arial" w:hAnsi="Arial" w:cs="Arial"/>
                <w:b/>
                <w:bCs/>
              </w:rPr>
              <w:t>(37.30%)</w:t>
            </w:r>
          </w:p>
        </w:tc>
        <w:tc>
          <w:tcPr>
            <w:tcW w:w="1566" w:type="dxa"/>
            <w:noWrap/>
          </w:tcPr>
          <w:p w14:paraId="5DE50386" w14:textId="77777777" w:rsidR="009D4E2F" w:rsidRDefault="00314650">
            <w:pPr>
              <w:spacing w:after="0"/>
              <w:rPr>
                <w:rFonts w:ascii="Arial" w:hAnsi="Arial" w:cs="Arial"/>
                <w:b/>
                <w:bCs/>
              </w:rPr>
            </w:pPr>
            <w:r>
              <w:rPr>
                <w:rFonts w:ascii="Arial" w:hAnsi="Arial" w:cs="Arial"/>
                <w:b/>
                <w:bCs/>
              </w:rPr>
              <w:t>(27.51%)</w:t>
            </w:r>
          </w:p>
        </w:tc>
        <w:tc>
          <w:tcPr>
            <w:tcW w:w="1566" w:type="dxa"/>
            <w:noWrap/>
          </w:tcPr>
          <w:p w14:paraId="35C510C2" w14:textId="77777777" w:rsidR="009D4E2F" w:rsidRDefault="00314650">
            <w:pPr>
              <w:spacing w:after="0"/>
              <w:rPr>
                <w:rFonts w:ascii="Arial" w:hAnsi="Arial" w:cs="Arial"/>
                <w:b/>
                <w:bCs/>
              </w:rPr>
            </w:pPr>
            <w:r>
              <w:rPr>
                <w:rFonts w:ascii="Arial" w:hAnsi="Arial" w:cs="Arial"/>
                <w:b/>
                <w:bCs/>
              </w:rPr>
              <w:t>(23.13%)</w:t>
            </w:r>
          </w:p>
        </w:tc>
        <w:tc>
          <w:tcPr>
            <w:tcW w:w="1566" w:type="dxa"/>
            <w:noWrap/>
          </w:tcPr>
          <w:p w14:paraId="6420BD96" w14:textId="77777777" w:rsidR="009D4E2F" w:rsidRDefault="00314650">
            <w:pPr>
              <w:spacing w:after="0"/>
              <w:rPr>
                <w:rFonts w:ascii="Arial" w:hAnsi="Arial" w:cs="Arial"/>
                <w:b/>
                <w:bCs/>
              </w:rPr>
            </w:pPr>
            <w:r>
              <w:rPr>
                <w:rFonts w:ascii="Arial" w:hAnsi="Arial" w:cs="Arial"/>
                <w:b/>
                <w:bCs/>
              </w:rPr>
              <w:t>(45.42%)</w:t>
            </w:r>
          </w:p>
        </w:tc>
      </w:tr>
      <w:tr w:rsidR="009D4E2F" w14:paraId="1D4AC818" w14:textId="77777777">
        <w:trPr>
          <w:trHeight w:val="288"/>
        </w:trPr>
        <w:tc>
          <w:tcPr>
            <w:tcW w:w="5285" w:type="dxa"/>
            <w:noWrap/>
          </w:tcPr>
          <w:p w14:paraId="06AC3D9E" w14:textId="77777777" w:rsidR="009D4E2F" w:rsidRDefault="009D4E2F">
            <w:pPr>
              <w:spacing w:after="0"/>
              <w:rPr>
                <w:rFonts w:ascii="Arial" w:hAnsi="Arial" w:cs="Arial"/>
                <w:b/>
                <w:bCs/>
              </w:rPr>
            </w:pPr>
          </w:p>
        </w:tc>
        <w:tc>
          <w:tcPr>
            <w:tcW w:w="765" w:type="dxa"/>
            <w:noWrap/>
          </w:tcPr>
          <w:p w14:paraId="18C484A2" w14:textId="77777777" w:rsidR="009D4E2F" w:rsidRDefault="009D4E2F">
            <w:pPr>
              <w:spacing w:after="0"/>
              <w:rPr>
                <w:rFonts w:ascii="Arial" w:hAnsi="Arial" w:cs="Arial"/>
              </w:rPr>
            </w:pPr>
          </w:p>
        </w:tc>
        <w:tc>
          <w:tcPr>
            <w:tcW w:w="1566" w:type="dxa"/>
            <w:noWrap/>
          </w:tcPr>
          <w:p w14:paraId="4620F119" w14:textId="77777777" w:rsidR="009D4E2F" w:rsidRDefault="009D4E2F">
            <w:pPr>
              <w:spacing w:after="0"/>
              <w:rPr>
                <w:rFonts w:ascii="Arial" w:hAnsi="Arial" w:cs="Arial"/>
              </w:rPr>
            </w:pPr>
          </w:p>
        </w:tc>
        <w:tc>
          <w:tcPr>
            <w:tcW w:w="1566" w:type="dxa"/>
            <w:noWrap/>
          </w:tcPr>
          <w:p w14:paraId="78CE3966" w14:textId="77777777" w:rsidR="009D4E2F" w:rsidRDefault="009D4E2F">
            <w:pPr>
              <w:spacing w:after="0"/>
              <w:rPr>
                <w:rFonts w:ascii="Arial" w:hAnsi="Arial" w:cs="Arial"/>
              </w:rPr>
            </w:pPr>
          </w:p>
        </w:tc>
        <w:tc>
          <w:tcPr>
            <w:tcW w:w="1566" w:type="dxa"/>
            <w:noWrap/>
          </w:tcPr>
          <w:p w14:paraId="1A7CFEC9" w14:textId="77777777" w:rsidR="009D4E2F" w:rsidRDefault="009D4E2F">
            <w:pPr>
              <w:spacing w:after="0"/>
              <w:rPr>
                <w:rFonts w:ascii="Arial" w:hAnsi="Arial" w:cs="Arial"/>
              </w:rPr>
            </w:pPr>
          </w:p>
        </w:tc>
        <w:tc>
          <w:tcPr>
            <w:tcW w:w="1566" w:type="dxa"/>
            <w:noWrap/>
          </w:tcPr>
          <w:p w14:paraId="48471AE5" w14:textId="77777777" w:rsidR="009D4E2F" w:rsidRDefault="009D4E2F">
            <w:pPr>
              <w:spacing w:after="0"/>
              <w:rPr>
                <w:rFonts w:ascii="Arial" w:hAnsi="Arial" w:cs="Arial"/>
              </w:rPr>
            </w:pPr>
          </w:p>
        </w:tc>
        <w:tc>
          <w:tcPr>
            <w:tcW w:w="1566" w:type="dxa"/>
            <w:noWrap/>
          </w:tcPr>
          <w:p w14:paraId="6ADF8DAB" w14:textId="77777777" w:rsidR="009D4E2F" w:rsidRDefault="009D4E2F">
            <w:pPr>
              <w:spacing w:after="0"/>
              <w:rPr>
                <w:rFonts w:ascii="Arial" w:hAnsi="Arial" w:cs="Arial"/>
              </w:rPr>
            </w:pPr>
          </w:p>
        </w:tc>
      </w:tr>
      <w:tr w:rsidR="009D4E2F" w14:paraId="48B8330F" w14:textId="77777777">
        <w:trPr>
          <w:trHeight w:val="390"/>
        </w:trPr>
        <w:tc>
          <w:tcPr>
            <w:tcW w:w="13880" w:type="dxa"/>
            <w:gridSpan w:val="7"/>
            <w:noWrap/>
          </w:tcPr>
          <w:p w14:paraId="58EAF4A5" w14:textId="77777777" w:rsidR="009D4E2F" w:rsidRDefault="00314650">
            <w:pPr>
              <w:spacing w:after="0"/>
              <w:rPr>
                <w:rFonts w:ascii="Arial" w:hAnsi="Arial" w:cs="Arial"/>
                <w:b/>
                <w:bCs/>
              </w:rPr>
            </w:pPr>
            <w:r>
              <w:rPr>
                <w:rFonts w:ascii="Arial" w:hAnsi="Arial" w:cs="Arial"/>
                <w:b/>
                <w:bCs/>
              </w:rPr>
              <w:t>2. LIQUIDITY RATIOS</w:t>
            </w:r>
          </w:p>
        </w:tc>
      </w:tr>
      <w:tr w:rsidR="009D4E2F" w14:paraId="36A20BF1" w14:textId="77777777">
        <w:trPr>
          <w:trHeight w:val="288"/>
        </w:trPr>
        <w:tc>
          <w:tcPr>
            <w:tcW w:w="5285" w:type="dxa"/>
            <w:noWrap/>
          </w:tcPr>
          <w:p w14:paraId="5D8BAD79" w14:textId="77777777" w:rsidR="009D4E2F" w:rsidRDefault="00314650">
            <w:pPr>
              <w:spacing w:after="0"/>
              <w:rPr>
                <w:rFonts w:ascii="Arial" w:hAnsi="Arial" w:cs="Arial"/>
                <w:b/>
                <w:bCs/>
              </w:rPr>
            </w:pPr>
            <w:r>
              <w:rPr>
                <w:rFonts w:ascii="Arial" w:hAnsi="Arial" w:cs="Arial"/>
                <w:b/>
                <w:bCs/>
              </w:rPr>
              <w:t>Particulars</w:t>
            </w:r>
          </w:p>
        </w:tc>
        <w:tc>
          <w:tcPr>
            <w:tcW w:w="765" w:type="dxa"/>
            <w:noWrap/>
          </w:tcPr>
          <w:p w14:paraId="528AF1CB"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376AD5BC"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189650BC"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59A4020E"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03EFB10D"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1D67EAA9" w14:textId="77777777" w:rsidR="009D4E2F" w:rsidRDefault="00314650">
            <w:pPr>
              <w:spacing w:after="0"/>
              <w:rPr>
                <w:rFonts w:ascii="Arial" w:hAnsi="Arial" w:cs="Arial"/>
                <w:b/>
                <w:bCs/>
              </w:rPr>
            </w:pPr>
            <w:r>
              <w:rPr>
                <w:rFonts w:ascii="Arial" w:hAnsi="Arial" w:cs="Arial"/>
                <w:b/>
                <w:bCs/>
              </w:rPr>
              <w:t>2025</w:t>
            </w:r>
          </w:p>
        </w:tc>
      </w:tr>
      <w:tr w:rsidR="009D4E2F" w14:paraId="4E456898" w14:textId="77777777">
        <w:trPr>
          <w:trHeight w:val="288"/>
        </w:trPr>
        <w:tc>
          <w:tcPr>
            <w:tcW w:w="5285" w:type="dxa"/>
            <w:noWrap/>
          </w:tcPr>
          <w:p w14:paraId="01B0FF63" w14:textId="77777777" w:rsidR="009D4E2F" w:rsidRDefault="00314650">
            <w:pPr>
              <w:spacing w:after="0"/>
              <w:rPr>
                <w:rFonts w:ascii="Arial" w:hAnsi="Arial" w:cs="Arial"/>
              </w:rPr>
            </w:pPr>
            <w:r>
              <w:rPr>
                <w:rFonts w:ascii="Arial" w:hAnsi="Arial" w:cs="Arial"/>
              </w:rPr>
              <w:lastRenderedPageBreak/>
              <w:t>Current Assets (USD M)</w:t>
            </w:r>
          </w:p>
        </w:tc>
        <w:tc>
          <w:tcPr>
            <w:tcW w:w="765" w:type="dxa"/>
            <w:noWrap/>
          </w:tcPr>
          <w:p w14:paraId="7E421C7A" w14:textId="77777777" w:rsidR="009D4E2F" w:rsidRDefault="00314650">
            <w:pPr>
              <w:spacing w:after="0"/>
              <w:rPr>
                <w:rFonts w:ascii="Arial" w:hAnsi="Arial" w:cs="Arial"/>
                <w:b/>
                <w:bCs/>
              </w:rPr>
            </w:pPr>
            <w:r>
              <w:rPr>
                <w:rFonts w:ascii="Arial" w:hAnsi="Arial" w:cs="Arial"/>
                <w:b/>
                <w:bCs/>
              </w:rPr>
              <w:t>A</w:t>
            </w:r>
          </w:p>
        </w:tc>
        <w:tc>
          <w:tcPr>
            <w:tcW w:w="1566" w:type="dxa"/>
            <w:noWrap/>
          </w:tcPr>
          <w:p w14:paraId="494B7845" w14:textId="77777777" w:rsidR="009D4E2F" w:rsidRDefault="00314650">
            <w:pPr>
              <w:spacing w:after="0"/>
              <w:rPr>
                <w:rFonts w:ascii="Arial" w:hAnsi="Arial" w:cs="Arial"/>
              </w:rPr>
            </w:pPr>
            <w:r>
              <w:rPr>
                <w:rFonts w:ascii="Arial" w:hAnsi="Arial" w:cs="Arial"/>
              </w:rPr>
              <w:t xml:space="preserve"> $           2,871 </w:t>
            </w:r>
          </w:p>
        </w:tc>
        <w:tc>
          <w:tcPr>
            <w:tcW w:w="1566" w:type="dxa"/>
            <w:noWrap/>
          </w:tcPr>
          <w:p w14:paraId="6F51DAE3" w14:textId="77777777" w:rsidR="009D4E2F" w:rsidRDefault="00314650">
            <w:pPr>
              <w:spacing w:after="0"/>
              <w:rPr>
                <w:rFonts w:ascii="Arial" w:hAnsi="Arial" w:cs="Arial"/>
              </w:rPr>
            </w:pPr>
            <w:r>
              <w:rPr>
                <w:rFonts w:ascii="Arial" w:hAnsi="Arial" w:cs="Arial"/>
              </w:rPr>
              <w:t xml:space="preserve"> $           2,870 </w:t>
            </w:r>
          </w:p>
        </w:tc>
        <w:tc>
          <w:tcPr>
            <w:tcW w:w="1566" w:type="dxa"/>
            <w:noWrap/>
          </w:tcPr>
          <w:p w14:paraId="32471EEB" w14:textId="77777777" w:rsidR="009D4E2F" w:rsidRDefault="00314650">
            <w:pPr>
              <w:spacing w:after="0"/>
              <w:rPr>
                <w:rFonts w:ascii="Arial" w:hAnsi="Arial" w:cs="Arial"/>
              </w:rPr>
            </w:pPr>
            <w:r>
              <w:rPr>
                <w:rFonts w:ascii="Arial" w:hAnsi="Arial" w:cs="Arial"/>
              </w:rPr>
              <w:t xml:space="preserve"> $           2,614 </w:t>
            </w:r>
          </w:p>
        </w:tc>
        <w:tc>
          <w:tcPr>
            <w:tcW w:w="1566" w:type="dxa"/>
            <w:noWrap/>
          </w:tcPr>
          <w:p w14:paraId="6D79D8F0" w14:textId="77777777" w:rsidR="009D4E2F" w:rsidRDefault="00314650">
            <w:pPr>
              <w:spacing w:after="0"/>
              <w:rPr>
                <w:rFonts w:ascii="Arial" w:hAnsi="Arial" w:cs="Arial"/>
              </w:rPr>
            </w:pPr>
            <w:r>
              <w:rPr>
                <w:rFonts w:ascii="Arial" w:hAnsi="Arial" w:cs="Arial"/>
              </w:rPr>
              <w:t xml:space="preserve"> $           3,272 </w:t>
            </w:r>
          </w:p>
        </w:tc>
        <w:tc>
          <w:tcPr>
            <w:tcW w:w="1566" w:type="dxa"/>
            <w:noWrap/>
          </w:tcPr>
          <w:p w14:paraId="76845889" w14:textId="77777777" w:rsidR="009D4E2F" w:rsidRDefault="00314650">
            <w:pPr>
              <w:spacing w:after="0"/>
              <w:rPr>
                <w:rFonts w:ascii="Arial" w:hAnsi="Arial" w:cs="Arial"/>
              </w:rPr>
            </w:pPr>
            <w:r>
              <w:rPr>
                <w:rFonts w:ascii="Arial" w:hAnsi="Arial" w:cs="Arial"/>
              </w:rPr>
              <w:t xml:space="preserve"> $           2,996 </w:t>
            </w:r>
          </w:p>
        </w:tc>
      </w:tr>
      <w:tr w:rsidR="009D4E2F" w14:paraId="0A22F41A" w14:textId="77777777">
        <w:trPr>
          <w:trHeight w:val="288"/>
        </w:trPr>
        <w:tc>
          <w:tcPr>
            <w:tcW w:w="5285" w:type="dxa"/>
            <w:noWrap/>
          </w:tcPr>
          <w:p w14:paraId="57CA6D8D" w14:textId="77777777" w:rsidR="009D4E2F" w:rsidRDefault="00314650">
            <w:pPr>
              <w:spacing w:after="0"/>
              <w:rPr>
                <w:rFonts w:ascii="Arial" w:hAnsi="Arial" w:cs="Arial"/>
              </w:rPr>
            </w:pPr>
            <w:r>
              <w:rPr>
                <w:rFonts w:ascii="Arial" w:hAnsi="Arial" w:cs="Arial"/>
              </w:rPr>
              <w:t>Inventories (USD M)</w:t>
            </w:r>
          </w:p>
        </w:tc>
        <w:tc>
          <w:tcPr>
            <w:tcW w:w="765" w:type="dxa"/>
            <w:noWrap/>
          </w:tcPr>
          <w:p w14:paraId="0BD9AE5D" w14:textId="77777777" w:rsidR="009D4E2F" w:rsidRDefault="00314650">
            <w:pPr>
              <w:spacing w:after="0"/>
              <w:rPr>
                <w:rFonts w:ascii="Arial" w:hAnsi="Arial" w:cs="Arial"/>
                <w:b/>
                <w:bCs/>
              </w:rPr>
            </w:pPr>
            <w:r>
              <w:rPr>
                <w:rFonts w:ascii="Arial" w:hAnsi="Arial" w:cs="Arial"/>
                <w:b/>
                <w:bCs/>
              </w:rPr>
              <w:t>B</w:t>
            </w:r>
          </w:p>
        </w:tc>
        <w:tc>
          <w:tcPr>
            <w:tcW w:w="1566" w:type="dxa"/>
            <w:noWrap/>
          </w:tcPr>
          <w:p w14:paraId="3902EE17"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4074CD0F"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5BEB9715"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780FEA46"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159B83FB" w14:textId="77777777" w:rsidR="009D4E2F" w:rsidRDefault="00314650">
            <w:pPr>
              <w:spacing w:after="0"/>
              <w:rPr>
                <w:rFonts w:ascii="Arial" w:hAnsi="Arial" w:cs="Arial"/>
              </w:rPr>
            </w:pPr>
            <w:r>
              <w:rPr>
                <w:rFonts w:ascii="Arial" w:hAnsi="Arial" w:cs="Arial"/>
              </w:rPr>
              <w:t xml:space="preserve"> $                  - </w:t>
            </w:r>
          </w:p>
        </w:tc>
      </w:tr>
      <w:tr w:rsidR="009D4E2F" w14:paraId="56D9530E" w14:textId="77777777">
        <w:trPr>
          <w:trHeight w:val="288"/>
        </w:trPr>
        <w:tc>
          <w:tcPr>
            <w:tcW w:w="5285" w:type="dxa"/>
            <w:noWrap/>
          </w:tcPr>
          <w:p w14:paraId="79FB3A98" w14:textId="77777777" w:rsidR="009D4E2F" w:rsidRDefault="00314650">
            <w:pPr>
              <w:spacing w:after="0"/>
              <w:rPr>
                <w:rFonts w:ascii="Arial" w:hAnsi="Arial" w:cs="Arial"/>
              </w:rPr>
            </w:pPr>
            <w:r>
              <w:rPr>
                <w:rFonts w:ascii="Arial" w:hAnsi="Arial" w:cs="Arial"/>
              </w:rPr>
              <w:t>Cash &amp; Equivalents (USD M)</w:t>
            </w:r>
          </w:p>
        </w:tc>
        <w:tc>
          <w:tcPr>
            <w:tcW w:w="765" w:type="dxa"/>
            <w:noWrap/>
          </w:tcPr>
          <w:p w14:paraId="3603DF6B" w14:textId="77777777" w:rsidR="009D4E2F" w:rsidRDefault="00314650">
            <w:pPr>
              <w:spacing w:after="0"/>
              <w:rPr>
                <w:rFonts w:ascii="Arial" w:hAnsi="Arial" w:cs="Arial"/>
                <w:b/>
                <w:bCs/>
              </w:rPr>
            </w:pPr>
            <w:r>
              <w:rPr>
                <w:rFonts w:ascii="Arial" w:hAnsi="Arial" w:cs="Arial"/>
                <w:b/>
                <w:bCs/>
              </w:rPr>
              <w:t>C</w:t>
            </w:r>
          </w:p>
        </w:tc>
        <w:tc>
          <w:tcPr>
            <w:tcW w:w="1566" w:type="dxa"/>
            <w:noWrap/>
          </w:tcPr>
          <w:p w14:paraId="4D9ECBA2" w14:textId="77777777" w:rsidR="009D4E2F" w:rsidRDefault="00314650">
            <w:pPr>
              <w:spacing w:after="0"/>
              <w:rPr>
                <w:rFonts w:ascii="Arial" w:hAnsi="Arial" w:cs="Arial"/>
              </w:rPr>
            </w:pPr>
            <w:r>
              <w:rPr>
                <w:rFonts w:ascii="Arial" w:hAnsi="Arial" w:cs="Arial"/>
              </w:rPr>
              <w:t xml:space="preserve"> $           1,427 </w:t>
            </w:r>
          </w:p>
        </w:tc>
        <w:tc>
          <w:tcPr>
            <w:tcW w:w="1566" w:type="dxa"/>
            <w:noWrap/>
          </w:tcPr>
          <w:p w14:paraId="5FF6F5CB" w14:textId="77777777" w:rsidR="009D4E2F" w:rsidRDefault="00314650">
            <w:pPr>
              <w:spacing w:after="0"/>
              <w:rPr>
                <w:rFonts w:ascii="Arial" w:hAnsi="Arial" w:cs="Arial"/>
              </w:rPr>
            </w:pPr>
            <w:r>
              <w:rPr>
                <w:rFonts w:ascii="Arial" w:hAnsi="Arial" w:cs="Arial"/>
              </w:rPr>
              <w:t xml:space="preserve"> $           1,209 </w:t>
            </w:r>
          </w:p>
        </w:tc>
        <w:tc>
          <w:tcPr>
            <w:tcW w:w="1566" w:type="dxa"/>
            <w:noWrap/>
          </w:tcPr>
          <w:p w14:paraId="204054D3" w14:textId="77777777" w:rsidR="009D4E2F" w:rsidRDefault="00314650">
            <w:pPr>
              <w:spacing w:after="0"/>
              <w:rPr>
                <w:rFonts w:ascii="Arial" w:hAnsi="Arial" w:cs="Arial"/>
              </w:rPr>
            </w:pPr>
            <w:r>
              <w:rPr>
                <w:rFonts w:ascii="Arial" w:hAnsi="Arial" w:cs="Arial"/>
              </w:rPr>
              <w:t xml:space="preserve"> $              800 </w:t>
            </w:r>
          </w:p>
        </w:tc>
        <w:tc>
          <w:tcPr>
            <w:tcW w:w="1566" w:type="dxa"/>
            <w:noWrap/>
          </w:tcPr>
          <w:p w14:paraId="5F02E197" w14:textId="77777777" w:rsidR="009D4E2F" w:rsidRDefault="00314650">
            <w:pPr>
              <w:spacing w:after="0"/>
              <w:rPr>
                <w:rFonts w:ascii="Arial" w:hAnsi="Arial" w:cs="Arial"/>
              </w:rPr>
            </w:pPr>
            <w:r>
              <w:rPr>
                <w:rFonts w:ascii="Arial" w:hAnsi="Arial" w:cs="Arial"/>
              </w:rPr>
              <w:t xml:space="preserve"> $           1,301 </w:t>
            </w:r>
          </w:p>
        </w:tc>
        <w:tc>
          <w:tcPr>
            <w:tcW w:w="1566" w:type="dxa"/>
            <w:noWrap/>
          </w:tcPr>
          <w:p w14:paraId="0C954DE0" w14:textId="77777777" w:rsidR="009D4E2F" w:rsidRDefault="00314650">
            <w:pPr>
              <w:spacing w:after="0"/>
              <w:rPr>
                <w:rFonts w:ascii="Arial" w:hAnsi="Arial" w:cs="Arial"/>
              </w:rPr>
            </w:pPr>
            <w:r>
              <w:rPr>
                <w:rFonts w:ascii="Arial" w:hAnsi="Arial" w:cs="Arial"/>
              </w:rPr>
              <w:t xml:space="preserve"> $              918 </w:t>
            </w:r>
          </w:p>
        </w:tc>
      </w:tr>
      <w:tr w:rsidR="009D4E2F" w14:paraId="2E56A350" w14:textId="77777777">
        <w:trPr>
          <w:trHeight w:val="288"/>
        </w:trPr>
        <w:tc>
          <w:tcPr>
            <w:tcW w:w="5285" w:type="dxa"/>
            <w:noWrap/>
          </w:tcPr>
          <w:p w14:paraId="6A542144" w14:textId="77777777" w:rsidR="009D4E2F" w:rsidRDefault="00314650">
            <w:pPr>
              <w:spacing w:after="0"/>
              <w:rPr>
                <w:rFonts w:ascii="Arial" w:hAnsi="Arial" w:cs="Arial"/>
              </w:rPr>
            </w:pPr>
            <w:r>
              <w:rPr>
                <w:rFonts w:ascii="Arial" w:hAnsi="Arial" w:cs="Arial"/>
              </w:rPr>
              <w:t>Current Liabilities (USD M)</w:t>
            </w:r>
          </w:p>
        </w:tc>
        <w:tc>
          <w:tcPr>
            <w:tcW w:w="765" w:type="dxa"/>
            <w:noWrap/>
          </w:tcPr>
          <w:p w14:paraId="388D1E19" w14:textId="77777777" w:rsidR="009D4E2F" w:rsidRDefault="00314650">
            <w:pPr>
              <w:spacing w:after="0"/>
              <w:rPr>
                <w:rFonts w:ascii="Arial" w:hAnsi="Arial" w:cs="Arial"/>
                <w:b/>
                <w:bCs/>
              </w:rPr>
            </w:pPr>
            <w:r>
              <w:rPr>
                <w:rFonts w:ascii="Arial" w:hAnsi="Arial" w:cs="Arial"/>
                <w:b/>
                <w:bCs/>
              </w:rPr>
              <w:t>D</w:t>
            </w:r>
          </w:p>
        </w:tc>
        <w:tc>
          <w:tcPr>
            <w:tcW w:w="1566" w:type="dxa"/>
            <w:noWrap/>
          </w:tcPr>
          <w:p w14:paraId="18C86A3E" w14:textId="77777777" w:rsidR="009D4E2F" w:rsidRDefault="00314650">
            <w:pPr>
              <w:spacing w:after="0"/>
              <w:rPr>
                <w:rFonts w:ascii="Arial" w:hAnsi="Arial" w:cs="Arial"/>
              </w:rPr>
            </w:pPr>
            <w:r>
              <w:rPr>
                <w:rFonts w:ascii="Arial" w:hAnsi="Arial" w:cs="Arial"/>
              </w:rPr>
              <w:t xml:space="preserve"> $           3,019 </w:t>
            </w:r>
          </w:p>
        </w:tc>
        <w:tc>
          <w:tcPr>
            <w:tcW w:w="1566" w:type="dxa"/>
            <w:noWrap/>
          </w:tcPr>
          <w:p w14:paraId="5BA09919" w14:textId="77777777" w:rsidR="009D4E2F" w:rsidRDefault="00314650">
            <w:pPr>
              <w:spacing w:after="0"/>
              <w:rPr>
                <w:rFonts w:ascii="Arial" w:hAnsi="Arial" w:cs="Arial"/>
              </w:rPr>
            </w:pPr>
            <w:r>
              <w:rPr>
                <w:rFonts w:ascii="Arial" w:hAnsi="Arial" w:cs="Arial"/>
              </w:rPr>
              <w:t xml:space="preserve"> $           3,372 </w:t>
            </w:r>
          </w:p>
        </w:tc>
        <w:tc>
          <w:tcPr>
            <w:tcW w:w="1566" w:type="dxa"/>
            <w:noWrap/>
          </w:tcPr>
          <w:p w14:paraId="3B1E4659" w14:textId="77777777" w:rsidR="009D4E2F" w:rsidRDefault="00314650">
            <w:pPr>
              <w:spacing w:after="0"/>
              <w:rPr>
                <w:rFonts w:ascii="Arial" w:hAnsi="Arial" w:cs="Arial"/>
              </w:rPr>
            </w:pPr>
            <w:r>
              <w:rPr>
                <w:rFonts w:ascii="Arial" w:hAnsi="Arial" w:cs="Arial"/>
              </w:rPr>
              <w:t xml:space="preserve"> $           3,722 </w:t>
            </w:r>
          </w:p>
        </w:tc>
        <w:tc>
          <w:tcPr>
            <w:tcW w:w="1566" w:type="dxa"/>
            <w:noWrap/>
          </w:tcPr>
          <w:p w14:paraId="137D9E40" w14:textId="77777777" w:rsidR="009D4E2F" w:rsidRDefault="00314650">
            <w:pPr>
              <w:spacing w:after="0"/>
              <w:rPr>
                <w:rFonts w:ascii="Arial" w:hAnsi="Arial" w:cs="Arial"/>
              </w:rPr>
            </w:pPr>
            <w:r>
              <w:rPr>
                <w:rFonts w:ascii="Arial" w:hAnsi="Arial" w:cs="Arial"/>
              </w:rPr>
              <w:t xml:space="preserve"> $           4,700 </w:t>
            </w:r>
          </w:p>
        </w:tc>
        <w:tc>
          <w:tcPr>
            <w:tcW w:w="1566" w:type="dxa"/>
            <w:noWrap/>
          </w:tcPr>
          <w:p w14:paraId="552CAF87" w14:textId="77777777" w:rsidR="009D4E2F" w:rsidRDefault="00314650">
            <w:pPr>
              <w:spacing w:after="0"/>
              <w:rPr>
                <w:rFonts w:ascii="Arial" w:hAnsi="Arial" w:cs="Arial"/>
              </w:rPr>
            </w:pPr>
            <w:r>
              <w:rPr>
                <w:rFonts w:ascii="Arial" w:hAnsi="Arial" w:cs="Arial"/>
              </w:rPr>
              <w:t xml:space="preserve"> $           4,508 </w:t>
            </w:r>
          </w:p>
        </w:tc>
      </w:tr>
      <w:tr w:rsidR="009D4E2F" w14:paraId="1DA047E4" w14:textId="77777777">
        <w:trPr>
          <w:trHeight w:val="288"/>
        </w:trPr>
        <w:tc>
          <w:tcPr>
            <w:tcW w:w="5285" w:type="dxa"/>
            <w:noWrap/>
          </w:tcPr>
          <w:p w14:paraId="4CC402A9" w14:textId="77777777" w:rsidR="009D4E2F" w:rsidRDefault="00314650">
            <w:pPr>
              <w:spacing w:after="0"/>
              <w:rPr>
                <w:rFonts w:ascii="Arial" w:hAnsi="Arial" w:cs="Arial"/>
                <w:b/>
                <w:bCs/>
              </w:rPr>
            </w:pPr>
            <w:r>
              <w:rPr>
                <w:rFonts w:ascii="Arial" w:hAnsi="Arial" w:cs="Arial"/>
                <w:b/>
                <w:bCs/>
              </w:rPr>
              <w:t>Current Ratio (A/D)</w:t>
            </w:r>
          </w:p>
        </w:tc>
        <w:tc>
          <w:tcPr>
            <w:tcW w:w="765" w:type="dxa"/>
            <w:noWrap/>
          </w:tcPr>
          <w:p w14:paraId="16A6FBFE" w14:textId="77777777" w:rsidR="009D4E2F" w:rsidRDefault="00314650">
            <w:pPr>
              <w:spacing w:after="0"/>
              <w:rPr>
                <w:rFonts w:ascii="Arial" w:hAnsi="Arial" w:cs="Arial"/>
              </w:rPr>
            </w:pPr>
            <w:r>
              <w:rPr>
                <w:rFonts w:ascii="Arial" w:hAnsi="Arial" w:cs="Arial"/>
              </w:rPr>
              <w:t> </w:t>
            </w:r>
          </w:p>
        </w:tc>
        <w:tc>
          <w:tcPr>
            <w:tcW w:w="1566" w:type="dxa"/>
            <w:noWrap/>
          </w:tcPr>
          <w:p w14:paraId="1F1DF6A6" w14:textId="77777777" w:rsidR="009D4E2F" w:rsidRDefault="00314650">
            <w:pPr>
              <w:spacing w:after="0"/>
              <w:rPr>
                <w:rFonts w:ascii="Arial" w:hAnsi="Arial" w:cs="Arial"/>
                <w:b/>
                <w:bCs/>
              </w:rPr>
            </w:pPr>
            <w:r>
              <w:rPr>
                <w:rFonts w:ascii="Arial" w:hAnsi="Arial" w:cs="Arial"/>
                <w:b/>
                <w:bCs/>
              </w:rPr>
              <w:t>0.95x</w:t>
            </w:r>
          </w:p>
        </w:tc>
        <w:tc>
          <w:tcPr>
            <w:tcW w:w="1566" w:type="dxa"/>
            <w:noWrap/>
          </w:tcPr>
          <w:p w14:paraId="5B8BFAB2" w14:textId="77777777" w:rsidR="009D4E2F" w:rsidRDefault="00314650">
            <w:pPr>
              <w:spacing w:after="0"/>
              <w:rPr>
                <w:rFonts w:ascii="Arial" w:hAnsi="Arial" w:cs="Arial"/>
                <w:b/>
                <w:bCs/>
              </w:rPr>
            </w:pPr>
            <w:r>
              <w:rPr>
                <w:rFonts w:ascii="Arial" w:hAnsi="Arial" w:cs="Arial"/>
                <w:b/>
                <w:bCs/>
              </w:rPr>
              <w:t>0.85x</w:t>
            </w:r>
          </w:p>
        </w:tc>
        <w:tc>
          <w:tcPr>
            <w:tcW w:w="1566" w:type="dxa"/>
            <w:noWrap/>
          </w:tcPr>
          <w:p w14:paraId="241D67F1" w14:textId="77777777" w:rsidR="009D4E2F" w:rsidRDefault="00314650">
            <w:pPr>
              <w:spacing w:after="0"/>
              <w:rPr>
                <w:rFonts w:ascii="Arial" w:hAnsi="Arial" w:cs="Arial"/>
                <w:b/>
                <w:bCs/>
              </w:rPr>
            </w:pPr>
            <w:r>
              <w:rPr>
                <w:rFonts w:ascii="Arial" w:hAnsi="Arial" w:cs="Arial"/>
                <w:b/>
                <w:bCs/>
              </w:rPr>
              <w:t>0.70x</w:t>
            </w:r>
          </w:p>
        </w:tc>
        <w:tc>
          <w:tcPr>
            <w:tcW w:w="1566" w:type="dxa"/>
            <w:noWrap/>
          </w:tcPr>
          <w:p w14:paraId="172943E6" w14:textId="77777777" w:rsidR="009D4E2F" w:rsidRDefault="00314650">
            <w:pPr>
              <w:spacing w:after="0"/>
              <w:rPr>
                <w:rFonts w:ascii="Arial" w:hAnsi="Arial" w:cs="Arial"/>
                <w:b/>
                <w:bCs/>
              </w:rPr>
            </w:pPr>
            <w:r>
              <w:rPr>
                <w:rFonts w:ascii="Arial" w:hAnsi="Arial" w:cs="Arial"/>
                <w:b/>
                <w:bCs/>
              </w:rPr>
              <w:t>0.70x</w:t>
            </w:r>
          </w:p>
        </w:tc>
        <w:tc>
          <w:tcPr>
            <w:tcW w:w="1566" w:type="dxa"/>
            <w:noWrap/>
          </w:tcPr>
          <w:p w14:paraId="251E7CA3" w14:textId="77777777" w:rsidR="009D4E2F" w:rsidRDefault="00314650">
            <w:pPr>
              <w:spacing w:after="0"/>
              <w:rPr>
                <w:rFonts w:ascii="Arial" w:hAnsi="Arial" w:cs="Arial"/>
                <w:b/>
                <w:bCs/>
              </w:rPr>
            </w:pPr>
            <w:r>
              <w:rPr>
                <w:rFonts w:ascii="Arial" w:hAnsi="Arial" w:cs="Arial"/>
                <w:b/>
                <w:bCs/>
              </w:rPr>
              <w:t>0.66x</w:t>
            </w:r>
          </w:p>
        </w:tc>
      </w:tr>
      <w:tr w:rsidR="009D4E2F" w14:paraId="39BF106E" w14:textId="77777777">
        <w:trPr>
          <w:trHeight w:val="288"/>
        </w:trPr>
        <w:tc>
          <w:tcPr>
            <w:tcW w:w="5285" w:type="dxa"/>
            <w:noWrap/>
          </w:tcPr>
          <w:p w14:paraId="28F2C507" w14:textId="77777777" w:rsidR="009D4E2F" w:rsidRDefault="00314650">
            <w:pPr>
              <w:spacing w:after="0"/>
              <w:rPr>
                <w:rFonts w:ascii="Arial" w:hAnsi="Arial" w:cs="Arial"/>
                <w:b/>
                <w:bCs/>
              </w:rPr>
            </w:pPr>
            <w:r>
              <w:rPr>
                <w:rFonts w:ascii="Arial" w:hAnsi="Arial" w:cs="Arial"/>
                <w:b/>
                <w:bCs/>
              </w:rPr>
              <w:t xml:space="preserve">Quick Ratio - Acid </w:t>
            </w:r>
            <w:proofErr w:type="gramStart"/>
            <w:r>
              <w:rPr>
                <w:rFonts w:ascii="Arial" w:hAnsi="Arial" w:cs="Arial"/>
                <w:b/>
                <w:bCs/>
              </w:rPr>
              <w:t>Test ((</w:t>
            </w:r>
            <w:proofErr w:type="gramEnd"/>
            <w:r>
              <w:rPr>
                <w:rFonts w:ascii="Arial" w:hAnsi="Arial" w:cs="Arial"/>
                <w:b/>
                <w:bCs/>
              </w:rPr>
              <w:t>A-B)/D)</w:t>
            </w:r>
          </w:p>
        </w:tc>
        <w:tc>
          <w:tcPr>
            <w:tcW w:w="765" w:type="dxa"/>
            <w:noWrap/>
          </w:tcPr>
          <w:p w14:paraId="047D7729" w14:textId="77777777" w:rsidR="009D4E2F" w:rsidRDefault="00314650">
            <w:pPr>
              <w:spacing w:after="0"/>
              <w:rPr>
                <w:rFonts w:ascii="Arial" w:hAnsi="Arial" w:cs="Arial"/>
              </w:rPr>
            </w:pPr>
            <w:r>
              <w:rPr>
                <w:rFonts w:ascii="Arial" w:hAnsi="Arial" w:cs="Arial"/>
              </w:rPr>
              <w:t> </w:t>
            </w:r>
          </w:p>
        </w:tc>
        <w:tc>
          <w:tcPr>
            <w:tcW w:w="1566" w:type="dxa"/>
            <w:noWrap/>
          </w:tcPr>
          <w:p w14:paraId="5C511CA9" w14:textId="77777777" w:rsidR="009D4E2F" w:rsidRDefault="00314650">
            <w:pPr>
              <w:spacing w:after="0"/>
              <w:rPr>
                <w:rFonts w:ascii="Arial" w:hAnsi="Arial" w:cs="Arial"/>
                <w:b/>
                <w:bCs/>
              </w:rPr>
            </w:pPr>
            <w:r>
              <w:rPr>
                <w:rFonts w:ascii="Arial" w:hAnsi="Arial" w:cs="Arial"/>
                <w:b/>
                <w:bCs/>
              </w:rPr>
              <w:t>0.95x</w:t>
            </w:r>
          </w:p>
        </w:tc>
        <w:tc>
          <w:tcPr>
            <w:tcW w:w="1566" w:type="dxa"/>
            <w:noWrap/>
          </w:tcPr>
          <w:p w14:paraId="2EC56526" w14:textId="77777777" w:rsidR="009D4E2F" w:rsidRDefault="00314650">
            <w:pPr>
              <w:spacing w:after="0"/>
              <w:rPr>
                <w:rFonts w:ascii="Arial" w:hAnsi="Arial" w:cs="Arial"/>
                <w:b/>
                <w:bCs/>
              </w:rPr>
            </w:pPr>
            <w:r>
              <w:rPr>
                <w:rFonts w:ascii="Arial" w:hAnsi="Arial" w:cs="Arial"/>
                <w:b/>
                <w:bCs/>
              </w:rPr>
              <w:t>0.85x</w:t>
            </w:r>
          </w:p>
        </w:tc>
        <w:tc>
          <w:tcPr>
            <w:tcW w:w="1566" w:type="dxa"/>
            <w:noWrap/>
          </w:tcPr>
          <w:p w14:paraId="65C62FE7" w14:textId="77777777" w:rsidR="009D4E2F" w:rsidRDefault="00314650">
            <w:pPr>
              <w:spacing w:after="0"/>
              <w:rPr>
                <w:rFonts w:ascii="Arial" w:hAnsi="Arial" w:cs="Arial"/>
                <w:b/>
                <w:bCs/>
              </w:rPr>
            </w:pPr>
            <w:r>
              <w:rPr>
                <w:rFonts w:ascii="Arial" w:hAnsi="Arial" w:cs="Arial"/>
                <w:b/>
                <w:bCs/>
              </w:rPr>
              <w:t>0.70x</w:t>
            </w:r>
          </w:p>
        </w:tc>
        <w:tc>
          <w:tcPr>
            <w:tcW w:w="1566" w:type="dxa"/>
            <w:noWrap/>
          </w:tcPr>
          <w:p w14:paraId="7F28AD98" w14:textId="77777777" w:rsidR="009D4E2F" w:rsidRDefault="00314650">
            <w:pPr>
              <w:spacing w:after="0"/>
              <w:rPr>
                <w:rFonts w:ascii="Arial" w:hAnsi="Arial" w:cs="Arial"/>
                <w:b/>
                <w:bCs/>
              </w:rPr>
            </w:pPr>
            <w:r>
              <w:rPr>
                <w:rFonts w:ascii="Arial" w:hAnsi="Arial" w:cs="Arial"/>
                <w:b/>
                <w:bCs/>
              </w:rPr>
              <w:t>0.70x</w:t>
            </w:r>
          </w:p>
        </w:tc>
        <w:tc>
          <w:tcPr>
            <w:tcW w:w="1566" w:type="dxa"/>
            <w:noWrap/>
          </w:tcPr>
          <w:p w14:paraId="5698AA03" w14:textId="77777777" w:rsidR="009D4E2F" w:rsidRDefault="00314650">
            <w:pPr>
              <w:spacing w:after="0"/>
              <w:rPr>
                <w:rFonts w:ascii="Arial" w:hAnsi="Arial" w:cs="Arial"/>
                <w:b/>
                <w:bCs/>
              </w:rPr>
            </w:pPr>
            <w:r>
              <w:rPr>
                <w:rFonts w:ascii="Arial" w:hAnsi="Arial" w:cs="Arial"/>
                <w:b/>
                <w:bCs/>
              </w:rPr>
              <w:t>0.66x</w:t>
            </w:r>
          </w:p>
        </w:tc>
      </w:tr>
      <w:tr w:rsidR="009D4E2F" w14:paraId="26322EF8" w14:textId="77777777">
        <w:trPr>
          <w:trHeight w:val="288"/>
        </w:trPr>
        <w:tc>
          <w:tcPr>
            <w:tcW w:w="5285" w:type="dxa"/>
            <w:noWrap/>
          </w:tcPr>
          <w:p w14:paraId="71E60F8B" w14:textId="77777777" w:rsidR="009D4E2F" w:rsidRDefault="009D4E2F">
            <w:pPr>
              <w:spacing w:after="0"/>
              <w:rPr>
                <w:rFonts w:ascii="Arial" w:hAnsi="Arial" w:cs="Arial"/>
                <w:b/>
                <w:bCs/>
              </w:rPr>
            </w:pPr>
          </w:p>
        </w:tc>
        <w:tc>
          <w:tcPr>
            <w:tcW w:w="765" w:type="dxa"/>
            <w:noWrap/>
          </w:tcPr>
          <w:p w14:paraId="21EF418E" w14:textId="77777777" w:rsidR="009D4E2F" w:rsidRDefault="009D4E2F">
            <w:pPr>
              <w:spacing w:after="0"/>
              <w:rPr>
                <w:rFonts w:ascii="Arial" w:hAnsi="Arial" w:cs="Arial"/>
              </w:rPr>
            </w:pPr>
          </w:p>
        </w:tc>
        <w:tc>
          <w:tcPr>
            <w:tcW w:w="1566" w:type="dxa"/>
            <w:noWrap/>
          </w:tcPr>
          <w:p w14:paraId="72B2BA60" w14:textId="77777777" w:rsidR="009D4E2F" w:rsidRDefault="009D4E2F">
            <w:pPr>
              <w:spacing w:after="0"/>
              <w:rPr>
                <w:rFonts w:ascii="Arial" w:hAnsi="Arial" w:cs="Arial"/>
              </w:rPr>
            </w:pPr>
          </w:p>
        </w:tc>
        <w:tc>
          <w:tcPr>
            <w:tcW w:w="1566" w:type="dxa"/>
            <w:noWrap/>
          </w:tcPr>
          <w:p w14:paraId="4DA4F441" w14:textId="77777777" w:rsidR="009D4E2F" w:rsidRDefault="009D4E2F">
            <w:pPr>
              <w:spacing w:after="0"/>
              <w:rPr>
                <w:rFonts w:ascii="Arial" w:hAnsi="Arial" w:cs="Arial"/>
              </w:rPr>
            </w:pPr>
          </w:p>
        </w:tc>
        <w:tc>
          <w:tcPr>
            <w:tcW w:w="1566" w:type="dxa"/>
            <w:noWrap/>
          </w:tcPr>
          <w:p w14:paraId="4C3B335C" w14:textId="77777777" w:rsidR="009D4E2F" w:rsidRDefault="009D4E2F">
            <w:pPr>
              <w:spacing w:after="0"/>
              <w:rPr>
                <w:rFonts w:ascii="Arial" w:hAnsi="Arial" w:cs="Arial"/>
              </w:rPr>
            </w:pPr>
          </w:p>
        </w:tc>
        <w:tc>
          <w:tcPr>
            <w:tcW w:w="1566" w:type="dxa"/>
            <w:noWrap/>
          </w:tcPr>
          <w:p w14:paraId="162E30C8" w14:textId="77777777" w:rsidR="009D4E2F" w:rsidRDefault="009D4E2F">
            <w:pPr>
              <w:spacing w:after="0"/>
              <w:rPr>
                <w:rFonts w:ascii="Arial" w:hAnsi="Arial" w:cs="Arial"/>
              </w:rPr>
            </w:pPr>
          </w:p>
        </w:tc>
        <w:tc>
          <w:tcPr>
            <w:tcW w:w="1566" w:type="dxa"/>
            <w:noWrap/>
          </w:tcPr>
          <w:p w14:paraId="051232C4" w14:textId="77777777" w:rsidR="009D4E2F" w:rsidRDefault="009D4E2F">
            <w:pPr>
              <w:spacing w:after="0"/>
              <w:rPr>
                <w:rFonts w:ascii="Arial" w:hAnsi="Arial" w:cs="Arial"/>
              </w:rPr>
            </w:pPr>
          </w:p>
        </w:tc>
      </w:tr>
      <w:tr w:rsidR="009D4E2F" w14:paraId="418EF580" w14:textId="77777777">
        <w:trPr>
          <w:trHeight w:val="390"/>
        </w:trPr>
        <w:tc>
          <w:tcPr>
            <w:tcW w:w="13880" w:type="dxa"/>
            <w:gridSpan w:val="7"/>
            <w:noWrap/>
          </w:tcPr>
          <w:p w14:paraId="6E40A88C" w14:textId="77777777" w:rsidR="009D4E2F" w:rsidRDefault="00314650">
            <w:pPr>
              <w:spacing w:after="0"/>
              <w:rPr>
                <w:rFonts w:ascii="Arial" w:hAnsi="Arial" w:cs="Arial"/>
                <w:b/>
                <w:bCs/>
              </w:rPr>
            </w:pPr>
            <w:r>
              <w:rPr>
                <w:rFonts w:ascii="Arial" w:hAnsi="Arial" w:cs="Arial"/>
                <w:b/>
                <w:bCs/>
              </w:rPr>
              <w:t>3. GEARING (LEVERAGE) RATIOS</w:t>
            </w:r>
          </w:p>
        </w:tc>
      </w:tr>
      <w:tr w:rsidR="009D4E2F" w14:paraId="1ED87BD2" w14:textId="77777777">
        <w:trPr>
          <w:trHeight w:val="288"/>
        </w:trPr>
        <w:tc>
          <w:tcPr>
            <w:tcW w:w="5285" w:type="dxa"/>
            <w:noWrap/>
          </w:tcPr>
          <w:p w14:paraId="246D060B" w14:textId="77777777" w:rsidR="009D4E2F" w:rsidRDefault="00314650">
            <w:pPr>
              <w:spacing w:after="0"/>
              <w:rPr>
                <w:rFonts w:ascii="Arial" w:hAnsi="Arial" w:cs="Arial"/>
                <w:b/>
                <w:bCs/>
              </w:rPr>
            </w:pPr>
            <w:r>
              <w:rPr>
                <w:rFonts w:ascii="Arial" w:hAnsi="Arial" w:cs="Arial"/>
                <w:b/>
                <w:bCs/>
              </w:rPr>
              <w:t>Particulars</w:t>
            </w:r>
          </w:p>
        </w:tc>
        <w:tc>
          <w:tcPr>
            <w:tcW w:w="765" w:type="dxa"/>
            <w:noWrap/>
          </w:tcPr>
          <w:p w14:paraId="058DA5F9"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2624E9FF"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71319960"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16D5EB7E"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27B7FEBE"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58B47AD1" w14:textId="77777777" w:rsidR="009D4E2F" w:rsidRDefault="00314650">
            <w:pPr>
              <w:spacing w:after="0"/>
              <w:rPr>
                <w:rFonts w:ascii="Arial" w:hAnsi="Arial" w:cs="Arial"/>
                <w:b/>
                <w:bCs/>
              </w:rPr>
            </w:pPr>
            <w:r>
              <w:rPr>
                <w:rFonts w:ascii="Arial" w:hAnsi="Arial" w:cs="Arial"/>
                <w:b/>
                <w:bCs/>
              </w:rPr>
              <w:t>2025</w:t>
            </w:r>
          </w:p>
        </w:tc>
      </w:tr>
      <w:tr w:rsidR="009D4E2F" w14:paraId="426A28DA" w14:textId="77777777">
        <w:trPr>
          <w:trHeight w:val="288"/>
        </w:trPr>
        <w:tc>
          <w:tcPr>
            <w:tcW w:w="5285" w:type="dxa"/>
            <w:noWrap/>
          </w:tcPr>
          <w:p w14:paraId="7212DD3C" w14:textId="77777777" w:rsidR="009D4E2F" w:rsidRDefault="00314650">
            <w:pPr>
              <w:spacing w:after="0"/>
              <w:rPr>
                <w:rFonts w:ascii="Arial" w:hAnsi="Arial" w:cs="Arial"/>
              </w:rPr>
            </w:pPr>
            <w:r>
              <w:rPr>
                <w:rFonts w:ascii="Arial" w:hAnsi="Arial" w:cs="Arial"/>
              </w:rPr>
              <w:t>Total Liabilities (USD M)</w:t>
            </w:r>
          </w:p>
        </w:tc>
        <w:tc>
          <w:tcPr>
            <w:tcW w:w="765" w:type="dxa"/>
            <w:noWrap/>
          </w:tcPr>
          <w:p w14:paraId="58BE3E9B" w14:textId="77777777" w:rsidR="009D4E2F" w:rsidRDefault="00314650">
            <w:pPr>
              <w:spacing w:after="0"/>
              <w:rPr>
                <w:rFonts w:ascii="Arial" w:hAnsi="Arial" w:cs="Arial"/>
                <w:b/>
                <w:bCs/>
              </w:rPr>
            </w:pPr>
            <w:r>
              <w:rPr>
                <w:rFonts w:ascii="Arial" w:hAnsi="Arial" w:cs="Arial"/>
                <w:b/>
                <w:bCs/>
              </w:rPr>
              <w:t>A</w:t>
            </w:r>
          </w:p>
        </w:tc>
        <w:tc>
          <w:tcPr>
            <w:tcW w:w="1566" w:type="dxa"/>
            <w:noWrap/>
          </w:tcPr>
          <w:p w14:paraId="1574AB3C" w14:textId="77777777" w:rsidR="009D4E2F" w:rsidRDefault="00314650">
            <w:pPr>
              <w:spacing w:after="0"/>
              <w:rPr>
                <w:rFonts w:ascii="Arial" w:hAnsi="Arial" w:cs="Arial"/>
              </w:rPr>
            </w:pPr>
            <w:r>
              <w:rPr>
                <w:rFonts w:ascii="Arial" w:hAnsi="Arial" w:cs="Arial"/>
              </w:rPr>
              <w:t xml:space="preserve"> $          16,260 </w:t>
            </w:r>
          </w:p>
        </w:tc>
        <w:tc>
          <w:tcPr>
            <w:tcW w:w="1566" w:type="dxa"/>
            <w:noWrap/>
          </w:tcPr>
          <w:p w14:paraId="37D9D7FE" w14:textId="77777777" w:rsidR="009D4E2F" w:rsidRDefault="00314650">
            <w:pPr>
              <w:spacing w:after="0"/>
              <w:rPr>
                <w:rFonts w:ascii="Arial" w:hAnsi="Arial" w:cs="Arial"/>
              </w:rPr>
            </w:pPr>
            <w:r>
              <w:rPr>
                <w:rFonts w:ascii="Arial" w:hAnsi="Arial" w:cs="Arial"/>
              </w:rPr>
              <w:t xml:space="preserve"> $           1,668 </w:t>
            </w:r>
          </w:p>
        </w:tc>
        <w:tc>
          <w:tcPr>
            <w:tcW w:w="1566" w:type="dxa"/>
            <w:noWrap/>
          </w:tcPr>
          <w:p w14:paraId="3B3FF1C8" w14:textId="77777777" w:rsidR="009D4E2F" w:rsidRDefault="00314650">
            <w:pPr>
              <w:spacing w:after="0"/>
              <w:rPr>
                <w:rFonts w:ascii="Arial" w:hAnsi="Arial" w:cs="Arial"/>
              </w:rPr>
            </w:pPr>
            <w:r>
              <w:rPr>
                <w:rFonts w:ascii="Arial" w:hAnsi="Arial" w:cs="Arial"/>
              </w:rPr>
              <w:t xml:space="preserve"> $          17,748 </w:t>
            </w:r>
          </w:p>
        </w:tc>
        <w:tc>
          <w:tcPr>
            <w:tcW w:w="1566" w:type="dxa"/>
            <w:noWrap/>
          </w:tcPr>
          <w:p w14:paraId="1F2B5C93" w14:textId="77777777" w:rsidR="009D4E2F" w:rsidRDefault="00314650">
            <w:pPr>
              <w:spacing w:after="0"/>
              <w:rPr>
                <w:rFonts w:ascii="Arial" w:hAnsi="Arial" w:cs="Arial"/>
              </w:rPr>
            </w:pPr>
            <w:r>
              <w:rPr>
                <w:rFonts w:ascii="Arial" w:hAnsi="Arial" w:cs="Arial"/>
              </w:rPr>
              <w:t xml:space="preserve"> $          20,211 </w:t>
            </w:r>
          </w:p>
        </w:tc>
        <w:tc>
          <w:tcPr>
            <w:tcW w:w="1566" w:type="dxa"/>
            <w:noWrap/>
          </w:tcPr>
          <w:p w14:paraId="5D8B41DA" w14:textId="77777777" w:rsidR="009D4E2F" w:rsidRDefault="00314650">
            <w:pPr>
              <w:spacing w:after="0"/>
              <w:rPr>
                <w:rFonts w:ascii="Arial" w:hAnsi="Arial" w:cs="Arial"/>
              </w:rPr>
            </w:pPr>
            <w:r>
              <w:rPr>
                <w:rFonts w:ascii="Arial" w:hAnsi="Arial" w:cs="Arial"/>
              </w:rPr>
              <w:t xml:space="preserve"> $          22,120 </w:t>
            </w:r>
          </w:p>
        </w:tc>
      </w:tr>
      <w:tr w:rsidR="009D4E2F" w14:paraId="54A873C3" w14:textId="77777777">
        <w:trPr>
          <w:trHeight w:val="288"/>
        </w:trPr>
        <w:tc>
          <w:tcPr>
            <w:tcW w:w="5285" w:type="dxa"/>
            <w:noWrap/>
          </w:tcPr>
          <w:p w14:paraId="7DAE192B" w14:textId="77777777" w:rsidR="009D4E2F" w:rsidRDefault="00314650">
            <w:pPr>
              <w:spacing w:after="0"/>
              <w:rPr>
                <w:rFonts w:ascii="Arial" w:hAnsi="Arial" w:cs="Arial"/>
              </w:rPr>
            </w:pPr>
            <w:r>
              <w:rPr>
                <w:rFonts w:ascii="Arial" w:hAnsi="Arial" w:cs="Arial"/>
              </w:rPr>
              <w:t>Total Equity (USD M)</w:t>
            </w:r>
          </w:p>
        </w:tc>
        <w:tc>
          <w:tcPr>
            <w:tcW w:w="765" w:type="dxa"/>
            <w:noWrap/>
          </w:tcPr>
          <w:p w14:paraId="1B088EFE" w14:textId="77777777" w:rsidR="009D4E2F" w:rsidRDefault="00314650">
            <w:pPr>
              <w:spacing w:after="0"/>
              <w:rPr>
                <w:rFonts w:ascii="Arial" w:hAnsi="Arial" w:cs="Arial"/>
                <w:b/>
                <w:bCs/>
              </w:rPr>
            </w:pPr>
            <w:r>
              <w:rPr>
                <w:rFonts w:ascii="Arial" w:hAnsi="Arial" w:cs="Arial"/>
                <w:b/>
                <w:bCs/>
              </w:rPr>
              <w:t>B</w:t>
            </w:r>
          </w:p>
        </w:tc>
        <w:tc>
          <w:tcPr>
            <w:tcW w:w="1566" w:type="dxa"/>
            <w:noWrap/>
          </w:tcPr>
          <w:p w14:paraId="3262703B"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819)</w:t>
            </w:r>
          </w:p>
        </w:tc>
        <w:tc>
          <w:tcPr>
            <w:tcW w:w="1566" w:type="dxa"/>
            <w:noWrap/>
          </w:tcPr>
          <w:p w14:paraId="057845A1"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898)</w:t>
            </w:r>
          </w:p>
        </w:tc>
        <w:tc>
          <w:tcPr>
            <w:tcW w:w="1566" w:type="dxa"/>
            <w:noWrap/>
          </w:tcPr>
          <w:p w14:paraId="7213DBD2"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2,347)</w:t>
            </w:r>
          </w:p>
        </w:tc>
        <w:tc>
          <w:tcPr>
            <w:tcW w:w="1566" w:type="dxa"/>
            <w:noWrap/>
          </w:tcPr>
          <w:p w14:paraId="7EE4F92D"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3,706)</w:t>
            </w:r>
          </w:p>
        </w:tc>
        <w:tc>
          <w:tcPr>
            <w:tcW w:w="1566" w:type="dxa"/>
            <w:noWrap/>
          </w:tcPr>
          <w:p w14:paraId="31383726"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5,359)</w:t>
            </w:r>
          </w:p>
        </w:tc>
      </w:tr>
      <w:tr w:rsidR="009D4E2F" w14:paraId="2C8D7524" w14:textId="77777777">
        <w:trPr>
          <w:trHeight w:val="288"/>
        </w:trPr>
        <w:tc>
          <w:tcPr>
            <w:tcW w:w="5285" w:type="dxa"/>
            <w:noWrap/>
          </w:tcPr>
          <w:p w14:paraId="5D6DDA34" w14:textId="77777777" w:rsidR="009D4E2F" w:rsidRDefault="00314650">
            <w:pPr>
              <w:spacing w:after="0"/>
              <w:rPr>
                <w:rFonts w:ascii="Arial" w:hAnsi="Arial" w:cs="Arial"/>
              </w:rPr>
            </w:pPr>
            <w:r>
              <w:rPr>
                <w:rFonts w:ascii="Arial" w:hAnsi="Arial" w:cs="Arial"/>
              </w:rPr>
              <w:t>EBIT / Operating Profit (USD M)</w:t>
            </w:r>
          </w:p>
        </w:tc>
        <w:tc>
          <w:tcPr>
            <w:tcW w:w="765" w:type="dxa"/>
            <w:noWrap/>
          </w:tcPr>
          <w:p w14:paraId="5A58D8FA" w14:textId="77777777" w:rsidR="009D4E2F" w:rsidRDefault="00314650">
            <w:pPr>
              <w:spacing w:after="0"/>
              <w:rPr>
                <w:rFonts w:ascii="Arial" w:hAnsi="Arial" w:cs="Arial"/>
                <w:b/>
                <w:bCs/>
              </w:rPr>
            </w:pPr>
            <w:r>
              <w:rPr>
                <w:rFonts w:ascii="Arial" w:hAnsi="Arial" w:cs="Arial"/>
                <w:b/>
                <w:bCs/>
              </w:rPr>
              <w:t>C</w:t>
            </w:r>
          </w:p>
        </w:tc>
        <w:tc>
          <w:tcPr>
            <w:tcW w:w="1566" w:type="dxa"/>
            <w:noWrap/>
          </w:tcPr>
          <w:p w14:paraId="1D88D1BA" w14:textId="77777777" w:rsidR="009D4E2F" w:rsidRDefault="00314650">
            <w:pPr>
              <w:spacing w:after="0"/>
              <w:rPr>
                <w:rFonts w:ascii="Arial" w:hAnsi="Arial" w:cs="Arial"/>
              </w:rPr>
            </w:pPr>
            <w:r>
              <w:rPr>
                <w:rFonts w:ascii="Arial" w:hAnsi="Arial" w:cs="Arial"/>
              </w:rPr>
              <w:t xml:space="preserve"> $              333 </w:t>
            </w:r>
          </w:p>
        </w:tc>
        <w:tc>
          <w:tcPr>
            <w:tcW w:w="1566" w:type="dxa"/>
            <w:noWrap/>
          </w:tcPr>
          <w:p w14:paraId="24E29D6B" w14:textId="77777777" w:rsidR="009D4E2F" w:rsidRDefault="00314650">
            <w:pPr>
              <w:spacing w:after="0"/>
              <w:rPr>
                <w:rFonts w:ascii="Arial" w:hAnsi="Arial" w:cs="Arial"/>
              </w:rPr>
            </w:pPr>
            <w:r>
              <w:rPr>
                <w:rFonts w:ascii="Arial" w:hAnsi="Arial" w:cs="Arial"/>
              </w:rPr>
              <w:t xml:space="preserve"> $              916 </w:t>
            </w:r>
          </w:p>
        </w:tc>
        <w:tc>
          <w:tcPr>
            <w:tcW w:w="1566" w:type="dxa"/>
            <w:noWrap/>
          </w:tcPr>
          <w:p w14:paraId="24BDEB56" w14:textId="77777777" w:rsidR="009D4E2F" w:rsidRDefault="00314650">
            <w:pPr>
              <w:spacing w:after="0"/>
              <w:rPr>
                <w:rFonts w:ascii="Arial" w:hAnsi="Arial" w:cs="Arial"/>
              </w:rPr>
            </w:pPr>
            <w:r>
              <w:rPr>
                <w:rFonts w:ascii="Arial" w:hAnsi="Arial" w:cs="Arial"/>
              </w:rPr>
              <w:t xml:space="preserve"> $              803 </w:t>
            </w:r>
          </w:p>
        </w:tc>
        <w:tc>
          <w:tcPr>
            <w:tcW w:w="1566" w:type="dxa"/>
            <w:noWrap/>
          </w:tcPr>
          <w:p w14:paraId="24FA1770" w14:textId="77777777" w:rsidR="009D4E2F" w:rsidRDefault="00314650">
            <w:pPr>
              <w:spacing w:after="0"/>
              <w:rPr>
                <w:rFonts w:ascii="Arial" w:hAnsi="Arial" w:cs="Arial"/>
              </w:rPr>
            </w:pPr>
            <w:r>
              <w:rPr>
                <w:rFonts w:ascii="Arial" w:hAnsi="Arial" w:cs="Arial"/>
              </w:rPr>
              <w:t xml:space="preserve"> $              883 </w:t>
            </w:r>
          </w:p>
        </w:tc>
        <w:tc>
          <w:tcPr>
            <w:tcW w:w="1566" w:type="dxa"/>
            <w:noWrap/>
          </w:tcPr>
          <w:p w14:paraId="2961EB52" w14:textId="77777777" w:rsidR="009D4E2F" w:rsidRDefault="00314650">
            <w:pPr>
              <w:spacing w:after="0"/>
              <w:rPr>
                <w:rFonts w:ascii="Arial" w:hAnsi="Arial" w:cs="Arial"/>
              </w:rPr>
            </w:pPr>
            <w:r>
              <w:rPr>
                <w:rFonts w:ascii="Arial" w:hAnsi="Arial" w:cs="Arial"/>
              </w:rPr>
              <w:t xml:space="preserve"> $           1,408 </w:t>
            </w:r>
          </w:p>
        </w:tc>
      </w:tr>
      <w:tr w:rsidR="009D4E2F" w14:paraId="245BA85E" w14:textId="77777777">
        <w:trPr>
          <w:trHeight w:val="288"/>
        </w:trPr>
        <w:tc>
          <w:tcPr>
            <w:tcW w:w="5285" w:type="dxa"/>
            <w:noWrap/>
          </w:tcPr>
          <w:p w14:paraId="49D3C370" w14:textId="77777777" w:rsidR="009D4E2F" w:rsidRDefault="00314650">
            <w:pPr>
              <w:spacing w:after="0"/>
              <w:rPr>
                <w:rFonts w:ascii="Arial" w:hAnsi="Arial" w:cs="Arial"/>
              </w:rPr>
            </w:pPr>
            <w:r>
              <w:rPr>
                <w:rFonts w:ascii="Arial" w:hAnsi="Arial" w:cs="Arial"/>
              </w:rPr>
              <w:t>Interest Expense (USD M)</w:t>
            </w:r>
          </w:p>
        </w:tc>
        <w:tc>
          <w:tcPr>
            <w:tcW w:w="765" w:type="dxa"/>
            <w:noWrap/>
          </w:tcPr>
          <w:p w14:paraId="5BFD85F7" w14:textId="77777777" w:rsidR="009D4E2F" w:rsidRDefault="00314650">
            <w:pPr>
              <w:spacing w:after="0"/>
              <w:rPr>
                <w:rFonts w:ascii="Arial" w:hAnsi="Arial" w:cs="Arial"/>
                <w:b/>
                <w:bCs/>
              </w:rPr>
            </w:pPr>
            <w:r>
              <w:rPr>
                <w:rFonts w:ascii="Arial" w:hAnsi="Arial" w:cs="Arial"/>
                <w:b/>
                <w:bCs/>
              </w:rPr>
              <w:t>D</w:t>
            </w:r>
          </w:p>
        </w:tc>
        <w:tc>
          <w:tcPr>
            <w:tcW w:w="1566" w:type="dxa"/>
            <w:noWrap/>
          </w:tcPr>
          <w:p w14:paraId="28092C40" w14:textId="77777777" w:rsidR="009D4E2F" w:rsidRDefault="00314650">
            <w:pPr>
              <w:spacing w:after="0"/>
              <w:rPr>
                <w:rFonts w:ascii="Arial" w:hAnsi="Arial" w:cs="Arial"/>
              </w:rPr>
            </w:pPr>
            <w:r>
              <w:rPr>
                <w:rFonts w:ascii="Arial" w:hAnsi="Arial" w:cs="Arial"/>
              </w:rPr>
              <w:t xml:space="preserve"> $              397 </w:t>
            </w:r>
          </w:p>
        </w:tc>
        <w:tc>
          <w:tcPr>
            <w:tcW w:w="1566" w:type="dxa"/>
            <w:noWrap/>
          </w:tcPr>
          <w:p w14:paraId="02F34CB9" w14:textId="77777777" w:rsidR="009D4E2F" w:rsidRDefault="00314650">
            <w:pPr>
              <w:spacing w:after="0"/>
              <w:rPr>
                <w:rFonts w:ascii="Arial" w:hAnsi="Arial" w:cs="Arial"/>
              </w:rPr>
            </w:pPr>
            <w:r>
              <w:rPr>
                <w:rFonts w:ascii="Arial" w:hAnsi="Arial" w:cs="Arial"/>
              </w:rPr>
              <w:t xml:space="preserve"> $              415 </w:t>
            </w:r>
          </w:p>
        </w:tc>
        <w:tc>
          <w:tcPr>
            <w:tcW w:w="1566" w:type="dxa"/>
            <w:noWrap/>
          </w:tcPr>
          <w:p w14:paraId="4AD314E5" w14:textId="77777777" w:rsidR="009D4E2F" w:rsidRDefault="00314650">
            <w:pPr>
              <w:spacing w:after="0"/>
              <w:rPr>
                <w:rFonts w:ascii="Arial" w:hAnsi="Arial" w:cs="Arial"/>
              </w:rPr>
            </w:pPr>
            <w:r>
              <w:rPr>
                <w:rFonts w:ascii="Arial" w:hAnsi="Arial" w:cs="Arial"/>
              </w:rPr>
              <w:t xml:space="preserve"> $              464 </w:t>
            </w:r>
          </w:p>
        </w:tc>
        <w:tc>
          <w:tcPr>
            <w:tcW w:w="1566" w:type="dxa"/>
            <w:noWrap/>
          </w:tcPr>
          <w:p w14:paraId="1ED57E2C" w14:textId="77777777" w:rsidR="009D4E2F" w:rsidRDefault="00314650">
            <w:pPr>
              <w:spacing w:after="0"/>
              <w:rPr>
                <w:rFonts w:ascii="Arial" w:hAnsi="Arial" w:cs="Arial"/>
              </w:rPr>
            </w:pPr>
            <w:r>
              <w:rPr>
                <w:rFonts w:ascii="Arial" w:hAnsi="Arial" w:cs="Arial"/>
              </w:rPr>
              <w:t xml:space="preserve"> $              569 </w:t>
            </w:r>
          </w:p>
        </w:tc>
        <w:tc>
          <w:tcPr>
            <w:tcW w:w="1566" w:type="dxa"/>
            <w:noWrap/>
          </w:tcPr>
          <w:p w14:paraId="7F561474" w14:textId="77777777" w:rsidR="009D4E2F" w:rsidRDefault="00314650">
            <w:pPr>
              <w:spacing w:after="0"/>
              <w:rPr>
                <w:rFonts w:ascii="Arial" w:hAnsi="Arial" w:cs="Arial"/>
              </w:rPr>
            </w:pPr>
            <w:r>
              <w:rPr>
                <w:rFonts w:ascii="Arial" w:hAnsi="Arial" w:cs="Arial"/>
              </w:rPr>
              <w:t xml:space="preserve"> $              620 </w:t>
            </w:r>
          </w:p>
        </w:tc>
      </w:tr>
      <w:tr w:rsidR="009D4E2F" w14:paraId="0F996529" w14:textId="77777777">
        <w:trPr>
          <w:trHeight w:val="288"/>
        </w:trPr>
        <w:tc>
          <w:tcPr>
            <w:tcW w:w="5285" w:type="dxa"/>
            <w:noWrap/>
          </w:tcPr>
          <w:p w14:paraId="6B56EC4C" w14:textId="77777777" w:rsidR="009D4E2F" w:rsidRDefault="00314650">
            <w:pPr>
              <w:spacing w:after="0"/>
              <w:rPr>
                <w:rFonts w:ascii="Arial" w:hAnsi="Arial" w:cs="Arial"/>
              </w:rPr>
            </w:pPr>
            <w:r>
              <w:rPr>
                <w:rFonts w:ascii="Arial" w:hAnsi="Arial" w:cs="Arial"/>
              </w:rPr>
              <w:t>Long-term Debt (USD M)</w:t>
            </w:r>
          </w:p>
        </w:tc>
        <w:tc>
          <w:tcPr>
            <w:tcW w:w="765" w:type="dxa"/>
            <w:noWrap/>
          </w:tcPr>
          <w:p w14:paraId="00B40AC3" w14:textId="77777777" w:rsidR="009D4E2F" w:rsidRDefault="00314650">
            <w:pPr>
              <w:spacing w:after="0"/>
              <w:rPr>
                <w:rFonts w:ascii="Arial" w:hAnsi="Arial" w:cs="Arial"/>
                <w:b/>
                <w:bCs/>
              </w:rPr>
            </w:pPr>
            <w:r>
              <w:rPr>
                <w:rFonts w:ascii="Arial" w:hAnsi="Arial" w:cs="Arial"/>
                <w:b/>
                <w:bCs/>
              </w:rPr>
              <w:t>E</w:t>
            </w:r>
          </w:p>
        </w:tc>
        <w:tc>
          <w:tcPr>
            <w:tcW w:w="1566" w:type="dxa"/>
            <w:noWrap/>
          </w:tcPr>
          <w:p w14:paraId="160D84BA" w14:textId="77777777" w:rsidR="009D4E2F" w:rsidRDefault="00314650">
            <w:pPr>
              <w:spacing w:after="0"/>
              <w:rPr>
                <w:rFonts w:ascii="Arial" w:hAnsi="Arial" w:cs="Arial"/>
              </w:rPr>
            </w:pPr>
            <w:r>
              <w:rPr>
                <w:rFonts w:ascii="Arial" w:hAnsi="Arial" w:cs="Arial"/>
              </w:rPr>
              <w:t xml:space="preserve"> $           8,712 </w:t>
            </w:r>
          </w:p>
        </w:tc>
        <w:tc>
          <w:tcPr>
            <w:tcW w:w="1566" w:type="dxa"/>
            <w:noWrap/>
          </w:tcPr>
          <w:p w14:paraId="1FA99BA8" w14:textId="77777777" w:rsidR="009D4E2F" w:rsidRDefault="00314650">
            <w:pPr>
              <w:spacing w:after="0"/>
              <w:rPr>
                <w:rFonts w:ascii="Arial" w:hAnsi="Arial" w:cs="Arial"/>
              </w:rPr>
            </w:pPr>
            <w:r>
              <w:rPr>
                <w:rFonts w:ascii="Arial" w:hAnsi="Arial" w:cs="Arial"/>
              </w:rPr>
              <w:t xml:space="preserve"> $           8,708 </w:t>
            </w:r>
          </w:p>
        </w:tc>
        <w:tc>
          <w:tcPr>
            <w:tcW w:w="1566" w:type="dxa"/>
            <w:noWrap/>
          </w:tcPr>
          <w:p w14:paraId="48C530F8" w14:textId="77777777" w:rsidR="009D4E2F" w:rsidRDefault="00314650">
            <w:pPr>
              <w:spacing w:after="0"/>
              <w:rPr>
                <w:rFonts w:ascii="Arial" w:hAnsi="Arial" w:cs="Arial"/>
              </w:rPr>
            </w:pPr>
            <w:r>
              <w:rPr>
                <w:rFonts w:ascii="Arial" w:hAnsi="Arial" w:cs="Arial"/>
              </w:rPr>
              <w:t xml:space="preserve"> $           9,157 </w:t>
            </w:r>
          </w:p>
        </w:tc>
        <w:tc>
          <w:tcPr>
            <w:tcW w:w="1566" w:type="dxa"/>
            <w:noWrap/>
          </w:tcPr>
          <w:p w14:paraId="4FF46D60" w14:textId="77777777" w:rsidR="009D4E2F" w:rsidRDefault="00314650">
            <w:pPr>
              <w:spacing w:after="0"/>
              <w:rPr>
                <w:rFonts w:ascii="Arial" w:hAnsi="Arial" w:cs="Arial"/>
              </w:rPr>
            </w:pPr>
            <w:r>
              <w:rPr>
                <w:rFonts w:ascii="Arial" w:hAnsi="Arial" w:cs="Arial"/>
              </w:rPr>
              <w:t xml:space="preserve"> $           8,616 </w:t>
            </w:r>
          </w:p>
        </w:tc>
        <w:tc>
          <w:tcPr>
            <w:tcW w:w="1566" w:type="dxa"/>
            <w:noWrap/>
          </w:tcPr>
          <w:p w14:paraId="6F14E4C6" w14:textId="77777777" w:rsidR="009D4E2F" w:rsidRDefault="00314650">
            <w:pPr>
              <w:spacing w:after="0"/>
              <w:rPr>
                <w:rFonts w:ascii="Arial" w:hAnsi="Arial" w:cs="Arial"/>
              </w:rPr>
            </w:pPr>
            <w:r>
              <w:rPr>
                <w:rFonts w:ascii="Arial" w:hAnsi="Arial" w:cs="Arial"/>
              </w:rPr>
              <w:t xml:space="preserve"> $          12,338 </w:t>
            </w:r>
          </w:p>
        </w:tc>
      </w:tr>
      <w:tr w:rsidR="009D4E2F" w14:paraId="73F54F40" w14:textId="77777777">
        <w:trPr>
          <w:trHeight w:val="288"/>
        </w:trPr>
        <w:tc>
          <w:tcPr>
            <w:tcW w:w="5285" w:type="dxa"/>
            <w:noWrap/>
          </w:tcPr>
          <w:p w14:paraId="0ACA98A9" w14:textId="77777777" w:rsidR="009D4E2F" w:rsidRDefault="00314650">
            <w:pPr>
              <w:spacing w:after="0"/>
              <w:rPr>
                <w:rFonts w:ascii="Arial" w:hAnsi="Arial" w:cs="Arial"/>
              </w:rPr>
            </w:pPr>
            <w:r>
              <w:rPr>
                <w:rFonts w:ascii="Arial" w:hAnsi="Arial" w:cs="Arial"/>
              </w:rPr>
              <w:t>Short-term Debt (USD M)</w:t>
            </w:r>
          </w:p>
        </w:tc>
        <w:tc>
          <w:tcPr>
            <w:tcW w:w="765" w:type="dxa"/>
            <w:noWrap/>
          </w:tcPr>
          <w:p w14:paraId="194F38CE" w14:textId="77777777" w:rsidR="009D4E2F" w:rsidRDefault="00314650">
            <w:pPr>
              <w:spacing w:after="0"/>
              <w:rPr>
                <w:rFonts w:ascii="Arial" w:hAnsi="Arial" w:cs="Arial"/>
                <w:b/>
                <w:bCs/>
              </w:rPr>
            </w:pPr>
            <w:r>
              <w:rPr>
                <w:rFonts w:ascii="Arial" w:hAnsi="Arial" w:cs="Arial"/>
                <w:b/>
                <w:bCs/>
              </w:rPr>
              <w:t>F</w:t>
            </w:r>
          </w:p>
        </w:tc>
        <w:tc>
          <w:tcPr>
            <w:tcW w:w="1566" w:type="dxa"/>
            <w:noWrap/>
          </w:tcPr>
          <w:p w14:paraId="0F42ED2A" w14:textId="77777777" w:rsidR="009D4E2F" w:rsidRDefault="00314650">
            <w:pPr>
              <w:spacing w:after="0"/>
              <w:rPr>
                <w:rFonts w:ascii="Arial" w:hAnsi="Arial" w:cs="Arial"/>
              </w:rPr>
            </w:pPr>
            <w:r>
              <w:rPr>
                <w:rFonts w:ascii="Arial" w:hAnsi="Arial" w:cs="Arial"/>
              </w:rPr>
              <w:t xml:space="preserve"> $                54 </w:t>
            </w:r>
          </w:p>
        </w:tc>
        <w:tc>
          <w:tcPr>
            <w:tcW w:w="1566" w:type="dxa"/>
            <w:noWrap/>
          </w:tcPr>
          <w:p w14:paraId="15910BD3" w14:textId="77777777" w:rsidR="009D4E2F" w:rsidRDefault="00314650">
            <w:pPr>
              <w:spacing w:after="0"/>
              <w:rPr>
                <w:rFonts w:ascii="Arial" w:hAnsi="Arial" w:cs="Arial"/>
              </w:rPr>
            </w:pPr>
            <w:r>
              <w:rPr>
                <w:rFonts w:ascii="Arial" w:hAnsi="Arial" w:cs="Arial"/>
              </w:rPr>
              <w:t xml:space="preserve"> $                39 </w:t>
            </w:r>
          </w:p>
        </w:tc>
        <w:tc>
          <w:tcPr>
            <w:tcW w:w="1566" w:type="dxa"/>
            <w:noWrap/>
          </w:tcPr>
          <w:p w14:paraId="787F4D87" w14:textId="77777777" w:rsidR="009D4E2F" w:rsidRDefault="00314650">
            <w:pPr>
              <w:spacing w:after="0"/>
              <w:rPr>
                <w:rFonts w:ascii="Arial" w:hAnsi="Arial" w:cs="Arial"/>
              </w:rPr>
            </w:pPr>
            <w:r>
              <w:rPr>
                <w:rFonts w:ascii="Arial" w:hAnsi="Arial" w:cs="Arial"/>
              </w:rPr>
              <w:t xml:space="preserve"> $                39 </w:t>
            </w:r>
          </w:p>
        </w:tc>
        <w:tc>
          <w:tcPr>
            <w:tcW w:w="1566" w:type="dxa"/>
            <w:noWrap/>
          </w:tcPr>
          <w:p w14:paraId="46CE36DE" w14:textId="77777777" w:rsidR="009D4E2F" w:rsidRDefault="00314650">
            <w:pPr>
              <w:spacing w:after="0"/>
              <w:rPr>
                <w:rFonts w:ascii="Arial" w:hAnsi="Arial" w:cs="Arial"/>
              </w:rPr>
            </w:pPr>
            <w:r>
              <w:rPr>
                <w:rFonts w:ascii="Arial" w:hAnsi="Arial" w:cs="Arial"/>
              </w:rPr>
              <w:t xml:space="preserve"> $              535 </w:t>
            </w:r>
          </w:p>
        </w:tc>
        <w:tc>
          <w:tcPr>
            <w:tcW w:w="1566" w:type="dxa"/>
            <w:noWrap/>
          </w:tcPr>
          <w:p w14:paraId="701BC22E" w14:textId="77777777" w:rsidR="009D4E2F" w:rsidRDefault="00314650">
            <w:pPr>
              <w:spacing w:after="0"/>
              <w:rPr>
                <w:rFonts w:ascii="Arial" w:hAnsi="Arial" w:cs="Arial"/>
              </w:rPr>
            </w:pPr>
            <w:r>
              <w:rPr>
                <w:rFonts w:ascii="Arial" w:hAnsi="Arial" w:cs="Arial"/>
              </w:rPr>
              <w:t xml:space="preserve"> $                25 </w:t>
            </w:r>
          </w:p>
        </w:tc>
      </w:tr>
      <w:tr w:rsidR="009D4E2F" w14:paraId="662763D7" w14:textId="77777777">
        <w:trPr>
          <w:trHeight w:val="288"/>
        </w:trPr>
        <w:tc>
          <w:tcPr>
            <w:tcW w:w="5285" w:type="dxa"/>
            <w:noWrap/>
          </w:tcPr>
          <w:p w14:paraId="24EE43DC" w14:textId="77777777" w:rsidR="009D4E2F" w:rsidRDefault="00314650">
            <w:pPr>
              <w:spacing w:after="0"/>
              <w:rPr>
                <w:rFonts w:ascii="Arial" w:hAnsi="Arial" w:cs="Arial"/>
                <w:b/>
                <w:bCs/>
              </w:rPr>
            </w:pPr>
            <w:r>
              <w:rPr>
                <w:rFonts w:ascii="Arial" w:hAnsi="Arial" w:cs="Arial"/>
                <w:b/>
                <w:bCs/>
              </w:rPr>
              <w:t>Debt/Equity Ratio (A/B) [N/M: neg. equity]</w:t>
            </w:r>
          </w:p>
        </w:tc>
        <w:tc>
          <w:tcPr>
            <w:tcW w:w="765" w:type="dxa"/>
            <w:noWrap/>
          </w:tcPr>
          <w:p w14:paraId="63AE2144" w14:textId="77777777" w:rsidR="009D4E2F" w:rsidRDefault="00314650">
            <w:pPr>
              <w:spacing w:after="0"/>
              <w:rPr>
                <w:rFonts w:ascii="Arial" w:hAnsi="Arial" w:cs="Arial"/>
              </w:rPr>
            </w:pPr>
            <w:r>
              <w:rPr>
                <w:rFonts w:ascii="Arial" w:hAnsi="Arial" w:cs="Arial"/>
              </w:rPr>
              <w:t> </w:t>
            </w:r>
          </w:p>
        </w:tc>
        <w:tc>
          <w:tcPr>
            <w:tcW w:w="1566" w:type="dxa"/>
            <w:noWrap/>
          </w:tcPr>
          <w:p w14:paraId="2A3F1F72" w14:textId="77777777" w:rsidR="009D4E2F" w:rsidRDefault="00314650">
            <w:pPr>
              <w:spacing w:after="0"/>
              <w:rPr>
                <w:rFonts w:ascii="Arial" w:hAnsi="Arial" w:cs="Arial"/>
                <w:b/>
                <w:bCs/>
              </w:rPr>
            </w:pPr>
            <w:r>
              <w:rPr>
                <w:rFonts w:ascii="Arial" w:hAnsi="Arial" w:cs="Arial"/>
                <w:b/>
                <w:bCs/>
              </w:rPr>
              <w:t>(19.85x)</w:t>
            </w:r>
          </w:p>
        </w:tc>
        <w:tc>
          <w:tcPr>
            <w:tcW w:w="1566" w:type="dxa"/>
            <w:noWrap/>
          </w:tcPr>
          <w:p w14:paraId="52A627EA" w14:textId="77777777" w:rsidR="009D4E2F" w:rsidRDefault="00314650">
            <w:pPr>
              <w:spacing w:after="0"/>
              <w:rPr>
                <w:rFonts w:ascii="Arial" w:hAnsi="Arial" w:cs="Arial"/>
                <w:b/>
                <w:bCs/>
              </w:rPr>
            </w:pPr>
            <w:r>
              <w:rPr>
                <w:rFonts w:ascii="Arial" w:hAnsi="Arial" w:cs="Arial"/>
                <w:b/>
                <w:bCs/>
              </w:rPr>
              <w:t>(1.86x)</w:t>
            </w:r>
          </w:p>
        </w:tc>
        <w:tc>
          <w:tcPr>
            <w:tcW w:w="1566" w:type="dxa"/>
            <w:noWrap/>
          </w:tcPr>
          <w:p w14:paraId="4B560B22" w14:textId="77777777" w:rsidR="009D4E2F" w:rsidRDefault="00314650">
            <w:pPr>
              <w:spacing w:after="0"/>
              <w:rPr>
                <w:rFonts w:ascii="Arial" w:hAnsi="Arial" w:cs="Arial"/>
                <w:b/>
                <w:bCs/>
              </w:rPr>
            </w:pPr>
            <w:r>
              <w:rPr>
                <w:rFonts w:ascii="Arial" w:hAnsi="Arial" w:cs="Arial"/>
                <w:b/>
                <w:bCs/>
              </w:rPr>
              <w:t>(7.56x)</w:t>
            </w:r>
          </w:p>
        </w:tc>
        <w:tc>
          <w:tcPr>
            <w:tcW w:w="1566" w:type="dxa"/>
            <w:noWrap/>
          </w:tcPr>
          <w:p w14:paraId="3EF5E9FF" w14:textId="77777777" w:rsidR="009D4E2F" w:rsidRDefault="00314650">
            <w:pPr>
              <w:spacing w:after="0"/>
              <w:rPr>
                <w:rFonts w:ascii="Arial" w:hAnsi="Arial" w:cs="Arial"/>
                <w:b/>
                <w:bCs/>
              </w:rPr>
            </w:pPr>
            <w:r>
              <w:rPr>
                <w:rFonts w:ascii="Arial" w:hAnsi="Arial" w:cs="Arial"/>
                <w:b/>
                <w:bCs/>
              </w:rPr>
              <w:t>(5.45x)</w:t>
            </w:r>
          </w:p>
        </w:tc>
        <w:tc>
          <w:tcPr>
            <w:tcW w:w="1566" w:type="dxa"/>
            <w:noWrap/>
          </w:tcPr>
          <w:p w14:paraId="7B1EC2E2" w14:textId="77777777" w:rsidR="009D4E2F" w:rsidRDefault="00314650">
            <w:pPr>
              <w:spacing w:after="0"/>
              <w:rPr>
                <w:rFonts w:ascii="Arial" w:hAnsi="Arial" w:cs="Arial"/>
                <w:b/>
                <w:bCs/>
              </w:rPr>
            </w:pPr>
            <w:r>
              <w:rPr>
                <w:rFonts w:ascii="Arial" w:hAnsi="Arial" w:cs="Arial"/>
                <w:b/>
                <w:bCs/>
              </w:rPr>
              <w:t>(4.13x)</w:t>
            </w:r>
          </w:p>
        </w:tc>
      </w:tr>
      <w:tr w:rsidR="009D4E2F" w14:paraId="7DF3A7BF" w14:textId="77777777">
        <w:trPr>
          <w:trHeight w:val="288"/>
        </w:trPr>
        <w:tc>
          <w:tcPr>
            <w:tcW w:w="5285" w:type="dxa"/>
            <w:noWrap/>
          </w:tcPr>
          <w:p w14:paraId="102E262B" w14:textId="77777777" w:rsidR="009D4E2F" w:rsidRDefault="00314650">
            <w:pPr>
              <w:spacing w:after="0"/>
              <w:rPr>
                <w:rFonts w:ascii="Arial" w:hAnsi="Arial" w:cs="Arial"/>
                <w:b/>
                <w:bCs/>
              </w:rPr>
            </w:pPr>
            <w:r>
              <w:rPr>
                <w:rFonts w:ascii="Arial" w:hAnsi="Arial" w:cs="Arial"/>
                <w:b/>
                <w:bCs/>
              </w:rPr>
              <w:lastRenderedPageBreak/>
              <w:t>Interest Coverage Ratio (EBIT) (C/D)</w:t>
            </w:r>
          </w:p>
        </w:tc>
        <w:tc>
          <w:tcPr>
            <w:tcW w:w="765" w:type="dxa"/>
            <w:noWrap/>
          </w:tcPr>
          <w:p w14:paraId="557B0B26" w14:textId="77777777" w:rsidR="009D4E2F" w:rsidRDefault="00314650">
            <w:pPr>
              <w:spacing w:after="0"/>
              <w:rPr>
                <w:rFonts w:ascii="Arial" w:hAnsi="Arial" w:cs="Arial"/>
              </w:rPr>
            </w:pPr>
            <w:r>
              <w:rPr>
                <w:rFonts w:ascii="Arial" w:hAnsi="Arial" w:cs="Arial"/>
              </w:rPr>
              <w:t> </w:t>
            </w:r>
          </w:p>
        </w:tc>
        <w:tc>
          <w:tcPr>
            <w:tcW w:w="1566" w:type="dxa"/>
            <w:noWrap/>
          </w:tcPr>
          <w:p w14:paraId="6C678E3D" w14:textId="77777777" w:rsidR="009D4E2F" w:rsidRDefault="00314650">
            <w:pPr>
              <w:spacing w:after="0"/>
              <w:rPr>
                <w:rFonts w:ascii="Arial" w:hAnsi="Arial" w:cs="Arial"/>
                <w:b/>
                <w:bCs/>
              </w:rPr>
            </w:pPr>
            <w:r>
              <w:rPr>
                <w:rFonts w:ascii="Arial" w:hAnsi="Arial" w:cs="Arial"/>
                <w:b/>
                <w:bCs/>
              </w:rPr>
              <w:t>0.84x</w:t>
            </w:r>
          </w:p>
        </w:tc>
        <w:tc>
          <w:tcPr>
            <w:tcW w:w="1566" w:type="dxa"/>
            <w:noWrap/>
          </w:tcPr>
          <w:p w14:paraId="5BC8A767" w14:textId="77777777" w:rsidR="009D4E2F" w:rsidRDefault="00314650">
            <w:pPr>
              <w:spacing w:after="0"/>
              <w:rPr>
                <w:rFonts w:ascii="Arial" w:hAnsi="Arial" w:cs="Arial"/>
                <w:b/>
                <w:bCs/>
              </w:rPr>
            </w:pPr>
            <w:r>
              <w:rPr>
                <w:rFonts w:ascii="Arial" w:hAnsi="Arial" w:cs="Arial"/>
                <w:b/>
                <w:bCs/>
              </w:rPr>
              <w:t>2.21x</w:t>
            </w:r>
          </w:p>
        </w:tc>
        <w:tc>
          <w:tcPr>
            <w:tcW w:w="1566" w:type="dxa"/>
            <w:noWrap/>
          </w:tcPr>
          <w:p w14:paraId="3BCB1454" w14:textId="77777777" w:rsidR="009D4E2F" w:rsidRDefault="00314650">
            <w:pPr>
              <w:spacing w:after="0"/>
              <w:rPr>
                <w:rFonts w:ascii="Arial" w:hAnsi="Arial" w:cs="Arial"/>
                <w:b/>
                <w:bCs/>
              </w:rPr>
            </w:pPr>
            <w:r>
              <w:rPr>
                <w:rFonts w:ascii="Arial" w:hAnsi="Arial" w:cs="Arial"/>
                <w:b/>
                <w:bCs/>
              </w:rPr>
              <w:t>1.73x</w:t>
            </w:r>
          </w:p>
        </w:tc>
        <w:tc>
          <w:tcPr>
            <w:tcW w:w="1566" w:type="dxa"/>
            <w:noWrap/>
          </w:tcPr>
          <w:p w14:paraId="78D7A24B" w14:textId="77777777" w:rsidR="009D4E2F" w:rsidRDefault="00314650">
            <w:pPr>
              <w:spacing w:after="0"/>
              <w:rPr>
                <w:rFonts w:ascii="Arial" w:hAnsi="Arial" w:cs="Arial"/>
                <w:b/>
                <w:bCs/>
              </w:rPr>
            </w:pPr>
            <w:r>
              <w:rPr>
                <w:rFonts w:ascii="Arial" w:hAnsi="Arial" w:cs="Arial"/>
                <w:b/>
                <w:bCs/>
              </w:rPr>
              <w:t>1.55x</w:t>
            </w:r>
          </w:p>
        </w:tc>
        <w:tc>
          <w:tcPr>
            <w:tcW w:w="1566" w:type="dxa"/>
            <w:noWrap/>
          </w:tcPr>
          <w:p w14:paraId="037A17E7" w14:textId="77777777" w:rsidR="009D4E2F" w:rsidRDefault="00314650">
            <w:pPr>
              <w:spacing w:after="0"/>
              <w:rPr>
                <w:rFonts w:ascii="Arial" w:hAnsi="Arial" w:cs="Arial"/>
                <w:b/>
                <w:bCs/>
              </w:rPr>
            </w:pPr>
            <w:r>
              <w:rPr>
                <w:rFonts w:ascii="Arial" w:hAnsi="Arial" w:cs="Arial"/>
                <w:b/>
                <w:bCs/>
              </w:rPr>
              <w:t>2.27x</w:t>
            </w:r>
          </w:p>
        </w:tc>
      </w:tr>
      <w:tr w:rsidR="009D4E2F" w14:paraId="015CC07C" w14:textId="77777777">
        <w:trPr>
          <w:trHeight w:val="288"/>
        </w:trPr>
        <w:tc>
          <w:tcPr>
            <w:tcW w:w="5285" w:type="dxa"/>
            <w:noWrap/>
          </w:tcPr>
          <w:p w14:paraId="07773863" w14:textId="77777777" w:rsidR="009D4E2F" w:rsidRDefault="009D4E2F">
            <w:pPr>
              <w:spacing w:after="0"/>
              <w:rPr>
                <w:rFonts w:ascii="Arial" w:hAnsi="Arial" w:cs="Arial"/>
                <w:b/>
                <w:bCs/>
              </w:rPr>
            </w:pPr>
          </w:p>
        </w:tc>
        <w:tc>
          <w:tcPr>
            <w:tcW w:w="765" w:type="dxa"/>
            <w:noWrap/>
          </w:tcPr>
          <w:p w14:paraId="03BAD3F5" w14:textId="77777777" w:rsidR="009D4E2F" w:rsidRDefault="009D4E2F">
            <w:pPr>
              <w:spacing w:after="0"/>
              <w:rPr>
                <w:rFonts w:ascii="Arial" w:hAnsi="Arial" w:cs="Arial"/>
              </w:rPr>
            </w:pPr>
          </w:p>
        </w:tc>
        <w:tc>
          <w:tcPr>
            <w:tcW w:w="1566" w:type="dxa"/>
            <w:noWrap/>
          </w:tcPr>
          <w:p w14:paraId="31621501" w14:textId="77777777" w:rsidR="009D4E2F" w:rsidRDefault="009D4E2F">
            <w:pPr>
              <w:spacing w:after="0"/>
              <w:rPr>
                <w:rFonts w:ascii="Arial" w:hAnsi="Arial" w:cs="Arial"/>
              </w:rPr>
            </w:pPr>
          </w:p>
        </w:tc>
        <w:tc>
          <w:tcPr>
            <w:tcW w:w="1566" w:type="dxa"/>
            <w:noWrap/>
          </w:tcPr>
          <w:p w14:paraId="1ACC8748" w14:textId="77777777" w:rsidR="009D4E2F" w:rsidRDefault="009D4E2F">
            <w:pPr>
              <w:spacing w:after="0"/>
              <w:rPr>
                <w:rFonts w:ascii="Arial" w:hAnsi="Arial" w:cs="Arial"/>
              </w:rPr>
            </w:pPr>
          </w:p>
        </w:tc>
        <w:tc>
          <w:tcPr>
            <w:tcW w:w="1566" w:type="dxa"/>
            <w:noWrap/>
          </w:tcPr>
          <w:p w14:paraId="336E864F" w14:textId="77777777" w:rsidR="009D4E2F" w:rsidRDefault="009D4E2F">
            <w:pPr>
              <w:spacing w:after="0"/>
              <w:rPr>
                <w:rFonts w:ascii="Arial" w:hAnsi="Arial" w:cs="Arial"/>
              </w:rPr>
            </w:pPr>
          </w:p>
        </w:tc>
        <w:tc>
          <w:tcPr>
            <w:tcW w:w="1566" w:type="dxa"/>
            <w:noWrap/>
          </w:tcPr>
          <w:p w14:paraId="32236489" w14:textId="77777777" w:rsidR="009D4E2F" w:rsidRDefault="009D4E2F">
            <w:pPr>
              <w:spacing w:after="0"/>
              <w:rPr>
                <w:rFonts w:ascii="Arial" w:hAnsi="Arial" w:cs="Arial"/>
              </w:rPr>
            </w:pPr>
          </w:p>
        </w:tc>
        <w:tc>
          <w:tcPr>
            <w:tcW w:w="1566" w:type="dxa"/>
            <w:noWrap/>
          </w:tcPr>
          <w:p w14:paraId="12D49B76" w14:textId="77777777" w:rsidR="009D4E2F" w:rsidRDefault="009D4E2F">
            <w:pPr>
              <w:spacing w:after="0"/>
              <w:rPr>
                <w:rFonts w:ascii="Arial" w:hAnsi="Arial" w:cs="Arial"/>
              </w:rPr>
            </w:pPr>
          </w:p>
        </w:tc>
      </w:tr>
      <w:tr w:rsidR="009D4E2F" w14:paraId="62C150E2" w14:textId="77777777">
        <w:trPr>
          <w:trHeight w:val="390"/>
        </w:trPr>
        <w:tc>
          <w:tcPr>
            <w:tcW w:w="13880" w:type="dxa"/>
            <w:gridSpan w:val="7"/>
            <w:noWrap/>
          </w:tcPr>
          <w:p w14:paraId="5E50F484" w14:textId="77777777" w:rsidR="009D4E2F" w:rsidRDefault="00314650">
            <w:pPr>
              <w:spacing w:after="0"/>
              <w:rPr>
                <w:rFonts w:ascii="Arial" w:hAnsi="Arial" w:cs="Arial"/>
                <w:b/>
                <w:bCs/>
              </w:rPr>
            </w:pPr>
            <w:r>
              <w:rPr>
                <w:rFonts w:ascii="Arial" w:hAnsi="Arial" w:cs="Arial"/>
                <w:b/>
                <w:bCs/>
              </w:rPr>
              <w:t>4. EFFICIENCY (ACTIVITY) RATIOS</w:t>
            </w:r>
          </w:p>
        </w:tc>
      </w:tr>
      <w:tr w:rsidR="009D4E2F" w14:paraId="55678E4C" w14:textId="77777777">
        <w:trPr>
          <w:trHeight w:val="288"/>
        </w:trPr>
        <w:tc>
          <w:tcPr>
            <w:tcW w:w="5285" w:type="dxa"/>
            <w:noWrap/>
          </w:tcPr>
          <w:p w14:paraId="2D48C6BE" w14:textId="77777777" w:rsidR="009D4E2F" w:rsidRDefault="00314650">
            <w:pPr>
              <w:spacing w:after="0"/>
              <w:rPr>
                <w:rFonts w:ascii="Arial" w:hAnsi="Arial" w:cs="Arial"/>
                <w:b/>
                <w:bCs/>
              </w:rPr>
            </w:pPr>
            <w:r>
              <w:rPr>
                <w:rFonts w:ascii="Arial" w:hAnsi="Arial" w:cs="Arial"/>
                <w:b/>
                <w:bCs/>
              </w:rPr>
              <w:t>Particulars</w:t>
            </w:r>
          </w:p>
        </w:tc>
        <w:tc>
          <w:tcPr>
            <w:tcW w:w="765" w:type="dxa"/>
            <w:noWrap/>
          </w:tcPr>
          <w:p w14:paraId="5BFD3C4A"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1CFED7D9"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77AB680F"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05C40B8D"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4CFBDCB0"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754E3C2D" w14:textId="77777777" w:rsidR="009D4E2F" w:rsidRDefault="00314650">
            <w:pPr>
              <w:spacing w:after="0"/>
              <w:rPr>
                <w:rFonts w:ascii="Arial" w:hAnsi="Arial" w:cs="Arial"/>
                <w:b/>
                <w:bCs/>
              </w:rPr>
            </w:pPr>
            <w:r>
              <w:rPr>
                <w:rFonts w:ascii="Arial" w:hAnsi="Arial" w:cs="Arial"/>
                <w:b/>
                <w:bCs/>
              </w:rPr>
              <w:t>2025</w:t>
            </w:r>
          </w:p>
        </w:tc>
      </w:tr>
      <w:tr w:rsidR="009D4E2F" w14:paraId="4FABD41C" w14:textId="77777777">
        <w:trPr>
          <w:trHeight w:val="288"/>
        </w:trPr>
        <w:tc>
          <w:tcPr>
            <w:tcW w:w="5285" w:type="dxa"/>
            <w:noWrap/>
          </w:tcPr>
          <w:p w14:paraId="00CACE82" w14:textId="77777777" w:rsidR="009D4E2F" w:rsidRDefault="00314650">
            <w:pPr>
              <w:spacing w:after="0"/>
              <w:rPr>
                <w:rFonts w:ascii="Arial" w:hAnsi="Arial" w:cs="Arial"/>
              </w:rPr>
            </w:pPr>
            <w:r>
              <w:rPr>
                <w:rFonts w:ascii="Arial" w:hAnsi="Arial" w:cs="Arial"/>
              </w:rPr>
              <w:t>Revenue (USD M)</w:t>
            </w:r>
          </w:p>
        </w:tc>
        <w:tc>
          <w:tcPr>
            <w:tcW w:w="765" w:type="dxa"/>
            <w:noWrap/>
          </w:tcPr>
          <w:p w14:paraId="7F60FCFB" w14:textId="77777777" w:rsidR="009D4E2F" w:rsidRDefault="00314650">
            <w:pPr>
              <w:spacing w:after="0"/>
              <w:rPr>
                <w:rFonts w:ascii="Arial" w:hAnsi="Arial" w:cs="Arial"/>
                <w:b/>
                <w:bCs/>
              </w:rPr>
            </w:pPr>
            <w:r>
              <w:rPr>
                <w:rFonts w:ascii="Arial" w:hAnsi="Arial" w:cs="Arial"/>
                <w:b/>
                <w:bCs/>
              </w:rPr>
              <w:t>A</w:t>
            </w:r>
          </w:p>
        </w:tc>
        <w:tc>
          <w:tcPr>
            <w:tcW w:w="1566" w:type="dxa"/>
            <w:noWrap/>
          </w:tcPr>
          <w:p w14:paraId="46D62C62" w14:textId="77777777" w:rsidR="009D4E2F" w:rsidRDefault="00314650">
            <w:pPr>
              <w:spacing w:after="0"/>
              <w:rPr>
                <w:rFonts w:ascii="Arial" w:hAnsi="Arial" w:cs="Arial"/>
              </w:rPr>
            </w:pPr>
            <w:r>
              <w:rPr>
                <w:rFonts w:ascii="Arial" w:hAnsi="Arial" w:cs="Arial"/>
              </w:rPr>
              <w:t xml:space="preserve"> $           5,788 </w:t>
            </w:r>
          </w:p>
        </w:tc>
        <w:tc>
          <w:tcPr>
            <w:tcW w:w="1566" w:type="dxa"/>
            <w:noWrap/>
          </w:tcPr>
          <w:p w14:paraId="21719314" w14:textId="77777777" w:rsidR="009D4E2F" w:rsidRDefault="00314650">
            <w:pPr>
              <w:spacing w:after="0"/>
              <w:rPr>
                <w:rFonts w:ascii="Arial" w:hAnsi="Arial" w:cs="Arial"/>
              </w:rPr>
            </w:pPr>
            <w:r>
              <w:rPr>
                <w:rFonts w:ascii="Arial" w:hAnsi="Arial" w:cs="Arial"/>
              </w:rPr>
              <w:t xml:space="preserve"> $           8,773 </w:t>
            </w:r>
          </w:p>
        </w:tc>
        <w:tc>
          <w:tcPr>
            <w:tcW w:w="1566" w:type="dxa"/>
            <w:noWrap/>
          </w:tcPr>
          <w:p w14:paraId="1D243A30" w14:textId="77777777" w:rsidR="009D4E2F" w:rsidRDefault="00314650">
            <w:pPr>
              <w:spacing w:after="0"/>
              <w:rPr>
                <w:rFonts w:ascii="Arial" w:hAnsi="Arial" w:cs="Arial"/>
              </w:rPr>
            </w:pPr>
            <w:r>
              <w:rPr>
                <w:rFonts w:ascii="Arial" w:hAnsi="Arial" w:cs="Arial"/>
              </w:rPr>
              <w:t xml:space="preserve"> $           8,235 </w:t>
            </w:r>
          </w:p>
        </w:tc>
        <w:tc>
          <w:tcPr>
            <w:tcW w:w="1566" w:type="dxa"/>
            <w:noWrap/>
          </w:tcPr>
          <w:p w14:paraId="11D907B3" w14:textId="77777777" w:rsidR="009D4E2F" w:rsidRDefault="00314650">
            <w:pPr>
              <w:spacing w:after="0"/>
              <w:rPr>
                <w:rFonts w:ascii="Arial" w:hAnsi="Arial" w:cs="Arial"/>
              </w:rPr>
            </w:pPr>
            <w:r>
              <w:rPr>
                <w:rFonts w:ascii="Arial" w:hAnsi="Arial" w:cs="Arial"/>
              </w:rPr>
              <w:t xml:space="preserve"> $          11,174 </w:t>
            </w:r>
          </w:p>
        </w:tc>
        <w:tc>
          <w:tcPr>
            <w:tcW w:w="1566" w:type="dxa"/>
            <w:noWrap/>
          </w:tcPr>
          <w:p w14:paraId="4E0923B6" w14:textId="77777777" w:rsidR="009D4E2F" w:rsidRDefault="00314650">
            <w:pPr>
              <w:spacing w:after="0"/>
              <w:rPr>
                <w:rFonts w:ascii="Arial" w:hAnsi="Arial" w:cs="Arial"/>
              </w:rPr>
            </w:pPr>
            <w:r>
              <w:rPr>
                <w:rFonts w:ascii="Arial" w:hAnsi="Arial" w:cs="Arial"/>
              </w:rPr>
              <w:t xml:space="preserve"> $          12,039 </w:t>
            </w:r>
          </w:p>
        </w:tc>
      </w:tr>
      <w:tr w:rsidR="009D4E2F" w14:paraId="4EDE9030" w14:textId="77777777">
        <w:trPr>
          <w:trHeight w:val="288"/>
        </w:trPr>
        <w:tc>
          <w:tcPr>
            <w:tcW w:w="5285" w:type="dxa"/>
            <w:noWrap/>
          </w:tcPr>
          <w:p w14:paraId="0DF50B98" w14:textId="77777777" w:rsidR="009D4E2F" w:rsidRDefault="00314650">
            <w:pPr>
              <w:spacing w:after="0"/>
              <w:rPr>
                <w:rFonts w:ascii="Arial" w:hAnsi="Arial" w:cs="Arial"/>
              </w:rPr>
            </w:pPr>
            <w:r>
              <w:rPr>
                <w:rFonts w:ascii="Arial" w:hAnsi="Arial" w:cs="Arial"/>
              </w:rPr>
              <w:t>Cost of Revenue (USD M)</w:t>
            </w:r>
          </w:p>
        </w:tc>
        <w:tc>
          <w:tcPr>
            <w:tcW w:w="765" w:type="dxa"/>
            <w:noWrap/>
          </w:tcPr>
          <w:p w14:paraId="0CCA7C65" w14:textId="77777777" w:rsidR="009D4E2F" w:rsidRDefault="00314650">
            <w:pPr>
              <w:spacing w:after="0"/>
              <w:rPr>
                <w:rFonts w:ascii="Arial" w:hAnsi="Arial" w:cs="Arial"/>
                <w:b/>
                <w:bCs/>
              </w:rPr>
            </w:pPr>
            <w:r>
              <w:rPr>
                <w:rFonts w:ascii="Arial" w:hAnsi="Arial" w:cs="Arial"/>
                <w:b/>
                <w:bCs/>
              </w:rPr>
              <w:t>B</w:t>
            </w:r>
          </w:p>
        </w:tc>
        <w:tc>
          <w:tcPr>
            <w:tcW w:w="1566" w:type="dxa"/>
            <w:noWrap/>
          </w:tcPr>
          <w:p w14:paraId="4F12EEAE" w14:textId="77777777" w:rsidR="009D4E2F" w:rsidRDefault="00314650">
            <w:pPr>
              <w:spacing w:after="0"/>
              <w:rPr>
                <w:rFonts w:ascii="Arial" w:hAnsi="Arial" w:cs="Arial"/>
              </w:rPr>
            </w:pPr>
            <w:r>
              <w:rPr>
                <w:rFonts w:ascii="Arial" w:hAnsi="Arial" w:cs="Arial"/>
              </w:rPr>
              <w:t xml:space="preserve"> $           4,133 </w:t>
            </w:r>
          </w:p>
        </w:tc>
        <w:tc>
          <w:tcPr>
            <w:tcW w:w="1566" w:type="dxa"/>
            <w:noWrap/>
          </w:tcPr>
          <w:p w14:paraId="245B67B3" w14:textId="77777777" w:rsidR="009D4E2F" w:rsidRDefault="00314650">
            <w:pPr>
              <w:spacing w:after="0"/>
              <w:rPr>
                <w:rFonts w:ascii="Arial" w:hAnsi="Arial" w:cs="Arial"/>
              </w:rPr>
            </w:pPr>
            <w:r>
              <w:rPr>
                <w:rFonts w:ascii="Arial" w:hAnsi="Arial" w:cs="Arial"/>
              </w:rPr>
              <w:t xml:space="preserve"> $           6,075 </w:t>
            </w:r>
          </w:p>
        </w:tc>
        <w:tc>
          <w:tcPr>
            <w:tcW w:w="1566" w:type="dxa"/>
            <w:noWrap/>
          </w:tcPr>
          <w:p w14:paraId="61A5F360" w14:textId="77777777" w:rsidR="009D4E2F" w:rsidRDefault="00314650">
            <w:pPr>
              <w:spacing w:after="0"/>
              <w:rPr>
                <w:rFonts w:ascii="Arial" w:hAnsi="Arial" w:cs="Arial"/>
              </w:rPr>
            </w:pPr>
            <w:r>
              <w:rPr>
                <w:rFonts w:ascii="Arial" w:hAnsi="Arial" w:cs="Arial"/>
              </w:rPr>
              <w:t xml:space="preserve"> $           7,305 </w:t>
            </w:r>
          </w:p>
        </w:tc>
        <w:tc>
          <w:tcPr>
            <w:tcW w:w="1566" w:type="dxa"/>
            <w:noWrap/>
          </w:tcPr>
          <w:p w14:paraId="3676904E" w14:textId="77777777" w:rsidR="009D4E2F" w:rsidRDefault="00314650">
            <w:pPr>
              <w:spacing w:after="0"/>
              <w:rPr>
                <w:rFonts w:ascii="Arial" w:hAnsi="Arial" w:cs="Arial"/>
              </w:rPr>
            </w:pPr>
            <w:r>
              <w:rPr>
                <w:rFonts w:ascii="Arial" w:hAnsi="Arial" w:cs="Arial"/>
              </w:rPr>
              <w:t xml:space="preserve"> $           8,111 </w:t>
            </w:r>
          </w:p>
        </w:tc>
        <w:tc>
          <w:tcPr>
            <w:tcW w:w="1566" w:type="dxa"/>
            <w:noWrap/>
          </w:tcPr>
          <w:p w14:paraId="7D8ABF6C" w14:textId="77777777" w:rsidR="009D4E2F" w:rsidRDefault="00314650">
            <w:pPr>
              <w:spacing w:after="0"/>
              <w:rPr>
                <w:rFonts w:ascii="Arial" w:hAnsi="Arial" w:cs="Arial"/>
              </w:rPr>
            </w:pPr>
            <w:r>
              <w:rPr>
                <w:rFonts w:ascii="Arial" w:hAnsi="Arial" w:cs="Arial"/>
              </w:rPr>
              <w:t xml:space="preserve"> $           8,644 </w:t>
            </w:r>
          </w:p>
        </w:tc>
      </w:tr>
      <w:tr w:rsidR="009D4E2F" w14:paraId="3CB01BDA" w14:textId="77777777">
        <w:trPr>
          <w:trHeight w:val="288"/>
        </w:trPr>
        <w:tc>
          <w:tcPr>
            <w:tcW w:w="5285" w:type="dxa"/>
            <w:noWrap/>
          </w:tcPr>
          <w:p w14:paraId="4B4E6850" w14:textId="77777777" w:rsidR="009D4E2F" w:rsidRDefault="00314650">
            <w:pPr>
              <w:spacing w:after="0"/>
              <w:rPr>
                <w:rFonts w:ascii="Arial" w:hAnsi="Arial" w:cs="Arial"/>
              </w:rPr>
            </w:pPr>
            <w:r>
              <w:rPr>
                <w:rFonts w:ascii="Arial" w:hAnsi="Arial" w:cs="Arial"/>
              </w:rPr>
              <w:t>Inventories (USD M)</w:t>
            </w:r>
          </w:p>
        </w:tc>
        <w:tc>
          <w:tcPr>
            <w:tcW w:w="765" w:type="dxa"/>
            <w:noWrap/>
          </w:tcPr>
          <w:p w14:paraId="1A04ADF7" w14:textId="77777777" w:rsidR="009D4E2F" w:rsidRDefault="00314650">
            <w:pPr>
              <w:spacing w:after="0"/>
              <w:rPr>
                <w:rFonts w:ascii="Arial" w:hAnsi="Arial" w:cs="Arial"/>
                <w:b/>
                <w:bCs/>
              </w:rPr>
            </w:pPr>
            <w:r>
              <w:rPr>
                <w:rFonts w:ascii="Arial" w:hAnsi="Arial" w:cs="Arial"/>
                <w:b/>
                <w:bCs/>
              </w:rPr>
              <w:t>C</w:t>
            </w:r>
          </w:p>
        </w:tc>
        <w:tc>
          <w:tcPr>
            <w:tcW w:w="1566" w:type="dxa"/>
            <w:noWrap/>
          </w:tcPr>
          <w:p w14:paraId="40929B98"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5367FF44"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57B8C6DE"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66B21374"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58A13D0E" w14:textId="77777777" w:rsidR="009D4E2F" w:rsidRDefault="00314650">
            <w:pPr>
              <w:spacing w:after="0"/>
              <w:rPr>
                <w:rFonts w:ascii="Arial" w:hAnsi="Arial" w:cs="Arial"/>
              </w:rPr>
            </w:pPr>
            <w:r>
              <w:rPr>
                <w:rFonts w:ascii="Arial" w:hAnsi="Arial" w:cs="Arial"/>
              </w:rPr>
              <w:t xml:space="preserve"> $                  - </w:t>
            </w:r>
          </w:p>
        </w:tc>
      </w:tr>
      <w:tr w:rsidR="009D4E2F" w14:paraId="006466AE" w14:textId="77777777">
        <w:trPr>
          <w:trHeight w:val="288"/>
        </w:trPr>
        <w:tc>
          <w:tcPr>
            <w:tcW w:w="5285" w:type="dxa"/>
            <w:noWrap/>
          </w:tcPr>
          <w:p w14:paraId="4B2944E6" w14:textId="77777777" w:rsidR="009D4E2F" w:rsidRDefault="00314650">
            <w:pPr>
              <w:spacing w:after="0"/>
              <w:rPr>
                <w:rFonts w:ascii="Arial" w:hAnsi="Arial" w:cs="Arial"/>
              </w:rPr>
            </w:pPr>
            <w:r>
              <w:rPr>
                <w:rFonts w:ascii="Arial" w:hAnsi="Arial" w:cs="Arial"/>
              </w:rPr>
              <w:t>Accounts Receivable (USD M)</w:t>
            </w:r>
          </w:p>
        </w:tc>
        <w:tc>
          <w:tcPr>
            <w:tcW w:w="765" w:type="dxa"/>
            <w:noWrap/>
          </w:tcPr>
          <w:p w14:paraId="09450912" w14:textId="77777777" w:rsidR="009D4E2F" w:rsidRDefault="00314650">
            <w:pPr>
              <w:spacing w:after="0"/>
              <w:rPr>
                <w:rFonts w:ascii="Arial" w:hAnsi="Arial" w:cs="Arial"/>
                <w:b/>
                <w:bCs/>
              </w:rPr>
            </w:pPr>
            <w:r>
              <w:rPr>
                <w:rFonts w:ascii="Arial" w:hAnsi="Arial" w:cs="Arial"/>
                <w:b/>
                <w:bCs/>
              </w:rPr>
              <w:t>D</w:t>
            </w:r>
          </w:p>
        </w:tc>
        <w:tc>
          <w:tcPr>
            <w:tcW w:w="1566" w:type="dxa"/>
            <w:noWrap/>
          </w:tcPr>
          <w:p w14:paraId="38799F07" w14:textId="77777777" w:rsidR="009D4E2F" w:rsidRDefault="00314650">
            <w:pPr>
              <w:spacing w:after="0"/>
              <w:rPr>
                <w:rFonts w:ascii="Arial" w:hAnsi="Arial" w:cs="Arial"/>
              </w:rPr>
            </w:pPr>
            <w:r>
              <w:rPr>
                <w:rFonts w:ascii="Arial" w:hAnsi="Arial" w:cs="Arial"/>
              </w:rPr>
              <w:t xml:space="preserve"> $              868 </w:t>
            </w:r>
          </w:p>
        </w:tc>
        <w:tc>
          <w:tcPr>
            <w:tcW w:w="1566" w:type="dxa"/>
            <w:noWrap/>
          </w:tcPr>
          <w:p w14:paraId="2CD69ED2" w14:textId="77777777" w:rsidR="009D4E2F" w:rsidRDefault="00314650">
            <w:pPr>
              <w:spacing w:after="0"/>
              <w:rPr>
                <w:rFonts w:ascii="Arial" w:hAnsi="Arial" w:cs="Arial"/>
              </w:rPr>
            </w:pPr>
            <w:r>
              <w:rPr>
                <w:rFonts w:ascii="Arial" w:hAnsi="Arial" w:cs="Arial"/>
              </w:rPr>
              <w:t xml:space="preserve"> $           1,327 </w:t>
            </w:r>
          </w:p>
        </w:tc>
        <w:tc>
          <w:tcPr>
            <w:tcW w:w="1566" w:type="dxa"/>
            <w:noWrap/>
          </w:tcPr>
          <w:p w14:paraId="40979882" w14:textId="77777777" w:rsidR="009D4E2F" w:rsidRDefault="00314650">
            <w:pPr>
              <w:spacing w:after="0"/>
              <w:rPr>
                <w:rFonts w:ascii="Arial" w:hAnsi="Arial" w:cs="Arial"/>
              </w:rPr>
            </w:pPr>
            <w:r>
              <w:rPr>
                <w:rFonts w:ascii="Arial" w:hAnsi="Arial" w:cs="Arial"/>
              </w:rPr>
              <w:t xml:space="preserve"> $           1,487 </w:t>
            </w:r>
          </w:p>
        </w:tc>
        <w:tc>
          <w:tcPr>
            <w:tcW w:w="1566" w:type="dxa"/>
            <w:noWrap/>
          </w:tcPr>
          <w:p w14:paraId="12C2923D" w14:textId="77777777" w:rsidR="009D4E2F" w:rsidRDefault="00314650">
            <w:pPr>
              <w:spacing w:after="0"/>
              <w:rPr>
                <w:rFonts w:ascii="Arial" w:hAnsi="Arial" w:cs="Arial"/>
              </w:rPr>
            </w:pPr>
            <w:r>
              <w:rPr>
                <w:rFonts w:ascii="Arial" w:hAnsi="Arial" w:cs="Arial"/>
              </w:rPr>
              <w:t xml:space="preserve"> $           1,583 </w:t>
            </w:r>
          </w:p>
        </w:tc>
        <w:tc>
          <w:tcPr>
            <w:tcW w:w="1566" w:type="dxa"/>
            <w:noWrap/>
          </w:tcPr>
          <w:p w14:paraId="4D70EDEC" w14:textId="77777777" w:rsidR="009D4E2F" w:rsidRDefault="00314650">
            <w:pPr>
              <w:spacing w:after="0"/>
              <w:rPr>
                <w:rFonts w:ascii="Arial" w:hAnsi="Arial" w:cs="Arial"/>
              </w:rPr>
            </w:pPr>
            <w:r>
              <w:rPr>
                <w:rFonts w:ascii="Arial" w:hAnsi="Arial" w:cs="Arial"/>
              </w:rPr>
              <w:t xml:space="preserve"> $           1,690 </w:t>
            </w:r>
          </w:p>
        </w:tc>
      </w:tr>
      <w:tr w:rsidR="009D4E2F" w14:paraId="00F77546" w14:textId="77777777">
        <w:trPr>
          <w:trHeight w:val="288"/>
        </w:trPr>
        <w:tc>
          <w:tcPr>
            <w:tcW w:w="5285" w:type="dxa"/>
            <w:noWrap/>
          </w:tcPr>
          <w:p w14:paraId="26C3E2ED" w14:textId="77777777" w:rsidR="009D4E2F" w:rsidRDefault="00314650">
            <w:pPr>
              <w:spacing w:after="0"/>
              <w:rPr>
                <w:rFonts w:ascii="Arial" w:hAnsi="Arial" w:cs="Arial"/>
              </w:rPr>
            </w:pPr>
            <w:r>
              <w:rPr>
                <w:rFonts w:ascii="Arial" w:hAnsi="Arial" w:cs="Arial"/>
              </w:rPr>
              <w:t>Accounts Payable (USD M)</w:t>
            </w:r>
          </w:p>
        </w:tc>
        <w:tc>
          <w:tcPr>
            <w:tcW w:w="765" w:type="dxa"/>
            <w:noWrap/>
          </w:tcPr>
          <w:p w14:paraId="43E55D0A" w14:textId="77777777" w:rsidR="009D4E2F" w:rsidRDefault="00314650">
            <w:pPr>
              <w:spacing w:after="0"/>
              <w:rPr>
                <w:rFonts w:ascii="Arial" w:hAnsi="Arial" w:cs="Arial"/>
                <w:b/>
                <w:bCs/>
              </w:rPr>
            </w:pPr>
            <w:r>
              <w:rPr>
                <w:rFonts w:ascii="Arial" w:hAnsi="Arial" w:cs="Arial"/>
                <w:b/>
                <w:bCs/>
              </w:rPr>
              <w:t>E</w:t>
            </w:r>
          </w:p>
        </w:tc>
        <w:tc>
          <w:tcPr>
            <w:tcW w:w="1566" w:type="dxa"/>
            <w:noWrap/>
          </w:tcPr>
          <w:p w14:paraId="512F20AC" w14:textId="77777777" w:rsidR="009D4E2F" w:rsidRDefault="00314650">
            <w:pPr>
              <w:spacing w:after="0"/>
              <w:rPr>
                <w:rFonts w:ascii="Arial" w:hAnsi="Arial" w:cs="Arial"/>
              </w:rPr>
            </w:pPr>
            <w:r>
              <w:rPr>
                <w:rFonts w:ascii="Arial" w:hAnsi="Arial" w:cs="Arial"/>
              </w:rPr>
              <w:t xml:space="preserve"> $           1,568 </w:t>
            </w:r>
          </w:p>
        </w:tc>
        <w:tc>
          <w:tcPr>
            <w:tcW w:w="1566" w:type="dxa"/>
            <w:noWrap/>
          </w:tcPr>
          <w:p w14:paraId="180550BC" w14:textId="77777777" w:rsidR="009D4E2F" w:rsidRDefault="00314650">
            <w:pPr>
              <w:spacing w:after="0"/>
              <w:rPr>
                <w:rFonts w:ascii="Arial" w:hAnsi="Arial" w:cs="Arial"/>
              </w:rPr>
            </w:pPr>
            <w:r>
              <w:rPr>
                <w:rFonts w:ascii="Arial" w:hAnsi="Arial" w:cs="Arial"/>
              </w:rPr>
              <w:t xml:space="preserve"> $           1,790 </w:t>
            </w:r>
          </w:p>
        </w:tc>
        <w:tc>
          <w:tcPr>
            <w:tcW w:w="1566" w:type="dxa"/>
            <w:noWrap/>
          </w:tcPr>
          <w:p w14:paraId="1EF70581" w14:textId="77777777" w:rsidR="009D4E2F" w:rsidRDefault="00314650">
            <w:pPr>
              <w:spacing w:after="0"/>
              <w:rPr>
                <w:rFonts w:ascii="Arial" w:hAnsi="Arial" w:cs="Arial"/>
              </w:rPr>
            </w:pPr>
            <w:r>
              <w:rPr>
                <w:rFonts w:ascii="Arial" w:hAnsi="Arial" w:cs="Arial"/>
              </w:rPr>
              <w:t xml:space="preserve"> $           1,979 </w:t>
            </w:r>
          </w:p>
        </w:tc>
        <w:tc>
          <w:tcPr>
            <w:tcW w:w="1566" w:type="dxa"/>
            <w:noWrap/>
          </w:tcPr>
          <w:p w14:paraId="059AEB1A" w14:textId="77777777" w:rsidR="009D4E2F" w:rsidRDefault="00314650">
            <w:pPr>
              <w:spacing w:after="0"/>
              <w:rPr>
                <w:rFonts w:ascii="Arial" w:hAnsi="Arial" w:cs="Arial"/>
              </w:rPr>
            </w:pPr>
            <w:r>
              <w:rPr>
                <w:rFonts w:ascii="Arial" w:hAnsi="Arial" w:cs="Arial"/>
              </w:rPr>
              <w:t xml:space="preserve"> $           2,124 </w:t>
            </w:r>
          </w:p>
        </w:tc>
        <w:tc>
          <w:tcPr>
            <w:tcW w:w="1566" w:type="dxa"/>
            <w:noWrap/>
          </w:tcPr>
          <w:p w14:paraId="2339F1A1" w14:textId="77777777" w:rsidR="009D4E2F" w:rsidRDefault="00314650">
            <w:pPr>
              <w:spacing w:after="0"/>
              <w:rPr>
                <w:rFonts w:ascii="Arial" w:hAnsi="Arial" w:cs="Arial"/>
              </w:rPr>
            </w:pPr>
            <w:r>
              <w:rPr>
                <w:rFonts w:ascii="Arial" w:hAnsi="Arial" w:cs="Arial"/>
              </w:rPr>
              <w:t xml:space="preserve"> $           2,336 </w:t>
            </w:r>
          </w:p>
        </w:tc>
      </w:tr>
      <w:tr w:rsidR="009D4E2F" w14:paraId="4D19BE22" w14:textId="77777777">
        <w:trPr>
          <w:trHeight w:val="288"/>
        </w:trPr>
        <w:tc>
          <w:tcPr>
            <w:tcW w:w="5285" w:type="dxa"/>
            <w:noWrap/>
          </w:tcPr>
          <w:p w14:paraId="305AB25B" w14:textId="77777777" w:rsidR="009D4E2F" w:rsidRDefault="00314650">
            <w:pPr>
              <w:spacing w:after="0"/>
              <w:rPr>
                <w:rFonts w:ascii="Arial" w:hAnsi="Arial" w:cs="Arial"/>
              </w:rPr>
            </w:pPr>
            <w:r>
              <w:rPr>
                <w:rFonts w:ascii="Arial" w:hAnsi="Arial" w:cs="Arial"/>
              </w:rPr>
              <w:t>Total Assets (USD M)</w:t>
            </w:r>
          </w:p>
        </w:tc>
        <w:tc>
          <w:tcPr>
            <w:tcW w:w="765" w:type="dxa"/>
            <w:noWrap/>
          </w:tcPr>
          <w:p w14:paraId="2279222E" w14:textId="77777777" w:rsidR="009D4E2F" w:rsidRDefault="00314650">
            <w:pPr>
              <w:spacing w:after="0"/>
              <w:rPr>
                <w:rFonts w:ascii="Arial" w:hAnsi="Arial" w:cs="Arial"/>
                <w:b/>
                <w:bCs/>
              </w:rPr>
            </w:pPr>
            <w:r>
              <w:rPr>
                <w:rFonts w:ascii="Arial" w:hAnsi="Arial" w:cs="Arial"/>
                <w:b/>
                <w:bCs/>
              </w:rPr>
              <w:t>F</w:t>
            </w:r>
          </w:p>
        </w:tc>
        <w:tc>
          <w:tcPr>
            <w:tcW w:w="1566" w:type="dxa"/>
            <w:noWrap/>
          </w:tcPr>
          <w:p w14:paraId="1C210AE1" w14:textId="77777777" w:rsidR="009D4E2F" w:rsidRDefault="00314650">
            <w:pPr>
              <w:spacing w:after="0"/>
              <w:rPr>
                <w:rFonts w:ascii="Arial" w:hAnsi="Arial" w:cs="Arial"/>
              </w:rPr>
            </w:pPr>
            <w:r>
              <w:rPr>
                <w:rFonts w:ascii="Arial" w:hAnsi="Arial" w:cs="Arial"/>
              </w:rPr>
              <w:t xml:space="preserve"> $          15,441 </w:t>
            </w:r>
          </w:p>
        </w:tc>
        <w:tc>
          <w:tcPr>
            <w:tcW w:w="1566" w:type="dxa"/>
            <w:noWrap/>
          </w:tcPr>
          <w:p w14:paraId="3AAB127F" w14:textId="77777777" w:rsidR="009D4E2F" w:rsidRDefault="00314650">
            <w:pPr>
              <w:spacing w:after="0"/>
              <w:rPr>
                <w:rFonts w:ascii="Arial" w:hAnsi="Arial" w:cs="Arial"/>
              </w:rPr>
            </w:pPr>
            <w:r>
              <w:rPr>
                <w:rFonts w:ascii="Arial" w:hAnsi="Arial" w:cs="Arial"/>
              </w:rPr>
              <w:t xml:space="preserve"> $          15,512 </w:t>
            </w:r>
          </w:p>
        </w:tc>
        <w:tc>
          <w:tcPr>
            <w:tcW w:w="1566" w:type="dxa"/>
            <w:noWrap/>
          </w:tcPr>
          <w:p w14:paraId="4FF16F89" w14:textId="77777777" w:rsidR="009D4E2F" w:rsidRDefault="00314650">
            <w:pPr>
              <w:spacing w:after="0"/>
              <w:rPr>
                <w:rFonts w:ascii="Arial" w:hAnsi="Arial" w:cs="Arial"/>
              </w:rPr>
            </w:pPr>
            <w:r>
              <w:rPr>
                <w:rFonts w:ascii="Arial" w:hAnsi="Arial" w:cs="Arial"/>
              </w:rPr>
              <w:t xml:space="preserve"> $          15,401 </w:t>
            </w:r>
          </w:p>
        </w:tc>
        <w:tc>
          <w:tcPr>
            <w:tcW w:w="1566" w:type="dxa"/>
            <w:noWrap/>
          </w:tcPr>
          <w:p w14:paraId="7C50B162" w14:textId="77777777" w:rsidR="009D4E2F" w:rsidRDefault="00314650">
            <w:pPr>
              <w:spacing w:after="0"/>
              <w:rPr>
                <w:rFonts w:ascii="Arial" w:hAnsi="Arial" w:cs="Arial"/>
              </w:rPr>
            </w:pPr>
            <w:r>
              <w:rPr>
                <w:rFonts w:ascii="Arial" w:hAnsi="Arial" w:cs="Arial"/>
              </w:rPr>
              <w:t xml:space="preserve"> $          16,522 </w:t>
            </w:r>
          </w:p>
        </w:tc>
        <w:tc>
          <w:tcPr>
            <w:tcW w:w="1566" w:type="dxa"/>
            <w:noWrap/>
          </w:tcPr>
          <w:p w14:paraId="3EB1FBE8" w14:textId="77777777" w:rsidR="009D4E2F" w:rsidRDefault="00314650">
            <w:pPr>
              <w:spacing w:after="0"/>
              <w:rPr>
                <w:rFonts w:ascii="Arial" w:hAnsi="Arial" w:cs="Arial"/>
              </w:rPr>
            </w:pPr>
            <w:r>
              <w:rPr>
                <w:rFonts w:ascii="Arial" w:hAnsi="Arial" w:cs="Arial"/>
              </w:rPr>
              <w:t xml:space="preserve"> $          16,774 </w:t>
            </w:r>
          </w:p>
        </w:tc>
      </w:tr>
      <w:tr w:rsidR="009D4E2F" w14:paraId="00F0A844" w14:textId="77777777">
        <w:trPr>
          <w:trHeight w:val="288"/>
        </w:trPr>
        <w:tc>
          <w:tcPr>
            <w:tcW w:w="5285" w:type="dxa"/>
            <w:noWrap/>
          </w:tcPr>
          <w:p w14:paraId="6FA009CC" w14:textId="77777777" w:rsidR="009D4E2F" w:rsidRDefault="00314650">
            <w:pPr>
              <w:spacing w:after="0"/>
              <w:rPr>
                <w:rFonts w:ascii="Arial" w:hAnsi="Arial" w:cs="Arial"/>
                <w:b/>
                <w:bCs/>
              </w:rPr>
            </w:pPr>
            <w:r>
              <w:rPr>
                <w:rFonts w:ascii="Arial" w:hAnsi="Arial" w:cs="Arial"/>
                <w:b/>
                <w:bCs/>
              </w:rPr>
              <w:t>Asset Turnover (A/F)</w:t>
            </w:r>
          </w:p>
        </w:tc>
        <w:tc>
          <w:tcPr>
            <w:tcW w:w="765" w:type="dxa"/>
            <w:noWrap/>
          </w:tcPr>
          <w:p w14:paraId="69A4C314" w14:textId="77777777" w:rsidR="009D4E2F" w:rsidRDefault="00314650">
            <w:pPr>
              <w:spacing w:after="0"/>
              <w:rPr>
                <w:rFonts w:ascii="Arial" w:hAnsi="Arial" w:cs="Arial"/>
              </w:rPr>
            </w:pPr>
            <w:r>
              <w:rPr>
                <w:rFonts w:ascii="Arial" w:hAnsi="Arial" w:cs="Arial"/>
              </w:rPr>
              <w:t> </w:t>
            </w:r>
          </w:p>
        </w:tc>
        <w:tc>
          <w:tcPr>
            <w:tcW w:w="1566" w:type="dxa"/>
            <w:noWrap/>
          </w:tcPr>
          <w:p w14:paraId="70DCCCB9" w14:textId="77777777" w:rsidR="009D4E2F" w:rsidRDefault="00314650">
            <w:pPr>
              <w:spacing w:after="0"/>
              <w:rPr>
                <w:rFonts w:ascii="Arial" w:hAnsi="Arial" w:cs="Arial"/>
                <w:b/>
                <w:bCs/>
              </w:rPr>
            </w:pPr>
            <w:r>
              <w:rPr>
                <w:rFonts w:ascii="Arial" w:hAnsi="Arial" w:cs="Arial"/>
                <w:b/>
                <w:bCs/>
              </w:rPr>
              <w:t>0.37x</w:t>
            </w:r>
          </w:p>
        </w:tc>
        <w:tc>
          <w:tcPr>
            <w:tcW w:w="1566" w:type="dxa"/>
            <w:noWrap/>
          </w:tcPr>
          <w:p w14:paraId="61A6DC14" w14:textId="77777777" w:rsidR="009D4E2F" w:rsidRDefault="00314650">
            <w:pPr>
              <w:spacing w:after="0"/>
              <w:rPr>
                <w:rFonts w:ascii="Arial" w:hAnsi="Arial" w:cs="Arial"/>
                <w:b/>
                <w:bCs/>
              </w:rPr>
            </w:pPr>
            <w:r>
              <w:rPr>
                <w:rFonts w:ascii="Arial" w:hAnsi="Arial" w:cs="Arial"/>
                <w:b/>
                <w:bCs/>
              </w:rPr>
              <w:t>0.57x</w:t>
            </w:r>
          </w:p>
        </w:tc>
        <w:tc>
          <w:tcPr>
            <w:tcW w:w="1566" w:type="dxa"/>
            <w:noWrap/>
          </w:tcPr>
          <w:p w14:paraId="5955C34E" w14:textId="77777777" w:rsidR="009D4E2F" w:rsidRDefault="00314650">
            <w:pPr>
              <w:spacing w:after="0"/>
              <w:rPr>
                <w:rFonts w:ascii="Arial" w:hAnsi="Arial" w:cs="Arial"/>
                <w:b/>
                <w:bCs/>
              </w:rPr>
            </w:pPr>
            <w:r>
              <w:rPr>
                <w:rFonts w:ascii="Arial" w:hAnsi="Arial" w:cs="Arial"/>
                <w:b/>
                <w:bCs/>
              </w:rPr>
              <w:t>0.53x</w:t>
            </w:r>
          </w:p>
        </w:tc>
        <w:tc>
          <w:tcPr>
            <w:tcW w:w="1566" w:type="dxa"/>
            <w:noWrap/>
          </w:tcPr>
          <w:p w14:paraId="4A327195" w14:textId="77777777" w:rsidR="009D4E2F" w:rsidRDefault="00314650">
            <w:pPr>
              <w:spacing w:after="0"/>
              <w:rPr>
                <w:rFonts w:ascii="Arial" w:hAnsi="Arial" w:cs="Arial"/>
                <w:b/>
                <w:bCs/>
              </w:rPr>
            </w:pPr>
            <w:r>
              <w:rPr>
                <w:rFonts w:ascii="Arial" w:hAnsi="Arial" w:cs="Arial"/>
                <w:b/>
                <w:bCs/>
              </w:rPr>
              <w:t>0.68x</w:t>
            </w:r>
          </w:p>
        </w:tc>
        <w:tc>
          <w:tcPr>
            <w:tcW w:w="1566" w:type="dxa"/>
            <w:noWrap/>
          </w:tcPr>
          <w:p w14:paraId="0C3C50B3" w14:textId="77777777" w:rsidR="009D4E2F" w:rsidRDefault="00314650">
            <w:pPr>
              <w:spacing w:after="0"/>
              <w:rPr>
                <w:rFonts w:ascii="Arial" w:hAnsi="Arial" w:cs="Arial"/>
                <w:b/>
                <w:bCs/>
              </w:rPr>
            </w:pPr>
            <w:r>
              <w:rPr>
                <w:rFonts w:ascii="Arial" w:hAnsi="Arial" w:cs="Arial"/>
                <w:b/>
                <w:bCs/>
              </w:rPr>
              <w:t>0.72x</w:t>
            </w:r>
          </w:p>
        </w:tc>
      </w:tr>
      <w:tr w:rsidR="009D4E2F" w14:paraId="1D6DB1C6" w14:textId="77777777">
        <w:trPr>
          <w:trHeight w:val="288"/>
        </w:trPr>
        <w:tc>
          <w:tcPr>
            <w:tcW w:w="5285" w:type="dxa"/>
            <w:noWrap/>
          </w:tcPr>
          <w:p w14:paraId="2B73E5E3" w14:textId="77777777" w:rsidR="009D4E2F" w:rsidRDefault="00314650">
            <w:pPr>
              <w:spacing w:after="0"/>
              <w:rPr>
                <w:rFonts w:ascii="Arial" w:hAnsi="Arial" w:cs="Arial"/>
                <w:b/>
                <w:bCs/>
              </w:rPr>
            </w:pPr>
            <w:r>
              <w:rPr>
                <w:rFonts w:ascii="Arial" w:hAnsi="Arial" w:cs="Arial"/>
                <w:b/>
                <w:bCs/>
              </w:rPr>
              <w:t>Receivables Turnover (A/D)</w:t>
            </w:r>
          </w:p>
        </w:tc>
        <w:tc>
          <w:tcPr>
            <w:tcW w:w="765" w:type="dxa"/>
            <w:noWrap/>
          </w:tcPr>
          <w:p w14:paraId="1846FD40" w14:textId="77777777" w:rsidR="009D4E2F" w:rsidRDefault="00314650">
            <w:pPr>
              <w:spacing w:after="0"/>
              <w:rPr>
                <w:rFonts w:ascii="Arial" w:hAnsi="Arial" w:cs="Arial"/>
              </w:rPr>
            </w:pPr>
            <w:r>
              <w:rPr>
                <w:rFonts w:ascii="Arial" w:hAnsi="Arial" w:cs="Arial"/>
              </w:rPr>
              <w:t> </w:t>
            </w:r>
          </w:p>
        </w:tc>
        <w:tc>
          <w:tcPr>
            <w:tcW w:w="1566" w:type="dxa"/>
            <w:noWrap/>
          </w:tcPr>
          <w:p w14:paraId="766E3FAC" w14:textId="77777777" w:rsidR="009D4E2F" w:rsidRDefault="00314650">
            <w:pPr>
              <w:spacing w:after="0"/>
              <w:rPr>
                <w:rFonts w:ascii="Arial" w:hAnsi="Arial" w:cs="Arial"/>
                <w:b/>
                <w:bCs/>
              </w:rPr>
            </w:pPr>
            <w:r>
              <w:rPr>
                <w:rFonts w:ascii="Arial" w:hAnsi="Arial" w:cs="Arial"/>
                <w:b/>
                <w:bCs/>
              </w:rPr>
              <w:t>6.67x</w:t>
            </w:r>
          </w:p>
        </w:tc>
        <w:tc>
          <w:tcPr>
            <w:tcW w:w="1566" w:type="dxa"/>
            <w:noWrap/>
          </w:tcPr>
          <w:p w14:paraId="7E8DB39C" w14:textId="77777777" w:rsidR="009D4E2F" w:rsidRDefault="00314650">
            <w:pPr>
              <w:spacing w:after="0"/>
              <w:rPr>
                <w:rFonts w:ascii="Arial" w:hAnsi="Arial" w:cs="Arial"/>
                <w:b/>
                <w:bCs/>
              </w:rPr>
            </w:pPr>
            <w:r>
              <w:rPr>
                <w:rFonts w:ascii="Arial" w:hAnsi="Arial" w:cs="Arial"/>
                <w:b/>
                <w:bCs/>
              </w:rPr>
              <w:t>6.61x</w:t>
            </w:r>
          </w:p>
        </w:tc>
        <w:tc>
          <w:tcPr>
            <w:tcW w:w="1566" w:type="dxa"/>
            <w:noWrap/>
          </w:tcPr>
          <w:p w14:paraId="1D307583" w14:textId="77777777" w:rsidR="009D4E2F" w:rsidRDefault="00314650">
            <w:pPr>
              <w:spacing w:after="0"/>
              <w:rPr>
                <w:rFonts w:ascii="Arial" w:hAnsi="Arial" w:cs="Arial"/>
                <w:b/>
                <w:bCs/>
              </w:rPr>
            </w:pPr>
            <w:r>
              <w:rPr>
                <w:rFonts w:ascii="Arial" w:hAnsi="Arial" w:cs="Arial"/>
                <w:b/>
                <w:bCs/>
              </w:rPr>
              <w:t>5.54x</w:t>
            </w:r>
          </w:p>
        </w:tc>
        <w:tc>
          <w:tcPr>
            <w:tcW w:w="1566" w:type="dxa"/>
            <w:noWrap/>
          </w:tcPr>
          <w:p w14:paraId="6718F695" w14:textId="77777777" w:rsidR="009D4E2F" w:rsidRDefault="00314650">
            <w:pPr>
              <w:spacing w:after="0"/>
              <w:rPr>
                <w:rFonts w:ascii="Arial" w:hAnsi="Arial" w:cs="Arial"/>
                <w:b/>
                <w:bCs/>
              </w:rPr>
            </w:pPr>
            <w:r>
              <w:rPr>
                <w:rFonts w:ascii="Arial" w:hAnsi="Arial" w:cs="Arial"/>
                <w:b/>
                <w:bCs/>
              </w:rPr>
              <w:t>7.06x</w:t>
            </w:r>
          </w:p>
        </w:tc>
        <w:tc>
          <w:tcPr>
            <w:tcW w:w="1566" w:type="dxa"/>
            <w:noWrap/>
          </w:tcPr>
          <w:p w14:paraId="43B8A3B8" w14:textId="77777777" w:rsidR="009D4E2F" w:rsidRDefault="00314650">
            <w:pPr>
              <w:spacing w:after="0"/>
              <w:rPr>
                <w:rFonts w:ascii="Arial" w:hAnsi="Arial" w:cs="Arial"/>
                <w:b/>
                <w:bCs/>
              </w:rPr>
            </w:pPr>
            <w:r>
              <w:rPr>
                <w:rFonts w:ascii="Arial" w:hAnsi="Arial" w:cs="Arial"/>
                <w:b/>
                <w:bCs/>
              </w:rPr>
              <w:t>7.12x</w:t>
            </w:r>
          </w:p>
        </w:tc>
      </w:tr>
      <w:tr w:rsidR="009D4E2F" w14:paraId="6F2CFF58" w14:textId="77777777">
        <w:trPr>
          <w:trHeight w:val="288"/>
        </w:trPr>
        <w:tc>
          <w:tcPr>
            <w:tcW w:w="5285" w:type="dxa"/>
            <w:noWrap/>
          </w:tcPr>
          <w:p w14:paraId="1449A9F0" w14:textId="77777777" w:rsidR="009D4E2F" w:rsidRDefault="00314650">
            <w:pPr>
              <w:spacing w:after="0"/>
              <w:rPr>
                <w:rFonts w:ascii="Arial" w:hAnsi="Arial" w:cs="Arial"/>
                <w:b/>
                <w:bCs/>
              </w:rPr>
            </w:pPr>
            <w:r>
              <w:rPr>
                <w:rFonts w:ascii="Arial" w:hAnsi="Arial" w:cs="Arial"/>
                <w:b/>
                <w:bCs/>
              </w:rPr>
              <w:t>Receivables Days - DSO (365/(A/D))</w:t>
            </w:r>
          </w:p>
        </w:tc>
        <w:tc>
          <w:tcPr>
            <w:tcW w:w="765" w:type="dxa"/>
            <w:noWrap/>
          </w:tcPr>
          <w:p w14:paraId="690907B8" w14:textId="77777777" w:rsidR="009D4E2F" w:rsidRDefault="00314650">
            <w:pPr>
              <w:spacing w:after="0"/>
              <w:rPr>
                <w:rFonts w:ascii="Arial" w:hAnsi="Arial" w:cs="Arial"/>
              </w:rPr>
            </w:pPr>
            <w:r>
              <w:rPr>
                <w:rFonts w:ascii="Arial" w:hAnsi="Arial" w:cs="Arial"/>
              </w:rPr>
              <w:t> </w:t>
            </w:r>
          </w:p>
        </w:tc>
        <w:tc>
          <w:tcPr>
            <w:tcW w:w="1566" w:type="dxa"/>
            <w:noWrap/>
          </w:tcPr>
          <w:p w14:paraId="1A7A0C24" w14:textId="77777777" w:rsidR="009D4E2F" w:rsidRDefault="00314650">
            <w:pPr>
              <w:spacing w:after="0"/>
              <w:rPr>
                <w:rFonts w:ascii="Arial" w:hAnsi="Arial" w:cs="Arial"/>
                <w:b/>
                <w:bCs/>
              </w:rPr>
            </w:pPr>
            <w:r>
              <w:rPr>
                <w:rFonts w:ascii="Arial" w:hAnsi="Arial" w:cs="Arial"/>
                <w:b/>
                <w:bCs/>
              </w:rPr>
              <w:t>54.7 days</w:t>
            </w:r>
          </w:p>
        </w:tc>
        <w:tc>
          <w:tcPr>
            <w:tcW w:w="1566" w:type="dxa"/>
            <w:noWrap/>
          </w:tcPr>
          <w:p w14:paraId="573082F0" w14:textId="77777777" w:rsidR="009D4E2F" w:rsidRDefault="00314650">
            <w:pPr>
              <w:spacing w:after="0"/>
              <w:rPr>
                <w:rFonts w:ascii="Arial" w:hAnsi="Arial" w:cs="Arial"/>
                <w:b/>
                <w:bCs/>
              </w:rPr>
            </w:pPr>
            <w:r>
              <w:rPr>
                <w:rFonts w:ascii="Arial" w:hAnsi="Arial" w:cs="Arial"/>
                <w:b/>
                <w:bCs/>
              </w:rPr>
              <w:t>55.2 days</w:t>
            </w:r>
          </w:p>
        </w:tc>
        <w:tc>
          <w:tcPr>
            <w:tcW w:w="1566" w:type="dxa"/>
            <w:noWrap/>
          </w:tcPr>
          <w:p w14:paraId="7B1C246D" w14:textId="77777777" w:rsidR="009D4E2F" w:rsidRDefault="00314650">
            <w:pPr>
              <w:spacing w:after="0"/>
              <w:rPr>
                <w:rFonts w:ascii="Arial" w:hAnsi="Arial" w:cs="Arial"/>
                <w:b/>
                <w:bCs/>
              </w:rPr>
            </w:pPr>
            <w:r>
              <w:rPr>
                <w:rFonts w:ascii="Arial" w:hAnsi="Arial" w:cs="Arial"/>
                <w:b/>
                <w:bCs/>
              </w:rPr>
              <w:t>65.9 days</w:t>
            </w:r>
          </w:p>
        </w:tc>
        <w:tc>
          <w:tcPr>
            <w:tcW w:w="1566" w:type="dxa"/>
            <w:noWrap/>
          </w:tcPr>
          <w:p w14:paraId="01AE5161" w14:textId="77777777" w:rsidR="009D4E2F" w:rsidRDefault="00314650">
            <w:pPr>
              <w:spacing w:after="0"/>
              <w:rPr>
                <w:rFonts w:ascii="Arial" w:hAnsi="Arial" w:cs="Arial"/>
                <w:b/>
                <w:bCs/>
              </w:rPr>
            </w:pPr>
            <w:r>
              <w:rPr>
                <w:rFonts w:ascii="Arial" w:hAnsi="Arial" w:cs="Arial"/>
                <w:b/>
                <w:bCs/>
              </w:rPr>
              <w:t>51.7 days</w:t>
            </w:r>
          </w:p>
        </w:tc>
        <w:tc>
          <w:tcPr>
            <w:tcW w:w="1566" w:type="dxa"/>
            <w:noWrap/>
          </w:tcPr>
          <w:p w14:paraId="17749962" w14:textId="77777777" w:rsidR="009D4E2F" w:rsidRDefault="00314650">
            <w:pPr>
              <w:spacing w:after="0"/>
              <w:rPr>
                <w:rFonts w:ascii="Arial" w:hAnsi="Arial" w:cs="Arial"/>
                <w:b/>
                <w:bCs/>
              </w:rPr>
            </w:pPr>
            <w:r>
              <w:rPr>
                <w:rFonts w:ascii="Arial" w:hAnsi="Arial" w:cs="Arial"/>
                <w:b/>
                <w:bCs/>
              </w:rPr>
              <w:t>51.2 days</w:t>
            </w:r>
          </w:p>
        </w:tc>
      </w:tr>
      <w:tr w:rsidR="009D4E2F" w14:paraId="2AC09B18" w14:textId="77777777">
        <w:trPr>
          <w:trHeight w:val="288"/>
        </w:trPr>
        <w:tc>
          <w:tcPr>
            <w:tcW w:w="5285" w:type="dxa"/>
            <w:noWrap/>
          </w:tcPr>
          <w:p w14:paraId="2C4CD366" w14:textId="77777777" w:rsidR="009D4E2F" w:rsidRDefault="00314650">
            <w:pPr>
              <w:spacing w:after="0"/>
              <w:rPr>
                <w:rFonts w:ascii="Arial" w:hAnsi="Arial" w:cs="Arial"/>
                <w:b/>
                <w:bCs/>
              </w:rPr>
            </w:pPr>
            <w:r>
              <w:rPr>
                <w:rFonts w:ascii="Arial" w:hAnsi="Arial" w:cs="Arial"/>
                <w:b/>
                <w:bCs/>
              </w:rPr>
              <w:t>Payables Turnover (B/E)</w:t>
            </w:r>
          </w:p>
        </w:tc>
        <w:tc>
          <w:tcPr>
            <w:tcW w:w="765" w:type="dxa"/>
            <w:noWrap/>
          </w:tcPr>
          <w:p w14:paraId="1A56B06C" w14:textId="77777777" w:rsidR="009D4E2F" w:rsidRDefault="00314650">
            <w:pPr>
              <w:spacing w:after="0"/>
              <w:rPr>
                <w:rFonts w:ascii="Arial" w:hAnsi="Arial" w:cs="Arial"/>
              </w:rPr>
            </w:pPr>
            <w:r>
              <w:rPr>
                <w:rFonts w:ascii="Arial" w:hAnsi="Arial" w:cs="Arial"/>
              </w:rPr>
              <w:t> </w:t>
            </w:r>
          </w:p>
        </w:tc>
        <w:tc>
          <w:tcPr>
            <w:tcW w:w="1566" w:type="dxa"/>
            <w:noWrap/>
          </w:tcPr>
          <w:p w14:paraId="0ABAD3D6" w14:textId="77777777" w:rsidR="009D4E2F" w:rsidRDefault="00314650">
            <w:pPr>
              <w:spacing w:after="0"/>
              <w:rPr>
                <w:rFonts w:ascii="Arial" w:hAnsi="Arial" w:cs="Arial"/>
                <w:b/>
                <w:bCs/>
              </w:rPr>
            </w:pPr>
            <w:r>
              <w:rPr>
                <w:rFonts w:ascii="Arial" w:hAnsi="Arial" w:cs="Arial"/>
                <w:b/>
                <w:bCs/>
              </w:rPr>
              <w:t>2.64x</w:t>
            </w:r>
          </w:p>
        </w:tc>
        <w:tc>
          <w:tcPr>
            <w:tcW w:w="1566" w:type="dxa"/>
            <w:noWrap/>
          </w:tcPr>
          <w:p w14:paraId="3C5D7FDA" w14:textId="77777777" w:rsidR="009D4E2F" w:rsidRDefault="00314650">
            <w:pPr>
              <w:spacing w:after="0"/>
              <w:rPr>
                <w:rFonts w:ascii="Arial" w:hAnsi="Arial" w:cs="Arial"/>
                <w:b/>
                <w:bCs/>
              </w:rPr>
            </w:pPr>
            <w:r>
              <w:rPr>
                <w:rFonts w:ascii="Arial" w:hAnsi="Arial" w:cs="Arial"/>
                <w:b/>
                <w:bCs/>
              </w:rPr>
              <w:t>3.39x</w:t>
            </w:r>
          </w:p>
        </w:tc>
        <w:tc>
          <w:tcPr>
            <w:tcW w:w="1566" w:type="dxa"/>
            <w:noWrap/>
          </w:tcPr>
          <w:p w14:paraId="69FE9021" w14:textId="77777777" w:rsidR="009D4E2F" w:rsidRDefault="00314650">
            <w:pPr>
              <w:spacing w:after="0"/>
              <w:rPr>
                <w:rFonts w:ascii="Arial" w:hAnsi="Arial" w:cs="Arial"/>
                <w:b/>
                <w:bCs/>
              </w:rPr>
            </w:pPr>
            <w:r>
              <w:rPr>
                <w:rFonts w:ascii="Arial" w:hAnsi="Arial" w:cs="Arial"/>
                <w:b/>
                <w:bCs/>
              </w:rPr>
              <w:t>3.69x</w:t>
            </w:r>
          </w:p>
        </w:tc>
        <w:tc>
          <w:tcPr>
            <w:tcW w:w="1566" w:type="dxa"/>
            <w:noWrap/>
          </w:tcPr>
          <w:p w14:paraId="65EC3C32" w14:textId="77777777" w:rsidR="009D4E2F" w:rsidRDefault="00314650">
            <w:pPr>
              <w:spacing w:after="0"/>
              <w:rPr>
                <w:rFonts w:ascii="Arial" w:hAnsi="Arial" w:cs="Arial"/>
                <w:b/>
                <w:bCs/>
              </w:rPr>
            </w:pPr>
            <w:r>
              <w:rPr>
                <w:rFonts w:ascii="Arial" w:hAnsi="Arial" w:cs="Arial"/>
                <w:b/>
                <w:bCs/>
              </w:rPr>
              <w:t>3.82x</w:t>
            </w:r>
          </w:p>
        </w:tc>
        <w:tc>
          <w:tcPr>
            <w:tcW w:w="1566" w:type="dxa"/>
            <w:noWrap/>
          </w:tcPr>
          <w:p w14:paraId="32CE2DD2" w14:textId="77777777" w:rsidR="009D4E2F" w:rsidRDefault="00314650">
            <w:pPr>
              <w:spacing w:after="0"/>
              <w:rPr>
                <w:rFonts w:ascii="Arial" w:hAnsi="Arial" w:cs="Arial"/>
                <w:b/>
                <w:bCs/>
              </w:rPr>
            </w:pPr>
            <w:r>
              <w:rPr>
                <w:rFonts w:ascii="Arial" w:hAnsi="Arial" w:cs="Arial"/>
                <w:b/>
                <w:bCs/>
              </w:rPr>
              <w:t>3.70x</w:t>
            </w:r>
          </w:p>
        </w:tc>
      </w:tr>
      <w:tr w:rsidR="009D4E2F" w14:paraId="016B2372" w14:textId="77777777">
        <w:trPr>
          <w:trHeight w:val="288"/>
        </w:trPr>
        <w:tc>
          <w:tcPr>
            <w:tcW w:w="5285" w:type="dxa"/>
            <w:noWrap/>
          </w:tcPr>
          <w:p w14:paraId="3A0ABE56" w14:textId="77777777" w:rsidR="009D4E2F" w:rsidRDefault="00314650">
            <w:pPr>
              <w:spacing w:after="0"/>
              <w:rPr>
                <w:rFonts w:ascii="Arial" w:hAnsi="Arial" w:cs="Arial"/>
                <w:b/>
                <w:bCs/>
              </w:rPr>
            </w:pPr>
            <w:r>
              <w:rPr>
                <w:rFonts w:ascii="Arial" w:hAnsi="Arial" w:cs="Arial"/>
                <w:b/>
                <w:bCs/>
              </w:rPr>
              <w:t>Payables Days - DPO (</w:t>
            </w:r>
            <w:proofErr w:type="gramStart"/>
            <w:r>
              <w:rPr>
                <w:rFonts w:ascii="Arial" w:hAnsi="Arial" w:cs="Arial"/>
                <w:b/>
                <w:bCs/>
              </w:rPr>
              <w:t>365/(</w:t>
            </w:r>
            <w:proofErr w:type="gramEnd"/>
            <w:r>
              <w:rPr>
                <w:rFonts w:ascii="Arial" w:hAnsi="Arial" w:cs="Arial"/>
                <w:b/>
                <w:bCs/>
              </w:rPr>
              <w:t>B/E))</w:t>
            </w:r>
          </w:p>
        </w:tc>
        <w:tc>
          <w:tcPr>
            <w:tcW w:w="765" w:type="dxa"/>
            <w:noWrap/>
          </w:tcPr>
          <w:p w14:paraId="4934C22F" w14:textId="77777777" w:rsidR="009D4E2F" w:rsidRDefault="00314650">
            <w:pPr>
              <w:spacing w:after="0"/>
              <w:rPr>
                <w:rFonts w:ascii="Arial" w:hAnsi="Arial" w:cs="Arial"/>
              </w:rPr>
            </w:pPr>
            <w:r>
              <w:rPr>
                <w:rFonts w:ascii="Arial" w:hAnsi="Arial" w:cs="Arial"/>
              </w:rPr>
              <w:t> </w:t>
            </w:r>
          </w:p>
        </w:tc>
        <w:tc>
          <w:tcPr>
            <w:tcW w:w="1566" w:type="dxa"/>
            <w:noWrap/>
          </w:tcPr>
          <w:p w14:paraId="080A4FDB" w14:textId="77777777" w:rsidR="009D4E2F" w:rsidRDefault="00314650">
            <w:pPr>
              <w:spacing w:after="0"/>
              <w:rPr>
                <w:rFonts w:ascii="Arial" w:hAnsi="Arial" w:cs="Arial"/>
                <w:b/>
                <w:bCs/>
              </w:rPr>
            </w:pPr>
            <w:r>
              <w:rPr>
                <w:rFonts w:ascii="Arial" w:hAnsi="Arial" w:cs="Arial"/>
                <w:b/>
                <w:bCs/>
              </w:rPr>
              <w:t>138.5 days</w:t>
            </w:r>
          </w:p>
        </w:tc>
        <w:tc>
          <w:tcPr>
            <w:tcW w:w="1566" w:type="dxa"/>
            <w:noWrap/>
          </w:tcPr>
          <w:p w14:paraId="0EA642AD" w14:textId="77777777" w:rsidR="009D4E2F" w:rsidRDefault="00314650">
            <w:pPr>
              <w:spacing w:after="0"/>
              <w:rPr>
                <w:rFonts w:ascii="Arial" w:hAnsi="Arial" w:cs="Arial"/>
                <w:b/>
                <w:bCs/>
              </w:rPr>
            </w:pPr>
            <w:r>
              <w:rPr>
                <w:rFonts w:ascii="Arial" w:hAnsi="Arial" w:cs="Arial"/>
                <w:b/>
                <w:bCs/>
              </w:rPr>
              <w:t>107.5 days</w:t>
            </w:r>
          </w:p>
        </w:tc>
        <w:tc>
          <w:tcPr>
            <w:tcW w:w="1566" w:type="dxa"/>
            <w:noWrap/>
          </w:tcPr>
          <w:p w14:paraId="1B58B094" w14:textId="77777777" w:rsidR="009D4E2F" w:rsidRDefault="00314650">
            <w:pPr>
              <w:spacing w:after="0"/>
              <w:rPr>
                <w:rFonts w:ascii="Arial" w:hAnsi="Arial" w:cs="Arial"/>
                <w:b/>
                <w:bCs/>
              </w:rPr>
            </w:pPr>
            <w:r>
              <w:rPr>
                <w:rFonts w:ascii="Arial" w:hAnsi="Arial" w:cs="Arial"/>
                <w:b/>
                <w:bCs/>
              </w:rPr>
              <w:t>98.9 days</w:t>
            </w:r>
          </w:p>
        </w:tc>
        <w:tc>
          <w:tcPr>
            <w:tcW w:w="1566" w:type="dxa"/>
            <w:noWrap/>
          </w:tcPr>
          <w:p w14:paraId="347AED6A" w14:textId="77777777" w:rsidR="009D4E2F" w:rsidRDefault="00314650">
            <w:pPr>
              <w:spacing w:after="0"/>
              <w:rPr>
                <w:rFonts w:ascii="Arial" w:hAnsi="Arial" w:cs="Arial"/>
                <w:b/>
                <w:bCs/>
              </w:rPr>
            </w:pPr>
            <w:r>
              <w:rPr>
                <w:rFonts w:ascii="Arial" w:hAnsi="Arial" w:cs="Arial"/>
                <w:b/>
                <w:bCs/>
              </w:rPr>
              <w:t>95.6 days</w:t>
            </w:r>
          </w:p>
        </w:tc>
        <w:tc>
          <w:tcPr>
            <w:tcW w:w="1566" w:type="dxa"/>
            <w:noWrap/>
          </w:tcPr>
          <w:p w14:paraId="6AF2D891" w14:textId="77777777" w:rsidR="009D4E2F" w:rsidRDefault="00314650">
            <w:pPr>
              <w:spacing w:after="0"/>
              <w:rPr>
                <w:rFonts w:ascii="Arial" w:hAnsi="Arial" w:cs="Arial"/>
                <w:b/>
                <w:bCs/>
              </w:rPr>
            </w:pPr>
            <w:r>
              <w:rPr>
                <w:rFonts w:ascii="Arial" w:hAnsi="Arial" w:cs="Arial"/>
                <w:b/>
                <w:bCs/>
              </w:rPr>
              <w:t>98.6 days</w:t>
            </w:r>
          </w:p>
        </w:tc>
      </w:tr>
      <w:tr w:rsidR="009D4E2F" w14:paraId="5A11A585" w14:textId="77777777">
        <w:trPr>
          <w:trHeight w:val="288"/>
        </w:trPr>
        <w:tc>
          <w:tcPr>
            <w:tcW w:w="5285" w:type="dxa"/>
            <w:noWrap/>
          </w:tcPr>
          <w:p w14:paraId="063B8E21" w14:textId="77777777" w:rsidR="009D4E2F" w:rsidRDefault="00314650">
            <w:pPr>
              <w:spacing w:after="0"/>
              <w:rPr>
                <w:rFonts w:ascii="Arial" w:hAnsi="Arial" w:cs="Arial"/>
                <w:b/>
                <w:bCs/>
              </w:rPr>
            </w:pPr>
            <w:r>
              <w:rPr>
                <w:rFonts w:ascii="Arial" w:hAnsi="Arial" w:cs="Arial"/>
                <w:b/>
                <w:bCs/>
              </w:rPr>
              <w:t>Cash Conversion Cycle - CCC (DSO+DIO-DPO)</w:t>
            </w:r>
          </w:p>
        </w:tc>
        <w:tc>
          <w:tcPr>
            <w:tcW w:w="765" w:type="dxa"/>
            <w:noWrap/>
          </w:tcPr>
          <w:p w14:paraId="35C846EE" w14:textId="77777777" w:rsidR="009D4E2F" w:rsidRDefault="00314650">
            <w:pPr>
              <w:spacing w:after="0"/>
              <w:rPr>
                <w:rFonts w:ascii="Arial" w:hAnsi="Arial" w:cs="Arial"/>
              </w:rPr>
            </w:pPr>
            <w:r>
              <w:rPr>
                <w:rFonts w:ascii="Arial" w:hAnsi="Arial" w:cs="Arial"/>
              </w:rPr>
              <w:t> </w:t>
            </w:r>
          </w:p>
        </w:tc>
        <w:tc>
          <w:tcPr>
            <w:tcW w:w="1566" w:type="dxa"/>
            <w:noWrap/>
          </w:tcPr>
          <w:p w14:paraId="5F55ED9C" w14:textId="77777777" w:rsidR="009D4E2F" w:rsidRDefault="00314650">
            <w:pPr>
              <w:spacing w:after="0"/>
              <w:rPr>
                <w:rFonts w:ascii="Arial" w:hAnsi="Arial" w:cs="Arial"/>
                <w:b/>
                <w:bCs/>
              </w:rPr>
            </w:pPr>
            <w:r>
              <w:rPr>
                <w:rFonts w:ascii="Arial" w:hAnsi="Arial" w:cs="Arial"/>
                <w:b/>
                <w:bCs/>
              </w:rPr>
              <w:t>(83.7 days)</w:t>
            </w:r>
          </w:p>
        </w:tc>
        <w:tc>
          <w:tcPr>
            <w:tcW w:w="1566" w:type="dxa"/>
            <w:noWrap/>
          </w:tcPr>
          <w:p w14:paraId="7E896FC1" w14:textId="77777777" w:rsidR="009D4E2F" w:rsidRDefault="00314650">
            <w:pPr>
              <w:spacing w:after="0"/>
              <w:rPr>
                <w:rFonts w:ascii="Arial" w:hAnsi="Arial" w:cs="Arial"/>
                <w:b/>
                <w:bCs/>
              </w:rPr>
            </w:pPr>
            <w:r>
              <w:rPr>
                <w:rFonts w:ascii="Arial" w:hAnsi="Arial" w:cs="Arial"/>
                <w:b/>
                <w:bCs/>
              </w:rPr>
              <w:t>(52.3 days)</w:t>
            </w:r>
          </w:p>
        </w:tc>
        <w:tc>
          <w:tcPr>
            <w:tcW w:w="1566" w:type="dxa"/>
            <w:noWrap/>
          </w:tcPr>
          <w:p w14:paraId="79914981" w14:textId="77777777" w:rsidR="009D4E2F" w:rsidRDefault="00314650">
            <w:pPr>
              <w:spacing w:after="0"/>
              <w:rPr>
                <w:rFonts w:ascii="Arial" w:hAnsi="Arial" w:cs="Arial"/>
                <w:b/>
                <w:bCs/>
              </w:rPr>
            </w:pPr>
            <w:r>
              <w:rPr>
                <w:rFonts w:ascii="Arial" w:hAnsi="Arial" w:cs="Arial"/>
                <w:b/>
                <w:bCs/>
              </w:rPr>
              <w:t>(33.0 days)</w:t>
            </w:r>
          </w:p>
        </w:tc>
        <w:tc>
          <w:tcPr>
            <w:tcW w:w="1566" w:type="dxa"/>
            <w:noWrap/>
          </w:tcPr>
          <w:p w14:paraId="55BDC695" w14:textId="77777777" w:rsidR="009D4E2F" w:rsidRDefault="00314650">
            <w:pPr>
              <w:spacing w:after="0"/>
              <w:rPr>
                <w:rFonts w:ascii="Arial" w:hAnsi="Arial" w:cs="Arial"/>
                <w:b/>
                <w:bCs/>
              </w:rPr>
            </w:pPr>
            <w:r>
              <w:rPr>
                <w:rFonts w:ascii="Arial" w:hAnsi="Arial" w:cs="Arial"/>
                <w:b/>
                <w:bCs/>
              </w:rPr>
              <w:t>(43.9 days)</w:t>
            </w:r>
          </w:p>
        </w:tc>
        <w:tc>
          <w:tcPr>
            <w:tcW w:w="1566" w:type="dxa"/>
            <w:noWrap/>
          </w:tcPr>
          <w:p w14:paraId="6C78318B" w14:textId="77777777" w:rsidR="009D4E2F" w:rsidRDefault="00314650">
            <w:pPr>
              <w:spacing w:after="0"/>
              <w:rPr>
                <w:rFonts w:ascii="Arial" w:hAnsi="Arial" w:cs="Arial"/>
                <w:b/>
                <w:bCs/>
              </w:rPr>
            </w:pPr>
            <w:r>
              <w:rPr>
                <w:rFonts w:ascii="Arial" w:hAnsi="Arial" w:cs="Arial"/>
                <w:b/>
                <w:bCs/>
              </w:rPr>
              <w:t>(47.4 days)</w:t>
            </w:r>
          </w:p>
        </w:tc>
      </w:tr>
      <w:tr w:rsidR="009D4E2F" w14:paraId="477F8F3D" w14:textId="77777777">
        <w:trPr>
          <w:trHeight w:val="288"/>
        </w:trPr>
        <w:tc>
          <w:tcPr>
            <w:tcW w:w="5285" w:type="dxa"/>
            <w:noWrap/>
          </w:tcPr>
          <w:p w14:paraId="7207BB40" w14:textId="77777777" w:rsidR="009D4E2F" w:rsidRDefault="009D4E2F">
            <w:pPr>
              <w:spacing w:after="0"/>
              <w:rPr>
                <w:rFonts w:ascii="Arial" w:hAnsi="Arial" w:cs="Arial"/>
                <w:b/>
                <w:bCs/>
              </w:rPr>
            </w:pPr>
          </w:p>
        </w:tc>
        <w:tc>
          <w:tcPr>
            <w:tcW w:w="765" w:type="dxa"/>
            <w:noWrap/>
          </w:tcPr>
          <w:p w14:paraId="2DA78195" w14:textId="77777777" w:rsidR="009D4E2F" w:rsidRDefault="009D4E2F">
            <w:pPr>
              <w:spacing w:after="0"/>
              <w:rPr>
                <w:rFonts w:ascii="Arial" w:hAnsi="Arial" w:cs="Arial"/>
              </w:rPr>
            </w:pPr>
          </w:p>
        </w:tc>
        <w:tc>
          <w:tcPr>
            <w:tcW w:w="1566" w:type="dxa"/>
            <w:noWrap/>
          </w:tcPr>
          <w:p w14:paraId="0E230A5F" w14:textId="77777777" w:rsidR="009D4E2F" w:rsidRDefault="009D4E2F">
            <w:pPr>
              <w:spacing w:after="0"/>
              <w:rPr>
                <w:rFonts w:ascii="Arial" w:hAnsi="Arial" w:cs="Arial"/>
              </w:rPr>
            </w:pPr>
          </w:p>
        </w:tc>
        <w:tc>
          <w:tcPr>
            <w:tcW w:w="1566" w:type="dxa"/>
            <w:noWrap/>
          </w:tcPr>
          <w:p w14:paraId="71519ECC" w14:textId="77777777" w:rsidR="009D4E2F" w:rsidRDefault="009D4E2F">
            <w:pPr>
              <w:spacing w:after="0"/>
              <w:rPr>
                <w:rFonts w:ascii="Arial" w:hAnsi="Arial" w:cs="Arial"/>
              </w:rPr>
            </w:pPr>
          </w:p>
        </w:tc>
        <w:tc>
          <w:tcPr>
            <w:tcW w:w="1566" w:type="dxa"/>
            <w:noWrap/>
          </w:tcPr>
          <w:p w14:paraId="6345F277" w14:textId="77777777" w:rsidR="009D4E2F" w:rsidRDefault="009D4E2F">
            <w:pPr>
              <w:spacing w:after="0"/>
              <w:rPr>
                <w:rFonts w:ascii="Arial" w:hAnsi="Arial" w:cs="Arial"/>
              </w:rPr>
            </w:pPr>
          </w:p>
        </w:tc>
        <w:tc>
          <w:tcPr>
            <w:tcW w:w="1566" w:type="dxa"/>
            <w:noWrap/>
          </w:tcPr>
          <w:p w14:paraId="0D73B0E6" w14:textId="77777777" w:rsidR="009D4E2F" w:rsidRDefault="009D4E2F">
            <w:pPr>
              <w:spacing w:after="0"/>
              <w:rPr>
                <w:rFonts w:ascii="Arial" w:hAnsi="Arial" w:cs="Arial"/>
              </w:rPr>
            </w:pPr>
          </w:p>
        </w:tc>
        <w:tc>
          <w:tcPr>
            <w:tcW w:w="1566" w:type="dxa"/>
            <w:noWrap/>
          </w:tcPr>
          <w:p w14:paraId="2A563016" w14:textId="77777777" w:rsidR="009D4E2F" w:rsidRDefault="009D4E2F">
            <w:pPr>
              <w:spacing w:after="0"/>
              <w:rPr>
                <w:rFonts w:ascii="Arial" w:hAnsi="Arial" w:cs="Arial"/>
              </w:rPr>
            </w:pPr>
          </w:p>
        </w:tc>
      </w:tr>
      <w:tr w:rsidR="009D4E2F" w14:paraId="35560BBC" w14:textId="77777777">
        <w:trPr>
          <w:trHeight w:val="390"/>
        </w:trPr>
        <w:tc>
          <w:tcPr>
            <w:tcW w:w="13880" w:type="dxa"/>
            <w:gridSpan w:val="7"/>
            <w:noWrap/>
          </w:tcPr>
          <w:p w14:paraId="03A6E96F" w14:textId="77777777" w:rsidR="009D4E2F" w:rsidRDefault="00314650">
            <w:pPr>
              <w:spacing w:after="0"/>
              <w:rPr>
                <w:rFonts w:ascii="Arial" w:hAnsi="Arial" w:cs="Arial"/>
                <w:b/>
                <w:bCs/>
              </w:rPr>
            </w:pPr>
            <w:r>
              <w:rPr>
                <w:rFonts w:ascii="Arial" w:hAnsi="Arial" w:cs="Arial"/>
                <w:b/>
                <w:bCs/>
              </w:rPr>
              <w:t>5. MARKET (INVESTOR) RATIOS</w:t>
            </w:r>
          </w:p>
        </w:tc>
      </w:tr>
      <w:tr w:rsidR="009D4E2F" w14:paraId="0B0255AA" w14:textId="77777777">
        <w:trPr>
          <w:trHeight w:val="288"/>
        </w:trPr>
        <w:tc>
          <w:tcPr>
            <w:tcW w:w="5285" w:type="dxa"/>
            <w:noWrap/>
          </w:tcPr>
          <w:p w14:paraId="410CFEEB" w14:textId="77777777" w:rsidR="009D4E2F" w:rsidRDefault="00314650">
            <w:pPr>
              <w:spacing w:after="0"/>
              <w:rPr>
                <w:rFonts w:ascii="Arial" w:hAnsi="Arial" w:cs="Arial"/>
                <w:b/>
                <w:bCs/>
              </w:rPr>
            </w:pPr>
            <w:r>
              <w:rPr>
                <w:rFonts w:ascii="Arial" w:hAnsi="Arial" w:cs="Arial"/>
                <w:b/>
                <w:bCs/>
              </w:rPr>
              <w:lastRenderedPageBreak/>
              <w:t>Particulars</w:t>
            </w:r>
          </w:p>
        </w:tc>
        <w:tc>
          <w:tcPr>
            <w:tcW w:w="765" w:type="dxa"/>
            <w:noWrap/>
          </w:tcPr>
          <w:p w14:paraId="2A9C4C1F"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4921176E"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158CAC75"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50C0C1A5"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0DD1B92D"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41B9ABD8" w14:textId="77777777" w:rsidR="009D4E2F" w:rsidRDefault="00314650">
            <w:pPr>
              <w:spacing w:after="0"/>
              <w:rPr>
                <w:rFonts w:ascii="Arial" w:hAnsi="Arial" w:cs="Arial"/>
                <w:b/>
                <w:bCs/>
              </w:rPr>
            </w:pPr>
            <w:r>
              <w:rPr>
                <w:rFonts w:ascii="Arial" w:hAnsi="Arial" w:cs="Arial"/>
                <w:b/>
                <w:bCs/>
              </w:rPr>
              <w:t>2025</w:t>
            </w:r>
          </w:p>
        </w:tc>
      </w:tr>
      <w:tr w:rsidR="009D4E2F" w14:paraId="5E56425A" w14:textId="77777777">
        <w:trPr>
          <w:trHeight w:val="288"/>
        </w:trPr>
        <w:tc>
          <w:tcPr>
            <w:tcW w:w="5285" w:type="dxa"/>
            <w:noWrap/>
          </w:tcPr>
          <w:p w14:paraId="739D0637" w14:textId="77777777" w:rsidR="009D4E2F" w:rsidRDefault="00314650">
            <w:pPr>
              <w:spacing w:after="0"/>
              <w:rPr>
                <w:rFonts w:ascii="Arial" w:hAnsi="Arial" w:cs="Arial"/>
              </w:rPr>
            </w:pPr>
            <w:r>
              <w:rPr>
                <w:rFonts w:ascii="Arial" w:hAnsi="Arial" w:cs="Arial"/>
              </w:rPr>
              <w:t>EPS - Basic (USD per share)</w:t>
            </w:r>
          </w:p>
        </w:tc>
        <w:tc>
          <w:tcPr>
            <w:tcW w:w="765" w:type="dxa"/>
            <w:noWrap/>
          </w:tcPr>
          <w:p w14:paraId="6A04534E" w14:textId="77777777" w:rsidR="009D4E2F" w:rsidRDefault="00314650">
            <w:pPr>
              <w:spacing w:after="0"/>
              <w:rPr>
                <w:rFonts w:ascii="Arial" w:hAnsi="Arial" w:cs="Arial"/>
                <w:b/>
                <w:bCs/>
              </w:rPr>
            </w:pPr>
            <w:r>
              <w:rPr>
                <w:rFonts w:ascii="Arial" w:hAnsi="Arial" w:cs="Arial"/>
                <w:b/>
                <w:bCs/>
              </w:rPr>
              <w:t>A</w:t>
            </w:r>
          </w:p>
        </w:tc>
        <w:tc>
          <w:tcPr>
            <w:tcW w:w="1566" w:type="dxa"/>
            <w:noWrap/>
          </w:tcPr>
          <w:p w14:paraId="42FCC3C2" w14:textId="77777777" w:rsidR="009D4E2F" w:rsidRDefault="00314650">
            <w:pPr>
              <w:spacing w:after="0"/>
              <w:rPr>
                <w:rFonts w:ascii="Arial" w:hAnsi="Arial" w:cs="Arial"/>
              </w:rPr>
            </w:pPr>
            <w:r>
              <w:rPr>
                <w:rFonts w:ascii="Arial" w:hAnsi="Arial" w:cs="Arial"/>
              </w:rPr>
              <w:t>$1.47</w:t>
            </w:r>
          </w:p>
        </w:tc>
        <w:tc>
          <w:tcPr>
            <w:tcW w:w="1566" w:type="dxa"/>
            <w:noWrap/>
          </w:tcPr>
          <w:p w14:paraId="75EEBCF2" w14:textId="77777777" w:rsidR="009D4E2F" w:rsidRDefault="00314650">
            <w:pPr>
              <w:spacing w:after="0"/>
              <w:rPr>
                <w:rFonts w:ascii="Arial" w:hAnsi="Arial" w:cs="Arial"/>
              </w:rPr>
            </w:pPr>
            <w:r>
              <w:rPr>
                <w:rFonts w:ascii="Arial" w:hAnsi="Arial" w:cs="Arial"/>
              </w:rPr>
              <w:t>$4.56</w:t>
            </w:r>
          </w:p>
        </w:tc>
        <w:tc>
          <w:tcPr>
            <w:tcW w:w="1566" w:type="dxa"/>
            <w:noWrap/>
          </w:tcPr>
          <w:p w14:paraId="62D37717" w14:textId="77777777" w:rsidR="009D4E2F" w:rsidRDefault="00314650">
            <w:pPr>
              <w:spacing w:after="0"/>
              <w:rPr>
                <w:rFonts w:ascii="Arial" w:hAnsi="Arial" w:cs="Arial"/>
              </w:rPr>
            </w:pPr>
            <w:r>
              <w:rPr>
                <w:rFonts w:ascii="Arial" w:hAnsi="Arial" w:cs="Arial"/>
              </w:rPr>
              <w:t>$4.36</w:t>
            </w:r>
          </w:p>
        </w:tc>
        <w:tc>
          <w:tcPr>
            <w:tcW w:w="1566" w:type="dxa"/>
            <w:noWrap/>
          </w:tcPr>
          <w:p w14:paraId="658C8BD7" w14:textId="77777777" w:rsidR="009D4E2F" w:rsidRDefault="00314650">
            <w:pPr>
              <w:spacing w:after="0"/>
              <w:rPr>
                <w:rFonts w:ascii="Arial" w:hAnsi="Arial" w:cs="Arial"/>
              </w:rPr>
            </w:pPr>
            <w:r>
              <w:rPr>
                <w:rFonts w:ascii="Arial" w:hAnsi="Arial" w:cs="Arial"/>
              </w:rPr>
              <w:t>$6.20</w:t>
            </w:r>
          </w:p>
        </w:tc>
        <w:tc>
          <w:tcPr>
            <w:tcW w:w="1566" w:type="dxa"/>
            <w:noWrap/>
          </w:tcPr>
          <w:p w14:paraId="5BDD92D1" w14:textId="77777777" w:rsidR="009D4E2F" w:rsidRDefault="00314650">
            <w:pPr>
              <w:spacing w:after="0"/>
              <w:rPr>
                <w:rFonts w:ascii="Arial" w:hAnsi="Arial" w:cs="Arial"/>
              </w:rPr>
            </w:pPr>
            <w:r>
              <w:rPr>
                <w:rFonts w:ascii="Arial" w:hAnsi="Arial" w:cs="Arial"/>
              </w:rPr>
              <w:t>$6.18</w:t>
            </w:r>
          </w:p>
        </w:tc>
      </w:tr>
      <w:tr w:rsidR="009D4E2F" w14:paraId="69BAC2B9" w14:textId="77777777">
        <w:trPr>
          <w:trHeight w:val="288"/>
        </w:trPr>
        <w:tc>
          <w:tcPr>
            <w:tcW w:w="5285" w:type="dxa"/>
            <w:noWrap/>
          </w:tcPr>
          <w:p w14:paraId="2E3C5C26" w14:textId="77777777" w:rsidR="009D4E2F" w:rsidRDefault="00314650">
            <w:pPr>
              <w:spacing w:after="0"/>
              <w:rPr>
                <w:rFonts w:ascii="Arial" w:hAnsi="Arial" w:cs="Arial"/>
              </w:rPr>
            </w:pPr>
            <w:r>
              <w:rPr>
                <w:rFonts w:ascii="Arial" w:hAnsi="Arial" w:cs="Arial"/>
              </w:rPr>
              <w:t>Shares Outstanding (Millions)</w:t>
            </w:r>
          </w:p>
        </w:tc>
        <w:tc>
          <w:tcPr>
            <w:tcW w:w="765" w:type="dxa"/>
            <w:noWrap/>
          </w:tcPr>
          <w:p w14:paraId="5CA7F565" w14:textId="77777777" w:rsidR="009D4E2F" w:rsidRDefault="00314650">
            <w:pPr>
              <w:spacing w:after="0"/>
              <w:rPr>
                <w:rFonts w:ascii="Arial" w:hAnsi="Arial" w:cs="Arial"/>
                <w:b/>
                <w:bCs/>
              </w:rPr>
            </w:pPr>
            <w:r>
              <w:rPr>
                <w:rFonts w:ascii="Arial" w:hAnsi="Arial" w:cs="Arial"/>
                <w:b/>
                <w:bCs/>
              </w:rPr>
              <w:t>B</w:t>
            </w:r>
          </w:p>
        </w:tc>
        <w:tc>
          <w:tcPr>
            <w:tcW w:w="1566" w:type="dxa"/>
            <w:noWrap/>
          </w:tcPr>
          <w:p w14:paraId="327E0A7F" w14:textId="77777777" w:rsidR="009D4E2F" w:rsidRDefault="00314650">
            <w:pPr>
              <w:spacing w:after="0"/>
              <w:rPr>
                <w:rFonts w:ascii="Arial" w:hAnsi="Arial" w:cs="Arial"/>
              </w:rPr>
            </w:pPr>
            <w:r>
              <w:rPr>
                <w:rFonts w:ascii="Arial" w:hAnsi="Arial" w:cs="Arial"/>
              </w:rPr>
              <w:t>279.09</w:t>
            </w:r>
          </w:p>
        </w:tc>
        <w:tc>
          <w:tcPr>
            <w:tcW w:w="1566" w:type="dxa"/>
            <w:noWrap/>
          </w:tcPr>
          <w:p w14:paraId="286565B5" w14:textId="77777777" w:rsidR="009D4E2F" w:rsidRDefault="00314650">
            <w:pPr>
              <w:spacing w:after="0"/>
              <w:rPr>
                <w:rFonts w:ascii="Arial" w:hAnsi="Arial" w:cs="Arial"/>
              </w:rPr>
            </w:pPr>
            <w:r>
              <w:rPr>
                <w:rFonts w:ascii="Arial" w:hAnsi="Arial" w:cs="Arial"/>
              </w:rPr>
              <w:t>267.86</w:t>
            </w:r>
          </w:p>
        </w:tc>
        <w:tc>
          <w:tcPr>
            <w:tcW w:w="1566" w:type="dxa"/>
            <w:noWrap/>
          </w:tcPr>
          <w:p w14:paraId="54FB93BD" w14:textId="77777777" w:rsidR="009D4E2F" w:rsidRDefault="00314650">
            <w:pPr>
              <w:spacing w:after="0"/>
              <w:rPr>
                <w:rFonts w:ascii="Arial" w:hAnsi="Arial" w:cs="Arial"/>
              </w:rPr>
            </w:pPr>
            <w:r>
              <w:rPr>
                <w:rFonts w:ascii="Arial" w:hAnsi="Arial" w:cs="Arial"/>
              </w:rPr>
              <w:t>253.49</w:t>
            </w:r>
          </w:p>
        </w:tc>
        <w:tc>
          <w:tcPr>
            <w:tcW w:w="1566" w:type="dxa"/>
            <w:noWrap/>
          </w:tcPr>
          <w:p w14:paraId="525FA256" w14:textId="77777777" w:rsidR="009D4E2F" w:rsidRDefault="00314650">
            <w:pPr>
              <w:spacing w:after="0"/>
              <w:rPr>
                <w:rFonts w:ascii="Arial" w:hAnsi="Arial" w:cs="Arial"/>
              </w:rPr>
            </w:pPr>
            <w:r>
              <w:rPr>
                <w:rFonts w:ascii="Arial" w:hAnsi="Arial" w:cs="Arial"/>
              </w:rPr>
              <w:t>241.81</w:t>
            </w:r>
          </w:p>
        </w:tc>
        <w:tc>
          <w:tcPr>
            <w:tcW w:w="1566" w:type="dxa"/>
            <w:noWrap/>
          </w:tcPr>
          <w:p w14:paraId="39E38D91" w14:textId="77777777" w:rsidR="009D4E2F" w:rsidRDefault="00314650">
            <w:pPr>
              <w:spacing w:after="0"/>
              <w:rPr>
                <w:rFonts w:ascii="Arial" w:hAnsi="Arial" w:cs="Arial"/>
              </w:rPr>
            </w:pPr>
            <w:r>
              <w:rPr>
                <w:rFonts w:ascii="Arial" w:hAnsi="Arial" w:cs="Arial"/>
              </w:rPr>
              <w:t>230.43</w:t>
            </w:r>
          </w:p>
        </w:tc>
      </w:tr>
      <w:tr w:rsidR="009D4E2F" w14:paraId="4490218D" w14:textId="77777777">
        <w:trPr>
          <w:trHeight w:val="288"/>
        </w:trPr>
        <w:tc>
          <w:tcPr>
            <w:tcW w:w="5285" w:type="dxa"/>
            <w:noWrap/>
          </w:tcPr>
          <w:p w14:paraId="3CCD2540" w14:textId="77777777" w:rsidR="009D4E2F" w:rsidRDefault="00314650">
            <w:pPr>
              <w:spacing w:after="0"/>
              <w:rPr>
                <w:rFonts w:ascii="Arial" w:hAnsi="Arial" w:cs="Arial"/>
              </w:rPr>
            </w:pPr>
            <w:r>
              <w:rPr>
                <w:rFonts w:ascii="Arial" w:hAnsi="Arial" w:cs="Arial"/>
              </w:rPr>
              <w:t>Dividends Paid (USD M)</w:t>
            </w:r>
          </w:p>
        </w:tc>
        <w:tc>
          <w:tcPr>
            <w:tcW w:w="765" w:type="dxa"/>
            <w:noWrap/>
          </w:tcPr>
          <w:p w14:paraId="251ACD43" w14:textId="77777777" w:rsidR="009D4E2F" w:rsidRDefault="00314650">
            <w:pPr>
              <w:spacing w:after="0"/>
              <w:rPr>
                <w:rFonts w:ascii="Arial" w:hAnsi="Arial" w:cs="Arial"/>
                <w:b/>
                <w:bCs/>
              </w:rPr>
            </w:pPr>
            <w:r>
              <w:rPr>
                <w:rFonts w:ascii="Arial" w:hAnsi="Arial" w:cs="Arial"/>
                <w:b/>
                <w:bCs/>
              </w:rPr>
              <w:t>C</w:t>
            </w:r>
          </w:p>
        </w:tc>
        <w:tc>
          <w:tcPr>
            <w:tcW w:w="1566" w:type="dxa"/>
            <w:noWrap/>
          </w:tcPr>
          <w:p w14:paraId="104141FC" w14:textId="77777777" w:rsidR="009D4E2F" w:rsidRDefault="00314650">
            <w:pPr>
              <w:spacing w:after="0"/>
              <w:rPr>
                <w:rFonts w:ascii="Arial" w:hAnsi="Arial" w:cs="Arial"/>
              </w:rPr>
            </w:pPr>
            <w:r>
              <w:rPr>
                <w:rFonts w:ascii="Arial" w:hAnsi="Arial" w:cs="Arial"/>
              </w:rPr>
              <w:t xml:space="preserve"> $                  - </w:t>
            </w:r>
          </w:p>
        </w:tc>
        <w:tc>
          <w:tcPr>
            <w:tcW w:w="1566" w:type="dxa"/>
            <w:noWrap/>
          </w:tcPr>
          <w:p w14:paraId="328D0E54" w14:textId="77777777" w:rsidR="009D4E2F" w:rsidRDefault="00314650">
            <w:pPr>
              <w:spacing w:after="0"/>
              <w:rPr>
                <w:rFonts w:ascii="Arial" w:hAnsi="Arial" w:cs="Arial"/>
              </w:rPr>
            </w:pPr>
            <w:r>
              <w:rPr>
                <w:rFonts w:ascii="Arial" w:hAnsi="Arial" w:cs="Arial"/>
              </w:rPr>
              <w:t xml:space="preserve"> $              123 </w:t>
            </w:r>
          </w:p>
        </w:tc>
        <w:tc>
          <w:tcPr>
            <w:tcW w:w="1566" w:type="dxa"/>
            <w:noWrap/>
          </w:tcPr>
          <w:p w14:paraId="686B85AE" w14:textId="77777777" w:rsidR="009D4E2F" w:rsidRDefault="00314650">
            <w:pPr>
              <w:spacing w:after="0"/>
              <w:rPr>
                <w:rFonts w:ascii="Arial" w:hAnsi="Arial" w:cs="Arial"/>
              </w:rPr>
            </w:pPr>
            <w:r>
              <w:rPr>
                <w:rFonts w:ascii="Arial" w:hAnsi="Arial" w:cs="Arial"/>
              </w:rPr>
              <w:t xml:space="preserve"> $              158 </w:t>
            </w:r>
          </w:p>
        </w:tc>
        <w:tc>
          <w:tcPr>
            <w:tcW w:w="1566" w:type="dxa"/>
            <w:noWrap/>
          </w:tcPr>
          <w:p w14:paraId="7FF443E4" w14:textId="77777777" w:rsidR="009D4E2F" w:rsidRDefault="00314650">
            <w:pPr>
              <w:spacing w:after="0"/>
              <w:rPr>
                <w:rFonts w:ascii="Arial" w:hAnsi="Arial" w:cs="Arial"/>
              </w:rPr>
            </w:pPr>
            <w:r>
              <w:rPr>
                <w:rFonts w:ascii="Arial" w:hAnsi="Arial" w:cs="Arial"/>
              </w:rPr>
              <w:t xml:space="preserve"> $              150 </w:t>
            </w:r>
          </w:p>
        </w:tc>
        <w:tc>
          <w:tcPr>
            <w:tcW w:w="1566" w:type="dxa"/>
            <w:noWrap/>
          </w:tcPr>
          <w:p w14:paraId="58DD804E" w14:textId="77777777" w:rsidR="009D4E2F" w:rsidRDefault="00314650">
            <w:pPr>
              <w:spacing w:after="0"/>
              <w:rPr>
                <w:rFonts w:ascii="Arial" w:hAnsi="Arial" w:cs="Arial"/>
              </w:rPr>
            </w:pPr>
            <w:r>
              <w:rPr>
                <w:rFonts w:ascii="Arial" w:hAnsi="Arial" w:cs="Arial"/>
              </w:rPr>
              <w:t xml:space="preserve"> $              143 </w:t>
            </w:r>
          </w:p>
        </w:tc>
      </w:tr>
      <w:tr w:rsidR="009D4E2F" w14:paraId="431433A6" w14:textId="77777777">
        <w:trPr>
          <w:trHeight w:val="288"/>
        </w:trPr>
        <w:tc>
          <w:tcPr>
            <w:tcW w:w="5285" w:type="dxa"/>
            <w:noWrap/>
          </w:tcPr>
          <w:p w14:paraId="686409AB" w14:textId="77777777" w:rsidR="009D4E2F" w:rsidRDefault="00314650">
            <w:pPr>
              <w:spacing w:after="0"/>
              <w:rPr>
                <w:rFonts w:ascii="Arial" w:hAnsi="Arial" w:cs="Arial"/>
              </w:rPr>
            </w:pPr>
            <w:r>
              <w:rPr>
                <w:rFonts w:ascii="Arial" w:hAnsi="Arial" w:cs="Arial"/>
              </w:rPr>
              <w:t>Market Price per Share (USD, year-end)</w:t>
            </w:r>
          </w:p>
        </w:tc>
        <w:tc>
          <w:tcPr>
            <w:tcW w:w="765" w:type="dxa"/>
            <w:noWrap/>
          </w:tcPr>
          <w:p w14:paraId="60D3D117" w14:textId="77777777" w:rsidR="009D4E2F" w:rsidRDefault="00314650">
            <w:pPr>
              <w:spacing w:after="0"/>
              <w:rPr>
                <w:rFonts w:ascii="Arial" w:hAnsi="Arial" w:cs="Arial"/>
                <w:b/>
                <w:bCs/>
              </w:rPr>
            </w:pPr>
            <w:r>
              <w:rPr>
                <w:rFonts w:ascii="Arial" w:hAnsi="Arial" w:cs="Arial"/>
                <w:b/>
                <w:bCs/>
              </w:rPr>
              <w:t>D</w:t>
            </w:r>
          </w:p>
        </w:tc>
        <w:tc>
          <w:tcPr>
            <w:tcW w:w="1566" w:type="dxa"/>
            <w:noWrap/>
          </w:tcPr>
          <w:p w14:paraId="390955BE" w14:textId="77777777" w:rsidR="009D4E2F" w:rsidRDefault="00314650">
            <w:pPr>
              <w:spacing w:after="0"/>
              <w:rPr>
                <w:rFonts w:ascii="Arial" w:hAnsi="Arial" w:cs="Arial"/>
              </w:rPr>
            </w:pPr>
            <w:r>
              <w:rPr>
                <w:rFonts w:ascii="Arial" w:hAnsi="Arial" w:cs="Arial"/>
              </w:rPr>
              <w:t>$153.91</w:t>
            </w:r>
          </w:p>
        </w:tc>
        <w:tc>
          <w:tcPr>
            <w:tcW w:w="1566" w:type="dxa"/>
            <w:noWrap/>
          </w:tcPr>
          <w:p w14:paraId="362B3390" w14:textId="77777777" w:rsidR="009D4E2F" w:rsidRDefault="00314650">
            <w:pPr>
              <w:spacing w:after="0"/>
              <w:rPr>
                <w:rFonts w:ascii="Arial" w:hAnsi="Arial" w:cs="Arial"/>
              </w:rPr>
            </w:pPr>
            <w:r>
              <w:rPr>
                <w:rFonts w:ascii="Arial" w:hAnsi="Arial" w:cs="Arial"/>
              </w:rPr>
              <w:t>$125.11</w:t>
            </w:r>
          </w:p>
        </w:tc>
        <w:tc>
          <w:tcPr>
            <w:tcW w:w="1566" w:type="dxa"/>
            <w:noWrap/>
          </w:tcPr>
          <w:p w14:paraId="3265F77A" w14:textId="77777777" w:rsidR="009D4E2F" w:rsidRDefault="00314650">
            <w:pPr>
              <w:spacing w:after="0"/>
              <w:rPr>
                <w:rFonts w:ascii="Arial" w:hAnsi="Arial" w:cs="Arial"/>
              </w:rPr>
            </w:pPr>
            <w:r>
              <w:rPr>
                <w:rFonts w:ascii="Arial" w:hAnsi="Arial" w:cs="Arial"/>
              </w:rPr>
              <w:t>$181.00</w:t>
            </w:r>
          </w:p>
        </w:tc>
        <w:tc>
          <w:tcPr>
            <w:tcW w:w="1566" w:type="dxa"/>
            <w:noWrap/>
          </w:tcPr>
          <w:p w14:paraId="0CD3C6D6" w14:textId="77777777" w:rsidR="009D4E2F" w:rsidRDefault="00314650">
            <w:pPr>
              <w:spacing w:after="0"/>
              <w:rPr>
                <w:rFonts w:ascii="Arial" w:hAnsi="Arial" w:cs="Arial"/>
              </w:rPr>
            </w:pPr>
            <w:r>
              <w:rPr>
                <w:rFonts w:ascii="Arial" w:hAnsi="Arial" w:cs="Arial"/>
              </w:rPr>
              <w:t>$246.37</w:t>
            </w:r>
          </w:p>
        </w:tc>
        <w:tc>
          <w:tcPr>
            <w:tcW w:w="1566" w:type="dxa"/>
            <w:noWrap/>
          </w:tcPr>
          <w:p w14:paraId="337FA61B" w14:textId="77777777" w:rsidR="009D4E2F" w:rsidRDefault="00314650">
            <w:pPr>
              <w:spacing w:after="0"/>
              <w:rPr>
                <w:rFonts w:ascii="Arial" w:hAnsi="Arial" w:cs="Arial"/>
              </w:rPr>
            </w:pPr>
            <w:r>
              <w:rPr>
                <w:rFonts w:ascii="Arial" w:hAnsi="Arial" w:cs="Arial"/>
              </w:rPr>
              <w:t>$286.98</w:t>
            </w:r>
          </w:p>
        </w:tc>
      </w:tr>
      <w:tr w:rsidR="009D4E2F" w14:paraId="0075527A" w14:textId="77777777">
        <w:trPr>
          <w:trHeight w:val="288"/>
        </w:trPr>
        <w:tc>
          <w:tcPr>
            <w:tcW w:w="5285" w:type="dxa"/>
            <w:noWrap/>
          </w:tcPr>
          <w:p w14:paraId="790E38F9" w14:textId="77777777" w:rsidR="009D4E2F" w:rsidRDefault="00314650">
            <w:pPr>
              <w:spacing w:after="0"/>
              <w:rPr>
                <w:rFonts w:ascii="Arial" w:hAnsi="Arial" w:cs="Arial"/>
              </w:rPr>
            </w:pPr>
            <w:r>
              <w:rPr>
                <w:rFonts w:ascii="Arial" w:hAnsi="Arial" w:cs="Arial"/>
              </w:rPr>
              <w:t>Shareholders' Equity (USD M)</w:t>
            </w:r>
          </w:p>
        </w:tc>
        <w:tc>
          <w:tcPr>
            <w:tcW w:w="765" w:type="dxa"/>
            <w:noWrap/>
          </w:tcPr>
          <w:p w14:paraId="31ACA836" w14:textId="77777777" w:rsidR="009D4E2F" w:rsidRDefault="00314650">
            <w:pPr>
              <w:spacing w:after="0"/>
              <w:rPr>
                <w:rFonts w:ascii="Arial" w:hAnsi="Arial" w:cs="Arial"/>
                <w:b/>
                <w:bCs/>
              </w:rPr>
            </w:pPr>
            <w:r>
              <w:rPr>
                <w:rFonts w:ascii="Arial" w:hAnsi="Arial" w:cs="Arial"/>
                <w:b/>
                <w:bCs/>
              </w:rPr>
              <w:t>E</w:t>
            </w:r>
          </w:p>
        </w:tc>
        <w:tc>
          <w:tcPr>
            <w:tcW w:w="1566" w:type="dxa"/>
            <w:noWrap/>
          </w:tcPr>
          <w:p w14:paraId="47BDEDEB"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821)</w:t>
            </w:r>
          </w:p>
        </w:tc>
        <w:tc>
          <w:tcPr>
            <w:tcW w:w="1566" w:type="dxa"/>
            <w:noWrap/>
          </w:tcPr>
          <w:p w14:paraId="5C5D2317"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182)</w:t>
            </w:r>
          </w:p>
        </w:tc>
        <w:tc>
          <w:tcPr>
            <w:tcW w:w="1566" w:type="dxa"/>
            <w:noWrap/>
          </w:tcPr>
          <w:p w14:paraId="7C181792"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2,360)</w:t>
            </w:r>
          </w:p>
        </w:tc>
        <w:tc>
          <w:tcPr>
            <w:tcW w:w="1566" w:type="dxa"/>
            <w:noWrap/>
          </w:tcPr>
          <w:p w14:paraId="434D43A9"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3,727)</w:t>
            </w:r>
          </w:p>
        </w:tc>
        <w:tc>
          <w:tcPr>
            <w:tcW w:w="1566" w:type="dxa"/>
            <w:noWrap/>
          </w:tcPr>
          <w:p w14:paraId="06297B8C" w14:textId="77777777" w:rsidR="009D4E2F" w:rsidRDefault="00314650">
            <w:pPr>
              <w:spacing w:after="0"/>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5,388)</w:t>
            </w:r>
          </w:p>
        </w:tc>
      </w:tr>
      <w:tr w:rsidR="009D4E2F" w14:paraId="6F5731E8" w14:textId="77777777">
        <w:trPr>
          <w:trHeight w:val="288"/>
        </w:trPr>
        <w:tc>
          <w:tcPr>
            <w:tcW w:w="5285" w:type="dxa"/>
            <w:noWrap/>
          </w:tcPr>
          <w:p w14:paraId="2FE9B0AB" w14:textId="77777777" w:rsidR="009D4E2F" w:rsidRDefault="00314650">
            <w:pPr>
              <w:spacing w:after="0"/>
              <w:rPr>
                <w:rFonts w:ascii="Arial" w:hAnsi="Arial" w:cs="Arial"/>
                <w:b/>
                <w:bCs/>
              </w:rPr>
            </w:pPr>
            <w:r>
              <w:rPr>
                <w:rFonts w:ascii="Arial" w:hAnsi="Arial" w:cs="Arial"/>
                <w:b/>
                <w:bCs/>
              </w:rPr>
              <w:t>DPS - Dividend per Share (C/B) (USD)</w:t>
            </w:r>
          </w:p>
        </w:tc>
        <w:tc>
          <w:tcPr>
            <w:tcW w:w="765" w:type="dxa"/>
            <w:noWrap/>
          </w:tcPr>
          <w:p w14:paraId="332B5941" w14:textId="77777777" w:rsidR="009D4E2F" w:rsidRDefault="00314650">
            <w:pPr>
              <w:spacing w:after="0"/>
              <w:rPr>
                <w:rFonts w:ascii="Arial" w:hAnsi="Arial" w:cs="Arial"/>
              </w:rPr>
            </w:pPr>
            <w:r>
              <w:rPr>
                <w:rFonts w:ascii="Arial" w:hAnsi="Arial" w:cs="Arial"/>
              </w:rPr>
              <w:t> </w:t>
            </w:r>
          </w:p>
        </w:tc>
        <w:tc>
          <w:tcPr>
            <w:tcW w:w="1566" w:type="dxa"/>
            <w:noWrap/>
          </w:tcPr>
          <w:p w14:paraId="210BDC62" w14:textId="77777777" w:rsidR="009D4E2F" w:rsidRDefault="00314650">
            <w:pPr>
              <w:spacing w:after="0"/>
              <w:rPr>
                <w:rFonts w:ascii="Arial" w:hAnsi="Arial" w:cs="Arial"/>
                <w:b/>
                <w:bCs/>
              </w:rPr>
            </w:pPr>
            <w:r>
              <w:rPr>
                <w:rFonts w:ascii="Arial" w:hAnsi="Arial" w:cs="Arial"/>
                <w:b/>
                <w:bCs/>
              </w:rPr>
              <w:t>-</w:t>
            </w:r>
          </w:p>
        </w:tc>
        <w:tc>
          <w:tcPr>
            <w:tcW w:w="1566" w:type="dxa"/>
            <w:noWrap/>
          </w:tcPr>
          <w:p w14:paraId="5F125B8D" w14:textId="77777777" w:rsidR="009D4E2F" w:rsidRDefault="00314650">
            <w:pPr>
              <w:spacing w:after="0"/>
              <w:rPr>
                <w:rFonts w:ascii="Arial" w:hAnsi="Arial" w:cs="Arial"/>
                <w:b/>
                <w:bCs/>
              </w:rPr>
            </w:pPr>
            <w:r>
              <w:rPr>
                <w:rFonts w:ascii="Arial" w:hAnsi="Arial" w:cs="Arial"/>
                <w:b/>
                <w:bCs/>
              </w:rPr>
              <w:t>$0.46</w:t>
            </w:r>
          </w:p>
        </w:tc>
        <w:tc>
          <w:tcPr>
            <w:tcW w:w="1566" w:type="dxa"/>
            <w:noWrap/>
          </w:tcPr>
          <w:p w14:paraId="5E4F1E67" w14:textId="77777777" w:rsidR="009D4E2F" w:rsidRDefault="00314650">
            <w:pPr>
              <w:spacing w:after="0"/>
              <w:rPr>
                <w:rFonts w:ascii="Arial" w:hAnsi="Arial" w:cs="Arial"/>
                <w:b/>
                <w:bCs/>
              </w:rPr>
            </w:pPr>
            <w:r>
              <w:rPr>
                <w:rFonts w:ascii="Arial" w:hAnsi="Arial" w:cs="Arial"/>
                <w:b/>
                <w:bCs/>
              </w:rPr>
              <w:t>$0.62</w:t>
            </w:r>
          </w:p>
        </w:tc>
        <w:tc>
          <w:tcPr>
            <w:tcW w:w="1566" w:type="dxa"/>
            <w:noWrap/>
          </w:tcPr>
          <w:p w14:paraId="1C4E466A" w14:textId="77777777" w:rsidR="009D4E2F" w:rsidRDefault="00314650">
            <w:pPr>
              <w:spacing w:after="0"/>
              <w:rPr>
                <w:rFonts w:ascii="Arial" w:hAnsi="Arial" w:cs="Arial"/>
                <w:b/>
                <w:bCs/>
              </w:rPr>
            </w:pPr>
            <w:r>
              <w:rPr>
                <w:rFonts w:ascii="Arial" w:hAnsi="Arial" w:cs="Arial"/>
                <w:b/>
                <w:bCs/>
              </w:rPr>
              <w:t>$0.62</w:t>
            </w:r>
          </w:p>
        </w:tc>
        <w:tc>
          <w:tcPr>
            <w:tcW w:w="1566" w:type="dxa"/>
            <w:noWrap/>
          </w:tcPr>
          <w:p w14:paraId="01F000B1" w14:textId="77777777" w:rsidR="009D4E2F" w:rsidRDefault="00314650">
            <w:pPr>
              <w:spacing w:after="0"/>
              <w:rPr>
                <w:rFonts w:ascii="Arial" w:hAnsi="Arial" w:cs="Arial"/>
                <w:b/>
                <w:bCs/>
              </w:rPr>
            </w:pPr>
            <w:r>
              <w:rPr>
                <w:rFonts w:ascii="Arial" w:hAnsi="Arial" w:cs="Arial"/>
                <w:b/>
                <w:bCs/>
              </w:rPr>
              <w:t>$0.62</w:t>
            </w:r>
          </w:p>
        </w:tc>
      </w:tr>
      <w:tr w:rsidR="009D4E2F" w14:paraId="20037435" w14:textId="77777777">
        <w:trPr>
          <w:trHeight w:val="288"/>
        </w:trPr>
        <w:tc>
          <w:tcPr>
            <w:tcW w:w="5285" w:type="dxa"/>
            <w:noWrap/>
          </w:tcPr>
          <w:p w14:paraId="7F22868B" w14:textId="77777777" w:rsidR="009D4E2F" w:rsidRDefault="00314650">
            <w:pPr>
              <w:spacing w:after="0"/>
              <w:rPr>
                <w:rFonts w:ascii="Arial" w:hAnsi="Arial" w:cs="Arial"/>
                <w:b/>
                <w:bCs/>
              </w:rPr>
            </w:pPr>
            <w:r>
              <w:rPr>
                <w:rFonts w:ascii="Arial" w:hAnsi="Arial" w:cs="Arial"/>
                <w:b/>
                <w:bCs/>
              </w:rPr>
              <w:t xml:space="preserve">Dividend Payout </w:t>
            </w:r>
            <w:proofErr w:type="gramStart"/>
            <w:r>
              <w:rPr>
                <w:rFonts w:ascii="Arial" w:hAnsi="Arial" w:cs="Arial"/>
                <w:b/>
                <w:bCs/>
              </w:rPr>
              <w:t>Ratio ((</w:t>
            </w:r>
            <w:proofErr w:type="gramEnd"/>
            <w:r>
              <w:rPr>
                <w:rFonts w:ascii="Arial" w:hAnsi="Arial" w:cs="Arial"/>
                <w:b/>
                <w:bCs/>
              </w:rPr>
              <w:t>C/B)/A)</w:t>
            </w:r>
          </w:p>
        </w:tc>
        <w:tc>
          <w:tcPr>
            <w:tcW w:w="765" w:type="dxa"/>
            <w:noWrap/>
          </w:tcPr>
          <w:p w14:paraId="6A907D9A" w14:textId="77777777" w:rsidR="009D4E2F" w:rsidRDefault="00314650">
            <w:pPr>
              <w:spacing w:after="0"/>
              <w:rPr>
                <w:rFonts w:ascii="Arial" w:hAnsi="Arial" w:cs="Arial"/>
              </w:rPr>
            </w:pPr>
            <w:r>
              <w:rPr>
                <w:rFonts w:ascii="Arial" w:hAnsi="Arial" w:cs="Arial"/>
              </w:rPr>
              <w:t> </w:t>
            </w:r>
          </w:p>
        </w:tc>
        <w:tc>
          <w:tcPr>
            <w:tcW w:w="1566" w:type="dxa"/>
            <w:noWrap/>
          </w:tcPr>
          <w:p w14:paraId="442F6791" w14:textId="77777777" w:rsidR="009D4E2F" w:rsidRDefault="00314650">
            <w:pPr>
              <w:spacing w:after="0"/>
              <w:rPr>
                <w:rFonts w:ascii="Arial" w:hAnsi="Arial" w:cs="Arial"/>
                <w:b/>
                <w:bCs/>
              </w:rPr>
            </w:pPr>
            <w:r>
              <w:rPr>
                <w:rFonts w:ascii="Arial" w:hAnsi="Arial" w:cs="Arial"/>
                <w:b/>
                <w:bCs/>
              </w:rPr>
              <w:t>-</w:t>
            </w:r>
          </w:p>
        </w:tc>
        <w:tc>
          <w:tcPr>
            <w:tcW w:w="1566" w:type="dxa"/>
            <w:noWrap/>
          </w:tcPr>
          <w:p w14:paraId="69A511B8" w14:textId="77777777" w:rsidR="009D4E2F" w:rsidRDefault="00314650">
            <w:pPr>
              <w:spacing w:after="0"/>
              <w:rPr>
                <w:rFonts w:ascii="Arial" w:hAnsi="Arial" w:cs="Arial"/>
                <w:b/>
                <w:bCs/>
              </w:rPr>
            </w:pPr>
            <w:r>
              <w:rPr>
                <w:rFonts w:ascii="Arial" w:hAnsi="Arial" w:cs="Arial"/>
                <w:b/>
                <w:bCs/>
              </w:rPr>
              <w:t>10.07%</w:t>
            </w:r>
          </w:p>
        </w:tc>
        <w:tc>
          <w:tcPr>
            <w:tcW w:w="1566" w:type="dxa"/>
            <w:noWrap/>
          </w:tcPr>
          <w:p w14:paraId="7CA5BD32" w14:textId="77777777" w:rsidR="009D4E2F" w:rsidRDefault="00314650">
            <w:pPr>
              <w:spacing w:after="0"/>
              <w:rPr>
                <w:rFonts w:ascii="Arial" w:hAnsi="Arial" w:cs="Arial"/>
                <w:b/>
                <w:bCs/>
              </w:rPr>
            </w:pPr>
            <w:r>
              <w:rPr>
                <w:rFonts w:ascii="Arial" w:hAnsi="Arial" w:cs="Arial"/>
                <w:b/>
                <w:bCs/>
              </w:rPr>
              <w:t>14.30%</w:t>
            </w:r>
          </w:p>
        </w:tc>
        <w:tc>
          <w:tcPr>
            <w:tcW w:w="1566" w:type="dxa"/>
            <w:noWrap/>
          </w:tcPr>
          <w:p w14:paraId="7D5822F1" w14:textId="77777777" w:rsidR="009D4E2F" w:rsidRDefault="00314650">
            <w:pPr>
              <w:spacing w:after="0"/>
              <w:rPr>
                <w:rFonts w:ascii="Arial" w:hAnsi="Arial" w:cs="Arial"/>
                <w:b/>
                <w:bCs/>
              </w:rPr>
            </w:pPr>
            <w:r>
              <w:rPr>
                <w:rFonts w:ascii="Arial" w:hAnsi="Arial" w:cs="Arial"/>
                <w:b/>
                <w:bCs/>
              </w:rPr>
              <w:t>10.01%</w:t>
            </w:r>
          </w:p>
        </w:tc>
        <w:tc>
          <w:tcPr>
            <w:tcW w:w="1566" w:type="dxa"/>
            <w:noWrap/>
          </w:tcPr>
          <w:p w14:paraId="39417A74" w14:textId="77777777" w:rsidR="009D4E2F" w:rsidRDefault="00314650">
            <w:pPr>
              <w:spacing w:after="0"/>
              <w:rPr>
                <w:rFonts w:ascii="Arial" w:hAnsi="Arial" w:cs="Arial"/>
                <w:b/>
                <w:bCs/>
              </w:rPr>
            </w:pPr>
            <w:r>
              <w:rPr>
                <w:rFonts w:ascii="Arial" w:hAnsi="Arial" w:cs="Arial"/>
                <w:b/>
                <w:bCs/>
              </w:rPr>
              <w:t>10.04%</w:t>
            </w:r>
          </w:p>
        </w:tc>
      </w:tr>
      <w:tr w:rsidR="009D4E2F" w14:paraId="14810CD4" w14:textId="77777777">
        <w:trPr>
          <w:trHeight w:val="288"/>
        </w:trPr>
        <w:tc>
          <w:tcPr>
            <w:tcW w:w="5285" w:type="dxa"/>
            <w:noWrap/>
          </w:tcPr>
          <w:p w14:paraId="3F8DD458" w14:textId="77777777" w:rsidR="009D4E2F" w:rsidRDefault="00314650">
            <w:pPr>
              <w:spacing w:after="0"/>
              <w:rPr>
                <w:rFonts w:ascii="Arial" w:hAnsi="Arial" w:cs="Arial"/>
                <w:b/>
                <w:bCs/>
              </w:rPr>
            </w:pPr>
            <w:r>
              <w:rPr>
                <w:rFonts w:ascii="Arial" w:hAnsi="Arial" w:cs="Arial"/>
                <w:b/>
                <w:bCs/>
              </w:rPr>
              <w:t>Dividend Yield (DPS/Price)</w:t>
            </w:r>
          </w:p>
        </w:tc>
        <w:tc>
          <w:tcPr>
            <w:tcW w:w="765" w:type="dxa"/>
            <w:noWrap/>
          </w:tcPr>
          <w:p w14:paraId="3F180B8F" w14:textId="77777777" w:rsidR="009D4E2F" w:rsidRDefault="00314650">
            <w:pPr>
              <w:spacing w:after="0"/>
              <w:rPr>
                <w:rFonts w:ascii="Arial" w:hAnsi="Arial" w:cs="Arial"/>
              </w:rPr>
            </w:pPr>
            <w:r>
              <w:rPr>
                <w:rFonts w:ascii="Arial" w:hAnsi="Arial" w:cs="Arial"/>
              </w:rPr>
              <w:t> </w:t>
            </w:r>
          </w:p>
        </w:tc>
        <w:tc>
          <w:tcPr>
            <w:tcW w:w="1566" w:type="dxa"/>
            <w:noWrap/>
          </w:tcPr>
          <w:p w14:paraId="188053C1" w14:textId="77777777" w:rsidR="009D4E2F" w:rsidRDefault="00314650">
            <w:pPr>
              <w:spacing w:after="0"/>
              <w:rPr>
                <w:rFonts w:ascii="Arial" w:hAnsi="Arial" w:cs="Arial"/>
                <w:b/>
                <w:bCs/>
              </w:rPr>
            </w:pPr>
            <w:r>
              <w:rPr>
                <w:rFonts w:ascii="Arial" w:hAnsi="Arial" w:cs="Arial"/>
                <w:b/>
                <w:bCs/>
              </w:rPr>
              <w:t>-</w:t>
            </w:r>
          </w:p>
        </w:tc>
        <w:tc>
          <w:tcPr>
            <w:tcW w:w="1566" w:type="dxa"/>
            <w:noWrap/>
          </w:tcPr>
          <w:p w14:paraId="0E19CEAF" w14:textId="77777777" w:rsidR="009D4E2F" w:rsidRDefault="00314650">
            <w:pPr>
              <w:spacing w:after="0"/>
              <w:rPr>
                <w:rFonts w:ascii="Arial" w:hAnsi="Arial" w:cs="Arial"/>
                <w:b/>
                <w:bCs/>
              </w:rPr>
            </w:pPr>
            <w:r>
              <w:rPr>
                <w:rFonts w:ascii="Arial" w:hAnsi="Arial" w:cs="Arial"/>
                <w:b/>
                <w:bCs/>
              </w:rPr>
              <w:t>0.37%</w:t>
            </w:r>
          </w:p>
        </w:tc>
        <w:tc>
          <w:tcPr>
            <w:tcW w:w="1566" w:type="dxa"/>
            <w:noWrap/>
          </w:tcPr>
          <w:p w14:paraId="0F1AD290" w14:textId="77777777" w:rsidR="009D4E2F" w:rsidRDefault="00314650">
            <w:pPr>
              <w:spacing w:after="0"/>
              <w:rPr>
                <w:rFonts w:ascii="Arial" w:hAnsi="Arial" w:cs="Arial"/>
                <w:b/>
                <w:bCs/>
              </w:rPr>
            </w:pPr>
            <w:r>
              <w:rPr>
                <w:rFonts w:ascii="Arial" w:hAnsi="Arial" w:cs="Arial"/>
                <w:b/>
                <w:bCs/>
              </w:rPr>
              <w:t>0.34%</w:t>
            </w:r>
          </w:p>
        </w:tc>
        <w:tc>
          <w:tcPr>
            <w:tcW w:w="1566" w:type="dxa"/>
            <w:noWrap/>
          </w:tcPr>
          <w:p w14:paraId="130CA0A1" w14:textId="77777777" w:rsidR="009D4E2F" w:rsidRDefault="00314650">
            <w:pPr>
              <w:spacing w:after="0"/>
              <w:rPr>
                <w:rFonts w:ascii="Arial" w:hAnsi="Arial" w:cs="Arial"/>
                <w:b/>
                <w:bCs/>
              </w:rPr>
            </w:pPr>
            <w:r>
              <w:rPr>
                <w:rFonts w:ascii="Arial" w:hAnsi="Arial" w:cs="Arial"/>
                <w:b/>
                <w:bCs/>
              </w:rPr>
              <w:t>0.25%</w:t>
            </w:r>
          </w:p>
        </w:tc>
        <w:tc>
          <w:tcPr>
            <w:tcW w:w="1566" w:type="dxa"/>
            <w:noWrap/>
          </w:tcPr>
          <w:p w14:paraId="667AEA72" w14:textId="77777777" w:rsidR="009D4E2F" w:rsidRDefault="00314650">
            <w:pPr>
              <w:spacing w:after="0"/>
              <w:rPr>
                <w:rFonts w:ascii="Arial" w:hAnsi="Arial" w:cs="Arial"/>
                <w:b/>
                <w:bCs/>
              </w:rPr>
            </w:pPr>
            <w:r>
              <w:rPr>
                <w:rFonts w:ascii="Arial" w:hAnsi="Arial" w:cs="Arial"/>
                <w:b/>
                <w:bCs/>
              </w:rPr>
              <w:t>0.22%</w:t>
            </w:r>
          </w:p>
        </w:tc>
      </w:tr>
      <w:tr w:rsidR="009D4E2F" w14:paraId="62D4ABE7" w14:textId="77777777">
        <w:trPr>
          <w:trHeight w:val="288"/>
        </w:trPr>
        <w:tc>
          <w:tcPr>
            <w:tcW w:w="5285" w:type="dxa"/>
            <w:noWrap/>
          </w:tcPr>
          <w:p w14:paraId="35D5ECB2" w14:textId="77777777" w:rsidR="009D4E2F" w:rsidRDefault="00314650">
            <w:pPr>
              <w:spacing w:after="0"/>
              <w:rPr>
                <w:rFonts w:ascii="Arial" w:hAnsi="Arial" w:cs="Arial"/>
                <w:b/>
                <w:bCs/>
              </w:rPr>
            </w:pPr>
            <w:r>
              <w:rPr>
                <w:rFonts w:ascii="Arial" w:hAnsi="Arial" w:cs="Arial"/>
                <w:b/>
                <w:bCs/>
              </w:rPr>
              <w:t>Price/Earnings Ratio - P/E (D/A)</w:t>
            </w:r>
          </w:p>
        </w:tc>
        <w:tc>
          <w:tcPr>
            <w:tcW w:w="765" w:type="dxa"/>
            <w:noWrap/>
          </w:tcPr>
          <w:p w14:paraId="6AE62DAC" w14:textId="77777777" w:rsidR="009D4E2F" w:rsidRDefault="00314650">
            <w:pPr>
              <w:spacing w:after="0"/>
              <w:rPr>
                <w:rFonts w:ascii="Arial" w:hAnsi="Arial" w:cs="Arial"/>
              </w:rPr>
            </w:pPr>
            <w:r>
              <w:rPr>
                <w:rFonts w:ascii="Arial" w:hAnsi="Arial" w:cs="Arial"/>
              </w:rPr>
              <w:t> </w:t>
            </w:r>
          </w:p>
        </w:tc>
        <w:tc>
          <w:tcPr>
            <w:tcW w:w="1566" w:type="dxa"/>
            <w:noWrap/>
          </w:tcPr>
          <w:p w14:paraId="1B73047E" w14:textId="77777777" w:rsidR="009D4E2F" w:rsidRDefault="00314650">
            <w:pPr>
              <w:spacing w:after="0"/>
              <w:rPr>
                <w:rFonts w:ascii="Arial" w:hAnsi="Arial" w:cs="Arial"/>
                <w:b/>
                <w:bCs/>
              </w:rPr>
            </w:pPr>
            <w:r>
              <w:rPr>
                <w:rFonts w:ascii="Arial" w:hAnsi="Arial" w:cs="Arial"/>
                <w:b/>
                <w:bCs/>
              </w:rPr>
              <w:t>104.70x</w:t>
            </w:r>
          </w:p>
        </w:tc>
        <w:tc>
          <w:tcPr>
            <w:tcW w:w="1566" w:type="dxa"/>
            <w:noWrap/>
          </w:tcPr>
          <w:p w14:paraId="2680038E" w14:textId="77777777" w:rsidR="009D4E2F" w:rsidRDefault="00314650">
            <w:pPr>
              <w:spacing w:after="0"/>
              <w:rPr>
                <w:rFonts w:ascii="Arial" w:hAnsi="Arial" w:cs="Arial"/>
                <w:b/>
                <w:bCs/>
              </w:rPr>
            </w:pPr>
            <w:r>
              <w:rPr>
                <w:rFonts w:ascii="Arial" w:hAnsi="Arial" w:cs="Arial"/>
                <w:b/>
                <w:bCs/>
              </w:rPr>
              <w:t>27.44x</w:t>
            </w:r>
          </w:p>
        </w:tc>
        <w:tc>
          <w:tcPr>
            <w:tcW w:w="1566" w:type="dxa"/>
            <w:noWrap/>
          </w:tcPr>
          <w:p w14:paraId="181537C1" w14:textId="77777777" w:rsidR="009D4E2F" w:rsidRDefault="00314650">
            <w:pPr>
              <w:spacing w:after="0"/>
              <w:rPr>
                <w:rFonts w:ascii="Arial" w:hAnsi="Arial" w:cs="Arial"/>
                <w:b/>
                <w:bCs/>
              </w:rPr>
            </w:pPr>
            <w:r>
              <w:rPr>
                <w:rFonts w:ascii="Arial" w:hAnsi="Arial" w:cs="Arial"/>
                <w:b/>
                <w:bCs/>
              </w:rPr>
              <w:t>41.51x</w:t>
            </w:r>
          </w:p>
        </w:tc>
        <w:tc>
          <w:tcPr>
            <w:tcW w:w="1566" w:type="dxa"/>
            <w:noWrap/>
          </w:tcPr>
          <w:p w14:paraId="0108A070" w14:textId="77777777" w:rsidR="009D4E2F" w:rsidRDefault="00314650">
            <w:pPr>
              <w:spacing w:after="0"/>
              <w:rPr>
                <w:rFonts w:ascii="Arial" w:hAnsi="Arial" w:cs="Arial"/>
                <w:b/>
                <w:bCs/>
              </w:rPr>
            </w:pPr>
            <w:r>
              <w:rPr>
                <w:rFonts w:ascii="Arial" w:hAnsi="Arial" w:cs="Arial"/>
                <w:b/>
                <w:bCs/>
              </w:rPr>
              <w:t>39.74x</w:t>
            </w:r>
          </w:p>
        </w:tc>
        <w:tc>
          <w:tcPr>
            <w:tcW w:w="1566" w:type="dxa"/>
            <w:noWrap/>
          </w:tcPr>
          <w:p w14:paraId="42FF9A71" w14:textId="77777777" w:rsidR="009D4E2F" w:rsidRDefault="00314650">
            <w:pPr>
              <w:spacing w:after="0"/>
              <w:rPr>
                <w:rFonts w:ascii="Arial" w:hAnsi="Arial" w:cs="Arial"/>
                <w:b/>
                <w:bCs/>
              </w:rPr>
            </w:pPr>
            <w:r>
              <w:rPr>
                <w:rFonts w:ascii="Arial" w:hAnsi="Arial" w:cs="Arial"/>
                <w:b/>
                <w:bCs/>
              </w:rPr>
              <w:t>46.44x</w:t>
            </w:r>
          </w:p>
        </w:tc>
      </w:tr>
      <w:tr w:rsidR="009D4E2F" w14:paraId="7C937F7B" w14:textId="77777777">
        <w:trPr>
          <w:trHeight w:val="288"/>
        </w:trPr>
        <w:tc>
          <w:tcPr>
            <w:tcW w:w="5285" w:type="dxa"/>
            <w:noWrap/>
          </w:tcPr>
          <w:p w14:paraId="13D3B3D5" w14:textId="77777777" w:rsidR="009D4E2F" w:rsidRDefault="00314650">
            <w:pPr>
              <w:spacing w:after="0"/>
              <w:rPr>
                <w:rFonts w:ascii="Arial" w:hAnsi="Arial" w:cs="Arial"/>
                <w:b/>
                <w:bCs/>
              </w:rPr>
            </w:pPr>
            <w:r>
              <w:rPr>
                <w:rFonts w:ascii="Arial" w:hAnsi="Arial" w:cs="Arial"/>
                <w:b/>
                <w:bCs/>
              </w:rPr>
              <w:t>Book Value per Share (E/B) [neg. for Hilton]</w:t>
            </w:r>
          </w:p>
        </w:tc>
        <w:tc>
          <w:tcPr>
            <w:tcW w:w="765" w:type="dxa"/>
            <w:noWrap/>
          </w:tcPr>
          <w:p w14:paraId="3BA6AFF8" w14:textId="77777777" w:rsidR="009D4E2F" w:rsidRDefault="00314650">
            <w:pPr>
              <w:spacing w:after="0"/>
              <w:rPr>
                <w:rFonts w:ascii="Arial" w:hAnsi="Arial" w:cs="Arial"/>
              </w:rPr>
            </w:pPr>
            <w:r>
              <w:rPr>
                <w:rFonts w:ascii="Arial" w:hAnsi="Arial" w:cs="Arial"/>
              </w:rPr>
              <w:t> </w:t>
            </w:r>
          </w:p>
        </w:tc>
        <w:tc>
          <w:tcPr>
            <w:tcW w:w="1566" w:type="dxa"/>
            <w:noWrap/>
          </w:tcPr>
          <w:p w14:paraId="04B9A2C6" w14:textId="77777777" w:rsidR="009D4E2F" w:rsidRDefault="00314650">
            <w:pPr>
              <w:spacing w:after="0"/>
              <w:rPr>
                <w:rFonts w:ascii="Arial" w:hAnsi="Arial" w:cs="Arial"/>
                <w:b/>
                <w:bCs/>
              </w:rPr>
            </w:pPr>
            <w:r>
              <w:rPr>
                <w:rFonts w:ascii="Arial" w:hAnsi="Arial" w:cs="Arial"/>
                <w:b/>
                <w:bCs/>
              </w:rPr>
              <w:t>($2.94)</w:t>
            </w:r>
          </w:p>
        </w:tc>
        <w:tc>
          <w:tcPr>
            <w:tcW w:w="1566" w:type="dxa"/>
            <w:noWrap/>
          </w:tcPr>
          <w:p w14:paraId="60A64C10" w14:textId="77777777" w:rsidR="009D4E2F" w:rsidRDefault="00314650">
            <w:pPr>
              <w:spacing w:after="0"/>
              <w:rPr>
                <w:rFonts w:ascii="Arial" w:hAnsi="Arial" w:cs="Arial"/>
                <w:b/>
                <w:bCs/>
              </w:rPr>
            </w:pPr>
            <w:r>
              <w:rPr>
                <w:rFonts w:ascii="Arial" w:hAnsi="Arial" w:cs="Arial"/>
                <w:b/>
                <w:bCs/>
              </w:rPr>
              <w:t>($0.68)</w:t>
            </w:r>
          </w:p>
        </w:tc>
        <w:tc>
          <w:tcPr>
            <w:tcW w:w="1566" w:type="dxa"/>
            <w:noWrap/>
          </w:tcPr>
          <w:p w14:paraId="66C0DC40" w14:textId="77777777" w:rsidR="009D4E2F" w:rsidRDefault="00314650">
            <w:pPr>
              <w:spacing w:after="0"/>
              <w:rPr>
                <w:rFonts w:ascii="Arial" w:hAnsi="Arial" w:cs="Arial"/>
                <w:b/>
                <w:bCs/>
              </w:rPr>
            </w:pPr>
            <w:r>
              <w:rPr>
                <w:rFonts w:ascii="Arial" w:hAnsi="Arial" w:cs="Arial"/>
                <w:b/>
                <w:bCs/>
              </w:rPr>
              <w:t>($9.31)</w:t>
            </w:r>
          </w:p>
        </w:tc>
        <w:tc>
          <w:tcPr>
            <w:tcW w:w="1566" w:type="dxa"/>
            <w:noWrap/>
          </w:tcPr>
          <w:p w14:paraId="0FCE664F" w14:textId="77777777" w:rsidR="009D4E2F" w:rsidRDefault="00314650">
            <w:pPr>
              <w:spacing w:after="0"/>
              <w:rPr>
                <w:rFonts w:ascii="Arial" w:hAnsi="Arial" w:cs="Arial"/>
                <w:b/>
                <w:bCs/>
              </w:rPr>
            </w:pPr>
            <w:r>
              <w:rPr>
                <w:rFonts w:ascii="Arial" w:hAnsi="Arial" w:cs="Arial"/>
                <w:b/>
                <w:bCs/>
              </w:rPr>
              <w:t>($15.41)</w:t>
            </w:r>
          </w:p>
        </w:tc>
        <w:tc>
          <w:tcPr>
            <w:tcW w:w="1566" w:type="dxa"/>
            <w:noWrap/>
          </w:tcPr>
          <w:p w14:paraId="7C379D1E" w14:textId="77777777" w:rsidR="009D4E2F" w:rsidRDefault="00314650">
            <w:pPr>
              <w:spacing w:after="0"/>
              <w:rPr>
                <w:rFonts w:ascii="Arial" w:hAnsi="Arial" w:cs="Arial"/>
                <w:b/>
                <w:bCs/>
              </w:rPr>
            </w:pPr>
            <w:r>
              <w:rPr>
                <w:rFonts w:ascii="Arial" w:hAnsi="Arial" w:cs="Arial"/>
                <w:b/>
                <w:bCs/>
              </w:rPr>
              <w:t>($23.38)</w:t>
            </w:r>
          </w:p>
        </w:tc>
      </w:tr>
      <w:tr w:rsidR="009D4E2F" w14:paraId="45592262" w14:textId="77777777">
        <w:trPr>
          <w:trHeight w:val="288"/>
        </w:trPr>
        <w:tc>
          <w:tcPr>
            <w:tcW w:w="5285" w:type="dxa"/>
            <w:noWrap/>
          </w:tcPr>
          <w:p w14:paraId="418E8DFD" w14:textId="77777777" w:rsidR="009D4E2F" w:rsidRDefault="00314650">
            <w:pPr>
              <w:spacing w:after="0"/>
              <w:rPr>
                <w:rFonts w:ascii="Arial" w:hAnsi="Arial" w:cs="Arial"/>
                <w:b/>
                <w:bCs/>
              </w:rPr>
            </w:pPr>
            <w:r>
              <w:rPr>
                <w:rFonts w:ascii="Arial" w:hAnsi="Arial" w:cs="Arial"/>
                <w:b/>
                <w:bCs/>
              </w:rPr>
              <w:t>Market Cap (USD M) (B*D)</w:t>
            </w:r>
          </w:p>
        </w:tc>
        <w:tc>
          <w:tcPr>
            <w:tcW w:w="765" w:type="dxa"/>
            <w:noWrap/>
          </w:tcPr>
          <w:p w14:paraId="14EA09F1" w14:textId="77777777" w:rsidR="009D4E2F" w:rsidRDefault="00314650">
            <w:pPr>
              <w:spacing w:after="0"/>
              <w:rPr>
                <w:rFonts w:ascii="Arial" w:hAnsi="Arial" w:cs="Arial"/>
              </w:rPr>
            </w:pPr>
            <w:r>
              <w:rPr>
                <w:rFonts w:ascii="Arial" w:hAnsi="Arial" w:cs="Arial"/>
              </w:rPr>
              <w:t> </w:t>
            </w:r>
          </w:p>
        </w:tc>
        <w:tc>
          <w:tcPr>
            <w:tcW w:w="1566" w:type="dxa"/>
            <w:noWrap/>
          </w:tcPr>
          <w:p w14:paraId="718C0CA8" w14:textId="77777777" w:rsidR="009D4E2F" w:rsidRDefault="00314650">
            <w:pPr>
              <w:spacing w:after="0"/>
              <w:rPr>
                <w:rFonts w:ascii="Arial" w:hAnsi="Arial" w:cs="Arial"/>
                <w:b/>
                <w:bCs/>
              </w:rPr>
            </w:pPr>
            <w:r>
              <w:rPr>
                <w:rFonts w:ascii="Arial" w:hAnsi="Arial" w:cs="Arial"/>
                <w:b/>
                <w:bCs/>
              </w:rPr>
              <w:t xml:space="preserve"> $          42,955 </w:t>
            </w:r>
          </w:p>
        </w:tc>
        <w:tc>
          <w:tcPr>
            <w:tcW w:w="1566" w:type="dxa"/>
            <w:noWrap/>
          </w:tcPr>
          <w:p w14:paraId="24CE8C62" w14:textId="77777777" w:rsidR="009D4E2F" w:rsidRDefault="00314650">
            <w:pPr>
              <w:spacing w:after="0"/>
              <w:rPr>
                <w:rFonts w:ascii="Arial" w:hAnsi="Arial" w:cs="Arial"/>
                <w:b/>
                <w:bCs/>
              </w:rPr>
            </w:pPr>
            <w:r>
              <w:rPr>
                <w:rFonts w:ascii="Arial" w:hAnsi="Arial" w:cs="Arial"/>
                <w:b/>
                <w:bCs/>
              </w:rPr>
              <w:t xml:space="preserve"> $          33,512 </w:t>
            </w:r>
          </w:p>
        </w:tc>
        <w:tc>
          <w:tcPr>
            <w:tcW w:w="1566" w:type="dxa"/>
            <w:noWrap/>
          </w:tcPr>
          <w:p w14:paraId="22EC4F1D" w14:textId="77777777" w:rsidR="009D4E2F" w:rsidRDefault="00314650">
            <w:pPr>
              <w:spacing w:after="0"/>
              <w:rPr>
                <w:rFonts w:ascii="Arial" w:hAnsi="Arial" w:cs="Arial"/>
                <w:b/>
                <w:bCs/>
              </w:rPr>
            </w:pPr>
            <w:r>
              <w:rPr>
                <w:rFonts w:ascii="Arial" w:hAnsi="Arial" w:cs="Arial"/>
                <w:b/>
                <w:bCs/>
              </w:rPr>
              <w:t xml:space="preserve"> $          45,881 </w:t>
            </w:r>
          </w:p>
        </w:tc>
        <w:tc>
          <w:tcPr>
            <w:tcW w:w="1566" w:type="dxa"/>
            <w:noWrap/>
          </w:tcPr>
          <w:p w14:paraId="5EA3D843" w14:textId="77777777" w:rsidR="009D4E2F" w:rsidRDefault="00314650">
            <w:pPr>
              <w:spacing w:after="0"/>
              <w:rPr>
                <w:rFonts w:ascii="Arial" w:hAnsi="Arial" w:cs="Arial"/>
                <w:b/>
                <w:bCs/>
              </w:rPr>
            </w:pPr>
            <w:r>
              <w:rPr>
                <w:rFonts w:ascii="Arial" w:hAnsi="Arial" w:cs="Arial"/>
                <w:b/>
                <w:bCs/>
              </w:rPr>
              <w:t xml:space="preserve"> $          59,574 </w:t>
            </w:r>
          </w:p>
        </w:tc>
        <w:tc>
          <w:tcPr>
            <w:tcW w:w="1566" w:type="dxa"/>
            <w:noWrap/>
          </w:tcPr>
          <w:p w14:paraId="4EAC5C2E" w14:textId="77777777" w:rsidR="009D4E2F" w:rsidRDefault="00314650">
            <w:pPr>
              <w:spacing w:after="0"/>
              <w:rPr>
                <w:rFonts w:ascii="Arial" w:hAnsi="Arial" w:cs="Arial"/>
                <w:b/>
                <w:bCs/>
              </w:rPr>
            </w:pPr>
            <w:r>
              <w:rPr>
                <w:rFonts w:ascii="Arial" w:hAnsi="Arial" w:cs="Arial"/>
                <w:b/>
                <w:bCs/>
              </w:rPr>
              <w:t xml:space="preserve"> $          66,130 </w:t>
            </w:r>
          </w:p>
        </w:tc>
      </w:tr>
      <w:tr w:rsidR="009D4E2F" w14:paraId="457CA736" w14:textId="77777777">
        <w:trPr>
          <w:trHeight w:val="288"/>
        </w:trPr>
        <w:tc>
          <w:tcPr>
            <w:tcW w:w="5285" w:type="dxa"/>
            <w:noWrap/>
          </w:tcPr>
          <w:p w14:paraId="0788E2FF" w14:textId="77777777" w:rsidR="009D4E2F" w:rsidRDefault="009D4E2F">
            <w:pPr>
              <w:spacing w:after="0"/>
              <w:rPr>
                <w:rFonts w:ascii="Arial" w:hAnsi="Arial" w:cs="Arial"/>
                <w:b/>
                <w:bCs/>
              </w:rPr>
            </w:pPr>
          </w:p>
        </w:tc>
        <w:tc>
          <w:tcPr>
            <w:tcW w:w="765" w:type="dxa"/>
            <w:noWrap/>
          </w:tcPr>
          <w:p w14:paraId="2978F880" w14:textId="77777777" w:rsidR="009D4E2F" w:rsidRDefault="009D4E2F">
            <w:pPr>
              <w:spacing w:after="0"/>
              <w:rPr>
                <w:rFonts w:ascii="Arial" w:hAnsi="Arial" w:cs="Arial"/>
              </w:rPr>
            </w:pPr>
          </w:p>
        </w:tc>
        <w:tc>
          <w:tcPr>
            <w:tcW w:w="1566" w:type="dxa"/>
            <w:noWrap/>
          </w:tcPr>
          <w:p w14:paraId="20E21241" w14:textId="77777777" w:rsidR="009D4E2F" w:rsidRDefault="009D4E2F">
            <w:pPr>
              <w:spacing w:after="0"/>
              <w:rPr>
                <w:rFonts w:ascii="Arial" w:hAnsi="Arial" w:cs="Arial"/>
              </w:rPr>
            </w:pPr>
          </w:p>
        </w:tc>
        <w:tc>
          <w:tcPr>
            <w:tcW w:w="1566" w:type="dxa"/>
            <w:noWrap/>
          </w:tcPr>
          <w:p w14:paraId="1BE31398" w14:textId="77777777" w:rsidR="009D4E2F" w:rsidRDefault="009D4E2F">
            <w:pPr>
              <w:spacing w:after="0"/>
              <w:rPr>
                <w:rFonts w:ascii="Arial" w:hAnsi="Arial" w:cs="Arial"/>
              </w:rPr>
            </w:pPr>
          </w:p>
        </w:tc>
        <w:tc>
          <w:tcPr>
            <w:tcW w:w="1566" w:type="dxa"/>
            <w:noWrap/>
          </w:tcPr>
          <w:p w14:paraId="717368BC" w14:textId="77777777" w:rsidR="009D4E2F" w:rsidRDefault="009D4E2F">
            <w:pPr>
              <w:spacing w:after="0"/>
              <w:rPr>
                <w:rFonts w:ascii="Arial" w:hAnsi="Arial" w:cs="Arial"/>
              </w:rPr>
            </w:pPr>
          </w:p>
        </w:tc>
        <w:tc>
          <w:tcPr>
            <w:tcW w:w="1566" w:type="dxa"/>
            <w:noWrap/>
          </w:tcPr>
          <w:p w14:paraId="7385EF2D" w14:textId="77777777" w:rsidR="009D4E2F" w:rsidRDefault="009D4E2F">
            <w:pPr>
              <w:spacing w:after="0"/>
              <w:rPr>
                <w:rFonts w:ascii="Arial" w:hAnsi="Arial" w:cs="Arial"/>
              </w:rPr>
            </w:pPr>
          </w:p>
        </w:tc>
        <w:tc>
          <w:tcPr>
            <w:tcW w:w="1566" w:type="dxa"/>
            <w:noWrap/>
          </w:tcPr>
          <w:p w14:paraId="74358D5A" w14:textId="77777777" w:rsidR="009D4E2F" w:rsidRDefault="009D4E2F">
            <w:pPr>
              <w:spacing w:after="0"/>
              <w:rPr>
                <w:rFonts w:ascii="Arial" w:hAnsi="Arial" w:cs="Arial"/>
              </w:rPr>
            </w:pPr>
          </w:p>
        </w:tc>
      </w:tr>
      <w:tr w:rsidR="009D4E2F" w14:paraId="3DBDF9C3" w14:textId="77777777">
        <w:trPr>
          <w:trHeight w:val="390"/>
        </w:trPr>
        <w:tc>
          <w:tcPr>
            <w:tcW w:w="13880" w:type="dxa"/>
            <w:gridSpan w:val="7"/>
            <w:noWrap/>
          </w:tcPr>
          <w:p w14:paraId="5A27A3A6" w14:textId="77777777" w:rsidR="009D4E2F" w:rsidRDefault="00314650">
            <w:pPr>
              <w:spacing w:after="0"/>
              <w:rPr>
                <w:rFonts w:ascii="Arial" w:hAnsi="Arial" w:cs="Arial"/>
                <w:b/>
                <w:bCs/>
              </w:rPr>
            </w:pPr>
            <w:r>
              <w:rPr>
                <w:rFonts w:ascii="Arial" w:hAnsi="Arial" w:cs="Arial"/>
                <w:b/>
                <w:bCs/>
              </w:rPr>
              <w:t>6. CASH FLOW RATIOS</w:t>
            </w:r>
          </w:p>
        </w:tc>
      </w:tr>
      <w:tr w:rsidR="009D4E2F" w14:paraId="488EDF72" w14:textId="77777777">
        <w:trPr>
          <w:trHeight w:val="288"/>
        </w:trPr>
        <w:tc>
          <w:tcPr>
            <w:tcW w:w="5285" w:type="dxa"/>
            <w:noWrap/>
          </w:tcPr>
          <w:p w14:paraId="3C237B3E" w14:textId="77777777" w:rsidR="009D4E2F" w:rsidRDefault="00314650">
            <w:pPr>
              <w:spacing w:after="0"/>
              <w:rPr>
                <w:rFonts w:ascii="Arial" w:hAnsi="Arial" w:cs="Arial"/>
                <w:b/>
                <w:bCs/>
              </w:rPr>
            </w:pPr>
            <w:r>
              <w:rPr>
                <w:rFonts w:ascii="Arial" w:hAnsi="Arial" w:cs="Arial"/>
                <w:b/>
                <w:bCs/>
              </w:rPr>
              <w:t>Particulars</w:t>
            </w:r>
          </w:p>
        </w:tc>
        <w:tc>
          <w:tcPr>
            <w:tcW w:w="765" w:type="dxa"/>
            <w:noWrap/>
          </w:tcPr>
          <w:p w14:paraId="383BC55A" w14:textId="77777777" w:rsidR="009D4E2F" w:rsidRDefault="00314650">
            <w:pPr>
              <w:spacing w:after="0"/>
              <w:rPr>
                <w:rFonts w:ascii="Arial" w:hAnsi="Arial" w:cs="Arial"/>
                <w:b/>
                <w:bCs/>
              </w:rPr>
            </w:pPr>
            <w:r>
              <w:rPr>
                <w:rFonts w:ascii="Arial" w:hAnsi="Arial" w:cs="Arial"/>
                <w:b/>
                <w:bCs/>
              </w:rPr>
              <w:t>Details</w:t>
            </w:r>
          </w:p>
        </w:tc>
        <w:tc>
          <w:tcPr>
            <w:tcW w:w="1566" w:type="dxa"/>
            <w:noWrap/>
          </w:tcPr>
          <w:p w14:paraId="680EE0A4" w14:textId="77777777" w:rsidR="009D4E2F" w:rsidRDefault="00314650">
            <w:pPr>
              <w:spacing w:after="0"/>
              <w:rPr>
                <w:rFonts w:ascii="Arial" w:hAnsi="Arial" w:cs="Arial"/>
                <w:b/>
                <w:bCs/>
              </w:rPr>
            </w:pPr>
            <w:r>
              <w:rPr>
                <w:rFonts w:ascii="Arial" w:hAnsi="Arial" w:cs="Arial"/>
                <w:b/>
                <w:bCs/>
              </w:rPr>
              <w:t>2021</w:t>
            </w:r>
          </w:p>
        </w:tc>
        <w:tc>
          <w:tcPr>
            <w:tcW w:w="1566" w:type="dxa"/>
            <w:noWrap/>
          </w:tcPr>
          <w:p w14:paraId="1DCCD057" w14:textId="77777777" w:rsidR="009D4E2F" w:rsidRDefault="00314650">
            <w:pPr>
              <w:spacing w:after="0"/>
              <w:rPr>
                <w:rFonts w:ascii="Arial" w:hAnsi="Arial" w:cs="Arial"/>
                <w:b/>
                <w:bCs/>
              </w:rPr>
            </w:pPr>
            <w:r>
              <w:rPr>
                <w:rFonts w:ascii="Arial" w:hAnsi="Arial" w:cs="Arial"/>
                <w:b/>
                <w:bCs/>
              </w:rPr>
              <w:t>2022</w:t>
            </w:r>
          </w:p>
        </w:tc>
        <w:tc>
          <w:tcPr>
            <w:tcW w:w="1566" w:type="dxa"/>
            <w:noWrap/>
          </w:tcPr>
          <w:p w14:paraId="55616E80" w14:textId="77777777" w:rsidR="009D4E2F" w:rsidRDefault="00314650">
            <w:pPr>
              <w:spacing w:after="0"/>
              <w:rPr>
                <w:rFonts w:ascii="Arial" w:hAnsi="Arial" w:cs="Arial"/>
                <w:b/>
                <w:bCs/>
              </w:rPr>
            </w:pPr>
            <w:r>
              <w:rPr>
                <w:rFonts w:ascii="Arial" w:hAnsi="Arial" w:cs="Arial"/>
                <w:b/>
                <w:bCs/>
              </w:rPr>
              <w:t>2023</w:t>
            </w:r>
          </w:p>
        </w:tc>
        <w:tc>
          <w:tcPr>
            <w:tcW w:w="1566" w:type="dxa"/>
            <w:noWrap/>
          </w:tcPr>
          <w:p w14:paraId="15D8F6A0" w14:textId="77777777" w:rsidR="009D4E2F" w:rsidRDefault="00314650">
            <w:pPr>
              <w:spacing w:after="0"/>
              <w:rPr>
                <w:rFonts w:ascii="Arial" w:hAnsi="Arial" w:cs="Arial"/>
                <w:b/>
                <w:bCs/>
              </w:rPr>
            </w:pPr>
            <w:r>
              <w:rPr>
                <w:rFonts w:ascii="Arial" w:hAnsi="Arial" w:cs="Arial"/>
                <w:b/>
                <w:bCs/>
              </w:rPr>
              <w:t>2024</w:t>
            </w:r>
          </w:p>
        </w:tc>
        <w:tc>
          <w:tcPr>
            <w:tcW w:w="1566" w:type="dxa"/>
            <w:noWrap/>
          </w:tcPr>
          <w:p w14:paraId="3F7A0E99" w14:textId="77777777" w:rsidR="009D4E2F" w:rsidRDefault="00314650">
            <w:pPr>
              <w:spacing w:after="0"/>
              <w:rPr>
                <w:rFonts w:ascii="Arial" w:hAnsi="Arial" w:cs="Arial"/>
                <w:b/>
                <w:bCs/>
              </w:rPr>
            </w:pPr>
            <w:r>
              <w:rPr>
                <w:rFonts w:ascii="Arial" w:hAnsi="Arial" w:cs="Arial"/>
                <w:b/>
                <w:bCs/>
              </w:rPr>
              <w:t>2025</w:t>
            </w:r>
          </w:p>
        </w:tc>
      </w:tr>
      <w:tr w:rsidR="009D4E2F" w14:paraId="3B0F78E4" w14:textId="77777777">
        <w:trPr>
          <w:trHeight w:val="288"/>
        </w:trPr>
        <w:tc>
          <w:tcPr>
            <w:tcW w:w="5285" w:type="dxa"/>
            <w:noWrap/>
          </w:tcPr>
          <w:p w14:paraId="2C1EE66A" w14:textId="77777777" w:rsidR="009D4E2F" w:rsidRDefault="00314650">
            <w:pPr>
              <w:spacing w:after="0"/>
              <w:rPr>
                <w:rFonts w:ascii="Arial" w:hAnsi="Arial" w:cs="Arial"/>
              </w:rPr>
            </w:pPr>
            <w:r>
              <w:rPr>
                <w:rFonts w:ascii="Arial" w:hAnsi="Arial" w:cs="Arial"/>
              </w:rPr>
              <w:t>Operating Cash Flow (USD M)</w:t>
            </w:r>
          </w:p>
        </w:tc>
        <w:tc>
          <w:tcPr>
            <w:tcW w:w="765" w:type="dxa"/>
            <w:noWrap/>
          </w:tcPr>
          <w:p w14:paraId="387A4DB8" w14:textId="77777777" w:rsidR="009D4E2F" w:rsidRDefault="00314650">
            <w:pPr>
              <w:spacing w:after="0"/>
              <w:rPr>
                <w:rFonts w:ascii="Arial" w:hAnsi="Arial" w:cs="Arial"/>
                <w:b/>
                <w:bCs/>
              </w:rPr>
            </w:pPr>
            <w:r>
              <w:rPr>
                <w:rFonts w:ascii="Arial" w:hAnsi="Arial" w:cs="Arial"/>
                <w:b/>
                <w:bCs/>
              </w:rPr>
              <w:t>A</w:t>
            </w:r>
          </w:p>
        </w:tc>
        <w:tc>
          <w:tcPr>
            <w:tcW w:w="1566" w:type="dxa"/>
            <w:noWrap/>
          </w:tcPr>
          <w:p w14:paraId="4704642F" w14:textId="77777777" w:rsidR="009D4E2F" w:rsidRDefault="00314650">
            <w:pPr>
              <w:spacing w:after="0"/>
              <w:rPr>
                <w:rFonts w:ascii="Arial" w:hAnsi="Arial" w:cs="Arial"/>
              </w:rPr>
            </w:pPr>
            <w:r>
              <w:rPr>
                <w:rFonts w:ascii="Arial" w:hAnsi="Arial" w:cs="Arial"/>
              </w:rPr>
              <w:t xml:space="preserve"> $                89 </w:t>
            </w:r>
          </w:p>
        </w:tc>
        <w:tc>
          <w:tcPr>
            <w:tcW w:w="1566" w:type="dxa"/>
            <w:noWrap/>
          </w:tcPr>
          <w:p w14:paraId="0E843ED6" w14:textId="77777777" w:rsidR="009D4E2F" w:rsidRDefault="00314650">
            <w:pPr>
              <w:spacing w:after="0"/>
              <w:rPr>
                <w:rFonts w:ascii="Arial" w:hAnsi="Arial" w:cs="Arial"/>
              </w:rPr>
            </w:pPr>
            <w:r>
              <w:rPr>
                <w:rFonts w:ascii="Arial" w:hAnsi="Arial" w:cs="Arial"/>
              </w:rPr>
              <w:t xml:space="preserve"> $           1,681 </w:t>
            </w:r>
          </w:p>
        </w:tc>
        <w:tc>
          <w:tcPr>
            <w:tcW w:w="1566" w:type="dxa"/>
            <w:noWrap/>
          </w:tcPr>
          <w:p w14:paraId="026B5078" w14:textId="77777777" w:rsidR="009D4E2F" w:rsidRDefault="00314650">
            <w:pPr>
              <w:spacing w:after="0"/>
              <w:rPr>
                <w:rFonts w:ascii="Arial" w:hAnsi="Arial" w:cs="Arial"/>
              </w:rPr>
            </w:pPr>
            <w:r>
              <w:rPr>
                <w:rFonts w:ascii="Arial" w:hAnsi="Arial" w:cs="Arial"/>
              </w:rPr>
              <w:t xml:space="preserve"> $           1,946 </w:t>
            </w:r>
          </w:p>
        </w:tc>
        <w:tc>
          <w:tcPr>
            <w:tcW w:w="1566" w:type="dxa"/>
            <w:noWrap/>
          </w:tcPr>
          <w:p w14:paraId="69FAABF6" w14:textId="77777777" w:rsidR="009D4E2F" w:rsidRDefault="00314650">
            <w:pPr>
              <w:spacing w:after="0"/>
              <w:rPr>
                <w:rFonts w:ascii="Arial" w:hAnsi="Arial" w:cs="Arial"/>
              </w:rPr>
            </w:pPr>
            <w:r>
              <w:rPr>
                <w:rFonts w:ascii="Arial" w:hAnsi="Arial" w:cs="Arial"/>
              </w:rPr>
              <w:t xml:space="preserve"> $           2,013 </w:t>
            </w:r>
          </w:p>
        </w:tc>
        <w:tc>
          <w:tcPr>
            <w:tcW w:w="1566" w:type="dxa"/>
            <w:noWrap/>
          </w:tcPr>
          <w:p w14:paraId="50A3E831" w14:textId="77777777" w:rsidR="009D4E2F" w:rsidRDefault="00314650">
            <w:pPr>
              <w:spacing w:after="0"/>
              <w:rPr>
                <w:rFonts w:ascii="Arial" w:hAnsi="Arial" w:cs="Arial"/>
              </w:rPr>
            </w:pPr>
            <w:r>
              <w:rPr>
                <w:rFonts w:ascii="Arial" w:hAnsi="Arial" w:cs="Arial"/>
              </w:rPr>
              <w:t xml:space="preserve"> $           2,129 </w:t>
            </w:r>
          </w:p>
        </w:tc>
      </w:tr>
      <w:tr w:rsidR="009D4E2F" w14:paraId="53CBAA96" w14:textId="77777777">
        <w:trPr>
          <w:trHeight w:val="288"/>
        </w:trPr>
        <w:tc>
          <w:tcPr>
            <w:tcW w:w="5285" w:type="dxa"/>
            <w:noWrap/>
          </w:tcPr>
          <w:p w14:paraId="5B9D9B8B" w14:textId="77777777" w:rsidR="009D4E2F" w:rsidRDefault="00314650">
            <w:pPr>
              <w:spacing w:after="0"/>
              <w:rPr>
                <w:rFonts w:ascii="Arial" w:hAnsi="Arial" w:cs="Arial"/>
              </w:rPr>
            </w:pPr>
            <w:r>
              <w:rPr>
                <w:rFonts w:ascii="Arial" w:hAnsi="Arial" w:cs="Arial"/>
              </w:rPr>
              <w:t>Revenue (USD M)</w:t>
            </w:r>
          </w:p>
        </w:tc>
        <w:tc>
          <w:tcPr>
            <w:tcW w:w="765" w:type="dxa"/>
            <w:noWrap/>
          </w:tcPr>
          <w:p w14:paraId="4864FFBC" w14:textId="77777777" w:rsidR="009D4E2F" w:rsidRDefault="00314650">
            <w:pPr>
              <w:spacing w:after="0"/>
              <w:rPr>
                <w:rFonts w:ascii="Arial" w:hAnsi="Arial" w:cs="Arial"/>
                <w:b/>
                <w:bCs/>
              </w:rPr>
            </w:pPr>
            <w:r>
              <w:rPr>
                <w:rFonts w:ascii="Arial" w:hAnsi="Arial" w:cs="Arial"/>
                <w:b/>
                <w:bCs/>
              </w:rPr>
              <w:t>B</w:t>
            </w:r>
          </w:p>
        </w:tc>
        <w:tc>
          <w:tcPr>
            <w:tcW w:w="1566" w:type="dxa"/>
            <w:noWrap/>
          </w:tcPr>
          <w:p w14:paraId="65B399C6" w14:textId="77777777" w:rsidR="009D4E2F" w:rsidRDefault="00314650">
            <w:pPr>
              <w:spacing w:after="0"/>
              <w:rPr>
                <w:rFonts w:ascii="Arial" w:hAnsi="Arial" w:cs="Arial"/>
              </w:rPr>
            </w:pPr>
            <w:r>
              <w:rPr>
                <w:rFonts w:ascii="Arial" w:hAnsi="Arial" w:cs="Arial"/>
              </w:rPr>
              <w:t xml:space="preserve"> $           5,788 </w:t>
            </w:r>
          </w:p>
        </w:tc>
        <w:tc>
          <w:tcPr>
            <w:tcW w:w="1566" w:type="dxa"/>
            <w:noWrap/>
          </w:tcPr>
          <w:p w14:paraId="361F2FE6" w14:textId="77777777" w:rsidR="009D4E2F" w:rsidRDefault="00314650">
            <w:pPr>
              <w:spacing w:after="0"/>
              <w:rPr>
                <w:rFonts w:ascii="Arial" w:hAnsi="Arial" w:cs="Arial"/>
              </w:rPr>
            </w:pPr>
            <w:r>
              <w:rPr>
                <w:rFonts w:ascii="Arial" w:hAnsi="Arial" w:cs="Arial"/>
              </w:rPr>
              <w:t xml:space="preserve"> $           8,773 </w:t>
            </w:r>
          </w:p>
        </w:tc>
        <w:tc>
          <w:tcPr>
            <w:tcW w:w="1566" w:type="dxa"/>
            <w:noWrap/>
          </w:tcPr>
          <w:p w14:paraId="657D64C4" w14:textId="77777777" w:rsidR="009D4E2F" w:rsidRDefault="00314650">
            <w:pPr>
              <w:spacing w:after="0"/>
              <w:rPr>
                <w:rFonts w:ascii="Arial" w:hAnsi="Arial" w:cs="Arial"/>
              </w:rPr>
            </w:pPr>
            <w:r>
              <w:rPr>
                <w:rFonts w:ascii="Arial" w:hAnsi="Arial" w:cs="Arial"/>
              </w:rPr>
              <w:t xml:space="preserve"> $           8,235 </w:t>
            </w:r>
          </w:p>
        </w:tc>
        <w:tc>
          <w:tcPr>
            <w:tcW w:w="1566" w:type="dxa"/>
            <w:noWrap/>
          </w:tcPr>
          <w:p w14:paraId="168FA7B8" w14:textId="77777777" w:rsidR="009D4E2F" w:rsidRDefault="00314650">
            <w:pPr>
              <w:spacing w:after="0"/>
              <w:rPr>
                <w:rFonts w:ascii="Arial" w:hAnsi="Arial" w:cs="Arial"/>
              </w:rPr>
            </w:pPr>
            <w:r>
              <w:rPr>
                <w:rFonts w:ascii="Arial" w:hAnsi="Arial" w:cs="Arial"/>
              </w:rPr>
              <w:t xml:space="preserve"> $          11,174 </w:t>
            </w:r>
          </w:p>
        </w:tc>
        <w:tc>
          <w:tcPr>
            <w:tcW w:w="1566" w:type="dxa"/>
            <w:noWrap/>
          </w:tcPr>
          <w:p w14:paraId="202202A1" w14:textId="77777777" w:rsidR="009D4E2F" w:rsidRDefault="00314650">
            <w:pPr>
              <w:spacing w:after="0"/>
              <w:rPr>
                <w:rFonts w:ascii="Arial" w:hAnsi="Arial" w:cs="Arial"/>
              </w:rPr>
            </w:pPr>
            <w:r>
              <w:rPr>
                <w:rFonts w:ascii="Arial" w:hAnsi="Arial" w:cs="Arial"/>
              </w:rPr>
              <w:t xml:space="preserve"> $          12,039 </w:t>
            </w:r>
          </w:p>
        </w:tc>
      </w:tr>
      <w:tr w:rsidR="009D4E2F" w14:paraId="3DC6580B" w14:textId="77777777">
        <w:trPr>
          <w:trHeight w:val="288"/>
        </w:trPr>
        <w:tc>
          <w:tcPr>
            <w:tcW w:w="5285" w:type="dxa"/>
            <w:noWrap/>
          </w:tcPr>
          <w:p w14:paraId="475C1D00" w14:textId="77777777" w:rsidR="009D4E2F" w:rsidRDefault="00314650">
            <w:pPr>
              <w:spacing w:after="0"/>
              <w:rPr>
                <w:rFonts w:ascii="Arial" w:hAnsi="Arial" w:cs="Arial"/>
              </w:rPr>
            </w:pPr>
            <w:r>
              <w:rPr>
                <w:rFonts w:ascii="Arial" w:hAnsi="Arial" w:cs="Arial"/>
              </w:rPr>
              <w:lastRenderedPageBreak/>
              <w:t>Net Income (USD M)</w:t>
            </w:r>
          </w:p>
        </w:tc>
        <w:tc>
          <w:tcPr>
            <w:tcW w:w="765" w:type="dxa"/>
            <w:noWrap/>
          </w:tcPr>
          <w:p w14:paraId="33D1610B" w14:textId="77777777" w:rsidR="009D4E2F" w:rsidRDefault="00314650">
            <w:pPr>
              <w:spacing w:after="0"/>
              <w:rPr>
                <w:rFonts w:ascii="Arial" w:hAnsi="Arial" w:cs="Arial"/>
                <w:b/>
                <w:bCs/>
              </w:rPr>
            </w:pPr>
            <w:r>
              <w:rPr>
                <w:rFonts w:ascii="Arial" w:hAnsi="Arial" w:cs="Arial"/>
                <w:b/>
                <w:bCs/>
              </w:rPr>
              <w:t>C</w:t>
            </w:r>
          </w:p>
        </w:tc>
        <w:tc>
          <w:tcPr>
            <w:tcW w:w="1566" w:type="dxa"/>
            <w:noWrap/>
          </w:tcPr>
          <w:p w14:paraId="0284A6E3" w14:textId="77777777" w:rsidR="009D4E2F" w:rsidRDefault="00314650">
            <w:pPr>
              <w:spacing w:after="0"/>
              <w:rPr>
                <w:rFonts w:ascii="Arial" w:hAnsi="Arial" w:cs="Arial"/>
              </w:rPr>
            </w:pPr>
            <w:r>
              <w:rPr>
                <w:rFonts w:ascii="Arial" w:hAnsi="Arial" w:cs="Arial"/>
              </w:rPr>
              <w:t xml:space="preserve"> $              407 </w:t>
            </w:r>
          </w:p>
        </w:tc>
        <w:tc>
          <w:tcPr>
            <w:tcW w:w="1566" w:type="dxa"/>
            <w:noWrap/>
          </w:tcPr>
          <w:p w14:paraId="3602F54F" w14:textId="77777777" w:rsidR="009D4E2F" w:rsidRDefault="00314650">
            <w:pPr>
              <w:spacing w:after="0"/>
              <w:rPr>
                <w:rFonts w:ascii="Arial" w:hAnsi="Arial" w:cs="Arial"/>
              </w:rPr>
            </w:pPr>
            <w:r>
              <w:rPr>
                <w:rFonts w:ascii="Arial" w:hAnsi="Arial" w:cs="Arial"/>
              </w:rPr>
              <w:t xml:space="preserve"> $           1,257 </w:t>
            </w:r>
          </w:p>
        </w:tc>
        <w:tc>
          <w:tcPr>
            <w:tcW w:w="1566" w:type="dxa"/>
            <w:noWrap/>
          </w:tcPr>
          <w:p w14:paraId="2A899CF0" w14:textId="77777777" w:rsidR="009D4E2F" w:rsidRDefault="00314650">
            <w:pPr>
              <w:spacing w:after="0"/>
              <w:rPr>
                <w:rFonts w:ascii="Arial" w:hAnsi="Arial" w:cs="Arial"/>
              </w:rPr>
            </w:pPr>
            <w:r>
              <w:rPr>
                <w:rFonts w:ascii="Arial" w:hAnsi="Arial" w:cs="Arial"/>
              </w:rPr>
              <w:t xml:space="preserve"> $           1,151 </w:t>
            </w:r>
          </w:p>
        </w:tc>
        <w:tc>
          <w:tcPr>
            <w:tcW w:w="1566" w:type="dxa"/>
            <w:noWrap/>
          </w:tcPr>
          <w:p w14:paraId="7C56675E" w14:textId="77777777" w:rsidR="009D4E2F" w:rsidRDefault="00314650">
            <w:pPr>
              <w:spacing w:after="0"/>
              <w:rPr>
                <w:rFonts w:ascii="Arial" w:hAnsi="Arial" w:cs="Arial"/>
              </w:rPr>
            </w:pPr>
            <w:r>
              <w:rPr>
                <w:rFonts w:ascii="Arial" w:hAnsi="Arial" w:cs="Arial"/>
              </w:rPr>
              <w:t xml:space="preserve"> $           1,539 </w:t>
            </w:r>
          </w:p>
        </w:tc>
        <w:tc>
          <w:tcPr>
            <w:tcW w:w="1566" w:type="dxa"/>
            <w:noWrap/>
          </w:tcPr>
          <w:p w14:paraId="19C88C98" w14:textId="77777777" w:rsidR="009D4E2F" w:rsidRDefault="00314650">
            <w:pPr>
              <w:spacing w:after="0"/>
              <w:rPr>
                <w:rFonts w:ascii="Arial" w:hAnsi="Arial" w:cs="Arial"/>
              </w:rPr>
            </w:pPr>
            <w:r>
              <w:rPr>
                <w:rFonts w:ascii="Arial" w:hAnsi="Arial" w:cs="Arial"/>
              </w:rPr>
              <w:t xml:space="preserve"> $           1,461 </w:t>
            </w:r>
          </w:p>
        </w:tc>
      </w:tr>
      <w:tr w:rsidR="009D4E2F" w14:paraId="51BDE5A3" w14:textId="77777777">
        <w:trPr>
          <w:trHeight w:val="288"/>
        </w:trPr>
        <w:tc>
          <w:tcPr>
            <w:tcW w:w="5285" w:type="dxa"/>
            <w:noWrap/>
          </w:tcPr>
          <w:p w14:paraId="7D2C7A01" w14:textId="77777777" w:rsidR="009D4E2F" w:rsidRDefault="00314650">
            <w:pPr>
              <w:spacing w:after="0"/>
              <w:rPr>
                <w:rFonts w:ascii="Arial" w:hAnsi="Arial" w:cs="Arial"/>
              </w:rPr>
            </w:pPr>
            <w:r>
              <w:rPr>
                <w:rFonts w:ascii="Arial" w:hAnsi="Arial" w:cs="Arial"/>
              </w:rPr>
              <w:t>Capital Expenditures (USD M)</w:t>
            </w:r>
          </w:p>
        </w:tc>
        <w:tc>
          <w:tcPr>
            <w:tcW w:w="765" w:type="dxa"/>
            <w:noWrap/>
          </w:tcPr>
          <w:p w14:paraId="2E517AAA" w14:textId="77777777" w:rsidR="009D4E2F" w:rsidRDefault="00314650">
            <w:pPr>
              <w:spacing w:after="0"/>
              <w:rPr>
                <w:rFonts w:ascii="Arial" w:hAnsi="Arial" w:cs="Arial"/>
                <w:b/>
                <w:bCs/>
              </w:rPr>
            </w:pPr>
            <w:r>
              <w:rPr>
                <w:rFonts w:ascii="Arial" w:hAnsi="Arial" w:cs="Arial"/>
                <w:b/>
                <w:bCs/>
              </w:rPr>
              <w:t>D</w:t>
            </w:r>
          </w:p>
        </w:tc>
        <w:tc>
          <w:tcPr>
            <w:tcW w:w="1566" w:type="dxa"/>
            <w:noWrap/>
          </w:tcPr>
          <w:p w14:paraId="06DBA0CE" w14:textId="77777777" w:rsidR="009D4E2F" w:rsidRDefault="00314650">
            <w:pPr>
              <w:spacing w:after="0"/>
              <w:rPr>
                <w:rFonts w:ascii="Arial" w:hAnsi="Arial" w:cs="Arial"/>
              </w:rPr>
            </w:pPr>
            <w:r>
              <w:rPr>
                <w:rFonts w:ascii="Arial" w:hAnsi="Arial" w:cs="Arial"/>
              </w:rPr>
              <w:t xml:space="preserve"> $                35 </w:t>
            </w:r>
          </w:p>
        </w:tc>
        <w:tc>
          <w:tcPr>
            <w:tcW w:w="1566" w:type="dxa"/>
            <w:noWrap/>
          </w:tcPr>
          <w:p w14:paraId="32B4B888" w14:textId="77777777" w:rsidR="009D4E2F" w:rsidRDefault="00314650">
            <w:pPr>
              <w:spacing w:after="0"/>
              <w:rPr>
                <w:rFonts w:ascii="Arial" w:hAnsi="Arial" w:cs="Arial"/>
              </w:rPr>
            </w:pPr>
            <w:r>
              <w:rPr>
                <w:rFonts w:ascii="Arial" w:hAnsi="Arial" w:cs="Arial"/>
              </w:rPr>
              <w:t xml:space="preserve"> $                39 </w:t>
            </w:r>
          </w:p>
        </w:tc>
        <w:tc>
          <w:tcPr>
            <w:tcW w:w="1566" w:type="dxa"/>
            <w:noWrap/>
          </w:tcPr>
          <w:p w14:paraId="5A180E00" w14:textId="77777777" w:rsidR="009D4E2F" w:rsidRDefault="00314650">
            <w:pPr>
              <w:spacing w:after="0"/>
              <w:rPr>
                <w:rFonts w:ascii="Arial" w:hAnsi="Arial" w:cs="Arial"/>
              </w:rPr>
            </w:pPr>
            <w:r>
              <w:rPr>
                <w:rFonts w:ascii="Arial" w:hAnsi="Arial" w:cs="Arial"/>
              </w:rPr>
              <w:t xml:space="preserve"> $              151 </w:t>
            </w:r>
          </w:p>
        </w:tc>
        <w:tc>
          <w:tcPr>
            <w:tcW w:w="1566" w:type="dxa"/>
            <w:noWrap/>
          </w:tcPr>
          <w:p w14:paraId="67DDF29C" w14:textId="77777777" w:rsidR="009D4E2F" w:rsidRDefault="00314650">
            <w:pPr>
              <w:spacing w:after="0"/>
              <w:rPr>
                <w:rFonts w:ascii="Arial" w:hAnsi="Arial" w:cs="Arial"/>
              </w:rPr>
            </w:pPr>
            <w:r>
              <w:rPr>
                <w:rFonts w:ascii="Arial" w:hAnsi="Arial" w:cs="Arial"/>
              </w:rPr>
              <w:t xml:space="preserve"> $                96 </w:t>
            </w:r>
          </w:p>
        </w:tc>
        <w:tc>
          <w:tcPr>
            <w:tcW w:w="1566" w:type="dxa"/>
            <w:noWrap/>
          </w:tcPr>
          <w:p w14:paraId="48B137FE" w14:textId="77777777" w:rsidR="009D4E2F" w:rsidRDefault="00314650">
            <w:pPr>
              <w:spacing w:after="0"/>
              <w:rPr>
                <w:rFonts w:ascii="Arial" w:hAnsi="Arial" w:cs="Arial"/>
              </w:rPr>
            </w:pPr>
            <w:r>
              <w:rPr>
                <w:rFonts w:ascii="Arial" w:hAnsi="Arial" w:cs="Arial"/>
              </w:rPr>
              <w:t xml:space="preserve"> $                81 </w:t>
            </w:r>
          </w:p>
        </w:tc>
      </w:tr>
      <w:tr w:rsidR="009D4E2F" w14:paraId="64679C52" w14:textId="77777777">
        <w:trPr>
          <w:trHeight w:val="288"/>
        </w:trPr>
        <w:tc>
          <w:tcPr>
            <w:tcW w:w="5285" w:type="dxa"/>
            <w:noWrap/>
          </w:tcPr>
          <w:p w14:paraId="7D1F7A4C" w14:textId="77777777" w:rsidR="009D4E2F" w:rsidRDefault="00314650">
            <w:pPr>
              <w:spacing w:after="0"/>
              <w:rPr>
                <w:rFonts w:ascii="Arial" w:hAnsi="Arial" w:cs="Arial"/>
              </w:rPr>
            </w:pPr>
            <w:r>
              <w:rPr>
                <w:rFonts w:ascii="Arial" w:hAnsi="Arial" w:cs="Arial"/>
              </w:rPr>
              <w:t>Current Liabilities (USD M)</w:t>
            </w:r>
          </w:p>
        </w:tc>
        <w:tc>
          <w:tcPr>
            <w:tcW w:w="765" w:type="dxa"/>
            <w:noWrap/>
          </w:tcPr>
          <w:p w14:paraId="3BA3BEE1" w14:textId="77777777" w:rsidR="009D4E2F" w:rsidRDefault="00314650">
            <w:pPr>
              <w:spacing w:after="0"/>
              <w:rPr>
                <w:rFonts w:ascii="Arial" w:hAnsi="Arial" w:cs="Arial"/>
                <w:b/>
                <w:bCs/>
              </w:rPr>
            </w:pPr>
            <w:r>
              <w:rPr>
                <w:rFonts w:ascii="Arial" w:hAnsi="Arial" w:cs="Arial"/>
                <w:b/>
                <w:bCs/>
              </w:rPr>
              <w:t>E</w:t>
            </w:r>
          </w:p>
        </w:tc>
        <w:tc>
          <w:tcPr>
            <w:tcW w:w="1566" w:type="dxa"/>
            <w:noWrap/>
          </w:tcPr>
          <w:p w14:paraId="13DE8E97" w14:textId="77777777" w:rsidR="009D4E2F" w:rsidRDefault="00314650">
            <w:pPr>
              <w:spacing w:after="0"/>
              <w:rPr>
                <w:rFonts w:ascii="Arial" w:hAnsi="Arial" w:cs="Arial"/>
              </w:rPr>
            </w:pPr>
            <w:r>
              <w:rPr>
                <w:rFonts w:ascii="Arial" w:hAnsi="Arial" w:cs="Arial"/>
              </w:rPr>
              <w:t xml:space="preserve"> $           3,019 </w:t>
            </w:r>
          </w:p>
        </w:tc>
        <w:tc>
          <w:tcPr>
            <w:tcW w:w="1566" w:type="dxa"/>
            <w:noWrap/>
          </w:tcPr>
          <w:p w14:paraId="5C10E9F5" w14:textId="77777777" w:rsidR="009D4E2F" w:rsidRDefault="00314650">
            <w:pPr>
              <w:spacing w:after="0"/>
              <w:rPr>
                <w:rFonts w:ascii="Arial" w:hAnsi="Arial" w:cs="Arial"/>
              </w:rPr>
            </w:pPr>
            <w:r>
              <w:rPr>
                <w:rFonts w:ascii="Arial" w:hAnsi="Arial" w:cs="Arial"/>
              </w:rPr>
              <w:t xml:space="preserve"> $           3,372 </w:t>
            </w:r>
          </w:p>
        </w:tc>
        <w:tc>
          <w:tcPr>
            <w:tcW w:w="1566" w:type="dxa"/>
            <w:noWrap/>
          </w:tcPr>
          <w:p w14:paraId="0FEC3133" w14:textId="77777777" w:rsidR="009D4E2F" w:rsidRDefault="00314650">
            <w:pPr>
              <w:spacing w:after="0"/>
              <w:rPr>
                <w:rFonts w:ascii="Arial" w:hAnsi="Arial" w:cs="Arial"/>
              </w:rPr>
            </w:pPr>
            <w:r>
              <w:rPr>
                <w:rFonts w:ascii="Arial" w:hAnsi="Arial" w:cs="Arial"/>
              </w:rPr>
              <w:t xml:space="preserve"> $           3,722 </w:t>
            </w:r>
          </w:p>
        </w:tc>
        <w:tc>
          <w:tcPr>
            <w:tcW w:w="1566" w:type="dxa"/>
            <w:noWrap/>
          </w:tcPr>
          <w:p w14:paraId="73283928" w14:textId="77777777" w:rsidR="009D4E2F" w:rsidRDefault="00314650">
            <w:pPr>
              <w:spacing w:after="0"/>
              <w:rPr>
                <w:rFonts w:ascii="Arial" w:hAnsi="Arial" w:cs="Arial"/>
              </w:rPr>
            </w:pPr>
            <w:r>
              <w:rPr>
                <w:rFonts w:ascii="Arial" w:hAnsi="Arial" w:cs="Arial"/>
              </w:rPr>
              <w:t xml:space="preserve"> $           4,700 </w:t>
            </w:r>
          </w:p>
        </w:tc>
        <w:tc>
          <w:tcPr>
            <w:tcW w:w="1566" w:type="dxa"/>
            <w:noWrap/>
          </w:tcPr>
          <w:p w14:paraId="6925A63F" w14:textId="77777777" w:rsidR="009D4E2F" w:rsidRDefault="00314650">
            <w:pPr>
              <w:spacing w:after="0"/>
              <w:rPr>
                <w:rFonts w:ascii="Arial" w:hAnsi="Arial" w:cs="Arial"/>
              </w:rPr>
            </w:pPr>
            <w:r>
              <w:rPr>
                <w:rFonts w:ascii="Arial" w:hAnsi="Arial" w:cs="Arial"/>
              </w:rPr>
              <w:t xml:space="preserve"> $           4,508 </w:t>
            </w:r>
          </w:p>
        </w:tc>
      </w:tr>
      <w:tr w:rsidR="009D4E2F" w14:paraId="748FDA57" w14:textId="77777777">
        <w:trPr>
          <w:trHeight w:val="288"/>
        </w:trPr>
        <w:tc>
          <w:tcPr>
            <w:tcW w:w="5285" w:type="dxa"/>
            <w:noWrap/>
          </w:tcPr>
          <w:p w14:paraId="75E4E308" w14:textId="77777777" w:rsidR="009D4E2F" w:rsidRDefault="00314650">
            <w:pPr>
              <w:spacing w:after="0"/>
              <w:rPr>
                <w:rFonts w:ascii="Arial" w:hAnsi="Arial" w:cs="Arial"/>
                <w:b/>
                <w:bCs/>
              </w:rPr>
            </w:pPr>
            <w:r>
              <w:rPr>
                <w:rFonts w:ascii="Arial" w:hAnsi="Arial" w:cs="Arial"/>
                <w:b/>
                <w:bCs/>
              </w:rPr>
              <w:t>Operating CF Margin (A/B)</w:t>
            </w:r>
          </w:p>
        </w:tc>
        <w:tc>
          <w:tcPr>
            <w:tcW w:w="765" w:type="dxa"/>
            <w:noWrap/>
          </w:tcPr>
          <w:p w14:paraId="68E6A3AA" w14:textId="77777777" w:rsidR="009D4E2F" w:rsidRDefault="00314650">
            <w:pPr>
              <w:spacing w:after="0"/>
              <w:rPr>
                <w:rFonts w:ascii="Arial" w:hAnsi="Arial" w:cs="Arial"/>
              </w:rPr>
            </w:pPr>
            <w:r>
              <w:rPr>
                <w:rFonts w:ascii="Arial" w:hAnsi="Arial" w:cs="Arial"/>
              </w:rPr>
              <w:t> </w:t>
            </w:r>
          </w:p>
        </w:tc>
        <w:tc>
          <w:tcPr>
            <w:tcW w:w="1566" w:type="dxa"/>
            <w:noWrap/>
          </w:tcPr>
          <w:p w14:paraId="7321910A" w14:textId="77777777" w:rsidR="009D4E2F" w:rsidRDefault="00314650">
            <w:pPr>
              <w:spacing w:after="0"/>
              <w:rPr>
                <w:rFonts w:ascii="Arial" w:hAnsi="Arial" w:cs="Arial"/>
                <w:b/>
                <w:bCs/>
              </w:rPr>
            </w:pPr>
            <w:r>
              <w:rPr>
                <w:rFonts w:ascii="Arial" w:hAnsi="Arial" w:cs="Arial"/>
                <w:b/>
                <w:bCs/>
              </w:rPr>
              <w:t>1.54%</w:t>
            </w:r>
          </w:p>
        </w:tc>
        <w:tc>
          <w:tcPr>
            <w:tcW w:w="1566" w:type="dxa"/>
            <w:noWrap/>
          </w:tcPr>
          <w:p w14:paraId="69C61621" w14:textId="77777777" w:rsidR="009D4E2F" w:rsidRDefault="00314650">
            <w:pPr>
              <w:spacing w:after="0"/>
              <w:rPr>
                <w:rFonts w:ascii="Arial" w:hAnsi="Arial" w:cs="Arial"/>
                <w:b/>
                <w:bCs/>
              </w:rPr>
            </w:pPr>
            <w:r>
              <w:rPr>
                <w:rFonts w:ascii="Arial" w:hAnsi="Arial" w:cs="Arial"/>
                <w:b/>
                <w:bCs/>
              </w:rPr>
              <w:t>19.16%</w:t>
            </w:r>
          </w:p>
        </w:tc>
        <w:tc>
          <w:tcPr>
            <w:tcW w:w="1566" w:type="dxa"/>
            <w:noWrap/>
          </w:tcPr>
          <w:p w14:paraId="6F4BE699" w14:textId="77777777" w:rsidR="009D4E2F" w:rsidRDefault="00314650">
            <w:pPr>
              <w:spacing w:after="0"/>
              <w:rPr>
                <w:rFonts w:ascii="Arial" w:hAnsi="Arial" w:cs="Arial"/>
                <w:b/>
                <w:bCs/>
              </w:rPr>
            </w:pPr>
            <w:r>
              <w:rPr>
                <w:rFonts w:ascii="Arial" w:hAnsi="Arial" w:cs="Arial"/>
                <w:b/>
                <w:bCs/>
              </w:rPr>
              <w:t>23.63%</w:t>
            </w:r>
          </w:p>
        </w:tc>
        <w:tc>
          <w:tcPr>
            <w:tcW w:w="1566" w:type="dxa"/>
            <w:noWrap/>
          </w:tcPr>
          <w:p w14:paraId="4DDA6A07" w14:textId="77777777" w:rsidR="009D4E2F" w:rsidRDefault="00314650">
            <w:pPr>
              <w:spacing w:after="0"/>
              <w:rPr>
                <w:rFonts w:ascii="Arial" w:hAnsi="Arial" w:cs="Arial"/>
                <w:b/>
                <w:bCs/>
              </w:rPr>
            </w:pPr>
            <w:r>
              <w:rPr>
                <w:rFonts w:ascii="Arial" w:hAnsi="Arial" w:cs="Arial"/>
                <w:b/>
                <w:bCs/>
              </w:rPr>
              <w:t>18.02%</w:t>
            </w:r>
          </w:p>
        </w:tc>
        <w:tc>
          <w:tcPr>
            <w:tcW w:w="1566" w:type="dxa"/>
            <w:noWrap/>
          </w:tcPr>
          <w:p w14:paraId="4F225E7E" w14:textId="77777777" w:rsidR="009D4E2F" w:rsidRDefault="00314650">
            <w:pPr>
              <w:spacing w:after="0"/>
              <w:rPr>
                <w:rFonts w:ascii="Arial" w:hAnsi="Arial" w:cs="Arial"/>
                <w:b/>
                <w:bCs/>
              </w:rPr>
            </w:pPr>
            <w:r>
              <w:rPr>
                <w:rFonts w:ascii="Arial" w:hAnsi="Arial" w:cs="Arial"/>
                <w:b/>
                <w:bCs/>
              </w:rPr>
              <w:t>17.68%</w:t>
            </w:r>
          </w:p>
        </w:tc>
      </w:tr>
      <w:tr w:rsidR="009D4E2F" w14:paraId="555ACDED" w14:textId="77777777">
        <w:trPr>
          <w:trHeight w:val="288"/>
        </w:trPr>
        <w:tc>
          <w:tcPr>
            <w:tcW w:w="5285" w:type="dxa"/>
            <w:noWrap/>
          </w:tcPr>
          <w:p w14:paraId="4DB84240" w14:textId="77777777" w:rsidR="009D4E2F" w:rsidRDefault="00314650">
            <w:pPr>
              <w:spacing w:after="0"/>
              <w:rPr>
                <w:rFonts w:ascii="Arial" w:hAnsi="Arial" w:cs="Arial"/>
                <w:b/>
                <w:bCs/>
              </w:rPr>
            </w:pPr>
            <w:r>
              <w:rPr>
                <w:rFonts w:ascii="Arial" w:hAnsi="Arial" w:cs="Arial"/>
                <w:b/>
                <w:bCs/>
              </w:rPr>
              <w:t>Operating CF / Net Income (A/C)</w:t>
            </w:r>
          </w:p>
        </w:tc>
        <w:tc>
          <w:tcPr>
            <w:tcW w:w="765" w:type="dxa"/>
            <w:noWrap/>
          </w:tcPr>
          <w:p w14:paraId="30D27AD3" w14:textId="77777777" w:rsidR="009D4E2F" w:rsidRDefault="00314650">
            <w:pPr>
              <w:spacing w:after="0"/>
              <w:rPr>
                <w:rFonts w:ascii="Arial" w:hAnsi="Arial" w:cs="Arial"/>
              </w:rPr>
            </w:pPr>
            <w:r>
              <w:rPr>
                <w:rFonts w:ascii="Arial" w:hAnsi="Arial" w:cs="Arial"/>
              </w:rPr>
              <w:t> </w:t>
            </w:r>
          </w:p>
        </w:tc>
        <w:tc>
          <w:tcPr>
            <w:tcW w:w="1566" w:type="dxa"/>
            <w:noWrap/>
          </w:tcPr>
          <w:p w14:paraId="15BEC7DF" w14:textId="77777777" w:rsidR="009D4E2F" w:rsidRDefault="00314650">
            <w:pPr>
              <w:spacing w:after="0"/>
              <w:rPr>
                <w:rFonts w:ascii="Arial" w:hAnsi="Arial" w:cs="Arial"/>
                <w:b/>
                <w:bCs/>
              </w:rPr>
            </w:pPr>
            <w:r>
              <w:rPr>
                <w:rFonts w:ascii="Arial" w:hAnsi="Arial" w:cs="Arial"/>
                <w:b/>
                <w:bCs/>
              </w:rPr>
              <w:t>0.22x</w:t>
            </w:r>
          </w:p>
        </w:tc>
        <w:tc>
          <w:tcPr>
            <w:tcW w:w="1566" w:type="dxa"/>
            <w:noWrap/>
          </w:tcPr>
          <w:p w14:paraId="530679F9" w14:textId="77777777" w:rsidR="009D4E2F" w:rsidRDefault="00314650">
            <w:pPr>
              <w:spacing w:after="0"/>
              <w:rPr>
                <w:rFonts w:ascii="Arial" w:hAnsi="Arial" w:cs="Arial"/>
                <w:b/>
                <w:bCs/>
              </w:rPr>
            </w:pPr>
            <w:r>
              <w:rPr>
                <w:rFonts w:ascii="Arial" w:hAnsi="Arial" w:cs="Arial"/>
                <w:b/>
                <w:bCs/>
              </w:rPr>
              <w:t>1.34x</w:t>
            </w:r>
          </w:p>
        </w:tc>
        <w:tc>
          <w:tcPr>
            <w:tcW w:w="1566" w:type="dxa"/>
            <w:noWrap/>
          </w:tcPr>
          <w:p w14:paraId="3A8215A2" w14:textId="77777777" w:rsidR="009D4E2F" w:rsidRDefault="00314650">
            <w:pPr>
              <w:spacing w:after="0"/>
              <w:rPr>
                <w:rFonts w:ascii="Arial" w:hAnsi="Arial" w:cs="Arial"/>
                <w:b/>
                <w:bCs/>
              </w:rPr>
            </w:pPr>
            <w:r>
              <w:rPr>
                <w:rFonts w:ascii="Arial" w:hAnsi="Arial" w:cs="Arial"/>
                <w:b/>
                <w:bCs/>
              </w:rPr>
              <w:t>1.69x</w:t>
            </w:r>
          </w:p>
        </w:tc>
        <w:tc>
          <w:tcPr>
            <w:tcW w:w="1566" w:type="dxa"/>
            <w:noWrap/>
          </w:tcPr>
          <w:p w14:paraId="2B84A8F7" w14:textId="77777777" w:rsidR="009D4E2F" w:rsidRDefault="00314650">
            <w:pPr>
              <w:spacing w:after="0"/>
              <w:rPr>
                <w:rFonts w:ascii="Arial" w:hAnsi="Arial" w:cs="Arial"/>
                <w:b/>
                <w:bCs/>
              </w:rPr>
            </w:pPr>
            <w:r>
              <w:rPr>
                <w:rFonts w:ascii="Arial" w:hAnsi="Arial" w:cs="Arial"/>
                <w:b/>
                <w:bCs/>
              </w:rPr>
              <w:t>1.31x</w:t>
            </w:r>
          </w:p>
        </w:tc>
        <w:tc>
          <w:tcPr>
            <w:tcW w:w="1566" w:type="dxa"/>
            <w:noWrap/>
          </w:tcPr>
          <w:p w14:paraId="1B52DFA7" w14:textId="77777777" w:rsidR="009D4E2F" w:rsidRDefault="00314650">
            <w:pPr>
              <w:spacing w:after="0"/>
              <w:rPr>
                <w:rFonts w:ascii="Arial" w:hAnsi="Arial" w:cs="Arial"/>
                <w:b/>
                <w:bCs/>
              </w:rPr>
            </w:pPr>
            <w:r>
              <w:rPr>
                <w:rFonts w:ascii="Arial" w:hAnsi="Arial" w:cs="Arial"/>
                <w:b/>
                <w:bCs/>
              </w:rPr>
              <w:t>1.46x</w:t>
            </w:r>
          </w:p>
        </w:tc>
      </w:tr>
      <w:tr w:rsidR="009D4E2F" w14:paraId="39D90368" w14:textId="77777777">
        <w:trPr>
          <w:trHeight w:val="288"/>
        </w:trPr>
        <w:tc>
          <w:tcPr>
            <w:tcW w:w="5285" w:type="dxa"/>
            <w:noWrap/>
          </w:tcPr>
          <w:p w14:paraId="179AE926" w14:textId="77777777" w:rsidR="009D4E2F" w:rsidRDefault="00314650">
            <w:pPr>
              <w:spacing w:after="0"/>
              <w:rPr>
                <w:rFonts w:ascii="Arial" w:hAnsi="Arial" w:cs="Arial"/>
                <w:b/>
                <w:bCs/>
              </w:rPr>
            </w:pPr>
            <w:r>
              <w:rPr>
                <w:rFonts w:ascii="Arial" w:hAnsi="Arial" w:cs="Arial"/>
                <w:b/>
                <w:bCs/>
              </w:rPr>
              <w:t>Operating CF Ratio - vs Current Liabilities (A/E)</w:t>
            </w:r>
          </w:p>
        </w:tc>
        <w:tc>
          <w:tcPr>
            <w:tcW w:w="765" w:type="dxa"/>
            <w:noWrap/>
          </w:tcPr>
          <w:p w14:paraId="2CEF076F" w14:textId="77777777" w:rsidR="009D4E2F" w:rsidRDefault="00314650">
            <w:pPr>
              <w:spacing w:after="0"/>
              <w:rPr>
                <w:rFonts w:ascii="Arial" w:hAnsi="Arial" w:cs="Arial"/>
              </w:rPr>
            </w:pPr>
            <w:r>
              <w:rPr>
                <w:rFonts w:ascii="Arial" w:hAnsi="Arial" w:cs="Arial"/>
              </w:rPr>
              <w:t> </w:t>
            </w:r>
          </w:p>
        </w:tc>
        <w:tc>
          <w:tcPr>
            <w:tcW w:w="1566" w:type="dxa"/>
            <w:noWrap/>
          </w:tcPr>
          <w:p w14:paraId="68FD02BE" w14:textId="77777777" w:rsidR="009D4E2F" w:rsidRDefault="00314650">
            <w:pPr>
              <w:spacing w:after="0"/>
              <w:rPr>
                <w:rFonts w:ascii="Arial" w:hAnsi="Arial" w:cs="Arial"/>
                <w:b/>
                <w:bCs/>
              </w:rPr>
            </w:pPr>
            <w:r>
              <w:rPr>
                <w:rFonts w:ascii="Arial" w:hAnsi="Arial" w:cs="Arial"/>
                <w:b/>
                <w:bCs/>
              </w:rPr>
              <w:t>0.03x</w:t>
            </w:r>
          </w:p>
        </w:tc>
        <w:tc>
          <w:tcPr>
            <w:tcW w:w="1566" w:type="dxa"/>
            <w:noWrap/>
          </w:tcPr>
          <w:p w14:paraId="4D5F0F8F" w14:textId="77777777" w:rsidR="009D4E2F" w:rsidRDefault="00314650">
            <w:pPr>
              <w:spacing w:after="0"/>
              <w:rPr>
                <w:rFonts w:ascii="Arial" w:hAnsi="Arial" w:cs="Arial"/>
                <w:b/>
                <w:bCs/>
              </w:rPr>
            </w:pPr>
            <w:r>
              <w:rPr>
                <w:rFonts w:ascii="Arial" w:hAnsi="Arial" w:cs="Arial"/>
                <w:b/>
                <w:bCs/>
              </w:rPr>
              <w:t>0.50x</w:t>
            </w:r>
          </w:p>
        </w:tc>
        <w:tc>
          <w:tcPr>
            <w:tcW w:w="1566" w:type="dxa"/>
            <w:noWrap/>
          </w:tcPr>
          <w:p w14:paraId="52E4C74D" w14:textId="77777777" w:rsidR="009D4E2F" w:rsidRDefault="00314650">
            <w:pPr>
              <w:spacing w:after="0"/>
              <w:rPr>
                <w:rFonts w:ascii="Arial" w:hAnsi="Arial" w:cs="Arial"/>
                <w:b/>
                <w:bCs/>
              </w:rPr>
            </w:pPr>
            <w:r>
              <w:rPr>
                <w:rFonts w:ascii="Arial" w:hAnsi="Arial" w:cs="Arial"/>
                <w:b/>
                <w:bCs/>
              </w:rPr>
              <w:t>0.52x</w:t>
            </w:r>
          </w:p>
        </w:tc>
        <w:tc>
          <w:tcPr>
            <w:tcW w:w="1566" w:type="dxa"/>
            <w:noWrap/>
          </w:tcPr>
          <w:p w14:paraId="2DBEB375" w14:textId="77777777" w:rsidR="009D4E2F" w:rsidRDefault="00314650">
            <w:pPr>
              <w:spacing w:after="0"/>
              <w:rPr>
                <w:rFonts w:ascii="Arial" w:hAnsi="Arial" w:cs="Arial"/>
                <w:b/>
                <w:bCs/>
              </w:rPr>
            </w:pPr>
            <w:r>
              <w:rPr>
                <w:rFonts w:ascii="Arial" w:hAnsi="Arial" w:cs="Arial"/>
                <w:b/>
                <w:bCs/>
              </w:rPr>
              <w:t>0.43x</w:t>
            </w:r>
          </w:p>
        </w:tc>
        <w:tc>
          <w:tcPr>
            <w:tcW w:w="1566" w:type="dxa"/>
            <w:noWrap/>
          </w:tcPr>
          <w:p w14:paraId="07F76B38" w14:textId="77777777" w:rsidR="009D4E2F" w:rsidRDefault="00314650">
            <w:pPr>
              <w:spacing w:after="0"/>
              <w:rPr>
                <w:rFonts w:ascii="Arial" w:hAnsi="Arial" w:cs="Arial"/>
                <w:b/>
                <w:bCs/>
              </w:rPr>
            </w:pPr>
            <w:r>
              <w:rPr>
                <w:rFonts w:ascii="Arial" w:hAnsi="Arial" w:cs="Arial"/>
                <w:b/>
                <w:bCs/>
              </w:rPr>
              <w:t>0.47x</w:t>
            </w:r>
          </w:p>
        </w:tc>
      </w:tr>
      <w:tr w:rsidR="009D4E2F" w14:paraId="7644D075" w14:textId="77777777">
        <w:trPr>
          <w:trHeight w:val="288"/>
        </w:trPr>
        <w:tc>
          <w:tcPr>
            <w:tcW w:w="5285" w:type="dxa"/>
            <w:noWrap/>
          </w:tcPr>
          <w:p w14:paraId="5564923C" w14:textId="77777777" w:rsidR="009D4E2F" w:rsidRDefault="00314650">
            <w:pPr>
              <w:spacing w:after="0"/>
              <w:rPr>
                <w:rFonts w:ascii="Arial" w:hAnsi="Arial" w:cs="Arial"/>
                <w:b/>
                <w:bCs/>
              </w:rPr>
            </w:pPr>
            <w:proofErr w:type="spellStart"/>
            <w:r>
              <w:rPr>
                <w:rFonts w:ascii="Arial" w:hAnsi="Arial" w:cs="Arial"/>
                <w:b/>
                <w:bCs/>
              </w:rPr>
              <w:t>CapEx</w:t>
            </w:r>
            <w:proofErr w:type="spellEnd"/>
            <w:r>
              <w:rPr>
                <w:rFonts w:ascii="Arial" w:hAnsi="Arial" w:cs="Arial"/>
                <w:b/>
                <w:bCs/>
              </w:rPr>
              <w:t xml:space="preserve"> to Revenue (D/B)</w:t>
            </w:r>
          </w:p>
        </w:tc>
        <w:tc>
          <w:tcPr>
            <w:tcW w:w="765" w:type="dxa"/>
            <w:noWrap/>
          </w:tcPr>
          <w:p w14:paraId="0E4ADF64" w14:textId="77777777" w:rsidR="009D4E2F" w:rsidRDefault="00314650">
            <w:pPr>
              <w:spacing w:after="0"/>
              <w:rPr>
                <w:rFonts w:ascii="Arial" w:hAnsi="Arial" w:cs="Arial"/>
              </w:rPr>
            </w:pPr>
            <w:r>
              <w:rPr>
                <w:rFonts w:ascii="Arial" w:hAnsi="Arial" w:cs="Arial"/>
              </w:rPr>
              <w:t> </w:t>
            </w:r>
          </w:p>
        </w:tc>
        <w:tc>
          <w:tcPr>
            <w:tcW w:w="1566" w:type="dxa"/>
            <w:noWrap/>
          </w:tcPr>
          <w:p w14:paraId="6968BFC4" w14:textId="77777777" w:rsidR="009D4E2F" w:rsidRDefault="00314650">
            <w:pPr>
              <w:spacing w:after="0"/>
              <w:rPr>
                <w:rFonts w:ascii="Arial" w:hAnsi="Arial" w:cs="Arial"/>
                <w:b/>
                <w:bCs/>
              </w:rPr>
            </w:pPr>
            <w:r>
              <w:rPr>
                <w:rFonts w:ascii="Arial" w:hAnsi="Arial" w:cs="Arial"/>
                <w:b/>
                <w:bCs/>
              </w:rPr>
              <w:t>0.60%</w:t>
            </w:r>
          </w:p>
        </w:tc>
        <w:tc>
          <w:tcPr>
            <w:tcW w:w="1566" w:type="dxa"/>
            <w:noWrap/>
          </w:tcPr>
          <w:p w14:paraId="7291A422" w14:textId="77777777" w:rsidR="009D4E2F" w:rsidRDefault="00314650">
            <w:pPr>
              <w:spacing w:after="0"/>
              <w:rPr>
                <w:rFonts w:ascii="Arial" w:hAnsi="Arial" w:cs="Arial"/>
                <w:b/>
                <w:bCs/>
              </w:rPr>
            </w:pPr>
            <w:r>
              <w:rPr>
                <w:rFonts w:ascii="Arial" w:hAnsi="Arial" w:cs="Arial"/>
                <w:b/>
                <w:bCs/>
              </w:rPr>
              <w:t>0.44%</w:t>
            </w:r>
          </w:p>
        </w:tc>
        <w:tc>
          <w:tcPr>
            <w:tcW w:w="1566" w:type="dxa"/>
            <w:noWrap/>
          </w:tcPr>
          <w:p w14:paraId="585295B3" w14:textId="77777777" w:rsidR="009D4E2F" w:rsidRDefault="00314650">
            <w:pPr>
              <w:spacing w:after="0"/>
              <w:rPr>
                <w:rFonts w:ascii="Arial" w:hAnsi="Arial" w:cs="Arial"/>
                <w:b/>
                <w:bCs/>
              </w:rPr>
            </w:pPr>
            <w:r>
              <w:rPr>
                <w:rFonts w:ascii="Arial" w:hAnsi="Arial" w:cs="Arial"/>
                <w:b/>
                <w:bCs/>
              </w:rPr>
              <w:t>1.83%</w:t>
            </w:r>
          </w:p>
        </w:tc>
        <w:tc>
          <w:tcPr>
            <w:tcW w:w="1566" w:type="dxa"/>
            <w:noWrap/>
          </w:tcPr>
          <w:p w14:paraId="7345DCD9" w14:textId="77777777" w:rsidR="009D4E2F" w:rsidRDefault="00314650">
            <w:pPr>
              <w:spacing w:after="0"/>
              <w:rPr>
                <w:rFonts w:ascii="Arial" w:hAnsi="Arial" w:cs="Arial"/>
                <w:b/>
                <w:bCs/>
              </w:rPr>
            </w:pPr>
            <w:r>
              <w:rPr>
                <w:rFonts w:ascii="Arial" w:hAnsi="Arial" w:cs="Arial"/>
                <w:b/>
                <w:bCs/>
              </w:rPr>
              <w:t>0.86%</w:t>
            </w:r>
          </w:p>
        </w:tc>
        <w:tc>
          <w:tcPr>
            <w:tcW w:w="1566" w:type="dxa"/>
            <w:noWrap/>
          </w:tcPr>
          <w:p w14:paraId="5A367574" w14:textId="77777777" w:rsidR="009D4E2F" w:rsidRDefault="00314650">
            <w:pPr>
              <w:spacing w:after="0"/>
              <w:rPr>
                <w:rFonts w:ascii="Arial" w:hAnsi="Arial" w:cs="Arial"/>
                <w:b/>
                <w:bCs/>
              </w:rPr>
            </w:pPr>
            <w:r>
              <w:rPr>
                <w:rFonts w:ascii="Arial" w:hAnsi="Arial" w:cs="Arial"/>
                <w:b/>
                <w:bCs/>
              </w:rPr>
              <w:t>0.67%</w:t>
            </w:r>
          </w:p>
        </w:tc>
      </w:tr>
      <w:tr w:rsidR="009D4E2F" w14:paraId="1B7F4A07" w14:textId="77777777">
        <w:trPr>
          <w:trHeight w:val="288"/>
        </w:trPr>
        <w:tc>
          <w:tcPr>
            <w:tcW w:w="5285" w:type="dxa"/>
            <w:noWrap/>
          </w:tcPr>
          <w:p w14:paraId="48FE193B" w14:textId="77777777" w:rsidR="009D4E2F" w:rsidRDefault="00314650">
            <w:pPr>
              <w:spacing w:after="0"/>
              <w:rPr>
                <w:rFonts w:ascii="Arial" w:hAnsi="Arial" w:cs="Arial"/>
                <w:b/>
                <w:bCs/>
              </w:rPr>
            </w:pPr>
            <w:r>
              <w:rPr>
                <w:rFonts w:ascii="Arial" w:hAnsi="Arial" w:cs="Arial"/>
                <w:b/>
                <w:bCs/>
              </w:rPr>
              <w:t>Free Cash Flow (A-D) (USD M)</w:t>
            </w:r>
          </w:p>
        </w:tc>
        <w:tc>
          <w:tcPr>
            <w:tcW w:w="765" w:type="dxa"/>
            <w:noWrap/>
          </w:tcPr>
          <w:p w14:paraId="571AC8AB" w14:textId="77777777" w:rsidR="009D4E2F" w:rsidRDefault="00314650">
            <w:pPr>
              <w:spacing w:after="0"/>
              <w:rPr>
                <w:rFonts w:ascii="Arial" w:hAnsi="Arial" w:cs="Arial"/>
              </w:rPr>
            </w:pPr>
            <w:r>
              <w:rPr>
                <w:rFonts w:ascii="Arial" w:hAnsi="Arial" w:cs="Arial"/>
              </w:rPr>
              <w:t> </w:t>
            </w:r>
          </w:p>
        </w:tc>
        <w:tc>
          <w:tcPr>
            <w:tcW w:w="1566" w:type="dxa"/>
            <w:noWrap/>
          </w:tcPr>
          <w:p w14:paraId="399138F7" w14:textId="77777777" w:rsidR="009D4E2F" w:rsidRDefault="00314650">
            <w:pPr>
              <w:spacing w:after="0"/>
              <w:rPr>
                <w:rFonts w:ascii="Arial" w:hAnsi="Arial" w:cs="Arial"/>
                <w:b/>
                <w:bCs/>
              </w:rPr>
            </w:pPr>
            <w:r>
              <w:rPr>
                <w:rFonts w:ascii="Arial" w:hAnsi="Arial" w:cs="Arial"/>
                <w:b/>
                <w:bCs/>
              </w:rPr>
              <w:t xml:space="preserve"> $                54 </w:t>
            </w:r>
          </w:p>
        </w:tc>
        <w:tc>
          <w:tcPr>
            <w:tcW w:w="1566" w:type="dxa"/>
            <w:noWrap/>
          </w:tcPr>
          <w:p w14:paraId="13432457" w14:textId="77777777" w:rsidR="009D4E2F" w:rsidRDefault="00314650">
            <w:pPr>
              <w:spacing w:after="0"/>
              <w:rPr>
                <w:rFonts w:ascii="Arial" w:hAnsi="Arial" w:cs="Arial"/>
                <w:b/>
                <w:bCs/>
              </w:rPr>
            </w:pPr>
            <w:r>
              <w:rPr>
                <w:rFonts w:ascii="Arial" w:hAnsi="Arial" w:cs="Arial"/>
                <w:b/>
                <w:bCs/>
              </w:rPr>
              <w:t xml:space="preserve"> $           1,642 </w:t>
            </w:r>
          </w:p>
        </w:tc>
        <w:tc>
          <w:tcPr>
            <w:tcW w:w="1566" w:type="dxa"/>
            <w:noWrap/>
          </w:tcPr>
          <w:p w14:paraId="11D5D176" w14:textId="77777777" w:rsidR="009D4E2F" w:rsidRDefault="00314650">
            <w:pPr>
              <w:spacing w:after="0"/>
              <w:rPr>
                <w:rFonts w:ascii="Arial" w:hAnsi="Arial" w:cs="Arial"/>
                <w:b/>
                <w:bCs/>
              </w:rPr>
            </w:pPr>
            <w:r>
              <w:rPr>
                <w:rFonts w:ascii="Arial" w:hAnsi="Arial" w:cs="Arial"/>
                <w:b/>
                <w:bCs/>
              </w:rPr>
              <w:t xml:space="preserve"> $           1,795 </w:t>
            </w:r>
          </w:p>
        </w:tc>
        <w:tc>
          <w:tcPr>
            <w:tcW w:w="1566" w:type="dxa"/>
            <w:noWrap/>
          </w:tcPr>
          <w:p w14:paraId="52D143A7" w14:textId="77777777" w:rsidR="009D4E2F" w:rsidRDefault="00314650">
            <w:pPr>
              <w:spacing w:after="0"/>
              <w:rPr>
                <w:rFonts w:ascii="Arial" w:hAnsi="Arial" w:cs="Arial"/>
                <w:b/>
                <w:bCs/>
              </w:rPr>
            </w:pPr>
            <w:r>
              <w:rPr>
                <w:rFonts w:ascii="Arial" w:hAnsi="Arial" w:cs="Arial"/>
                <w:b/>
                <w:bCs/>
              </w:rPr>
              <w:t xml:space="preserve"> $           1,917 </w:t>
            </w:r>
          </w:p>
        </w:tc>
        <w:tc>
          <w:tcPr>
            <w:tcW w:w="1566" w:type="dxa"/>
            <w:noWrap/>
          </w:tcPr>
          <w:p w14:paraId="411D48D1" w14:textId="77777777" w:rsidR="009D4E2F" w:rsidRDefault="00314650">
            <w:pPr>
              <w:spacing w:after="0"/>
              <w:rPr>
                <w:rFonts w:ascii="Arial" w:hAnsi="Arial" w:cs="Arial"/>
                <w:b/>
                <w:bCs/>
              </w:rPr>
            </w:pPr>
            <w:r>
              <w:rPr>
                <w:rFonts w:ascii="Arial" w:hAnsi="Arial" w:cs="Arial"/>
                <w:b/>
                <w:bCs/>
              </w:rPr>
              <w:t xml:space="preserve"> $           2,048 </w:t>
            </w:r>
          </w:p>
        </w:tc>
      </w:tr>
      <w:tr w:rsidR="009D4E2F" w14:paraId="6C2963E0" w14:textId="77777777">
        <w:trPr>
          <w:trHeight w:val="288"/>
        </w:trPr>
        <w:tc>
          <w:tcPr>
            <w:tcW w:w="5285" w:type="dxa"/>
            <w:noWrap/>
          </w:tcPr>
          <w:p w14:paraId="7D47A8AF" w14:textId="77777777" w:rsidR="009D4E2F" w:rsidRDefault="00314650">
            <w:pPr>
              <w:spacing w:after="0"/>
              <w:rPr>
                <w:rFonts w:ascii="Arial" w:hAnsi="Arial" w:cs="Arial"/>
                <w:b/>
                <w:bCs/>
              </w:rPr>
            </w:pPr>
            <w:r>
              <w:rPr>
                <w:rFonts w:ascii="Arial" w:hAnsi="Arial" w:cs="Arial"/>
                <w:b/>
                <w:bCs/>
              </w:rPr>
              <w:t xml:space="preserve">FCF </w:t>
            </w:r>
            <w:proofErr w:type="gramStart"/>
            <w:r>
              <w:rPr>
                <w:rFonts w:ascii="Arial" w:hAnsi="Arial" w:cs="Arial"/>
                <w:b/>
                <w:bCs/>
              </w:rPr>
              <w:t>Margin ((</w:t>
            </w:r>
            <w:proofErr w:type="gramEnd"/>
            <w:r>
              <w:rPr>
                <w:rFonts w:ascii="Arial" w:hAnsi="Arial" w:cs="Arial"/>
                <w:b/>
                <w:bCs/>
              </w:rPr>
              <w:t>A-D)/B)</w:t>
            </w:r>
          </w:p>
        </w:tc>
        <w:tc>
          <w:tcPr>
            <w:tcW w:w="765" w:type="dxa"/>
            <w:noWrap/>
          </w:tcPr>
          <w:p w14:paraId="411F3FFA" w14:textId="77777777" w:rsidR="009D4E2F" w:rsidRDefault="00314650">
            <w:pPr>
              <w:spacing w:after="0"/>
              <w:rPr>
                <w:rFonts w:ascii="Arial" w:hAnsi="Arial" w:cs="Arial"/>
              </w:rPr>
            </w:pPr>
            <w:r>
              <w:rPr>
                <w:rFonts w:ascii="Arial" w:hAnsi="Arial" w:cs="Arial"/>
              </w:rPr>
              <w:t> </w:t>
            </w:r>
          </w:p>
        </w:tc>
        <w:tc>
          <w:tcPr>
            <w:tcW w:w="1566" w:type="dxa"/>
            <w:noWrap/>
          </w:tcPr>
          <w:p w14:paraId="66E64424" w14:textId="77777777" w:rsidR="009D4E2F" w:rsidRDefault="00314650">
            <w:pPr>
              <w:spacing w:after="0"/>
              <w:rPr>
                <w:rFonts w:ascii="Arial" w:hAnsi="Arial" w:cs="Arial"/>
                <w:b/>
                <w:bCs/>
              </w:rPr>
            </w:pPr>
            <w:r>
              <w:rPr>
                <w:rFonts w:ascii="Arial" w:hAnsi="Arial" w:cs="Arial"/>
                <w:b/>
                <w:bCs/>
              </w:rPr>
              <w:t>0.93%</w:t>
            </w:r>
          </w:p>
        </w:tc>
        <w:tc>
          <w:tcPr>
            <w:tcW w:w="1566" w:type="dxa"/>
            <w:noWrap/>
          </w:tcPr>
          <w:p w14:paraId="2AD10F9E" w14:textId="77777777" w:rsidR="009D4E2F" w:rsidRDefault="00314650">
            <w:pPr>
              <w:spacing w:after="0"/>
              <w:rPr>
                <w:rFonts w:ascii="Arial" w:hAnsi="Arial" w:cs="Arial"/>
                <w:b/>
                <w:bCs/>
              </w:rPr>
            </w:pPr>
            <w:r>
              <w:rPr>
                <w:rFonts w:ascii="Arial" w:hAnsi="Arial" w:cs="Arial"/>
                <w:b/>
                <w:bCs/>
              </w:rPr>
              <w:t>18.72%</w:t>
            </w:r>
          </w:p>
        </w:tc>
        <w:tc>
          <w:tcPr>
            <w:tcW w:w="1566" w:type="dxa"/>
            <w:noWrap/>
          </w:tcPr>
          <w:p w14:paraId="3150E183" w14:textId="77777777" w:rsidR="009D4E2F" w:rsidRDefault="00314650">
            <w:pPr>
              <w:spacing w:after="0"/>
              <w:rPr>
                <w:rFonts w:ascii="Arial" w:hAnsi="Arial" w:cs="Arial"/>
                <w:b/>
                <w:bCs/>
              </w:rPr>
            </w:pPr>
            <w:r>
              <w:rPr>
                <w:rFonts w:ascii="Arial" w:hAnsi="Arial" w:cs="Arial"/>
                <w:b/>
                <w:bCs/>
              </w:rPr>
              <w:t>21.80%</w:t>
            </w:r>
          </w:p>
        </w:tc>
        <w:tc>
          <w:tcPr>
            <w:tcW w:w="1566" w:type="dxa"/>
            <w:noWrap/>
          </w:tcPr>
          <w:p w14:paraId="06E83283" w14:textId="77777777" w:rsidR="009D4E2F" w:rsidRDefault="00314650">
            <w:pPr>
              <w:spacing w:after="0"/>
              <w:rPr>
                <w:rFonts w:ascii="Arial" w:hAnsi="Arial" w:cs="Arial"/>
                <w:b/>
                <w:bCs/>
              </w:rPr>
            </w:pPr>
            <w:r>
              <w:rPr>
                <w:rFonts w:ascii="Arial" w:hAnsi="Arial" w:cs="Arial"/>
                <w:b/>
                <w:bCs/>
              </w:rPr>
              <w:t>17.16%</w:t>
            </w:r>
          </w:p>
        </w:tc>
        <w:tc>
          <w:tcPr>
            <w:tcW w:w="1566" w:type="dxa"/>
            <w:noWrap/>
          </w:tcPr>
          <w:p w14:paraId="14E68FDA" w14:textId="77777777" w:rsidR="009D4E2F" w:rsidRDefault="00314650">
            <w:pPr>
              <w:spacing w:after="0"/>
              <w:rPr>
                <w:rFonts w:ascii="Arial" w:hAnsi="Arial" w:cs="Arial"/>
                <w:b/>
                <w:bCs/>
              </w:rPr>
            </w:pPr>
            <w:r>
              <w:rPr>
                <w:rFonts w:ascii="Arial" w:hAnsi="Arial" w:cs="Arial"/>
                <w:b/>
                <w:bCs/>
              </w:rPr>
              <w:t>17.01%</w:t>
            </w:r>
          </w:p>
        </w:tc>
      </w:tr>
    </w:tbl>
    <w:p w14:paraId="0AE985BC" w14:textId="77777777" w:rsidR="009D4E2F" w:rsidRDefault="009D4E2F">
      <w:pPr>
        <w:rPr>
          <w:rFonts w:ascii="Arial" w:hAnsi="Arial" w:cs="Arial"/>
        </w:rPr>
      </w:pPr>
    </w:p>
    <w:p w14:paraId="3BBC2C6D" w14:textId="77777777" w:rsidR="009D4E2F" w:rsidRDefault="00314650">
      <w:pPr>
        <w:rPr>
          <w:rFonts w:ascii="Arial" w:hAnsi="Arial" w:cs="Arial"/>
          <w:b/>
          <w:bCs/>
        </w:rPr>
      </w:pPr>
      <w:r>
        <w:rPr>
          <w:rFonts w:ascii="Arial" w:hAnsi="Arial" w:cs="Arial"/>
        </w:rPr>
        <w:br w:type="page"/>
      </w:r>
    </w:p>
    <w:p w14:paraId="3D01351A" w14:textId="77777777" w:rsidR="009D4E2F" w:rsidRDefault="00314650">
      <w:pPr>
        <w:pStyle w:val="Heading2"/>
        <w:keepNext w:val="0"/>
        <w:keepLines w:val="0"/>
        <w:spacing w:before="280" w:after="80"/>
        <w:rPr>
          <w:rFonts w:ascii="Arial" w:hAnsi="Arial" w:cs="Arial"/>
        </w:rPr>
      </w:pPr>
      <w:bookmarkStart w:id="59" w:name="_Toc237472631"/>
      <w:r>
        <w:rPr>
          <w:rFonts w:ascii="Arial" w:hAnsi="Arial" w:cs="Arial"/>
        </w:rPr>
        <w:lastRenderedPageBreak/>
        <w:t>Appendix B: Financial Statements (2021–2025)</w:t>
      </w:r>
      <w:bookmarkEnd w:id="59"/>
    </w:p>
    <w:tbl>
      <w:tblPr>
        <w:tblStyle w:val="TableGrid"/>
        <w:tblW w:w="0" w:type="auto"/>
        <w:tblLook w:val="04A0" w:firstRow="1" w:lastRow="0" w:firstColumn="1" w:lastColumn="0" w:noHBand="0" w:noVBand="1"/>
      </w:tblPr>
      <w:tblGrid>
        <w:gridCol w:w="2984"/>
        <w:gridCol w:w="1274"/>
        <w:gridCol w:w="1273"/>
        <w:gridCol w:w="1273"/>
        <w:gridCol w:w="1273"/>
        <w:gridCol w:w="1273"/>
      </w:tblGrid>
      <w:tr w:rsidR="009D4E2F" w14:paraId="42DCB3B5" w14:textId="77777777">
        <w:trPr>
          <w:trHeight w:val="510"/>
        </w:trPr>
        <w:tc>
          <w:tcPr>
            <w:tcW w:w="12140" w:type="dxa"/>
            <w:gridSpan w:val="6"/>
            <w:noWrap/>
          </w:tcPr>
          <w:p w14:paraId="725F08AC" w14:textId="77777777" w:rsidR="009D4E2F" w:rsidRDefault="00314650">
            <w:pPr>
              <w:spacing w:after="0" w:line="240" w:lineRule="auto"/>
              <w:jc w:val="center"/>
              <w:rPr>
                <w:rFonts w:ascii="Arial" w:hAnsi="Arial" w:cs="Arial"/>
                <w:b/>
                <w:bCs/>
              </w:rPr>
            </w:pPr>
            <w:r>
              <w:rPr>
                <w:rFonts w:ascii="Arial" w:hAnsi="Arial" w:cs="Arial"/>
                <w:b/>
                <w:bCs/>
              </w:rPr>
              <w:t>HILTON WORLDWIDE HOLDINGS INC.</w:t>
            </w:r>
          </w:p>
        </w:tc>
      </w:tr>
      <w:tr w:rsidR="009D4E2F" w14:paraId="63D51B7A" w14:textId="77777777">
        <w:trPr>
          <w:trHeight w:val="288"/>
        </w:trPr>
        <w:tc>
          <w:tcPr>
            <w:tcW w:w="12140" w:type="dxa"/>
            <w:gridSpan w:val="6"/>
            <w:noWrap/>
          </w:tcPr>
          <w:p w14:paraId="27E6FF19" w14:textId="77777777" w:rsidR="009D4E2F" w:rsidRDefault="00314650">
            <w:pPr>
              <w:spacing w:after="0" w:line="240" w:lineRule="auto"/>
              <w:jc w:val="center"/>
              <w:rPr>
                <w:rFonts w:ascii="Arial" w:hAnsi="Arial" w:cs="Arial"/>
                <w:i/>
                <w:iCs/>
              </w:rPr>
            </w:pPr>
            <w:r>
              <w:rPr>
                <w:rFonts w:ascii="Arial" w:hAnsi="Arial" w:cs="Arial"/>
                <w:i/>
                <w:iCs/>
              </w:rPr>
              <w:t>Raw Financial Data 2021-2025 (USD millions, except per-share data)</w:t>
            </w:r>
          </w:p>
        </w:tc>
      </w:tr>
      <w:tr w:rsidR="009D4E2F" w14:paraId="239CFF7E" w14:textId="77777777">
        <w:trPr>
          <w:trHeight w:val="288"/>
        </w:trPr>
        <w:tc>
          <w:tcPr>
            <w:tcW w:w="3944" w:type="dxa"/>
            <w:noWrap/>
          </w:tcPr>
          <w:p w14:paraId="018BF669" w14:textId="77777777" w:rsidR="009D4E2F" w:rsidRDefault="009D4E2F">
            <w:pPr>
              <w:spacing w:after="0" w:line="240" w:lineRule="auto"/>
              <w:rPr>
                <w:rFonts w:ascii="Arial" w:hAnsi="Arial" w:cs="Arial"/>
                <w:i/>
                <w:iCs/>
              </w:rPr>
            </w:pPr>
          </w:p>
        </w:tc>
        <w:tc>
          <w:tcPr>
            <w:tcW w:w="1640" w:type="dxa"/>
            <w:noWrap/>
          </w:tcPr>
          <w:p w14:paraId="7178BA83" w14:textId="77777777" w:rsidR="009D4E2F" w:rsidRDefault="009D4E2F">
            <w:pPr>
              <w:spacing w:after="0" w:line="240" w:lineRule="auto"/>
              <w:rPr>
                <w:rFonts w:ascii="Arial" w:hAnsi="Arial" w:cs="Arial"/>
              </w:rPr>
            </w:pPr>
          </w:p>
        </w:tc>
        <w:tc>
          <w:tcPr>
            <w:tcW w:w="1639" w:type="dxa"/>
            <w:noWrap/>
          </w:tcPr>
          <w:p w14:paraId="3F981F6A" w14:textId="77777777" w:rsidR="009D4E2F" w:rsidRDefault="009D4E2F">
            <w:pPr>
              <w:spacing w:after="0" w:line="240" w:lineRule="auto"/>
              <w:rPr>
                <w:rFonts w:ascii="Arial" w:hAnsi="Arial" w:cs="Arial"/>
              </w:rPr>
            </w:pPr>
          </w:p>
        </w:tc>
        <w:tc>
          <w:tcPr>
            <w:tcW w:w="1639" w:type="dxa"/>
            <w:noWrap/>
          </w:tcPr>
          <w:p w14:paraId="49F9F335" w14:textId="77777777" w:rsidR="009D4E2F" w:rsidRDefault="009D4E2F">
            <w:pPr>
              <w:spacing w:after="0" w:line="240" w:lineRule="auto"/>
              <w:rPr>
                <w:rFonts w:ascii="Arial" w:hAnsi="Arial" w:cs="Arial"/>
              </w:rPr>
            </w:pPr>
          </w:p>
        </w:tc>
        <w:tc>
          <w:tcPr>
            <w:tcW w:w="1639" w:type="dxa"/>
            <w:noWrap/>
          </w:tcPr>
          <w:p w14:paraId="14F41FF5" w14:textId="77777777" w:rsidR="009D4E2F" w:rsidRDefault="009D4E2F">
            <w:pPr>
              <w:spacing w:after="0" w:line="240" w:lineRule="auto"/>
              <w:rPr>
                <w:rFonts w:ascii="Arial" w:hAnsi="Arial" w:cs="Arial"/>
              </w:rPr>
            </w:pPr>
          </w:p>
        </w:tc>
        <w:tc>
          <w:tcPr>
            <w:tcW w:w="1639" w:type="dxa"/>
            <w:noWrap/>
          </w:tcPr>
          <w:p w14:paraId="747ABC76" w14:textId="77777777" w:rsidR="009D4E2F" w:rsidRDefault="009D4E2F">
            <w:pPr>
              <w:spacing w:after="0" w:line="240" w:lineRule="auto"/>
              <w:rPr>
                <w:rFonts w:ascii="Arial" w:hAnsi="Arial" w:cs="Arial"/>
              </w:rPr>
            </w:pPr>
          </w:p>
        </w:tc>
      </w:tr>
      <w:tr w:rsidR="009D4E2F" w14:paraId="6511AEA7" w14:textId="77777777">
        <w:trPr>
          <w:trHeight w:val="288"/>
        </w:trPr>
        <w:tc>
          <w:tcPr>
            <w:tcW w:w="3944" w:type="dxa"/>
            <w:noWrap/>
          </w:tcPr>
          <w:p w14:paraId="59024BBB" w14:textId="77777777" w:rsidR="009D4E2F" w:rsidRDefault="00314650">
            <w:pPr>
              <w:spacing w:after="0" w:line="240" w:lineRule="auto"/>
              <w:rPr>
                <w:rFonts w:ascii="Arial" w:hAnsi="Arial" w:cs="Arial"/>
                <w:b/>
                <w:bCs/>
              </w:rPr>
            </w:pPr>
            <w:r>
              <w:rPr>
                <w:rFonts w:ascii="Arial" w:hAnsi="Arial" w:cs="Arial"/>
                <w:b/>
                <w:bCs/>
              </w:rPr>
              <w:t>Label</w:t>
            </w:r>
          </w:p>
        </w:tc>
        <w:tc>
          <w:tcPr>
            <w:tcW w:w="1640" w:type="dxa"/>
            <w:noWrap/>
          </w:tcPr>
          <w:p w14:paraId="48201F4C" w14:textId="77777777" w:rsidR="009D4E2F" w:rsidRDefault="00314650">
            <w:pPr>
              <w:spacing w:after="0" w:line="240" w:lineRule="auto"/>
              <w:rPr>
                <w:rFonts w:ascii="Arial" w:hAnsi="Arial" w:cs="Arial"/>
                <w:b/>
                <w:bCs/>
              </w:rPr>
            </w:pPr>
            <w:r>
              <w:rPr>
                <w:rFonts w:ascii="Arial" w:hAnsi="Arial" w:cs="Arial"/>
                <w:b/>
                <w:bCs/>
              </w:rPr>
              <w:t>2021</w:t>
            </w:r>
          </w:p>
        </w:tc>
        <w:tc>
          <w:tcPr>
            <w:tcW w:w="1639" w:type="dxa"/>
            <w:noWrap/>
          </w:tcPr>
          <w:p w14:paraId="135D82B3" w14:textId="77777777" w:rsidR="009D4E2F" w:rsidRDefault="00314650">
            <w:pPr>
              <w:spacing w:after="0" w:line="240" w:lineRule="auto"/>
              <w:rPr>
                <w:rFonts w:ascii="Arial" w:hAnsi="Arial" w:cs="Arial"/>
                <w:b/>
                <w:bCs/>
              </w:rPr>
            </w:pPr>
            <w:r>
              <w:rPr>
                <w:rFonts w:ascii="Arial" w:hAnsi="Arial" w:cs="Arial"/>
                <w:b/>
                <w:bCs/>
              </w:rPr>
              <w:t>2022</w:t>
            </w:r>
          </w:p>
        </w:tc>
        <w:tc>
          <w:tcPr>
            <w:tcW w:w="1639" w:type="dxa"/>
            <w:noWrap/>
          </w:tcPr>
          <w:p w14:paraId="056BC993" w14:textId="77777777" w:rsidR="009D4E2F" w:rsidRDefault="00314650">
            <w:pPr>
              <w:spacing w:after="0" w:line="240" w:lineRule="auto"/>
              <w:rPr>
                <w:rFonts w:ascii="Arial" w:hAnsi="Arial" w:cs="Arial"/>
                <w:b/>
                <w:bCs/>
              </w:rPr>
            </w:pPr>
            <w:r>
              <w:rPr>
                <w:rFonts w:ascii="Arial" w:hAnsi="Arial" w:cs="Arial"/>
                <w:b/>
                <w:bCs/>
              </w:rPr>
              <w:t>2023</w:t>
            </w:r>
          </w:p>
        </w:tc>
        <w:tc>
          <w:tcPr>
            <w:tcW w:w="1639" w:type="dxa"/>
            <w:noWrap/>
          </w:tcPr>
          <w:p w14:paraId="1320B6E4" w14:textId="77777777" w:rsidR="009D4E2F" w:rsidRDefault="00314650">
            <w:pPr>
              <w:spacing w:after="0" w:line="240" w:lineRule="auto"/>
              <w:rPr>
                <w:rFonts w:ascii="Arial" w:hAnsi="Arial" w:cs="Arial"/>
                <w:b/>
                <w:bCs/>
              </w:rPr>
            </w:pPr>
            <w:r>
              <w:rPr>
                <w:rFonts w:ascii="Arial" w:hAnsi="Arial" w:cs="Arial"/>
                <w:b/>
                <w:bCs/>
              </w:rPr>
              <w:t>2024</w:t>
            </w:r>
          </w:p>
        </w:tc>
        <w:tc>
          <w:tcPr>
            <w:tcW w:w="1639" w:type="dxa"/>
            <w:noWrap/>
          </w:tcPr>
          <w:p w14:paraId="6914FBED" w14:textId="77777777" w:rsidR="009D4E2F" w:rsidRDefault="00314650">
            <w:pPr>
              <w:spacing w:after="0" w:line="240" w:lineRule="auto"/>
              <w:rPr>
                <w:rFonts w:ascii="Arial" w:hAnsi="Arial" w:cs="Arial"/>
                <w:b/>
                <w:bCs/>
              </w:rPr>
            </w:pPr>
            <w:r>
              <w:rPr>
                <w:rFonts w:ascii="Arial" w:hAnsi="Arial" w:cs="Arial"/>
                <w:b/>
                <w:bCs/>
              </w:rPr>
              <w:t>2025</w:t>
            </w:r>
          </w:p>
        </w:tc>
      </w:tr>
      <w:tr w:rsidR="009D4E2F" w14:paraId="6F107BBA" w14:textId="77777777">
        <w:trPr>
          <w:trHeight w:val="288"/>
        </w:trPr>
        <w:tc>
          <w:tcPr>
            <w:tcW w:w="3944" w:type="dxa"/>
            <w:noWrap/>
          </w:tcPr>
          <w:p w14:paraId="72662AA9" w14:textId="77777777" w:rsidR="009D4E2F" w:rsidRDefault="00314650">
            <w:pPr>
              <w:spacing w:after="0" w:line="240" w:lineRule="auto"/>
              <w:rPr>
                <w:rFonts w:ascii="Arial" w:hAnsi="Arial" w:cs="Arial"/>
                <w:b/>
                <w:bCs/>
              </w:rPr>
            </w:pPr>
            <w:r>
              <w:rPr>
                <w:rFonts w:ascii="Arial" w:hAnsi="Arial" w:cs="Arial"/>
                <w:b/>
                <w:bCs/>
              </w:rPr>
              <w:t>Revenue</w:t>
            </w:r>
          </w:p>
        </w:tc>
        <w:tc>
          <w:tcPr>
            <w:tcW w:w="1640" w:type="dxa"/>
            <w:noWrap/>
          </w:tcPr>
          <w:p w14:paraId="547F881C" w14:textId="77777777" w:rsidR="009D4E2F" w:rsidRDefault="00314650">
            <w:pPr>
              <w:spacing w:after="0" w:line="240" w:lineRule="auto"/>
              <w:rPr>
                <w:rFonts w:ascii="Arial" w:hAnsi="Arial" w:cs="Arial"/>
              </w:rPr>
            </w:pPr>
            <w:r>
              <w:rPr>
                <w:rFonts w:ascii="Arial" w:hAnsi="Arial" w:cs="Arial"/>
              </w:rPr>
              <w:t xml:space="preserve"> $           5,788 </w:t>
            </w:r>
          </w:p>
        </w:tc>
        <w:tc>
          <w:tcPr>
            <w:tcW w:w="1639" w:type="dxa"/>
            <w:noWrap/>
          </w:tcPr>
          <w:p w14:paraId="3B95779C" w14:textId="77777777" w:rsidR="009D4E2F" w:rsidRDefault="00314650">
            <w:pPr>
              <w:spacing w:after="0" w:line="240" w:lineRule="auto"/>
              <w:rPr>
                <w:rFonts w:ascii="Arial" w:hAnsi="Arial" w:cs="Arial"/>
              </w:rPr>
            </w:pPr>
            <w:r>
              <w:rPr>
                <w:rFonts w:ascii="Arial" w:hAnsi="Arial" w:cs="Arial"/>
              </w:rPr>
              <w:t xml:space="preserve"> $           8,773 </w:t>
            </w:r>
          </w:p>
        </w:tc>
        <w:tc>
          <w:tcPr>
            <w:tcW w:w="1639" w:type="dxa"/>
            <w:noWrap/>
          </w:tcPr>
          <w:p w14:paraId="701A628D" w14:textId="77777777" w:rsidR="009D4E2F" w:rsidRDefault="00314650">
            <w:pPr>
              <w:spacing w:after="0" w:line="240" w:lineRule="auto"/>
              <w:rPr>
                <w:rFonts w:ascii="Arial" w:hAnsi="Arial" w:cs="Arial"/>
              </w:rPr>
            </w:pPr>
            <w:r>
              <w:rPr>
                <w:rFonts w:ascii="Arial" w:hAnsi="Arial" w:cs="Arial"/>
              </w:rPr>
              <w:t xml:space="preserve"> $           8,235 </w:t>
            </w:r>
          </w:p>
        </w:tc>
        <w:tc>
          <w:tcPr>
            <w:tcW w:w="1639" w:type="dxa"/>
            <w:noWrap/>
          </w:tcPr>
          <w:p w14:paraId="3F43B4FB" w14:textId="77777777" w:rsidR="009D4E2F" w:rsidRDefault="00314650">
            <w:pPr>
              <w:spacing w:after="0" w:line="240" w:lineRule="auto"/>
              <w:rPr>
                <w:rFonts w:ascii="Arial" w:hAnsi="Arial" w:cs="Arial"/>
              </w:rPr>
            </w:pPr>
            <w:r>
              <w:rPr>
                <w:rFonts w:ascii="Arial" w:hAnsi="Arial" w:cs="Arial"/>
              </w:rPr>
              <w:t xml:space="preserve"> $          11,174 </w:t>
            </w:r>
          </w:p>
        </w:tc>
        <w:tc>
          <w:tcPr>
            <w:tcW w:w="1639" w:type="dxa"/>
            <w:noWrap/>
          </w:tcPr>
          <w:p w14:paraId="2382E178" w14:textId="77777777" w:rsidR="009D4E2F" w:rsidRDefault="00314650">
            <w:pPr>
              <w:spacing w:after="0" w:line="240" w:lineRule="auto"/>
              <w:rPr>
                <w:rFonts w:ascii="Arial" w:hAnsi="Arial" w:cs="Arial"/>
              </w:rPr>
            </w:pPr>
            <w:r>
              <w:rPr>
                <w:rFonts w:ascii="Arial" w:hAnsi="Arial" w:cs="Arial"/>
              </w:rPr>
              <w:t xml:space="preserve"> $          12,039 </w:t>
            </w:r>
          </w:p>
        </w:tc>
      </w:tr>
      <w:tr w:rsidR="009D4E2F" w14:paraId="711E527A" w14:textId="77777777">
        <w:trPr>
          <w:trHeight w:val="288"/>
        </w:trPr>
        <w:tc>
          <w:tcPr>
            <w:tcW w:w="3944" w:type="dxa"/>
            <w:noWrap/>
          </w:tcPr>
          <w:p w14:paraId="6667852E" w14:textId="77777777" w:rsidR="009D4E2F" w:rsidRDefault="00314650">
            <w:pPr>
              <w:spacing w:after="0" w:line="240" w:lineRule="auto"/>
              <w:rPr>
                <w:rFonts w:ascii="Arial" w:hAnsi="Arial" w:cs="Arial"/>
                <w:b/>
                <w:bCs/>
              </w:rPr>
            </w:pPr>
            <w:r>
              <w:rPr>
                <w:rFonts w:ascii="Arial" w:hAnsi="Arial" w:cs="Arial"/>
                <w:b/>
                <w:bCs/>
              </w:rPr>
              <w:t>Cost of Revenue</w:t>
            </w:r>
          </w:p>
        </w:tc>
        <w:tc>
          <w:tcPr>
            <w:tcW w:w="1640" w:type="dxa"/>
            <w:noWrap/>
          </w:tcPr>
          <w:p w14:paraId="2C6D243B" w14:textId="77777777" w:rsidR="009D4E2F" w:rsidRDefault="00314650">
            <w:pPr>
              <w:spacing w:after="0" w:line="240" w:lineRule="auto"/>
              <w:rPr>
                <w:rFonts w:ascii="Arial" w:hAnsi="Arial" w:cs="Arial"/>
              </w:rPr>
            </w:pPr>
            <w:r>
              <w:rPr>
                <w:rFonts w:ascii="Arial" w:hAnsi="Arial" w:cs="Arial"/>
              </w:rPr>
              <w:t xml:space="preserve"> $           4,133 </w:t>
            </w:r>
          </w:p>
        </w:tc>
        <w:tc>
          <w:tcPr>
            <w:tcW w:w="1639" w:type="dxa"/>
            <w:noWrap/>
          </w:tcPr>
          <w:p w14:paraId="7213C233" w14:textId="77777777" w:rsidR="009D4E2F" w:rsidRDefault="00314650">
            <w:pPr>
              <w:spacing w:after="0" w:line="240" w:lineRule="auto"/>
              <w:rPr>
                <w:rFonts w:ascii="Arial" w:hAnsi="Arial" w:cs="Arial"/>
              </w:rPr>
            </w:pPr>
            <w:r>
              <w:rPr>
                <w:rFonts w:ascii="Arial" w:hAnsi="Arial" w:cs="Arial"/>
              </w:rPr>
              <w:t xml:space="preserve"> $           6,075 </w:t>
            </w:r>
          </w:p>
        </w:tc>
        <w:tc>
          <w:tcPr>
            <w:tcW w:w="1639" w:type="dxa"/>
            <w:noWrap/>
          </w:tcPr>
          <w:p w14:paraId="7B0E0567" w14:textId="77777777" w:rsidR="009D4E2F" w:rsidRDefault="00314650">
            <w:pPr>
              <w:spacing w:after="0" w:line="240" w:lineRule="auto"/>
              <w:rPr>
                <w:rFonts w:ascii="Arial" w:hAnsi="Arial" w:cs="Arial"/>
              </w:rPr>
            </w:pPr>
            <w:r>
              <w:rPr>
                <w:rFonts w:ascii="Arial" w:hAnsi="Arial" w:cs="Arial"/>
              </w:rPr>
              <w:t xml:space="preserve"> $           7,305 </w:t>
            </w:r>
          </w:p>
        </w:tc>
        <w:tc>
          <w:tcPr>
            <w:tcW w:w="1639" w:type="dxa"/>
            <w:noWrap/>
          </w:tcPr>
          <w:p w14:paraId="63F22964" w14:textId="77777777" w:rsidR="009D4E2F" w:rsidRDefault="00314650">
            <w:pPr>
              <w:spacing w:after="0" w:line="240" w:lineRule="auto"/>
              <w:rPr>
                <w:rFonts w:ascii="Arial" w:hAnsi="Arial" w:cs="Arial"/>
              </w:rPr>
            </w:pPr>
            <w:r>
              <w:rPr>
                <w:rFonts w:ascii="Arial" w:hAnsi="Arial" w:cs="Arial"/>
              </w:rPr>
              <w:t xml:space="preserve"> $           8,111 </w:t>
            </w:r>
          </w:p>
        </w:tc>
        <w:tc>
          <w:tcPr>
            <w:tcW w:w="1639" w:type="dxa"/>
            <w:noWrap/>
          </w:tcPr>
          <w:p w14:paraId="5C2ACD99" w14:textId="77777777" w:rsidR="009D4E2F" w:rsidRDefault="00314650">
            <w:pPr>
              <w:spacing w:after="0" w:line="240" w:lineRule="auto"/>
              <w:rPr>
                <w:rFonts w:ascii="Arial" w:hAnsi="Arial" w:cs="Arial"/>
              </w:rPr>
            </w:pPr>
            <w:r>
              <w:rPr>
                <w:rFonts w:ascii="Arial" w:hAnsi="Arial" w:cs="Arial"/>
              </w:rPr>
              <w:t xml:space="preserve"> $           8,644 </w:t>
            </w:r>
          </w:p>
        </w:tc>
      </w:tr>
      <w:tr w:rsidR="009D4E2F" w14:paraId="6053E1EF" w14:textId="77777777">
        <w:trPr>
          <w:trHeight w:val="288"/>
        </w:trPr>
        <w:tc>
          <w:tcPr>
            <w:tcW w:w="3944" w:type="dxa"/>
            <w:noWrap/>
          </w:tcPr>
          <w:p w14:paraId="334F01BD" w14:textId="77777777" w:rsidR="009D4E2F" w:rsidRDefault="00314650">
            <w:pPr>
              <w:spacing w:after="0" w:line="240" w:lineRule="auto"/>
              <w:rPr>
                <w:rFonts w:ascii="Arial" w:hAnsi="Arial" w:cs="Arial"/>
                <w:b/>
                <w:bCs/>
              </w:rPr>
            </w:pPr>
            <w:r>
              <w:rPr>
                <w:rFonts w:ascii="Arial" w:hAnsi="Arial" w:cs="Arial"/>
                <w:b/>
                <w:bCs/>
              </w:rPr>
              <w:t>Gross Profit</w:t>
            </w:r>
          </w:p>
        </w:tc>
        <w:tc>
          <w:tcPr>
            <w:tcW w:w="1640" w:type="dxa"/>
            <w:noWrap/>
          </w:tcPr>
          <w:p w14:paraId="79028D64" w14:textId="77777777" w:rsidR="009D4E2F" w:rsidRDefault="00314650">
            <w:pPr>
              <w:spacing w:after="0" w:line="240" w:lineRule="auto"/>
              <w:rPr>
                <w:rFonts w:ascii="Arial" w:hAnsi="Arial" w:cs="Arial"/>
              </w:rPr>
            </w:pPr>
            <w:r>
              <w:rPr>
                <w:rFonts w:ascii="Arial" w:hAnsi="Arial" w:cs="Arial"/>
              </w:rPr>
              <w:t xml:space="preserve"> $           1,655 </w:t>
            </w:r>
          </w:p>
        </w:tc>
        <w:tc>
          <w:tcPr>
            <w:tcW w:w="1639" w:type="dxa"/>
            <w:noWrap/>
          </w:tcPr>
          <w:p w14:paraId="71F73E72" w14:textId="77777777" w:rsidR="009D4E2F" w:rsidRDefault="00314650">
            <w:pPr>
              <w:spacing w:after="0" w:line="240" w:lineRule="auto"/>
              <w:rPr>
                <w:rFonts w:ascii="Arial" w:hAnsi="Arial" w:cs="Arial"/>
              </w:rPr>
            </w:pPr>
            <w:r>
              <w:rPr>
                <w:rFonts w:ascii="Arial" w:hAnsi="Arial" w:cs="Arial"/>
              </w:rPr>
              <w:t xml:space="preserve"> $           2,698 </w:t>
            </w:r>
          </w:p>
        </w:tc>
        <w:tc>
          <w:tcPr>
            <w:tcW w:w="1639" w:type="dxa"/>
            <w:noWrap/>
          </w:tcPr>
          <w:p w14:paraId="352384D7" w14:textId="77777777" w:rsidR="009D4E2F" w:rsidRDefault="00314650">
            <w:pPr>
              <w:spacing w:after="0" w:line="240" w:lineRule="auto"/>
              <w:rPr>
                <w:rFonts w:ascii="Arial" w:hAnsi="Arial" w:cs="Arial"/>
              </w:rPr>
            </w:pPr>
            <w:r>
              <w:rPr>
                <w:rFonts w:ascii="Arial" w:hAnsi="Arial" w:cs="Arial"/>
              </w:rPr>
              <w:t xml:space="preserve"> $              930 </w:t>
            </w:r>
          </w:p>
        </w:tc>
        <w:tc>
          <w:tcPr>
            <w:tcW w:w="1639" w:type="dxa"/>
            <w:noWrap/>
          </w:tcPr>
          <w:p w14:paraId="2EABF576" w14:textId="77777777" w:rsidR="009D4E2F" w:rsidRDefault="00314650">
            <w:pPr>
              <w:spacing w:after="0" w:line="240" w:lineRule="auto"/>
              <w:rPr>
                <w:rFonts w:ascii="Arial" w:hAnsi="Arial" w:cs="Arial"/>
              </w:rPr>
            </w:pPr>
            <w:r>
              <w:rPr>
                <w:rFonts w:ascii="Arial" w:hAnsi="Arial" w:cs="Arial"/>
              </w:rPr>
              <w:t xml:space="preserve"> $           3,063 </w:t>
            </w:r>
          </w:p>
        </w:tc>
        <w:tc>
          <w:tcPr>
            <w:tcW w:w="1639" w:type="dxa"/>
            <w:noWrap/>
          </w:tcPr>
          <w:p w14:paraId="15F4830A" w14:textId="77777777" w:rsidR="009D4E2F" w:rsidRDefault="00314650">
            <w:pPr>
              <w:spacing w:after="0" w:line="240" w:lineRule="auto"/>
              <w:rPr>
                <w:rFonts w:ascii="Arial" w:hAnsi="Arial" w:cs="Arial"/>
              </w:rPr>
            </w:pPr>
            <w:r>
              <w:rPr>
                <w:rFonts w:ascii="Arial" w:hAnsi="Arial" w:cs="Arial"/>
              </w:rPr>
              <w:t xml:space="preserve"> $           3,395 </w:t>
            </w:r>
          </w:p>
        </w:tc>
      </w:tr>
      <w:tr w:rsidR="009D4E2F" w14:paraId="63A73353" w14:textId="77777777">
        <w:trPr>
          <w:trHeight w:val="288"/>
        </w:trPr>
        <w:tc>
          <w:tcPr>
            <w:tcW w:w="3944" w:type="dxa"/>
            <w:noWrap/>
          </w:tcPr>
          <w:p w14:paraId="0D0F7CB9" w14:textId="77777777" w:rsidR="009D4E2F" w:rsidRDefault="00314650">
            <w:pPr>
              <w:spacing w:after="0" w:line="240" w:lineRule="auto"/>
              <w:rPr>
                <w:rFonts w:ascii="Arial" w:hAnsi="Arial" w:cs="Arial"/>
                <w:b/>
                <w:bCs/>
              </w:rPr>
            </w:pPr>
            <w:r>
              <w:rPr>
                <w:rFonts w:ascii="Arial" w:hAnsi="Arial" w:cs="Arial"/>
                <w:b/>
                <w:bCs/>
              </w:rPr>
              <w:t>R&amp;D</w:t>
            </w:r>
          </w:p>
        </w:tc>
        <w:tc>
          <w:tcPr>
            <w:tcW w:w="1640" w:type="dxa"/>
            <w:noWrap/>
          </w:tcPr>
          <w:p w14:paraId="26307217"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2B95AEA1"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28591AE6"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7D69BD2C"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5C8B3619" w14:textId="77777777" w:rsidR="009D4E2F" w:rsidRDefault="00314650">
            <w:pPr>
              <w:spacing w:after="0" w:line="240" w:lineRule="auto"/>
              <w:rPr>
                <w:rFonts w:ascii="Arial" w:hAnsi="Arial" w:cs="Arial"/>
              </w:rPr>
            </w:pPr>
            <w:r>
              <w:rPr>
                <w:rFonts w:ascii="Arial" w:hAnsi="Arial" w:cs="Arial"/>
              </w:rPr>
              <w:t xml:space="preserve"> $                  - </w:t>
            </w:r>
          </w:p>
        </w:tc>
      </w:tr>
      <w:tr w:rsidR="009D4E2F" w14:paraId="4FAFD632" w14:textId="77777777">
        <w:trPr>
          <w:trHeight w:val="288"/>
        </w:trPr>
        <w:tc>
          <w:tcPr>
            <w:tcW w:w="3944" w:type="dxa"/>
            <w:noWrap/>
          </w:tcPr>
          <w:p w14:paraId="2068D39E" w14:textId="77777777" w:rsidR="009D4E2F" w:rsidRDefault="00314650">
            <w:pPr>
              <w:spacing w:after="0" w:line="240" w:lineRule="auto"/>
              <w:rPr>
                <w:rFonts w:ascii="Arial" w:hAnsi="Arial" w:cs="Arial"/>
                <w:b/>
                <w:bCs/>
              </w:rPr>
            </w:pPr>
            <w:r>
              <w:rPr>
                <w:rFonts w:ascii="Arial" w:hAnsi="Arial" w:cs="Arial"/>
                <w:b/>
                <w:bCs/>
              </w:rPr>
              <w:t>SG&amp;A (General &amp; Administrative)</w:t>
            </w:r>
          </w:p>
        </w:tc>
        <w:tc>
          <w:tcPr>
            <w:tcW w:w="1640" w:type="dxa"/>
            <w:noWrap/>
          </w:tcPr>
          <w:p w14:paraId="708B0D6B" w14:textId="77777777" w:rsidR="009D4E2F" w:rsidRDefault="00314650">
            <w:pPr>
              <w:spacing w:after="0" w:line="240" w:lineRule="auto"/>
              <w:rPr>
                <w:rFonts w:ascii="Arial" w:hAnsi="Arial" w:cs="Arial"/>
              </w:rPr>
            </w:pPr>
            <w:r>
              <w:rPr>
                <w:rFonts w:ascii="Arial" w:hAnsi="Arial" w:cs="Arial"/>
              </w:rPr>
              <w:t xml:space="preserve"> $              405 </w:t>
            </w:r>
          </w:p>
        </w:tc>
        <w:tc>
          <w:tcPr>
            <w:tcW w:w="1639" w:type="dxa"/>
            <w:noWrap/>
          </w:tcPr>
          <w:p w14:paraId="218EA47B" w14:textId="77777777" w:rsidR="009D4E2F" w:rsidRDefault="00314650">
            <w:pPr>
              <w:spacing w:after="0" w:line="240" w:lineRule="auto"/>
              <w:rPr>
                <w:rFonts w:ascii="Arial" w:hAnsi="Arial" w:cs="Arial"/>
              </w:rPr>
            </w:pPr>
            <w:r>
              <w:rPr>
                <w:rFonts w:ascii="Arial" w:hAnsi="Arial" w:cs="Arial"/>
              </w:rPr>
              <w:t xml:space="preserve"> $              382 </w:t>
            </w:r>
          </w:p>
        </w:tc>
        <w:tc>
          <w:tcPr>
            <w:tcW w:w="1639" w:type="dxa"/>
            <w:noWrap/>
          </w:tcPr>
          <w:p w14:paraId="7848B7A8" w14:textId="77777777" w:rsidR="009D4E2F" w:rsidRDefault="00314650">
            <w:pPr>
              <w:spacing w:after="0" w:line="240" w:lineRule="auto"/>
              <w:rPr>
                <w:rFonts w:ascii="Arial" w:hAnsi="Arial" w:cs="Arial"/>
              </w:rPr>
            </w:pPr>
            <w:r>
              <w:rPr>
                <w:rFonts w:ascii="Arial" w:hAnsi="Arial" w:cs="Arial"/>
              </w:rPr>
              <w:t xml:space="preserve"> $              408 </w:t>
            </w:r>
          </w:p>
        </w:tc>
        <w:tc>
          <w:tcPr>
            <w:tcW w:w="1639" w:type="dxa"/>
            <w:noWrap/>
          </w:tcPr>
          <w:p w14:paraId="18BA91FC" w14:textId="77777777" w:rsidR="009D4E2F" w:rsidRDefault="00314650">
            <w:pPr>
              <w:spacing w:after="0" w:line="240" w:lineRule="auto"/>
              <w:rPr>
                <w:rFonts w:ascii="Arial" w:hAnsi="Arial" w:cs="Arial"/>
              </w:rPr>
            </w:pPr>
            <w:r>
              <w:rPr>
                <w:rFonts w:ascii="Arial" w:hAnsi="Arial" w:cs="Arial"/>
              </w:rPr>
              <w:t xml:space="preserve"> $              415 </w:t>
            </w:r>
          </w:p>
        </w:tc>
        <w:tc>
          <w:tcPr>
            <w:tcW w:w="1639" w:type="dxa"/>
            <w:noWrap/>
          </w:tcPr>
          <w:p w14:paraId="487F1E07" w14:textId="77777777" w:rsidR="009D4E2F" w:rsidRDefault="00314650">
            <w:pPr>
              <w:spacing w:after="0" w:line="240" w:lineRule="auto"/>
              <w:rPr>
                <w:rFonts w:ascii="Arial" w:hAnsi="Arial" w:cs="Arial"/>
              </w:rPr>
            </w:pPr>
            <w:r>
              <w:rPr>
                <w:rFonts w:ascii="Arial" w:hAnsi="Arial" w:cs="Arial"/>
              </w:rPr>
              <w:t xml:space="preserve"> $              393 </w:t>
            </w:r>
          </w:p>
        </w:tc>
      </w:tr>
      <w:tr w:rsidR="009D4E2F" w14:paraId="4C008027" w14:textId="77777777">
        <w:trPr>
          <w:trHeight w:val="288"/>
        </w:trPr>
        <w:tc>
          <w:tcPr>
            <w:tcW w:w="3944" w:type="dxa"/>
            <w:noWrap/>
          </w:tcPr>
          <w:p w14:paraId="27B92C55" w14:textId="77777777" w:rsidR="009D4E2F" w:rsidRDefault="00314650">
            <w:pPr>
              <w:spacing w:after="0" w:line="240" w:lineRule="auto"/>
              <w:rPr>
                <w:rFonts w:ascii="Arial" w:hAnsi="Arial" w:cs="Arial"/>
                <w:b/>
                <w:bCs/>
              </w:rPr>
            </w:pPr>
            <w:r>
              <w:rPr>
                <w:rFonts w:ascii="Arial" w:hAnsi="Arial" w:cs="Arial"/>
                <w:b/>
                <w:bCs/>
              </w:rPr>
              <w:t>EBIT (Operating Income)</w:t>
            </w:r>
          </w:p>
        </w:tc>
        <w:tc>
          <w:tcPr>
            <w:tcW w:w="1640" w:type="dxa"/>
            <w:noWrap/>
          </w:tcPr>
          <w:p w14:paraId="05E68F80" w14:textId="77777777" w:rsidR="009D4E2F" w:rsidRDefault="00314650">
            <w:pPr>
              <w:spacing w:after="0" w:line="240" w:lineRule="auto"/>
              <w:rPr>
                <w:rFonts w:ascii="Arial" w:hAnsi="Arial" w:cs="Arial"/>
              </w:rPr>
            </w:pPr>
            <w:r>
              <w:rPr>
                <w:rFonts w:ascii="Arial" w:hAnsi="Arial" w:cs="Arial"/>
              </w:rPr>
              <w:t xml:space="preserve"> $                88 </w:t>
            </w:r>
          </w:p>
        </w:tc>
        <w:tc>
          <w:tcPr>
            <w:tcW w:w="1639" w:type="dxa"/>
            <w:noWrap/>
          </w:tcPr>
          <w:p w14:paraId="791BD413" w14:textId="77777777" w:rsidR="009D4E2F" w:rsidRDefault="00314650">
            <w:pPr>
              <w:spacing w:after="0" w:line="240" w:lineRule="auto"/>
              <w:rPr>
                <w:rFonts w:ascii="Arial" w:hAnsi="Arial" w:cs="Arial"/>
              </w:rPr>
            </w:pPr>
            <w:r>
              <w:rPr>
                <w:rFonts w:ascii="Arial" w:hAnsi="Arial" w:cs="Arial"/>
              </w:rPr>
              <w:t xml:space="preserve"> $           2,094 </w:t>
            </w:r>
          </w:p>
        </w:tc>
        <w:tc>
          <w:tcPr>
            <w:tcW w:w="1639" w:type="dxa"/>
            <w:noWrap/>
          </w:tcPr>
          <w:p w14:paraId="3BA3CE0B" w14:textId="77777777" w:rsidR="009D4E2F" w:rsidRDefault="00314650">
            <w:pPr>
              <w:spacing w:after="0" w:line="240" w:lineRule="auto"/>
              <w:rPr>
                <w:rFonts w:ascii="Arial" w:hAnsi="Arial" w:cs="Arial"/>
              </w:rPr>
            </w:pPr>
            <w:r>
              <w:rPr>
                <w:rFonts w:ascii="Arial" w:hAnsi="Arial" w:cs="Arial"/>
              </w:rPr>
              <w:t xml:space="preserve"> $           2,225 </w:t>
            </w:r>
          </w:p>
        </w:tc>
        <w:tc>
          <w:tcPr>
            <w:tcW w:w="1639" w:type="dxa"/>
            <w:noWrap/>
          </w:tcPr>
          <w:p w14:paraId="162460A1" w14:textId="77777777" w:rsidR="009D4E2F" w:rsidRDefault="00314650">
            <w:pPr>
              <w:spacing w:after="0" w:line="240" w:lineRule="auto"/>
              <w:rPr>
                <w:rFonts w:ascii="Arial" w:hAnsi="Arial" w:cs="Arial"/>
              </w:rPr>
            </w:pPr>
            <w:r>
              <w:rPr>
                <w:rFonts w:ascii="Arial" w:hAnsi="Arial" w:cs="Arial"/>
              </w:rPr>
              <w:t xml:space="preserve"> $           2,370 </w:t>
            </w:r>
          </w:p>
        </w:tc>
        <w:tc>
          <w:tcPr>
            <w:tcW w:w="1639" w:type="dxa"/>
            <w:noWrap/>
          </w:tcPr>
          <w:p w14:paraId="0C9BB1CB" w14:textId="77777777" w:rsidR="009D4E2F" w:rsidRDefault="00314650">
            <w:pPr>
              <w:spacing w:after="0" w:line="240" w:lineRule="auto"/>
              <w:rPr>
                <w:rFonts w:ascii="Arial" w:hAnsi="Arial" w:cs="Arial"/>
              </w:rPr>
            </w:pPr>
            <w:r>
              <w:rPr>
                <w:rFonts w:ascii="Arial" w:hAnsi="Arial" w:cs="Arial"/>
              </w:rPr>
              <w:t xml:space="preserve"> $           2,693 </w:t>
            </w:r>
          </w:p>
        </w:tc>
      </w:tr>
      <w:tr w:rsidR="009D4E2F" w14:paraId="616EBC84" w14:textId="77777777">
        <w:trPr>
          <w:trHeight w:val="288"/>
        </w:trPr>
        <w:tc>
          <w:tcPr>
            <w:tcW w:w="3944" w:type="dxa"/>
            <w:noWrap/>
          </w:tcPr>
          <w:p w14:paraId="4A4135FA" w14:textId="77777777" w:rsidR="009D4E2F" w:rsidRDefault="00314650">
            <w:pPr>
              <w:spacing w:after="0" w:line="240" w:lineRule="auto"/>
              <w:rPr>
                <w:rFonts w:ascii="Arial" w:hAnsi="Arial" w:cs="Arial"/>
                <w:b/>
                <w:bCs/>
              </w:rPr>
            </w:pPr>
            <w:r>
              <w:rPr>
                <w:rFonts w:ascii="Arial" w:hAnsi="Arial" w:cs="Arial"/>
                <w:b/>
                <w:bCs/>
              </w:rPr>
              <w:t>EBITDA</w:t>
            </w:r>
          </w:p>
        </w:tc>
        <w:tc>
          <w:tcPr>
            <w:tcW w:w="1640" w:type="dxa"/>
            <w:noWrap/>
          </w:tcPr>
          <w:p w14:paraId="42C0A18B" w14:textId="77777777" w:rsidR="009D4E2F" w:rsidRDefault="00314650">
            <w:pPr>
              <w:spacing w:after="0" w:line="240" w:lineRule="auto"/>
              <w:rPr>
                <w:rFonts w:ascii="Arial" w:hAnsi="Arial" w:cs="Arial"/>
              </w:rPr>
            </w:pPr>
            <w:r>
              <w:rPr>
                <w:rFonts w:ascii="Arial" w:hAnsi="Arial" w:cs="Arial"/>
              </w:rPr>
              <w:t xml:space="preserve"> $              188 </w:t>
            </w:r>
          </w:p>
        </w:tc>
        <w:tc>
          <w:tcPr>
            <w:tcW w:w="1639" w:type="dxa"/>
            <w:noWrap/>
          </w:tcPr>
          <w:p w14:paraId="730236A6" w14:textId="77777777" w:rsidR="009D4E2F" w:rsidRDefault="00314650">
            <w:pPr>
              <w:spacing w:after="0" w:line="240" w:lineRule="auto"/>
              <w:rPr>
                <w:rFonts w:ascii="Arial" w:hAnsi="Arial" w:cs="Arial"/>
              </w:rPr>
            </w:pPr>
            <w:r>
              <w:rPr>
                <w:rFonts w:ascii="Arial" w:hAnsi="Arial" w:cs="Arial"/>
              </w:rPr>
              <w:t xml:space="preserve"> $              162 </w:t>
            </w:r>
          </w:p>
        </w:tc>
        <w:tc>
          <w:tcPr>
            <w:tcW w:w="1639" w:type="dxa"/>
            <w:noWrap/>
          </w:tcPr>
          <w:p w14:paraId="36F76063" w14:textId="77777777" w:rsidR="009D4E2F" w:rsidRDefault="00314650">
            <w:pPr>
              <w:spacing w:after="0" w:line="240" w:lineRule="auto"/>
              <w:rPr>
                <w:rFonts w:ascii="Arial" w:hAnsi="Arial" w:cs="Arial"/>
              </w:rPr>
            </w:pPr>
            <w:r>
              <w:rPr>
                <w:rFonts w:ascii="Arial" w:hAnsi="Arial" w:cs="Arial"/>
              </w:rPr>
              <w:t xml:space="preserve"> $              147 </w:t>
            </w:r>
          </w:p>
        </w:tc>
        <w:tc>
          <w:tcPr>
            <w:tcW w:w="1639" w:type="dxa"/>
            <w:noWrap/>
          </w:tcPr>
          <w:p w14:paraId="4B3986F6" w14:textId="77777777" w:rsidR="009D4E2F" w:rsidRDefault="00314650">
            <w:pPr>
              <w:spacing w:after="0" w:line="240" w:lineRule="auto"/>
              <w:rPr>
                <w:rFonts w:ascii="Arial" w:hAnsi="Arial" w:cs="Arial"/>
              </w:rPr>
            </w:pPr>
            <w:r>
              <w:rPr>
                <w:rFonts w:ascii="Arial" w:hAnsi="Arial" w:cs="Arial"/>
              </w:rPr>
              <w:t xml:space="preserve"> $              146 </w:t>
            </w:r>
          </w:p>
        </w:tc>
        <w:tc>
          <w:tcPr>
            <w:tcW w:w="1639" w:type="dxa"/>
            <w:noWrap/>
          </w:tcPr>
          <w:p w14:paraId="78FB72C4" w14:textId="77777777" w:rsidR="009D4E2F" w:rsidRDefault="00314650">
            <w:pPr>
              <w:spacing w:after="0" w:line="240" w:lineRule="auto"/>
              <w:rPr>
                <w:rFonts w:ascii="Arial" w:hAnsi="Arial" w:cs="Arial"/>
              </w:rPr>
            </w:pPr>
            <w:r>
              <w:rPr>
                <w:rFonts w:ascii="Arial" w:hAnsi="Arial" w:cs="Arial"/>
              </w:rPr>
              <w:t xml:space="preserve"> $              177 </w:t>
            </w:r>
          </w:p>
        </w:tc>
      </w:tr>
      <w:tr w:rsidR="009D4E2F" w14:paraId="7DFEEAFF" w14:textId="77777777">
        <w:trPr>
          <w:trHeight w:val="288"/>
        </w:trPr>
        <w:tc>
          <w:tcPr>
            <w:tcW w:w="3944" w:type="dxa"/>
            <w:noWrap/>
          </w:tcPr>
          <w:p w14:paraId="704302C5" w14:textId="77777777" w:rsidR="009D4E2F" w:rsidRDefault="00314650">
            <w:pPr>
              <w:spacing w:after="0" w:line="240" w:lineRule="auto"/>
              <w:rPr>
                <w:rFonts w:ascii="Arial" w:hAnsi="Arial" w:cs="Arial"/>
                <w:b/>
                <w:bCs/>
              </w:rPr>
            </w:pPr>
            <w:r>
              <w:rPr>
                <w:rFonts w:ascii="Arial" w:hAnsi="Arial" w:cs="Arial"/>
                <w:b/>
                <w:bCs/>
              </w:rPr>
              <w:t>Interest Expense</w:t>
            </w:r>
          </w:p>
        </w:tc>
        <w:tc>
          <w:tcPr>
            <w:tcW w:w="1640" w:type="dxa"/>
            <w:noWrap/>
          </w:tcPr>
          <w:p w14:paraId="55CE3235" w14:textId="77777777" w:rsidR="009D4E2F" w:rsidRDefault="00314650">
            <w:pPr>
              <w:spacing w:after="0" w:line="240" w:lineRule="auto"/>
              <w:rPr>
                <w:rFonts w:ascii="Arial" w:hAnsi="Arial" w:cs="Arial"/>
              </w:rPr>
            </w:pPr>
            <w:r>
              <w:rPr>
                <w:rFonts w:ascii="Arial" w:hAnsi="Arial" w:cs="Arial"/>
              </w:rPr>
              <w:t xml:space="preserve"> $              397 </w:t>
            </w:r>
          </w:p>
        </w:tc>
        <w:tc>
          <w:tcPr>
            <w:tcW w:w="1639" w:type="dxa"/>
            <w:noWrap/>
          </w:tcPr>
          <w:p w14:paraId="6268F1CB" w14:textId="77777777" w:rsidR="009D4E2F" w:rsidRDefault="00314650">
            <w:pPr>
              <w:spacing w:after="0" w:line="240" w:lineRule="auto"/>
              <w:rPr>
                <w:rFonts w:ascii="Arial" w:hAnsi="Arial" w:cs="Arial"/>
              </w:rPr>
            </w:pPr>
            <w:r>
              <w:rPr>
                <w:rFonts w:ascii="Arial" w:hAnsi="Arial" w:cs="Arial"/>
              </w:rPr>
              <w:t xml:space="preserve"> $              415 </w:t>
            </w:r>
          </w:p>
        </w:tc>
        <w:tc>
          <w:tcPr>
            <w:tcW w:w="1639" w:type="dxa"/>
            <w:noWrap/>
          </w:tcPr>
          <w:p w14:paraId="6F10F114" w14:textId="77777777" w:rsidR="009D4E2F" w:rsidRDefault="00314650">
            <w:pPr>
              <w:spacing w:after="0" w:line="240" w:lineRule="auto"/>
              <w:rPr>
                <w:rFonts w:ascii="Arial" w:hAnsi="Arial" w:cs="Arial"/>
              </w:rPr>
            </w:pPr>
            <w:r>
              <w:rPr>
                <w:rFonts w:ascii="Arial" w:hAnsi="Arial" w:cs="Arial"/>
              </w:rPr>
              <w:t xml:space="preserve"> $              464 </w:t>
            </w:r>
          </w:p>
        </w:tc>
        <w:tc>
          <w:tcPr>
            <w:tcW w:w="1639" w:type="dxa"/>
            <w:noWrap/>
          </w:tcPr>
          <w:p w14:paraId="77FD8186" w14:textId="77777777" w:rsidR="009D4E2F" w:rsidRDefault="00314650">
            <w:pPr>
              <w:spacing w:after="0" w:line="240" w:lineRule="auto"/>
              <w:rPr>
                <w:rFonts w:ascii="Arial" w:hAnsi="Arial" w:cs="Arial"/>
              </w:rPr>
            </w:pPr>
            <w:r>
              <w:rPr>
                <w:rFonts w:ascii="Arial" w:hAnsi="Arial" w:cs="Arial"/>
              </w:rPr>
              <w:t xml:space="preserve"> $              569 </w:t>
            </w:r>
          </w:p>
        </w:tc>
        <w:tc>
          <w:tcPr>
            <w:tcW w:w="1639" w:type="dxa"/>
            <w:noWrap/>
          </w:tcPr>
          <w:p w14:paraId="535EFC39" w14:textId="77777777" w:rsidR="009D4E2F" w:rsidRDefault="00314650">
            <w:pPr>
              <w:spacing w:after="0" w:line="240" w:lineRule="auto"/>
              <w:rPr>
                <w:rFonts w:ascii="Arial" w:hAnsi="Arial" w:cs="Arial"/>
              </w:rPr>
            </w:pPr>
            <w:r>
              <w:rPr>
                <w:rFonts w:ascii="Arial" w:hAnsi="Arial" w:cs="Arial"/>
              </w:rPr>
              <w:t xml:space="preserve"> $              620 </w:t>
            </w:r>
          </w:p>
        </w:tc>
      </w:tr>
      <w:tr w:rsidR="009D4E2F" w14:paraId="5B8D2094" w14:textId="77777777">
        <w:trPr>
          <w:trHeight w:val="288"/>
        </w:trPr>
        <w:tc>
          <w:tcPr>
            <w:tcW w:w="3944" w:type="dxa"/>
            <w:noWrap/>
          </w:tcPr>
          <w:p w14:paraId="378A461A" w14:textId="77777777" w:rsidR="009D4E2F" w:rsidRDefault="00314650">
            <w:pPr>
              <w:spacing w:after="0" w:line="240" w:lineRule="auto"/>
              <w:rPr>
                <w:rFonts w:ascii="Arial" w:hAnsi="Arial" w:cs="Arial"/>
                <w:b/>
                <w:bCs/>
              </w:rPr>
            </w:pPr>
            <w:r>
              <w:rPr>
                <w:rFonts w:ascii="Arial" w:hAnsi="Arial" w:cs="Arial"/>
                <w:b/>
                <w:bCs/>
              </w:rPr>
              <w:t>Interest Income</w:t>
            </w:r>
          </w:p>
        </w:tc>
        <w:tc>
          <w:tcPr>
            <w:tcW w:w="1640" w:type="dxa"/>
            <w:noWrap/>
          </w:tcPr>
          <w:p w14:paraId="4EB02AE3"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576A1F54"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1D40C3B1"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58A01F89"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11E6BA7E" w14:textId="77777777" w:rsidR="009D4E2F" w:rsidRDefault="00314650">
            <w:pPr>
              <w:spacing w:after="0" w:line="240" w:lineRule="auto"/>
              <w:rPr>
                <w:rFonts w:ascii="Arial" w:hAnsi="Arial" w:cs="Arial"/>
              </w:rPr>
            </w:pPr>
            <w:r>
              <w:rPr>
                <w:rFonts w:ascii="Arial" w:hAnsi="Arial" w:cs="Arial"/>
              </w:rPr>
              <w:t xml:space="preserve"> $                  - </w:t>
            </w:r>
          </w:p>
        </w:tc>
      </w:tr>
      <w:tr w:rsidR="009D4E2F" w14:paraId="332E0780" w14:textId="77777777">
        <w:trPr>
          <w:trHeight w:val="288"/>
        </w:trPr>
        <w:tc>
          <w:tcPr>
            <w:tcW w:w="3944" w:type="dxa"/>
            <w:noWrap/>
          </w:tcPr>
          <w:p w14:paraId="5027BF6E" w14:textId="77777777" w:rsidR="009D4E2F" w:rsidRDefault="00314650">
            <w:pPr>
              <w:spacing w:after="0" w:line="240" w:lineRule="auto"/>
              <w:rPr>
                <w:rFonts w:ascii="Arial" w:hAnsi="Arial" w:cs="Arial"/>
                <w:b/>
                <w:bCs/>
              </w:rPr>
            </w:pPr>
            <w:r>
              <w:rPr>
                <w:rFonts w:ascii="Arial" w:hAnsi="Arial" w:cs="Arial"/>
                <w:b/>
                <w:bCs/>
              </w:rPr>
              <w:t>Pretax Income</w:t>
            </w:r>
          </w:p>
        </w:tc>
        <w:tc>
          <w:tcPr>
            <w:tcW w:w="1640" w:type="dxa"/>
            <w:noWrap/>
          </w:tcPr>
          <w:p w14:paraId="1FE7CDDB" w14:textId="77777777" w:rsidR="009D4E2F" w:rsidRDefault="00314650">
            <w:pPr>
              <w:spacing w:after="0" w:line="240" w:lineRule="auto"/>
              <w:rPr>
                <w:rFonts w:ascii="Arial" w:hAnsi="Arial" w:cs="Arial"/>
              </w:rPr>
            </w:pPr>
            <w:r>
              <w:rPr>
                <w:rFonts w:ascii="Arial" w:hAnsi="Arial" w:cs="Arial"/>
              </w:rPr>
              <w:t xml:space="preserve"> $              560 </w:t>
            </w:r>
          </w:p>
        </w:tc>
        <w:tc>
          <w:tcPr>
            <w:tcW w:w="1639" w:type="dxa"/>
            <w:noWrap/>
          </w:tcPr>
          <w:p w14:paraId="1AD11DCE" w14:textId="77777777" w:rsidR="009D4E2F" w:rsidRDefault="00314650">
            <w:pPr>
              <w:spacing w:after="0" w:line="240" w:lineRule="auto"/>
              <w:rPr>
                <w:rFonts w:ascii="Arial" w:hAnsi="Arial" w:cs="Arial"/>
              </w:rPr>
            </w:pPr>
            <w:r>
              <w:rPr>
                <w:rFonts w:ascii="Arial" w:hAnsi="Arial" w:cs="Arial"/>
              </w:rPr>
              <w:t xml:space="preserve"> $           1,734 </w:t>
            </w:r>
          </w:p>
        </w:tc>
        <w:tc>
          <w:tcPr>
            <w:tcW w:w="1639" w:type="dxa"/>
            <w:noWrap/>
          </w:tcPr>
          <w:p w14:paraId="63713A1B" w14:textId="77777777" w:rsidR="009D4E2F" w:rsidRDefault="00314650">
            <w:pPr>
              <w:spacing w:after="0" w:line="240" w:lineRule="auto"/>
              <w:rPr>
                <w:rFonts w:ascii="Arial" w:hAnsi="Arial" w:cs="Arial"/>
              </w:rPr>
            </w:pPr>
            <w:r>
              <w:rPr>
                <w:rFonts w:ascii="Arial" w:hAnsi="Arial" w:cs="Arial"/>
              </w:rPr>
              <w:t xml:space="preserve"> $           1,692 </w:t>
            </w:r>
          </w:p>
        </w:tc>
        <w:tc>
          <w:tcPr>
            <w:tcW w:w="1639" w:type="dxa"/>
            <w:noWrap/>
          </w:tcPr>
          <w:p w14:paraId="09CF0896" w14:textId="77777777" w:rsidR="009D4E2F" w:rsidRDefault="00314650">
            <w:pPr>
              <w:spacing w:after="0" w:line="240" w:lineRule="auto"/>
              <w:rPr>
                <w:rFonts w:ascii="Arial" w:hAnsi="Arial" w:cs="Arial"/>
              </w:rPr>
            </w:pPr>
            <w:r>
              <w:rPr>
                <w:rFonts w:ascii="Arial" w:hAnsi="Arial" w:cs="Arial"/>
              </w:rPr>
              <w:t xml:space="preserve"> $           1,783 </w:t>
            </w:r>
          </w:p>
        </w:tc>
        <w:tc>
          <w:tcPr>
            <w:tcW w:w="1639" w:type="dxa"/>
            <w:noWrap/>
          </w:tcPr>
          <w:p w14:paraId="66890FBF" w14:textId="77777777" w:rsidR="009D4E2F" w:rsidRDefault="00314650">
            <w:pPr>
              <w:spacing w:after="0" w:line="240" w:lineRule="auto"/>
              <w:rPr>
                <w:rFonts w:ascii="Arial" w:hAnsi="Arial" w:cs="Arial"/>
              </w:rPr>
            </w:pPr>
            <w:r>
              <w:rPr>
                <w:rFonts w:ascii="Arial" w:hAnsi="Arial" w:cs="Arial"/>
              </w:rPr>
              <w:t xml:space="preserve"> $           2,072 </w:t>
            </w:r>
          </w:p>
        </w:tc>
      </w:tr>
      <w:tr w:rsidR="009D4E2F" w14:paraId="59E4542C" w14:textId="77777777">
        <w:trPr>
          <w:trHeight w:val="288"/>
        </w:trPr>
        <w:tc>
          <w:tcPr>
            <w:tcW w:w="3944" w:type="dxa"/>
            <w:noWrap/>
          </w:tcPr>
          <w:p w14:paraId="07E28FAC" w14:textId="77777777" w:rsidR="009D4E2F" w:rsidRDefault="00314650">
            <w:pPr>
              <w:spacing w:after="0" w:line="240" w:lineRule="auto"/>
              <w:rPr>
                <w:rFonts w:ascii="Arial" w:hAnsi="Arial" w:cs="Arial"/>
                <w:b/>
                <w:bCs/>
              </w:rPr>
            </w:pPr>
            <w:r>
              <w:rPr>
                <w:rFonts w:ascii="Arial" w:hAnsi="Arial" w:cs="Arial"/>
                <w:b/>
                <w:bCs/>
              </w:rPr>
              <w:t>Income Tax</w:t>
            </w:r>
          </w:p>
        </w:tc>
        <w:tc>
          <w:tcPr>
            <w:tcW w:w="1640" w:type="dxa"/>
            <w:noWrap/>
          </w:tcPr>
          <w:p w14:paraId="19AE689E" w14:textId="77777777" w:rsidR="009D4E2F" w:rsidRDefault="00314650">
            <w:pPr>
              <w:spacing w:after="0" w:line="240" w:lineRule="auto"/>
              <w:rPr>
                <w:rFonts w:ascii="Arial" w:hAnsi="Arial" w:cs="Arial"/>
              </w:rPr>
            </w:pPr>
            <w:r>
              <w:rPr>
                <w:rFonts w:ascii="Arial" w:hAnsi="Arial" w:cs="Arial"/>
              </w:rPr>
              <w:t xml:space="preserve"> $              153 </w:t>
            </w:r>
          </w:p>
        </w:tc>
        <w:tc>
          <w:tcPr>
            <w:tcW w:w="1639" w:type="dxa"/>
            <w:noWrap/>
          </w:tcPr>
          <w:p w14:paraId="52F0328A" w14:textId="77777777" w:rsidR="009D4E2F" w:rsidRDefault="00314650">
            <w:pPr>
              <w:spacing w:after="0" w:line="240" w:lineRule="auto"/>
              <w:rPr>
                <w:rFonts w:ascii="Arial" w:hAnsi="Arial" w:cs="Arial"/>
              </w:rPr>
            </w:pPr>
            <w:r>
              <w:rPr>
                <w:rFonts w:ascii="Arial" w:hAnsi="Arial" w:cs="Arial"/>
              </w:rPr>
              <w:t xml:space="preserve"> $              477 </w:t>
            </w:r>
          </w:p>
        </w:tc>
        <w:tc>
          <w:tcPr>
            <w:tcW w:w="1639" w:type="dxa"/>
            <w:noWrap/>
          </w:tcPr>
          <w:p w14:paraId="63CFBA5D" w14:textId="77777777" w:rsidR="009D4E2F" w:rsidRDefault="00314650">
            <w:pPr>
              <w:spacing w:after="0" w:line="240" w:lineRule="auto"/>
              <w:rPr>
                <w:rFonts w:ascii="Arial" w:hAnsi="Arial" w:cs="Arial"/>
              </w:rPr>
            </w:pPr>
            <w:r>
              <w:rPr>
                <w:rFonts w:ascii="Arial" w:hAnsi="Arial" w:cs="Arial"/>
              </w:rPr>
              <w:t xml:space="preserve"> $              541 </w:t>
            </w:r>
          </w:p>
        </w:tc>
        <w:tc>
          <w:tcPr>
            <w:tcW w:w="1639" w:type="dxa"/>
            <w:noWrap/>
          </w:tcPr>
          <w:p w14:paraId="332D60A5" w14:textId="77777777" w:rsidR="009D4E2F" w:rsidRDefault="00314650">
            <w:pPr>
              <w:spacing w:after="0" w:line="240" w:lineRule="auto"/>
              <w:rPr>
                <w:rFonts w:ascii="Arial" w:hAnsi="Arial" w:cs="Arial"/>
              </w:rPr>
            </w:pPr>
            <w:r>
              <w:rPr>
                <w:rFonts w:ascii="Arial" w:hAnsi="Arial" w:cs="Arial"/>
              </w:rPr>
              <w:t xml:space="preserve"> $              244 </w:t>
            </w:r>
          </w:p>
        </w:tc>
        <w:tc>
          <w:tcPr>
            <w:tcW w:w="1639" w:type="dxa"/>
            <w:noWrap/>
          </w:tcPr>
          <w:p w14:paraId="6EE17221" w14:textId="77777777" w:rsidR="009D4E2F" w:rsidRDefault="00314650">
            <w:pPr>
              <w:spacing w:after="0" w:line="240" w:lineRule="auto"/>
              <w:rPr>
                <w:rFonts w:ascii="Arial" w:hAnsi="Arial" w:cs="Arial"/>
              </w:rPr>
            </w:pPr>
            <w:r>
              <w:rPr>
                <w:rFonts w:ascii="Arial" w:hAnsi="Arial" w:cs="Arial"/>
              </w:rPr>
              <w:t xml:space="preserve"> $              611 </w:t>
            </w:r>
          </w:p>
        </w:tc>
      </w:tr>
      <w:tr w:rsidR="009D4E2F" w14:paraId="441195A7" w14:textId="77777777">
        <w:trPr>
          <w:trHeight w:val="288"/>
        </w:trPr>
        <w:tc>
          <w:tcPr>
            <w:tcW w:w="3944" w:type="dxa"/>
            <w:noWrap/>
          </w:tcPr>
          <w:p w14:paraId="277E0350" w14:textId="77777777" w:rsidR="009D4E2F" w:rsidRDefault="00314650">
            <w:pPr>
              <w:spacing w:after="0" w:line="240" w:lineRule="auto"/>
              <w:rPr>
                <w:rFonts w:ascii="Arial" w:hAnsi="Arial" w:cs="Arial"/>
                <w:b/>
                <w:bCs/>
              </w:rPr>
            </w:pPr>
            <w:r>
              <w:rPr>
                <w:rFonts w:ascii="Arial" w:hAnsi="Arial" w:cs="Arial"/>
                <w:b/>
                <w:bCs/>
              </w:rPr>
              <w:t>Net Income</w:t>
            </w:r>
          </w:p>
        </w:tc>
        <w:tc>
          <w:tcPr>
            <w:tcW w:w="1640" w:type="dxa"/>
            <w:noWrap/>
          </w:tcPr>
          <w:p w14:paraId="2851DA0C" w14:textId="77777777" w:rsidR="009D4E2F" w:rsidRDefault="00314650">
            <w:pPr>
              <w:spacing w:after="0" w:line="240" w:lineRule="auto"/>
              <w:rPr>
                <w:rFonts w:ascii="Arial" w:hAnsi="Arial" w:cs="Arial"/>
              </w:rPr>
            </w:pPr>
            <w:r>
              <w:rPr>
                <w:rFonts w:ascii="Arial" w:hAnsi="Arial" w:cs="Arial"/>
              </w:rPr>
              <w:t xml:space="preserve"> $              407 </w:t>
            </w:r>
          </w:p>
        </w:tc>
        <w:tc>
          <w:tcPr>
            <w:tcW w:w="1639" w:type="dxa"/>
            <w:noWrap/>
          </w:tcPr>
          <w:p w14:paraId="6726CADC" w14:textId="77777777" w:rsidR="009D4E2F" w:rsidRDefault="00314650">
            <w:pPr>
              <w:spacing w:after="0" w:line="240" w:lineRule="auto"/>
              <w:rPr>
                <w:rFonts w:ascii="Arial" w:hAnsi="Arial" w:cs="Arial"/>
              </w:rPr>
            </w:pPr>
            <w:r>
              <w:rPr>
                <w:rFonts w:ascii="Arial" w:hAnsi="Arial" w:cs="Arial"/>
              </w:rPr>
              <w:t xml:space="preserve"> $           1,257 </w:t>
            </w:r>
          </w:p>
        </w:tc>
        <w:tc>
          <w:tcPr>
            <w:tcW w:w="1639" w:type="dxa"/>
            <w:noWrap/>
          </w:tcPr>
          <w:p w14:paraId="56414538" w14:textId="77777777" w:rsidR="009D4E2F" w:rsidRDefault="00314650">
            <w:pPr>
              <w:spacing w:after="0" w:line="240" w:lineRule="auto"/>
              <w:rPr>
                <w:rFonts w:ascii="Arial" w:hAnsi="Arial" w:cs="Arial"/>
              </w:rPr>
            </w:pPr>
            <w:r>
              <w:rPr>
                <w:rFonts w:ascii="Arial" w:hAnsi="Arial" w:cs="Arial"/>
              </w:rPr>
              <w:t xml:space="preserve"> $           1,151 </w:t>
            </w:r>
          </w:p>
        </w:tc>
        <w:tc>
          <w:tcPr>
            <w:tcW w:w="1639" w:type="dxa"/>
            <w:noWrap/>
          </w:tcPr>
          <w:p w14:paraId="21095362" w14:textId="77777777" w:rsidR="009D4E2F" w:rsidRDefault="00314650">
            <w:pPr>
              <w:spacing w:after="0" w:line="240" w:lineRule="auto"/>
              <w:rPr>
                <w:rFonts w:ascii="Arial" w:hAnsi="Arial" w:cs="Arial"/>
              </w:rPr>
            </w:pPr>
            <w:r>
              <w:rPr>
                <w:rFonts w:ascii="Arial" w:hAnsi="Arial" w:cs="Arial"/>
              </w:rPr>
              <w:t xml:space="preserve"> $           1,539 </w:t>
            </w:r>
          </w:p>
        </w:tc>
        <w:tc>
          <w:tcPr>
            <w:tcW w:w="1639" w:type="dxa"/>
            <w:noWrap/>
          </w:tcPr>
          <w:p w14:paraId="7DD08880" w14:textId="77777777" w:rsidR="009D4E2F" w:rsidRDefault="00314650">
            <w:pPr>
              <w:spacing w:after="0" w:line="240" w:lineRule="auto"/>
              <w:rPr>
                <w:rFonts w:ascii="Arial" w:hAnsi="Arial" w:cs="Arial"/>
              </w:rPr>
            </w:pPr>
            <w:r>
              <w:rPr>
                <w:rFonts w:ascii="Arial" w:hAnsi="Arial" w:cs="Arial"/>
              </w:rPr>
              <w:t xml:space="preserve"> $           1,461 </w:t>
            </w:r>
          </w:p>
        </w:tc>
      </w:tr>
      <w:tr w:rsidR="009D4E2F" w14:paraId="6B1F4159" w14:textId="77777777">
        <w:trPr>
          <w:trHeight w:val="288"/>
        </w:trPr>
        <w:tc>
          <w:tcPr>
            <w:tcW w:w="3944" w:type="dxa"/>
            <w:noWrap/>
          </w:tcPr>
          <w:p w14:paraId="71A70AF2" w14:textId="77777777" w:rsidR="009D4E2F" w:rsidRDefault="00314650">
            <w:pPr>
              <w:spacing w:after="0" w:line="240" w:lineRule="auto"/>
              <w:rPr>
                <w:rFonts w:ascii="Arial" w:hAnsi="Arial" w:cs="Arial"/>
                <w:b/>
                <w:bCs/>
              </w:rPr>
            </w:pPr>
            <w:r>
              <w:rPr>
                <w:rFonts w:ascii="Arial" w:hAnsi="Arial" w:cs="Arial"/>
                <w:b/>
                <w:bCs/>
              </w:rPr>
              <w:t>Depreciation &amp; Amortization</w:t>
            </w:r>
          </w:p>
        </w:tc>
        <w:tc>
          <w:tcPr>
            <w:tcW w:w="1640" w:type="dxa"/>
            <w:noWrap/>
          </w:tcPr>
          <w:p w14:paraId="305BD99B" w14:textId="77777777" w:rsidR="009D4E2F" w:rsidRDefault="00314650">
            <w:pPr>
              <w:spacing w:after="0" w:line="240" w:lineRule="auto"/>
              <w:rPr>
                <w:rFonts w:ascii="Arial" w:hAnsi="Arial" w:cs="Arial"/>
              </w:rPr>
            </w:pPr>
            <w:r>
              <w:rPr>
                <w:rFonts w:ascii="Arial" w:hAnsi="Arial" w:cs="Arial"/>
              </w:rPr>
              <w:t xml:space="preserve"> $              188 </w:t>
            </w:r>
          </w:p>
        </w:tc>
        <w:tc>
          <w:tcPr>
            <w:tcW w:w="1639" w:type="dxa"/>
            <w:noWrap/>
          </w:tcPr>
          <w:p w14:paraId="4EB7D42B" w14:textId="77777777" w:rsidR="009D4E2F" w:rsidRDefault="00314650">
            <w:pPr>
              <w:spacing w:after="0" w:line="240" w:lineRule="auto"/>
              <w:rPr>
                <w:rFonts w:ascii="Arial" w:hAnsi="Arial" w:cs="Arial"/>
              </w:rPr>
            </w:pPr>
            <w:r>
              <w:rPr>
                <w:rFonts w:ascii="Arial" w:hAnsi="Arial" w:cs="Arial"/>
              </w:rPr>
              <w:t xml:space="preserve"> $              162 </w:t>
            </w:r>
          </w:p>
        </w:tc>
        <w:tc>
          <w:tcPr>
            <w:tcW w:w="1639" w:type="dxa"/>
            <w:noWrap/>
          </w:tcPr>
          <w:p w14:paraId="7D534CAF" w14:textId="77777777" w:rsidR="009D4E2F" w:rsidRDefault="00314650">
            <w:pPr>
              <w:spacing w:after="0" w:line="240" w:lineRule="auto"/>
              <w:rPr>
                <w:rFonts w:ascii="Arial" w:hAnsi="Arial" w:cs="Arial"/>
              </w:rPr>
            </w:pPr>
            <w:r>
              <w:rPr>
                <w:rFonts w:ascii="Arial" w:hAnsi="Arial" w:cs="Arial"/>
              </w:rPr>
              <w:t xml:space="preserve"> $              147 </w:t>
            </w:r>
          </w:p>
        </w:tc>
        <w:tc>
          <w:tcPr>
            <w:tcW w:w="1639" w:type="dxa"/>
            <w:noWrap/>
          </w:tcPr>
          <w:p w14:paraId="7FB1D852" w14:textId="77777777" w:rsidR="009D4E2F" w:rsidRDefault="00314650">
            <w:pPr>
              <w:spacing w:after="0" w:line="240" w:lineRule="auto"/>
              <w:rPr>
                <w:rFonts w:ascii="Arial" w:hAnsi="Arial" w:cs="Arial"/>
              </w:rPr>
            </w:pPr>
            <w:r>
              <w:rPr>
                <w:rFonts w:ascii="Arial" w:hAnsi="Arial" w:cs="Arial"/>
              </w:rPr>
              <w:t xml:space="preserve"> $              146 </w:t>
            </w:r>
          </w:p>
        </w:tc>
        <w:tc>
          <w:tcPr>
            <w:tcW w:w="1639" w:type="dxa"/>
            <w:noWrap/>
          </w:tcPr>
          <w:p w14:paraId="64C4C0A4" w14:textId="77777777" w:rsidR="009D4E2F" w:rsidRDefault="00314650">
            <w:pPr>
              <w:spacing w:after="0" w:line="240" w:lineRule="auto"/>
              <w:rPr>
                <w:rFonts w:ascii="Arial" w:hAnsi="Arial" w:cs="Arial"/>
              </w:rPr>
            </w:pPr>
            <w:r>
              <w:rPr>
                <w:rFonts w:ascii="Arial" w:hAnsi="Arial" w:cs="Arial"/>
              </w:rPr>
              <w:t xml:space="preserve"> $              177 </w:t>
            </w:r>
          </w:p>
        </w:tc>
      </w:tr>
      <w:tr w:rsidR="009D4E2F" w14:paraId="194C99BB" w14:textId="77777777">
        <w:trPr>
          <w:trHeight w:val="288"/>
        </w:trPr>
        <w:tc>
          <w:tcPr>
            <w:tcW w:w="3944" w:type="dxa"/>
            <w:noWrap/>
          </w:tcPr>
          <w:p w14:paraId="291AD125" w14:textId="77777777" w:rsidR="009D4E2F" w:rsidRDefault="00314650">
            <w:pPr>
              <w:spacing w:after="0" w:line="240" w:lineRule="auto"/>
              <w:rPr>
                <w:rFonts w:ascii="Arial" w:hAnsi="Arial" w:cs="Arial"/>
                <w:b/>
                <w:bCs/>
              </w:rPr>
            </w:pPr>
            <w:r>
              <w:rPr>
                <w:rFonts w:ascii="Arial" w:hAnsi="Arial" w:cs="Arial"/>
                <w:b/>
                <w:bCs/>
              </w:rPr>
              <w:t>Cash &amp; Equivalents</w:t>
            </w:r>
          </w:p>
        </w:tc>
        <w:tc>
          <w:tcPr>
            <w:tcW w:w="1640" w:type="dxa"/>
            <w:noWrap/>
          </w:tcPr>
          <w:p w14:paraId="04D63BCE" w14:textId="77777777" w:rsidR="009D4E2F" w:rsidRDefault="00314650">
            <w:pPr>
              <w:spacing w:after="0" w:line="240" w:lineRule="auto"/>
              <w:rPr>
                <w:rFonts w:ascii="Arial" w:hAnsi="Arial" w:cs="Arial"/>
              </w:rPr>
            </w:pPr>
            <w:r>
              <w:rPr>
                <w:rFonts w:ascii="Arial" w:hAnsi="Arial" w:cs="Arial"/>
              </w:rPr>
              <w:t xml:space="preserve"> $           1,427 </w:t>
            </w:r>
          </w:p>
        </w:tc>
        <w:tc>
          <w:tcPr>
            <w:tcW w:w="1639" w:type="dxa"/>
            <w:noWrap/>
          </w:tcPr>
          <w:p w14:paraId="29C10CA1" w14:textId="77777777" w:rsidR="009D4E2F" w:rsidRDefault="00314650">
            <w:pPr>
              <w:spacing w:after="0" w:line="240" w:lineRule="auto"/>
              <w:rPr>
                <w:rFonts w:ascii="Arial" w:hAnsi="Arial" w:cs="Arial"/>
              </w:rPr>
            </w:pPr>
            <w:r>
              <w:rPr>
                <w:rFonts w:ascii="Arial" w:hAnsi="Arial" w:cs="Arial"/>
              </w:rPr>
              <w:t xml:space="preserve"> $           1,209 </w:t>
            </w:r>
          </w:p>
        </w:tc>
        <w:tc>
          <w:tcPr>
            <w:tcW w:w="1639" w:type="dxa"/>
            <w:noWrap/>
          </w:tcPr>
          <w:p w14:paraId="6E0E3834" w14:textId="77777777" w:rsidR="009D4E2F" w:rsidRDefault="00314650">
            <w:pPr>
              <w:spacing w:after="0" w:line="240" w:lineRule="auto"/>
              <w:rPr>
                <w:rFonts w:ascii="Arial" w:hAnsi="Arial" w:cs="Arial"/>
              </w:rPr>
            </w:pPr>
            <w:r>
              <w:rPr>
                <w:rFonts w:ascii="Arial" w:hAnsi="Arial" w:cs="Arial"/>
              </w:rPr>
              <w:t xml:space="preserve"> $              800 </w:t>
            </w:r>
          </w:p>
        </w:tc>
        <w:tc>
          <w:tcPr>
            <w:tcW w:w="1639" w:type="dxa"/>
            <w:noWrap/>
          </w:tcPr>
          <w:p w14:paraId="328F1A2D" w14:textId="77777777" w:rsidR="009D4E2F" w:rsidRDefault="00314650">
            <w:pPr>
              <w:spacing w:after="0" w:line="240" w:lineRule="auto"/>
              <w:rPr>
                <w:rFonts w:ascii="Arial" w:hAnsi="Arial" w:cs="Arial"/>
              </w:rPr>
            </w:pPr>
            <w:r>
              <w:rPr>
                <w:rFonts w:ascii="Arial" w:hAnsi="Arial" w:cs="Arial"/>
              </w:rPr>
              <w:t xml:space="preserve"> $           1,301 </w:t>
            </w:r>
          </w:p>
        </w:tc>
        <w:tc>
          <w:tcPr>
            <w:tcW w:w="1639" w:type="dxa"/>
            <w:noWrap/>
          </w:tcPr>
          <w:p w14:paraId="36EC10C8" w14:textId="77777777" w:rsidR="009D4E2F" w:rsidRDefault="00314650">
            <w:pPr>
              <w:spacing w:after="0" w:line="240" w:lineRule="auto"/>
              <w:rPr>
                <w:rFonts w:ascii="Arial" w:hAnsi="Arial" w:cs="Arial"/>
              </w:rPr>
            </w:pPr>
            <w:r>
              <w:rPr>
                <w:rFonts w:ascii="Arial" w:hAnsi="Arial" w:cs="Arial"/>
              </w:rPr>
              <w:t xml:space="preserve"> $              918 </w:t>
            </w:r>
          </w:p>
        </w:tc>
      </w:tr>
      <w:tr w:rsidR="009D4E2F" w14:paraId="5BB4AAD2" w14:textId="77777777">
        <w:trPr>
          <w:trHeight w:val="288"/>
        </w:trPr>
        <w:tc>
          <w:tcPr>
            <w:tcW w:w="3944" w:type="dxa"/>
            <w:noWrap/>
          </w:tcPr>
          <w:p w14:paraId="2AB262F1" w14:textId="77777777" w:rsidR="009D4E2F" w:rsidRDefault="00314650">
            <w:pPr>
              <w:spacing w:after="0" w:line="240" w:lineRule="auto"/>
              <w:rPr>
                <w:rFonts w:ascii="Arial" w:hAnsi="Arial" w:cs="Arial"/>
                <w:b/>
                <w:bCs/>
              </w:rPr>
            </w:pPr>
            <w:r>
              <w:rPr>
                <w:rFonts w:ascii="Arial" w:hAnsi="Arial" w:cs="Arial"/>
                <w:b/>
                <w:bCs/>
              </w:rPr>
              <w:t>Accounts Receivable</w:t>
            </w:r>
          </w:p>
        </w:tc>
        <w:tc>
          <w:tcPr>
            <w:tcW w:w="1640" w:type="dxa"/>
            <w:noWrap/>
          </w:tcPr>
          <w:p w14:paraId="188A8062" w14:textId="77777777" w:rsidR="009D4E2F" w:rsidRDefault="00314650">
            <w:pPr>
              <w:spacing w:after="0" w:line="240" w:lineRule="auto"/>
              <w:rPr>
                <w:rFonts w:ascii="Arial" w:hAnsi="Arial" w:cs="Arial"/>
              </w:rPr>
            </w:pPr>
            <w:r>
              <w:rPr>
                <w:rFonts w:ascii="Arial" w:hAnsi="Arial" w:cs="Arial"/>
              </w:rPr>
              <w:t xml:space="preserve"> $              868 </w:t>
            </w:r>
          </w:p>
        </w:tc>
        <w:tc>
          <w:tcPr>
            <w:tcW w:w="1639" w:type="dxa"/>
            <w:noWrap/>
          </w:tcPr>
          <w:p w14:paraId="146BF85C" w14:textId="77777777" w:rsidR="009D4E2F" w:rsidRDefault="00314650">
            <w:pPr>
              <w:spacing w:after="0" w:line="240" w:lineRule="auto"/>
              <w:rPr>
                <w:rFonts w:ascii="Arial" w:hAnsi="Arial" w:cs="Arial"/>
              </w:rPr>
            </w:pPr>
            <w:r>
              <w:rPr>
                <w:rFonts w:ascii="Arial" w:hAnsi="Arial" w:cs="Arial"/>
              </w:rPr>
              <w:t xml:space="preserve"> $           1,327 </w:t>
            </w:r>
          </w:p>
        </w:tc>
        <w:tc>
          <w:tcPr>
            <w:tcW w:w="1639" w:type="dxa"/>
            <w:noWrap/>
          </w:tcPr>
          <w:p w14:paraId="0D23A336" w14:textId="77777777" w:rsidR="009D4E2F" w:rsidRDefault="00314650">
            <w:pPr>
              <w:spacing w:after="0" w:line="240" w:lineRule="auto"/>
              <w:rPr>
                <w:rFonts w:ascii="Arial" w:hAnsi="Arial" w:cs="Arial"/>
              </w:rPr>
            </w:pPr>
            <w:r>
              <w:rPr>
                <w:rFonts w:ascii="Arial" w:hAnsi="Arial" w:cs="Arial"/>
              </w:rPr>
              <w:t xml:space="preserve"> $           1,487 </w:t>
            </w:r>
          </w:p>
        </w:tc>
        <w:tc>
          <w:tcPr>
            <w:tcW w:w="1639" w:type="dxa"/>
            <w:noWrap/>
          </w:tcPr>
          <w:p w14:paraId="2B391487" w14:textId="77777777" w:rsidR="009D4E2F" w:rsidRDefault="00314650">
            <w:pPr>
              <w:spacing w:after="0" w:line="240" w:lineRule="auto"/>
              <w:rPr>
                <w:rFonts w:ascii="Arial" w:hAnsi="Arial" w:cs="Arial"/>
              </w:rPr>
            </w:pPr>
            <w:r>
              <w:rPr>
                <w:rFonts w:ascii="Arial" w:hAnsi="Arial" w:cs="Arial"/>
              </w:rPr>
              <w:t xml:space="preserve"> $           1,583 </w:t>
            </w:r>
          </w:p>
        </w:tc>
        <w:tc>
          <w:tcPr>
            <w:tcW w:w="1639" w:type="dxa"/>
            <w:noWrap/>
          </w:tcPr>
          <w:p w14:paraId="47D54494" w14:textId="77777777" w:rsidR="009D4E2F" w:rsidRDefault="00314650">
            <w:pPr>
              <w:spacing w:after="0" w:line="240" w:lineRule="auto"/>
              <w:rPr>
                <w:rFonts w:ascii="Arial" w:hAnsi="Arial" w:cs="Arial"/>
              </w:rPr>
            </w:pPr>
            <w:r>
              <w:rPr>
                <w:rFonts w:ascii="Arial" w:hAnsi="Arial" w:cs="Arial"/>
              </w:rPr>
              <w:t xml:space="preserve"> $           1,690 </w:t>
            </w:r>
          </w:p>
        </w:tc>
      </w:tr>
      <w:tr w:rsidR="009D4E2F" w14:paraId="1871175A" w14:textId="77777777">
        <w:trPr>
          <w:trHeight w:val="288"/>
        </w:trPr>
        <w:tc>
          <w:tcPr>
            <w:tcW w:w="3944" w:type="dxa"/>
            <w:noWrap/>
          </w:tcPr>
          <w:p w14:paraId="3D0A17F3" w14:textId="77777777" w:rsidR="009D4E2F" w:rsidRDefault="00314650">
            <w:pPr>
              <w:spacing w:after="0" w:line="240" w:lineRule="auto"/>
              <w:rPr>
                <w:rFonts w:ascii="Arial" w:hAnsi="Arial" w:cs="Arial"/>
                <w:b/>
                <w:bCs/>
              </w:rPr>
            </w:pPr>
            <w:r>
              <w:rPr>
                <w:rFonts w:ascii="Arial" w:hAnsi="Arial" w:cs="Arial"/>
                <w:b/>
                <w:bCs/>
              </w:rPr>
              <w:t>Inventories</w:t>
            </w:r>
          </w:p>
        </w:tc>
        <w:tc>
          <w:tcPr>
            <w:tcW w:w="1640" w:type="dxa"/>
            <w:noWrap/>
          </w:tcPr>
          <w:p w14:paraId="4745A110"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5540D035"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32806296"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0252EC76"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424627C9" w14:textId="77777777" w:rsidR="009D4E2F" w:rsidRDefault="00314650">
            <w:pPr>
              <w:spacing w:after="0" w:line="240" w:lineRule="auto"/>
              <w:rPr>
                <w:rFonts w:ascii="Arial" w:hAnsi="Arial" w:cs="Arial"/>
              </w:rPr>
            </w:pPr>
            <w:r>
              <w:rPr>
                <w:rFonts w:ascii="Arial" w:hAnsi="Arial" w:cs="Arial"/>
              </w:rPr>
              <w:t xml:space="preserve"> $                  - </w:t>
            </w:r>
          </w:p>
        </w:tc>
      </w:tr>
      <w:tr w:rsidR="009D4E2F" w14:paraId="11F1A3B7" w14:textId="77777777">
        <w:trPr>
          <w:trHeight w:val="288"/>
        </w:trPr>
        <w:tc>
          <w:tcPr>
            <w:tcW w:w="3944" w:type="dxa"/>
            <w:noWrap/>
          </w:tcPr>
          <w:p w14:paraId="45998D32" w14:textId="77777777" w:rsidR="009D4E2F" w:rsidRDefault="00314650">
            <w:pPr>
              <w:spacing w:after="0" w:line="240" w:lineRule="auto"/>
              <w:rPr>
                <w:rFonts w:ascii="Arial" w:hAnsi="Arial" w:cs="Arial"/>
                <w:b/>
                <w:bCs/>
              </w:rPr>
            </w:pPr>
            <w:r>
              <w:rPr>
                <w:rFonts w:ascii="Arial" w:hAnsi="Arial" w:cs="Arial"/>
                <w:b/>
                <w:bCs/>
              </w:rPr>
              <w:t>Current Assets</w:t>
            </w:r>
          </w:p>
        </w:tc>
        <w:tc>
          <w:tcPr>
            <w:tcW w:w="1640" w:type="dxa"/>
            <w:noWrap/>
          </w:tcPr>
          <w:p w14:paraId="2ECA852A" w14:textId="77777777" w:rsidR="009D4E2F" w:rsidRDefault="00314650">
            <w:pPr>
              <w:spacing w:after="0" w:line="240" w:lineRule="auto"/>
              <w:rPr>
                <w:rFonts w:ascii="Arial" w:hAnsi="Arial" w:cs="Arial"/>
              </w:rPr>
            </w:pPr>
            <w:r>
              <w:rPr>
                <w:rFonts w:ascii="Arial" w:hAnsi="Arial" w:cs="Arial"/>
              </w:rPr>
              <w:t xml:space="preserve"> $           2,871 </w:t>
            </w:r>
          </w:p>
        </w:tc>
        <w:tc>
          <w:tcPr>
            <w:tcW w:w="1639" w:type="dxa"/>
            <w:noWrap/>
          </w:tcPr>
          <w:p w14:paraId="2A637978" w14:textId="77777777" w:rsidR="009D4E2F" w:rsidRDefault="00314650">
            <w:pPr>
              <w:spacing w:after="0" w:line="240" w:lineRule="auto"/>
              <w:rPr>
                <w:rFonts w:ascii="Arial" w:hAnsi="Arial" w:cs="Arial"/>
              </w:rPr>
            </w:pPr>
            <w:r>
              <w:rPr>
                <w:rFonts w:ascii="Arial" w:hAnsi="Arial" w:cs="Arial"/>
              </w:rPr>
              <w:t xml:space="preserve"> $           2,870 </w:t>
            </w:r>
          </w:p>
        </w:tc>
        <w:tc>
          <w:tcPr>
            <w:tcW w:w="1639" w:type="dxa"/>
            <w:noWrap/>
          </w:tcPr>
          <w:p w14:paraId="4537C8EF" w14:textId="77777777" w:rsidR="009D4E2F" w:rsidRDefault="00314650">
            <w:pPr>
              <w:spacing w:after="0" w:line="240" w:lineRule="auto"/>
              <w:rPr>
                <w:rFonts w:ascii="Arial" w:hAnsi="Arial" w:cs="Arial"/>
              </w:rPr>
            </w:pPr>
            <w:r>
              <w:rPr>
                <w:rFonts w:ascii="Arial" w:hAnsi="Arial" w:cs="Arial"/>
              </w:rPr>
              <w:t xml:space="preserve"> $           2,614 </w:t>
            </w:r>
          </w:p>
        </w:tc>
        <w:tc>
          <w:tcPr>
            <w:tcW w:w="1639" w:type="dxa"/>
            <w:noWrap/>
          </w:tcPr>
          <w:p w14:paraId="08245896" w14:textId="77777777" w:rsidR="009D4E2F" w:rsidRDefault="00314650">
            <w:pPr>
              <w:spacing w:after="0" w:line="240" w:lineRule="auto"/>
              <w:rPr>
                <w:rFonts w:ascii="Arial" w:hAnsi="Arial" w:cs="Arial"/>
              </w:rPr>
            </w:pPr>
            <w:r>
              <w:rPr>
                <w:rFonts w:ascii="Arial" w:hAnsi="Arial" w:cs="Arial"/>
              </w:rPr>
              <w:t xml:space="preserve"> $           3,272 </w:t>
            </w:r>
          </w:p>
        </w:tc>
        <w:tc>
          <w:tcPr>
            <w:tcW w:w="1639" w:type="dxa"/>
            <w:noWrap/>
          </w:tcPr>
          <w:p w14:paraId="75672B36" w14:textId="77777777" w:rsidR="009D4E2F" w:rsidRDefault="00314650">
            <w:pPr>
              <w:spacing w:after="0" w:line="240" w:lineRule="auto"/>
              <w:rPr>
                <w:rFonts w:ascii="Arial" w:hAnsi="Arial" w:cs="Arial"/>
              </w:rPr>
            </w:pPr>
            <w:r>
              <w:rPr>
                <w:rFonts w:ascii="Arial" w:hAnsi="Arial" w:cs="Arial"/>
              </w:rPr>
              <w:t xml:space="preserve"> $           2,996 </w:t>
            </w:r>
          </w:p>
        </w:tc>
      </w:tr>
      <w:tr w:rsidR="009D4E2F" w14:paraId="3DD369FB" w14:textId="77777777">
        <w:trPr>
          <w:trHeight w:val="288"/>
        </w:trPr>
        <w:tc>
          <w:tcPr>
            <w:tcW w:w="3944" w:type="dxa"/>
            <w:noWrap/>
          </w:tcPr>
          <w:p w14:paraId="7E2268EF" w14:textId="77777777" w:rsidR="009D4E2F" w:rsidRDefault="00314650">
            <w:pPr>
              <w:spacing w:after="0" w:line="240" w:lineRule="auto"/>
              <w:rPr>
                <w:rFonts w:ascii="Arial" w:hAnsi="Arial" w:cs="Arial"/>
                <w:b/>
                <w:bCs/>
              </w:rPr>
            </w:pPr>
            <w:r>
              <w:rPr>
                <w:rFonts w:ascii="Arial" w:hAnsi="Arial" w:cs="Arial"/>
                <w:b/>
                <w:bCs/>
              </w:rPr>
              <w:t>PP&amp;E, net</w:t>
            </w:r>
          </w:p>
        </w:tc>
        <w:tc>
          <w:tcPr>
            <w:tcW w:w="1640" w:type="dxa"/>
            <w:noWrap/>
          </w:tcPr>
          <w:p w14:paraId="0920A7A4" w14:textId="77777777" w:rsidR="009D4E2F" w:rsidRDefault="00314650">
            <w:pPr>
              <w:spacing w:after="0" w:line="240" w:lineRule="auto"/>
              <w:rPr>
                <w:rFonts w:ascii="Arial" w:hAnsi="Arial" w:cs="Arial"/>
              </w:rPr>
            </w:pPr>
            <w:r>
              <w:rPr>
                <w:rFonts w:ascii="Arial" w:hAnsi="Arial" w:cs="Arial"/>
              </w:rPr>
              <w:t xml:space="preserve"> $              305 </w:t>
            </w:r>
          </w:p>
        </w:tc>
        <w:tc>
          <w:tcPr>
            <w:tcW w:w="1639" w:type="dxa"/>
            <w:noWrap/>
          </w:tcPr>
          <w:p w14:paraId="44CBFA25" w14:textId="77777777" w:rsidR="009D4E2F" w:rsidRDefault="00314650">
            <w:pPr>
              <w:spacing w:after="0" w:line="240" w:lineRule="auto"/>
              <w:rPr>
                <w:rFonts w:ascii="Arial" w:hAnsi="Arial" w:cs="Arial"/>
              </w:rPr>
            </w:pPr>
            <w:r>
              <w:rPr>
                <w:rFonts w:ascii="Arial" w:hAnsi="Arial" w:cs="Arial"/>
              </w:rPr>
              <w:t xml:space="preserve"> $              280 </w:t>
            </w:r>
          </w:p>
        </w:tc>
        <w:tc>
          <w:tcPr>
            <w:tcW w:w="1639" w:type="dxa"/>
            <w:noWrap/>
          </w:tcPr>
          <w:p w14:paraId="604846CA" w14:textId="77777777" w:rsidR="009D4E2F" w:rsidRDefault="00314650">
            <w:pPr>
              <w:spacing w:after="0" w:line="240" w:lineRule="auto"/>
              <w:rPr>
                <w:rFonts w:ascii="Arial" w:hAnsi="Arial" w:cs="Arial"/>
              </w:rPr>
            </w:pPr>
            <w:r>
              <w:rPr>
                <w:rFonts w:ascii="Arial" w:hAnsi="Arial" w:cs="Arial"/>
              </w:rPr>
              <w:t xml:space="preserve"> $              382 </w:t>
            </w:r>
          </w:p>
        </w:tc>
        <w:tc>
          <w:tcPr>
            <w:tcW w:w="1639" w:type="dxa"/>
            <w:noWrap/>
          </w:tcPr>
          <w:p w14:paraId="4FD09C0F" w14:textId="77777777" w:rsidR="009D4E2F" w:rsidRDefault="00314650">
            <w:pPr>
              <w:spacing w:after="0" w:line="240" w:lineRule="auto"/>
              <w:rPr>
                <w:rFonts w:ascii="Arial" w:hAnsi="Arial" w:cs="Arial"/>
              </w:rPr>
            </w:pPr>
            <w:r>
              <w:rPr>
                <w:rFonts w:ascii="Arial" w:hAnsi="Arial" w:cs="Arial"/>
              </w:rPr>
              <w:t xml:space="preserve"> $              411 </w:t>
            </w:r>
          </w:p>
        </w:tc>
        <w:tc>
          <w:tcPr>
            <w:tcW w:w="1639" w:type="dxa"/>
            <w:noWrap/>
          </w:tcPr>
          <w:p w14:paraId="10FFBBC7" w14:textId="77777777" w:rsidR="009D4E2F" w:rsidRDefault="00314650">
            <w:pPr>
              <w:spacing w:after="0" w:line="240" w:lineRule="auto"/>
              <w:rPr>
                <w:rFonts w:ascii="Arial" w:hAnsi="Arial" w:cs="Arial"/>
              </w:rPr>
            </w:pPr>
            <w:r>
              <w:rPr>
                <w:rFonts w:ascii="Arial" w:hAnsi="Arial" w:cs="Arial"/>
              </w:rPr>
              <w:t xml:space="preserve"> $              684 </w:t>
            </w:r>
          </w:p>
        </w:tc>
      </w:tr>
      <w:tr w:rsidR="009D4E2F" w14:paraId="6DED6F49" w14:textId="77777777">
        <w:trPr>
          <w:trHeight w:val="288"/>
        </w:trPr>
        <w:tc>
          <w:tcPr>
            <w:tcW w:w="3944" w:type="dxa"/>
            <w:noWrap/>
          </w:tcPr>
          <w:p w14:paraId="72958DDC" w14:textId="77777777" w:rsidR="009D4E2F" w:rsidRDefault="00314650">
            <w:pPr>
              <w:spacing w:after="0" w:line="240" w:lineRule="auto"/>
              <w:rPr>
                <w:rFonts w:ascii="Arial" w:hAnsi="Arial" w:cs="Arial"/>
                <w:b/>
                <w:bCs/>
              </w:rPr>
            </w:pPr>
            <w:r>
              <w:rPr>
                <w:rFonts w:ascii="Arial" w:hAnsi="Arial" w:cs="Arial"/>
                <w:b/>
                <w:bCs/>
              </w:rPr>
              <w:lastRenderedPageBreak/>
              <w:t>Total Assets</w:t>
            </w:r>
          </w:p>
        </w:tc>
        <w:tc>
          <w:tcPr>
            <w:tcW w:w="1640" w:type="dxa"/>
            <w:noWrap/>
          </w:tcPr>
          <w:p w14:paraId="6E701C4B" w14:textId="77777777" w:rsidR="009D4E2F" w:rsidRDefault="00314650">
            <w:pPr>
              <w:spacing w:after="0" w:line="240" w:lineRule="auto"/>
              <w:rPr>
                <w:rFonts w:ascii="Arial" w:hAnsi="Arial" w:cs="Arial"/>
              </w:rPr>
            </w:pPr>
            <w:r>
              <w:rPr>
                <w:rFonts w:ascii="Arial" w:hAnsi="Arial" w:cs="Arial"/>
              </w:rPr>
              <w:t xml:space="preserve"> $          15,441 </w:t>
            </w:r>
          </w:p>
        </w:tc>
        <w:tc>
          <w:tcPr>
            <w:tcW w:w="1639" w:type="dxa"/>
            <w:noWrap/>
          </w:tcPr>
          <w:p w14:paraId="5DFA4E53" w14:textId="77777777" w:rsidR="009D4E2F" w:rsidRDefault="00314650">
            <w:pPr>
              <w:spacing w:after="0" w:line="240" w:lineRule="auto"/>
              <w:rPr>
                <w:rFonts w:ascii="Arial" w:hAnsi="Arial" w:cs="Arial"/>
              </w:rPr>
            </w:pPr>
            <w:r>
              <w:rPr>
                <w:rFonts w:ascii="Arial" w:hAnsi="Arial" w:cs="Arial"/>
              </w:rPr>
              <w:t xml:space="preserve"> $          15,512 </w:t>
            </w:r>
          </w:p>
        </w:tc>
        <w:tc>
          <w:tcPr>
            <w:tcW w:w="1639" w:type="dxa"/>
            <w:noWrap/>
          </w:tcPr>
          <w:p w14:paraId="669BA157" w14:textId="77777777" w:rsidR="009D4E2F" w:rsidRDefault="00314650">
            <w:pPr>
              <w:spacing w:after="0" w:line="240" w:lineRule="auto"/>
              <w:rPr>
                <w:rFonts w:ascii="Arial" w:hAnsi="Arial" w:cs="Arial"/>
              </w:rPr>
            </w:pPr>
            <w:r>
              <w:rPr>
                <w:rFonts w:ascii="Arial" w:hAnsi="Arial" w:cs="Arial"/>
              </w:rPr>
              <w:t xml:space="preserve"> $          15,401 </w:t>
            </w:r>
          </w:p>
        </w:tc>
        <w:tc>
          <w:tcPr>
            <w:tcW w:w="1639" w:type="dxa"/>
            <w:noWrap/>
          </w:tcPr>
          <w:p w14:paraId="7B89629D" w14:textId="77777777" w:rsidR="009D4E2F" w:rsidRDefault="00314650">
            <w:pPr>
              <w:spacing w:after="0" w:line="240" w:lineRule="auto"/>
              <w:rPr>
                <w:rFonts w:ascii="Arial" w:hAnsi="Arial" w:cs="Arial"/>
              </w:rPr>
            </w:pPr>
            <w:r>
              <w:rPr>
                <w:rFonts w:ascii="Arial" w:hAnsi="Arial" w:cs="Arial"/>
              </w:rPr>
              <w:t xml:space="preserve"> $          16,522 </w:t>
            </w:r>
          </w:p>
        </w:tc>
        <w:tc>
          <w:tcPr>
            <w:tcW w:w="1639" w:type="dxa"/>
            <w:noWrap/>
          </w:tcPr>
          <w:p w14:paraId="60992355" w14:textId="77777777" w:rsidR="009D4E2F" w:rsidRDefault="00314650">
            <w:pPr>
              <w:spacing w:after="0" w:line="240" w:lineRule="auto"/>
              <w:rPr>
                <w:rFonts w:ascii="Arial" w:hAnsi="Arial" w:cs="Arial"/>
              </w:rPr>
            </w:pPr>
            <w:r>
              <w:rPr>
                <w:rFonts w:ascii="Arial" w:hAnsi="Arial" w:cs="Arial"/>
              </w:rPr>
              <w:t xml:space="preserve"> $          16,774 </w:t>
            </w:r>
          </w:p>
        </w:tc>
      </w:tr>
      <w:tr w:rsidR="009D4E2F" w14:paraId="599E78DD" w14:textId="77777777">
        <w:trPr>
          <w:trHeight w:val="288"/>
        </w:trPr>
        <w:tc>
          <w:tcPr>
            <w:tcW w:w="3944" w:type="dxa"/>
            <w:noWrap/>
          </w:tcPr>
          <w:p w14:paraId="48D32394" w14:textId="77777777" w:rsidR="009D4E2F" w:rsidRDefault="00314650">
            <w:pPr>
              <w:spacing w:after="0" w:line="240" w:lineRule="auto"/>
              <w:rPr>
                <w:rFonts w:ascii="Arial" w:hAnsi="Arial" w:cs="Arial"/>
                <w:b/>
                <w:bCs/>
              </w:rPr>
            </w:pPr>
            <w:r>
              <w:rPr>
                <w:rFonts w:ascii="Arial" w:hAnsi="Arial" w:cs="Arial"/>
                <w:b/>
                <w:bCs/>
              </w:rPr>
              <w:t>Short-term Debt</w:t>
            </w:r>
          </w:p>
        </w:tc>
        <w:tc>
          <w:tcPr>
            <w:tcW w:w="1640" w:type="dxa"/>
            <w:noWrap/>
          </w:tcPr>
          <w:p w14:paraId="6708B982" w14:textId="77777777" w:rsidR="009D4E2F" w:rsidRDefault="00314650">
            <w:pPr>
              <w:spacing w:after="0" w:line="240" w:lineRule="auto"/>
              <w:rPr>
                <w:rFonts w:ascii="Arial" w:hAnsi="Arial" w:cs="Arial"/>
              </w:rPr>
            </w:pPr>
            <w:r>
              <w:rPr>
                <w:rFonts w:ascii="Arial" w:hAnsi="Arial" w:cs="Arial"/>
              </w:rPr>
              <w:t xml:space="preserve"> $                54 </w:t>
            </w:r>
          </w:p>
        </w:tc>
        <w:tc>
          <w:tcPr>
            <w:tcW w:w="1639" w:type="dxa"/>
            <w:noWrap/>
          </w:tcPr>
          <w:p w14:paraId="54C19AC6" w14:textId="77777777" w:rsidR="009D4E2F" w:rsidRDefault="00314650">
            <w:pPr>
              <w:spacing w:after="0" w:line="240" w:lineRule="auto"/>
              <w:rPr>
                <w:rFonts w:ascii="Arial" w:hAnsi="Arial" w:cs="Arial"/>
              </w:rPr>
            </w:pPr>
            <w:r>
              <w:rPr>
                <w:rFonts w:ascii="Arial" w:hAnsi="Arial" w:cs="Arial"/>
              </w:rPr>
              <w:t xml:space="preserve"> $                39 </w:t>
            </w:r>
          </w:p>
        </w:tc>
        <w:tc>
          <w:tcPr>
            <w:tcW w:w="1639" w:type="dxa"/>
            <w:noWrap/>
          </w:tcPr>
          <w:p w14:paraId="225B8303" w14:textId="77777777" w:rsidR="009D4E2F" w:rsidRDefault="00314650">
            <w:pPr>
              <w:spacing w:after="0" w:line="240" w:lineRule="auto"/>
              <w:rPr>
                <w:rFonts w:ascii="Arial" w:hAnsi="Arial" w:cs="Arial"/>
              </w:rPr>
            </w:pPr>
            <w:r>
              <w:rPr>
                <w:rFonts w:ascii="Arial" w:hAnsi="Arial" w:cs="Arial"/>
              </w:rPr>
              <w:t xml:space="preserve"> $                39 </w:t>
            </w:r>
          </w:p>
        </w:tc>
        <w:tc>
          <w:tcPr>
            <w:tcW w:w="1639" w:type="dxa"/>
            <w:noWrap/>
          </w:tcPr>
          <w:p w14:paraId="2BBDBED7" w14:textId="77777777" w:rsidR="009D4E2F" w:rsidRDefault="00314650">
            <w:pPr>
              <w:spacing w:after="0" w:line="240" w:lineRule="auto"/>
              <w:rPr>
                <w:rFonts w:ascii="Arial" w:hAnsi="Arial" w:cs="Arial"/>
              </w:rPr>
            </w:pPr>
            <w:r>
              <w:rPr>
                <w:rFonts w:ascii="Arial" w:hAnsi="Arial" w:cs="Arial"/>
              </w:rPr>
              <w:t xml:space="preserve"> $              535 </w:t>
            </w:r>
          </w:p>
        </w:tc>
        <w:tc>
          <w:tcPr>
            <w:tcW w:w="1639" w:type="dxa"/>
            <w:noWrap/>
          </w:tcPr>
          <w:p w14:paraId="294F1327" w14:textId="77777777" w:rsidR="009D4E2F" w:rsidRDefault="00314650">
            <w:pPr>
              <w:spacing w:after="0" w:line="240" w:lineRule="auto"/>
              <w:rPr>
                <w:rFonts w:ascii="Arial" w:hAnsi="Arial" w:cs="Arial"/>
              </w:rPr>
            </w:pPr>
            <w:r>
              <w:rPr>
                <w:rFonts w:ascii="Arial" w:hAnsi="Arial" w:cs="Arial"/>
              </w:rPr>
              <w:t xml:space="preserve"> $                25 </w:t>
            </w:r>
          </w:p>
        </w:tc>
      </w:tr>
      <w:tr w:rsidR="009D4E2F" w14:paraId="2EE5908F" w14:textId="77777777">
        <w:trPr>
          <w:trHeight w:val="288"/>
        </w:trPr>
        <w:tc>
          <w:tcPr>
            <w:tcW w:w="3944" w:type="dxa"/>
            <w:noWrap/>
          </w:tcPr>
          <w:p w14:paraId="2F8F8AE1" w14:textId="77777777" w:rsidR="009D4E2F" w:rsidRDefault="00314650">
            <w:pPr>
              <w:spacing w:after="0" w:line="240" w:lineRule="auto"/>
              <w:rPr>
                <w:rFonts w:ascii="Arial" w:hAnsi="Arial" w:cs="Arial"/>
                <w:b/>
                <w:bCs/>
              </w:rPr>
            </w:pPr>
            <w:r>
              <w:rPr>
                <w:rFonts w:ascii="Arial" w:hAnsi="Arial" w:cs="Arial"/>
                <w:b/>
                <w:bCs/>
              </w:rPr>
              <w:t>Accounts Payable</w:t>
            </w:r>
          </w:p>
        </w:tc>
        <w:tc>
          <w:tcPr>
            <w:tcW w:w="1640" w:type="dxa"/>
            <w:noWrap/>
          </w:tcPr>
          <w:p w14:paraId="30CFB65A" w14:textId="77777777" w:rsidR="009D4E2F" w:rsidRDefault="00314650">
            <w:pPr>
              <w:spacing w:after="0" w:line="240" w:lineRule="auto"/>
              <w:rPr>
                <w:rFonts w:ascii="Arial" w:hAnsi="Arial" w:cs="Arial"/>
              </w:rPr>
            </w:pPr>
            <w:r>
              <w:rPr>
                <w:rFonts w:ascii="Arial" w:hAnsi="Arial" w:cs="Arial"/>
              </w:rPr>
              <w:t xml:space="preserve"> $           1,568 </w:t>
            </w:r>
          </w:p>
        </w:tc>
        <w:tc>
          <w:tcPr>
            <w:tcW w:w="1639" w:type="dxa"/>
            <w:noWrap/>
          </w:tcPr>
          <w:p w14:paraId="2B9361A7" w14:textId="77777777" w:rsidR="009D4E2F" w:rsidRDefault="00314650">
            <w:pPr>
              <w:spacing w:after="0" w:line="240" w:lineRule="auto"/>
              <w:rPr>
                <w:rFonts w:ascii="Arial" w:hAnsi="Arial" w:cs="Arial"/>
              </w:rPr>
            </w:pPr>
            <w:r>
              <w:rPr>
                <w:rFonts w:ascii="Arial" w:hAnsi="Arial" w:cs="Arial"/>
              </w:rPr>
              <w:t xml:space="preserve"> $           1,790 </w:t>
            </w:r>
          </w:p>
        </w:tc>
        <w:tc>
          <w:tcPr>
            <w:tcW w:w="1639" w:type="dxa"/>
            <w:noWrap/>
          </w:tcPr>
          <w:p w14:paraId="50161E08" w14:textId="77777777" w:rsidR="009D4E2F" w:rsidRDefault="00314650">
            <w:pPr>
              <w:spacing w:after="0" w:line="240" w:lineRule="auto"/>
              <w:rPr>
                <w:rFonts w:ascii="Arial" w:hAnsi="Arial" w:cs="Arial"/>
              </w:rPr>
            </w:pPr>
            <w:r>
              <w:rPr>
                <w:rFonts w:ascii="Arial" w:hAnsi="Arial" w:cs="Arial"/>
              </w:rPr>
              <w:t xml:space="preserve"> $           1,979 </w:t>
            </w:r>
          </w:p>
        </w:tc>
        <w:tc>
          <w:tcPr>
            <w:tcW w:w="1639" w:type="dxa"/>
            <w:noWrap/>
          </w:tcPr>
          <w:p w14:paraId="7B8AF4FD" w14:textId="77777777" w:rsidR="009D4E2F" w:rsidRDefault="00314650">
            <w:pPr>
              <w:spacing w:after="0" w:line="240" w:lineRule="auto"/>
              <w:rPr>
                <w:rFonts w:ascii="Arial" w:hAnsi="Arial" w:cs="Arial"/>
              </w:rPr>
            </w:pPr>
            <w:r>
              <w:rPr>
                <w:rFonts w:ascii="Arial" w:hAnsi="Arial" w:cs="Arial"/>
              </w:rPr>
              <w:t xml:space="preserve"> $           2,124 </w:t>
            </w:r>
          </w:p>
        </w:tc>
        <w:tc>
          <w:tcPr>
            <w:tcW w:w="1639" w:type="dxa"/>
            <w:noWrap/>
          </w:tcPr>
          <w:p w14:paraId="1CE5972E" w14:textId="77777777" w:rsidR="009D4E2F" w:rsidRDefault="00314650">
            <w:pPr>
              <w:spacing w:after="0" w:line="240" w:lineRule="auto"/>
              <w:rPr>
                <w:rFonts w:ascii="Arial" w:hAnsi="Arial" w:cs="Arial"/>
              </w:rPr>
            </w:pPr>
            <w:r>
              <w:rPr>
                <w:rFonts w:ascii="Arial" w:hAnsi="Arial" w:cs="Arial"/>
              </w:rPr>
              <w:t xml:space="preserve"> $           2,336 </w:t>
            </w:r>
          </w:p>
        </w:tc>
      </w:tr>
      <w:tr w:rsidR="009D4E2F" w14:paraId="394F3A33" w14:textId="77777777">
        <w:trPr>
          <w:trHeight w:val="288"/>
        </w:trPr>
        <w:tc>
          <w:tcPr>
            <w:tcW w:w="3944" w:type="dxa"/>
            <w:noWrap/>
          </w:tcPr>
          <w:p w14:paraId="37E7976A" w14:textId="77777777" w:rsidR="009D4E2F" w:rsidRDefault="00314650">
            <w:pPr>
              <w:spacing w:after="0" w:line="240" w:lineRule="auto"/>
              <w:rPr>
                <w:rFonts w:ascii="Arial" w:hAnsi="Arial" w:cs="Arial"/>
                <w:b/>
                <w:bCs/>
              </w:rPr>
            </w:pPr>
            <w:r>
              <w:rPr>
                <w:rFonts w:ascii="Arial" w:hAnsi="Arial" w:cs="Arial"/>
                <w:b/>
                <w:bCs/>
              </w:rPr>
              <w:t>Current Liabilities</w:t>
            </w:r>
          </w:p>
        </w:tc>
        <w:tc>
          <w:tcPr>
            <w:tcW w:w="1640" w:type="dxa"/>
            <w:noWrap/>
          </w:tcPr>
          <w:p w14:paraId="4AA892B3" w14:textId="77777777" w:rsidR="009D4E2F" w:rsidRDefault="00314650">
            <w:pPr>
              <w:spacing w:after="0" w:line="240" w:lineRule="auto"/>
              <w:rPr>
                <w:rFonts w:ascii="Arial" w:hAnsi="Arial" w:cs="Arial"/>
              </w:rPr>
            </w:pPr>
            <w:r>
              <w:rPr>
                <w:rFonts w:ascii="Arial" w:hAnsi="Arial" w:cs="Arial"/>
              </w:rPr>
              <w:t xml:space="preserve"> $           3,019 </w:t>
            </w:r>
          </w:p>
        </w:tc>
        <w:tc>
          <w:tcPr>
            <w:tcW w:w="1639" w:type="dxa"/>
            <w:noWrap/>
          </w:tcPr>
          <w:p w14:paraId="4010CB06" w14:textId="77777777" w:rsidR="009D4E2F" w:rsidRDefault="00314650">
            <w:pPr>
              <w:spacing w:after="0" w:line="240" w:lineRule="auto"/>
              <w:rPr>
                <w:rFonts w:ascii="Arial" w:hAnsi="Arial" w:cs="Arial"/>
              </w:rPr>
            </w:pPr>
            <w:r>
              <w:rPr>
                <w:rFonts w:ascii="Arial" w:hAnsi="Arial" w:cs="Arial"/>
              </w:rPr>
              <w:t xml:space="preserve"> $           3,372 </w:t>
            </w:r>
          </w:p>
        </w:tc>
        <w:tc>
          <w:tcPr>
            <w:tcW w:w="1639" w:type="dxa"/>
            <w:noWrap/>
          </w:tcPr>
          <w:p w14:paraId="5F497188" w14:textId="77777777" w:rsidR="009D4E2F" w:rsidRDefault="00314650">
            <w:pPr>
              <w:spacing w:after="0" w:line="240" w:lineRule="auto"/>
              <w:rPr>
                <w:rFonts w:ascii="Arial" w:hAnsi="Arial" w:cs="Arial"/>
              </w:rPr>
            </w:pPr>
            <w:r>
              <w:rPr>
                <w:rFonts w:ascii="Arial" w:hAnsi="Arial" w:cs="Arial"/>
              </w:rPr>
              <w:t xml:space="preserve"> $           3,722 </w:t>
            </w:r>
          </w:p>
        </w:tc>
        <w:tc>
          <w:tcPr>
            <w:tcW w:w="1639" w:type="dxa"/>
            <w:noWrap/>
          </w:tcPr>
          <w:p w14:paraId="1F954BC5" w14:textId="77777777" w:rsidR="009D4E2F" w:rsidRDefault="00314650">
            <w:pPr>
              <w:spacing w:after="0" w:line="240" w:lineRule="auto"/>
              <w:rPr>
                <w:rFonts w:ascii="Arial" w:hAnsi="Arial" w:cs="Arial"/>
              </w:rPr>
            </w:pPr>
            <w:r>
              <w:rPr>
                <w:rFonts w:ascii="Arial" w:hAnsi="Arial" w:cs="Arial"/>
              </w:rPr>
              <w:t xml:space="preserve"> $           4,700 </w:t>
            </w:r>
          </w:p>
        </w:tc>
        <w:tc>
          <w:tcPr>
            <w:tcW w:w="1639" w:type="dxa"/>
            <w:noWrap/>
          </w:tcPr>
          <w:p w14:paraId="3D88847B" w14:textId="77777777" w:rsidR="009D4E2F" w:rsidRDefault="00314650">
            <w:pPr>
              <w:spacing w:after="0" w:line="240" w:lineRule="auto"/>
              <w:rPr>
                <w:rFonts w:ascii="Arial" w:hAnsi="Arial" w:cs="Arial"/>
              </w:rPr>
            </w:pPr>
            <w:r>
              <w:rPr>
                <w:rFonts w:ascii="Arial" w:hAnsi="Arial" w:cs="Arial"/>
              </w:rPr>
              <w:t xml:space="preserve"> $           4,508 </w:t>
            </w:r>
          </w:p>
        </w:tc>
      </w:tr>
      <w:tr w:rsidR="009D4E2F" w14:paraId="23378DC9" w14:textId="77777777">
        <w:trPr>
          <w:trHeight w:val="288"/>
        </w:trPr>
        <w:tc>
          <w:tcPr>
            <w:tcW w:w="3944" w:type="dxa"/>
            <w:noWrap/>
          </w:tcPr>
          <w:p w14:paraId="2F78965D" w14:textId="77777777" w:rsidR="009D4E2F" w:rsidRDefault="00314650">
            <w:pPr>
              <w:spacing w:after="0" w:line="240" w:lineRule="auto"/>
              <w:rPr>
                <w:rFonts w:ascii="Arial" w:hAnsi="Arial" w:cs="Arial"/>
                <w:b/>
                <w:bCs/>
              </w:rPr>
            </w:pPr>
            <w:r>
              <w:rPr>
                <w:rFonts w:ascii="Arial" w:hAnsi="Arial" w:cs="Arial"/>
                <w:b/>
                <w:bCs/>
              </w:rPr>
              <w:t>Long-term Debt</w:t>
            </w:r>
          </w:p>
        </w:tc>
        <w:tc>
          <w:tcPr>
            <w:tcW w:w="1640" w:type="dxa"/>
            <w:noWrap/>
          </w:tcPr>
          <w:p w14:paraId="402D2D79" w14:textId="77777777" w:rsidR="009D4E2F" w:rsidRDefault="00314650">
            <w:pPr>
              <w:spacing w:after="0" w:line="240" w:lineRule="auto"/>
              <w:rPr>
                <w:rFonts w:ascii="Arial" w:hAnsi="Arial" w:cs="Arial"/>
              </w:rPr>
            </w:pPr>
            <w:r>
              <w:rPr>
                <w:rFonts w:ascii="Arial" w:hAnsi="Arial" w:cs="Arial"/>
              </w:rPr>
              <w:t xml:space="preserve"> $           8,712 </w:t>
            </w:r>
          </w:p>
        </w:tc>
        <w:tc>
          <w:tcPr>
            <w:tcW w:w="1639" w:type="dxa"/>
            <w:noWrap/>
          </w:tcPr>
          <w:p w14:paraId="203663EF" w14:textId="77777777" w:rsidR="009D4E2F" w:rsidRDefault="00314650">
            <w:pPr>
              <w:spacing w:after="0" w:line="240" w:lineRule="auto"/>
              <w:rPr>
                <w:rFonts w:ascii="Arial" w:hAnsi="Arial" w:cs="Arial"/>
              </w:rPr>
            </w:pPr>
            <w:r>
              <w:rPr>
                <w:rFonts w:ascii="Arial" w:hAnsi="Arial" w:cs="Arial"/>
              </w:rPr>
              <w:t xml:space="preserve"> $           8,708 </w:t>
            </w:r>
          </w:p>
        </w:tc>
        <w:tc>
          <w:tcPr>
            <w:tcW w:w="1639" w:type="dxa"/>
            <w:noWrap/>
          </w:tcPr>
          <w:p w14:paraId="61A48DA8" w14:textId="77777777" w:rsidR="009D4E2F" w:rsidRDefault="00314650">
            <w:pPr>
              <w:spacing w:after="0" w:line="240" w:lineRule="auto"/>
              <w:rPr>
                <w:rFonts w:ascii="Arial" w:hAnsi="Arial" w:cs="Arial"/>
              </w:rPr>
            </w:pPr>
            <w:r>
              <w:rPr>
                <w:rFonts w:ascii="Arial" w:hAnsi="Arial" w:cs="Arial"/>
              </w:rPr>
              <w:t xml:space="preserve"> $           9,157 </w:t>
            </w:r>
          </w:p>
        </w:tc>
        <w:tc>
          <w:tcPr>
            <w:tcW w:w="1639" w:type="dxa"/>
            <w:noWrap/>
          </w:tcPr>
          <w:p w14:paraId="00DB4AF7" w14:textId="77777777" w:rsidR="009D4E2F" w:rsidRDefault="00314650">
            <w:pPr>
              <w:spacing w:after="0" w:line="240" w:lineRule="auto"/>
              <w:rPr>
                <w:rFonts w:ascii="Arial" w:hAnsi="Arial" w:cs="Arial"/>
              </w:rPr>
            </w:pPr>
            <w:r>
              <w:rPr>
                <w:rFonts w:ascii="Arial" w:hAnsi="Arial" w:cs="Arial"/>
              </w:rPr>
              <w:t xml:space="preserve"> $           8,616 </w:t>
            </w:r>
          </w:p>
        </w:tc>
        <w:tc>
          <w:tcPr>
            <w:tcW w:w="1639" w:type="dxa"/>
            <w:noWrap/>
          </w:tcPr>
          <w:p w14:paraId="77D78C8A" w14:textId="77777777" w:rsidR="009D4E2F" w:rsidRDefault="00314650">
            <w:pPr>
              <w:spacing w:after="0" w:line="240" w:lineRule="auto"/>
              <w:rPr>
                <w:rFonts w:ascii="Arial" w:hAnsi="Arial" w:cs="Arial"/>
              </w:rPr>
            </w:pPr>
            <w:r>
              <w:rPr>
                <w:rFonts w:ascii="Arial" w:hAnsi="Arial" w:cs="Arial"/>
              </w:rPr>
              <w:t xml:space="preserve"> $          12,338 </w:t>
            </w:r>
          </w:p>
        </w:tc>
      </w:tr>
      <w:tr w:rsidR="009D4E2F" w14:paraId="54935ABC" w14:textId="77777777">
        <w:trPr>
          <w:trHeight w:val="288"/>
        </w:trPr>
        <w:tc>
          <w:tcPr>
            <w:tcW w:w="3944" w:type="dxa"/>
            <w:noWrap/>
          </w:tcPr>
          <w:p w14:paraId="25471C95" w14:textId="77777777" w:rsidR="009D4E2F" w:rsidRDefault="00314650">
            <w:pPr>
              <w:spacing w:after="0" w:line="240" w:lineRule="auto"/>
              <w:rPr>
                <w:rFonts w:ascii="Arial" w:hAnsi="Arial" w:cs="Arial"/>
                <w:b/>
                <w:bCs/>
              </w:rPr>
            </w:pPr>
            <w:r>
              <w:rPr>
                <w:rFonts w:ascii="Arial" w:hAnsi="Arial" w:cs="Arial"/>
                <w:b/>
                <w:bCs/>
              </w:rPr>
              <w:t>Total Liabilities</w:t>
            </w:r>
          </w:p>
        </w:tc>
        <w:tc>
          <w:tcPr>
            <w:tcW w:w="1640" w:type="dxa"/>
            <w:noWrap/>
          </w:tcPr>
          <w:p w14:paraId="34203B53" w14:textId="77777777" w:rsidR="009D4E2F" w:rsidRDefault="00314650">
            <w:pPr>
              <w:spacing w:after="0" w:line="240" w:lineRule="auto"/>
              <w:rPr>
                <w:rFonts w:ascii="Arial" w:hAnsi="Arial" w:cs="Arial"/>
              </w:rPr>
            </w:pPr>
            <w:r>
              <w:rPr>
                <w:rFonts w:ascii="Arial" w:hAnsi="Arial" w:cs="Arial"/>
              </w:rPr>
              <w:t xml:space="preserve"> $          16,260 </w:t>
            </w:r>
          </w:p>
        </w:tc>
        <w:tc>
          <w:tcPr>
            <w:tcW w:w="1639" w:type="dxa"/>
            <w:noWrap/>
          </w:tcPr>
          <w:p w14:paraId="5390A5A9" w14:textId="77777777" w:rsidR="009D4E2F" w:rsidRDefault="00314650">
            <w:pPr>
              <w:spacing w:after="0" w:line="240" w:lineRule="auto"/>
              <w:rPr>
                <w:rFonts w:ascii="Arial" w:hAnsi="Arial" w:cs="Arial"/>
              </w:rPr>
            </w:pPr>
            <w:r>
              <w:rPr>
                <w:rFonts w:ascii="Arial" w:hAnsi="Arial" w:cs="Arial"/>
              </w:rPr>
              <w:t xml:space="preserve"> $           1,668 </w:t>
            </w:r>
          </w:p>
        </w:tc>
        <w:tc>
          <w:tcPr>
            <w:tcW w:w="1639" w:type="dxa"/>
            <w:noWrap/>
          </w:tcPr>
          <w:p w14:paraId="6F301B4F" w14:textId="77777777" w:rsidR="009D4E2F" w:rsidRDefault="00314650">
            <w:pPr>
              <w:spacing w:after="0" w:line="240" w:lineRule="auto"/>
              <w:rPr>
                <w:rFonts w:ascii="Arial" w:hAnsi="Arial" w:cs="Arial"/>
              </w:rPr>
            </w:pPr>
            <w:r>
              <w:rPr>
                <w:rFonts w:ascii="Arial" w:hAnsi="Arial" w:cs="Arial"/>
              </w:rPr>
              <w:t xml:space="preserve"> $          17,748 </w:t>
            </w:r>
          </w:p>
        </w:tc>
        <w:tc>
          <w:tcPr>
            <w:tcW w:w="1639" w:type="dxa"/>
            <w:noWrap/>
          </w:tcPr>
          <w:p w14:paraId="23949A84" w14:textId="77777777" w:rsidR="009D4E2F" w:rsidRDefault="00314650">
            <w:pPr>
              <w:spacing w:after="0" w:line="240" w:lineRule="auto"/>
              <w:rPr>
                <w:rFonts w:ascii="Arial" w:hAnsi="Arial" w:cs="Arial"/>
              </w:rPr>
            </w:pPr>
            <w:r>
              <w:rPr>
                <w:rFonts w:ascii="Arial" w:hAnsi="Arial" w:cs="Arial"/>
              </w:rPr>
              <w:t xml:space="preserve"> $          20,211 </w:t>
            </w:r>
          </w:p>
        </w:tc>
        <w:tc>
          <w:tcPr>
            <w:tcW w:w="1639" w:type="dxa"/>
            <w:noWrap/>
          </w:tcPr>
          <w:p w14:paraId="16F87453" w14:textId="77777777" w:rsidR="009D4E2F" w:rsidRDefault="00314650">
            <w:pPr>
              <w:spacing w:after="0" w:line="240" w:lineRule="auto"/>
              <w:rPr>
                <w:rFonts w:ascii="Arial" w:hAnsi="Arial" w:cs="Arial"/>
              </w:rPr>
            </w:pPr>
            <w:r>
              <w:rPr>
                <w:rFonts w:ascii="Arial" w:hAnsi="Arial" w:cs="Arial"/>
              </w:rPr>
              <w:t xml:space="preserve"> $          22,120 </w:t>
            </w:r>
          </w:p>
        </w:tc>
      </w:tr>
      <w:tr w:rsidR="009D4E2F" w14:paraId="77C9CFC9" w14:textId="77777777">
        <w:trPr>
          <w:trHeight w:val="288"/>
        </w:trPr>
        <w:tc>
          <w:tcPr>
            <w:tcW w:w="3944" w:type="dxa"/>
            <w:noWrap/>
          </w:tcPr>
          <w:p w14:paraId="340CBC2F" w14:textId="77777777" w:rsidR="009D4E2F" w:rsidRDefault="00314650">
            <w:pPr>
              <w:spacing w:after="0" w:line="240" w:lineRule="auto"/>
              <w:rPr>
                <w:rFonts w:ascii="Arial" w:hAnsi="Arial" w:cs="Arial"/>
                <w:b/>
                <w:bCs/>
              </w:rPr>
            </w:pPr>
            <w:r>
              <w:rPr>
                <w:rFonts w:ascii="Arial" w:hAnsi="Arial" w:cs="Arial"/>
                <w:b/>
                <w:bCs/>
              </w:rPr>
              <w:t>Shareholders' Equity</w:t>
            </w:r>
          </w:p>
        </w:tc>
        <w:tc>
          <w:tcPr>
            <w:tcW w:w="1640" w:type="dxa"/>
            <w:noWrap/>
          </w:tcPr>
          <w:p w14:paraId="679C2167"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821)</w:t>
            </w:r>
          </w:p>
        </w:tc>
        <w:tc>
          <w:tcPr>
            <w:tcW w:w="1639" w:type="dxa"/>
            <w:noWrap/>
          </w:tcPr>
          <w:p w14:paraId="6BBA4D73"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182)</w:t>
            </w:r>
          </w:p>
        </w:tc>
        <w:tc>
          <w:tcPr>
            <w:tcW w:w="1639" w:type="dxa"/>
            <w:noWrap/>
          </w:tcPr>
          <w:p w14:paraId="653A173B"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2,360)</w:t>
            </w:r>
          </w:p>
        </w:tc>
        <w:tc>
          <w:tcPr>
            <w:tcW w:w="1639" w:type="dxa"/>
            <w:noWrap/>
          </w:tcPr>
          <w:p w14:paraId="009A265A"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3,727)</w:t>
            </w:r>
          </w:p>
        </w:tc>
        <w:tc>
          <w:tcPr>
            <w:tcW w:w="1639" w:type="dxa"/>
            <w:noWrap/>
          </w:tcPr>
          <w:p w14:paraId="34BDFE19"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5,388)</w:t>
            </w:r>
          </w:p>
        </w:tc>
      </w:tr>
      <w:tr w:rsidR="009D4E2F" w14:paraId="72103175" w14:textId="77777777">
        <w:trPr>
          <w:trHeight w:val="288"/>
        </w:trPr>
        <w:tc>
          <w:tcPr>
            <w:tcW w:w="3944" w:type="dxa"/>
            <w:noWrap/>
          </w:tcPr>
          <w:p w14:paraId="14353B09" w14:textId="77777777" w:rsidR="009D4E2F" w:rsidRDefault="00314650">
            <w:pPr>
              <w:spacing w:after="0" w:line="240" w:lineRule="auto"/>
              <w:rPr>
                <w:rFonts w:ascii="Arial" w:hAnsi="Arial" w:cs="Arial"/>
                <w:b/>
                <w:bCs/>
              </w:rPr>
            </w:pPr>
            <w:r>
              <w:rPr>
                <w:rFonts w:ascii="Arial" w:hAnsi="Arial" w:cs="Arial"/>
                <w:b/>
                <w:bCs/>
              </w:rPr>
              <w:t>Total Equity (incl. NCI)</w:t>
            </w:r>
          </w:p>
        </w:tc>
        <w:tc>
          <w:tcPr>
            <w:tcW w:w="1640" w:type="dxa"/>
            <w:noWrap/>
          </w:tcPr>
          <w:p w14:paraId="59267E71"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819)</w:t>
            </w:r>
          </w:p>
        </w:tc>
        <w:tc>
          <w:tcPr>
            <w:tcW w:w="1639" w:type="dxa"/>
            <w:noWrap/>
          </w:tcPr>
          <w:p w14:paraId="34CD9B67"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898)</w:t>
            </w:r>
          </w:p>
        </w:tc>
        <w:tc>
          <w:tcPr>
            <w:tcW w:w="1639" w:type="dxa"/>
            <w:noWrap/>
          </w:tcPr>
          <w:p w14:paraId="4ECF9CE7"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2,347)</w:t>
            </w:r>
          </w:p>
        </w:tc>
        <w:tc>
          <w:tcPr>
            <w:tcW w:w="1639" w:type="dxa"/>
            <w:noWrap/>
          </w:tcPr>
          <w:p w14:paraId="0DC325A2"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3,706)</w:t>
            </w:r>
          </w:p>
        </w:tc>
        <w:tc>
          <w:tcPr>
            <w:tcW w:w="1639" w:type="dxa"/>
            <w:noWrap/>
          </w:tcPr>
          <w:p w14:paraId="128777EB"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5,359)</w:t>
            </w:r>
          </w:p>
        </w:tc>
      </w:tr>
      <w:tr w:rsidR="009D4E2F" w14:paraId="1FF60CB7" w14:textId="77777777">
        <w:trPr>
          <w:trHeight w:val="288"/>
        </w:trPr>
        <w:tc>
          <w:tcPr>
            <w:tcW w:w="3944" w:type="dxa"/>
            <w:noWrap/>
          </w:tcPr>
          <w:p w14:paraId="72465375" w14:textId="77777777" w:rsidR="009D4E2F" w:rsidRDefault="00314650">
            <w:pPr>
              <w:spacing w:after="0" w:line="240" w:lineRule="auto"/>
              <w:rPr>
                <w:rFonts w:ascii="Arial" w:hAnsi="Arial" w:cs="Arial"/>
                <w:b/>
                <w:bCs/>
              </w:rPr>
            </w:pPr>
            <w:r>
              <w:rPr>
                <w:rFonts w:ascii="Arial" w:hAnsi="Arial" w:cs="Arial"/>
                <w:b/>
                <w:bCs/>
              </w:rPr>
              <w:t>Operating Cash Flow</w:t>
            </w:r>
          </w:p>
        </w:tc>
        <w:tc>
          <w:tcPr>
            <w:tcW w:w="1640" w:type="dxa"/>
            <w:noWrap/>
          </w:tcPr>
          <w:p w14:paraId="0EFC9662" w14:textId="77777777" w:rsidR="009D4E2F" w:rsidRDefault="00314650">
            <w:pPr>
              <w:spacing w:after="0" w:line="240" w:lineRule="auto"/>
              <w:rPr>
                <w:rFonts w:ascii="Arial" w:hAnsi="Arial" w:cs="Arial"/>
              </w:rPr>
            </w:pPr>
            <w:r>
              <w:rPr>
                <w:rFonts w:ascii="Arial" w:hAnsi="Arial" w:cs="Arial"/>
              </w:rPr>
              <w:t xml:space="preserve"> $                89 </w:t>
            </w:r>
          </w:p>
        </w:tc>
        <w:tc>
          <w:tcPr>
            <w:tcW w:w="1639" w:type="dxa"/>
            <w:noWrap/>
          </w:tcPr>
          <w:p w14:paraId="0B21F037" w14:textId="77777777" w:rsidR="009D4E2F" w:rsidRDefault="00314650">
            <w:pPr>
              <w:spacing w:after="0" w:line="240" w:lineRule="auto"/>
              <w:rPr>
                <w:rFonts w:ascii="Arial" w:hAnsi="Arial" w:cs="Arial"/>
              </w:rPr>
            </w:pPr>
            <w:r>
              <w:rPr>
                <w:rFonts w:ascii="Arial" w:hAnsi="Arial" w:cs="Arial"/>
              </w:rPr>
              <w:t xml:space="preserve"> $           1,681 </w:t>
            </w:r>
          </w:p>
        </w:tc>
        <w:tc>
          <w:tcPr>
            <w:tcW w:w="1639" w:type="dxa"/>
            <w:noWrap/>
          </w:tcPr>
          <w:p w14:paraId="300933D1" w14:textId="77777777" w:rsidR="009D4E2F" w:rsidRDefault="00314650">
            <w:pPr>
              <w:spacing w:after="0" w:line="240" w:lineRule="auto"/>
              <w:rPr>
                <w:rFonts w:ascii="Arial" w:hAnsi="Arial" w:cs="Arial"/>
              </w:rPr>
            </w:pPr>
            <w:r>
              <w:rPr>
                <w:rFonts w:ascii="Arial" w:hAnsi="Arial" w:cs="Arial"/>
              </w:rPr>
              <w:t xml:space="preserve"> $           1,946 </w:t>
            </w:r>
          </w:p>
        </w:tc>
        <w:tc>
          <w:tcPr>
            <w:tcW w:w="1639" w:type="dxa"/>
            <w:noWrap/>
          </w:tcPr>
          <w:p w14:paraId="6C15977D" w14:textId="77777777" w:rsidR="009D4E2F" w:rsidRDefault="00314650">
            <w:pPr>
              <w:spacing w:after="0" w:line="240" w:lineRule="auto"/>
              <w:rPr>
                <w:rFonts w:ascii="Arial" w:hAnsi="Arial" w:cs="Arial"/>
              </w:rPr>
            </w:pPr>
            <w:r>
              <w:rPr>
                <w:rFonts w:ascii="Arial" w:hAnsi="Arial" w:cs="Arial"/>
              </w:rPr>
              <w:t xml:space="preserve"> $           2,013 </w:t>
            </w:r>
          </w:p>
        </w:tc>
        <w:tc>
          <w:tcPr>
            <w:tcW w:w="1639" w:type="dxa"/>
            <w:noWrap/>
          </w:tcPr>
          <w:p w14:paraId="136189F4" w14:textId="77777777" w:rsidR="009D4E2F" w:rsidRDefault="00314650">
            <w:pPr>
              <w:spacing w:after="0" w:line="240" w:lineRule="auto"/>
              <w:rPr>
                <w:rFonts w:ascii="Arial" w:hAnsi="Arial" w:cs="Arial"/>
              </w:rPr>
            </w:pPr>
            <w:r>
              <w:rPr>
                <w:rFonts w:ascii="Arial" w:hAnsi="Arial" w:cs="Arial"/>
              </w:rPr>
              <w:t xml:space="preserve"> $           2,129 </w:t>
            </w:r>
          </w:p>
        </w:tc>
      </w:tr>
      <w:tr w:rsidR="009D4E2F" w14:paraId="55E55AEB" w14:textId="77777777">
        <w:trPr>
          <w:trHeight w:val="288"/>
        </w:trPr>
        <w:tc>
          <w:tcPr>
            <w:tcW w:w="3944" w:type="dxa"/>
            <w:noWrap/>
          </w:tcPr>
          <w:p w14:paraId="3D528F5D" w14:textId="77777777" w:rsidR="009D4E2F" w:rsidRDefault="00314650">
            <w:pPr>
              <w:spacing w:after="0" w:line="240" w:lineRule="auto"/>
              <w:rPr>
                <w:rFonts w:ascii="Arial" w:hAnsi="Arial" w:cs="Arial"/>
                <w:b/>
                <w:bCs/>
              </w:rPr>
            </w:pPr>
            <w:r>
              <w:rPr>
                <w:rFonts w:ascii="Arial" w:hAnsi="Arial" w:cs="Arial"/>
                <w:b/>
                <w:bCs/>
              </w:rPr>
              <w:t>Capital Expenditures</w:t>
            </w:r>
          </w:p>
        </w:tc>
        <w:tc>
          <w:tcPr>
            <w:tcW w:w="1640" w:type="dxa"/>
            <w:noWrap/>
          </w:tcPr>
          <w:p w14:paraId="2352B62F" w14:textId="77777777" w:rsidR="009D4E2F" w:rsidRDefault="00314650">
            <w:pPr>
              <w:spacing w:after="0" w:line="240" w:lineRule="auto"/>
              <w:rPr>
                <w:rFonts w:ascii="Arial" w:hAnsi="Arial" w:cs="Arial"/>
              </w:rPr>
            </w:pPr>
            <w:r>
              <w:rPr>
                <w:rFonts w:ascii="Arial" w:hAnsi="Arial" w:cs="Arial"/>
              </w:rPr>
              <w:t xml:space="preserve"> $                35 </w:t>
            </w:r>
          </w:p>
        </w:tc>
        <w:tc>
          <w:tcPr>
            <w:tcW w:w="1639" w:type="dxa"/>
            <w:noWrap/>
          </w:tcPr>
          <w:p w14:paraId="3723E2EB" w14:textId="77777777" w:rsidR="009D4E2F" w:rsidRDefault="00314650">
            <w:pPr>
              <w:spacing w:after="0" w:line="240" w:lineRule="auto"/>
              <w:rPr>
                <w:rFonts w:ascii="Arial" w:hAnsi="Arial" w:cs="Arial"/>
              </w:rPr>
            </w:pPr>
            <w:r>
              <w:rPr>
                <w:rFonts w:ascii="Arial" w:hAnsi="Arial" w:cs="Arial"/>
              </w:rPr>
              <w:t xml:space="preserve"> $                39 </w:t>
            </w:r>
          </w:p>
        </w:tc>
        <w:tc>
          <w:tcPr>
            <w:tcW w:w="1639" w:type="dxa"/>
            <w:noWrap/>
          </w:tcPr>
          <w:p w14:paraId="76C533E6" w14:textId="77777777" w:rsidR="009D4E2F" w:rsidRDefault="00314650">
            <w:pPr>
              <w:spacing w:after="0" w:line="240" w:lineRule="auto"/>
              <w:rPr>
                <w:rFonts w:ascii="Arial" w:hAnsi="Arial" w:cs="Arial"/>
              </w:rPr>
            </w:pPr>
            <w:r>
              <w:rPr>
                <w:rFonts w:ascii="Arial" w:hAnsi="Arial" w:cs="Arial"/>
              </w:rPr>
              <w:t xml:space="preserve"> $              151 </w:t>
            </w:r>
          </w:p>
        </w:tc>
        <w:tc>
          <w:tcPr>
            <w:tcW w:w="1639" w:type="dxa"/>
            <w:noWrap/>
          </w:tcPr>
          <w:p w14:paraId="0664F94B" w14:textId="77777777" w:rsidR="009D4E2F" w:rsidRDefault="00314650">
            <w:pPr>
              <w:spacing w:after="0" w:line="240" w:lineRule="auto"/>
              <w:rPr>
                <w:rFonts w:ascii="Arial" w:hAnsi="Arial" w:cs="Arial"/>
              </w:rPr>
            </w:pPr>
            <w:r>
              <w:rPr>
                <w:rFonts w:ascii="Arial" w:hAnsi="Arial" w:cs="Arial"/>
              </w:rPr>
              <w:t xml:space="preserve"> $                96 </w:t>
            </w:r>
          </w:p>
        </w:tc>
        <w:tc>
          <w:tcPr>
            <w:tcW w:w="1639" w:type="dxa"/>
            <w:noWrap/>
          </w:tcPr>
          <w:p w14:paraId="6ABC53BD" w14:textId="77777777" w:rsidR="009D4E2F" w:rsidRDefault="00314650">
            <w:pPr>
              <w:spacing w:after="0" w:line="240" w:lineRule="auto"/>
              <w:rPr>
                <w:rFonts w:ascii="Arial" w:hAnsi="Arial" w:cs="Arial"/>
              </w:rPr>
            </w:pPr>
            <w:r>
              <w:rPr>
                <w:rFonts w:ascii="Arial" w:hAnsi="Arial" w:cs="Arial"/>
              </w:rPr>
              <w:t xml:space="preserve"> $                81 </w:t>
            </w:r>
          </w:p>
        </w:tc>
      </w:tr>
      <w:tr w:rsidR="009D4E2F" w14:paraId="7194664A" w14:textId="77777777">
        <w:trPr>
          <w:trHeight w:val="288"/>
        </w:trPr>
        <w:tc>
          <w:tcPr>
            <w:tcW w:w="3944" w:type="dxa"/>
            <w:noWrap/>
          </w:tcPr>
          <w:p w14:paraId="5ADDBA5E" w14:textId="77777777" w:rsidR="009D4E2F" w:rsidRDefault="00314650">
            <w:pPr>
              <w:spacing w:after="0" w:line="240" w:lineRule="auto"/>
              <w:rPr>
                <w:rFonts w:ascii="Arial" w:hAnsi="Arial" w:cs="Arial"/>
                <w:b/>
                <w:bCs/>
              </w:rPr>
            </w:pPr>
            <w:r>
              <w:rPr>
                <w:rFonts w:ascii="Arial" w:hAnsi="Arial" w:cs="Arial"/>
                <w:b/>
                <w:bCs/>
              </w:rPr>
              <w:t>Free Cash Flow</w:t>
            </w:r>
          </w:p>
        </w:tc>
        <w:tc>
          <w:tcPr>
            <w:tcW w:w="1640" w:type="dxa"/>
            <w:noWrap/>
          </w:tcPr>
          <w:p w14:paraId="07438F8E" w14:textId="77777777" w:rsidR="009D4E2F" w:rsidRDefault="00314650">
            <w:pPr>
              <w:spacing w:after="0" w:line="240" w:lineRule="auto"/>
              <w:rPr>
                <w:rFonts w:ascii="Arial" w:hAnsi="Arial" w:cs="Arial"/>
              </w:rPr>
            </w:pPr>
            <w:r>
              <w:rPr>
                <w:rFonts w:ascii="Arial" w:hAnsi="Arial" w:cs="Arial"/>
              </w:rPr>
              <w:t xml:space="preserve"> $                54 </w:t>
            </w:r>
          </w:p>
        </w:tc>
        <w:tc>
          <w:tcPr>
            <w:tcW w:w="1639" w:type="dxa"/>
            <w:noWrap/>
          </w:tcPr>
          <w:p w14:paraId="45E6E12D" w14:textId="77777777" w:rsidR="009D4E2F" w:rsidRDefault="00314650">
            <w:pPr>
              <w:spacing w:after="0" w:line="240" w:lineRule="auto"/>
              <w:rPr>
                <w:rFonts w:ascii="Arial" w:hAnsi="Arial" w:cs="Arial"/>
              </w:rPr>
            </w:pPr>
            <w:r>
              <w:rPr>
                <w:rFonts w:ascii="Arial" w:hAnsi="Arial" w:cs="Arial"/>
              </w:rPr>
              <w:t xml:space="preserve"> $           1,642 </w:t>
            </w:r>
          </w:p>
        </w:tc>
        <w:tc>
          <w:tcPr>
            <w:tcW w:w="1639" w:type="dxa"/>
            <w:noWrap/>
          </w:tcPr>
          <w:p w14:paraId="455943BA" w14:textId="77777777" w:rsidR="009D4E2F" w:rsidRDefault="00314650">
            <w:pPr>
              <w:spacing w:after="0" w:line="240" w:lineRule="auto"/>
              <w:rPr>
                <w:rFonts w:ascii="Arial" w:hAnsi="Arial" w:cs="Arial"/>
              </w:rPr>
            </w:pPr>
            <w:r>
              <w:rPr>
                <w:rFonts w:ascii="Arial" w:hAnsi="Arial" w:cs="Arial"/>
              </w:rPr>
              <w:t xml:space="preserve"> $           1,795 </w:t>
            </w:r>
          </w:p>
        </w:tc>
        <w:tc>
          <w:tcPr>
            <w:tcW w:w="1639" w:type="dxa"/>
            <w:noWrap/>
          </w:tcPr>
          <w:p w14:paraId="0C88223F" w14:textId="77777777" w:rsidR="009D4E2F" w:rsidRDefault="00314650">
            <w:pPr>
              <w:spacing w:after="0" w:line="240" w:lineRule="auto"/>
              <w:rPr>
                <w:rFonts w:ascii="Arial" w:hAnsi="Arial" w:cs="Arial"/>
              </w:rPr>
            </w:pPr>
            <w:r>
              <w:rPr>
                <w:rFonts w:ascii="Arial" w:hAnsi="Arial" w:cs="Arial"/>
              </w:rPr>
              <w:t xml:space="preserve"> $           1,917 </w:t>
            </w:r>
          </w:p>
        </w:tc>
        <w:tc>
          <w:tcPr>
            <w:tcW w:w="1639" w:type="dxa"/>
            <w:noWrap/>
          </w:tcPr>
          <w:p w14:paraId="5D967F09" w14:textId="77777777" w:rsidR="009D4E2F" w:rsidRDefault="00314650">
            <w:pPr>
              <w:spacing w:after="0" w:line="240" w:lineRule="auto"/>
              <w:rPr>
                <w:rFonts w:ascii="Arial" w:hAnsi="Arial" w:cs="Arial"/>
              </w:rPr>
            </w:pPr>
            <w:r>
              <w:rPr>
                <w:rFonts w:ascii="Arial" w:hAnsi="Arial" w:cs="Arial"/>
              </w:rPr>
              <w:t xml:space="preserve"> $           2,048 </w:t>
            </w:r>
          </w:p>
        </w:tc>
      </w:tr>
      <w:tr w:rsidR="009D4E2F" w14:paraId="6529A712" w14:textId="77777777">
        <w:trPr>
          <w:trHeight w:val="288"/>
        </w:trPr>
        <w:tc>
          <w:tcPr>
            <w:tcW w:w="3944" w:type="dxa"/>
            <w:noWrap/>
          </w:tcPr>
          <w:p w14:paraId="652525E8" w14:textId="77777777" w:rsidR="009D4E2F" w:rsidRDefault="00314650">
            <w:pPr>
              <w:spacing w:after="0" w:line="240" w:lineRule="auto"/>
              <w:rPr>
                <w:rFonts w:ascii="Arial" w:hAnsi="Arial" w:cs="Arial"/>
                <w:b/>
                <w:bCs/>
              </w:rPr>
            </w:pPr>
            <w:r>
              <w:rPr>
                <w:rFonts w:ascii="Arial" w:hAnsi="Arial" w:cs="Arial"/>
                <w:b/>
                <w:bCs/>
              </w:rPr>
              <w:t>Financing Cash Flow</w:t>
            </w:r>
          </w:p>
        </w:tc>
        <w:tc>
          <w:tcPr>
            <w:tcW w:w="1640" w:type="dxa"/>
            <w:noWrap/>
          </w:tcPr>
          <w:p w14:paraId="5D2C2D64"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1,793)</w:t>
            </w:r>
          </w:p>
        </w:tc>
        <w:tc>
          <w:tcPr>
            <w:tcW w:w="1639" w:type="dxa"/>
            <w:noWrap/>
          </w:tcPr>
          <w:p w14:paraId="02D635B1"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1,765)</w:t>
            </w:r>
          </w:p>
        </w:tc>
        <w:tc>
          <w:tcPr>
            <w:tcW w:w="1639" w:type="dxa"/>
            <w:noWrap/>
          </w:tcPr>
          <w:p w14:paraId="6ED66B0A"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2,040)</w:t>
            </w:r>
          </w:p>
        </w:tc>
        <w:tc>
          <w:tcPr>
            <w:tcW w:w="1639" w:type="dxa"/>
            <w:noWrap/>
          </w:tcPr>
          <w:p w14:paraId="32D55120"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845)</w:t>
            </w:r>
          </w:p>
        </w:tc>
        <w:tc>
          <w:tcPr>
            <w:tcW w:w="1639" w:type="dxa"/>
            <w:noWrap/>
          </w:tcPr>
          <w:p w14:paraId="3C961829" w14:textId="77777777" w:rsidR="009D4E2F" w:rsidRDefault="00314650">
            <w:pPr>
              <w:spacing w:after="0" w:line="240" w:lineRule="auto"/>
              <w:rPr>
                <w:rFonts w:ascii="Arial" w:hAnsi="Arial" w:cs="Arial"/>
              </w:rPr>
            </w:pPr>
            <w:r>
              <w:rPr>
                <w:rFonts w:ascii="Arial" w:hAnsi="Arial" w:cs="Arial"/>
              </w:rPr>
              <w:t xml:space="preserve"> $       </w:t>
            </w:r>
            <w:proofErr w:type="gramStart"/>
            <w:r>
              <w:rPr>
                <w:rFonts w:ascii="Arial" w:hAnsi="Arial" w:cs="Arial"/>
              </w:rPr>
              <w:t xml:space="preserve">   (</w:t>
            </w:r>
            <w:proofErr w:type="gramEnd"/>
            <w:r>
              <w:rPr>
                <w:rFonts w:ascii="Arial" w:hAnsi="Arial" w:cs="Arial"/>
              </w:rPr>
              <w:t>2,348)</w:t>
            </w:r>
          </w:p>
        </w:tc>
      </w:tr>
      <w:tr w:rsidR="009D4E2F" w14:paraId="37F6E1D8" w14:textId="77777777">
        <w:trPr>
          <w:trHeight w:val="288"/>
        </w:trPr>
        <w:tc>
          <w:tcPr>
            <w:tcW w:w="3944" w:type="dxa"/>
            <w:noWrap/>
          </w:tcPr>
          <w:p w14:paraId="09FB5700" w14:textId="77777777" w:rsidR="009D4E2F" w:rsidRDefault="00314650">
            <w:pPr>
              <w:spacing w:after="0" w:line="240" w:lineRule="auto"/>
              <w:rPr>
                <w:rFonts w:ascii="Arial" w:hAnsi="Arial" w:cs="Arial"/>
                <w:b/>
                <w:bCs/>
              </w:rPr>
            </w:pPr>
            <w:r>
              <w:rPr>
                <w:rFonts w:ascii="Arial" w:hAnsi="Arial" w:cs="Arial"/>
                <w:b/>
                <w:bCs/>
              </w:rPr>
              <w:t>EPS - Basic</w:t>
            </w:r>
          </w:p>
        </w:tc>
        <w:tc>
          <w:tcPr>
            <w:tcW w:w="1640" w:type="dxa"/>
            <w:noWrap/>
          </w:tcPr>
          <w:p w14:paraId="0A455F57" w14:textId="77777777" w:rsidR="009D4E2F" w:rsidRDefault="00314650">
            <w:pPr>
              <w:spacing w:after="0" w:line="240" w:lineRule="auto"/>
              <w:rPr>
                <w:rFonts w:ascii="Arial" w:hAnsi="Arial" w:cs="Arial"/>
              </w:rPr>
            </w:pPr>
            <w:r>
              <w:rPr>
                <w:rFonts w:ascii="Arial" w:hAnsi="Arial" w:cs="Arial"/>
              </w:rPr>
              <w:t>$1.47</w:t>
            </w:r>
          </w:p>
        </w:tc>
        <w:tc>
          <w:tcPr>
            <w:tcW w:w="1639" w:type="dxa"/>
            <w:noWrap/>
          </w:tcPr>
          <w:p w14:paraId="226732E5" w14:textId="77777777" w:rsidR="009D4E2F" w:rsidRDefault="00314650">
            <w:pPr>
              <w:spacing w:after="0" w:line="240" w:lineRule="auto"/>
              <w:rPr>
                <w:rFonts w:ascii="Arial" w:hAnsi="Arial" w:cs="Arial"/>
              </w:rPr>
            </w:pPr>
            <w:r>
              <w:rPr>
                <w:rFonts w:ascii="Arial" w:hAnsi="Arial" w:cs="Arial"/>
              </w:rPr>
              <w:t>$4.56</w:t>
            </w:r>
          </w:p>
        </w:tc>
        <w:tc>
          <w:tcPr>
            <w:tcW w:w="1639" w:type="dxa"/>
            <w:noWrap/>
          </w:tcPr>
          <w:p w14:paraId="6C184E0F" w14:textId="77777777" w:rsidR="009D4E2F" w:rsidRDefault="00314650">
            <w:pPr>
              <w:spacing w:after="0" w:line="240" w:lineRule="auto"/>
              <w:rPr>
                <w:rFonts w:ascii="Arial" w:hAnsi="Arial" w:cs="Arial"/>
              </w:rPr>
            </w:pPr>
            <w:r>
              <w:rPr>
                <w:rFonts w:ascii="Arial" w:hAnsi="Arial" w:cs="Arial"/>
              </w:rPr>
              <w:t>$4.36</w:t>
            </w:r>
          </w:p>
        </w:tc>
        <w:tc>
          <w:tcPr>
            <w:tcW w:w="1639" w:type="dxa"/>
            <w:noWrap/>
          </w:tcPr>
          <w:p w14:paraId="7B77919A" w14:textId="77777777" w:rsidR="009D4E2F" w:rsidRDefault="00314650">
            <w:pPr>
              <w:spacing w:after="0" w:line="240" w:lineRule="auto"/>
              <w:rPr>
                <w:rFonts w:ascii="Arial" w:hAnsi="Arial" w:cs="Arial"/>
              </w:rPr>
            </w:pPr>
            <w:r>
              <w:rPr>
                <w:rFonts w:ascii="Arial" w:hAnsi="Arial" w:cs="Arial"/>
              </w:rPr>
              <w:t>$6.20</w:t>
            </w:r>
          </w:p>
        </w:tc>
        <w:tc>
          <w:tcPr>
            <w:tcW w:w="1639" w:type="dxa"/>
            <w:noWrap/>
          </w:tcPr>
          <w:p w14:paraId="3519C066" w14:textId="77777777" w:rsidR="009D4E2F" w:rsidRDefault="00314650">
            <w:pPr>
              <w:spacing w:after="0" w:line="240" w:lineRule="auto"/>
              <w:rPr>
                <w:rFonts w:ascii="Arial" w:hAnsi="Arial" w:cs="Arial"/>
              </w:rPr>
            </w:pPr>
            <w:r>
              <w:rPr>
                <w:rFonts w:ascii="Arial" w:hAnsi="Arial" w:cs="Arial"/>
              </w:rPr>
              <w:t>$6.18</w:t>
            </w:r>
          </w:p>
        </w:tc>
      </w:tr>
      <w:tr w:rsidR="009D4E2F" w14:paraId="25DA0045" w14:textId="77777777">
        <w:trPr>
          <w:trHeight w:val="288"/>
        </w:trPr>
        <w:tc>
          <w:tcPr>
            <w:tcW w:w="3944" w:type="dxa"/>
            <w:noWrap/>
          </w:tcPr>
          <w:p w14:paraId="1542FEAD" w14:textId="77777777" w:rsidR="009D4E2F" w:rsidRDefault="00314650">
            <w:pPr>
              <w:spacing w:after="0" w:line="240" w:lineRule="auto"/>
              <w:rPr>
                <w:rFonts w:ascii="Arial" w:hAnsi="Arial" w:cs="Arial"/>
                <w:b/>
                <w:bCs/>
              </w:rPr>
            </w:pPr>
            <w:r>
              <w:rPr>
                <w:rFonts w:ascii="Arial" w:hAnsi="Arial" w:cs="Arial"/>
                <w:b/>
                <w:bCs/>
              </w:rPr>
              <w:t>Dividends Paid</w:t>
            </w:r>
          </w:p>
        </w:tc>
        <w:tc>
          <w:tcPr>
            <w:tcW w:w="1640" w:type="dxa"/>
            <w:noWrap/>
          </w:tcPr>
          <w:p w14:paraId="4630F935" w14:textId="77777777" w:rsidR="009D4E2F" w:rsidRDefault="00314650">
            <w:pPr>
              <w:spacing w:after="0" w:line="240" w:lineRule="auto"/>
              <w:rPr>
                <w:rFonts w:ascii="Arial" w:hAnsi="Arial" w:cs="Arial"/>
              </w:rPr>
            </w:pPr>
            <w:r>
              <w:rPr>
                <w:rFonts w:ascii="Arial" w:hAnsi="Arial" w:cs="Arial"/>
              </w:rPr>
              <w:t xml:space="preserve"> $                  - </w:t>
            </w:r>
          </w:p>
        </w:tc>
        <w:tc>
          <w:tcPr>
            <w:tcW w:w="1639" w:type="dxa"/>
            <w:noWrap/>
          </w:tcPr>
          <w:p w14:paraId="5FD52F3C" w14:textId="77777777" w:rsidR="009D4E2F" w:rsidRDefault="00314650">
            <w:pPr>
              <w:spacing w:after="0" w:line="240" w:lineRule="auto"/>
              <w:rPr>
                <w:rFonts w:ascii="Arial" w:hAnsi="Arial" w:cs="Arial"/>
              </w:rPr>
            </w:pPr>
            <w:r>
              <w:rPr>
                <w:rFonts w:ascii="Arial" w:hAnsi="Arial" w:cs="Arial"/>
              </w:rPr>
              <w:t xml:space="preserve"> $              123 </w:t>
            </w:r>
          </w:p>
        </w:tc>
        <w:tc>
          <w:tcPr>
            <w:tcW w:w="1639" w:type="dxa"/>
            <w:noWrap/>
          </w:tcPr>
          <w:p w14:paraId="1081E77E" w14:textId="77777777" w:rsidR="009D4E2F" w:rsidRDefault="00314650">
            <w:pPr>
              <w:spacing w:after="0" w:line="240" w:lineRule="auto"/>
              <w:rPr>
                <w:rFonts w:ascii="Arial" w:hAnsi="Arial" w:cs="Arial"/>
              </w:rPr>
            </w:pPr>
            <w:r>
              <w:rPr>
                <w:rFonts w:ascii="Arial" w:hAnsi="Arial" w:cs="Arial"/>
              </w:rPr>
              <w:t xml:space="preserve"> $              158 </w:t>
            </w:r>
          </w:p>
        </w:tc>
        <w:tc>
          <w:tcPr>
            <w:tcW w:w="1639" w:type="dxa"/>
            <w:noWrap/>
          </w:tcPr>
          <w:p w14:paraId="629A8651" w14:textId="77777777" w:rsidR="009D4E2F" w:rsidRDefault="00314650">
            <w:pPr>
              <w:spacing w:after="0" w:line="240" w:lineRule="auto"/>
              <w:rPr>
                <w:rFonts w:ascii="Arial" w:hAnsi="Arial" w:cs="Arial"/>
              </w:rPr>
            </w:pPr>
            <w:r>
              <w:rPr>
                <w:rFonts w:ascii="Arial" w:hAnsi="Arial" w:cs="Arial"/>
              </w:rPr>
              <w:t xml:space="preserve"> $              150 </w:t>
            </w:r>
          </w:p>
        </w:tc>
        <w:tc>
          <w:tcPr>
            <w:tcW w:w="1639" w:type="dxa"/>
            <w:noWrap/>
          </w:tcPr>
          <w:p w14:paraId="5D1FBE72" w14:textId="77777777" w:rsidR="009D4E2F" w:rsidRDefault="00314650">
            <w:pPr>
              <w:spacing w:after="0" w:line="240" w:lineRule="auto"/>
              <w:rPr>
                <w:rFonts w:ascii="Arial" w:hAnsi="Arial" w:cs="Arial"/>
              </w:rPr>
            </w:pPr>
            <w:r>
              <w:rPr>
                <w:rFonts w:ascii="Arial" w:hAnsi="Arial" w:cs="Arial"/>
              </w:rPr>
              <w:t xml:space="preserve"> $              143 </w:t>
            </w:r>
          </w:p>
        </w:tc>
      </w:tr>
      <w:tr w:rsidR="009D4E2F" w14:paraId="378D7A37" w14:textId="77777777">
        <w:trPr>
          <w:trHeight w:val="288"/>
        </w:trPr>
        <w:tc>
          <w:tcPr>
            <w:tcW w:w="3944" w:type="dxa"/>
            <w:noWrap/>
          </w:tcPr>
          <w:p w14:paraId="37491D46" w14:textId="77777777" w:rsidR="009D4E2F" w:rsidRDefault="00314650">
            <w:pPr>
              <w:spacing w:after="0" w:line="240" w:lineRule="auto"/>
              <w:rPr>
                <w:rFonts w:ascii="Arial" w:hAnsi="Arial" w:cs="Arial"/>
                <w:b/>
                <w:bCs/>
              </w:rPr>
            </w:pPr>
            <w:r>
              <w:rPr>
                <w:rFonts w:ascii="Arial" w:hAnsi="Arial" w:cs="Arial"/>
                <w:b/>
                <w:bCs/>
              </w:rPr>
              <w:t>Shares Outstanding (millions)</w:t>
            </w:r>
          </w:p>
        </w:tc>
        <w:tc>
          <w:tcPr>
            <w:tcW w:w="1640" w:type="dxa"/>
            <w:noWrap/>
          </w:tcPr>
          <w:p w14:paraId="0AF4E7D7" w14:textId="77777777" w:rsidR="009D4E2F" w:rsidRDefault="00314650">
            <w:pPr>
              <w:spacing w:after="0" w:line="240" w:lineRule="auto"/>
              <w:rPr>
                <w:rFonts w:ascii="Arial" w:hAnsi="Arial" w:cs="Arial"/>
              </w:rPr>
            </w:pPr>
            <w:r>
              <w:rPr>
                <w:rFonts w:ascii="Arial" w:hAnsi="Arial" w:cs="Arial"/>
              </w:rPr>
              <w:t>279.09</w:t>
            </w:r>
          </w:p>
        </w:tc>
        <w:tc>
          <w:tcPr>
            <w:tcW w:w="1639" w:type="dxa"/>
            <w:noWrap/>
          </w:tcPr>
          <w:p w14:paraId="706EDBAC" w14:textId="77777777" w:rsidR="009D4E2F" w:rsidRDefault="00314650">
            <w:pPr>
              <w:spacing w:after="0" w:line="240" w:lineRule="auto"/>
              <w:rPr>
                <w:rFonts w:ascii="Arial" w:hAnsi="Arial" w:cs="Arial"/>
              </w:rPr>
            </w:pPr>
            <w:r>
              <w:rPr>
                <w:rFonts w:ascii="Arial" w:hAnsi="Arial" w:cs="Arial"/>
              </w:rPr>
              <w:t>267.86</w:t>
            </w:r>
          </w:p>
        </w:tc>
        <w:tc>
          <w:tcPr>
            <w:tcW w:w="1639" w:type="dxa"/>
            <w:noWrap/>
          </w:tcPr>
          <w:p w14:paraId="67EE5B01" w14:textId="77777777" w:rsidR="009D4E2F" w:rsidRDefault="00314650">
            <w:pPr>
              <w:spacing w:after="0" w:line="240" w:lineRule="auto"/>
              <w:rPr>
                <w:rFonts w:ascii="Arial" w:hAnsi="Arial" w:cs="Arial"/>
              </w:rPr>
            </w:pPr>
            <w:r>
              <w:rPr>
                <w:rFonts w:ascii="Arial" w:hAnsi="Arial" w:cs="Arial"/>
              </w:rPr>
              <w:t>253.49</w:t>
            </w:r>
          </w:p>
        </w:tc>
        <w:tc>
          <w:tcPr>
            <w:tcW w:w="1639" w:type="dxa"/>
            <w:noWrap/>
          </w:tcPr>
          <w:p w14:paraId="3E262994" w14:textId="77777777" w:rsidR="009D4E2F" w:rsidRDefault="00314650">
            <w:pPr>
              <w:spacing w:after="0" w:line="240" w:lineRule="auto"/>
              <w:rPr>
                <w:rFonts w:ascii="Arial" w:hAnsi="Arial" w:cs="Arial"/>
              </w:rPr>
            </w:pPr>
            <w:r>
              <w:rPr>
                <w:rFonts w:ascii="Arial" w:hAnsi="Arial" w:cs="Arial"/>
              </w:rPr>
              <w:t>241.81</w:t>
            </w:r>
          </w:p>
        </w:tc>
        <w:tc>
          <w:tcPr>
            <w:tcW w:w="1639" w:type="dxa"/>
            <w:noWrap/>
          </w:tcPr>
          <w:p w14:paraId="5915E20A" w14:textId="77777777" w:rsidR="009D4E2F" w:rsidRDefault="00314650">
            <w:pPr>
              <w:spacing w:after="0" w:line="240" w:lineRule="auto"/>
              <w:rPr>
                <w:rFonts w:ascii="Arial" w:hAnsi="Arial" w:cs="Arial"/>
              </w:rPr>
            </w:pPr>
            <w:r>
              <w:rPr>
                <w:rFonts w:ascii="Arial" w:hAnsi="Arial" w:cs="Arial"/>
              </w:rPr>
              <w:t>230.43</w:t>
            </w:r>
          </w:p>
        </w:tc>
      </w:tr>
      <w:tr w:rsidR="009D4E2F" w14:paraId="7E76324C" w14:textId="77777777">
        <w:trPr>
          <w:trHeight w:val="288"/>
        </w:trPr>
        <w:tc>
          <w:tcPr>
            <w:tcW w:w="3944" w:type="dxa"/>
            <w:noWrap/>
          </w:tcPr>
          <w:p w14:paraId="49966EFD" w14:textId="77777777" w:rsidR="009D4E2F" w:rsidRDefault="00314650">
            <w:pPr>
              <w:spacing w:after="0" w:line="240" w:lineRule="auto"/>
              <w:rPr>
                <w:rFonts w:ascii="Arial" w:hAnsi="Arial" w:cs="Arial"/>
                <w:b/>
                <w:bCs/>
              </w:rPr>
            </w:pPr>
            <w:r>
              <w:rPr>
                <w:rFonts w:ascii="Arial" w:hAnsi="Arial" w:cs="Arial"/>
                <w:b/>
                <w:bCs/>
              </w:rPr>
              <w:t>Market Price per Share</w:t>
            </w:r>
          </w:p>
        </w:tc>
        <w:tc>
          <w:tcPr>
            <w:tcW w:w="1640" w:type="dxa"/>
            <w:noWrap/>
          </w:tcPr>
          <w:p w14:paraId="2B2CC60A" w14:textId="77777777" w:rsidR="009D4E2F" w:rsidRDefault="00314650">
            <w:pPr>
              <w:spacing w:after="0" w:line="240" w:lineRule="auto"/>
              <w:rPr>
                <w:rFonts w:ascii="Arial" w:hAnsi="Arial" w:cs="Arial"/>
              </w:rPr>
            </w:pPr>
            <w:r>
              <w:rPr>
                <w:rFonts w:ascii="Arial" w:hAnsi="Arial" w:cs="Arial"/>
              </w:rPr>
              <w:t>$153.91</w:t>
            </w:r>
          </w:p>
        </w:tc>
        <w:tc>
          <w:tcPr>
            <w:tcW w:w="1639" w:type="dxa"/>
            <w:noWrap/>
          </w:tcPr>
          <w:p w14:paraId="6FB63736" w14:textId="77777777" w:rsidR="009D4E2F" w:rsidRDefault="00314650">
            <w:pPr>
              <w:spacing w:after="0" w:line="240" w:lineRule="auto"/>
              <w:rPr>
                <w:rFonts w:ascii="Arial" w:hAnsi="Arial" w:cs="Arial"/>
              </w:rPr>
            </w:pPr>
            <w:r>
              <w:rPr>
                <w:rFonts w:ascii="Arial" w:hAnsi="Arial" w:cs="Arial"/>
              </w:rPr>
              <w:t>$125.11</w:t>
            </w:r>
          </w:p>
        </w:tc>
        <w:tc>
          <w:tcPr>
            <w:tcW w:w="1639" w:type="dxa"/>
            <w:noWrap/>
          </w:tcPr>
          <w:p w14:paraId="3C70FAB1" w14:textId="77777777" w:rsidR="009D4E2F" w:rsidRDefault="00314650">
            <w:pPr>
              <w:spacing w:after="0" w:line="240" w:lineRule="auto"/>
              <w:rPr>
                <w:rFonts w:ascii="Arial" w:hAnsi="Arial" w:cs="Arial"/>
              </w:rPr>
            </w:pPr>
            <w:r>
              <w:rPr>
                <w:rFonts w:ascii="Arial" w:hAnsi="Arial" w:cs="Arial"/>
              </w:rPr>
              <w:t>$181.00</w:t>
            </w:r>
          </w:p>
        </w:tc>
        <w:tc>
          <w:tcPr>
            <w:tcW w:w="1639" w:type="dxa"/>
            <w:noWrap/>
          </w:tcPr>
          <w:p w14:paraId="554E3DAE" w14:textId="77777777" w:rsidR="009D4E2F" w:rsidRDefault="00314650">
            <w:pPr>
              <w:spacing w:after="0" w:line="240" w:lineRule="auto"/>
              <w:rPr>
                <w:rFonts w:ascii="Arial" w:hAnsi="Arial" w:cs="Arial"/>
              </w:rPr>
            </w:pPr>
            <w:r>
              <w:rPr>
                <w:rFonts w:ascii="Arial" w:hAnsi="Arial" w:cs="Arial"/>
              </w:rPr>
              <w:t>$246.37</w:t>
            </w:r>
          </w:p>
        </w:tc>
        <w:tc>
          <w:tcPr>
            <w:tcW w:w="1639" w:type="dxa"/>
            <w:noWrap/>
          </w:tcPr>
          <w:p w14:paraId="35A10CD6" w14:textId="77777777" w:rsidR="009D4E2F" w:rsidRDefault="00314650">
            <w:pPr>
              <w:spacing w:after="0" w:line="240" w:lineRule="auto"/>
              <w:rPr>
                <w:rFonts w:ascii="Arial" w:hAnsi="Arial" w:cs="Arial"/>
              </w:rPr>
            </w:pPr>
            <w:r>
              <w:rPr>
                <w:rFonts w:ascii="Arial" w:hAnsi="Arial" w:cs="Arial"/>
              </w:rPr>
              <w:t>$286.98</w:t>
            </w:r>
          </w:p>
        </w:tc>
      </w:tr>
    </w:tbl>
    <w:p w14:paraId="17749588" w14:textId="77777777" w:rsidR="009D4E2F" w:rsidRDefault="009D4E2F">
      <w:pPr>
        <w:rPr>
          <w:rFonts w:ascii="Arial" w:hAnsi="Arial" w:cs="Arial"/>
        </w:rPr>
      </w:pPr>
    </w:p>
    <w:p w14:paraId="6E994910" w14:textId="77777777" w:rsidR="009D4E2F" w:rsidRDefault="00314650">
      <w:pPr>
        <w:rPr>
          <w:rFonts w:ascii="Arial" w:hAnsi="Arial" w:cs="Arial"/>
          <w:b/>
          <w:bCs/>
        </w:rPr>
      </w:pPr>
      <w:r>
        <w:rPr>
          <w:rFonts w:ascii="Arial" w:hAnsi="Arial" w:cs="Arial"/>
        </w:rPr>
        <w:br w:type="page"/>
      </w:r>
    </w:p>
    <w:p w14:paraId="0994CFAB" w14:textId="77777777" w:rsidR="009D4E2F" w:rsidRDefault="00314650">
      <w:pPr>
        <w:pStyle w:val="Heading2"/>
        <w:keepNext w:val="0"/>
        <w:keepLines w:val="0"/>
        <w:spacing w:before="280" w:after="80"/>
        <w:rPr>
          <w:rFonts w:ascii="Arial" w:hAnsi="Arial" w:cs="Arial"/>
        </w:rPr>
      </w:pPr>
      <w:bookmarkStart w:id="60" w:name="_Toc237472632"/>
      <w:r>
        <w:rPr>
          <w:rFonts w:ascii="Arial" w:hAnsi="Arial" w:cs="Arial"/>
        </w:rPr>
        <w:lastRenderedPageBreak/>
        <w:t>Appendix C: Working Capital Calculations</w:t>
      </w:r>
      <w:bookmarkEnd w:id="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0"/>
        <w:gridCol w:w="1080"/>
        <w:gridCol w:w="1080"/>
        <w:gridCol w:w="1080"/>
        <w:gridCol w:w="1118"/>
        <w:gridCol w:w="1118"/>
      </w:tblGrid>
      <w:tr w:rsidR="009D4E2F" w14:paraId="7EDFCCA9" w14:textId="77777777">
        <w:trPr>
          <w:trHeight w:val="510"/>
        </w:trPr>
        <w:tc>
          <w:tcPr>
            <w:tcW w:w="5000" w:type="pct"/>
            <w:gridSpan w:val="7"/>
            <w:shd w:val="clear" w:color="003366" w:fill="1F4E78"/>
            <w:noWrap/>
            <w:vAlign w:val="center"/>
          </w:tcPr>
          <w:p w14:paraId="2CEF997B"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HILTON WORLDWIDE HOLDINGS INC.</w:t>
            </w:r>
          </w:p>
        </w:tc>
      </w:tr>
      <w:tr w:rsidR="009D4E2F" w14:paraId="333C57C3" w14:textId="77777777">
        <w:trPr>
          <w:trHeight w:val="288"/>
        </w:trPr>
        <w:tc>
          <w:tcPr>
            <w:tcW w:w="5000" w:type="pct"/>
            <w:gridSpan w:val="7"/>
            <w:noWrap/>
            <w:vAlign w:val="bottom"/>
          </w:tcPr>
          <w:p w14:paraId="6ABB6C73" w14:textId="77777777" w:rsidR="009D4E2F" w:rsidRDefault="00314650">
            <w:pPr>
              <w:spacing w:after="0"/>
              <w:jc w:val="center"/>
              <w:rPr>
                <w:rFonts w:ascii="Arial" w:hAnsi="Arial" w:cs="Arial"/>
                <w:i/>
                <w:iCs/>
                <w:color w:val="000000"/>
                <w:lang w:val="en-IN"/>
              </w:rPr>
            </w:pPr>
            <w:r>
              <w:rPr>
                <w:rFonts w:ascii="Arial" w:hAnsi="Arial" w:cs="Arial"/>
                <w:i/>
                <w:iCs/>
                <w:color w:val="000000"/>
                <w:lang w:val="en-IN"/>
              </w:rPr>
              <w:t>Working Capital Management Analysis 2021-2025 (USD millions)</w:t>
            </w:r>
          </w:p>
        </w:tc>
      </w:tr>
      <w:tr w:rsidR="009D4E2F" w14:paraId="5B870436" w14:textId="77777777">
        <w:trPr>
          <w:trHeight w:val="288"/>
        </w:trPr>
        <w:tc>
          <w:tcPr>
            <w:tcW w:w="1932" w:type="pct"/>
            <w:noWrap/>
            <w:vAlign w:val="bottom"/>
          </w:tcPr>
          <w:p w14:paraId="2CFFA178" w14:textId="77777777" w:rsidR="009D4E2F" w:rsidRDefault="009D4E2F">
            <w:pPr>
              <w:spacing w:after="0"/>
              <w:jc w:val="center"/>
              <w:rPr>
                <w:rFonts w:ascii="Arial" w:hAnsi="Arial" w:cs="Arial"/>
                <w:i/>
                <w:iCs/>
                <w:color w:val="000000"/>
                <w:lang w:val="en-IN"/>
              </w:rPr>
            </w:pPr>
          </w:p>
        </w:tc>
        <w:tc>
          <w:tcPr>
            <w:tcW w:w="310" w:type="pct"/>
            <w:noWrap/>
            <w:vAlign w:val="bottom"/>
          </w:tcPr>
          <w:p w14:paraId="65E232F6" w14:textId="77777777" w:rsidR="009D4E2F" w:rsidRDefault="009D4E2F">
            <w:pPr>
              <w:spacing w:after="0"/>
              <w:jc w:val="left"/>
              <w:rPr>
                <w:rFonts w:ascii="Arial" w:hAnsi="Arial" w:cs="Arial"/>
                <w:lang w:val="en-IN"/>
              </w:rPr>
            </w:pPr>
          </w:p>
        </w:tc>
        <w:tc>
          <w:tcPr>
            <w:tcW w:w="543" w:type="pct"/>
            <w:noWrap/>
            <w:vAlign w:val="bottom"/>
          </w:tcPr>
          <w:p w14:paraId="31C9F450" w14:textId="77777777" w:rsidR="009D4E2F" w:rsidRDefault="009D4E2F">
            <w:pPr>
              <w:spacing w:after="0"/>
              <w:jc w:val="left"/>
              <w:rPr>
                <w:rFonts w:ascii="Arial" w:hAnsi="Arial" w:cs="Arial"/>
                <w:lang w:val="en-IN"/>
              </w:rPr>
            </w:pPr>
          </w:p>
        </w:tc>
        <w:tc>
          <w:tcPr>
            <w:tcW w:w="543" w:type="pct"/>
            <w:noWrap/>
            <w:vAlign w:val="bottom"/>
          </w:tcPr>
          <w:p w14:paraId="2BAE7EF3" w14:textId="77777777" w:rsidR="009D4E2F" w:rsidRDefault="009D4E2F">
            <w:pPr>
              <w:spacing w:after="0"/>
              <w:jc w:val="left"/>
              <w:rPr>
                <w:rFonts w:ascii="Arial" w:hAnsi="Arial" w:cs="Arial"/>
                <w:lang w:val="en-IN"/>
              </w:rPr>
            </w:pPr>
          </w:p>
        </w:tc>
        <w:tc>
          <w:tcPr>
            <w:tcW w:w="543" w:type="pct"/>
            <w:noWrap/>
            <w:vAlign w:val="bottom"/>
          </w:tcPr>
          <w:p w14:paraId="6048FA9B" w14:textId="77777777" w:rsidR="009D4E2F" w:rsidRDefault="009D4E2F">
            <w:pPr>
              <w:spacing w:after="0"/>
              <w:jc w:val="left"/>
              <w:rPr>
                <w:rFonts w:ascii="Arial" w:hAnsi="Arial" w:cs="Arial"/>
                <w:lang w:val="en-IN"/>
              </w:rPr>
            </w:pPr>
          </w:p>
        </w:tc>
        <w:tc>
          <w:tcPr>
            <w:tcW w:w="566" w:type="pct"/>
            <w:noWrap/>
            <w:vAlign w:val="bottom"/>
          </w:tcPr>
          <w:p w14:paraId="6AC2ED57" w14:textId="77777777" w:rsidR="009D4E2F" w:rsidRDefault="009D4E2F">
            <w:pPr>
              <w:spacing w:after="0"/>
              <w:jc w:val="left"/>
              <w:rPr>
                <w:rFonts w:ascii="Arial" w:hAnsi="Arial" w:cs="Arial"/>
                <w:lang w:val="en-IN"/>
              </w:rPr>
            </w:pPr>
          </w:p>
        </w:tc>
        <w:tc>
          <w:tcPr>
            <w:tcW w:w="566" w:type="pct"/>
            <w:noWrap/>
            <w:vAlign w:val="bottom"/>
          </w:tcPr>
          <w:p w14:paraId="5318050F" w14:textId="77777777" w:rsidR="009D4E2F" w:rsidRDefault="009D4E2F">
            <w:pPr>
              <w:spacing w:after="0"/>
              <w:jc w:val="left"/>
              <w:rPr>
                <w:rFonts w:ascii="Arial" w:hAnsi="Arial" w:cs="Arial"/>
                <w:lang w:val="en-IN"/>
              </w:rPr>
            </w:pPr>
          </w:p>
        </w:tc>
      </w:tr>
      <w:tr w:rsidR="009D4E2F" w14:paraId="181C4126" w14:textId="77777777">
        <w:trPr>
          <w:trHeight w:val="312"/>
        </w:trPr>
        <w:tc>
          <w:tcPr>
            <w:tcW w:w="5000" w:type="pct"/>
            <w:gridSpan w:val="7"/>
            <w:shd w:val="clear" w:color="003366" w:fill="1F4E78"/>
            <w:noWrap/>
            <w:vAlign w:val="bottom"/>
          </w:tcPr>
          <w:p w14:paraId="65B97DCE"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WORKING CAPITAL MANAGEMENT ANALYSIS</w:t>
            </w:r>
          </w:p>
        </w:tc>
      </w:tr>
      <w:tr w:rsidR="009D4E2F" w14:paraId="74B6CD2E" w14:textId="77777777">
        <w:trPr>
          <w:trHeight w:val="288"/>
        </w:trPr>
        <w:tc>
          <w:tcPr>
            <w:tcW w:w="1932" w:type="pct"/>
            <w:shd w:val="clear" w:color="4A7EBB" w:fill="2E75B6"/>
            <w:noWrap/>
            <w:vAlign w:val="bottom"/>
          </w:tcPr>
          <w:p w14:paraId="0EFC0535"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Particulars</w:t>
            </w:r>
          </w:p>
        </w:tc>
        <w:tc>
          <w:tcPr>
            <w:tcW w:w="310" w:type="pct"/>
            <w:shd w:val="clear" w:color="4A7EBB" w:fill="2E75B6"/>
            <w:noWrap/>
            <w:vAlign w:val="bottom"/>
          </w:tcPr>
          <w:p w14:paraId="756070C8"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Details</w:t>
            </w:r>
          </w:p>
        </w:tc>
        <w:tc>
          <w:tcPr>
            <w:tcW w:w="543" w:type="pct"/>
            <w:shd w:val="clear" w:color="4A7EBB" w:fill="2E75B6"/>
            <w:noWrap/>
            <w:vAlign w:val="bottom"/>
          </w:tcPr>
          <w:p w14:paraId="0FD3A125"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2021</w:t>
            </w:r>
          </w:p>
        </w:tc>
        <w:tc>
          <w:tcPr>
            <w:tcW w:w="543" w:type="pct"/>
            <w:shd w:val="clear" w:color="4A7EBB" w:fill="2E75B6"/>
            <w:noWrap/>
            <w:vAlign w:val="bottom"/>
          </w:tcPr>
          <w:p w14:paraId="44D9BEEA"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2022</w:t>
            </w:r>
          </w:p>
        </w:tc>
        <w:tc>
          <w:tcPr>
            <w:tcW w:w="543" w:type="pct"/>
            <w:shd w:val="clear" w:color="4A7EBB" w:fill="2E75B6"/>
            <w:noWrap/>
            <w:vAlign w:val="bottom"/>
          </w:tcPr>
          <w:p w14:paraId="707DF2DE"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2023</w:t>
            </w:r>
          </w:p>
        </w:tc>
        <w:tc>
          <w:tcPr>
            <w:tcW w:w="566" w:type="pct"/>
            <w:shd w:val="clear" w:color="4A7EBB" w:fill="2E75B6"/>
            <w:noWrap/>
            <w:vAlign w:val="bottom"/>
          </w:tcPr>
          <w:p w14:paraId="2ADB2304"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2024</w:t>
            </w:r>
          </w:p>
        </w:tc>
        <w:tc>
          <w:tcPr>
            <w:tcW w:w="566" w:type="pct"/>
            <w:shd w:val="clear" w:color="4A7EBB" w:fill="2E75B6"/>
            <w:noWrap/>
            <w:vAlign w:val="bottom"/>
          </w:tcPr>
          <w:p w14:paraId="33DB0760"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2025</w:t>
            </w:r>
          </w:p>
        </w:tc>
      </w:tr>
      <w:tr w:rsidR="009D4E2F" w14:paraId="1FF3D3A7" w14:textId="77777777">
        <w:trPr>
          <w:trHeight w:val="288"/>
        </w:trPr>
        <w:tc>
          <w:tcPr>
            <w:tcW w:w="1932" w:type="pct"/>
            <w:noWrap/>
            <w:vAlign w:val="bottom"/>
          </w:tcPr>
          <w:p w14:paraId="23EA5FB7" w14:textId="77777777" w:rsidR="009D4E2F" w:rsidRDefault="00314650">
            <w:pPr>
              <w:spacing w:after="0"/>
              <w:jc w:val="left"/>
              <w:rPr>
                <w:rFonts w:ascii="Arial" w:hAnsi="Arial" w:cs="Arial"/>
                <w:color w:val="000000"/>
                <w:lang w:val="en-IN"/>
              </w:rPr>
            </w:pPr>
            <w:r>
              <w:rPr>
                <w:rFonts w:ascii="Arial" w:hAnsi="Arial" w:cs="Arial"/>
                <w:color w:val="000000"/>
                <w:lang w:val="en-IN"/>
              </w:rPr>
              <w:t>Current Assets (USD M)</w:t>
            </w:r>
          </w:p>
        </w:tc>
        <w:tc>
          <w:tcPr>
            <w:tcW w:w="310" w:type="pct"/>
            <w:noWrap/>
            <w:vAlign w:val="bottom"/>
          </w:tcPr>
          <w:p w14:paraId="7166A8A6"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A</w:t>
            </w:r>
          </w:p>
        </w:tc>
        <w:tc>
          <w:tcPr>
            <w:tcW w:w="543" w:type="pct"/>
            <w:noWrap/>
            <w:vAlign w:val="bottom"/>
          </w:tcPr>
          <w:p w14:paraId="0A60D8D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2,871 </w:t>
            </w:r>
          </w:p>
        </w:tc>
        <w:tc>
          <w:tcPr>
            <w:tcW w:w="543" w:type="pct"/>
            <w:noWrap/>
            <w:vAlign w:val="bottom"/>
          </w:tcPr>
          <w:p w14:paraId="406BD014"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2,870 </w:t>
            </w:r>
          </w:p>
        </w:tc>
        <w:tc>
          <w:tcPr>
            <w:tcW w:w="543" w:type="pct"/>
            <w:noWrap/>
            <w:vAlign w:val="bottom"/>
          </w:tcPr>
          <w:p w14:paraId="031A618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2,614 </w:t>
            </w:r>
          </w:p>
        </w:tc>
        <w:tc>
          <w:tcPr>
            <w:tcW w:w="566" w:type="pct"/>
            <w:noWrap/>
            <w:vAlign w:val="bottom"/>
          </w:tcPr>
          <w:p w14:paraId="261CAF8B"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3,272 </w:t>
            </w:r>
          </w:p>
        </w:tc>
        <w:tc>
          <w:tcPr>
            <w:tcW w:w="566" w:type="pct"/>
            <w:noWrap/>
            <w:vAlign w:val="bottom"/>
          </w:tcPr>
          <w:p w14:paraId="35873B1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2,996 </w:t>
            </w:r>
          </w:p>
        </w:tc>
      </w:tr>
      <w:tr w:rsidR="009D4E2F" w14:paraId="21299E71" w14:textId="77777777">
        <w:trPr>
          <w:trHeight w:val="288"/>
        </w:trPr>
        <w:tc>
          <w:tcPr>
            <w:tcW w:w="1932" w:type="pct"/>
            <w:noWrap/>
            <w:vAlign w:val="bottom"/>
          </w:tcPr>
          <w:p w14:paraId="680B7AC4" w14:textId="77777777" w:rsidR="009D4E2F" w:rsidRDefault="00314650">
            <w:pPr>
              <w:spacing w:after="0"/>
              <w:jc w:val="left"/>
              <w:rPr>
                <w:rFonts w:ascii="Arial" w:hAnsi="Arial" w:cs="Arial"/>
                <w:color w:val="000000"/>
                <w:lang w:val="en-IN"/>
              </w:rPr>
            </w:pPr>
            <w:r>
              <w:rPr>
                <w:rFonts w:ascii="Arial" w:hAnsi="Arial" w:cs="Arial"/>
                <w:color w:val="000000"/>
                <w:lang w:val="en-IN"/>
              </w:rPr>
              <w:t>Inventories (USD M)</w:t>
            </w:r>
          </w:p>
        </w:tc>
        <w:tc>
          <w:tcPr>
            <w:tcW w:w="310" w:type="pct"/>
            <w:noWrap/>
            <w:vAlign w:val="bottom"/>
          </w:tcPr>
          <w:p w14:paraId="1B71ADE3"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B</w:t>
            </w:r>
          </w:p>
        </w:tc>
        <w:tc>
          <w:tcPr>
            <w:tcW w:w="543" w:type="pct"/>
            <w:noWrap/>
            <w:vAlign w:val="bottom"/>
          </w:tcPr>
          <w:p w14:paraId="73289A87"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 </w:t>
            </w:r>
          </w:p>
        </w:tc>
        <w:tc>
          <w:tcPr>
            <w:tcW w:w="543" w:type="pct"/>
            <w:noWrap/>
            <w:vAlign w:val="bottom"/>
          </w:tcPr>
          <w:p w14:paraId="77BD2EA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 </w:t>
            </w:r>
          </w:p>
        </w:tc>
        <w:tc>
          <w:tcPr>
            <w:tcW w:w="543" w:type="pct"/>
            <w:noWrap/>
            <w:vAlign w:val="bottom"/>
          </w:tcPr>
          <w:p w14:paraId="2FB43941"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 </w:t>
            </w:r>
          </w:p>
        </w:tc>
        <w:tc>
          <w:tcPr>
            <w:tcW w:w="566" w:type="pct"/>
            <w:noWrap/>
            <w:vAlign w:val="bottom"/>
          </w:tcPr>
          <w:p w14:paraId="30053214"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 </w:t>
            </w:r>
          </w:p>
        </w:tc>
        <w:tc>
          <w:tcPr>
            <w:tcW w:w="566" w:type="pct"/>
            <w:noWrap/>
            <w:vAlign w:val="bottom"/>
          </w:tcPr>
          <w:p w14:paraId="525EFD56"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 </w:t>
            </w:r>
          </w:p>
        </w:tc>
      </w:tr>
      <w:tr w:rsidR="009D4E2F" w14:paraId="752B8E80" w14:textId="77777777">
        <w:trPr>
          <w:trHeight w:val="288"/>
        </w:trPr>
        <w:tc>
          <w:tcPr>
            <w:tcW w:w="1932" w:type="pct"/>
            <w:noWrap/>
            <w:vAlign w:val="bottom"/>
          </w:tcPr>
          <w:p w14:paraId="54B0127E" w14:textId="77777777" w:rsidR="009D4E2F" w:rsidRDefault="00314650">
            <w:pPr>
              <w:spacing w:after="0"/>
              <w:jc w:val="left"/>
              <w:rPr>
                <w:rFonts w:ascii="Arial" w:hAnsi="Arial" w:cs="Arial"/>
                <w:color w:val="000000"/>
                <w:lang w:val="en-IN"/>
              </w:rPr>
            </w:pPr>
            <w:r>
              <w:rPr>
                <w:rFonts w:ascii="Arial" w:hAnsi="Arial" w:cs="Arial"/>
                <w:color w:val="000000"/>
                <w:lang w:val="en-IN"/>
              </w:rPr>
              <w:t>Accounts Receivable (USD M)</w:t>
            </w:r>
          </w:p>
        </w:tc>
        <w:tc>
          <w:tcPr>
            <w:tcW w:w="310" w:type="pct"/>
            <w:noWrap/>
            <w:vAlign w:val="bottom"/>
          </w:tcPr>
          <w:p w14:paraId="01C24385"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C</w:t>
            </w:r>
          </w:p>
        </w:tc>
        <w:tc>
          <w:tcPr>
            <w:tcW w:w="543" w:type="pct"/>
            <w:noWrap/>
            <w:vAlign w:val="bottom"/>
          </w:tcPr>
          <w:p w14:paraId="14A4ED55"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868 </w:t>
            </w:r>
          </w:p>
        </w:tc>
        <w:tc>
          <w:tcPr>
            <w:tcW w:w="543" w:type="pct"/>
            <w:noWrap/>
            <w:vAlign w:val="bottom"/>
          </w:tcPr>
          <w:p w14:paraId="16318936"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1,327 </w:t>
            </w:r>
          </w:p>
        </w:tc>
        <w:tc>
          <w:tcPr>
            <w:tcW w:w="543" w:type="pct"/>
            <w:noWrap/>
            <w:vAlign w:val="bottom"/>
          </w:tcPr>
          <w:p w14:paraId="056990F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1,487 </w:t>
            </w:r>
          </w:p>
        </w:tc>
        <w:tc>
          <w:tcPr>
            <w:tcW w:w="566" w:type="pct"/>
            <w:noWrap/>
            <w:vAlign w:val="bottom"/>
          </w:tcPr>
          <w:p w14:paraId="3DEC38D7"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1,583 </w:t>
            </w:r>
          </w:p>
        </w:tc>
        <w:tc>
          <w:tcPr>
            <w:tcW w:w="566" w:type="pct"/>
            <w:noWrap/>
            <w:vAlign w:val="bottom"/>
          </w:tcPr>
          <w:p w14:paraId="2A4D5E68"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1,690 </w:t>
            </w:r>
          </w:p>
        </w:tc>
      </w:tr>
      <w:tr w:rsidR="009D4E2F" w14:paraId="1A947EC9" w14:textId="77777777">
        <w:trPr>
          <w:trHeight w:val="288"/>
        </w:trPr>
        <w:tc>
          <w:tcPr>
            <w:tcW w:w="1932" w:type="pct"/>
            <w:noWrap/>
            <w:vAlign w:val="bottom"/>
          </w:tcPr>
          <w:p w14:paraId="2306B2B9" w14:textId="77777777" w:rsidR="009D4E2F" w:rsidRDefault="00314650">
            <w:pPr>
              <w:spacing w:after="0"/>
              <w:jc w:val="left"/>
              <w:rPr>
                <w:rFonts w:ascii="Arial" w:hAnsi="Arial" w:cs="Arial"/>
                <w:color w:val="000000"/>
                <w:lang w:val="en-IN"/>
              </w:rPr>
            </w:pPr>
            <w:r>
              <w:rPr>
                <w:rFonts w:ascii="Arial" w:hAnsi="Arial" w:cs="Arial"/>
                <w:color w:val="000000"/>
                <w:lang w:val="en-IN"/>
              </w:rPr>
              <w:t>Accounts Payable (USD M)</w:t>
            </w:r>
          </w:p>
        </w:tc>
        <w:tc>
          <w:tcPr>
            <w:tcW w:w="310" w:type="pct"/>
            <w:noWrap/>
            <w:vAlign w:val="bottom"/>
          </w:tcPr>
          <w:p w14:paraId="53031E2D"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D</w:t>
            </w:r>
          </w:p>
        </w:tc>
        <w:tc>
          <w:tcPr>
            <w:tcW w:w="543" w:type="pct"/>
            <w:noWrap/>
            <w:vAlign w:val="bottom"/>
          </w:tcPr>
          <w:p w14:paraId="39A97C50"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1,568 </w:t>
            </w:r>
          </w:p>
        </w:tc>
        <w:tc>
          <w:tcPr>
            <w:tcW w:w="543" w:type="pct"/>
            <w:noWrap/>
            <w:vAlign w:val="bottom"/>
          </w:tcPr>
          <w:p w14:paraId="3612EC58"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1,790 </w:t>
            </w:r>
          </w:p>
        </w:tc>
        <w:tc>
          <w:tcPr>
            <w:tcW w:w="543" w:type="pct"/>
            <w:noWrap/>
            <w:vAlign w:val="bottom"/>
          </w:tcPr>
          <w:p w14:paraId="0F01B94C"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1,979 </w:t>
            </w:r>
          </w:p>
        </w:tc>
        <w:tc>
          <w:tcPr>
            <w:tcW w:w="566" w:type="pct"/>
            <w:noWrap/>
            <w:vAlign w:val="bottom"/>
          </w:tcPr>
          <w:p w14:paraId="502E5D78"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2,124 </w:t>
            </w:r>
          </w:p>
        </w:tc>
        <w:tc>
          <w:tcPr>
            <w:tcW w:w="566" w:type="pct"/>
            <w:noWrap/>
            <w:vAlign w:val="bottom"/>
          </w:tcPr>
          <w:p w14:paraId="1DC49BA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2,336 </w:t>
            </w:r>
          </w:p>
        </w:tc>
      </w:tr>
      <w:tr w:rsidR="009D4E2F" w14:paraId="5DE307B8" w14:textId="77777777">
        <w:trPr>
          <w:trHeight w:val="288"/>
        </w:trPr>
        <w:tc>
          <w:tcPr>
            <w:tcW w:w="1932" w:type="pct"/>
            <w:noWrap/>
            <w:vAlign w:val="bottom"/>
          </w:tcPr>
          <w:p w14:paraId="4DD09712" w14:textId="77777777" w:rsidR="009D4E2F" w:rsidRDefault="00314650">
            <w:pPr>
              <w:spacing w:after="0"/>
              <w:jc w:val="left"/>
              <w:rPr>
                <w:rFonts w:ascii="Arial" w:hAnsi="Arial" w:cs="Arial"/>
                <w:color w:val="000000"/>
                <w:lang w:val="en-IN"/>
              </w:rPr>
            </w:pPr>
            <w:r>
              <w:rPr>
                <w:rFonts w:ascii="Arial" w:hAnsi="Arial" w:cs="Arial"/>
                <w:color w:val="000000"/>
                <w:lang w:val="en-IN"/>
              </w:rPr>
              <w:t>Current Liabilities (USD M)</w:t>
            </w:r>
          </w:p>
        </w:tc>
        <w:tc>
          <w:tcPr>
            <w:tcW w:w="310" w:type="pct"/>
            <w:noWrap/>
            <w:vAlign w:val="bottom"/>
          </w:tcPr>
          <w:p w14:paraId="56407444"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E</w:t>
            </w:r>
          </w:p>
        </w:tc>
        <w:tc>
          <w:tcPr>
            <w:tcW w:w="543" w:type="pct"/>
            <w:noWrap/>
            <w:vAlign w:val="bottom"/>
          </w:tcPr>
          <w:p w14:paraId="01B92FAC"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3,019 </w:t>
            </w:r>
          </w:p>
        </w:tc>
        <w:tc>
          <w:tcPr>
            <w:tcW w:w="543" w:type="pct"/>
            <w:noWrap/>
            <w:vAlign w:val="bottom"/>
          </w:tcPr>
          <w:p w14:paraId="38667A3B"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3,372 </w:t>
            </w:r>
          </w:p>
        </w:tc>
        <w:tc>
          <w:tcPr>
            <w:tcW w:w="543" w:type="pct"/>
            <w:noWrap/>
            <w:vAlign w:val="bottom"/>
          </w:tcPr>
          <w:p w14:paraId="4E6BEB5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3,722 </w:t>
            </w:r>
          </w:p>
        </w:tc>
        <w:tc>
          <w:tcPr>
            <w:tcW w:w="566" w:type="pct"/>
            <w:noWrap/>
            <w:vAlign w:val="bottom"/>
          </w:tcPr>
          <w:p w14:paraId="1D31865D"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4,700 </w:t>
            </w:r>
          </w:p>
        </w:tc>
        <w:tc>
          <w:tcPr>
            <w:tcW w:w="566" w:type="pct"/>
            <w:noWrap/>
            <w:vAlign w:val="bottom"/>
          </w:tcPr>
          <w:p w14:paraId="0FFC5203"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4,508 </w:t>
            </w:r>
          </w:p>
        </w:tc>
      </w:tr>
      <w:tr w:rsidR="009D4E2F" w14:paraId="0E48C726" w14:textId="77777777">
        <w:trPr>
          <w:trHeight w:val="288"/>
        </w:trPr>
        <w:tc>
          <w:tcPr>
            <w:tcW w:w="1932" w:type="pct"/>
            <w:noWrap/>
            <w:vAlign w:val="bottom"/>
          </w:tcPr>
          <w:p w14:paraId="69ABF462" w14:textId="77777777" w:rsidR="009D4E2F" w:rsidRDefault="00314650">
            <w:pPr>
              <w:spacing w:after="0"/>
              <w:jc w:val="left"/>
              <w:rPr>
                <w:rFonts w:ascii="Arial" w:hAnsi="Arial" w:cs="Arial"/>
                <w:color w:val="000000"/>
                <w:lang w:val="en-IN"/>
              </w:rPr>
            </w:pPr>
            <w:r>
              <w:rPr>
                <w:rFonts w:ascii="Arial" w:hAnsi="Arial" w:cs="Arial"/>
                <w:color w:val="000000"/>
                <w:lang w:val="en-IN"/>
              </w:rPr>
              <w:t>Revenue (USD M)</w:t>
            </w:r>
          </w:p>
        </w:tc>
        <w:tc>
          <w:tcPr>
            <w:tcW w:w="310" w:type="pct"/>
            <w:noWrap/>
            <w:vAlign w:val="bottom"/>
          </w:tcPr>
          <w:p w14:paraId="04CB4BF1"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F</w:t>
            </w:r>
          </w:p>
        </w:tc>
        <w:tc>
          <w:tcPr>
            <w:tcW w:w="543" w:type="pct"/>
            <w:noWrap/>
            <w:vAlign w:val="bottom"/>
          </w:tcPr>
          <w:p w14:paraId="062D0517"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5,788 </w:t>
            </w:r>
          </w:p>
        </w:tc>
        <w:tc>
          <w:tcPr>
            <w:tcW w:w="543" w:type="pct"/>
            <w:noWrap/>
            <w:vAlign w:val="bottom"/>
          </w:tcPr>
          <w:p w14:paraId="0829011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8,773 </w:t>
            </w:r>
          </w:p>
        </w:tc>
        <w:tc>
          <w:tcPr>
            <w:tcW w:w="543" w:type="pct"/>
            <w:noWrap/>
            <w:vAlign w:val="bottom"/>
          </w:tcPr>
          <w:p w14:paraId="281BE956"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8,235 </w:t>
            </w:r>
          </w:p>
        </w:tc>
        <w:tc>
          <w:tcPr>
            <w:tcW w:w="566" w:type="pct"/>
            <w:noWrap/>
            <w:vAlign w:val="bottom"/>
          </w:tcPr>
          <w:p w14:paraId="51D34622"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11,174 </w:t>
            </w:r>
          </w:p>
        </w:tc>
        <w:tc>
          <w:tcPr>
            <w:tcW w:w="566" w:type="pct"/>
            <w:noWrap/>
            <w:vAlign w:val="bottom"/>
          </w:tcPr>
          <w:p w14:paraId="3136618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12,039 </w:t>
            </w:r>
          </w:p>
        </w:tc>
      </w:tr>
      <w:tr w:rsidR="009D4E2F" w14:paraId="3417C529" w14:textId="77777777">
        <w:trPr>
          <w:trHeight w:val="288"/>
        </w:trPr>
        <w:tc>
          <w:tcPr>
            <w:tcW w:w="1932" w:type="pct"/>
            <w:noWrap/>
            <w:vAlign w:val="bottom"/>
          </w:tcPr>
          <w:p w14:paraId="190CB262" w14:textId="77777777" w:rsidR="009D4E2F" w:rsidRDefault="00314650">
            <w:pPr>
              <w:spacing w:after="0"/>
              <w:jc w:val="left"/>
              <w:rPr>
                <w:rFonts w:ascii="Arial" w:hAnsi="Arial" w:cs="Arial"/>
                <w:color w:val="000000"/>
                <w:lang w:val="en-IN"/>
              </w:rPr>
            </w:pPr>
            <w:r>
              <w:rPr>
                <w:rFonts w:ascii="Arial" w:hAnsi="Arial" w:cs="Arial"/>
                <w:color w:val="000000"/>
                <w:lang w:val="en-IN"/>
              </w:rPr>
              <w:t>Cost of Revenue (USD M)</w:t>
            </w:r>
          </w:p>
        </w:tc>
        <w:tc>
          <w:tcPr>
            <w:tcW w:w="310" w:type="pct"/>
            <w:noWrap/>
            <w:vAlign w:val="bottom"/>
          </w:tcPr>
          <w:p w14:paraId="17240836"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G</w:t>
            </w:r>
          </w:p>
        </w:tc>
        <w:tc>
          <w:tcPr>
            <w:tcW w:w="543" w:type="pct"/>
            <w:noWrap/>
            <w:vAlign w:val="bottom"/>
          </w:tcPr>
          <w:p w14:paraId="5C5BB258"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4,133 </w:t>
            </w:r>
          </w:p>
        </w:tc>
        <w:tc>
          <w:tcPr>
            <w:tcW w:w="543" w:type="pct"/>
            <w:noWrap/>
            <w:vAlign w:val="bottom"/>
          </w:tcPr>
          <w:p w14:paraId="44D5B2A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6,075 </w:t>
            </w:r>
          </w:p>
        </w:tc>
        <w:tc>
          <w:tcPr>
            <w:tcW w:w="543" w:type="pct"/>
            <w:noWrap/>
            <w:vAlign w:val="bottom"/>
          </w:tcPr>
          <w:p w14:paraId="5534BFC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7,305 </w:t>
            </w:r>
          </w:p>
        </w:tc>
        <w:tc>
          <w:tcPr>
            <w:tcW w:w="566" w:type="pct"/>
            <w:noWrap/>
            <w:vAlign w:val="bottom"/>
          </w:tcPr>
          <w:p w14:paraId="63AF590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8,111 </w:t>
            </w:r>
          </w:p>
        </w:tc>
        <w:tc>
          <w:tcPr>
            <w:tcW w:w="566" w:type="pct"/>
            <w:noWrap/>
            <w:vAlign w:val="bottom"/>
          </w:tcPr>
          <w:p w14:paraId="58F7C39A"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8,644 </w:t>
            </w:r>
          </w:p>
        </w:tc>
      </w:tr>
      <w:tr w:rsidR="009D4E2F" w14:paraId="79B89BD2" w14:textId="77777777">
        <w:trPr>
          <w:trHeight w:val="288"/>
        </w:trPr>
        <w:tc>
          <w:tcPr>
            <w:tcW w:w="1932" w:type="pct"/>
            <w:noWrap/>
            <w:vAlign w:val="bottom"/>
          </w:tcPr>
          <w:p w14:paraId="0EF3840C" w14:textId="77777777" w:rsidR="009D4E2F" w:rsidRDefault="00314650">
            <w:pPr>
              <w:spacing w:after="0"/>
              <w:jc w:val="left"/>
              <w:rPr>
                <w:rFonts w:ascii="Arial" w:hAnsi="Arial" w:cs="Arial"/>
                <w:color w:val="000000"/>
                <w:lang w:val="en-IN"/>
              </w:rPr>
            </w:pPr>
            <w:r>
              <w:rPr>
                <w:rFonts w:ascii="Arial" w:hAnsi="Arial" w:cs="Arial"/>
                <w:color w:val="000000"/>
                <w:lang w:val="en-IN"/>
              </w:rPr>
              <w:t>Operating Cash Flow (USD M)</w:t>
            </w:r>
          </w:p>
        </w:tc>
        <w:tc>
          <w:tcPr>
            <w:tcW w:w="310" w:type="pct"/>
            <w:noWrap/>
            <w:vAlign w:val="bottom"/>
          </w:tcPr>
          <w:p w14:paraId="2F1D8525" w14:textId="77777777" w:rsidR="009D4E2F" w:rsidRDefault="00314650">
            <w:pPr>
              <w:spacing w:after="0"/>
              <w:jc w:val="center"/>
              <w:rPr>
                <w:rFonts w:ascii="Arial" w:hAnsi="Arial" w:cs="Arial"/>
                <w:b/>
                <w:bCs/>
                <w:color w:val="000000"/>
                <w:lang w:val="en-IN"/>
              </w:rPr>
            </w:pPr>
            <w:r>
              <w:rPr>
                <w:rFonts w:ascii="Arial" w:hAnsi="Arial" w:cs="Arial"/>
                <w:b/>
                <w:bCs/>
                <w:color w:val="000000"/>
                <w:lang w:val="en-IN"/>
              </w:rPr>
              <w:t>H</w:t>
            </w:r>
          </w:p>
        </w:tc>
        <w:tc>
          <w:tcPr>
            <w:tcW w:w="543" w:type="pct"/>
            <w:noWrap/>
            <w:vAlign w:val="bottom"/>
          </w:tcPr>
          <w:p w14:paraId="1A89AC8B"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89 </w:t>
            </w:r>
          </w:p>
        </w:tc>
        <w:tc>
          <w:tcPr>
            <w:tcW w:w="543" w:type="pct"/>
            <w:noWrap/>
            <w:vAlign w:val="bottom"/>
          </w:tcPr>
          <w:p w14:paraId="2EAD0AA4"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1,681 </w:t>
            </w:r>
          </w:p>
        </w:tc>
        <w:tc>
          <w:tcPr>
            <w:tcW w:w="543" w:type="pct"/>
            <w:noWrap/>
            <w:vAlign w:val="bottom"/>
          </w:tcPr>
          <w:p w14:paraId="3F7E0D9F"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1,946 </w:t>
            </w:r>
          </w:p>
        </w:tc>
        <w:tc>
          <w:tcPr>
            <w:tcW w:w="566" w:type="pct"/>
            <w:noWrap/>
            <w:vAlign w:val="bottom"/>
          </w:tcPr>
          <w:p w14:paraId="61DD50A5"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2,013 </w:t>
            </w:r>
          </w:p>
        </w:tc>
        <w:tc>
          <w:tcPr>
            <w:tcW w:w="566" w:type="pct"/>
            <w:noWrap/>
            <w:vAlign w:val="bottom"/>
          </w:tcPr>
          <w:p w14:paraId="026BB984" w14:textId="77777777" w:rsidR="009D4E2F" w:rsidRDefault="00314650">
            <w:pPr>
              <w:spacing w:after="0"/>
              <w:jc w:val="right"/>
              <w:rPr>
                <w:rFonts w:ascii="Arial" w:hAnsi="Arial" w:cs="Arial"/>
                <w:color w:val="000000"/>
                <w:lang w:val="en-IN"/>
              </w:rPr>
            </w:pPr>
            <w:r>
              <w:rPr>
                <w:rFonts w:ascii="Arial" w:hAnsi="Arial" w:cs="Arial"/>
                <w:color w:val="000000"/>
                <w:lang w:val="en-IN"/>
              </w:rPr>
              <w:t xml:space="preserve"> $           2,129 </w:t>
            </w:r>
          </w:p>
        </w:tc>
      </w:tr>
      <w:tr w:rsidR="009D4E2F" w14:paraId="66641E9E" w14:textId="77777777">
        <w:trPr>
          <w:trHeight w:val="288"/>
        </w:trPr>
        <w:tc>
          <w:tcPr>
            <w:tcW w:w="1932" w:type="pct"/>
            <w:shd w:val="clear" w:color="F9F9F9" w:fill="FFF2CC"/>
            <w:noWrap/>
            <w:vAlign w:val="bottom"/>
          </w:tcPr>
          <w:p w14:paraId="3A3EC133"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Days Sales Outstanding - DSO (365/(F/C))</w:t>
            </w:r>
          </w:p>
        </w:tc>
        <w:tc>
          <w:tcPr>
            <w:tcW w:w="310" w:type="pct"/>
            <w:shd w:val="clear" w:color="F9F9F9" w:fill="FFF2CC"/>
            <w:noWrap/>
            <w:vAlign w:val="bottom"/>
          </w:tcPr>
          <w:p w14:paraId="1486A051"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0BC0EE4A"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54.7 days</w:t>
            </w:r>
          </w:p>
        </w:tc>
        <w:tc>
          <w:tcPr>
            <w:tcW w:w="543" w:type="pct"/>
            <w:shd w:val="clear" w:color="F9F9F9" w:fill="FFF2CC"/>
            <w:noWrap/>
            <w:vAlign w:val="bottom"/>
          </w:tcPr>
          <w:p w14:paraId="03823C77"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55.2 days</w:t>
            </w:r>
          </w:p>
        </w:tc>
        <w:tc>
          <w:tcPr>
            <w:tcW w:w="543" w:type="pct"/>
            <w:shd w:val="clear" w:color="F9F9F9" w:fill="FFF2CC"/>
            <w:noWrap/>
            <w:vAlign w:val="bottom"/>
          </w:tcPr>
          <w:p w14:paraId="365661D2"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65.9 days</w:t>
            </w:r>
          </w:p>
        </w:tc>
        <w:tc>
          <w:tcPr>
            <w:tcW w:w="566" w:type="pct"/>
            <w:shd w:val="clear" w:color="F9F9F9" w:fill="FFF2CC"/>
            <w:noWrap/>
            <w:vAlign w:val="bottom"/>
          </w:tcPr>
          <w:p w14:paraId="2AF37ECC"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51.7 days</w:t>
            </w:r>
          </w:p>
        </w:tc>
        <w:tc>
          <w:tcPr>
            <w:tcW w:w="566" w:type="pct"/>
            <w:shd w:val="clear" w:color="F9F9F9" w:fill="FFF2CC"/>
            <w:noWrap/>
            <w:vAlign w:val="bottom"/>
          </w:tcPr>
          <w:p w14:paraId="5A5412DA"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51.2 days</w:t>
            </w:r>
          </w:p>
        </w:tc>
      </w:tr>
      <w:tr w:rsidR="009D4E2F" w14:paraId="152CDF60" w14:textId="77777777">
        <w:trPr>
          <w:trHeight w:val="288"/>
        </w:trPr>
        <w:tc>
          <w:tcPr>
            <w:tcW w:w="2241" w:type="pct"/>
            <w:gridSpan w:val="2"/>
            <w:shd w:val="clear" w:color="F9F9F9" w:fill="FFF2CC"/>
            <w:noWrap/>
            <w:vAlign w:val="bottom"/>
          </w:tcPr>
          <w:p w14:paraId="29F7830B"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Days Inventory Outstanding - DIO (365/(G/B)) [N/A]</w:t>
            </w:r>
          </w:p>
        </w:tc>
        <w:tc>
          <w:tcPr>
            <w:tcW w:w="543" w:type="pct"/>
            <w:shd w:val="clear" w:color="F9F9F9" w:fill="FFF2CC"/>
            <w:noWrap/>
            <w:vAlign w:val="bottom"/>
          </w:tcPr>
          <w:p w14:paraId="176B0933"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N/A</w:t>
            </w:r>
          </w:p>
        </w:tc>
        <w:tc>
          <w:tcPr>
            <w:tcW w:w="543" w:type="pct"/>
            <w:shd w:val="clear" w:color="F9F9F9" w:fill="FFF2CC"/>
            <w:noWrap/>
            <w:vAlign w:val="bottom"/>
          </w:tcPr>
          <w:p w14:paraId="004CB8F5"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N/A</w:t>
            </w:r>
          </w:p>
        </w:tc>
        <w:tc>
          <w:tcPr>
            <w:tcW w:w="543" w:type="pct"/>
            <w:shd w:val="clear" w:color="F9F9F9" w:fill="FFF2CC"/>
            <w:noWrap/>
            <w:vAlign w:val="bottom"/>
          </w:tcPr>
          <w:p w14:paraId="1A6030CD"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N/A</w:t>
            </w:r>
          </w:p>
        </w:tc>
        <w:tc>
          <w:tcPr>
            <w:tcW w:w="566" w:type="pct"/>
            <w:shd w:val="clear" w:color="F9F9F9" w:fill="FFF2CC"/>
            <w:noWrap/>
            <w:vAlign w:val="bottom"/>
          </w:tcPr>
          <w:p w14:paraId="773CD8E0"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N/A</w:t>
            </w:r>
          </w:p>
        </w:tc>
        <w:tc>
          <w:tcPr>
            <w:tcW w:w="566" w:type="pct"/>
            <w:shd w:val="clear" w:color="F9F9F9" w:fill="FFF2CC"/>
            <w:noWrap/>
            <w:vAlign w:val="bottom"/>
          </w:tcPr>
          <w:p w14:paraId="7458FE9E"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N/A</w:t>
            </w:r>
          </w:p>
        </w:tc>
      </w:tr>
      <w:tr w:rsidR="009D4E2F" w14:paraId="1C7937CA" w14:textId="77777777">
        <w:trPr>
          <w:trHeight w:val="288"/>
        </w:trPr>
        <w:tc>
          <w:tcPr>
            <w:tcW w:w="1932" w:type="pct"/>
            <w:shd w:val="clear" w:color="F9F9F9" w:fill="FFF2CC"/>
            <w:noWrap/>
            <w:vAlign w:val="bottom"/>
          </w:tcPr>
          <w:p w14:paraId="75820F9B"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lastRenderedPageBreak/>
              <w:t>Days Payable Outstanding - DPO (365/(G/D))</w:t>
            </w:r>
          </w:p>
        </w:tc>
        <w:tc>
          <w:tcPr>
            <w:tcW w:w="310" w:type="pct"/>
            <w:shd w:val="clear" w:color="F9F9F9" w:fill="FFF2CC"/>
            <w:noWrap/>
            <w:vAlign w:val="bottom"/>
          </w:tcPr>
          <w:p w14:paraId="199DB42F"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521620C0"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138.5 days</w:t>
            </w:r>
          </w:p>
        </w:tc>
        <w:tc>
          <w:tcPr>
            <w:tcW w:w="543" w:type="pct"/>
            <w:shd w:val="clear" w:color="F9F9F9" w:fill="FFF2CC"/>
            <w:noWrap/>
            <w:vAlign w:val="bottom"/>
          </w:tcPr>
          <w:p w14:paraId="35F35000"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107.5 days</w:t>
            </w:r>
          </w:p>
        </w:tc>
        <w:tc>
          <w:tcPr>
            <w:tcW w:w="543" w:type="pct"/>
            <w:shd w:val="clear" w:color="F9F9F9" w:fill="FFF2CC"/>
            <w:noWrap/>
            <w:vAlign w:val="bottom"/>
          </w:tcPr>
          <w:p w14:paraId="5250D934"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98.9 days</w:t>
            </w:r>
          </w:p>
        </w:tc>
        <w:tc>
          <w:tcPr>
            <w:tcW w:w="566" w:type="pct"/>
            <w:shd w:val="clear" w:color="F9F9F9" w:fill="FFF2CC"/>
            <w:noWrap/>
            <w:vAlign w:val="bottom"/>
          </w:tcPr>
          <w:p w14:paraId="02A98B7E"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95.6 days</w:t>
            </w:r>
          </w:p>
        </w:tc>
        <w:tc>
          <w:tcPr>
            <w:tcW w:w="566" w:type="pct"/>
            <w:shd w:val="clear" w:color="F9F9F9" w:fill="FFF2CC"/>
            <w:noWrap/>
            <w:vAlign w:val="bottom"/>
          </w:tcPr>
          <w:p w14:paraId="3D590DF5"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98.6 days</w:t>
            </w:r>
          </w:p>
        </w:tc>
      </w:tr>
      <w:tr w:rsidR="009D4E2F" w14:paraId="5D76C25D" w14:textId="77777777">
        <w:trPr>
          <w:trHeight w:val="288"/>
        </w:trPr>
        <w:tc>
          <w:tcPr>
            <w:tcW w:w="1932" w:type="pct"/>
            <w:shd w:val="clear" w:color="F9F9F9" w:fill="FFF2CC"/>
            <w:noWrap/>
            <w:vAlign w:val="bottom"/>
          </w:tcPr>
          <w:p w14:paraId="715E0B4F"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Cash Conversion Cycle - CCC (DSO+DIO-DPO)</w:t>
            </w:r>
          </w:p>
        </w:tc>
        <w:tc>
          <w:tcPr>
            <w:tcW w:w="310" w:type="pct"/>
            <w:shd w:val="clear" w:color="F9F9F9" w:fill="FFF2CC"/>
            <w:noWrap/>
            <w:vAlign w:val="bottom"/>
          </w:tcPr>
          <w:p w14:paraId="3FE4C81D"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46DDE876"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(83.7 days)</w:t>
            </w:r>
          </w:p>
        </w:tc>
        <w:tc>
          <w:tcPr>
            <w:tcW w:w="543" w:type="pct"/>
            <w:shd w:val="clear" w:color="F9F9F9" w:fill="FFF2CC"/>
            <w:noWrap/>
            <w:vAlign w:val="bottom"/>
          </w:tcPr>
          <w:p w14:paraId="4A2BCE3C"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(52.3 days)</w:t>
            </w:r>
          </w:p>
        </w:tc>
        <w:tc>
          <w:tcPr>
            <w:tcW w:w="543" w:type="pct"/>
            <w:shd w:val="clear" w:color="F9F9F9" w:fill="FFF2CC"/>
            <w:noWrap/>
            <w:vAlign w:val="bottom"/>
          </w:tcPr>
          <w:p w14:paraId="0D93A5B2"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(33.0 days)</w:t>
            </w:r>
          </w:p>
        </w:tc>
        <w:tc>
          <w:tcPr>
            <w:tcW w:w="566" w:type="pct"/>
            <w:shd w:val="clear" w:color="F9F9F9" w:fill="FFF2CC"/>
            <w:noWrap/>
            <w:vAlign w:val="bottom"/>
          </w:tcPr>
          <w:p w14:paraId="74486598"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(43.9 days)</w:t>
            </w:r>
          </w:p>
        </w:tc>
        <w:tc>
          <w:tcPr>
            <w:tcW w:w="566" w:type="pct"/>
            <w:shd w:val="clear" w:color="F9F9F9" w:fill="FFF2CC"/>
            <w:noWrap/>
            <w:vAlign w:val="bottom"/>
          </w:tcPr>
          <w:p w14:paraId="186E6072"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(47.4 days)</w:t>
            </w:r>
          </w:p>
        </w:tc>
      </w:tr>
      <w:tr w:rsidR="009D4E2F" w14:paraId="02D08F15" w14:textId="77777777">
        <w:trPr>
          <w:trHeight w:val="288"/>
        </w:trPr>
        <w:tc>
          <w:tcPr>
            <w:tcW w:w="1932" w:type="pct"/>
            <w:shd w:val="clear" w:color="F9F9F9" w:fill="FFF2CC"/>
            <w:noWrap/>
            <w:vAlign w:val="bottom"/>
          </w:tcPr>
          <w:p w14:paraId="300B5888"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Net Working Capital (A-E) (USD M)</w:t>
            </w:r>
          </w:p>
        </w:tc>
        <w:tc>
          <w:tcPr>
            <w:tcW w:w="310" w:type="pct"/>
            <w:shd w:val="clear" w:color="F9F9F9" w:fill="FFF2CC"/>
            <w:noWrap/>
            <w:vAlign w:val="bottom"/>
          </w:tcPr>
          <w:p w14:paraId="3E501EB7"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22B72CFF"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 xml:space="preserve"> $           2,003 </w:t>
            </w:r>
          </w:p>
        </w:tc>
        <w:tc>
          <w:tcPr>
            <w:tcW w:w="543" w:type="pct"/>
            <w:shd w:val="clear" w:color="F9F9F9" w:fill="FFF2CC"/>
            <w:noWrap/>
            <w:vAlign w:val="bottom"/>
          </w:tcPr>
          <w:p w14:paraId="6845F64B"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 xml:space="preserve"> $           1,543 </w:t>
            </w:r>
          </w:p>
        </w:tc>
        <w:tc>
          <w:tcPr>
            <w:tcW w:w="543" w:type="pct"/>
            <w:shd w:val="clear" w:color="F9F9F9" w:fill="FFF2CC"/>
            <w:noWrap/>
            <w:vAlign w:val="bottom"/>
          </w:tcPr>
          <w:p w14:paraId="5F069C45"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 xml:space="preserve"> $           1,127 </w:t>
            </w:r>
          </w:p>
        </w:tc>
        <w:tc>
          <w:tcPr>
            <w:tcW w:w="566" w:type="pct"/>
            <w:shd w:val="clear" w:color="F9F9F9" w:fill="FFF2CC"/>
            <w:noWrap/>
            <w:vAlign w:val="bottom"/>
          </w:tcPr>
          <w:p w14:paraId="1BA5FB07"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 xml:space="preserve"> $           1,689 </w:t>
            </w:r>
          </w:p>
        </w:tc>
        <w:tc>
          <w:tcPr>
            <w:tcW w:w="566" w:type="pct"/>
            <w:shd w:val="clear" w:color="F9F9F9" w:fill="FFF2CC"/>
            <w:noWrap/>
            <w:vAlign w:val="bottom"/>
          </w:tcPr>
          <w:p w14:paraId="499C0DF7"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 xml:space="preserve"> $           1,306 </w:t>
            </w:r>
          </w:p>
        </w:tc>
      </w:tr>
      <w:tr w:rsidR="009D4E2F" w14:paraId="45D01B2C" w14:textId="77777777">
        <w:trPr>
          <w:trHeight w:val="288"/>
        </w:trPr>
        <w:tc>
          <w:tcPr>
            <w:tcW w:w="1932" w:type="pct"/>
            <w:shd w:val="clear" w:color="F9F9F9" w:fill="FFF2CC"/>
            <w:noWrap/>
            <w:vAlign w:val="bottom"/>
          </w:tcPr>
          <w:p w14:paraId="160DBDA5"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Current Ratio (A/E)</w:t>
            </w:r>
          </w:p>
        </w:tc>
        <w:tc>
          <w:tcPr>
            <w:tcW w:w="310" w:type="pct"/>
            <w:shd w:val="clear" w:color="F9F9F9" w:fill="FFF2CC"/>
            <w:noWrap/>
            <w:vAlign w:val="bottom"/>
          </w:tcPr>
          <w:p w14:paraId="28313272"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0268FF2F"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3.31x</w:t>
            </w:r>
          </w:p>
        </w:tc>
        <w:tc>
          <w:tcPr>
            <w:tcW w:w="543" w:type="pct"/>
            <w:shd w:val="clear" w:color="F9F9F9" w:fill="FFF2CC"/>
            <w:noWrap/>
            <w:vAlign w:val="bottom"/>
          </w:tcPr>
          <w:p w14:paraId="1112514B"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2.16x</w:t>
            </w:r>
          </w:p>
        </w:tc>
        <w:tc>
          <w:tcPr>
            <w:tcW w:w="543" w:type="pct"/>
            <w:shd w:val="clear" w:color="F9F9F9" w:fill="FFF2CC"/>
            <w:noWrap/>
            <w:vAlign w:val="bottom"/>
          </w:tcPr>
          <w:p w14:paraId="06C56BF7"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1.76x</w:t>
            </w:r>
          </w:p>
        </w:tc>
        <w:tc>
          <w:tcPr>
            <w:tcW w:w="566" w:type="pct"/>
            <w:shd w:val="clear" w:color="F9F9F9" w:fill="FFF2CC"/>
            <w:noWrap/>
            <w:vAlign w:val="bottom"/>
          </w:tcPr>
          <w:p w14:paraId="5ECB924F"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2.07x</w:t>
            </w:r>
          </w:p>
        </w:tc>
        <w:tc>
          <w:tcPr>
            <w:tcW w:w="566" w:type="pct"/>
            <w:shd w:val="clear" w:color="F9F9F9" w:fill="FFF2CC"/>
            <w:noWrap/>
            <w:vAlign w:val="bottom"/>
          </w:tcPr>
          <w:p w14:paraId="42B8C7A7"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1.77x</w:t>
            </w:r>
          </w:p>
        </w:tc>
      </w:tr>
      <w:tr w:rsidR="009D4E2F" w14:paraId="2A502033" w14:textId="77777777">
        <w:trPr>
          <w:trHeight w:val="288"/>
        </w:trPr>
        <w:tc>
          <w:tcPr>
            <w:tcW w:w="1932" w:type="pct"/>
            <w:shd w:val="clear" w:color="F9F9F9" w:fill="FFF2CC"/>
            <w:noWrap/>
            <w:vAlign w:val="bottom"/>
          </w:tcPr>
          <w:p w14:paraId="5BAF4817" w14:textId="77777777" w:rsidR="009D4E2F" w:rsidRDefault="00314650">
            <w:pPr>
              <w:spacing w:after="0"/>
              <w:jc w:val="left"/>
              <w:rPr>
                <w:rFonts w:ascii="Arial" w:hAnsi="Arial" w:cs="Arial"/>
                <w:b/>
                <w:bCs/>
                <w:color w:val="000000"/>
                <w:lang w:val="en-IN"/>
              </w:rPr>
            </w:pPr>
            <w:r>
              <w:rPr>
                <w:rFonts w:ascii="Arial" w:hAnsi="Arial" w:cs="Arial"/>
                <w:b/>
                <w:bCs/>
                <w:color w:val="000000"/>
                <w:lang w:val="en-IN"/>
              </w:rPr>
              <w:t>Quick Ratio ((A-B)/E)</w:t>
            </w:r>
          </w:p>
        </w:tc>
        <w:tc>
          <w:tcPr>
            <w:tcW w:w="310" w:type="pct"/>
            <w:shd w:val="clear" w:color="F9F9F9" w:fill="FFF2CC"/>
            <w:noWrap/>
            <w:vAlign w:val="bottom"/>
          </w:tcPr>
          <w:p w14:paraId="6E6D83C7" w14:textId="77777777" w:rsidR="009D4E2F" w:rsidRDefault="00314650">
            <w:pPr>
              <w:spacing w:after="0"/>
              <w:jc w:val="left"/>
              <w:rPr>
                <w:rFonts w:ascii="Arial" w:hAnsi="Arial" w:cs="Arial"/>
                <w:color w:val="000000"/>
                <w:lang w:val="en-IN"/>
              </w:rPr>
            </w:pPr>
            <w:r>
              <w:rPr>
                <w:rFonts w:ascii="Arial" w:hAnsi="Arial" w:cs="Arial"/>
                <w:color w:val="000000"/>
                <w:lang w:val="en-IN"/>
              </w:rPr>
              <w:t> </w:t>
            </w:r>
          </w:p>
        </w:tc>
        <w:tc>
          <w:tcPr>
            <w:tcW w:w="543" w:type="pct"/>
            <w:shd w:val="clear" w:color="F9F9F9" w:fill="FFF2CC"/>
            <w:noWrap/>
            <w:vAlign w:val="bottom"/>
          </w:tcPr>
          <w:p w14:paraId="7A6558EF"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3.31x</w:t>
            </w:r>
          </w:p>
        </w:tc>
        <w:tc>
          <w:tcPr>
            <w:tcW w:w="543" w:type="pct"/>
            <w:shd w:val="clear" w:color="F9F9F9" w:fill="FFF2CC"/>
            <w:noWrap/>
            <w:vAlign w:val="bottom"/>
          </w:tcPr>
          <w:p w14:paraId="1D11BB8B"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2.16x</w:t>
            </w:r>
          </w:p>
        </w:tc>
        <w:tc>
          <w:tcPr>
            <w:tcW w:w="543" w:type="pct"/>
            <w:shd w:val="clear" w:color="F9F9F9" w:fill="FFF2CC"/>
            <w:noWrap/>
            <w:vAlign w:val="bottom"/>
          </w:tcPr>
          <w:p w14:paraId="4C547A91"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1.76x</w:t>
            </w:r>
          </w:p>
        </w:tc>
        <w:tc>
          <w:tcPr>
            <w:tcW w:w="566" w:type="pct"/>
            <w:shd w:val="clear" w:color="F9F9F9" w:fill="FFF2CC"/>
            <w:noWrap/>
            <w:vAlign w:val="bottom"/>
          </w:tcPr>
          <w:p w14:paraId="5FEEF9EB"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2.07x</w:t>
            </w:r>
          </w:p>
        </w:tc>
        <w:tc>
          <w:tcPr>
            <w:tcW w:w="566" w:type="pct"/>
            <w:shd w:val="clear" w:color="F9F9F9" w:fill="FFF2CC"/>
            <w:noWrap/>
            <w:vAlign w:val="bottom"/>
          </w:tcPr>
          <w:p w14:paraId="6DF6A621" w14:textId="77777777" w:rsidR="009D4E2F" w:rsidRDefault="00314650">
            <w:pPr>
              <w:spacing w:after="0"/>
              <w:jc w:val="right"/>
              <w:rPr>
                <w:rFonts w:ascii="Arial" w:hAnsi="Arial" w:cs="Arial"/>
                <w:b/>
                <w:bCs/>
                <w:color w:val="000000"/>
                <w:lang w:val="en-IN"/>
              </w:rPr>
            </w:pPr>
            <w:r>
              <w:rPr>
                <w:rFonts w:ascii="Arial" w:hAnsi="Arial" w:cs="Arial"/>
                <w:b/>
                <w:bCs/>
                <w:color w:val="000000"/>
                <w:lang w:val="en-IN"/>
              </w:rPr>
              <w:t>1.77x</w:t>
            </w:r>
          </w:p>
        </w:tc>
      </w:tr>
    </w:tbl>
    <w:p w14:paraId="5EF000B1" w14:textId="77777777" w:rsidR="009D4E2F" w:rsidRDefault="009D4E2F">
      <w:pPr>
        <w:rPr>
          <w:rFonts w:ascii="Arial" w:hAnsi="Arial" w:cs="Arial"/>
        </w:rPr>
      </w:pPr>
    </w:p>
    <w:p w14:paraId="38578109" w14:textId="77777777" w:rsidR="009D4E2F" w:rsidRDefault="00314650">
      <w:pPr>
        <w:rPr>
          <w:rFonts w:ascii="Arial" w:hAnsi="Arial" w:cs="Arial"/>
          <w:b/>
          <w:bCs/>
        </w:rPr>
      </w:pPr>
      <w:r>
        <w:rPr>
          <w:rFonts w:ascii="Arial" w:hAnsi="Arial" w:cs="Arial"/>
        </w:rPr>
        <w:br w:type="page"/>
      </w:r>
    </w:p>
    <w:p w14:paraId="0FFDFDFB" w14:textId="77777777" w:rsidR="009D4E2F" w:rsidRDefault="00314650">
      <w:pPr>
        <w:pStyle w:val="Heading2"/>
        <w:keepNext w:val="0"/>
        <w:keepLines w:val="0"/>
        <w:spacing w:before="280" w:after="80"/>
        <w:rPr>
          <w:rFonts w:ascii="Arial" w:hAnsi="Arial" w:cs="Arial"/>
        </w:rPr>
      </w:pPr>
      <w:bookmarkStart w:id="61" w:name="_Toc237472633"/>
      <w:r>
        <w:rPr>
          <w:rFonts w:ascii="Arial" w:hAnsi="Arial" w:cs="Arial"/>
        </w:rPr>
        <w:lastRenderedPageBreak/>
        <w:t>Appendix D: Investment Appraisal Calculations</w:t>
      </w:r>
      <w:bookmarkEnd w:id="61"/>
    </w:p>
    <w:tbl>
      <w:tblPr>
        <w:tblW w:w="5000" w:type="pct"/>
        <w:tblLook w:val="04A0" w:firstRow="1" w:lastRow="0" w:firstColumn="1" w:lastColumn="0" w:noHBand="0" w:noVBand="1"/>
      </w:tblPr>
      <w:tblGrid>
        <w:gridCol w:w="778"/>
        <w:gridCol w:w="1149"/>
        <w:gridCol w:w="1510"/>
        <w:gridCol w:w="1044"/>
        <w:gridCol w:w="1044"/>
        <w:gridCol w:w="1437"/>
        <w:gridCol w:w="1293"/>
        <w:gridCol w:w="1100"/>
      </w:tblGrid>
      <w:tr w:rsidR="009D4E2F" w14:paraId="4887C551" w14:textId="77777777">
        <w:trPr>
          <w:trHeight w:val="435"/>
        </w:trPr>
        <w:tc>
          <w:tcPr>
            <w:tcW w:w="5000" w:type="pct"/>
            <w:gridSpan w:val="8"/>
            <w:tcBorders>
              <w:top w:val="single" w:sz="4" w:space="0" w:color="auto"/>
              <w:left w:val="single" w:sz="4" w:space="0" w:color="auto"/>
              <w:bottom w:val="single" w:sz="4" w:space="0" w:color="auto"/>
              <w:right w:val="nil"/>
            </w:tcBorders>
            <w:shd w:val="clear" w:color="333333" w:fill="1F3864"/>
            <w:noWrap/>
            <w:vAlign w:val="center"/>
          </w:tcPr>
          <w:p w14:paraId="1E053325"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Investment Appraisal &amp; Capital Budgeting (£ Millions | Discount Rate: 8%)</w:t>
            </w:r>
          </w:p>
        </w:tc>
      </w:tr>
      <w:tr w:rsidR="009D4E2F" w14:paraId="54AF2242"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1BA99B15"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Project Cash Flow Schedules (£ Millions)</w:t>
            </w:r>
          </w:p>
        </w:tc>
      </w:tr>
      <w:tr w:rsidR="009D4E2F" w14:paraId="69FB7459"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5DC22F91" w14:textId="77777777" w:rsidR="009D4E2F" w:rsidRDefault="00314650">
            <w:pPr>
              <w:spacing w:after="0"/>
              <w:jc w:val="center"/>
              <w:rPr>
                <w:rFonts w:ascii="Arial" w:hAnsi="Arial" w:cs="Arial"/>
                <w:b/>
                <w:bCs/>
                <w:lang w:val="en-IN"/>
              </w:rPr>
            </w:pPr>
            <w:r>
              <w:rPr>
                <w:rFonts w:ascii="Arial" w:hAnsi="Arial" w:cs="Arial"/>
                <w:b/>
                <w:bCs/>
                <w:lang w:val="en-IN"/>
              </w:rPr>
              <w:t>Project</w:t>
            </w:r>
          </w:p>
        </w:tc>
        <w:tc>
          <w:tcPr>
            <w:tcW w:w="545" w:type="pct"/>
            <w:tcBorders>
              <w:top w:val="nil"/>
              <w:left w:val="nil"/>
              <w:bottom w:val="single" w:sz="4" w:space="0" w:color="auto"/>
              <w:right w:val="single" w:sz="4" w:space="0" w:color="auto"/>
            </w:tcBorders>
            <w:shd w:val="clear" w:color="D9E1F2" w:fill="BDD7EE"/>
            <w:noWrap/>
            <w:vAlign w:val="center"/>
          </w:tcPr>
          <w:p w14:paraId="7DA7B599" w14:textId="77777777" w:rsidR="009D4E2F" w:rsidRDefault="00314650">
            <w:pPr>
              <w:spacing w:after="0"/>
              <w:jc w:val="center"/>
              <w:rPr>
                <w:rFonts w:ascii="Arial" w:hAnsi="Arial" w:cs="Arial"/>
                <w:b/>
                <w:bCs/>
                <w:lang w:val="en-IN"/>
              </w:rPr>
            </w:pPr>
            <w:r>
              <w:rPr>
                <w:rFonts w:ascii="Arial" w:hAnsi="Arial" w:cs="Arial"/>
                <w:b/>
                <w:bCs/>
                <w:lang w:val="en-IN"/>
              </w:rPr>
              <w:t>Year 0</w:t>
            </w:r>
          </w:p>
        </w:tc>
        <w:tc>
          <w:tcPr>
            <w:tcW w:w="751" w:type="pct"/>
            <w:tcBorders>
              <w:top w:val="nil"/>
              <w:left w:val="nil"/>
              <w:bottom w:val="single" w:sz="4" w:space="0" w:color="auto"/>
              <w:right w:val="single" w:sz="4" w:space="0" w:color="auto"/>
            </w:tcBorders>
            <w:shd w:val="clear" w:color="D9E1F2" w:fill="BDD7EE"/>
            <w:noWrap/>
            <w:vAlign w:val="center"/>
          </w:tcPr>
          <w:p w14:paraId="25EEAC50" w14:textId="77777777" w:rsidR="009D4E2F" w:rsidRDefault="00314650">
            <w:pPr>
              <w:spacing w:after="0"/>
              <w:jc w:val="center"/>
              <w:rPr>
                <w:rFonts w:ascii="Arial" w:hAnsi="Arial" w:cs="Arial"/>
                <w:b/>
                <w:bCs/>
                <w:lang w:val="en-IN"/>
              </w:rPr>
            </w:pPr>
            <w:r>
              <w:rPr>
                <w:rFonts w:ascii="Arial" w:hAnsi="Arial" w:cs="Arial"/>
                <w:b/>
                <w:bCs/>
                <w:lang w:val="en-IN"/>
              </w:rPr>
              <w:t>Year 1</w:t>
            </w:r>
          </w:p>
        </w:tc>
        <w:tc>
          <w:tcPr>
            <w:tcW w:w="485" w:type="pct"/>
            <w:tcBorders>
              <w:top w:val="nil"/>
              <w:left w:val="nil"/>
              <w:bottom w:val="single" w:sz="4" w:space="0" w:color="auto"/>
              <w:right w:val="single" w:sz="4" w:space="0" w:color="auto"/>
            </w:tcBorders>
            <w:shd w:val="clear" w:color="D9E1F2" w:fill="BDD7EE"/>
            <w:noWrap/>
            <w:vAlign w:val="center"/>
          </w:tcPr>
          <w:p w14:paraId="50554B1C" w14:textId="77777777" w:rsidR="009D4E2F" w:rsidRDefault="00314650">
            <w:pPr>
              <w:spacing w:after="0"/>
              <w:jc w:val="center"/>
              <w:rPr>
                <w:rFonts w:ascii="Arial" w:hAnsi="Arial" w:cs="Arial"/>
                <w:b/>
                <w:bCs/>
                <w:lang w:val="en-IN"/>
              </w:rPr>
            </w:pPr>
            <w:r>
              <w:rPr>
                <w:rFonts w:ascii="Arial" w:hAnsi="Arial" w:cs="Arial"/>
                <w:b/>
                <w:bCs/>
                <w:lang w:val="en-IN"/>
              </w:rPr>
              <w:t>Year 2</w:t>
            </w:r>
          </w:p>
        </w:tc>
        <w:tc>
          <w:tcPr>
            <w:tcW w:w="485" w:type="pct"/>
            <w:tcBorders>
              <w:top w:val="nil"/>
              <w:left w:val="nil"/>
              <w:bottom w:val="single" w:sz="4" w:space="0" w:color="auto"/>
              <w:right w:val="single" w:sz="4" w:space="0" w:color="auto"/>
            </w:tcBorders>
            <w:shd w:val="clear" w:color="D9E1F2" w:fill="BDD7EE"/>
            <w:noWrap/>
            <w:vAlign w:val="center"/>
          </w:tcPr>
          <w:p w14:paraId="732F4709" w14:textId="77777777" w:rsidR="009D4E2F" w:rsidRDefault="00314650">
            <w:pPr>
              <w:spacing w:after="0"/>
              <w:jc w:val="center"/>
              <w:rPr>
                <w:rFonts w:ascii="Arial" w:hAnsi="Arial" w:cs="Arial"/>
                <w:b/>
                <w:bCs/>
                <w:lang w:val="en-IN"/>
              </w:rPr>
            </w:pPr>
            <w:r>
              <w:rPr>
                <w:rFonts w:ascii="Arial" w:hAnsi="Arial" w:cs="Arial"/>
                <w:b/>
                <w:bCs/>
                <w:lang w:val="en-IN"/>
              </w:rPr>
              <w:t>Year 3</w:t>
            </w:r>
          </w:p>
        </w:tc>
        <w:tc>
          <w:tcPr>
            <w:tcW w:w="709" w:type="pct"/>
            <w:tcBorders>
              <w:top w:val="nil"/>
              <w:left w:val="nil"/>
              <w:bottom w:val="single" w:sz="4" w:space="0" w:color="auto"/>
              <w:right w:val="single" w:sz="4" w:space="0" w:color="auto"/>
            </w:tcBorders>
            <w:shd w:val="clear" w:color="D9E1F2" w:fill="BDD7EE"/>
            <w:noWrap/>
            <w:vAlign w:val="center"/>
          </w:tcPr>
          <w:p w14:paraId="77C52A9D" w14:textId="77777777" w:rsidR="009D4E2F" w:rsidRDefault="00314650">
            <w:pPr>
              <w:spacing w:after="0"/>
              <w:jc w:val="center"/>
              <w:rPr>
                <w:rFonts w:ascii="Arial" w:hAnsi="Arial" w:cs="Arial"/>
                <w:b/>
                <w:bCs/>
                <w:lang w:val="en-IN"/>
              </w:rPr>
            </w:pPr>
            <w:r>
              <w:rPr>
                <w:rFonts w:ascii="Arial" w:hAnsi="Arial" w:cs="Arial"/>
                <w:b/>
                <w:bCs/>
                <w:lang w:val="en-IN"/>
              </w:rPr>
              <w:t>Year 4</w:t>
            </w:r>
          </w:p>
        </w:tc>
        <w:tc>
          <w:tcPr>
            <w:tcW w:w="627" w:type="pct"/>
            <w:tcBorders>
              <w:top w:val="nil"/>
              <w:left w:val="nil"/>
              <w:bottom w:val="single" w:sz="4" w:space="0" w:color="auto"/>
              <w:right w:val="single" w:sz="4" w:space="0" w:color="auto"/>
            </w:tcBorders>
            <w:shd w:val="clear" w:color="D9E1F2" w:fill="BDD7EE"/>
            <w:noWrap/>
            <w:vAlign w:val="center"/>
          </w:tcPr>
          <w:p w14:paraId="6200BD19" w14:textId="77777777" w:rsidR="009D4E2F" w:rsidRDefault="00314650">
            <w:pPr>
              <w:spacing w:after="0"/>
              <w:jc w:val="center"/>
              <w:rPr>
                <w:rFonts w:ascii="Arial" w:hAnsi="Arial" w:cs="Arial"/>
                <w:b/>
                <w:bCs/>
                <w:lang w:val="en-IN"/>
              </w:rPr>
            </w:pPr>
            <w:r>
              <w:rPr>
                <w:rFonts w:ascii="Arial" w:hAnsi="Arial" w:cs="Arial"/>
                <w:b/>
                <w:bCs/>
                <w:lang w:val="en-IN"/>
              </w:rPr>
              <w:t>Year 5</w:t>
            </w:r>
          </w:p>
        </w:tc>
        <w:tc>
          <w:tcPr>
            <w:tcW w:w="517" w:type="pct"/>
            <w:tcBorders>
              <w:top w:val="nil"/>
              <w:left w:val="nil"/>
              <w:bottom w:val="single" w:sz="4" w:space="0" w:color="auto"/>
              <w:right w:val="single" w:sz="4" w:space="0" w:color="auto"/>
            </w:tcBorders>
            <w:shd w:val="clear" w:color="D9E1F2" w:fill="BDD7EE"/>
            <w:noWrap/>
            <w:vAlign w:val="center"/>
          </w:tcPr>
          <w:p w14:paraId="51634FDB" w14:textId="77777777" w:rsidR="009D4E2F" w:rsidRDefault="00314650">
            <w:pPr>
              <w:spacing w:after="0"/>
              <w:jc w:val="center"/>
              <w:rPr>
                <w:rFonts w:ascii="Arial" w:hAnsi="Arial" w:cs="Arial"/>
                <w:b/>
                <w:bCs/>
                <w:lang w:val="en-IN"/>
              </w:rPr>
            </w:pPr>
            <w:r>
              <w:rPr>
                <w:rFonts w:ascii="Arial" w:hAnsi="Arial" w:cs="Arial"/>
                <w:b/>
                <w:bCs/>
                <w:lang w:val="en-IN"/>
              </w:rPr>
              <w:t>Total Inflows</w:t>
            </w:r>
          </w:p>
        </w:tc>
      </w:tr>
      <w:tr w:rsidR="009D4E2F" w14:paraId="42D0D44A"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6EAB7AD5"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43942AED"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263F8F28" w14:textId="77777777" w:rsidR="009D4E2F" w:rsidRDefault="00314650">
            <w:pPr>
              <w:spacing w:after="0"/>
              <w:jc w:val="center"/>
              <w:rPr>
                <w:rFonts w:ascii="Arial" w:hAnsi="Arial" w:cs="Arial"/>
                <w:lang w:val="en-IN"/>
              </w:rPr>
            </w:pPr>
            <w:r>
              <w:rPr>
                <w:rFonts w:ascii="Arial" w:hAnsi="Arial" w:cs="Arial"/>
                <w:lang w:val="en-IN"/>
              </w:rPr>
              <w:t>£8.0</w:t>
            </w:r>
          </w:p>
        </w:tc>
        <w:tc>
          <w:tcPr>
            <w:tcW w:w="485" w:type="pct"/>
            <w:tcBorders>
              <w:top w:val="nil"/>
              <w:left w:val="nil"/>
              <w:bottom w:val="single" w:sz="4" w:space="0" w:color="auto"/>
              <w:right w:val="single" w:sz="4" w:space="0" w:color="auto"/>
            </w:tcBorders>
            <w:shd w:val="clear" w:color="D9E1F2" w:fill="DEEAF1"/>
            <w:noWrap/>
            <w:vAlign w:val="center"/>
          </w:tcPr>
          <w:p w14:paraId="6F63A8D3" w14:textId="77777777" w:rsidR="009D4E2F" w:rsidRDefault="00314650">
            <w:pPr>
              <w:spacing w:after="0"/>
              <w:jc w:val="center"/>
              <w:rPr>
                <w:rFonts w:ascii="Arial" w:hAnsi="Arial" w:cs="Arial"/>
                <w:lang w:val="en-IN"/>
              </w:rPr>
            </w:pPr>
            <w:r>
              <w:rPr>
                <w:rFonts w:ascii="Arial" w:hAnsi="Arial" w:cs="Arial"/>
                <w:lang w:val="en-IN"/>
              </w:rPr>
              <w:t>£12.0</w:t>
            </w:r>
          </w:p>
        </w:tc>
        <w:tc>
          <w:tcPr>
            <w:tcW w:w="485" w:type="pct"/>
            <w:tcBorders>
              <w:top w:val="nil"/>
              <w:left w:val="nil"/>
              <w:bottom w:val="single" w:sz="4" w:space="0" w:color="auto"/>
              <w:right w:val="single" w:sz="4" w:space="0" w:color="auto"/>
            </w:tcBorders>
            <w:shd w:val="clear" w:color="D9E1F2" w:fill="DEEAF1"/>
            <w:noWrap/>
            <w:vAlign w:val="center"/>
          </w:tcPr>
          <w:p w14:paraId="5D50A8CD" w14:textId="77777777" w:rsidR="009D4E2F" w:rsidRDefault="00314650">
            <w:pPr>
              <w:spacing w:after="0"/>
              <w:jc w:val="center"/>
              <w:rPr>
                <w:rFonts w:ascii="Arial" w:hAnsi="Arial" w:cs="Arial"/>
                <w:lang w:val="en-IN"/>
              </w:rPr>
            </w:pPr>
            <w:r>
              <w:rPr>
                <w:rFonts w:ascii="Arial" w:hAnsi="Arial" w:cs="Arial"/>
                <w:lang w:val="en-IN"/>
              </w:rPr>
              <w:t>£14.0</w:t>
            </w:r>
          </w:p>
        </w:tc>
        <w:tc>
          <w:tcPr>
            <w:tcW w:w="709" w:type="pct"/>
            <w:tcBorders>
              <w:top w:val="nil"/>
              <w:left w:val="nil"/>
              <w:bottom w:val="single" w:sz="4" w:space="0" w:color="auto"/>
              <w:right w:val="single" w:sz="4" w:space="0" w:color="auto"/>
            </w:tcBorders>
            <w:shd w:val="clear" w:color="D9E1F2" w:fill="DEEAF1"/>
            <w:noWrap/>
            <w:vAlign w:val="center"/>
          </w:tcPr>
          <w:p w14:paraId="7A68ADF1" w14:textId="77777777" w:rsidR="009D4E2F" w:rsidRDefault="00314650">
            <w:pPr>
              <w:spacing w:after="0"/>
              <w:jc w:val="center"/>
              <w:rPr>
                <w:rFonts w:ascii="Arial" w:hAnsi="Arial" w:cs="Arial"/>
                <w:lang w:val="en-IN"/>
              </w:rPr>
            </w:pPr>
            <w:r>
              <w:rPr>
                <w:rFonts w:ascii="Arial" w:hAnsi="Arial" w:cs="Arial"/>
                <w:lang w:val="en-IN"/>
              </w:rPr>
              <w:t>£8.0</w:t>
            </w:r>
          </w:p>
        </w:tc>
        <w:tc>
          <w:tcPr>
            <w:tcW w:w="627" w:type="pct"/>
            <w:tcBorders>
              <w:top w:val="nil"/>
              <w:left w:val="nil"/>
              <w:bottom w:val="single" w:sz="4" w:space="0" w:color="auto"/>
              <w:right w:val="single" w:sz="4" w:space="0" w:color="auto"/>
            </w:tcBorders>
            <w:shd w:val="clear" w:color="D9E1F2" w:fill="DEEAF1"/>
            <w:noWrap/>
            <w:vAlign w:val="center"/>
          </w:tcPr>
          <w:p w14:paraId="1CE5DEDA" w14:textId="77777777" w:rsidR="009D4E2F" w:rsidRDefault="00314650">
            <w:pPr>
              <w:spacing w:after="0"/>
              <w:jc w:val="center"/>
              <w:rPr>
                <w:rFonts w:ascii="Arial" w:hAnsi="Arial" w:cs="Arial"/>
                <w:lang w:val="en-IN"/>
              </w:rPr>
            </w:pPr>
            <w:r>
              <w:rPr>
                <w:rFonts w:ascii="Arial" w:hAnsi="Arial" w:cs="Arial"/>
                <w:lang w:val="en-IN"/>
              </w:rPr>
              <w:t>£8.0</w:t>
            </w:r>
          </w:p>
        </w:tc>
        <w:tc>
          <w:tcPr>
            <w:tcW w:w="517" w:type="pct"/>
            <w:tcBorders>
              <w:top w:val="nil"/>
              <w:left w:val="nil"/>
              <w:bottom w:val="single" w:sz="4" w:space="0" w:color="auto"/>
              <w:right w:val="single" w:sz="4" w:space="0" w:color="auto"/>
            </w:tcBorders>
            <w:shd w:val="clear" w:color="D9E1F2" w:fill="DEEAF1"/>
            <w:noWrap/>
            <w:vAlign w:val="center"/>
          </w:tcPr>
          <w:p w14:paraId="39A3250A" w14:textId="77777777" w:rsidR="009D4E2F" w:rsidRDefault="00314650">
            <w:pPr>
              <w:spacing w:after="0"/>
              <w:jc w:val="center"/>
              <w:rPr>
                <w:rFonts w:ascii="Arial" w:hAnsi="Arial" w:cs="Arial"/>
                <w:lang w:val="en-IN"/>
              </w:rPr>
            </w:pPr>
            <w:r>
              <w:rPr>
                <w:rFonts w:ascii="Arial" w:hAnsi="Arial" w:cs="Arial"/>
                <w:lang w:val="en-IN"/>
              </w:rPr>
              <w:t>£54.0</w:t>
            </w:r>
          </w:p>
        </w:tc>
      </w:tr>
      <w:tr w:rsidR="009D4E2F" w14:paraId="09876CEF"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606CE4AF"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F2F2F2" w:fill="FFFFFF"/>
            <w:noWrap/>
            <w:vAlign w:val="center"/>
          </w:tcPr>
          <w:p w14:paraId="4C8E0A8E"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F2F2F2" w:fill="FFFFFF"/>
            <w:noWrap/>
            <w:vAlign w:val="center"/>
          </w:tcPr>
          <w:p w14:paraId="0037C288" w14:textId="77777777" w:rsidR="009D4E2F" w:rsidRDefault="00314650">
            <w:pPr>
              <w:spacing w:after="0"/>
              <w:jc w:val="center"/>
              <w:rPr>
                <w:rFonts w:ascii="Arial" w:hAnsi="Arial" w:cs="Arial"/>
                <w:lang w:val="en-IN"/>
              </w:rPr>
            </w:pPr>
            <w:r>
              <w:rPr>
                <w:rFonts w:ascii="Arial" w:hAnsi="Arial" w:cs="Arial"/>
                <w:lang w:val="en-IN"/>
              </w:rPr>
              <w:t>£11.0</w:t>
            </w:r>
          </w:p>
        </w:tc>
        <w:tc>
          <w:tcPr>
            <w:tcW w:w="485" w:type="pct"/>
            <w:tcBorders>
              <w:top w:val="nil"/>
              <w:left w:val="nil"/>
              <w:bottom w:val="single" w:sz="4" w:space="0" w:color="auto"/>
              <w:right w:val="single" w:sz="4" w:space="0" w:color="auto"/>
            </w:tcBorders>
            <w:shd w:val="clear" w:color="F2F2F2" w:fill="FFFFFF"/>
            <w:noWrap/>
            <w:vAlign w:val="center"/>
          </w:tcPr>
          <w:p w14:paraId="762E7FD2" w14:textId="77777777" w:rsidR="009D4E2F" w:rsidRDefault="00314650">
            <w:pPr>
              <w:spacing w:after="0"/>
              <w:jc w:val="center"/>
              <w:rPr>
                <w:rFonts w:ascii="Arial" w:hAnsi="Arial" w:cs="Arial"/>
                <w:lang w:val="en-IN"/>
              </w:rPr>
            </w:pPr>
            <w:r>
              <w:rPr>
                <w:rFonts w:ascii="Arial" w:hAnsi="Arial" w:cs="Arial"/>
                <w:lang w:val="en-IN"/>
              </w:rPr>
              <w:t>£11.0</w:t>
            </w:r>
          </w:p>
        </w:tc>
        <w:tc>
          <w:tcPr>
            <w:tcW w:w="485" w:type="pct"/>
            <w:tcBorders>
              <w:top w:val="nil"/>
              <w:left w:val="nil"/>
              <w:bottom w:val="single" w:sz="4" w:space="0" w:color="auto"/>
              <w:right w:val="single" w:sz="4" w:space="0" w:color="auto"/>
            </w:tcBorders>
            <w:shd w:val="clear" w:color="F2F2F2" w:fill="FFFFFF"/>
            <w:noWrap/>
            <w:vAlign w:val="center"/>
          </w:tcPr>
          <w:p w14:paraId="70EA7FC4" w14:textId="77777777" w:rsidR="009D4E2F" w:rsidRDefault="00314650">
            <w:pPr>
              <w:spacing w:after="0"/>
              <w:jc w:val="center"/>
              <w:rPr>
                <w:rFonts w:ascii="Arial" w:hAnsi="Arial" w:cs="Arial"/>
                <w:lang w:val="en-IN"/>
              </w:rPr>
            </w:pPr>
            <w:r>
              <w:rPr>
                <w:rFonts w:ascii="Arial" w:hAnsi="Arial" w:cs="Arial"/>
                <w:lang w:val="en-IN"/>
              </w:rPr>
              <w:t>£11.0</w:t>
            </w:r>
          </w:p>
        </w:tc>
        <w:tc>
          <w:tcPr>
            <w:tcW w:w="709" w:type="pct"/>
            <w:tcBorders>
              <w:top w:val="nil"/>
              <w:left w:val="nil"/>
              <w:bottom w:val="single" w:sz="4" w:space="0" w:color="auto"/>
              <w:right w:val="single" w:sz="4" w:space="0" w:color="auto"/>
            </w:tcBorders>
            <w:shd w:val="clear" w:color="F2F2F2" w:fill="FFFFFF"/>
            <w:noWrap/>
            <w:vAlign w:val="center"/>
          </w:tcPr>
          <w:p w14:paraId="6F3480C1" w14:textId="77777777" w:rsidR="009D4E2F" w:rsidRDefault="00314650">
            <w:pPr>
              <w:spacing w:after="0"/>
              <w:jc w:val="center"/>
              <w:rPr>
                <w:rFonts w:ascii="Arial" w:hAnsi="Arial" w:cs="Arial"/>
                <w:lang w:val="en-IN"/>
              </w:rPr>
            </w:pPr>
            <w:r>
              <w:rPr>
                <w:rFonts w:ascii="Arial" w:hAnsi="Arial" w:cs="Arial"/>
                <w:lang w:val="en-IN"/>
              </w:rPr>
              <w:t>£11.0</w:t>
            </w:r>
          </w:p>
        </w:tc>
        <w:tc>
          <w:tcPr>
            <w:tcW w:w="627" w:type="pct"/>
            <w:tcBorders>
              <w:top w:val="nil"/>
              <w:left w:val="nil"/>
              <w:bottom w:val="single" w:sz="4" w:space="0" w:color="auto"/>
              <w:right w:val="single" w:sz="4" w:space="0" w:color="auto"/>
            </w:tcBorders>
            <w:shd w:val="clear" w:color="F2F2F2" w:fill="FFFFFF"/>
            <w:noWrap/>
            <w:vAlign w:val="center"/>
          </w:tcPr>
          <w:p w14:paraId="4C3C645F" w14:textId="77777777" w:rsidR="009D4E2F" w:rsidRDefault="00314650">
            <w:pPr>
              <w:spacing w:after="0"/>
              <w:jc w:val="center"/>
              <w:rPr>
                <w:rFonts w:ascii="Arial" w:hAnsi="Arial" w:cs="Arial"/>
                <w:lang w:val="en-IN"/>
              </w:rPr>
            </w:pPr>
            <w:r>
              <w:rPr>
                <w:rFonts w:ascii="Arial" w:hAnsi="Arial" w:cs="Arial"/>
                <w:lang w:val="en-IN"/>
              </w:rPr>
              <w:t>£11.0</w:t>
            </w:r>
          </w:p>
        </w:tc>
        <w:tc>
          <w:tcPr>
            <w:tcW w:w="517" w:type="pct"/>
            <w:tcBorders>
              <w:top w:val="nil"/>
              <w:left w:val="nil"/>
              <w:bottom w:val="single" w:sz="4" w:space="0" w:color="auto"/>
              <w:right w:val="single" w:sz="4" w:space="0" w:color="auto"/>
            </w:tcBorders>
            <w:shd w:val="clear" w:color="F2F2F2" w:fill="FFFFFF"/>
            <w:noWrap/>
            <w:vAlign w:val="center"/>
          </w:tcPr>
          <w:p w14:paraId="43E37EE2" w14:textId="77777777" w:rsidR="009D4E2F" w:rsidRDefault="00314650">
            <w:pPr>
              <w:spacing w:after="0"/>
              <w:jc w:val="center"/>
              <w:rPr>
                <w:rFonts w:ascii="Arial" w:hAnsi="Arial" w:cs="Arial"/>
                <w:lang w:val="en-IN"/>
              </w:rPr>
            </w:pPr>
            <w:r>
              <w:rPr>
                <w:rFonts w:ascii="Arial" w:hAnsi="Arial" w:cs="Arial"/>
                <w:lang w:val="en-IN"/>
              </w:rPr>
              <w:t>£55.0</w:t>
            </w:r>
          </w:p>
        </w:tc>
      </w:tr>
      <w:tr w:rsidR="009D4E2F" w14:paraId="03429B70"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2B6AD595" w14:textId="77777777" w:rsidR="009D4E2F" w:rsidRDefault="00314650">
            <w:pPr>
              <w:spacing w:after="0"/>
              <w:jc w:val="left"/>
              <w:rPr>
                <w:rFonts w:ascii="Arial" w:hAnsi="Arial" w:cs="Arial"/>
                <w:lang w:val="en-IN"/>
              </w:rPr>
            </w:pPr>
            <w:r>
              <w:rPr>
                <w:rFonts w:ascii="Arial" w:hAnsi="Arial" w:cs="Arial"/>
                <w:lang w:val="en-IN"/>
              </w:rPr>
              <w:t>Project C</w:t>
            </w:r>
          </w:p>
        </w:tc>
        <w:tc>
          <w:tcPr>
            <w:tcW w:w="545" w:type="pct"/>
            <w:tcBorders>
              <w:top w:val="nil"/>
              <w:left w:val="nil"/>
              <w:bottom w:val="single" w:sz="4" w:space="0" w:color="auto"/>
              <w:right w:val="single" w:sz="4" w:space="0" w:color="auto"/>
            </w:tcBorders>
            <w:shd w:val="clear" w:color="D9E1F2" w:fill="DEEAF1"/>
            <w:noWrap/>
            <w:vAlign w:val="center"/>
          </w:tcPr>
          <w:p w14:paraId="3C9076EB"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0D2EDB48" w14:textId="77777777" w:rsidR="009D4E2F" w:rsidRDefault="00314650">
            <w:pPr>
              <w:spacing w:after="0"/>
              <w:jc w:val="center"/>
              <w:rPr>
                <w:rFonts w:ascii="Arial" w:hAnsi="Arial" w:cs="Arial"/>
                <w:lang w:val="en-IN"/>
              </w:rPr>
            </w:pPr>
            <w:r>
              <w:rPr>
                <w:rFonts w:ascii="Arial" w:hAnsi="Arial" w:cs="Arial"/>
                <w:lang w:val="en-IN"/>
              </w:rPr>
              <w:t>£5.0</w:t>
            </w:r>
          </w:p>
        </w:tc>
        <w:tc>
          <w:tcPr>
            <w:tcW w:w="485" w:type="pct"/>
            <w:tcBorders>
              <w:top w:val="nil"/>
              <w:left w:val="nil"/>
              <w:bottom w:val="single" w:sz="4" w:space="0" w:color="auto"/>
              <w:right w:val="single" w:sz="4" w:space="0" w:color="auto"/>
            </w:tcBorders>
            <w:shd w:val="clear" w:color="D9E1F2" w:fill="DEEAF1"/>
            <w:noWrap/>
            <w:vAlign w:val="center"/>
          </w:tcPr>
          <w:p w14:paraId="599F1EB0" w14:textId="77777777" w:rsidR="009D4E2F" w:rsidRDefault="00314650">
            <w:pPr>
              <w:spacing w:after="0"/>
              <w:jc w:val="center"/>
              <w:rPr>
                <w:rFonts w:ascii="Arial" w:hAnsi="Arial" w:cs="Arial"/>
                <w:lang w:val="en-IN"/>
              </w:rPr>
            </w:pPr>
            <w:r>
              <w:rPr>
                <w:rFonts w:ascii="Arial" w:hAnsi="Arial" w:cs="Arial"/>
                <w:lang w:val="en-IN"/>
              </w:rPr>
              <w:t>£8.0</w:t>
            </w:r>
          </w:p>
        </w:tc>
        <w:tc>
          <w:tcPr>
            <w:tcW w:w="485" w:type="pct"/>
            <w:tcBorders>
              <w:top w:val="nil"/>
              <w:left w:val="nil"/>
              <w:bottom w:val="single" w:sz="4" w:space="0" w:color="auto"/>
              <w:right w:val="single" w:sz="4" w:space="0" w:color="auto"/>
            </w:tcBorders>
            <w:shd w:val="clear" w:color="D9E1F2" w:fill="DEEAF1"/>
            <w:noWrap/>
            <w:vAlign w:val="center"/>
          </w:tcPr>
          <w:p w14:paraId="4869355B" w14:textId="77777777" w:rsidR="009D4E2F" w:rsidRDefault="00314650">
            <w:pPr>
              <w:spacing w:after="0"/>
              <w:jc w:val="center"/>
              <w:rPr>
                <w:rFonts w:ascii="Arial" w:hAnsi="Arial" w:cs="Arial"/>
                <w:lang w:val="en-IN"/>
              </w:rPr>
            </w:pPr>
            <w:r>
              <w:rPr>
                <w:rFonts w:ascii="Arial" w:hAnsi="Arial" w:cs="Arial"/>
                <w:lang w:val="en-IN"/>
              </w:rPr>
              <w:t>£20.0</w:t>
            </w:r>
          </w:p>
        </w:tc>
        <w:tc>
          <w:tcPr>
            <w:tcW w:w="709" w:type="pct"/>
            <w:tcBorders>
              <w:top w:val="nil"/>
              <w:left w:val="nil"/>
              <w:bottom w:val="single" w:sz="4" w:space="0" w:color="auto"/>
              <w:right w:val="single" w:sz="4" w:space="0" w:color="auto"/>
            </w:tcBorders>
            <w:shd w:val="clear" w:color="D9E1F2" w:fill="DEEAF1"/>
            <w:noWrap/>
            <w:vAlign w:val="center"/>
          </w:tcPr>
          <w:p w14:paraId="0730C1B9" w14:textId="77777777" w:rsidR="009D4E2F" w:rsidRDefault="00314650">
            <w:pPr>
              <w:spacing w:after="0"/>
              <w:jc w:val="center"/>
              <w:rPr>
                <w:rFonts w:ascii="Arial" w:hAnsi="Arial" w:cs="Arial"/>
                <w:lang w:val="en-IN"/>
              </w:rPr>
            </w:pPr>
            <w:r>
              <w:rPr>
                <w:rFonts w:ascii="Arial" w:hAnsi="Arial" w:cs="Arial"/>
                <w:lang w:val="en-IN"/>
              </w:rPr>
              <w:t>£25.0</w:t>
            </w:r>
          </w:p>
        </w:tc>
        <w:tc>
          <w:tcPr>
            <w:tcW w:w="627" w:type="pct"/>
            <w:tcBorders>
              <w:top w:val="nil"/>
              <w:left w:val="nil"/>
              <w:bottom w:val="single" w:sz="4" w:space="0" w:color="auto"/>
              <w:right w:val="single" w:sz="4" w:space="0" w:color="auto"/>
            </w:tcBorders>
            <w:shd w:val="clear" w:color="D9E1F2" w:fill="DEEAF1"/>
            <w:noWrap/>
            <w:vAlign w:val="center"/>
          </w:tcPr>
          <w:p w14:paraId="74848BA1" w14:textId="77777777" w:rsidR="009D4E2F" w:rsidRDefault="00314650">
            <w:pPr>
              <w:spacing w:after="0"/>
              <w:jc w:val="center"/>
              <w:rPr>
                <w:rFonts w:ascii="Arial" w:hAnsi="Arial" w:cs="Arial"/>
                <w:lang w:val="en-IN"/>
              </w:rPr>
            </w:pPr>
            <w:r>
              <w:rPr>
                <w:rFonts w:ascii="Arial" w:hAnsi="Arial" w:cs="Arial"/>
                <w:lang w:val="en-IN"/>
              </w:rPr>
              <w:t>£5.0</w:t>
            </w:r>
          </w:p>
        </w:tc>
        <w:tc>
          <w:tcPr>
            <w:tcW w:w="517" w:type="pct"/>
            <w:tcBorders>
              <w:top w:val="nil"/>
              <w:left w:val="nil"/>
              <w:bottom w:val="single" w:sz="4" w:space="0" w:color="auto"/>
              <w:right w:val="single" w:sz="4" w:space="0" w:color="auto"/>
            </w:tcBorders>
            <w:shd w:val="clear" w:color="D9E1F2" w:fill="DEEAF1"/>
            <w:noWrap/>
            <w:vAlign w:val="center"/>
          </w:tcPr>
          <w:p w14:paraId="1BED8CE3" w14:textId="77777777" w:rsidR="009D4E2F" w:rsidRDefault="00314650">
            <w:pPr>
              <w:spacing w:after="0"/>
              <w:jc w:val="center"/>
              <w:rPr>
                <w:rFonts w:ascii="Arial" w:hAnsi="Arial" w:cs="Arial"/>
                <w:lang w:val="en-IN"/>
              </w:rPr>
            </w:pPr>
            <w:r>
              <w:rPr>
                <w:rFonts w:ascii="Arial" w:hAnsi="Arial" w:cs="Arial"/>
                <w:lang w:val="en-IN"/>
              </w:rPr>
              <w:t>£65.0</w:t>
            </w:r>
          </w:p>
        </w:tc>
      </w:tr>
      <w:tr w:rsidR="009D4E2F" w14:paraId="6F92A70C" w14:textId="77777777">
        <w:trPr>
          <w:trHeight w:val="288"/>
        </w:trPr>
        <w:tc>
          <w:tcPr>
            <w:tcW w:w="881" w:type="pct"/>
            <w:tcBorders>
              <w:top w:val="nil"/>
              <w:left w:val="nil"/>
              <w:bottom w:val="nil"/>
              <w:right w:val="nil"/>
            </w:tcBorders>
            <w:noWrap/>
            <w:vAlign w:val="bottom"/>
          </w:tcPr>
          <w:p w14:paraId="2D51C94B" w14:textId="77777777" w:rsidR="009D4E2F" w:rsidRDefault="009D4E2F">
            <w:pPr>
              <w:spacing w:after="0"/>
              <w:jc w:val="center"/>
              <w:rPr>
                <w:rFonts w:ascii="Arial" w:hAnsi="Arial" w:cs="Arial"/>
                <w:lang w:val="en-IN"/>
              </w:rPr>
            </w:pPr>
          </w:p>
        </w:tc>
        <w:tc>
          <w:tcPr>
            <w:tcW w:w="545" w:type="pct"/>
            <w:tcBorders>
              <w:top w:val="nil"/>
              <w:left w:val="nil"/>
              <w:bottom w:val="nil"/>
              <w:right w:val="nil"/>
            </w:tcBorders>
            <w:noWrap/>
            <w:vAlign w:val="bottom"/>
          </w:tcPr>
          <w:p w14:paraId="35A3FF2B"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6F80D296"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3C1BA6A6"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0BD50659"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06614839"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5D1C558C"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230AC775" w14:textId="77777777" w:rsidR="009D4E2F" w:rsidRDefault="009D4E2F">
            <w:pPr>
              <w:spacing w:after="0"/>
              <w:jc w:val="left"/>
              <w:rPr>
                <w:rFonts w:ascii="Arial" w:hAnsi="Arial" w:cs="Arial"/>
                <w:lang w:val="en-IN"/>
              </w:rPr>
            </w:pPr>
          </w:p>
        </w:tc>
      </w:tr>
      <w:tr w:rsidR="009D4E2F" w14:paraId="1785E04E"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681F6580"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Discount Factors at 8%</w:t>
            </w:r>
          </w:p>
        </w:tc>
      </w:tr>
      <w:tr w:rsidR="009D4E2F" w14:paraId="10975E9C"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05FACD08" w14:textId="77777777" w:rsidR="009D4E2F" w:rsidRDefault="00314650">
            <w:pPr>
              <w:spacing w:after="0"/>
              <w:jc w:val="center"/>
              <w:rPr>
                <w:rFonts w:ascii="Arial" w:hAnsi="Arial" w:cs="Arial"/>
                <w:b/>
                <w:bCs/>
                <w:lang w:val="en-IN"/>
              </w:rPr>
            </w:pPr>
            <w:r>
              <w:rPr>
                <w:rFonts w:ascii="Arial" w:hAnsi="Arial" w:cs="Arial"/>
                <w:b/>
                <w:bCs/>
                <w:lang w:val="en-IN"/>
              </w:rPr>
              <w:t> </w:t>
            </w:r>
          </w:p>
        </w:tc>
        <w:tc>
          <w:tcPr>
            <w:tcW w:w="545" w:type="pct"/>
            <w:tcBorders>
              <w:top w:val="nil"/>
              <w:left w:val="nil"/>
              <w:bottom w:val="single" w:sz="4" w:space="0" w:color="auto"/>
              <w:right w:val="single" w:sz="4" w:space="0" w:color="auto"/>
            </w:tcBorders>
            <w:shd w:val="clear" w:color="D9E1F2" w:fill="BDD7EE"/>
            <w:noWrap/>
            <w:vAlign w:val="center"/>
          </w:tcPr>
          <w:p w14:paraId="01986455" w14:textId="77777777" w:rsidR="009D4E2F" w:rsidRDefault="00314650">
            <w:pPr>
              <w:spacing w:after="0"/>
              <w:jc w:val="center"/>
              <w:rPr>
                <w:rFonts w:ascii="Arial" w:hAnsi="Arial" w:cs="Arial"/>
                <w:b/>
                <w:bCs/>
                <w:lang w:val="en-IN"/>
              </w:rPr>
            </w:pPr>
            <w:r>
              <w:rPr>
                <w:rFonts w:ascii="Arial" w:hAnsi="Arial" w:cs="Arial"/>
                <w:b/>
                <w:bCs/>
                <w:lang w:val="en-IN"/>
              </w:rPr>
              <w:t>Formula</w:t>
            </w:r>
          </w:p>
        </w:tc>
        <w:tc>
          <w:tcPr>
            <w:tcW w:w="751" w:type="pct"/>
            <w:tcBorders>
              <w:top w:val="nil"/>
              <w:left w:val="nil"/>
              <w:bottom w:val="single" w:sz="4" w:space="0" w:color="auto"/>
              <w:right w:val="single" w:sz="4" w:space="0" w:color="auto"/>
            </w:tcBorders>
            <w:shd w:val="clear" w:color="D9E1F2" w:fill="BDD7EE"/>
            <w:noWrap/>
            <w:vAlign w:val="center"/>
          </w:tcPr>
          <w:p w14:paraId="4E4DBBBD" w14:textId="77777777" w:rsidR="009D4E2F" w:rsidRDefault="00314650">
            <w:pPr>
              <w:spacing w:after="0"/>
              <w:jc w:val="center"/>
              <w:rPr>
                <w:rFonts w:ascii="Arial" w:hAnsi="Arial" w:cs="Arial"/>
                <w:b/>
                <w:bCs/>
                <w:lang w:val="en-IN"/>
              </w:rPr>
            </w:pPr>
            <w:r>
              <w:rPr>
                <w:rFonts w:ascii="Arial" w:hAnsi="Arial" w:cs="Arial"/>
                <w:b/>
                <w:bCs/>
                <w:lang w:val="en-IN"/>
              </w:rPr>
              <w:t>1</w:t>
            </w:r>
          </w:p>
        </w:tc>
        <w:tc>
          <w:tcPr>
            <w:tcW w:w="485" w:type="pct"/>
            <w:tcBorders>
              <w:top w:val="nil"/>
              <w:left w:val="nil"/>
              <w:bottom w:val="single" w:sz="4" w:space="0" w:color="auto"/>
              <w:right w:val="single" w:sz="4" w:space="0" w:color="auto"/>
            </w:tcBorders>
            <w:shd w:val="clear" w:color="D9E1F2" w:fill="BDD7EE"/>
            <w:noWrap/>
            <w:vAlign w:val="center"/>
          </w:tcPr>
          <w:p w14:paraId="1728179B" w14:textId="77777777" w:rsidR="009D4E2F" w:rsidRDefault="00314650">
            <w:pPr>
              <w:spacing w:after="0"/>
              <w:jc w:val="center"/>
              <w:rPr>
                <w:rFonts w:ascii="Arial" w:hAnsi="Arial" w:cs="Arial"/>
                <w:b/>
                <w:bCs/>
                <w:lang w:val="en-IN"/>
              </w:rPr>
            </w:pPr>
            <w:r>
              <w:rPr>
                <w:rFonts w:ascii="Arial" w:hAnsi="Arial" w:cs="Arial"/>
                <w:b/>
                <w:bCs/>
                <w:lang w:val="en-IN"/>
              </w:rPr>
              <w:t>2</w:t>
            </w:r>
          </w:p>
        </w:tc>
        <w:tc>
          <w:tcPr>
            <w:tcW w:w="485" w:type="pct"/>
            <w:tcBorders>
              <w:top w:val="nil"/>
              <w:left w:val="nil"/>
              <w:bottom w:val="single" w:sz="4" w:space="0" w:color="auto"/>
              <w:right w:val="single" w:sz="4" w:space="0" w:color="auto"/>
            </w:tcBorders>
            <w:shd w:val="clear" w:color="D9E1F2" w:fill="BDD7EE"/>
            <w:noWrap/>
            <w:vAlign w:val="center"/>
          </w:tcPr>
          <w:p w14:paraId="781E615C" w14:textId="77777777" w:rsidR="009D4E2F" w:rsidRDefault="00314650">
            <w:pPr>
              <w:spacing w:after="0"/>
              <w:jc w:val="center"/>
              <w:rPr>
                <w:rFonts w:ascii="Arial" w:hAnsi="Arial" w:cs="Arial"/>
                <w:b/>
                <w:bCs/>
                <w:lang w:val="en-IN"/>
              </w:rPr>
            </w:pPr>
            <w:r>
              <w:rPr>
                <w:rFonts w:ascii="Arial" w:hAnsi="Arial" w:cs="Arial"/>
                <w:b/>
                <w:bCs/>
                <w:lang w:val="en-IN"/>
              </w:rPr>
              <w:t>3</w:t>
            </w:r>
          </w:p>
        </w:tc>
        <w:tc>
          <w:tcPr>
            <w:tcW w:w="709" w:type="pct"/>
            <w:tcBorders>
              <w:top w:val="nil"/>
              <w:left w:val="nil"/>
              <w:bottom w:val="single" w:sz="4" w:space="0" w:color="auto"/>
              <w:right w:val="single" w:sz="4" w:space="0" w:color="auto"/>
            </w:tcBorders>
            <w:shd w:val="clear" w:color="D9E1F2" w:fill="BDD7EE"/>
            <w:noWrap/>
            <w:vAlign w:val="center"/>
          </w:tcPr>
          <w:p w14:paraId="4089EE46" w14:textId="77777777" w:rsidR="009D4E2F" w:rsidRDefault="00314650">
            <w:pPr>
              <w:spacing w:after="0"/>
              <w:jc w:val="center"/>
              <w:rPr>
                <w:rFonts w:ascii="Arial" w:hAnsi="Arial" w:cs="Arial"/>
                <w:b/>
                <w:bCs/>
                <w:lang w:val="en-IN"/>
              </w:rPr>
            </w:pPr>
            <w:r>
              <w:rPr>
                <w:rFonts w:ascii="Arial" w:hAnsi="Arial" w:cs="Arial"/>
                <w:b/>
                <w:bCs/>
                <w:lang w:val="en-IN"/>
              </w:rPr>
              <w:t>4</w:t>
            </w:r>
          </w:p>
        </w:tc>
        <w:tc>
          <w:tcPr>
            <w:tcW w:w="627" w:type="pct"/>
            <w:tcBorders>
              <w:top w:val="nil"/>
              <w:left w:val="nil"/>
              <w:bottom w:val="single" w:sz="4" w:space="0" w:color="auto"/>
              <w:right w:val="single" w:sz="4" w:space="0" w:color="auto"/>
            </w:tcBorders>
            <w:shd w:val="clear" w:color="D9E1F2" w:fill="BDD7EE"/>
            <w:noWrap/>
            <w:vAlign w:val="center"/>
          </w:tcPr>
          <w:p w14:paraId="0686C3FB" w14:textId="77777777" w:rsidR="009D4E2F" w:rsidRDefault="00314650">
            <w:pPr>
              <w:spacing w:after="0"/>
              <w:jc w:val="center"/>
              <w:rPr>
                <w:rFonts w:ascii="Arial" w:hAnsi="Arial" w:cs="Arial"/>
                <w:b/>
                <w:bCs/>
                <w:lang w:val="en-IN"/>
              </w:rPr>
            </w:pPr>
            <w:r>
              <w:rPr>
                <w:rFonts w:ascii="Arial" w:hAnsi="Arial" w:cs="Arial"/>
                <w:b/>
                <w:bCs/>
                <w:lang w:val="en-IN"/>
              </w:rPr>
              <w:t>5</w:t>
            </w:r>
          </w:p>
        </w:tc>
        <w:tc>
          <w:tcPr>
            <w:tcW w:w="517" w:type="pct"/>
            <w:tcBorders>
              <w:top w:val="nil"/>
              <w:left w:val="nil"/>
              <w:bottom w:val="single" w:sz="4" w:space="0" w:color="auto"/>
              <w:right w:val="single" w:sz="4" w:space="0" w:color="auto"/>
            </w:tcBorders>
            <w:shd w:val="clear" w:color="D9E1F2" w:fill="BDD7EE"/>
            <w:noWrap/>
            <w:vAlign w:val="center"/>
          </w:tcPr>
          <w:p w14:paraId="7B1931C5" w14:textId="77777777" w:rsidR="009D4E2F" w:rsidRDefault="00314650">
            <w:pPr>
              <w:spacing w:after="0"/>
              <w:jc w:val="center"/>
              <w:rPr>
                <w:rFonts w:ascii="Arial" w:hAnsi="Arial" w:cs="Arial"/>
                <w:b/>
                <w:bCs/>
                <w:lang w:val="en-IN"/>
              </w:rPr>
            </w:pPr>
            <w:r>
              <w:rPr>
                <w:rFonts w:ascii="Arial" w:hAnsi="Arial" w:cs="Arial"/>
                <w:b/>
                <w:bCs/>
                <w:lang w:val="en-IN"/>
              </w:rPr>
              <w:t> </w:t>
            </w:r>
          </w:p>
        </w:tc>
      </w:tr>
      <w:tr w:rsidR="009D4E2F" w14:paraId="5A65AFA6" w14:textId="77777777">
        <w:trPr>
          <w:trHeight w:val="300"/>
        </w:trPr>
        <w:tc>
          <w:tcPr>
            <w:tcW w:w="881" w:type="pct"/>
            <w:tcBorders>
              <w:top w:val="nil"/>
              <w:left w:val="single" w:sz="4" w:space="0" w:color="auto"/>
              <w:bottom w:val="single" w:sz="4" w:space="0" w:color="auto"/>
              <w:right w:val="single" w:sz="4" w:space="0" w:color="auto"/>
            </w:tcBorders>
            <w:shd w:val="clear" w:color="F2F2F2" w:fill="FFF2CC"/>
            <w:vAlign w:val="center"/>
          </w:tcPr>
          <w:p w14:paraId="1A154CE2" w14:textId="77777777" w:rsidR="009D4E2F" w:rsidRDefault="00314650">
            <w:pPr>
              <w:spacing w:after="0"/>
              <w:jc w:val="left"/>
              <w:rPr>
                <w:rFonts w:ascii="Arial" w:hAnsi="Arial" w:cs="Arial"/>
                <w:lang w:val="en-IN"/>
              </w:rPr>
            </w:pPr>
            <w:r>
              <w:rPr>
                <w:rFonts w:ascii="Arial" w:hAnsi="Arial" w:cs="Arial"/>
                <w:lang w:val="en-IN"/>
              </w:rPr>
              <w:t>Discount Factor (18%)</w:t>
            </w:r>
          </w:p>
        </w:tc>
        <w:tc>
          <w:tcPr>
            <w:tcW w:w="545" w:type="pct"/>
            <w:tcBorders>
              <w:top w:val="nil"/>
              <w:left w:val="nil"/>
              <w:bottom w:val="single" w:sz="4" w:space="0" w:color="auto"/>
              <w:right w:val="single" w:sz="4" w:space="0" w:color="auto"/>
            </w:tcBorders>
            <w:shd w:val="clear" w:color="F2F2F2" w:fill="FFF2CC"/>
            <w:noWrap/>
            <w:vAlign w:val="center"/>
          </w:tcPr>
          <w:p w14:paraId="3E333525" w14:textId="77777777" w:rsidR="009D4E2F" w:rsidRDefault="00314650">
            <w:pPr>
              <w:spacing w:after="0"/>
              <w:jc w:val="center"/>
              <w:rPr>
                <w:rFonts w:ascii="Arial" w:hAnsi="Arial" w:cs="Arial"/>
                <w:lang w:val="en-IN"/>
              </w:rPr>
            </w:pPr>
            <w:r>
              <w:rPr>
                <w:rFonts w:ascii="Arial" w:hAnsi="Arial" w:cs="Arial"/>
                <w:lang w:val="en-IN"/>
              </w:rPr>
              <w:t>1</w:t>
            </w:r>
            <w:proofErr w:type="gramStart"/>
            <w:r>
              <w:rPr>
                <w:rFonts w:ascii="Arial" w:hAnsi="Arial" w:cs="Arial"/>
                <w:lang w:val="en-IN"/>
              </w:rPr>
              <w:t>/(1.08)^</w:t>
            </w:r>
            <w:proofErr w:type="gramEnd"/>
            <w:r>
              <w:rPr>
                <w:rFonts w:ascii="Arial" w:hAnsi="Arial" w:cs="Arial"/>
                <w:lang w:val="en-IN"/>
              </w:rPr>
              <w:t>n</w:t>
            </w:r>
          </w:p>
        </w:tc>
        <w:tc>
          <w:tcPr>
            <w:tcW w:w="751" w:type="pct"/>
            <w:tcBorders>
              <w:top w:val="nil"/>
              <w:left w:val="nil"/>
              <w:bottom w:val="single" w:sz="4" w:space="0" w:color="auto"/>
              <w:right w:val="single" w:sz="4" w:space="0" w:color="auto"/>
            </w:tcBorders>
            <w:shd w:val="clear" w:color="F2F2F2" w:fill="FFF2CC"/>
            <w:noWrap/>
            <w:vAlign w:val="center"/>
          </w:tcPr>
          <w:p w14:paraId="4D8AAB60" w14:textId="77777777" w:rsidR="009D4E2F" w:rsidRDefault="00314650">
            <w:pPr>
              <w:spacing w:after="0"/>
              <w:jc w:val="center"/>
              <w:rPr>
                <w:rFonts w:ascii="Arial" w:hAnsi="Arial" w:cs="Arial"/>
                <w:lang w:val="en-IN"/>
              </w:rPr>
            </w:pPr>
            <w:r>
              <w:rPr>
                <w:rFonts w:ascii="Arial" w:hAnsi="Arial" w:cs="Arial"/>
                <w:lang w:val="en-IN"/>
              </w:rPr>
              <w:t>0.9259</w:t>
            </w:r>
          </w:p>
        </w:tc>
        <w:tc>
          <w:tcPr>
            <w:tcW w:w="485" w:type="pct"/>
            <w:tcBorders>
              <w:top w:val="nil"/>
              <w:left w:val="nil"/>
              <w:bottom w:val="single" w:sz="4" w:space="0" w:color="auto"/>
              <w:right w:val="single" w:sz="4" w:space="0" w:color="auto"/>
            </w:tcBorders>
            <w:shd w:val="clear" w:color="F2F2F2" w:fill="FFF2CC"/>
            <w:noWrap/>
            <w:vAlign w:val="center"/>
          </w:tcPr>
          <w:p w14:paraId="5BDD6108" w14:textId="77777777" w:rsidR="009D4E2F" w:rsidRDefault="00314650">
            <w:pPr>
              <w:spacing w:after="0"/>
              <w:jc w:val="center"/>
              <w:rPr>
                <w:rFonts w:ascii="Arial" w:hAnsi="Arial" w:cs="Arial"/>
                <w:lang w:val="en-IN"/>
              </w:rPr>
            </w:pPr>
            <w:r>
              <w:rPr>
                <w:rFonts w:ascii="Arial" w:hAnsi="Arial" w:cs="Arial"/>
                <w:lang w:val="en-IN"/>
              </w:rPr>
              <w:t>0.8573</w:t>
            </w:r>
          </w:p>
        </w:tc>
        <w:tc>
          <w:tcPr>
            <w:tcW w:w="485" w:type="pct"/>
            <w:tcBorders>
              <w:top w:val="nil"/>
              <w:left w:val="nil"/>
              <w:bottom w:val="single" w:sz="4" w:space="0" w:color="auto"/>
              <w:right w:val="single" w:sz="4" w:space="0" w:color="auto"/>
            </w:tcBorders>
            <w:shd w:val="clear" w:color="F2F2F2" w:fill="FFF2CC"/>
            <w:noWrap/>
            <w:vAlign w:val="center"/>
          </w:tcPr>
          <w:p w14:paraId="56E063F8" w14:textId="77777777" w:rsidR="009D4E2F" w:rsidRDefault="00314650">
            <w:pPr>
              <w:spacing w:after="0"/>
              <w:jc w:val="center"/>
              <w:rPr>
                <w:rFonts w:ascii="Arial" w:hAnsi="Arial" w:cs="Arial"/>
                <w:lang w:val="en-IN"/>
              </w:rPr>
            </w:pPr>
            <w:r>
              <w:rPr>
                <w:rFonts w:ascii="Arial" w:hAnsi="Arial" w:cs="Arial"/>
                <w:lang w:val="en-IN"/>
              </w:rPr>
              <w:t>0.7938</w:t>
            </w:r>
          </w:p>
        </w:tc>
        <w:tc>
          <w:tcPr>
            <w:tcW w:w="709" w:type="pct"/>
            <w:tcBorders>
              <w:top w:val="nil"/>
              <w:left w:val="nil"/>
              <w:bottom w:val="single" w:sz="4" w:space="0" w:color="auto"/>
              <w:right w:val="single" w:sz="4" w:space="0" w:color="auto"/>
            </w:tcBorders>
            <w:shd w:val="clear" w:color="F2F2F2" w:fill="FFF2CC"/>
            <w:noWrap/>
            <w:vAlign w:val="center"/>
          </w:tcPr>
          <w:p w14:paraId="796808CB" w14:textId="77777777" w:rsidR="009D4E2F" w:rsidRDefault="00314650">
            <w:pPr>
              <w:spacing w:after="0"/>
              <w:jc w:val="center"/>
              <w:rPr>
                <w:rFonts w:ascii="Arial" w:hAnsi="Arial" w:cs="Arial"/>
                <w:lang w:val="en-IN"/>
              </w:rPr>
            </w:pPr>
            <w:r>
              <w:rPr>
                <w:rFonts w:ascii="Arial" w:hAnsi="Arial" w:cs="Arial"/>
                <w:lang w:val="en-IN"/>
              </w:rPr>
              <w:t>0.7350</w:t>
            </w:r>
          </w:p>
        </w:tc>
        <w:tc>
          <w:tcPr>
            <w:tcW w:w="627" w:type="pct"/>
            <w:tcBorders>
              <w:top w:val="nil"/>
              <w:left w:val="nil"/>
              <w:bottom w:val="single" w:sz="4" w:space="0" w:color="auto"/>
              <w:right w:val="single" w:sz="4" w:space="0" w:color="auto"/>
            </w:tcBorders>
            <w:shd w:val="clear" w:color="F2F2F2" w:fill="FFF2CC"/>
            <w:noWrap/>
            <w:vAlign w:val="center"/>
          </w:tcPr>
          <w:p w14:paraId="27263C93" w14:textId="77777777" w:rsidR="009D4E2F" w:rsidRDefault="00314650">
            <w:pPr>
              <w:spacing w:after="0"/>
              <w:jc w:val="center"/>
              <w:rPr>
                <w:rFonts w:ascii="Arial" w:hAnsi="Arial" w:cs="Arial"/>
                <w:lang w:val="en-IN"/>
              </w:rPr>
            </w:pPr>
            <w:r>
              <w:rPr>
                <w:rFonts w:ascii="Arial" w:hAnsi="Arial" w:cs="Arial"/>
                <w:lang w:val="en-IN"/>
              </w:rPr>
              <w:t>0.6806</w:t>
            </w:r>
          </w:p>
        </w:tc>
        <w:tc>
          <w:tcPr>
            <w:tcW w:w="517" w:type="pct"/>
            <w:tcBorders>
              <w:top w:val="nil"/>
              <w:left w:val="nil"/>
              <w:bottom w:val="single" w:sz="4" w:space="0" w:color="auto"/>
              <w:right w:val="single" w:sz="4" w:space="0" w:color="auto"/>
            </w:tcBorders>
            <w:shd w:val="clear" w:color="F2F2F2" w:fill="FFF2CC"/>
            <w:noWrap/>
            <w:vAlign w:val="center"/>
          </w:tcPr>
          <w:p w14:paraId="00EE8B61" w14:textId="77777777" w:rsidR="009D4E2F" w:rsidRDefault="00314650">
            <w:pPr>
              <w:spacing w:after="0"/>
              <w:jc w:val="center"/>
              <w:rPr>
                <w:rFonts w:ascii="Arial" w:hAnsi="Arial" w:cs="Arial"/>
                <w:lang w:val="en-IN"/>
              </w:rPr>
            </w:pPr>
            <w:r>
              <w:rPr>
                <w:rFonts w:ascii="Arial" w:hAnsi="Arial" w:cs="Arial"/>
                <w:lang w:val="en-IN"/>
              </w:rPr>
              <w:t> </w:t>
            </w:r>
          </w:p>
        </w:tc>
      </w:tr>
      <w:tr w:rsidR="009D4E2F" w14:paraId="217F65BA" w14:textId="77777777">
        <w:trPr>
          <w:trHeight w:val="288"/>
        </w:trPr>
        <w:tc>
          <w:tcPr>
            <w:tcW w:w="881" w:type="pct"/>
            <w:tcBorders>
              <w:top w:val="nil"/>
              <w:left w:val="nil"/>
              <w:bottom w:val="nil"/>
              <w:right w:val="nil"/>
            </w:tcBorders>
            <w:noWrap/>
            <w:vAlign w:val="bottom"/>
          </w:tcPr>
          <w:p w14:paraId="0A1061FB" w14:textId="77777777" w:rsidR="009D4E2F" w:rsidRDefault="009D4E2F">
            <w:pPr>
              <w:spacing w:after="0"/>
              <w:jc w:val="center"/>
              <w:rPr>
                <w:rFonts w:ascii="Arial" w:hAnsi="Arial" w:cs="Arial"/>
                <w:lang w:val="en-IN"/>
              </w:rPr>
            </w:pPr>
          </w:p>
        </w:tc>
        <w:tc>
          <w:tcPr>
            <w:tcW w:w="545" w:type="pct"/>
            <w:tcBorders>
              <w:top w:val="nil"/>
              <w:left w:val="nil"/>
              <w:bottom w:val="nil"/>
              <w:right w:val="nil"/>
            </w:tcBorders>
            <w:noWrap/>
            <w:vAlign w:val="bottom"/>
          </w:tcPr>
          <w:p w14:paraId="318B7DA0"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4F5F39BE"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133706F7"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4112FC82"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106DEBB5"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63F8487B"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47018CB2" w14:textId="77777777" w:rsidR="009D4E2F" w:rsidRDefault="009D4E2F">
            <w:pPr>
              <w:spacing w:after="0"/>
              <w:jc w:val="left"/>
              <w:rPr>
                <w:rFonts w:ascii="Arial" w:hAnsi="Arial" w:cs="Arial"/>
                <w:lang w:val="en-IN"/>
              </w:rPr>
            </w:pPr>
          </w:p>
        </w:tc>
      </w:tr>
      <w:tr w:rsidR="009D4E2F" w14:paraId="37A4EA75"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2F6E5AFA"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1. Payback Period (PBP)</w:t>
            </w:r>
          </w:p>
        </w:tc>
      </w:tr>
      <w:tr w:rsidR="009D4E2F" w14:paraId="08A1A870"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4CC368D7" w14:textId="77777777" w:rsidR="009D4E2F" w:rsidRDefault="00314650">
            <w:pPr>
              <w:spacing w:after="0"/>
              <w:jc w:val="center"/>
              <w:rPr>
                <w:rFonts w:ascii="Arial" w:hAnsi="Arial" w:cs="Arial"/>
                <w:b/>
                <w:bCs/>
                <w:lang w:val="en-IN"/>
              </w:rPr>
            </w:pPr>
            <w:r>
              <w:rPr>
                <w:rFonts w:ascii="Arial" w:hAnsi="Arial" w:cs="Arial"/>
                <w:b/>
                <w:bCs/>
                <w:lang w:val="en-IN"/>
              </w:rPr>
              <w:t>Project</w:t>
            </w:r>
          </w:p>
        </w:tc>
        <w:tc>
          <w:tcPr>
            <w:tcW w:w="545" w:type="pct"/>
            <w:tcBorders>
              <w:top w:val="nil"/>
              <w:left w:val="nil"/>
              <w:bottom w:val="single" w:sz="4" w:space="0" w:color="auto"/>
              <w:right w:val="single" w:sz="4" w:space="0" w:color="auto"/>
            </w:tcBorders>
            <w:shd w:val="clear" w:color="D9E1F2" w:fill="BDD7EE"/>
            <w:noWrap/>
            <w:vAlign w:val="center"/>
          </w:tcPr>
          <w:p w14:paraId="7F99CDE1" w14:textId="77777777" w:rsidR="009D4E2F" w:rsidRDefault="00314650">
            <w:pPr>
              <w:spacing w:after="0"/>
              <w:jc w:val="center"/>
              <w:rPr>
                <w:rFonts w:ascii="Arial" w:hAnsi="Arial" w:cs="Arial"/>
                <w:b/>
                <w:bCs/>
                <w:lang w:val="en-IN"/>
              </w:rPr>
            </w:pPr>
            <w:r>
              <w:rPr>
                <w:rFonts w:ascii="Arial" w:hAnsi="Arial" w:cs="Arial"/>
                <w:b/>
                <w:bCs/>
                <w:lang w:val="en-IN"/>
              </w:rPr>
              <w:t>Year 0</w:t>
            </w:r>
          </w:p>
        </w:tc>
        <w:tc>
          <w:tcPr>
            <w:tcW w:w="751" w:type="pct"/>
            <w:tcBorders>
              <w:top w:val="nil"/>
              <w:left w:val="nil"/>
              <w:bottom w:val="single" w:sz="4" w:space="0" w:color="auto"/>
              <w:right w:val="single" w:sz="4" w:space="0" w:color="auto"/>
            </w:tcBorders>
            <w:shd w:val="clear" w:color="D9E1F2" w:fill="BDD7EE"/>
            <w:noWrap/>
            <w:vAlign w:val="center"/>
          </w:tcPr>
          <w:p w14:paraId="4A7C1F68" w14:textId="77777777" w:rsidR="009D4E2F" w:rsidRDefault="00314650">
            <w:pPr>
              <w:spacing w:after="0"/>
              <w:jc w:val="center"/>
              <w:rPr>
                <w:rFonts w:ascii="Arial" w:hAnsi="Arial" w:cs="Arial"/>
                <w:b/>
                <w:bCs/>
                <w:lang w:val="en-IN"/>
              </w:rPr>
            </w:pPr>
            <w:r>
              <w:rPr>
                <w:rFonts w:ascii="Arial" w:hAnsi="Arial" w:cs="Arial"/>
                <w:b/>
                <w:bCs/>
                <w:lang w:val="en-IN"/>
              </w:rPr>
              <w:t>Cum CF Yr1</w:t>
            </w:r>
          </w:p>
        </w:tc>
        <w:tc>
          <w:tcPr>
            <w:tcW w:w="485" w:type="pct"/>
            <w:tcBorders>
              <w:top w:val="nil"/>
              <w:left w:val="nil"/>
              <w:bottom w:val="single" w:sz="4" w:space="0" w:color="auto"/>
              <w:right w:val="single" w:sz="4" w:space="0" w:color="auto"/>
            </w:tcBorders>
            <w:shd w:val="clear" w:color="D9E1F2" w:fill="BDD7EE"/>
            <w:noWrap/>
            <w:vAlign w:val="center"/>
          </w:tcPr>
          <w:p w14:paraId="16CDBD90" w14:textId="77777777" w:rsidR="009D4E2F" w:rsidRDefault="00314650">
            <w:pPr>
              <w:spacing w:after="0"/>
              <w:jc w:val="center"/>
              <w:rPr>
                <w:rFonts w:ascii="Arial" w:hAnsi="Arial" w:cs="Arial"/>
                <w:b/>
                <w:bCs/>
                <w:lang w:val="en-IN"/>
              </w:rPr>
            </w:pPr>
            <w:r>
              <w:rPr>
                <w:rFonts w:ascii="Arial" w:hAnsi="Arial" w:cs="Arial"/>
                <w:b/>
                <w:bCs/>
                <w:lang w:val="en-IN"/>
              </w:rPr>
              <w:t>Cum CF Yr2</w:t>
            </w:r>
          </w:p>
        </w:tc>
        <w:tc>
          <w:tcPr>
            <w:tcW w:w="485" w:type="pct"/>
            <w:tcBorders>
              <w:top w:val="nil"/>
              <w:left w:val="nil"/>
              <w:bottom w:val="single" w:sz="4" w:space="0" w:color="auto"/>
              <w:right w:val="single" w:sz="4" w:space="0" w:color="auto"/>
            </w:tcBorders>
            <w:shd w:val="clear" w:color="D9E1F2" w:fill="BDD7EE"/>
            <w:noWrap/>
            <w:vAlign w:val="center"/>
          </w:tcPr>
          <w:p w14:paraId="6DEDFC8D" w14:textId="77777777" w:rsidR="009D4E2F" w:rsidRDefault="00314650">
            <w:pPr>
              <w:spacing w:after="0"/>
              <w:jc w:val="center"/>
              <w:rPr>
                <w:rFonts w:ascii="Arial" w:hAnsi="Arial" w:cs="Arial"/>
                <w:b/>
                <w:bCs/>
                <w:lang w:val="en-IN"/>
              </w:rPr>
            </w:pPr>
            <w:r>
              <w:rPr>
                <w:rFonts w:ascii="Arial" w:hAnsi="Arial" w:cs="Arial"/>
                <w:b/>
                <w:bCs/>
                <w:lang w:val="en-IN"/>
              </w:rPr>
              <w:t>Cum CF Yr3</w:t>
            </w:r>
          </w:p>
        </w:tc>
        <w:tc>
          <w:tcPr>
            <w:tcW w:w="709" w:type="pct"/>
            <w:tcBorders>
              <w:top w:val="nil"/>
              <w:left w:val="nil"/>
              <w:bottom w:val="single" w:sz="4" w:space="0" w:color="auto"/>
              <w:right w:val="single" w:sz="4" w:space="0" w:color="auto"/>
            </w:tcBorders>
            <w:shd w:val="clear" w:color="D9E1F2" w:fill="BDD7EE"/>
            <w:noWrap/>
            <w:vAlign w:val="center"/>
          </w:tcPr>
          <w:p w14:paraId="5DFE92C0" w14:textId="77777777" w:rsidR="009D4E2F" w:rsidRDefault="00314650">
            <w:pPr>
              <w:spacing w:after="0"/>
              <w:jc w:val="center"/>
              <w:rPr>
                <w:rFonts w:ascii="Arial" w:hAnsi="Arial" w:cs="Arial"/>
                <w:b/>
                <w:bCs/>
                <w:lang w:val="en-IN"/>
              </w:rPr>
            </w:pPr>
            <w:r>
              <w:rPr>
                <w:rFonts w:ascii="Arial" w:hAnsi="Arial" w:cs="Arial"/>
                <w:b/>
                <w:bCs/>
                <w:lang w:val="en-IN"/>
              </w:rPr>
              <w:t>Cum CF Yr4</w:t>
            </w:r>
          </w:p>
        </w:tc>
        <w:tc>
          <w:tcPr>
            <w:tcW w:w="627" w:type="pct"/>
            <w:tcBorders>
              <w:top w:val="nil"/>
              <w:left w:val="nil"/>
              <w:bottom w:val="single" w:sz="4" w:space="0" w:color="auto"/>
              <w:right w:val="single" w:sz="4" w:space="0" w:color="auto"/>
            </w:tcBorders>
            <w:shd w:val="clear" w:color="D9E1F2" w:fill="BDD7EE"/>
            <w:noWrap/>
            <w:vAlign w:val="center"/>
          </w:tcPr>
          <w:p w14:paraId="0A50AE63" w14:textId="77777777" w:rsidR="009D4E2F" w:rsidRDefault="00314650">
            <w:pPr>
              <w:spacing w:after="0"/>
              <w:jc w:val="center"/>
              <w:rPr>
                <w:rFonts w:ascii="Arial" w:hAnsi="Arial" w:cs="Arial"/>
                <w:b/>
                <w:bCs/>
                <w:lang w:val="en-IN"/>
              </w:rPr>
            </w:pPr>
            <w:r>
              <w:rPr>
                <w:rFonts w:ascii="Arial" w:hAnsi="Arial" w:cs="Arial"/>
                <w:b/>
                <w:bCs/>
                <w:lang w:val="en-IN"/>
              </w:rPr>
              <w:t>Cum CF Yr5</w:t>
            </w:r>
          </w:p>
        </w:tc>
        <w:tc>
          <w:tcPr>
            <w:tcW w:w="517" w:type="pct"/>
            <w:tcBorders>
              <w:top w:val="nil"/>
              <w:left w:val="nil"/>
              <w:bottom w:val="single" w:sz="4" w:space="0" w:color="auto"/>
              <w:right w:val="single" w:sz="4" w:space="0" w:color="auto"/>
            </w:tcBorders>
            <w:shd w:val="clear" w:color="D9E1F2" w:fill="BDD7EE"/>
            <w:noWrap/>
            <w:vAlign w:val="center"/>
          </w:tcPr>
          <w:p w14:paraId="543ECF40" w14:textId="77777777" w:rsidR="009D4E2F" w:rsidRDefault="00314650">
            <w:pPr>
              <w:spacing w:after="0"/>
              <w:jc w:val="center"/>
              <w:rPr>
                <w:rFonts w:ascii="Arial" w:hAnsi="Arial" w:cs="Arial"/>
                <w:b/>
                <w:bCs/>
                <w:lang w:val="en-IN"/>
              </w:rPr>
            </w:pPr>
            <w:r>
              <w:rPr>
                <w:rFonts w:ascii="Arial" w:hAnsi="Arial" w:cs="Arial"/>
                <w:b/>
                <w:bCs/>
                <w:lang w:val="en-IN"/>
              </w:rPr>
              <w:t>PBP (years)</w:t>
            </w:r>
          </w:p>
        </w:tc>
      </w:tr>
      <w:tr w:rsidR="009D4E2F" w14:paraId="3B826F7B"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3CC79087"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4F005B97"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D9E1F2" w:fill="DEEAF1"/>
            <w:noWrap/>
            <w:vAlign w:val="center"/>
          </w:tcPr>
          <w:p w14:paraId="5BC693CF" w14:textId="77777777" w:rsidR="009D4E2F" w:rsidRDefault="00314650">
            <w:pPr>
              <w:spacing w:after="0"/>
              <w:jc w:val="center"/>
              <w:rPr>
                <w:rFonts w:ascii="Arial" w:hAnsi="Arial" w:cs="Arial"/>
                <w:lang w:val="en-IN"/>
              </w:rPr>
            </w:pPr>
            <w:r>
              <w:rPr>
                <w:rFonts w:ascii="Arial" w:hAnsi="Arial" w:cs="Arial"/>
                <w:lang w:val="en-IN"/>
              </w:rPr>
              <w:t>(£42.00)</w:t>
            </w:r>
          </w:p>
        </w:tc>
        <w:tc>
          <w:tcPr>
            <w:tcW w:w="485" w:type="pct"/>
            <w:tcBorders>
              <w:top w:val="nil"/>
              <w:left w:val="nil"/>
              <w:bottom w:val="single" w:sz="4" w:space="0" w:color="auto"/>
              <w:right w:val="single" w:sz="4" w:space="0" w:color="auto"/>
            </w:tcBorders>
            <w:shd w:val="clear" w:color="D9E1F2" w:fill="DEEAF1"/>
            <w:noWrap/>
            <w:vAlign w:val="center"/>
          </w:tcPr>
          <w:p w14:paraId="6C2151E0" w14:textId="77777777" w:rsidR="009D4E2F" w:rsidRDefault="00314650">
            <w:pPr>
              <w:spacing w:after="0"/>
              <w:jc w:val="center"/>
              <w:rPr>
                <w:rFonts w:ascii="Arial" w:hAnsi="Arial" w:cs="Arial"/>
                <w:lang w:val="en-IN"/>
              </w:rPr>
            </w:pPr>
            <w:r>
              <w:rPr>
                <w:rFonts w:ascii="Arial" w:hAnsi="Arial" w:cs="Arial"/>
                <w:lang w:val="en-IN"/>
              </w:rPr>
              <w:t>(£30.00)</w:t>
            </w:r>
          </w:p>
        </w:tc>
        <w:tc>
          <w:tcPr>
            <w:tcW w:w="485" w:type="pct"/>
            <w:tcBorders>
              <w:top w:val="nil"/>
              <w:left w:val="nil"/>
              <w:bottom w:val="single" w:sz="4" w:space="0" w:color="auto"/>
              <w:right w:val="single" w:sz="4" w:space="0" w:color="auto"/>
            </w:tcBorders>
            <w:shd w:val="clear" w:color="D9E1F2" w:fill="DEEAF1"/>
            <w:noWrap/>
            <w:vAlign w:val="center"/>
          </w:tcPr>
          <w:p w14:paraId="554EEADF" w14:textId="77777777" w:rsidR="009D4E2F" w:rsidRDefault="00314650">
            <w:pPr>
              <w:spacing w:after="0"/>
              <w:jc w:val="center"/>
              <w:rPr>
                <w:rFonts w:ascii="Arial" w:hAnsi="Arial" w:cs="Arial"/>
                <w:lang w:val="en-IN"/>
              </w:rPr>
            </w:pPr>
            <w:r>
              <w:rPr>
                <w:rFonts w:ascii="Arial" w:hAnsi="Arial" w:cs="Arial"/>
                <w:lang w:val="en-IN"/>
              </w:rPr>
              <w:t>(£16.00)</w:t>
            </w:r>
          </w:p>
        </w:tc>
        <w:tc>
          <w:tcPr>
            <w:tcW w:w="709" w:type="pct"/>
            <w:tcBorders>
              <w:top w:val="nil"/>
              <w:left w:val="nil"/>
              <w:bottom w:val="single" w:sz="4" w:space="0" w:color="auto"/>
              <w:right w:val="single" w:sz="4" w:space="0" w:color="auto"/>
            </w:tcBorders>
            <w:shd w:val="clear" w:color="D9E1F2" w:fill="DEEAF1"/>
            <w:noWrap/>
            <w:vAlign w:val="center"/>
          </w:tcPr>
          <w:p w14:paraId="4F954773" w14:textId="77777777" w:rsidR="009D4E2F" w:rsidRDefault="00314650">
            <w:pPr>
              <w:spacing w:after="0"/>
              <w:jc w:val="center"/>
              <w:rPr>
                <w:rFonts w:ascii="Arial" w:hAnsi="Arial" w:cs="Arial"/>
                <w:lang w:val="en-IN"/>
              </w:rPr>
            </w:pPr>
            <w:r>
              <w:rPr>
                <w:rFonts w:ascii="Arial" w:hAnsi="Arial" w:cs="Arial"/>
                <w:lang w:val="en-IN"/>
              </w:rPr>
              <w:t>(£8.00)</w:t>
            </w:r>
          </w:p>
        </w:tc>
        <w:tc>
          <w:tcPr>
            <w:tcW w:w="627" w:type="pct"/>
            <w:tcBorders>
              <w:top w:val="nil"/>
              <w:left w:val="nil"/>
              <w:bottom w:val="single" w:sz="4" w:space="0" w:color="auto"/>
              <w:right w:val="single" w:sz="4" w:space="0" w:color="auto"/>
            </w:tcBorders>
            <w:shd w:val="clear" w:color="D9E1F2" w:fill="DEEAF1"/>
            <w:noWrap/>
            <w:vAlign w:val="center"/>
          </w:tcPr>
          <w:p w14:paraId="2CE2E9D6" w14:textId="77777777" w:rsidR="009D4E2F" w:rsidRDefault="00314650">
            <w:pPr>
              <w:spacing w:after="0"/>
              <w:jc w:val="center"/>
              <w:rPr>
                <w:rFonts w:ascii="Arial" w:hAnsi="Arial" w:cs="Arial"/>
                <w:lang w:val="en-IN"/>
              </w:rPr>
            </w:pPr>
            <w:r>
              <w:rPr>
                <w:rFonts w:ascii="Arial" w:hAnsi="Arial" w:cs="Arial"/>
                <w:lang w:val="en-IN"/>
              </w:rPr>
              <w:t>£4.00</w:t>
            </w:r>
          </w:p>
        </w:tc>
        <w:tc>
          <w:tcPr>
            <w:tcW w:w="517" w:type="pct"/>
            <w:tcBorders>
              <w:top w:val="nil"/>
              <w:left w:val="nil"/>
              <w:bottom w:val="single" w:sz="4" w:space="0" w:color="auto"/>
              <w:right w:val="single" w:sz="4" w:space="0" w:color="auto"/>
            </w:tcBorders>
            <w:shd w:val="clear" w:color="D9E1F2" w:fill="DEEAF1"/>
            <w:noWrap/>
            <w:vAlign w:val="center"/>
          </w:tcPr>
          <w:p w14:paraId="18316F2A" w14:textId="77777777" w:rsidR="009D4E2F" w:rsidRDefault="00314650">
            <w:pPr>
              <w:spacing w:after="0"/>
              <w:jc w:val="center"/>
              <w:rPr>
                <w:rFonts w:ascii="Arial" w:hAnsi="Arial" w:cs="Arial"/>
                <w:lang w:val="en-IN"/>
              </w:rPr>
            </w:pPr>
            <w:r>
              <w:rPr>
                <w:rFonts w:ascii="Arial" w:hAnsi="Arial" w:cs="Arial"/>
                <w:lang w:val="en-IN"/>
              </w:rPr>
              <w:t>4yr 6m</w:t>
            </w:r>
          </w:p>
        </w:tc>
      </w:tr>
      <w:tr w:rsidR="009D4E2F" w14:paraId="2DA3F8DC"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15FB97A1"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F2F2F2" w:fill="FFFFFF"/>
            <w:noWrap/>
            <w:vAlign w:val="center"/>
          </w:tcPr>
          <w:p w14:paraId="6FF4BC13"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F2F2F2" w:fill="FFFFFF"/>
            <w:noWrap/>
            <w:vAlign w:val="center"/>
          </w:tcPr>
          <w:p w14:paraId="1AE014C6" w14:textId="77777777" w:rsidR="009D4E2F" w:rsidRDefault="00314650">
            <w:pPr>
              <w:spacing w:after="0"/>
              <w:jc w:val="center"/>
              <w:rPr>
                <w:rFonts w:ascii="Arial" w:hAnsi="Arial" w:cs="Arial"/>
                <w:lang w:val="en-IN"/>
              </w:rPr>
            </w:pPr>
            <w:r>
              <w:rPr>
                <w:rFonts w:ascii="Arial" w:hAnsi="Arial" w:cs="Arial"/>
                <w:lang w:val="en-IN"/>
              </w:rPr>
              <w:t>(£39.00)</w:t>
            </w:r>
          </w:p>
        </w:tc>
        <w:tc>
          <w:tcPr>
            <w:tcW w:w="485" w:type="pct"/>
            <w:tcBorders>
              <w:top w:val="nil"/>
              <w:left w:val="nil"/>
              <w:bottom w:val="single" w:sz="4" w:space="0" w:color="auto"/>
              <w:right w:val="single" w:sz="4" w:space="0" w:color="auto"/>
            </w:tcBorders>
            <w:shd w:val="clear" w:color="F2F2F2" w:fill="FFFFFF"/>
            <w:noWrap/>
            <w:vAlign w:val="center"/>
          </w:tcPr>
          <w:p w14:paraId="2189AAC0" w14:textId="77777777" w:rsidR="009D4E2F" w:rsidRDefault="00314650">
            <w:pPr>
              <w:spacing w:after="0"/>
              <w:jc w:val="center"/>
              <w:rPr>
                <w:rFonts w:ascii="Arial" w:hAnsi="Arial" w:cs="Arial"/>
                <w:lang w:val="en-IN"/>
              </w:rPr>
            </w:pPr>
            <w:r>
              <w:rPr>
                <w:rFonts w:ascii="Arial" w:hAnsi="Arial" w:cs="Arial"/>
                <w:lang w:val="en-IN"/>
              </w:rPr>
              <w:t>(£28.00)</w:t>
            </w:r>
          </w:p>
        </w:tc>
        <w:tc>
          <w:tcPr>
            <w:tcW w:w="485" w:type="pct"/>
            <w:tcBorders>
              <w:top w:val="nil"/>
              <w:left w:val="nil"/>
              <w:bottom w:val="single" w:sz="4" w:space="0" w:color="auto"/>
              <w:right w:val="single" w:sz="4" w:space="0" w:color="auto"/>
            </w:tcBorders>
            <w:shd w:val="clear" w:color="F2F2F2" w:fill="FFFFFF"/>
            <w:noWrap/>
            <w:vAlign w:val="center"/>
          </w:tcPr>
          <w:p w14:paraId="396851C8" w14:textId="77777777" w:rsidR="009D4E2F" w:rsidRDefault="00314650">
            <w:pPr>
              <w:spacing w:after="0"/>
              <w:jc w:val="center"/>
              <w:rPr>
                <w:rFonts w:ascii="Arial" w:hAnsi="Arial" w:cs="Arial"/>
                <w:lang w:val="en-IN"/>
              </w:rPr>
            </w:pPr>
            <w:r>
              <w:rPr>
                <w:rFonts w:ascii="Arial" w:hAnsi="Arial" w:cs="Arial"/>
                <w:lang w:val="en-IN"/>
              </w:rPr>
              <w:t>(£17.00)</w:t>
            </w:r>
          </w:p>
        </w:tc>
        <w:tc>
          <w:tcPr>
            <w:tcW w:w="709" w:type="pct"/>
            <w:tcBorders>
              <w:top w:val="nil"/>
              <w:left w:val="nil"/>
              <w:bottom w:val="single" w:sz="4" w:space="0" w:color="auto"/>
              <w:right w:val="single" w:sz="4" w:space="0" w:color="auto"/>
            </w:tcBorders>
            <w:shd w:val="clear" w:color="F2F2F2" w:fill="FFFFFF"/>
            <w:noWrap/>
            <w:vAlign w:val="center"/>
          </w:tcPr>
          <w:p w14:paraId="72162AD0" w14:textId="77777777" w:rsidR="009D4E2F" w:rsidRDefault="00314650">
            <w:pPr>
              <w:spacing w:after="0"/>
              <w:jc w:val="center"/>
              <w:rPr>
                <w:rFonts w:ascii="Arial" w:hAnsi="Arial" w:cs="Arial"/>
                <w:lang w:val="en-IN"/>
              </w:rPr>
            </w:pPr>
            <w:r>
              <w:rPr>
                <w:rFonts w:ascii="Arial" w:hAnsi="Arial" w:cs="Arial"/>
                <w:lang w:val="en-IN"/>
              </w:rPr>
              <w:t>(£6.00)</w:t>
            </w:r>
          </w:p>
        </w:tc>
        <w:tc>
          <w:tcPr>
            <w:tcW w:w="627" w:type="pct"/>
            <w:tcBorders>
              <w:top w:val="nil"/>
              <w:left w:val="nil"/>
              <w:bottom w:val="single" w:sz="4" w:space="0" w:color="auto"/>
              <w:right w:val="single" w:sz="4" w:space="0" w:color="auto"/>
            </w:tcBorders>
            <w:shd w:val="clear" w:color="F2F2F2" w:fill="FFFFFF"/>
            <w:noWrap/>
            <w:vAlign w:val="center"/>
          </w:tcPr>
          <w:p w14:paraId="57756080" w14:textId="77777777" w:rsidR="009D4E2F" w:rsidRDefault="00314650">
            <w:pPr>
              <w:spacing w:after="0"/>
              <w:jc w:val="center"/>
              <w:rPr>
                <w:rFonts w:ascii="Arial" w:hAnsi="Arial" w:cs="Arial"/>
                <w:lang w:val="en-IN"/>
              </w:rPr>
            </w:pPr>
            <w:r>
              <w:rPr>
                <w:rFonts w:ascii="Arial" w:hAnsi="Arial" w:cs="Arial"/>
                <w:lang w:val="en-IN"/>
              </w:rPr>
              <w:t>£10.00</w:t>
            </w:r>
          </w:p>
        </w:tc>
        <w:tc>
          <w:tcPr>
            <w:tcW w:w="517" w:type="pct"/>
            <w:tcBorders>
              <w:top w:val="nil"/>
              <w:left w:val="nil"/>
              <w:bottom w:val="single" w:sz="4" w:space="0" w:color="auto"/>
              <w:right w:val="single" w:sz="4" w:space="0" w:color="auto"/>
            </w:tcBorders>
            <w:shd w:val="clear" w:color="F2F2F2" w:fill="FFFFFF"/>
            <w:noWrap/>
            <w:vAlign w:val="center"/>
          </w:tcPr>
          <w:p w14:paraId="4D0400EA" w14:textId="77777777" w:rsidR="009D4E2F" w:rsidRDefault="00314650">
            <w:pPr>
              <w:spacing w:after="0"/>
              <w:jc w:val="center"/>
              <w:rPr>
                <w:rFonts w:ascii="Arial" w:hAnsi="Arial" w:cs="Arial"/>
                <w:lang w:val="en-IN"/>
              </w:rPr>
            </w:pPr>
            <w:r>
              <w:rPr>
                <w:rFonts w:ascii="Arial" w:hAnsi="Arial" w:cs="Arial"/>
                <w:lang w:val="en-IN"/>
              </w:rPr>
              <w:t>4yr 7m</w:t>
            </w:r>
          </w:p>
        </w:tc>
      </w:tr>
      <w:tr w:rsidR="009D4E2F" w14:paraId="147BE447"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068EE053" w14:textId="77777777" w:rsidR="009D4E2F" w:rsidRDefault="00314650">
            <w:pPr>
              <w:spacing w:after="0"/>
              <w:jc w:val="left"/>
              <w:rPr>
                <w:rFonts w:ascii="Arial" w:hAnsi="Arial" w:cs="Arial"/>
                <w:lang w:val="en-IN"/>
              </w:rPr>
            </w:pPr>
            <w:r>
              <w:rPr>
                <w:rFonts w:ascii="Arial" w:hAnsi="Arial" w:cs="Arial"/>
                <w:lang w:val="en-IN"/>
              </w:rPr>
              <w:lastRenderedPageBreak/>
              <w:t>Project C</w:t>
            </w:r>
          </w:p>
        </w:tc>
        <w:tc>
          <w:tcPr>
            <w:tcW w:w="545" w:type="pct"/>
            <w:tcBorders>
              <w:top w:val="nil"/>
              <w:left w:val="nil"/>
              <w:bottom w:val="single" w:sz="4" w:space="0" w:color="auto"/>
              <w:right w:val="single" w:sz="4" w:space="0" w:color="auto"/>
            </w:tcBorders>
            <w:shd w:val="clear" w:color="D9E1F2" w:fill="DEEAF1"/>
            <w:noWrap/>
            <w:vAlign w:val="center"/>
          </w:tcPr>
          <w:p w14:paraId="32407FCF"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D9E1F2" w:fill="DEEAF1"/>
            <w:noWrap/>
            <w:vAlign w:val="center"/>
          </w:tcPr>
          <w:p w14:paraId="6F73EFC1" w14:textId="77777777" w:rsidR="009D4E2F" w:rsidRDefault="00314650">
            <w:pPr>
              <w:spacing w:after="0"/>
              <w:jc w:val="center"/>
              <w:rPr>
                <w:rFonts w:ascii="Arial" w:hAnsi="Arial" w:cs="Arial"/>
                <w:lang w:val="en-IN"/>
              </w:rPr>
            </w:pPr>
            <w:r>
              <w:rPr>
                <w:rFonts w:ascii="Arial" w:hAnsi="Arial" w:cs="Arial"/>
                <w:lang w:val="en-IN"/>
              </w:rPr>
              <w:t>(£45.00)</w:t>
            </w:r>
          </w:p>
        </w:tc>
        <w:tc>
          <w:tcPr>
            <w:tcW w:w="485" w:type="pct"/>
            <w:tcBorders>
              <w:top w:val="nil"/>
              <w:left w:val="nil"/>
              <w:bottom w:val="single" w:sz="4" w:space="0" w:color="auto"/>
              <w:right w:val="single" w:sz="4" w:space="0" w:color="auto"/>
            </w:tcBorders>
            <w:shd w:val="clear" w:color="D9E1F2" w:fill="DEEAF1"/>
            <w:noWrap/>
            <w:vAlign w:val="center"/>
          </w:tcPr>
          <w:p w14:paraId="4DC1AADC" w14:textId="77777777" w:rsidR="009D4E2F" w:rsidRDefault="00314650">
            <w:pPr>
              <w:spacing w:after="0"/>
              <w:jc w:val="center"/>
              <w:rPr>
                <w:rFonts w:ascii="Arial" w:hAnsi="Arial" w:cs="Arial"/>
                <w:lang w:val="en-IN"/>
              </w:rPr>
            </w:pPr>
            <w:r>
              <w:rPr>
                <w:rFonts w:ascii="Arial" w:hAnsi="Arial" w:cs="Arial"/>
                <w:lang w:val="en-IN"/>
              </w:rPr>
              <w:t>(£37.00)</w:t>
            </w:r>
          </w:p>
        </w:tc>
        <w:tc>
          <w:tcPr>
            <w:tcW w:w="485" w:type="pct"/>
            <w:tcBorders>
              <w:top w:val="nil"/>
              <w:left w:val="nil"/>
              <w:bottom w:val="single" w:sz="4" w:space="0" w:color="auto"/>
              <w:right w:val="single" w:sz="4" w:space="0" w:color="auto"/>
            </w:tcBorders>
            <w:shd w:val="clear" w:color="D9E1F2" w:fill="DEEAF1"/>
            <w:noWrap/>
            <w:vAlign w:val="center"/>
          </w:tcPr>
          <w:p w14:paraId="19C49B8E" w14:textId="77777777" w:rsidR="009D4E2F" w:rsidRDefault="00314650">
            <w:pPr>
              <w:spacing w:after="0"/>
              <w:jc w:val="center"/>
              <w:rPr>
                <w:rFonts w:ascii="Arial" w:hAnsi="Arial" w:cs="Arial"/>
                <w:lang w:val="en-IN"/>
              </w:rPr>
            </w:pPr>
            <w:r>
              <w:rPr>
                <w:rFonts w:ascii="Arial" w:hAnsi="Arial" w:cs="Arial"/>
                <w:lang w:val="en-IN"/>
              </w:rPr>
              <w:t>(£17.00)</w:t>
            </w:r>
          </w:p>
        </w:tc>
        <w:tc>
          <w:tcPr>
            <w:tcW w:w="709" w:type="pct"/>
            <w:tcBorders>
              <w:top w:val="nil"/>
              <w:left w:val="nil"/>
              <w:bottom w:val="single" w:sz="4" w:space="0" w:color="auto"/>
              <w:right w:val="single" w:sz="4" w:space="0" w:color="auto"/>
            </w:tcBorders>
            <w:shd w:val="clear" w:color="D9E1F2" w:fill="DEEAF1"/>
            <w:noWrap/>
            <w:vAlign w:val="center"/>
          </w:tcPr>
          <w:p w14:paraId="26906410" w14:textId="77777777" w:rsidR="009D4E2F" w:rsidRDefault="00314650">
            <w:pPr>
              <w:spacing w:after="0"/>
              <w:jc w:val="center"/>
              <w:rPr>
                <w:rFonts w:ascii="Arial" w:hAnsi="Arial" w:cs="Arial"/>
                <w:lang w:val="en-IN"/>
              </w:rPr>
            </w:pPr>
            <w:r>
              <w:rPr>
                <w:rFonts w:ascii="Arial" w:hAnsi="Arial" w:cs="Arial"/>
                <w:lang w:val="en-IN"/>
              </w:rPr>
              <w:t>£8.00</w:t>
            </w:r>
          </w:p>
        </w:tc>
        <w:tc>
          <w:tcPr>
            <w:tcW w:w="627" w:type="pct"/>
            <w:tcBorders>
              <w:top w:val="nil"/>
              <w:left w:val="nil"/>
              <w:bottom w:val="single" w:sz="4" w:space="0" w:color="auto"/>
              <w:right w:val="single" w:sz="4" w:space="0" w:color="auto"/>
            </w:tcBorders>
            <w:shd w:val="clear" w:color="D9E1F2" w:fill="DEEAF1"/>
            <w:noWrap/>
            <w:vAlign w:val="center"/>
          </w:tcPr>
          <w:p w14:paraId="0C5B8C9D" w14:textId="77777777" w:rsidR="009D4E2F" w:rsidRDefault="00314650">
            <w:pPr>
              <w:spacing w:after="0"/>
              <w:jc w:val="center"/>
              <w:rPr>
                <w:rFonts w:ascii="Arial" w:hAnsi="Arial" w:cs="Arial"/>
                <w:lang w:val="en-IN"/>
              </w:rPr>
            </w:pPr>
            <w:r>
              <w:rPr>
                <w:rFonts w:ascii="Arial" w:hAnsi="Arial" w:cs="Arial"/>
                <w:lang w:val="en-IN"/>
              </w:rPr>
              <w:t>£28.00</w:t>
            </w:r>
          </w:p>
        </w:tc>
        <w:tc>
          <w:tcPr>
            <w:tcW w:w="517" w:type="pct"/>
            <w:tcBorders>
              <w:top w:val="nil"/>
              <w:left w:val="nil"/>
              <w:bottom w:val="single" w:sz="4" w:space="0" w:color="auto"/>
              <w:right w:val="single" w:sz="4" w:space="0" w:color="auto"/>
            </w:tcBorders>
            <w:shd w:val="clear" w:color="D9E1F2" w:fill="DEEAF1"/>
            <w:noWrap/>
            <w:vAlign w:val="center"/>
          </w:tcPr>
          <w:p w14:paraId="2F2E0B7F" w14:textId="77777777" w:rsidR="009D4E2F" w:rsidRDefault="00314650">
            <w:pPr>
              <w:spacing w:after="0"/>
              <w:jc w:val="center"/>
              <w:rPr>
                <w:rFonts w:ascii="Arial" w:hAnsi="Arial" w:cs="Arial"/>
                <w:lang w:val="en-IN"/>
              </w:rPr>
            </w:pPr>
            <w:r>
              <w:rPr>
                <w:rFonts w:ascii="Arial" w:hAnsi="Arial" w:cs="Arial"/>
                <w:lang w:val="en-IN"/>
              </w:rPr>
              <w:t>3yr 7m</w:t>
            </w:r>
          </w:p>
        </w:tc>
      </w:tr>
      <w:tr w:rsidR="009D4E2F" w14:paraId="10D0F65B" w14:textId="77777777">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tcPr>
          <w:p w14:paraId="6FF122CD"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Best: Project C (fastest payback)</w:t>
            </w:r>
          </w:p>
        </w:tc>
      </w:tr>
      <w:tr w:rsidR="009D4E2F" w14:paraId="014B2565" w14:textId="77777777">
        <w:trPr>
          <w:trHeight w:val="288"/>
        </w:trPr>
        <w:tc>
          <w:tcPr>
            <w:tcW w:w="881" w:type="pct"/>
            <w:tcBorders>
              <w:top w:val="nil"/>
              <w:left w:val="nil"/>
              <w:bottom w:val="nil"/>
              <w:right w:val="nil"/>
            </w:tcBorders>
            <w:noWrap/>
            <w:vAlign w:val="bottom"/>
          </w:tcPr>
          <w:p w14:paraId="3B87B97B" w14:textId="77777777" w:rsidR="009D4E2F" w:rsidRDefault="009D4E2F">
            <w:pPr>
              <w:spacing w:after="0"/>
              <w:jc w:val="left"/>
              <w:rPr>
                <w:rFonts w:ascii="Arial" w:hAnsi="Arial" w:cs="Arial"/>
                <w:b/>
                <w:bCs/>
                <w:color w:val="FFFFFF"/>
                <w:lang w:val="en-IN"/>
              </w:rPr>
            </w:pPr>
          </w:p>
        </w:tc>
        <w:tc>
          <w:tcPr>
            <w:tcW w:w="545" w:type="pct"/>
            <w:tcBorders>
              <w:top w:val="nil"/>
              <w:left w:val="nil"/>
              <w:bottom w:val="nil"/>
              <w:right w:val="nil"/>
            </w:tcBorders>
            <w:noWrap/>
            <w:vAlign w:val="bottom"/>
          </w:tcPr>
          <w:p w14:paraId="60E374E7"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1108BE3A"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177677A9"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36D957E6"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4B0DF3A9"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714983D1"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2C52D892" w14:textId="77777777" w:rsidR="009D4E2F" w:rsidRDefault="009D4E2F">
            <w:pPr>
              <w:spacing w:after="0"/>
              <w:jc w:val="left"/>
              <w:rPr>
                <w:rFonts w:ascii="Arial" w:hAnsi="Arial" w:cs="Arial"/>
                <w:lang w:val="en-IN"/>
              </w:rPr>
            </w:pPr>
          </w:p>
        </w:tc>
      </w:tr>
      <w:tr w:rsidR="009D4E2F" w14:paraId="2FCC2838"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3AE64AB0"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2. Accounting Rate of Return (</w:t>
            </w:r>
            <w:proofErr w:type="gramStart"/>
            <w:r>
              <w:rPr>
                <w:rFonts w:ascii="Arial" w:hAnsi="Arial" w:cs="Arial"/>
                <w:b/>
                <w:bCs/>
                <w:color w:val="FFFFFF"/>
                <w:lang w:val="en-IN"/>
              </w:rPr>
              <w:t>ARR)  –</w:t>
            </w:r>
            <w:proofErr w:type="gramEnd"/>
            <w:r>
              <w:rPr>
                <w:rFonts w:ascii="Arial" w:hAnsi="Arial" w:cs="Arial"/>
                <w:b/>
                <w:bCs/>
                <w:color w:val="FFFFFF"/>
                <w:lang w:val="en-IN"/>
              </w:rPr>
              <w:t xml:space="preserve">  Straight-Line Depreciation to Zero</w:t>
            </w:r>
          </w:p>
        </w:tc>
      </w:tr>
      <w:tr w:rsidR="009D4E2F" w14:paraId="6860A991"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462FA8F6" w14:textId="77777777" w:rsidR="009D4E2F" w:rsidRDefault="00314650">
            <w:pPr>
              <w:spacing w:after="0"/>
              <w:jc w:val="center"/>
              <w:rPr>
                <w:rFonts w:ascii="Arial" w:hAnsi="Arial" w:cs="Arial"/>
                <w:b/>
                <w:bCs/>
                <w:lang w:val="en-IN"/>
              </w:rPr>
            </w:pPr>
            <w:r>
              <w:rPr>
                <w:rFonts w:ascii="Arial" w:hAnsi="Arial" w:cs="Arial"/>
                <w:b/>
                <w:bCs/>
                <w:lang w:val="en-IN"/>
              </w:rPr>
              <w:t>Project</w:t>
            </w:r>
          </w:p>
        </w:tc>
        <w:tc>
          <w:tcPr>
            <w:tcW w:w="545" w:type="pct"/>
            <w:tcBorders>
              <w:top w:val="nil"/>
              <w:left w:val="nil"/>
              <w:bottom w:val="single" w:sz="4" w:space="0" w:color="auto"/>
              <w:right w:val="single" w:sz="4" w:space="0" w:color="auto"/>
            </w:tcBorders>
            <w:shd w:val="clear" w:color="D9E1F2" w:fill="BDD7EE"/>
            <w:noWrap/>
            <w:vAlign w:val="center"/>
          </w:tcPr>
          <w:p w14:paraId="2D71BD2F" w14:textId="77777777" w:rsidR="009D4E2F" w:rsidRDefault="00314650">
            <w:pPr>
              <w:spacing w:after="0"/>
              <w:jc w:val="center"/>
              <w:rPr>
                <w:rFonts w:ascii="Arial" w:hAnsi="Arial" w:cs="Arial"/>
                <w:b/>
                <w:bCs/>
                <w:lang w:val="en-IN"/>
              </w:rPr>
            </w:pPr>
            <w:r>
              <w:rPr>
                <w:rFonts w:ascii="Arial" w:hAnsi="Arial" w:cs="Arial"/>
                <w:b/>
                <w:bCs/>
                <w:lang w:val="en-IN"/>
              </w:rPr>
              <w:t>Initial Inv.</w:t>
            </w:r>
          </w:p>
        </w:tc>
        <w:tc>
          <w:tcPr>
            <w:tcW w:w="751" w:type="pct"/>
            <w:tcBorders>
              <w:top w:val="nil"/>
              <w:left w:val="nil"/>
              <w:bottom w:val="single" w:sz="4" w:space="0" w:color="auto"/>
              <w:right w:val="single" w:sz="4" w:space="0" w:color="auto"/>
            </w:tcBorders>
            <w:shd w:val="clear" w:color="D9E1F2" w:fill="BDD7EE"/>
            <w:noWrap/>
            <w:vAlign w:val="center"/>
          </w:tcPr>
          <w:p w14:paraId="7F73896A" w14:textId="77777777" w:rsidR="009D4E2F" w:rsidRDefault="00314650">
            <w:pPr>
              <w:spacing w:after="0"/>
              <w:jc w:val="center"/>
              <w:rPr>
                <w:rFonts w:ascii="Arial" w:hAnsi="Arial" w:cs="Arial"/>
                <w:b/>
                <w:bCs/>
                <w:lang w:val="en-IN"/>
              </w:rPr>
            </w:pPr>
            <w:r>
              <w:rPr>
                <w:rFonts w:ascii="Arial" w:hAnsi="Arial" w:cs="Arial"/>
                <w:b/>
                <w:bCs/>
                <w:lang w:val="en-IN"/>
              </w:rPr>
              <w:t>Annual Dep.</w:t>
            </w:r>
          </w:p>
        </w:tc>
        <w:tc>
          <w:tcPr>
            <w:tcW w:w="485" w:type="pct"/>
            <w:tcBorders>
              <w:top w:val="nil"/>
              <w:left w:val="nil"/>
              <w:bottom w:val="single" w:sz="4" w:space="0" w:color="auto"/>
              <w:right w:val="single" w:sz="4" w:space="0" w:color="auto"/>
            </w:tcBorders>
            <w:shd w:val="clear" w:color="D9E1F2" w:fill="BDD7EE"/>
            <w:noWrap/>
            <w:vAlign w:val="center"/>
          </w:tcPr>
          <w:p w14:paraId="0E6BA371" w14:textId="77777777" w:rsidR="009D4E2F" w:rsidRDefault="00314650">
            <w:pPr>
              <w:spacing w:after="0"/>
              <w:jc w:val="center"/>
              <w:rPr>
                <w:rFonts w:ascii="Arial" w:hAnsi="Arial" w:cs="Arial"/>
                <w:b/>
                <w:bCs/>
                <w:lang w:val="en-IN"/>
              </w:rPr>
            </w:pPr>
            <w:r>
              <w:rPr>
                <w:rFonts w:ascii="Arial" w:hAnsi="Arial" w:cs="Arial"/>
                <w:b/>
                <w:bCs/>
                <w:lang w:val="en-IN"/>
              </w:rPr>
              <w:t>Total CF</w:t>
            </w:r>
          </w:p>
        </w:tc>
        <w:tc>
          <w:tcPr>
            <w:tcW w:w="485" w:type="pct"/>
            <w:tcBorders>
              <w:top w:val="nil"/>
              <w:left w:val="nil"/>
              <w:bottom w:val="single" w:sz="4" w:space="0" w:color="auto"/>
              <w:right w:val="single" w:sz="4" w:space="0" w:color="auto"/>
            </w:tcBorders>
            <w:shd w:val="clear" w:color="D9E1F2" w:fill="BDD7EE"/>
            <w:noWrap/>
            <w:vAlign w:val="center"/>
          </w:tcPr>
          <w:p w14:paraId="5269EA4F" w14:textId="77777777" w:rsidR="009D4E2F" w:rsidRDefault="00314650">
            <w:pPr>
              <w:spacing w:after="0"/>
              <w:jc w:val="center"/>
              <w:rPr>
                <w:rFonts w:ascii="Arial" w:hAnsi="Arial" w:cs="Arial"/>
                <w:b/>
                <w:bCs/>
                <w:lang w:val="en-IN"/>
              </w:rPr>
            </w:pPr>
            <w:r>
              <w:rPr>
                <w:rFonts w:ascii="Arial" w:hAnsi="Arial" w:cs="Arial"/>
                <w:b/>
                <w:bCs/>
                <w:lang w:val="en-IN"/>
              </w:rPr>
              <w:t>Total Profit</w:t>
            </w:r>
          </w:p>
        </w:tc>
        <w:tc>
          <w:tcPr>
            <w:tcW w:w="709" w:type="pct"/>
            <w:tcBorders>
              <w:top w:val="nil"/>
              <w:left w:val="nil"/>
              <w:bottom w:val="single" w:sz="4" w:space="0" w:color="auto"/>
              <w:right w:val="single" w:sz="4" w:space="0" w:color="auto"/>
            </w:tcBorders>
            <w:shd w:val="clear" w:color="D9E1F2" w:fill="BDD7EE"/>
            <w:noWrap/>
            <w:vAlign w:val="center"/>
          </w:tcPr>
          <w:p w14:paraId="444EC4BF" w14:textId="77777777" w:rsidR="009D4E2F" w:rsidRDefault="00314650">
            <w:pPr>
              <w:spacing w:after="0"/>
              <w:jc w:val="center"/>
              <w:rPr>
                <w:rFonts w:ascii="Arial" w:hAnsi="Arial" w:cs="Arial"/>
                <w:b/>
                <w:bCs/>
                <w:lang w:val="en-IN"/>
              </w:rPr>
            </w:pPr>
            <w:proofErr w:type="spellStart"/>
            <w:r>
              <w:rPr>
                <w:rFonts w:ascii="Arial" w:hAnsi="Arial" w:cs="Arial"/>
                <w:b/>
                <w:bCs/>
                <w:lang w:val="en-IN"/>
              </w:rPr>
              <w:t>Avg</w:t>
            </w:r>
            <w:proofErr w:type="spellEnd"/>
            <w:r>
              <w:rPr>
                <w:rFonts w:ascii="Arial" w:hAnsi="Arial" w:cs="Arial"/>
                <w:b/>
                <w:bCs/>
                <w:lang w:val="en-IN"/>
              </w:rPr>
              <w:t xml:space="preserve"> Annual Profit</w:t>
            </w:r>
          </w:p>
        </w:tc>
        <w:tc>
          <w:tcPr>
            <w:tcW w:w="627" w:type="pct"/>
            <w:tcBorders>
              <w:top w:val="nil"/>
              <w:left w:val="nil"/>
              <w:bottom w:val="single" w:sz="4" w:space="0" w:color="auto"/>
              <w:right w:val="single" w:sz="4" w:space="0" w:color="auto"/>
            </w:tcBorders>
            <w:shd w:val="clear" w:color="D9E1F2" w:fill="BDD7EE"/>
            <w:noWrap/>
            <w:vAlign w:val="center"/>
          </w:tcPr>
          <w:p w14:paraId="1CDEAA62" w14:textId="77777777" w:rsidR="009D4E2F" w:rsidRDefault="00314650">
            <w:pPr>
              <w:spacing w:after="0"/>
              <w:jc w:val="center"/>
              <w:rPr>
                <w:rFonts w:ascii="Arial" w:hAnsi="Arial" w:cs="Arial"/>
                <w:b/>
                <w:bCs/>
                <w:lang w:val="en-IN"/>
              </w:rPr>
            </w:pPr>
            <w:proofErr w:type="spellStart"/>
            <w:r>
              <w:rPr>
                <w:rFonts w:ascii="Arial" w:hAnsi="Arial" w:cs="Arial"/>
                <w:b/>
                <w:bCs/>
                <w:lang w:val="en-IN"/>
              </w:rPr>
              <w:t>Avg</w:t>
            </w:r>
            <w:proofErr w:type="spellEnd"/>
            <w:r>
              <w:rPr>
                <w:rFonts w:ascii="Arial" w:hAnsi="Arial" w:cs="Arial"/>
                <w:b/>
                <w:bCs/>
                <w:lang w:val="en-IN"/>
              </w:rPr>
              <w:t xml:space="preserve"> Investment</w:t>
            </w:r>
          </w:p>
        </w:tc>
        <w:tc>
          <w:tcPr>
            <w:tcW w:w="517" w:type="pct"/>
            <w:tcBorders>
              <w:top w:val="nil"/>
              <w:left w:val="nil"/>
              <w:bottom w:val="single" w:sz="4" w:space="0" w:color="auto"/>
              <w:right w:val="single" w:sz="4" w:space="0" w:color="auto"/>
            </w:tcBorders>
            <w:shd w:val="clear" w:color="D9E1F2" w:fill="BDD7EE"/>
            <w:noWrap/>
            <w:vAlign w:val="center"/>
          </w:tcPr>
          <w:p w14:paraId="253B20A9" w14:textId="77777777" w:rsidR="009D4E2F" w:rsidRDefault="00314650">
            <w:pPr>
              <w:spacing w:after="0"/>
              <w:jc w:val="center"/>
              <w:rPr>
                <w:rFonts w:ascii="Arial" w:hAnsi="Arial" w:cs="Arial"/>
                <w:b/>
                <w:bCs/>
                <w:lang w:val="en-IN"/>
              </w:rPr>
            </w:pPr>
            <w:r>
              <w:rPr>
                <w:rFonts w:ascii="Arial" w:hAnsi="Arial" w:cs="Arial"/>
                <w:b/>
                <w:bCs/>
                <w:lang w:val="en-IN"/>
              </w:rPr>
              <w:t>ARR (%)</w:t>
            </w:r>
          </w:p>
        </w:tc>
      </w:tr>
      <w:tr w:rsidR="009D4E2F" w14:paraId="00043EF7"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5F560607"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02321908"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56F6FD41" w14:textId="77777777" w:rsidR="009D4E2F" w:rsidRDefault="00314650">
            <w:pPr>
              <w:spacing w:after="0"/>
              <w:jc w:val="center"/>
              <w:rPr>
                <w:rFonts w:ascii="Arial" w:hAnsi="Arial" w:cs="Arial"/>
                <w:lang w:val="en-IN"/>
              </w:rPr>
            </w:pPr>
            <w:r>
              <w:rPr>
                <w:rFonts w:ascii="Arial" w:hAnsi="Arial" w:cs="Arial"/>
                <w:lang w:val="en-IN"/>
              </w:rPr>
              <w:t>£10.0</w:t>
            </w:r>
          </w:p>
        </w:tc>
        <w:tc>
          <w:tcPr>
            <w:tcW w:w="485" w:type="pct"/>
            <w:tcBorders>
              <w:top w:val="nil"/>
              <w:left w:val="nil"/>
              <w:bottom w:val="single" w:sz="4" w:space="0" w:color="auto"/>
              <w:right w:val="single" w:sz="4" w:space="0" w:color="auto"/>
            </w:tcBorders>
            <w:shd w:val="clear" w:color="D9E1F2" w:fill="DEEAF1"/>
            <w:noWrap/>
            <w:vAlign w:val="center"/>
          </w:tcPr>
          <w:p w14:paraId="5C5E8D0B" w14:textId="77777777" w:rsidR="009D4E2F" w:rsidRDefault="00314650">
            <w:pPr>
              <w:spacing w:after="0"/>
              <w:jc w:val="center"/>
              <w:rPr>
                <w:rFonts w:ascii="Arial" w:hAnsi="Arial" w:cs="Arial"/>
                <w:lang w:val="en-IN"/>
              </w:rPr>
            </w:pPr>
            <w:r>
              <w:rPr>
                <w:rFonts w:ascii="Arial" w:hAnsi="Arial" w:cs="Arial"/>
                <w:lang w:val="en-IN"/>
              </w:rPr>
              <w:t>£50.0</w:t>
            </w:r>
          </w:p>
        </w:tc>
        <w:tc>
          <w:tcPr>
            <w:tcW w:w="485" w:type="pct"/>
            <w:tcBorders>
              <w:top w:val="nil"/>
              <w:left w:val="nil"/>
              <w:bottom w:val="single" w:sz="4" w:space="0" w:color="auto"/>
              <w:right w:val="single" w:sz="4" w:space="0" w:color="auto"/>
            </w:tcBorders>
            <w:shd w:val="clear" w:color="D9E1F2" w:fill="DEEAF1"/>
            <w:noWrap/>
            <w:vAlign w:val="center"/>
          </w:tcPr>
          <w:p w14:paraId="3255B517" w14:textId="77777777" w:rsidR="009D4E2F" w:rsidRDefault="00314650">
            <w:pPr>
              <w:spacing w:after="0"/>
              <w:jc w:val="center"/>
              <w:rPr>
                <w:rFonts w:ascii="Arial" w:hAnsi="Arial" w:cs="Arial"/>
                <w:lang w:val="en-IN"/>
              </w:rPr>
            </w:pPr>
            <w:r>
              <w:rPr>
                <w:rFonts w:ascii="Arial" w:hAnsi="Arial" w:cs="Arial"/>
                <w:lang w:val="en-IN"/>
              </w:rPr>
              <w:t>£0.0</w:t>
            </w:r>
          </w:p>
        </w:tc>
        <w:tc>
          <w:tcPr>
            <w:tcW w:w="709" w:type="pct"/>
            <w:tcBorders>
              <w:top w:val="nil"/>
              <w:left w:val="nil"/>
              <w:bottom w:val="single" w:sz="4" w:space="0" w:color="auto"/>
              <w:right w:val="single" w:sz="4" w:space="0" w:color="auto"/>
            </w:tcBorders>
            <w:shd w:val="clear" w:color="D9E1F2" w:fill="DEEAF1"/>
            <w:noWrap/>
            <w:vAlign w:val="center"/>
          </w:tcPr>
          <w:p w14:paraId="1D1101E2" w14:textId="77777777" w:rsidR="009D4E2F" w:rsidRDefault="00314650">
            <w:pPr>
              <w:spacing w:after="0"/>
              <w:jc w:val="center"/>
              <w:rPr>
                <w:rFonts w:ascii="Arial" w:hAnsi="Arial" w:cs="Arial"/>
                <w:lang w:val="en-IN"/>
              </w:rPr>
            </w:pPr>
            <w:r>
              <w:rPr>
                <w:rFonts w:ascii="Arial" w:hAnsi="Arial" w:cs="Arial"/>
                <w:lang w:val="en-IN"/>
              </w:rPr>
              <w:t>£0.0</w:t>
            </w:r>
          </w:p>
        </w:tc>
        <w:tc>
          <w:tcPr>
            <w:tcW w:w="627" w:type="pct"/>
            <w:tcBorders>
              <w:top w:val="nil"/>
              <w:left w:val="nil"/>
              <w:bottom w:val="single" w:sz="4" w:space="0" w:color="auto"/>
              <w:right w:val="single" w:sz="4" w:space="0" w:color="auto"/>
            </w:tcBorders>
            <w:shd w:val="clear" w:color="D9E1F2" w:fill="DEEAF1"/>
            <w:noWrap/>
            <w:vAlign w:val="center"/>
          </w:tcPr>
          <w:p w14:paraId="3081FC5E" w14:textId="77777777" w:rsidR="009D4E2F" w:rsidRDefault="00314650">
            <w:pPr>
              <w:spacing w:after="0"/>
              <w:jc w:val="center"/>
              <w:rPr>
                <w:rFonts w:ascii="Arial" w:hAnsi="Arial" w:cs="Arial"/>
                <w:lang w:val="en-IN"/>
              </w:rPr>
            </w:pPr>
            <w:r>
              <w:rPr>
                <w:rFonts w:ascii="Arial" w:hAnsi="Arial" w:cs="Arial"/>
                <w:lang w:val="en-IN"/>
              </w:rPr>
              <w:t>£25.0</w:t>
            </w:r>
          </w:p>
        </w:tc>
        <w:tc>
          <w:tcPr>
            <w:tcW w:w="517" w:type="pct"/>
            <w:tcBorders>
              <w:top w:val="nil"/>
              <w:left w:val="nil"/>
              <w:bottom w:val="single" w:sz="4" w:space="0" w:color="auto"/>
              <w:right w:val="single" w:sz="4" w:space="0" w:color="auto"/>
            </w:tcBorders>
            <w:shd w:val="clear" w:color="D9E1F2" w:fill="DEEAF1"/>
            <w:noWrap/>
            <w:vAlign w:val="center"/>
          </w:tcPr>
          <w:p w14:paraId="05BB5DA5" w14:textId="77777777" w:rsidR="009D4E2F" w:rsidRDefault="00314650">
            <w:pPr>
              <w:spacing w:after="0"/>
              <w:jc w:val="center"/>
              <w:rPr>
                <w:rFonts w:ascii="Arial" w:hAnsi="Arial" w:cs="Arial"/>
                <w:lang w:val="en-IN"/>
              </w:rPr>
            </w:pPr>
            <w:r>
              <w:rPr>
                <w:rFonts w:ascii="Arial" w:hAnsi="Arial" w:cs="Arial"/>
                <w:lang w:val="en-IN"/>
              </w:rPr>
              <w:t>3.20%</w:t>
            </w:r>
          </w:p>
        </w:tc>
      </w:tr>
      <w:tr w:rsidR="009D4E2F" w14:paraId="2177086F"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3DF029CD"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F2F2F2" w:fill="FFFFFF"/>
            <w:noWrap/>
            <w:vAlign w:val="center"/>
          </w:tcPr>
          <w:p w14:paraId="41806D6C"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F2F2F2" w:fill="FFFFFF"/>
            <w:noWrap/>
            <w:vAlign w:val="center"/>
          </w:tcPr>
          <w:p w14:paraId="76F2A8AA" w14:textId="77777777" w:rsidR="009D4E2F" w:rsidRDefault="00314650">
            <w:pPr>
              <w:spacing w:after="0"/>
              <w:jc w:val="center"/>
              <w:rPr>
                <w:rFonts w:ascii="Arial" w:hAnsi="Arial" w:cs="Arial"/>
                <w:lang w:val="en-IN"/>
              </w:rPr>
            </w:pPr>
            <w:r>
              <w:rPr>
                <w:rFonts w:ascii="Arial" w:hAnsi="Arial" w:cs="Arial"/>
                <w:lang w:val="en-IN"/>
              </w:rPr>
              <w:t>£10.0</w:t>
            </w:r>
          </w:p>
        </w:tc>
        <w:tc>
          <w:tcPr>
            <w:tcW w:w="485" w:type="pct"/>
            <w:tcBorders>
              <w:top w:val="nil"/>
              <w:left w:val="nil"/>
              <w:bottom w:val="single" w:sz="4" w:space="0" w:color="auto"/>
              <w:right w:val="single" w:sz="4" w:space="0" w:color="auto"/>
            </w:tcBorders>
            <w:shd w:val="clear" w:color="F2F2F2" w:fill="FFFFFF"/>
            <w:noWrap/>
            <w:vAlign w:val="center"/>
          </w:tcPr>
          <w:p w14:paraId="563D7931" w14:textId="77777777" w:rsidR="009D4E2F" w:rsidRDefault="00314650">
            <w:pPr>
              <w:spacing w:after="0"/>
              <w:jc w:val="center"/>
              <w:rPr>
                <w:rFonts w:ascii="Arial" w:hAnsi="Arial" w:cs="Arial"/>
                <w:lang w:val="en-IN"/>
              </w:rPr>
            </w:pPr>
            <w:r>
              <w:rPr>
                <w:rFonts w:ascii="Arial" w:hAnsi="Arial" w:cs="Arial"/>
                <w:lang w:val="en-IN"/>
              </w:rPr>
              <w:t>£55.0</w:t>
            </w:r>
          </w:p>
        </w:tc>
        <w:tc>
          <w:tcPr>
            <w:tcW w:w="485" w:type="pct"/>
            <w:tcBorders>
              <w:top w:val="nil"/>
              <w:left w:val="nil"/>
              <w:bottom w:val="single" w:sz="4" w:space="0" w:color="auto"/>
              <w:right w:val="single" w:sz="4" w:space="0" w:color="auto"/>
            </w:tcBorders>
            <w:shd w:val="clear" w:color="F2F2F2" w:fill="FFFFFF"/>
            <w:noWrap/>
            <w:vAlign w:val="center"/>
          </w:tcPr>
          <w:p w14:paraId="0F5F3B53" w14:textId="77777777" w:rsidR="009D4E2F" w:rsidRDefault="00314650">
            <w:pPr>
              <w:spacing w:after="0"/>
              <w:jc w:val="center"/>
              <w:rPr>
                <w:rFonts w:ascii="Arial" w:hAnsi="Arial" w:cs="Arial"/>
                <w:lang w:val="en-IN"/>
              </w:rPr>
            </w:pPr>
            <w:r>
              <w:rPr>
                <w:rFonts w:ascii="Arial" w:hAnsi="Arial" w:cs="Arial"/>
                <w:lang w:val="en-IN"/>
              </w:rPr>
              <w:t>£5.0</w:t>
            </w:r>
          </w:p>
        </w:tc>
        <w:tc>
          <w:tcPr>
            <w:tcW w:w="709" w:type="pct"/>
            <w:tcBorders>
              <w:top w:val="nil"/>
              <w:left w:val="nil"/>
              <w:bottom w:val="single" w:sz="4" w:space="0" w:color="auto"/>
              <w:right w:val="single" w:sz="4" w:space="0" w:color="auto"/>
            </w:tcBorders>
            <w:shd w:val="clear" w:color="F2F2F2" w:fill="FFFFFF"/>
            <w:noWrap/>
            <w:vAlign w:val="center"/>
          </w:tcPr>
          <w:p w14:paraId="53738F8E" w14:textId="77777777" w:rsidR="009D4E2F" w:rsidRDefault="00314650">
            <w:pPr>
              <w:spacing w:after="0"/>
              <w:jc w:val="center"/>
              <w:rPr>
                <w:rFonts w:ascii="Arial" w:hAnsi="Arial" w:cs="Arial"/>
                <w:lang w:val="en-IN"/>
              </w:rPr>
            </w:pPr>
            <w:r>
              <w:rPr>
                <w:rFonts w:ascii="Arial" w:hAnsi="Arial" w:cs="Arial"/>
                <w:lang w:val="en-IN"/>
              </w:rPr>
              <w:t>£1.0</w:t>
            </w:r>
          </w:p>
        </w:tc>
        <w:tc>
          <w:tcPr>
            <w:tcW w:w="627" w:type="pct"/>
            <w:tcBorders>
              <w:top w:val="nil"/>
              <w:left w:val="nil"/>
              <w:bottom w:val="single" w:sz="4" w:space="0" w:color="auto"/>
              <w:right w:val="single" w:sz="4" w:space="0" w:color="auto"/>
            </w:tcBorders>
            <w:shd w:val="clear" w:color="F2F2F2" w:fill="FFFFFF"/>
            <w:noWrap/>
            <w:vAlign w:val="center"/>
          </w:tcPr>
          <w:p w14:paraId="13572177" w14:textId="77777777" w:rsidR="009D4E2F" w:rsidRDefault="00314650">
            <w:pPr>
              <w:spacing w:after="0"/>
              <w:jc w:val="center"/>
              <w:rPr>
                <w:rFonts w:ascii="Arial" w:hAnsi="Arial" w:cs="Arial"/>
                <w:lang w:val="en-IN"/>
              </w:rPr>
            </w:pPr>
            <w:r>
              <w:rPr>
                <w:rFonts w:ascii="Arial" w:hAnsi="Arial" w:cs="Arial"/>
                <w:lang w:val="en-IN"/>
              </w:rPr>
              <w:t>£25.0</w:t>
            </w:r>
          </w:p>
        </w:tc>
        <w:tc>
          <w:tcPr>
            <w:tcW w:w="517" w:type="pct"/>
            <w:tcBorders>
              <w:top w:val="nil"/>
              <w:left w:val="nil"/>
              <w:bottom w:val="single" w:sz="4" w:space="0" w:color="auto"/>
              <w:right w:val="single" w:sz="4" w:space="0" w:color="auto"/>
            </w:tcBorders>
            <w:shd w:val="clear" w:color="F2F2F2" w:fill="FFFFFF"/>
            <w:noWrap/>
            <w:vAlign w:val="center"/>
          </w:tcPr>
          <w:p w14:paraId="10AB94C5" w14:textId="77777777" w:rsidR="009D4E2F" w:rsidRDefault="00314650">
            <w:pPr>
              <w:spacing w:after="0"/>
              <w:jc w:val="center"/>
              <w:rPr>
                <w:rFonts w:ascii="Arial" w:hAnsi="Arial" w:cs="Arial"/>
                <w:lang w:val="en-IN"/>
              </w:rPr>
            </w:pPr>
            <w:r>
              <w:rPr>
                <w:rFonts w:ascii="Arial" w:hAnsi="Arial" w:cs="Arial"/>
                <w:lang w:val="en-IN"/>
              </w:rPr>
              <w:t>4.00%</w:t>
            </w:r>
          </w:p>
        </w:tc>
      </w:tr>
      <w:tr w:rsidR="009D4E2F" w14:paraId="4C5F67D5"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6E8B4D02" w14:textId="77777777" w:rsidR="009D4E2F" w:rsidRDefault="00314650">
            <w:pPr>
              <w:spacing w:after="0"/>
              <w:jc w:val="left"/>
              <w:rPr>
                <w:rFonts w:ascii="Arial" w:hAnsi="Arial" w:cs="Arial"/>
                <w:lang w:val="en-IN"/>
              </w:rPr>
            </w:pPr>
            <w:r>
              <w:rPr>
                <w:rFonts w:ascii="Arial" w:hAnsi="Arial" w:cs="Arial"/>
                <w:lang w:val="en-IN"/>
              </w:rPr>
              <w:t>Project C</w:t>
            </w:r>
          </w:p>
        </w:tc>
        <w:tc>
          <w:tcPr>
            <w:tcW w:w="545" w:type="pct"/>
            <w:tcBorders>
              <w:top w:val="nil"/>
              <w:left w:val="nil"/>
              <w:bottom w:val="single" w:sz="4" w:space="0" w:color="auto"/>
              <w:right w:val="single" w:sz="4" w:space="0" w:color="auto"/>
            </w:tcBorders>
            <w:shd w:val="clear" w:color="D9E1F2" w:fill="DEEAF1"/>
            <w:noWrap/>
            <w:vAlign w:val="center"/>
          </w:tcPr>
          <w:p w14:paraId="711638E4"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7C9163B5" w14:textId="77777777" w:rsidR="009D4E2F" w:rsidRDefault="00314650">
            <w:pPr>
              <w:spacing w:after="0"/>
              <w:jc w:val="center"/>
              <w:rPr>
                <w:rFonts w:ascii="Arial" w:hAnsi="Arial" w:cs="Arial"/>
                <w:lang w:val="en-IN"/>
              </w:rPr>
            </w:pPr>
            <w:r>
              <w:rPr>
                <w:rFonts w:ascii="Arial" w:hAnsi="Arial" w:cs="Arial"/>
                <w:lang w:val="en-IN"/>
              </w:rPr>
              <w:t>£10.0</w:t>
            </w:r>
          </w:p>
        </w:tc>
        <w:tc>
          <w:tcPr>
            <w:tcW w:w="485" w:type="pct"/>
            <w:tcBorders>
              <w:top w:val="nil"/>
              <w:left w:val="nil"/>
              <w:bottom w:val="single" w:sz="4" w:space="0" w:color="auto"/>
              <w:right w:val="single" w:sz="4" w:space="0" w:color="auto"/>
            </w:tcBorders>
            <w:shd w:val="clear" w:color="D9E1F2" w:fill="DEEAF1"/>
            <w:noWrap/>
            <w:vAlign w:val="center"/>
          </w:tcPr>
          <w:p w14:paraId="70AB11B5" w14:textId="77777777" w:rsidR="009D4E2F" w:rsidRDefault="00314650">
            <w:pPr>
              <w:spacing w:after="0"/>
              <w:jc w:val="center"/>
              <w:rPr>
                <w:rFonts w:ascii="Arial" w:hAnsi="Arial" w:cs="Arial"/>
                <w:lang w:val="en-IN"/>
              </w:rPr>
            </w:pPr>
            <w:r>
              <w:rPr>
                <w:rFonts w:ascii="Arial" w:hAnsi="Arial" w:cs="Arial"/>
                <w:lang w:val="en-IN"/>
              </w:rPr>
              <w:t>£63.0</w:t>
            </w:r>
          </w:p>
        </w:tc>
        <w:tc>
          <w:tcPr>
            <w:tcW w:w="485" w:type="pct"/>
            <w:tcBorders>
              <w:top w:val="nil"/>
              <w:left w:val="nil"/>
              <w:bottom w:val="single" w:sz="4" w:space="0" w:color="auto"/>
              <w:right w:val="single" w:sz="4" w:space="0" w:color="auto"/>
            </w:tcBorders>
            <w:shd w:val="clear" w:color="D9E1F2" w:fill="DEEAF1"/>
            <w:noWrap/>
            <w:vAlign w:val="center"/>
          </w:tcPr>
          <w:p w14:paraId="6DD34FCD" w14:textId="77777777" w:rsidR="009D4E2F" w:rsidRDefault="00314650">
            <w:pPr>
              <w:spacing w:after="0"/>
              <w:jc w:val="center"/>
              <w:rPr>
                <w:rFonts w:ascii="Arial" w:hAnsi="Arial" w:cs="Arial"/>
                <w:lang w:val="en-IN"/>
              </w:rPr>
            </w:pPr>
            <w:r>
              <w:rPr>
                <w:rFonts w:ascii="Arial" w:hAnsi="Arial" w:cs="Arial"/>
                <w:lang w:val="en-IN"/>
              </w:rPr>
              <w:t>£13.0</w:t>
            </w:r>
          </w:p>
        </w:tc>
        <w:tc>
          <w:tcPr>
            <w:tcW w:w="709" w:type="pct"/>
            <w:tcBorders>
              <w:top w:val="nil"/>
              <w:left w:val="nil"/>
              <w:bottom w:val="single" w:sz="4" w:space="0" w:color="auto"/>
              <w:right w:val="single" w:sz="4" w:space="0" w:color="auto"/>
            </w:tcBorders>
            <w:shd w:val="clear" w:color="D9E1F2" w:fill="DEEAF1"/>
            <w:noWrap/>
            <w:vAlign w:val="center"/>
          </w:tcPr>
          <w:p w14:paraId="5EA95FD6" w14:textId="77777777" w:rsidR="009D4E2F" w:rsidRDefault="00314650">
            <w:pPr>
              <w:spacing w:after="0"/>
              <w:jc w:val="center"/>
              <w:rPr>
                <w:rFonts w:ascii="Arial" w:hAnsi="Arial" w:cs="Arial"/>
                <w:lang w:val="en-IN"/>
              </w:rPr>
            </w:pPr>
            <w:r>
              <w:rPr>
                <w:rFonts w:ascii="Arial" w:hAnsi="Arial" w:cs="Arial"/>
                <w:lang w:val="en-IN"/>
              </w:rPr>
              <w:t>£2.6</w:t>
            </w:r>
          </w:p>
        </w:tc>
        <w:tc>
          <w:tcPr>
            <w:tcW w:w="627" w:type="pct"/>
            <w:tcBorders>
              <w:top w:val="nil"/>
              <w:left w:val="nil"/>
              <w:bottom w:val="single" w:sz="4" w:space="0" w:color="auto"/>
              <w:right w:val="single" w:sz="4" w:space="0" w:color="auto"/>
            </w:tcBorders>
            <w:shd w:val="clear" w:color="D9E1F2" w:fill="DEEAF1"/>
            <w:noWrap/>
            <w:vAlign w:val="center"/>
          </w:tcPr>
          <w:p w14:paraId="22CE7208" w14:textId="77777777" w:rsidR="009D4E2F" w:rsidRDefault="00314650">
            <w:pPr>
              <w:spacing w:after="0"/>
              <w:jc w:val="center"/>
              <w:rPr>
                <w:rFonts w:ascii="Arial" w:hAnsi="Arial" w:cs="Arial"/>
                <w:lang w:val="en-IN"/>
              </w:rPr>
            </w:pPr>
            <w:r>
              <w:rPr>
                <w:rFonts w:ascii="Arial" w:hAnsi="Arial" w:cs="Arial"/>
                <w:lang w:val="en-IN"/>
              </w:rPr>
              <w:t>£25.0</w:t>
            </w:r>
          </w:p>
        </w:tc>
        <w:tc>
          <w:tcPr>
            <w:tcW w:w="517" w:type="pct"/>
            <w:tcBorders>
              <w:top w:val="nil"/>
              <w:left w:val="nil"/>
              <w:bottom w:val="single" w:sz="4" w:space="0" w:color="auto"/>
              <w:right w:val="single" w:sz="4" w:space="0" w:color="auto"/>
            </w:tcBorders>
            <w:shd w:val="clear" w:color="D9E1F2" w:fill="DEEAF1"/>
            <w:noWrap/>
            <w:vAlign w:val="center"/>
          </w:tcPr>
          <w:p w14:paraId="64F955DA" w14:textId="77777777" w:rsidR="009D4E2F" w:rsidRDefault="00314650">
            <w:pPr>
              <w:spacing w:after="0"/>
              <w:jc w:val="center"/>
              <w:rPr>
                <w:rFonts w:ascii="Arial" w:hAnsi="Arial" w:cs="Arial"/>
                <w:lang w:val="en-IN"/>
              </w:rPr>
            </w:pPr>
            <w:r>
              <w:rPr>
                <w:rFonts w:ascii="Arial" w:hAnsi="Arial" w:cs="Arial"/>
                <w:lang w:val="en-IN"/>
              </w:rPr>
              <w:t>10.40%</w:t>
            </w:r>
          </w:p>
        </w:tc>
      </w:tr>
      <w:tr w:rsidR="009D4E2F" w14:paraId="5F613C51" w14:textId="77777777">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tcPr>
          <w:p w14:paraId="031F35D7"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 xml:space="preserve"> Best: Project C (highest accounting return)</w:t>
            </w:r>
          </w:p>
        </w:tc>
      </w:tr>
      <w:tr w:rsidR="009D4E2F" w14:paraId="6BBD24F4" w14:textId="77777777">
        <w:trPr>
          <w:trHeight w:val="288"/>
        </w:trPr>
        <w:tc>
          <w:tcPr>
            <w:tcW w:w="881" w:type="pct"/>
            <w:tcBorders>
              <w:top w:val="nil"/>
              <w:left w:val="nil"/>
              <w:bottom w:val="nil"/>
              <w:right w:val="nil"/>
            </w:tcBorders>
            <w:noWrap/>
            <w:vAlign w:val="bottom"/>
          </w:tcPr>
          <w:p w14:paraId="3053C6A5" w14:textId="77777777" w:rsidR="009D4E2F" w:rsidRDefault="009D4E2F">
            <w:pPr>
              <w:spacing w:after="0"/>
              <w:jc w:val="left"/>
              <w:rPr>
                <w:rFonts w:ascii="Arial" w:hAnsi="Arial" w:cs="Arial"/>
                <w:b/>
                <w:bCs/>
                <w:color w:val="FFFFFF"/>
                <w:lang w:val="en-IN"/>
              </w:rPr>
            </w:pPr>
          </w:p>
        </w:tc>
        <w:tc>
          <w:tcPr>
            <w:tcW w:w="545" w:type="pct"/>
            <w:tcBorders>
              <w:top w:val="nil"/>
              <w:left w:val="nil"/>
              <w:bottom w:val="nil"/>
              <w:right w:val="nil"/>
            </w:tcBorders>
            <w:noWrap/>
            <w:vAlign w:val="bottom"/>
          </w:tcPr>
          <w:p w14:paraId="18F882E8"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10C2C564"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1B1B4F45"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01BCB78D"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3FDA5984"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36A8E6C3"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08A98E1A" w14:textId="77777777" w:rsidR="009D4E2F" w:rsidRDefault="009D4E2F">
            <w:pPr>
              <w:spacing w:after="0"/>
              <w:jc w:val="left"/>
              <w:rPr>
                <w:rFonts w:ascii="Arial" w:hAnsi="Arial" w:cs="Arial"/>
                <w:lang w:val="en-IN"/>
              </w:rPr>
            </w:pPr>
          </w:p>
        </w:tc>
      </w:tr>
      <w:tr w:rsidR="009D4E2F" w14:paraId="6C819CC9"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523F969B"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3. Net Present Value (</w:t>
            </w:r>
            <w:proofErr w:type="gramStart"/>
            <w:r>
              <w:rPr>
                <w:rFonts w:ascii="Arial" w:hAnsi="Arial" w:cs="Arial"/>
                <w:b/>
                <w:bCs/>
                <w:color w:val="FFFFFF"/>
                <w:lang w:val="en-IN"/>
              </w:rPr>
              <w:t>NPV)  –</w:t>
            </w:r>
            <w:proofErr w:type="gramEnd"/>
            <w:r>
              <w:rPr>
                <w:rFonts w:ascii="Arial" w:hAnsi="Arial" w:cs="Arial"/>
                <w:b/>
                <w:bCs/>
                <w:color w:val="FFFFFF"/>
                <w:lang w:val="en-IN"/>
              </w:rPr>
              <w:t xml:space="preserve">  Discount Rate: 8%</w:t>
            </w:r>
          </w:p>
        </w:tc>
      </w:tr>
      <w:tr w:rsidR="009D4E2F" w14:paraId="5636ACBD"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4368BB1D" w14:textId="77777777" w:rsidR="009D4E2F" w:rsidRDefault="00314650">
            <w:pPr>
              <w:spacing w:after="0"/>
              <w:jc w:val="center"/>
              <w:rPr>
                <w:rFonts w:ascii="Arial" w:hAnsi="Arial" w:cs="Arial"/>
                <w:b/>
                <w:bCs/>
                <w:lang w:val="en-IN"/>
              </w:rPr>
            </w:pPr>
            <w:r>
              <w:rPr>
                <w:rFonts w:ascii="Arial" w:hAnsi="Arial" w:cs="Arial"/>
                <w:b/>
                <w:bCs/>
                <w:lang w:val="en-IN"/>
              </w:rPr>
              <w:t>Project</w:t>
            </w:r>
          </w:p>
        </w:tc>
        <w:tc>
          <w:tcPr>
            <w:tcW w:w="545" w:type="pct"/>
            <w:tcBorders>
              <w:top w:val="nil"/>
              <w:left w:val="nil"/>
              <w:bottom w:val="single" w:sz="4" w:space="0" w:color="auto"/>
              <w:right w:val="single" w:sz="4" w:space="0" w:color="auto"/>
            </w:tcBorders>
            <w:shd w:val="clear" w:color="D9E1F2" w:fill="BDD7EE"/>
            <w:noWrap/>
            <w:vAlign w:val="center"/>
          </w:tcPr>
          <w:p w14:paraId="23DF1730" w14:textId="77777777" w:rsidR="009D4E2F" w:rsidRDefault="00314650">
            <w:pPr>
              <w:spacing w:after="0"/>
              <w:jc w:val="center"/>
              <w:rPr>
                <w:rFonts w:ascii="Arial" w:hAnsi="Arial" w:cs="Arial"/>
                <w:b/>
                <w:bCs/>
                <w:lang w:val="en-IN"/>
              </w:rPr>
            </w:pPr>
            <w:r>
              <w:rPr>
                <w:rFonts w:ascii="Arial" w:hAnsi="Arial" w:cs="Arial"/>
                <w:b/>
                <w:bCs/>
                <w:lang w:val="en-IN"/>
              </w:rPr>
              <w:t>Year 0</w:t>
            </w:r>
          </w:p>
        </w:tc>
        <w:tc>
          <w:tcPr>
            <w:tcW w:w="751" w:type="pct"/>
            <w:tcBorders>
              <w:top w:val="nil"/>
              <w:left w:val="nil"/>
              <w:bottom w:val="single" w:sz="4" w:space="0" w:color="auto"/>
              <w:right w:val="single" w:sz="4" w:space="0" w:color="auto"/>
            </w:tcBorders>
            <w:shd w:val="clear" w:color="D9E1F2" w:fill="BDD7EE"/>
            <w:noWrap/>
            <w:vAlign w:val="center"/>
          </w:tcPr>
          <w:p w14:paraId="40894323" w14:textId="77777777" w:rsidR="009D4E2F" w:rsidRDefault="00314650">
            <w:pPr>
              <w:spacing w:after="0"/>
              <w:jc w:val="center"/>
              <w:rPr>
                <w:rFonts w:ascii="Arial" w:hAnsi="Arial" w:cs="Arial"/>
                <w:b/>
                <w:bCs/>
                <w:lang w:val="en-IN"/>
              </w:rPr>
            </w:pPr>
            <w:r>
              <w:rPr>
                <w:rFonts w:ascii="Arial" w:hAnsi="Arial" w:cs="Arial"/>
                <w:b/>
                <w:bCs/>
                <w:lang w:val="en-IN"/>
              </w:rPr>
              <w:t>PV Year 1</w:t>
            </w:r>
          </w:p>
        </w:tc>
        <w:tc>
          <w:tcPr>
            <w:tcW w:w="485" w:type="pct"/>
            <w:tcBorders>
              <w:top w:val="nil"/>
              <w:left w:val="nil"/>
              <w:bottom w:val="single" w:sz="4" w:space="0" w:color="auto"/>
              <w:right w:val="single" w:sz="4" w:space="0" w:color="auto"/>
            </w:tcBorders>
            <w:shd w:val="clear" w:color="D9E1F2" w:fill="BDD7EE"/>
            <w:noWrap/>
            <w:vAlign w:val="center"/>
          </w:tcPr>
          <w:p w14:paraId="6CE1601E" w14:textId="77777777" w:rsidR="009D4E2F" w:rsidRDefault="00314650">
            <w:pPr>
              <w:spacing w:after="0"/>
              <w:jc w:val="center"/>
              <w:rPr>
                <w:rFonts w:ascii="Arial" w:hAnsi="Arial" w:cs="Arial"/>
                <w:b/>
                <w:bCs/>
                <w:lang w:val="en-IN"/>
              </w:rPr>
            </w:pPr>
            <w:r>
              <w:rPr>
                <w:rFonts w:ascii="Arial" w:hAnsi="Arial" w:cs="Arial"/>
                <w:b/>
                <w:bCs/>
                <w:lang w:val="en-IN"/>
              </w:rPr>
              <w:t>PV Year 2</w:t>
            </w:r>
          </w:p>
        </w:tc>
        <w:tc>
          <w:tcPr>
            <w:tcW w:w="485" w:type="pct"/>
            <w:tcBorders>
              <w:top w:val="nil"/>
              <w:left w:val="nil"/>
              <w:bottom w:val="single" w:sz="4" w:space="0" w:color="auto"/>
              <w:right w:val="single" w:sz="4" w:space="0" w:color="auto"/>
            </w:tcBorders>
            <w:shd w:val="clear" w:color="D9E1F2" w:fill="BDD7EE"/>
            <w:noWrap/>
            <w:vAlign w:val="center"/>
          </w:tcPr>
          <w:p w14:paraId="1D3146E7" w14:textId="77777777" w:rsidR="009D4E2F" w:rsidRDefault="00314650">
            <w:pPr>
              <w:spacing w:after="0"/>
              <w:jc w:val="center"/>
              <w:rPr>
                <w:rFonts w:ascii="Arial" w:hAnsi="Arial" w:cs="Arial"/>
                <w:b/>
                <w:bCs/>
                <w:lang w:val="en-IN"/>
              </w:rPr>
            </w:pPr>
            <w:r>
              <w:rPr>
                <w:rFonts w:ascii="Arial" w:hAnsi="Arial" w:cs="Arial"/>
                <w:b/>
                <w:bCs/>
                <w:lang w:val="en-IN"/>
              </w:rPr>
              <w:t>PV Year 3</w:t>
            </w:r>
          </w:p>
        </w:tc>
        <w:tc>
          <w:tcPr>
            <w:tcW w:w="709" w:type="pct"/>
            <w:tcBorders>
              <w:top w:val="nil"/>
              <w:left w:val="nil"/>
              <w:bottom w:val="single" w:sz="4" w:space="0" w:color="auto"/>
              <w:right w:val="single" w:sz="4" w:space="0" w:color="auto"/>
            </w:tcBorders>
            <w:shd w:val="clear" w:color="D9E1F2" w:fill="BDD7EE"/>
            <w:noWrap/>
            <w:vAlign w:val="center"/>
          </w:tcPr>
          <w:p w14:paraId="0679C3E5" w14:textId="77777777" w:rsidR="009D4E2F" w:rsidRDefault="00314650">
            <w:pPr>
              <w:spacing w:after="0"/>
              <w:jc w:val="center"/>
              <w:rPr>
                <w:rFonts w:ascii="Arial" w:hAnsi="Arial" w:cs="Arial"/>
                <w:b/>
                <w:bCs/>
                <w:lang w:val="en-IN"/>
              </w:rPr>
            </w:pPr>
            <w:r>
              <w:rPr>
                <w:rFonts w:ascii="Arial" w:hAnsi="Arial" w:cs="Arial"/>
                <w:b/>
                <w:bCs/>
                <w:lang w:val="en-IN"/>
              </w:rPr>
              <w:t>PV Year 4</w:t>
            </w:r>
          </w:p>
        </w:tc>
        <w:tc>
          <w:tcPr>
            <w:tcW w:w="627" w:type="pct"/>
            <w:tcBorders>
              <w:top w:val="nil"/>
              <w:left w:val="nil"/>
              <w:bottom w:val="single" w:sz="4" w:space="0" w:color="auto"/>
              <w:right w:val="single" w:sz="4" w:space="0" w:color="auto"/>
            </w:tcBorders>
            <w:shd w:val="clear" w:color="D9E1F2" w:fill="BDD7EE"/>
            <w:noWrap/>
            <w:vAlign w:val="center"/>
          </w:tcPr>
          <w:p w14:paraId="085CCF9B" w14:textId="77777777" w:rsidR="009D4E2F" w:rsidRDefault="00314650">
            <w:pPr>
              <w:spacing w:after="0"/>
              <w:jc w:val="center"/>
              <w:rPr>
                <w:rFonts w:ascii="Arial" w:hAnsi="Arial" w:cs="Arial"/>
                <w:b/>
                <w:bCs/>
                <w:lang w:val="en-IN"/>
              </w:rPr>
            </w:pPr>
            <w:r>
              <w:rPr>
                <w:rFonts w:ascii="Arial" w:hAnsi="Arial" w:cs="Arial"/>
                <w:b/>
                <w:bCs/>
                <w:lang w:val="en-IN"/>
              </w:rPr>
              <w:t>PV Year 5</w:t>
            </w:r>
          </w:p>
        </w:tc>
        <w:tc>
          <w:tcPr>
            <w:tcW w:w="517" w:type="pct"/>
            <w:tcBorders>
              <w:top w:val="nil"/>
              <w:left w:val="nil"/>
              <w:bottom w:val="single" w:sz="4" w:space="0" w:color="auto"/>
              <w:right w:val="single" w:sz="4" w:space="0" w:color="auto"/>
            </w:tcBorders>
            <w:shd w:val="clear" w:color="D9E1F2" w:fill="BDD7EE"/>
            <w:noWrap/>
            <w:vAlign w:val="center"/>
          </w:tcPr>
          <w:p w14:paraId="6B95359D" w14:textId="77777777" w:rsidR="009D4E2F" w:rsidRDefault="00314650">
            <w:pPr>
              <w:spacing w:after="0"/>
              <w:jc w:val="center"/>
              <w:rPr>
                <w:rFonts w:ascii="Arial" w:hAnsi="Arial" w:cs="Arial"/>
                <w:b/>
                <w:bCs/>
                <w:lang w:val="en-IN"/>
              </w:rPr>
            </w:pPr>
            <w:r>
              <w:rPr>
                <w:rFonts w:ascii="Arial" w:hAnsi="Arial" w:cs="Arial"/>
                <w:b/>
                <w:bCs/>
                <w:lang w:val="en-IN"/>
              </w:rPr>
              <w:t>NPV (£m)</w:t>
            </w:r>
          </w:p>
        </w:tc>
      </w:tr>
      <w:tr w:rsidR="009D4E2F" w14:paraId="155A9A77"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0A8DAD4C"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783DFFE4"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D9E1F2" w:fill="DEEAF1"/>
            <w:noWrap/>
            <w:vAlign w:val="center"/>
          </w:tcPr>
          <w:p w14:paraId="7D8ED25F" w14:textId="77777777" w:rsidR="009D4E2F" w:rsidRDefault="00314650">
            <w:pPr>
              <w:spacing w:after="0"/>
              <w:jc w:val="center"/>
              <w:rPr>
                <w:rFonts w:ascii="Arial" w:hAnsi="Arial" w:cs="Arial"/>
                <w:lang w:val="en-IN"/>
              </w:rPr>
            </w:pPr>
            <w:r>
              <w:rPr>
                <w:rFonts w:ascii="Arial" w:hAnsi="Arial" w:cs="Arial"/>
                <w:lang w:val="en-IN"/>
              </w:rPr>
              <w:t>£7.41</w:t>
            </w:r>
          </w:p>
        </w:tc>
        <w:tc>
          <w:tcPr>
            <w:tcW w:w="485" w:type="pct"/>
            <w:tcBorders>
              <w:top w:val="nil"/>
              <w:left w:val="nil"/>
              <w:bottom w:val="single" w:sz="4" w:space="0" w:color="auto"/>
              <w:right w:val="single" w:sz="4" w:space="0" w:color="auto"/>
            </w:tcBorders>
            <w:shd w:val="clear" w:color="D9E1F2" w:fill="DEEAF1"/>
            <w:noWrap/>
            <w:vAlign w:val="center"/>
          </w:tcPr>
          <w:p w14:paraId="6B299326" w14:textId="77777777" w:rsidR="009D4E2F" w:rsidRDefault="00314650">
            <w:pPr>
              <w:spacing w:after="0"/>
              <w:jc w:val="center"/>
              <w:rPr>
                <w:rFonts w:ascii="Arial" w:hAnsi="Arial" w:cs="Arial"/>
                <w:lang w:val="en-IN"/>
              </w:rPr>
            </w:pPr>
            <w:r>
              <w:rPr>
                <w:rFonts w:ascii="Arial" w:hAnsi="Arial" w:cs="Arial"/>
                <w:lang w:val="en-IN"/>
              </w:rPr>
              <w:t>£11.11</w:t>
            </w:r>
          </w:p>
        </w:tc>
        <w:tc>
          <w:tcPr>
            <w:tcW w:w="485" w:type="pct"/>
            <w:tcBorders>
              <w:top w:val="nil"/>
              <w:left w:val="nil"/>
              <w:bottom w:val="single" w:sz="4" w:space="0" w:color="auto"/>
              <w:right w:val="single" w:sz="4" w:space="0" w:color="auto"/>
            </w:tcBorders>
            <w:shd w:val="clear" w:color="D9E1F2" w:fill="DEEAF1"/>
            <w:noWrap/>
            <w:vAlign w:val="center"/>
          </w:tcPr>
          <w:p w14:paraId="34FF16C3" w14:textId="77777777" w:rsidR="009D4E2F" w:rsidRDefault="00314650">
            <w:pPr>
              <w:spacing w:after="0"/>
              <w:jc w:val="center"/>
              <w:rPr>
                <w:rFonts w:ascii="Arial" w:hAnsi="Arial" w:cs="Arial"/>
                <w:lang w:val="en-IN"/>
              </w:rPr>
            </w:pPr>
            <w:r>
              <w:rPr>
                <w:rFonts w:ascii="Arial" w:hAnsi="Arial" w:cs="Arial"/>
                <w:lang w:val="en-IN"/>
              </w:rPr>
              <w:t>£12.96</w:t>
            </w:r>
          </w:p>
        </w:tc>
        <w:tc>
          <w:tcPr>
            <w:tcW w:w="709" w:type="pct"/>
            <w:tcBorders>
              <w:top w:val="nil"/>
              <w:left w:val="nil"/>
              <w:bottom w:val="single" w:sz="4" w:space="0" w:color="auto"/>
              <w:right w:val="single" w:sz="4" w:space="0" w:color="auto"/>
            </w:tcBorders>
            <w:shd w:val="clear" w:color="D9E1F2" w:fill="DEEAF1"/>
            <w:noWrap/>
            <w:vAlign w:val="center"/>
          </w:tcPr>
          <w:p w14:paraId="3918F75B" w14:textId="77777777" w:rsidR="009D4E2F" w:rsidRDefault="00314650">
            <w:pPr>
              <w:spacing w:after="0"/>
              <w:jc w:val="center"/>
              <w:rPr>
                <w:rFonts w:ascii="Arial" w:hAnsi="Arial" w:cs="Arial"/>
                <w:lang w:val="en-IN"/>
              </w:rPr>
            </w:pPr>
            <w:r>
              <w:rPr>
                <w:rFonts w:ascii="Arial" w:hAnsi="Arial" w:cs="Arial"/>
                <w:lang w:val="en-IN"/>
              </w:rPr>
              <w:t>£7.41</w:t>
            </w:r>
          </w:p>
        </w:tc>
        <w:tc>
          <w:tcPr>
            <w:tcW w:w="627" w:type="pct"/>
            <w:tcBorders>
              <w:top w:val="nil"/>
              <w:left w:val="nil"/>
              <w:bottom w:val="single" w:sz="4" w:space="0" w:color="auto"/>
              <w:right w:val="single" w:sz="4" w:space="0" w:color="auto"/>
            </w:tcBorders>
            <w:shd w:val="clear" w:color="D9E1F2" w:fill="DEEAF1"/>
            <w:noWrap/>
            <w:vAlign w:val="center"/>
          </w:tcPr>
          <w:p w14:paraId="0DD62099" w14:textId="77777777" w:rsidR="009D4E2F" w:rsidRDefault="00314650">
            <w:pPr>
              <w:spacing w:after="0"/>
              <w:jc w:val="center"/>
              <w:rPr>
                <w:rFonts w:ascii="Arial" w:hAnsi="Arial" w:cs="Arial"/>
                <w:lang w:val="en-IN"/>
              </w:rPr>
            </w:pPr>
            <w:r>
              <w:rPr>
                <w:rFonts w:ascii="Arial" w:hAnsi="Arial" w:cs="Arial"/>
                <w:lang w:val="en-IN"/>
              </w:rPr>
              <w:t>£7.41</w:t>
            </w:r>
          </w:p>
        </w:tc>
        <w:tc>
          <w:tcPr>
            <w:tcW w:w="517" w:type="pct"/>
            <w:tcBorders>
              <w:top w:val="nil"/>
              <w:left w:val="nil"/>
              <w:bottom w:val="single" w:sz="4" w:space="0" w:color="auto"/>
              <w:right w:val="single" w:sz="4" w:space="0" w:color="auto"/>
            </w:tcBorders>
            <w:shd w:val="clear" w:color="D9E1F2" w:fill="DEEAF1"/>
            <w:noWrap/>
            <w:vAlign w:val="center"/>
          </w:tcPr>
          <w:p w14:paraId="6AAD4C72"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(£3.70)</w:t>
            </w:r>
          </w:p>
        </w:tc>
      </w:tr>
      <w:tr w:rsidR="009D4E2F" w14:paraId="401ABEA9"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4FE49408"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F2F2F2" w:fill="FFFFFF"/>
            <w:noWrap/>
            <w:vAlign w:val="center"/>
          </w:tcPr>
          <w:p w14:paraId="0F0FD7B8"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D9E1F2" w:fill="DEEAF1"/>
            <w:noWrap/>
            <w:vAlign w:val="center"/>
          </w:tcPr>
          <w:p w14:paraId="6DD35507" w14:textId="77777777" w:rsidR="009D4E2F" w:rsidRDefault="00314650">
            <w:pPr>
              <w:spacing w:after="0"/>
              <w:jc w:val="center"/>
              <w:rPr>
                <w:rFonts w:ascii="Arial" w:hAnsi="Arial" w:cs="Arial"/>
                <w:lang w:val="en-IN"/>
              </w:rPr>
            </w:pPr>
            <w:r>
              <w:rPr>
                <w:rFonts w:ascii="Arial" w:hAnsi="Arial" w:cs="Arial"/>
                <w:lang w:val="en-IN"/>
              </w:rPr>
              <w:t>£10.19</w:t>
            </w:r>
          </w:p>
        </w:tc>
        <w:tc>
          <w:tcPr>
            <w:tcW w:w="485" w:type="pct"/>
            <w:tcBorders>
              <w:top w:val="nil"/>
              <w:left w:val="nil"/>
              <w:bottom w:val="single" w:sz="4" w:space="0" w:color="auto"/>
              <w:right w:val="single" w:sz="4" w:space="0" w:color="auto"/>
            </w:tcBorders>
            <w:shd w:val="clear" w:color="D9E1F2" w:fill="DEEAF1"/>
            <w:noWrap/>
            <w:vAlign w:val="center"/>
          </w:tcPr>
          <w:p w14:paraId="5F71EDAB" w14:textId="77777777" w:rsidR="009D4E2F" w:rsidRDefault="00314650">
            <w:pPr>
              <w:spacing w:after="0"/>
              <w:jc w:val="center"/>
              <w:rPr>
                <w:rFonts w:ascii="Arial" w:hAnsi="Arial" w:cs="Arial"/>
                <w:lang w:val="en-IN"/>
              </w:rPr>
            </w:pPr>
            <w:r>
              <w:rPr>
                <w:rFonts w:ascii="Arial" w:hAnsi="Arial" w:cs="Arial"/>
                <w:lang w:val="en-IN"/>
              </w:rPr>
              <w:t>£10.19</w:t>
            </w:r>
          </w:p>
        </w:tc>
        <w:tc>
          <w:tcPr>
            <w:tcW w:w="485" w:type="pct"/>
            <w:tcBorders>
              <w:top w:val="nil"/>
              <w:left w:val="nil"/>
              <w:bottom w:val="single" w:sz="4" w:space="0" w:color="auto"/>
              <w:right w:val="single" w:sz="4" w:space="0" w:color="auto"/>
            </w:tcBorders>
            <w:shd w:val="clear" w:color="D9E1F2" w:fill="DEEAF1"/>
            <w:noWrap/>
            <w:vAlign w:val="center"/>
          </w:tcPr>
          <w:p w14:paraId="30B7AA57" w14:textId="77777777" w:rsidR="009D4E2F" w:rsidRDefault="00314650">
            <w:pPr>
              <w:spacing w:after="0"/>
              <w:jc w:val="center"/>
              <w:rPr>
                <w:rFonts w:ascii="Arial" w:hAnsi="Arial" w:cs="Arial"/>
                <w:lang w:val="en-IN"/>
              </w:rPr>
            </w:pPr>
            <w:r>
              <w:rPr>
                <w:rFonts w:ascii="Arial" w:hAnsi="Arial" w:cs="Arial"/>
                <w:lang w:val="en-IN"/>
              </w:rPr>
              <w:t>£10.19</w:t>
            </w:r>
          </w:p>
        </w:tc>
        <w:tc>
          <w:tcPr>
            <w:tcW w:w="709" w:type="pct"/>
            <w:tcBorders>
              <w:top w:val="nil"/>
              <w:left w:val="nil"/>
              <w:bottom w:val="single" w:sz="4" w:space="0" w:color="auto"/>
              <w:right w:val="single" w:sz="4" w:space="0" w:color="auto"/>
            </w:tcBorders>
            <w:shd w:val="clear" w:color="D9E1F2" w:fill="DEEAF1"/>
            <w:noWrap/>
            <w:vAlign w:val="center"/>
          </w:tcPr>
          <w:p w14:paraId="110E90B1" w14:textId="77777777" w:rsidR="009D4E2F" w:rsidRDefault="00314650">
            <w:pPr>
              <w:spacing w:after="0"/>
              <w:jc w:val="center"/>
              <w:rPr>
                <w:rFonts w:ascii="Arial" w:hAnsi="Arial" w:cs="Arial"/>
                <w:lang w:val="en-IN"/>
              </w:rPr>
            </w:pPr>
            <w:r>
              <w:rPr>
                <w:rFonts w:ascii="Arial" w:hAnsi="Arial" w:cs="Arial"/>
                <w:lang w:val="en-IN"/>
              </w:rPr>
              <w:t>£10.19</w:t>
            </w:r>
          </w:p>
        </w:tc>
        <w:tc>
          <w:tcPr>
            <w:tcW w:w="627" w:type="pct"/>
            <w:tcBorders>
              <w:top w:val="nil"/>
              <w:left w:val="nil"/>
              <w:bottom w:val="single" w:sz="4" w:space="0" w:color="auto"/>
              <w:right w:val="single" w:sz="4" w:space="0" w:color="auto"/>
            </w:tcBorders>
            <w:shd w:val="clear" w:color="D9E1F2" w:fill="DEEAF1"/>
            <w:noWrap/>
            <w:vAlign w:val="center"/>
          </w:tcPr>
          <w:p w14:paraId="76D19BE8" w14:textId="77777777" w:rsidR="009D4E2F" w:rsidRDefault="00314650">
            <w:pPr>
              <w:spacing w:after="0"/>
              <w:jc w:val="center"/>
              <w:rPr>
                <w:rFonts w:ascii="Arial" w:hAnsi="Arial" w:cs="Arial"/>
                <w:lang w:val="en-IN"/>
              </w:rPr>
            </w:pPr>
            <w:r>
              <w:rPr>
                <w:rFonts w:ascii="Arial" w:hAnsi="Arial" w:cs="Arial"/>
                <w:lang w:val="en-IN"/>
              </w:rPr>
              <w:t>£10.19</w:t>
            </w:r>
          </w:p>
        </w:tc>
        <w:tc>
          <w:tcPr>
            <w:tcW w:w="517" w:type="pct"/>
            <w:tcBorders>
              <w:top w:val="nil"/>
              <w:left w:val="nil"/>
              <w:bottom w:val="single" w:sz="4" w:space="0" w:color="auto"/>
              <w:right w:val="single" w:sz="4" w:space="0" w:color="auto"/>
            </w:tcBorders>
            <w:shd w:val="clear" w:color="F2F2F2" w:fill="FFFFFF"/>
            <w:noWrap/>
            <w:vAlign w:val="center"/>
          </w:tcPr>
          <w:p w14:paraId="625709AB"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£0.93</w:t>
            </w:r>
          </w:p>
        </w:tc>
      </w:tr>
      <w:tr w:rsidR="009D4E2F" w14:paraId="6E7BBAA6"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5D11358E" w14:textId="77777777" w:rsidR="009D4E2F" w:rsidRDefault="00314650">
            <w:pPr>
              <w:spacing w:after="0"/>
              <w:jc w:val="left"/>
              <w:rPr>
                <w:rFonts w:ascii="Arial" w:hAnsi="Arial" w:cs="Arial"/>
                <w:lang w:val="en-IN"/>
              </w:rPr>
            </w:pPr>
            <w:r>
              <w:rPr>
                <w:rFonts w:ascii="Arial" w:hAnsi="Arial" w:cs="Arial"/>
                <w:lang w:val="en-IN"/>
              </w:rPr>
              <w:t>Project C</w:t>
            </w:r>
          </w:p>
        </w:tc>
        <w:tc>
          <w:tcPr>
            <w:tcW w:w="545" w:type="pct"/>
            <w:tcBorders>
              <w:top w:val="nil"/>
              <w:left w:val="nil"/>
              <w:bottom w:val="single" w:sz="4" w:space="0" w:color="auto"/>
              <w:right w:val="single" w:sz="4" w:space="0" w:color="auto"/>
            </w:tcBorders>
            <w:shd w:val="clear" w:color="D9E1F2" w:fill="DEEAF1"/>
            <w:noWrap/>
            <w:vAlign w:val="center"/>
          </w:tcPr>
          <w:p w14:paraId="78407275" w14:textId="77777777" w:rsidR="009D4E2F" w:rsidRDefault="00314650">
            <w:pPr>
              <w:spacing w:after="0"/>
              <w:jc w:val="center"/>
              <w:rPr>
                <w:rFonts w:ascii="Arial" w:hAnsi="Arial" w:cs="Arial"/>
                <w:lang w:val="en-IN"/>
              </w:rPr>
            </w:pPr>
            <w:r>
              <w:rPr>
                <w:rFonts w:ascii="Arial" w:hAnsi="Arial" w:cs="Arial"/>
                <w:lang w:val="en-IN"/>
              </w:rPr>
              <w:t>-£50m</w:t>
            </w:r>
          </w:p>
        </w:tc>
        <w:tc>
          <w:tcPr>
            <w:tcW w:w="751" w:type="pct"/>
            <w:tcBorders>
              <w:top w:val="nil"/>
              <w:left w:val="nil"/>
              <w:bottom w:val="single" w:sz="4" w:space="0" w:color="auto"/>
              <w:right w:val="single" w:sz="4" w:space="0" w:color="auto"/>
            </w:tcBorders>
            <w:shd w:val="clear" w:color="D9E1F2" w:fill="DEEAF1"/>
            <w:noWrap/>
            <w:vAlign w:val="center"/>
          </w:tcPr>
          <w:p w14:paraId="5B73E598" w14:textId="77777777" w:rsidR="009D4E2F" w:rsidRDefault="00314650">
            <w:pPr>
              <w:spacing w:after="0"/>
              <w:jc w:val="center"/>
              <w:rPr>
                <w:rFonts w:ascii="Arial" w:hAnsi="Arial" w:cs="Arial"/>
                <w:lang w:val="en-IN"/>
              </w:rPr>
            </w:pPr>
            <w:r>
              <w:rPr>
                <w:rFonts w:ascii="Arial" w:hAnsi="Arial" w:cs="Arial"/>
                <w:lang w:val="en-IN"/>
              </w:rPr>
              <w:t>£4.63</w:t>
            </w:r>
          </w:p>
        </w:tc>
        <w:tc>
          <w:tcPr>
            <w:tcW w:w="485" w:type="pct"/>
            <w:tcBorders>
              <w:top w:val="nil"/>
              <w:left w:val="nil"/>
              <w:bottom w:val="single" w:sz="4" w:space="0" w:color="auto"/>
              <w:right w:val="single" w:sz="4" w:space="0" w:color="auto"/>
            </w:tcBorders>
            <w:shd w:val="clear" w:color="D9E1F2" w:fill="DEEAF1"/>
            <w:noWrap/>
            <w:vAlign w:val="center"/>
          </w:tcPr>
          <w:p w14:paraId="083BD210" w14:textId="77777777" w:rsidR="009D4E2F" w:rsidRDefault="00314650">
            <w:pPr>
              <w:spacing w:after="0"/>
              <w:jc w:val="center"/>
              <w:rPr>
                <w:rFonts w:ascii="Arial" w:hAnsi="Arial" w:cs="Arial"/>
                <w:lang w:val="en-IN"/>
              </w:rPr>
            </w:pPr>
            <w:r>
              <w:rPr>
                <w:rFonts w:ascii="Arial" w:hAnsi="Arial" w:cs="Arial"/>
                <w:lang w:val="en-IN"/>
              </w:rPr>
              <w:t>£7.41</w:t>
            </w:r>
          </w:p>
        </w:tc>
        <w:tc>
          <w:tcPr>
            <w:tcW w:w="485" w:type="pct"/>
            <w:tcBorders>
              <w:top w:val="nil"/>
              <w:left w:val="nil"/>
              <w:bottom w:val="single" w:sz="4" w:space="0" w:color="auto"/>
              <w:right w:val="single" w:sz="4" w:space="0" w:color="auto"/>
            </w:tcBorders>
            <w:shd w:val="clear" w:color="D9E1F2" w:fill="DEEAF1"/>
            <w:noWrap/>
            <w:vAlign w:val="center"/>
          </w:tcPr>
          <w:p w14:paraId="79F65B1E" w14:textId="77777777" w:rsidR="009D4E2F" w:rsidRDefault="00314650">
            <w:pPr>
              <w:spacing w:after="0"/>
              <w:jc w:val="center"/>
              <w:rPr>
                <w:rFonts w:ascii="Arial" w:hAnsi="Arial" w:cs="Arial"/>
                <w:lang w:val="en-IN"/>
              </w:rPr>
            </w:pPr>
            <w:r>
              <w:rPr>
                <w:rFonts w:ascii="Arial" w:hAnsi="Arial" w:cs="Arial"/>
                <w:lang w:val="en-IN"/>
              </w:rPr>
              <w:t>£18.52</w:t>
            </w:r>
          </w:p>
        </w:tc>
        <w:tc>
          <w:tcPr>
            <w:tcW w:w="709" w:type="pct"/>
            <w:tcBorders>
              <w:top w:val="nil"/>
              <w:left w:val="nil"/>
              <w:bottom w:val="single" w:sz="4" w:space="0" w:color="auto"/>
              <w:right w:val="single" w:sz="4" w:space="0" w:color="auto"/>
            </w:tcBorders>
            <w:shd w:val="clear" w:color="D9E1F2" w:fill="DEEAF1"/>
            <w:noWrap/>
            <w:vAlign w:val="center"/>
          </w:tcPr>
          <w:p w14:paraId="7B128DA6" w14:textId="77777777" w:rsidR="009D4E2F" w:rsidRDefault="00314650">
            <w:pPr>
              <w:spacing w:after="0"/>
              <w:jc w:val="center"/>
              <w:rPr>
                <w:rFonts w:ascii="Arial" w:hAnsi="Arial" w:cs="Arial"/>
                <w:lang w:val="en-IN"/>
              </w:rPr>
            </w:pPr>
            <w:r>
              <w:rPr>
                <w:rFonts w:ascii="Arial" w:hAnsi="Arial" w:cs="Arial"/>
                <w:lang w:val="en-IN"/>
              </w:rPr>
              <w:t>£23.15</w:t>
            </w:r>
          </w:p>
        </w:tc>
        <w:tc>
          <w:tcPr>
            <w:tcW w:w="627" w:type="pct"/>
            <w:tcBorders>
              <w:top w:val="nil"/>
              <w:left w:val="nil"/>
              <w:bottom w:val="single" w:sz="4" w:space="0" w:color="auto"/>
              <w:right w:val="single" w:sz="4" w:space="0" w:color="auto"/>
            </w:tcBorders>
            <w:shd w:val="clear" w:color="D9E1F2" w:fill="DEEAF1"/>
            <w:noWrap/>
            <w:vAlign w:val="center"/>
          </w:tcPr>
          <w:p w14:paraId="11D10DF9" w14:textId="77777777" w:rsidR="009D4E2F" w:rsidRDefault="00314650">
            <w:pPr>
              <w:spacing w:after="0"/>
              <w:jc w:val="center"/>
              <w:rPr>
                <w:rFonts w:ascii="Arial" w:hAnsi="Arial" w:cs="Arial"/>
                <w:lang w:val="en-IN"/>
              </w:rPr>
            </w:pPr>
            <w:r>
              <w:rPr>
                <w:rFonts w:ascii="Arial" w:hAnsi="Arial" w:cs="Arial"/>
                <w:lang w:val="en-IN"/>
              </w:rPr>
              <w:t>£4.63</w:t>
            </w:r>
          </w:p>
        </w:tc>
        <w:tc>
          <w:tcPr>
            <w:tcW w:w="517" w:type="pct"/>
            <w:tcBorders>
              <w:top w:val="nil"/>
              <w:left w:val="nil"/>
              <w:bottom w:val="single" w:sz="4" w:space="0" w:color="auto"/>
              <w:right w:val="single" w:sz="4" w:space="0" w:color="auto"/>
            </w:tcBorders>
            <w:shd w:val="clear" w:color="D9E1F2" w:fill="DEEAF1"/>
            <w:noWrap/>
            <w:vAlign w:val="center"/>
          </w:tcPr>
          <w:p w14:paraId="1C11B5E4"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£8.33</w:t>
            </w:r>
          </w:p>
        </w:tc>
      </w:tr>
      <w:tr w:rsidR="009D4E2F" w14:paraId="75183148" w14:textId="77777777">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tcPr>
          <w:p w14:paraId="1BB475CE"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Best: Project C (highest value creation – primary decision criterion)</w:t>
            </w:r>
          </w:p>
        </w:tc>
      </w:tr>
      <w:tr w:rsidR="009D4E2F" w14:paraId="64561ABF" w14:textId="77777777">
        <w:trPr>
          <w:trHeight w:val="288"/>
        </w:trPr>
        <w:tc>
          <w:tcPr>
            <w:tcW w:w="881" w:type="pct"/>
            <w:tcBorders>
              <w:top w:val="nil"/>
              <w:left w:val="nil"/>
              <w:bottom w:val="nil"/>
              <w:right w:val="nil"/>
            </w:tcBorders>
            <w:noWrap/>
            <w:vAlign w:val="bottom"/>
          </w:tcPr>
          <w:p w14:paraId="3C278201" w14:textId="77777777" w:rsidR="009D4E2F" w:rsidRDefault="009D4E2F">
            <w:pPr>
              <w:spacing w:after="0"/>
              <w:jc w:val="left"/>
              <w:rPr>
                <w:rFonts w:ascii="Arial" w:hAnsi="Arial" w:cs="Arial"/>
                <w:b/>
                <w:bCs/>
                <w:color w:val="FFFFFF"/>
                <w:lang w:val="en-IN"/>
              </w:rPr>
            </w:pPr>
          </w:p>
        </w:tc>
        <w:tc>
          <w:tcPr>
            <w:tcW w:w="545" w:type="pct"/>
            <w:tcBorders>
              <w:top w:val="nil"/>
              <w:left w:val="nil"/>
              <w:bottom w:val="nil"/>
              <w:right w:val="nil"/>
            </w:tcBorders>
            <w:noWrap/>
            <w:vAlign w:val="bottom"/>
          </w:tcPr>
          <w:p w14:paraId="52B33B1A"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40EF2D03"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329E9A64"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0995C10D"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511BD794"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342A2A06"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509AF92D" w14:textId="77777777" w:rsidR="009D4E2F" w:rsidRDefault="009D4E2F">
            <w:pPr>
              <w:spacing w:after="0"/>
              <w:jc w:val="left"/>
              <w:rPr>
                <w:rFonts w:ascii="Arial" w:hAnsi="Arial" w:cs="Arial"/>
                <w:lang w:val="en-IN"/>
              </w:rPr>
            </w:pPr>
          </w:p>
        </w:tc>
      </w:tr>
      <w:tr w:rsidR="009D4E2F" w14:paraId="63BA35C5"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564D04B3"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4. Profitability Index (</w:t>
            </w:r>
            <w:proofErr w:type="gramStart"/>
            <w:r>
              <w:rPr>
                <w:rFonts w:ascii="Arial" w:hAnsi="Arial" w:cs="Arial"/>
                <w:b/>
                <w:bCs/>
                <w:color w:val="FFFFFF"/>
                <w:lang w:val="en-IN"/>
              </w:rPr>
              <w:t>PI)  =</w:t>
            </w:r>
            <w:proofErr w:type="gramEnd"/>
            <w:r>
              <w:rPr>
                <w:rFonts w:ascii="Arial" w:hAnsi="Arial" w:cs="Arial"/>
                <w:b/>
                <w:bCs/>
                <w:color w:val="FFFFFF"/>
                <w:lang w:val="en-IN"/>
              </w:rPr>
              <w:t xml:space="preserve">  Total PV of Inflows ÷ Initial Investment</w:t>
            </w:r>
          </w:p>
        </w:tc>
      </w:tr>
      <w:tr w:rsidR="009D4E2F" w14:paraId="22D1700A"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79ADB23C" w14:textId="77777777" w:rsidR="009D4E2F" w:rsidRDefault="00314650">
            <w:pPr>
              <w:spacing w:after="0"/>
              <w:jc w:val="center"/>
              <w:rPr>
                <w:rFonts w:ascii="Arial" w:hAnsi="Arial" w:cs="Arial"/>
                <w:b/>
                <w:bCs/>
                <w:lang w:val="en-IN"/>
              </w:rPr>
            </w:pPr>
            <w:r>
              <w:rPr>
                <w:rFonts w:ascii="Arial" w:hAnsi="Arial" w:cs="Arial"/>
                <w:b/>
                <w:bCs/>
                <w:lang w:val="en-IN"/>
              </w:rPr>
              <w:lastRenderedPageBreak/>
              <w:t>Project</w:t>
            </w:r>
          </w:p>
        </w:tc>
        <w:tc>
          <w:tcPr>
            <w:tcW w:w="545" w:type="pct"/>
            <w:tcBorders>
              <w:top w:val="nil"/>
              <w:left w:val="nil"/>
              <w:bottom w:val="single" w:sz="4" w:space="0" w:color="auto"/>
              <w:right w:val="single" w:sz="4" w:space="0" w:color="auto"/>
            </w:tcBorders>
            <w:shd w:val="clear" w:color="D9E1F2" w:fill="BDD7EE"/>
            <w:noWrap/>
            <w:vAlign w:val="center"/>
          </w:tcPr>
          <w:p w14:paraId="179BA8AD" w14:textId="77777777" w:rsidR="009D4E2F" w:rsidRDefault="00314650">
            <w:pPr>
              <w:spacing w:after="0"/>
              <w:jc w:val="center"/>
              <w:rPr>
                <w:rFonts w:ascii="Arial" w:hAnsi="Arial" w:cs="Arial"/>
                <w:b/>
                <w:bCs/>
                <w:lang w:val="en-IN"/>
              </w:rPr>
            </w:pPr>
            <w:r>
              <w:rPr>
                <w:rFonts w:ascii="Arial" w:hAnsi="Arial" w:cs="Arial"/>
                <w:b/>
                <w:bCs/>
                <w:lang w:val="en-IN"/>
              </w:rPr>
              <w:t>Initial Inv.</w:t>
            </w:r>
          </w:p>
        </w:tc>
        <w:tc>
          <w:tcPr>
            <w:tcW w:w="751" w:type="pct"/>
            <w:tcBorders>
              <w:top w:val="nil"/>
              <w:left w:val="nil"/>
              <w:bottom w:val="single" w:sz="4" w:space="0" w:color="auto"/>
              <w:right w:val="single" w:sz="4" w:space="0" w:color="auto"/>
            </w:tcBorders>
            <w:shd w:val="clear" w:color="D9E1F2" w:fill="BDD7EE"/>
            <w:noWrap/>
            <w:vAlign w:val="center"/>
          </w:tcPr>
          <w:p w14:paraId="49A2B882" w14:textId="77777777" w:rsidR="009D4E2F" w:rsidRDefault="00314650">
            <w:pPr>
              <w:spacing w:after="0"/>
              <w:jc w:val="center"/>
              <w:rPr>
                <w:rFonts w:ascii="Arial" w:hAnsi="Arial" w:cs="Arial"/>
                <w:b/>
                <w:bCs/>
                <w:lang w:val="en-IN"/>
              </w:rPr>
            </w:pPr>
            <w:r>
              <w:rPr>
                <w:rFonts w:ascii="Arial" w:hAnsi="Arial" w:cs="Arial"/>
                <w:b/>
                <w:bCs/>
                <w:lang w:val="en-IN"/>
              </w:rPr>
              <w:t>Total PV of Inflows</w:t>
            </w:r>
          </w:p>
        </w:tc>
        <w:tc>
          <w:tcPr>
            <w:tcW w:w="485" w:type="pct"/>
            <w:tcBorders>
              <w:top w:val="nil"/>
              <w:left w:val="nil"/>
              <w:bottom w:val="single" w:sz="4" w:space="0" w:color="auto"/>
              <w:right w:val="single" w:sz="4" w:space="0" w:color="auto"/>
            </w:tcBorders>
            <w:shd w:val="clear" w:color="D9E1F2" w:fill="BDD7EE"/>
            <w:noWrap/>
            <w:vAlign w:val="center"/>
          </w:tcPr>
          <w:p w14:paraId="028D2DE5" w14:textId="77777777" w:rsidR="009D4E2F" w:rsidRDefault="00314650">
            <w:pPr>
              <w:spacing w:after="0"/>
              <w:jc w:val="center"/>
              <w:rPr>
                <w:rFonts w:ascii="Arial" w:hAnsi="Arial" w:cs="Arial"/>
                <w:b/>
                <w:bCs/>
                <w:lang w:val="en-IN"/>
              </w:rPr>
            </w:pPr>
            <w:r>
              <w:rPr>
                <w:rFonts w:ascii="Arial" w:hAnsi="Arial" w:cs="Arial"/>
                <w:b/>
                <w:bCs/>
                <w:lang w:val="en-IN"/>
              </w:rPr>
              <w:t>PI</w:t>
            </w:r>
          </w:p>
        </w:tc>
        <w:tc>
          <w:tcPr>
            <w:tcW w:w="485" w:type="pct"/>
            <w:tcBorders>
              <w:top w:val="nil"/>
              <w:left w:val="nil"/>
              <w:bottom w:val="single" w:sz="4" w:space="0" w:color="auto"/>
              <w:right w:val="single" w:sz="4" w:space="0" w:color="auto"/>
            </w:tcBorders>
            <w:shd w:val="clear" w:color="D9E1F2" w:fill="BDD7EE"/>
            <w:noWrap/>
            <w:vAlign w:val="center"/>
          </w:tcPr>
          <w:p w14:paraId="7D26556C" w14:textId="77777777" w:rsidR="009D4E2F" w:rsidRDefault="00314650">
            <w:pPr>
              <w:spacing w:after="0"/>
              <w:jc w:val="center"/>
              <w:rPr>
                <w:rFonts w:ascii="Arial" w:hAnsi="Arial" w:cs="Arial"/>
                <w:b/>
                <w:bCs/>
                <w:lang w:val="en-IN"/>
              </w:rPr>
            </w:pPr>
            <w:r>
              <w:rPr>
                <w:rFonts w:ascii="Arial" w:hAnsi="Arial" w:cs="Arial"/>
                <w:b/>
                <w:bCs/>
                <w:lang w:val="en-IN"/>
              </w:rPr>
              <w:t>NPV (£m)</w:t>
            </w:r>
          </w:p>
        </w:tc>
        <w:tc>
          <w:tcPr>
            <w:tcW w:w="709" w:type="pct"/>
            <w:tcBorders>
              <w:top w:val="nil"/>
              <w:left w:val="nil"/>
              <w:bottom w:val="single" w:sz="4" w:space="0" w:color="auto"/>
              <w:right w:val="single" w:sz="4" w:space="0" w:color="auto"/>
            </w:tcBorders>
            <w:shd w:val="clear" w:color="D9E1F2" w:fill="BDD7EE"/>
            <w:noWrap/>
            <w:vAlign w:val="center"/>
          </w:tcPr>
          <w:p w14:paraId="42A80905" w14:textId="77777777" w:rsidR="009D4E2F" w:rsidRDefault="00314650">
            <w:pPr>
              <w:spacing w:after="0"/>
              <w:jc w:val="center"/>
              <w:rPr>
                <w:rFonts w:ascii="Arial" w:hAnsi="Arial" w:cs="Arial"/>
                <w:b/>
                <w:bCs/>
                <w:lang w:val="en-IN"/>
              </w:rPr>
            </w:pPr>
            <w:r>
              <w:rPr>
                <w:rFonts w:ascii="Arial" w:hAnsi="Arial" w:cs="Arial"/>
                <w:b/>
                <w:bCs/>
                <w:lang w:val="en-IN"/>
              </w:rPr>
              <w:t>PI ≥ 1.0?</w:t>
            </w:r>
          </w:p>
        </w:tc>
        <w:tc>
          <w:tcPr>
            <w:tcW w:w="627" w:type="pct"/>
            <w:tcBorders>
              <w:top w:val="nil"/>
              <w:left w:val="nil"/>
              <w:bottom w:val="single" w:sz="4" w:space="0" w:color="auto"/>
              <w:right w:val="single" w:sz="4" w:space="0" w:color="auto"/>
            </w:tcBorders>
            <w:shd w:val="clear" w:color="D9E1F2" w:fill="BDD7EE"/>
            <w:noWrap/>
            <w:vAlign w:val="center"/>
          </w:tcPr>
          <w:p w14:paraId="436EEE3E" w14:textId="77777777" w:rsidR="009D4E2F" w:rsidRDefault="00314650">
            <w:pPr>
              <w:spacing w:after="0"/>
              <w:jc w:val="center"/>
              <w:rPr>
                <w:rFonts w:ascii="Arial" w:hAnsi="Arial" w:cs="Arial"/>
                <w:b/>
                <w:bCs/>
                <w:lang w:val="en-IN"/>
              </w:rPr>
            </w:pPr>
            <w:r>
              <w:rPr>
                <w:rFonts w:ascii="Arial" w:hAnsi="Arial" w:cs="Arial"/>
                <w:b/>
                <w:bCs/>
                <w:lang w:val="en-IN"/>
              </w:rPr>
              <w:t> </w:t>
            </w:r>
          </w:p>
        </w:tc>
        <w:tc>
          <w:tcPr>
            <w:tcW w:w="517" w:type="pct"/>
            <w:tcBorders>
              <w:top w:val="nil"/>
              <w:left w:val="nil"/>
              <w:bottom w:val="single" w:sz="4" w:space="0" w:color="auto"/>
              <w:right w:val="single" w:sz="4" w:space="0" w:color="auto"/>
            </w:tcBorders>
            <w:shd w:val="clear" w:color="D9E1F2" w:fill="BDD7EE"/>
            <w:noWrap/>
            <w:vAlign w:val="center"/>
          </w:tcPr>
          <w:p w14:paraId="11B689CE" w14:textId="77777777" w:rsidR="009D4E2F" w:rsidRDefault="00314650">
            <w:pPr>
              <w:spacing w:after="0"/>
              <w:jc w:val="center"/>
              <w:rPr>
                <w:rFonts w:ascii="Arial" w:hAnsi="Arial" w:cs="Arial"/>
                <w:b/>
                <w:bCs/>
                <w:lang w:val="en-IN"/>
              </w:rPr>
            </w:pPr>
            <w:r>
              <w:rPr>
                <w:rFonts w:ascii="Arial" w:hAnsi="Arial" w:cs="Arial"/>
                <w:b/>
                <w:bCs/>
                <w:lang w:val="en-IN"/>
              </w:rPr>
              <w:t> </w:t>
            </w:r>
          </w:p>
        </w:tc>
      </w:tr>
      <w:tr w:rsidR="009D4E2F" w14:paraId="3FF8CB5E"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57C3FF0E"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151CAA9C"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07C9D314" w14:textId="77777777" w:rsidR="009D4E2F" w:rsidRDefault="00314650">
            <w:pPr>
              <w:spacing w:after="0"/>
              <w:jc w:val="center"/>
              <w:rPr>
                <w:rFonts w:ascii="Arial" w:hAnsi="Arial" w:cs="Arial"/>
                <w:lang w:val="en-IN"/>
              </w:rPr>
            </w:pPr>
            <w:r>
              <w:rPr>
                <w:rFonts w:ascii="Arial" w:hAnsi="Arial" w:cs="Arial"/>
                <w:lang w:val="en-IN"/>
              </w:rPr>
              <w:t>£46.30</w:t>
            </w:r>
          </w:p>
        </w:tc>
        <w:tc>
          <w:tcPr>
            <w:tcW w:w="485" w:type="pct"/>
            <w:tcBorders>
              <w:top w:val="nil"/>
              <w:left w:val="nil"/>
              <w:bottom w:val="single" w:sz="4" w:space="0" w:color="auto"/>
              <w:right w:val="single" w:sz="4" w:space="0" w:color="auto"/>
            </w:tcBorders>
            <w:shd w:val="clear" w:color="D9E1F2" w:fill="DEEAF1"/>
            <w:noWrap/>
            <w:vAlign w:val="center"/>
          </w:tcPr>
          <w:p w14:paraId="64B366C7" w14:textId="77777777" w:rsidR="009D4E2F" w:rsidRDefault="00314650">
            <w:pPr>
              <w:spacing w:after="0"/>
              <w:jc w:val="center"/>
              <w:rPr>
                <w:rFonts w:ascii="Arial" w:hAnsi="Arial" w:cs="Arial"/>
                <w:lang w:val="en-IN"/>
              </w:rPr>
            </w:pPr>
            <w:r>
              <w:rPr>
                <w:rFonts w:ascii="Arial" w:hAnsi="Arial" w:cs="Arial"/>
                <w:lang w:val="en-IN"/>
              </w:rPr>
              <w:t>0.9259x</w:t>
            </w:r>
          </w:p>
        </w:tc>
        <w:tc>
          <w:tcPr>
            <w:tcW w:w="485" w:type="pct"/>
            <w:tcBorders>
              <w:top w:val="nil"/>
              <w:left w:val="nil"/>
              <w:bottom w:val="single" w:sz="4" w:space="0" w:color="auto"/>
              <w:right w:val="single" w:sz="4" w:space="0" w:color="auto"/>
            </w:tcBorders>
            <w:shd w:val="clear" w:color="D9E1F2" w:fill="DEEAF1"/>
            <w:noWrap/>
            <w:vAlign w:val="center"/>
          </w:tcPr>
          <w:p w14:paraId="517AC931" w14:textId="77777777" w:rsidR="009D4E2F" w:rsidRDefault="00314650">
            <w:pPr>
              <w:spacing w:after="0"/>
              <w:jc w:val="center"/>
              <w:rPr>
                <w:rFonts w:ascii="Arial" w:hAnsi="Arial" w:cs="Arial"/>
                <w:lang w:val="en-IN"/>
              </w:rPr>
            </w:pPr>
            <w:r>
              <w:rPr>
                <w:rFonts w:ascii="Arial" w:hAnsi="Arial" w:cs="Arial"/>
                <w:lang w:val="en-IN"/>
              </w:rPr>
              <w:t>-£3.70</w:t>
            </w:r>
          </w:p>
        </w:tc>
        <w:tc>
          <w:tcPr>
            <w:tcW w:w="709" w:type="pct"/>
            <w:tcBorders>
              <w:top w:val="nil"/>
              <w:left w:val="nil"/>
              <w:bottom w:val="single" w:sz="4" w:space="0" w:color="auto"/>
              <w:right w:val="single" w:sz="4" w:space="0" w:color="auto"/>
            </w:tcBorders>
            <w:shd w:val="clear" w:color="D9E1F2" w:fill="DEEAF1"/>
            <w:noWrap/>
            <w:vAlign w:val="center"/>
          </w:tcPr>
          <w:p w14:paraId="6E854207" w14:textId="77777777" w:rsidR="009D4E2F" w:rsidRDefault="00314650">
            <w:pPr>
              <w:spacing w:after="0"/>
              <w:jc w:val="center"/>
              <w:rPr>
                <w:rFonts w:ascii="Arial" w:hAnsi="Arial" w:cs="Arial"/>
                <w:b/>
                <w:bCs/>
                <w:color w:val="C00000"/>
                <w:lang w:val="en-IN"/>
              </w:rPr>
            </w:pPr>
            <w:r>
              <w:rPr>
                <w:rFonts w:ascii="Segoe UI Symbol" w:hAnsi="Segoe UI Symbol" w:cs="Segoe UI Symbol"/>
                <w:b/>
                <w:bCs/>
                <w:color w:val="C00000"/>
                <w:lang w:val="en-IN"/>
              </w:rPr>
              <w:t>✗</w:t>
            </w:r>
            <w:r>
              <w:rPr>
                <w:rFonts w:ascii="Arial" w:hAnsi="Arial" w:cs="Arial"/>
                <w:b/>
                <w:bCs/>
                <w:color w:val="C00000"/>
                <w:lang w:val="en-IN"/>
              </w:rPr>
              <w:t xml:space="preserve"> Reject</w:t>
            </w:r>
          </w:p>
        </w:tc>
        <w:tc>
          <w:tcPr>
            <w:tcW w:w="627" w:type="pct"/>
            <w:tcBorders>
              <w:top w:val="nil"/>
              <w:left w:val="nil"/>
              <w:bottom w:val="single" w:sz="4" w:space="0" w:color="auto"/>
              <w:right w:val="single" w:sz="4" w:space="0" w:color="auto"/>
            </w:tcBorders>
            <w:shd w:val="clear" w:color="D9E1F2" w:fill="DEEAF1"/>
            <w:noWrap/>
            <w:vAlign w:val="center"/>
          </w:tcPr>
          <w:p w14:paraId="0942EF99" w14:textId="77777777" w:rsidR="009D4E2F" w:rsidRDefault="00314650">
            <w:pPr>
              <w:spacing w:after="0"/>
              <w:jc w:val="center"/>
              <w:rPr>
                <w:rFonts w:ascii="Arial" w:hAnsi="Arial" w:cs="Arial"/>
                <w:lang w:val="en-IN"/>
              </w:rPr>
            </w:pPr>
            <w:r>
              <w:rPr>
                <w:rFonts w:ascii="Arial" w:hAnsi="Arial" w:cs="Arial"/>
                <w:lang w:val="en-IN"/>
              </w:rPr>
              <w:t> </w:t>
            </w:r>
          </w:p>
        </w:tc>
        <w:tc>
          <w:tcPr>
            <w:tcW w:w="517" w:type="pct"/>
            <w:tcBorders>
              <w:top w:val="nil"/>
              <w:left w:val="nil"/>
              <w:bottom w:val="single" w:sz="4" w:space="0" w:color="auto"/>
              <w:right w:val="single" w:sz="4" w:space="0" w:color="auto"/>
            </w:tcBorders>
            <w:shd w:val="clear" w:color="D9E1F2" w:fill="DEEAF1"/>
            <w:noWrap/>
            <w:vAlign w:val="center"/>
          </w:tcPr>
          <w:p w14:paraId="67EE672B" w14:textId="77777777" w:rsidR="009D4E2F" w:rsidRDefault="00314650">
            <w:pPr>
              <w:spacing w:after="0"/>
              <w:jc w:val="center"/>
              <w:rPr>
                <w:rFonts w:ascii="Arial" w:hAnsi="Arial" w:cs="Arial"/>
                <w:lang w:val="en-IN"/>
              </w:rPr>
            </w:pPr>
            <w:r>
              <w:rPr>
                <w:rFonts w:ascii="Arial" w:hAnsi="Arial" w:cs="Arial"/>
                <w:lang w:val="en-IN"/>
              </w:rPr>
              <w:t> </w:t>
            </w:r>
          </w:p>
        </w:tc>
      </w:tr>
      <w:tr w:rsidR="009D4E2F" w14:paraId="210634CE"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469E9A75"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F2F2F2" w:fill="FFFFFF"/>
            <w:noWrap/>
            <w:vAlign w:val="center"/>
          </w:tcPr>
          <w:p w14:paraId="4D985504"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F2F2F2" w:fill="FFFFFF"/>
            <w:noWrap/>
            <w:vAlign w:val="center"/>
          </w:tcPr>
          <w:p w14:paraId="68026479" w14:textId="77777777" w:rsidR="009D4E2F" w:rsidRDefault="00314650">
            <w:pPr>
              <w:spacing w:after="0"/>
              <w:jc w:val="center"/>
              <w:rPr>
                <w:rFonts w:ascii="Arial" w:hAnsi="Arial" w:cs="Arial"/>
                <w:lang w:val="en-IN"/>
              </w:rPr>
            </w:pPr>
            <w:r>
              <w:rPr>
                <w:rFonts w:ascii="Arial" w:hAnsi="Arial" w:cs="Arial"/>
                <w:lang w:val="en-IN"/>
              </w:rPr>
              <w:t>£50.93</w:t>
            </w:r>
          </w:p>
        </w:tc>
        <w:tc>
          <w:tcPr>
            <w:tcW w:w="485" w:type="pct"/>
            <w:tcBorders>
              <w:top w:val="nil"/>
              <w:left w:val="nil"/>
              <w:bottom w:val="single" w:sz="4" w:space="0" w:color="auto"/>
              <w:right w:val="single" w:sz="4" w:space="0" w:color="auto"/>
            </w:tcBorders>
            <w:shd w:val="clear" w:color="F2F2F2" w:fill="FFFFFF"/>
            <w:noWrap/>
            <w:vAlign w:val="center"/>
          </w:tcPr>
          <w:p w14:paraId="3ED576FC" w14:textId="77777777" w:rsidR="009D4E2F" w:rsidRDefault="00314650">
            <w:pPr>
              <w:spacing w:after="0"/>
              <w:jc w:val="center"/>
              <w:rPr>
                <w:rFonts w:ascii="Arial" w:hAnsi="Arial" w:cs="Arial"/>
                <w:lang w:val="en-IN"/>
              </w:rPr>
            </w:pPr>
            <w:r>
              <w:rPr>
                <w:rFonts w:ascii="Arial" w:hAnsi="Arial" w:cs="Arial"/>
                <w:lang w:val="en-IN"/>
              </w:rPr>
              <w:t>1.0185x</w:t>
            </w:r>
          </w:p>
        </w:tc>
        <w:tc>
          <w:tcPr>
            <w:tcW w:w="485" w:type="pct"/>
            <w:tcBorders>
              <w:top w:val="nil"/>
              <w:left w:val="nil"/>
              <w:bottom w:val="single" w:sz="4" w:space="0" w:color="auto"/>
              <w:right w:val="single" w:sz="4" w:space="0" w:color="auto"/>
            </w:tcBorders>
            <w:shd w:val="clear" w:color="F2F2F2" w:fill="FFFFFF"/>
            <w:noWrap/>
            <w:vAlign w:val="center"/>
          </w:tcPr>
          <w:p w14:paraId="1E427325" w14:textId="77777777" w:rsidR="009D4E2F" w:rsidRDefault="00314650">
            <w:pPr>
              <w:spacing w:after="0"/>
              <w:jc w:val="center"/>
              <w:rPr>
                <w:rFonts w:ascii="Arial" w:hAnsi="Arial" w:cs="Arial"/>
                <w:lang w:val="en-IN"/>
              </w:rPr>
            </w:pPr>
            <w:r>
              <w:rPr>
                <w:rFonts w:ascii="Arial" w:hAnsi="Arial" w:cs="Arial"/>
                <w:lang w:val="en-IN"/>
              </w:rPr>
              <w:t>£0.93</w:t>
            </w:r>
          </w:p>
        </w:tc>
        <w:tc>
          <w:tcPr>
            <w:tcW w:w="709" w:type="pct"/>
            <w:tcBorders>
              <w:top w:val="nil"/>
              <w:left w:val="nil"/>
              <w:bottom w:val="single" w:sz="4" w:space="0" w:color="auto"/>
              <w:right w:val="single" w:sz="4" w:space="0" w:color="auto"/>
            </w:tcBorders>
            <w:shd w:val="clear" w:color="F2F2F2" w:fill="FFFFFF"/>
            <w:noWrap/>
            <w:vAlign w:val="center"/>
          </w:tcPr>
          <w:p w14:paraId="764824DC" w14:textId="77777777" w:rsidR="009D4E2F" w:rsidRDefault="00314650">
            <w:pPr>
              <w:spacing w:after="0"/>
              <w:jc w:val="center"/>
              <w:rPr>
                <w:rFonts w:ascii="Arial" w:hAnsi="Arial" w:cs="Arial"/>
                <w:b/>
                <w:bCs/>
                <w:color w:val="C00000"/>
                <w:lang w:val="en-IN"/>
              </w:rPr>
            </w:pPr>
            <w:r>
              <w:rPr>
                <w:rFonts w:ascii="Segoe UI Symbol" w:hAnsi="Segoe UI Symbol" w:cs="Segoe UI Symbol"/>
                <w:b/>
                <w:bCs/>
                <w:color w:val="C00000"/>
                <w:lang w:val="en-IN"/>
              </w:rPr>
              <w:t>✗</w:t>
            </w:r>
            <w:r>
              <w:rPr>
                <w:rFonts w:ascii="Arial" w:hAnsi="Arial" w:cs="Arial"/>
                <w:b/>
                <w:bCs/>
                <w:color w:val="C00000"/>
                <w:lang w:val="en-IN"/>
              </w:rPr>
              <w:t xml:space="preserve"> Reject</w:t>
            </w:r>
          </w:p>
        </w:tc>
        <w:tc>
          <w:tcPr>
            <w:tcW w:w="627" w:type="pct"/>
            <w:tcBorders>
              <w:top w:val="nil"/>
              <w:left w:val="nil"/>
              <w:bottom w:val="single" w:sz="4" w:space="0" w:color="auto"/>
              <w:right w:val="single" w:sz="4" w:space="0" w:color="auto"/>
            </w:tcBorders>
            <w:shd w:val="clear" w:color="F2F2F2" w:fill="FFFFFF"/>
            <w:noWrap/>
            <w:vAlign w:val="center"/>
          </w:tcPr>
          <w:p w14:paraId="48BB04A2" w14:textId="77777777" w:rsidR="009D4E2F" w:rsidRDefault="00314650">
            <w:pPr>
              <w:spacing w:after="0"/>
              <w:jc w:val="center"/>
              <w:rPr>
                <w:rFonts w:ascii="Arial" w:hAnsi="Arial" w:cs="Arial"/>
                <w:lang w:val="en-IN"/>
              </w:rPr>
            </w:pPr>
            <w:r>
              <w:rPr>
                <w:rFonts w:ascii="Arial" w:hAnsi="Arial" w:cs="Arial"/>
                <w:lang w:val="en-IN"/>
              </w:rPr>
              <w:t> </w:t>
            </w:r>
          </w:p>
        </w:tc>
        <w:tc>
          <w:tcPr>
            <w:tcW w:w="517" w:type="pct"/>
            <w:tcBorders>
              <w:top w:val="nil"/>
              <w:left w:val="nil"/>
              <w:bottom w:val="single" w:sz="4" w:space="0" w:color="auto"/>
              <w:right w:val="single" w:sz="4" w:space="0" w:color="auto"/>
            </w:tcBorders>
            <w:shd w:val="clear" w:color="F2F2F2" w:fill="FFFFFF"/>
            <w:noWrap/>
            <w:vAlign w:val="center"/>
          </w:tcPr>
          <w:p w14:paraId="49AD864E" w14:textId="77777777" w:rsidR="009D4E2F" w:rsidRDefault="00314650">
            <w:pPr>
              <w:spacing w:after="0"/>
              <w:jc w:val="center"/>
              <w:rPr>
                <w:rFonts w:ascii="Arial" w:hAnsi="Arial" w:cs="Arial"/>
                <w:lang w:val="en-IN"/>
              </w:rPr>
            </w:pPr>
            <w:r>
              <w:rPr>
                <w:rFonts w:ascii="Arial" w:hAnsi="Arial" w:cs="Arial"/>
                <w:lang w:val="en-IN"/>
              </w:rPr>
              <w:t> </w:t>
            </w:r>
          </w:p>
        </w:tc>
      </w:tr>
      <w:tr w:rsidR="009D4E2F" w14:paraId="428E8941"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06248DD8" w14:textId="77777777" w:rsidR="009D4E2F" w:rsidRDefault="00314650">
            <w:pPr>
              <w:spacing w:after="0"/>
              <w:jc w:val="left"/>
              <w:rPr>
                <w:rFonts w:ascii="Arial" w:hAnsi="Arial" w:cs="Arial"/>
                <w:lang w:val="en-IN"/>
              </w:rPr>
            </w:pPr>
            <w:r>
              <w:rPr>
                <w:rFonts w:ascii="Arial" w:hAnsi="Arial" w:cs="Arial"/>
                <w:lang w:val="en-IN"/>
              </w:rPr>
              <w:t>Project C</w:t>
            </w:r>
          </w:p>
        </w:tc>
        <w:tc>
          <w:tcPr>
            <w:tcW w:w="545" w:type="pct"/>
            <w:tcBorders>
              <w:top w:val="nil"/>
              <w:left w:val="nil"/>
              <w:bottom w:val="single" w:sz="4" w:space="0" w:color="auto"/>
              <w:right w:val="single" w:sz="4" w:space="0" w:color="auto"/>
            </w:tcBorders>
            <w:shd w:val="clear" w:color="D9E1F2" w:fill="DEEAF1"/>
            <w:noWrap/>
            <w:vAlign w:val="center"/>
          </w:tcPr>
          <w:p w14:paraId="43624420" w14:textId="77777777" w:rsidR="009D4E2F" w:rsidRDefault="00314650">
            <w:pPr>
              <w:spacing w:after="0"/>
              <w:jc w:val="center"/>
              <w:rPr>
                <w:rFonts w:ascii="Arial" w:hAnsi="Arial" w:cs="Arial"/>
                <w:lang w:val="en-IN"/>
              </w:rPr>
            </w:pPr>
            <w:r>
              <w:rPr>
                <w:rFonts w:ascii="Arial" w:hAnsi="Arial" w:cs="Arial"/>
                <w:lang w:val="en-IN"/>
              </w:rPr>
              <w:t>£50.0</w:t>
            </w:r>
          </w:p>
        </w:tc>
        <w:tc>
          <w:tcPr>
            <w:tcW w:w="751" w:type="pct"/>
            <w:tcBorders>
              <w:top w:val="nil"/>
              <w:left w:val="nil"/>
              <w:bottom w:val="single" w:sz="4" w:space="0" w:color="auto"/>
              <w:right w:val="single" w:sz="4" w:space="0" w:color="auto"/>
            </w:tcBorders>
            <w:shd w:val="clear" w:color="D9E1F2" w:fill="DEEAF1"/>
            <w:noWrap/>
            <w:vAlign w:val="center"/>
          </w:tcPr>
          <w:p w14:paraId="2BDC635B" w14:textId="77777777" w:rsidR="009D4E2F" w:rsidRDefault="00314650">
            <w:pPr>
              <w:spacing w:after="0"/>
              <w:jc w:val="center"/>
              <w:rPr>
                <w:rFonts w:ascii="Arial" w:hAnsi="Arial" w:cs="Arial"/>
                <w:lang w:val="en-IN"/>
              </w:rPr>
            </w:pPr>
            <w:r>
              <w:rPr>
                <w:rFonts w:ascii="Arial" w:hAnsi="Arial" w:cs="Arial"/>
                <w:lang w:val="en-IN"/>
              </w:rPr>
              <w:t>£58.33</w:t>
            </w:r>
          </w:p>
        </w:tc>
        <w:tc>
          <w:tcPr>
            <w:tcW w:w="485" w:type="pct"/>
            <w:tcBorders>
              <w:top w:val="nil"/>
              <w:left w:val="nil"/>
              <w:bottom w:val="single" w:sz="4" w:space="0" w:color="auto"/>
              <w:right w:val="single" w:sz="4" w:space="0" w:color="auto"/>
            </w:tcBorders>
            <w:shd w:val="clear" w:color="D9E1F2" w:fill="DEEAF1"/>
            <w:noWrap/>
            <w:vAlign w:val="center"/>
          </w:tcPr>
          <w:p w14:paraId="40DC6AD5" w14:textId="77777777" w:rsidR="009D4E2F" w:rsidRDefault="00314650">
            <w:pPr>
              <w:spacing w:after="0"/>
              <w:jc w:val="center"/>
              <w:rPr>
                <w:rFonts w:ascii="Arial" w:hAnsi="Arial" w:cs="Arial"/>
                <w:lang w:val="en-IN"/>
              </w:rPr>
            </w:pPr>
            <w:r>
              <w:rPr>
                <w:rFonts w:ascii="Arial" w:hAnsi="Arial" w:cs="Arial"/>
                <w:lang w:val="en-IN"/>
              </w:rPr>
              <w:t>1.1667x</w:t>
            </w:r>
          </w:p>
        </w:tc>
        <w:tc>
          <w:tcPr>
            <w:tcW w:w="485" w:type="pct"/>
            <w:tcBorders>
              <w:top w:val="nil"/>
              <w:left w:val="nil"/>
              <w:bottom w:val="single" w:sz="4" w:space="0" w:color="auto"/>
              <w:right w:val="single" w:sz="4" w:space="0" w:color="auto"/>
            </w:tcBorders>
            <w:shd w:val="clear" w:color="D9E1F2" w:fill="DEEAF1"/>
            <w:noWrap/>
            <w:vAlign w:val="center"/>
          </w:tcPr>
          <w:p w14:paraId="62FB3FE0" w14:textId="77777777" w:rsidR="009D4E2F" w:rsidRDefault="00314650">
            <w:pPr>
              <w:spacing w:after="0"/>
              <w:jc w:val="center"/>
              <w:rPr>
                <w:rFonts w:ascii="Arial" w:hAnsi="Arial" w:cs="Arial"/>
                <w:lang w:val="en-IN"/>
              </w:rPr>
            </w:pPr>
            <w:r>
              <w:rPr>
                <w:rFonts w:ascii="Arial" w:hAnsi="Arial" w:cs="Arial"/>
                <w:lang w:val="en-IN"/>
              </w:rPr>
              <w:t>£8.33</w:t>
            </w:r>
          </w:p>
        </w:tc>
        <w:tc>
          <w:tcPr>
            <w:tcW w:w="709" w:type="pct"/>
            <w:tcBorders>
              <w:top w:val="nil"/>
              <w:left w:val="nil"/>
              <w:bottom w:val="single" w:sz="4" w:space="0" w:color="auto"/>
              <w:right w:val="single" w:sz="4" w:space="0" w:color="auto"/>
            </w:tcBorders>
            <w:shd w:val="clear" w:color="D9E1F2" w:fill="DEEAF1"/>
            <w:noWrap/>
            <w:vAlign w:val="center"/>
          </w:tcPr>
          <w:p w14:paraId="5BCE4DB0" w14:textId="77777777" w:rsidR="009D4E2F" w:rsidRDefault="00314650">
            <w:pPr>
              <w:spacing w:after="0"/>
              <w:jc w:val="center"/>
              <w:rPr>
                <w:rFonts w:ascii="Arial" w:hAnsi="Arial" w:cs="Arial"/>
                <w:b/>
                <w:bCs/>
                <w:color w:val="C00000"/>
                <w:lang w:val="en-IN"/>
              </w:rPr>
            </w:pPr>
            <w:r>
              <w:rPr>
                <w:rFonts w:ascii="Segoe UI Symbol" w:hAnsi="Segoe UI Symbol" w:cs="Segoe UI Symbol"/>
                <w:b/>
                <w:bCs/>
                <w:color w:val="C00000"/>
                <w:lang w:val="en-IN"/>
              </w:rPr>
              <w:t>✗</w:t>
            </w:r>
            <w:r>
              <w:rPr>
                <w:rFonts w:ascii="Arial" w:hAnsi="Arial" w:cs="Arial"/>
                <w:b/>
                <w:bCs/>
                <w:color w:val="C00000"/>
                <w:lang w:val="en-IN"/>
              </w:rPr>
              <w:t xml:space="preserve"> Reject</w:t>
            </w:r>
          </w:p>
        </w:tc>
        <w:tc>
          <w:tcPr>
            <w:tcW w:w="627" w:type="pct"/>
            <w:tcBorders>
              <w:top w:val="nil"/>
              <w:left w:val="nil"/>
              <w:bottom w:val="single" w:sz="4" w:space="0" w:color="auto"/>
              <w:right w:val="single" w:sz="4" w:space="0" w:color="auto"/>
            </w:tcBorders>
            <w:shd w:val="clear" w:color="D9E1F2" w:fill="DEEAF1"/>
            <w:noWrap/>
            <w:vAlign w:val="center"/>
          </w:tcPr>
          <w:p w14:paraId="14874690" w14:textId="77777777" w:rsidR="009D4E2F" w:rsidRDefault="00314650">
            <w:pPr>
              <w:spacing w:after="0"/>
              <w:jc w:val="center"/>
              <w:rPr>
                <w:rFonts w:ascii="Arial" w:hAnsi="Arial" w:cs="Arial"/>
                <w:lang w:val="en-IN"/>
              </w:rPr>
            </w:pPr>
            <w:r>
              <w:rPr>
                <w:rFonts w:ascii="Arial" w:hAnsi="Arial" w:cs="Arial"/>
                <w:lang w:val="en-IN"/>
              </w:rPr>
              <w:t> </w:t>
            </w:r>
          </w:p>
        </w:tc>
        <w:tc>
          <w:tcPr>
            <w:tcW w:w="517" w:type="pct"/>
            <w:tcBorders>
              <w:top w:val="nil"/>
              <w:left w:val="nil"/>
              <w:bottom w:val="single" w:sz="4" w:space="0" w:color="auto"/>
              <w:right w:val="single" w:sz="4" w:space="0" w:color="auto"/>
            </w:tcBorders>
            <w:shd w:val="clear" w:color="D9E1F2" w:fill="DEEAF1"/>
            <w:noWrap/>
            <w:vAlign w:val="center"/>
          </w:tcPr>
          <w:p w14:paraId="24AAABD3" w14:textId="77777777" w:rsidR="009D4E2F" w:rsidRDefault="00314650">
            <w:pPr>
              <w:spacing w:after="0"/>
              <w:jc w:val="center"/>
              <w:rPr>
                <w:rFonts w:ascii="Arial" w:hAnsi="Arial" w:cs="Arial"/>
                <w:lang w:val="en-IN"/>
              </w:rPr>
            </w:pPr>
            <w:r>
              <w:rPr>
                <w:rFonts w:ascii="Arial" w:hAnsi="Arial" w:cs="Arial"/>
                <w:lang w:val="en-IN"/>
              </w:rPr>
              <w:t> </w:t>
            </w:r>
          </w:p>
        </w:tc>
      </w:tr>
      <w:tr w:rsidR="009D4E2F" w14:paraId="0260ED95" w14:textId="77777777">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tcPr>
          <w:p w14:paraId="71346704"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Best: Project C (highest value per £ invested – key for capital rationing)</w:t>
            </w:r>
          </w:p>
        </w:tc>
      </w:tr>
      <w:tr w:rsidR="009D4E2F" w14:paraId="1946AD80" w14:textId="77777777">
        <w:trPr>
          <w:trHeight w:val="288"/>
        </w:trPr>
        <w:tc>
          <w:tcPr>
            <w:tcW w:w="881" w:type="pct"/>
            <w:tcBorders>
              <w:top w:val="nil"/>
              <w:left w:val="nil"/>
              <w:bottom w:val="nil"/>
              <w:right w:val="nil"/>
            </w:tcBorders>
            <w:noWrap/>
            <w:vAlign w:val="bottom"/>
          </w:tcPr>
          <w:p w14:paraId="5B871A9C" w14:textId="77777777" w:rsidR="009D4E2F" w:rsidRDefault="009D4E2F">
            <w:pPr>
              <w:spacing w:after="0"/>
              <w:jc w:val="left"/>
              <w:rPr>
                <w:rFonts w:ascii="Arial" w:hAnsi="Arial" w:cs="Arial"/>
                <w:b/>
                <w:bCs/>
                <w:color w:val="FFFFFF"/>
                <w:lang w:val="en-IN"/>
              </w:rPr>
            </w:pPr>
          </w:p>
        </w:tc>
        <w:tc>
          <w:tcPr>
            <w:tcW w:w="545" w:type="pct"/>
            <w:tcBorders>
              <w:top w:val="nil"/>
              <w:left w:val="nil"/>
              <w:bottom w:val="nil"/>
              <w:right w:val="nil"/>
            </w:tcBorders>
            <w:noWrap/>
            <w:vAlign w:val="bottom"/>
          </w:tcPr>
          <w:p w14:paraId="6914B654" w14:textId="77777777" w:rsidR="009D4E2F" w:rsidRDefault="009D4E2F">
            <w:pPr>
              <w:spacing w:after="0"/>
              <w:jc w:val="left"/>
              <w:rPr>
                <w:rFonts w:ascii="Arial" w:hAnsi="Arial" w:cs="Arial"/>
                <w:lang w:val="en-IN"/>
              </w:rPr>
            </w:pPr>
          </w:p>
        </w:tc>
        <w:tc>
          <w:tcPr>
            <w:tcW w:w="751" w:type="pct"/>
            <w:tcBorders>
              <w:top w:val="nil"/>
              <w:left w:val="nil"/>
              <w:bottom w:val="nil"/>
              <w:right w:val="nil"/>
            </w:tcBorders>
            <w:noWrap/>
            <w:vAlign w:val="bottom"/>
          </w:tcPr>
          <w:p w14:paraId="5AA39552"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50A45EB4" w14:textId="77777777" w:rsidR="009D4E2F" w:rsidRDefault="009D4E2F">
            <w:pPr>
              <w:spacing w:after="0"/>
              <w:jc w:val="left"/>
              <w:rPr>
                <w:rFonts w:ascii="Arial" w:hAnsi="Arial" w:cs="Arial"/>
                <w:lang w:val="en-IN"/>
              </w:rPr>
            </w:pPr>
          </w:p>
        </w:tc>
        <w:tc>
          <w:tcPr>
            <w:tcW w:w="485" w:type="pct"/>
            <w:tcBorders>
              <w:top w:val="nil"/>
              <w:left w:val="nil"/>
              <w:bottom w:val="nil"/>
              <w:right w:val="nil"/>
            </w:tcBorders>
            <w:noWrap/>
            <w:vAlign w:val="bottom"/>
          </w:tcPr>
          <w:p w14:paraId="4CD1F927" w14:textId="77777777" w:rsidR="009D4E2F" w:rsidRDefault="009D4E2F">
            <w:pPr>
              <w:spacing w:after="0"/>
              <w:jc w:val="left"/>
              <w:rPr>
                <w:rFonts w:ascii="Arial" w:hAnsi="Arial" w:cs="Arial"/>
                <w:lang w:val="en-IN"/>
              </w:rPr>
            </w:pPr>
          </w:p>
        </w:tc>
        <w:tc>
          <w:tcPr>
            <w:tcW w:w="709" w:type="pct"/>
            <w:tcBorders>
              <w:top w:val="nil"/>
              <w:left w:val="nil"/>
              <w:bottom w:val="nil"/>
              <w:right w:val="nil"/>
            </w:tcBorders>
            <w:noWrap/>
            <w:vAlign w:val="bottom"/>
          </w:tcPr>
          <w:p w14:paraId="2E503E3C" w14:textId="77777777" w:rsidR="009D4E2F" w:rsidRDefault="009D4E2F">
            <w:pPr>
              <w:spacing w:after="0"/>
              <w:jc w:val="left"/>
              <w:rPr>
                <w:rFonts w:ascii="Arial" w:hAnsi="Arial" w:cs="Arial"/>
                <w:lang w:val="en-IN"/>
              </w:rPr>
            </w:pPr>
          </w:p>
        </w:tc>
        <w:tc>
          <w:tcPr>
            <w:tcW w:w="627" w:type="pct"/>
            <w:tcBorders>
              <w:top w:val="nil"/>
              <w:left w:val="nil"/>
              <w:bottom w:val="nil"/>
              <w:right w:val="nil"/>
            </w:tcBorders>
            <w:noWrap/>
            <w:vAlign w:val="bottom"/>
          </w:tcPr>
          <w:p w14:paraId="5770614E" w14:textId="77777777" w:rsidR="009D4E2F" w:rsidRDefault="009D4E2F">
            <w:pPr>
              <w:spacing w:after="0"/>
              <w:jc w:val="left"/>
              <w:rPr>
                <w:rFonts w:ascii="Arial" w:hAnsi="Arial" w:cs="Arial"/>
                <w:lang w:val="en-IN"/>
              </w:rPr>
            </w:pPr>
          </w:p>
        </w:tc>
        <w:tc>
          <w:tcPr>
            <w:tcW w:w="517" w:type="pct"/>
            <w:tcBorders>
              <w:top w:val="nil"/>
              <w:left w:val="nil"/>
              <w:bottom w:val="nil"/>
              <w:right w:val="nil"/>
            </w:tcBorders>
            <w:noWrap/>
            <w:vAlign w:val="bottom"/>
          </w:tcPr>
          <w:p w14:paraId="0D51E18E" w14:textId="77777777" w:rsidR="009D4E2F" w:rsidRDefault="009D4E2F">
            <w:pPr>
              <w:spacing w:after="0"/>
              <w:jc w:val="left"/>
              <w:rPr>
                <w:rFonts w:ascii="Arial" w:hAnsi="Arial" w:cs="Arial"/>
                <w:lang w:val="en-IN"/>
              </w:rPr>
            </w:pPr>
          </w:p>
        </w:tc>
      </w:tr>
      <w:tr w:rsidR="009D4E2F" w14:paraId="4B668EDA" w14:textId="77777777">
        <w:trPr>
          <w:trHeight w:val="360"/>
        </w:trPr>
        <w:tc>
          <w:tcPr>
            <w:tcW w:w="5000" w:type="pct"/>
            <w:gridSpan w:val="8"/>
            <w:tcBorders>
              <w:top w:val="single" w:sz="4" w:space="0" w:color="auto"/>
              <w:left w:val="single" w:sz="4" w:space="0" w:color="auto"/>
              <w:bottom w:val="single" w:sz="4" w:space="0" w:color="auto"/>
              <w:right w:val="nil"/>
            </w:tcBorders>
            <w:shd w:val="clear" w:color="0066CC" w:fill="2E75B6"/>
            <w:noWrap/>
            <w:vAlign w:val="center"/>
          </w:tcPr>
          <w:p w14:paraId="477AC1B8" w14:textId="77777777" w:rsidR="009D4E2F" w:rsidRDefault="00314650">
            <w:pPr>
              <w:spacing w:after="0"/>
              <w:jc w:val="center"/>
              <w:rPr>
                <w:rFonts w:ascii="Arial" w:hAnsi="Arial" w:cs="Arial"/>
                <w:b/>
                <w:bCs/>
                <w:color w:val="FFFFFF"/>
                <w:lang w:val="en-IN"/>
              </w:rPr>
            </w:pPr>
            <w:r>
              <w:rPr>
                <w:rFonts w:ascii="Arial" w:hAnsi="Arial" w:cs="Arial"/>
                <w:b/>
                <w:bCs/>
                <w:color w:val="FFFFFF"/>
                <w:lang w:val="en-IN"/>
              </w:rPr>
              <w:t>5. Internal Rate of Return (</w:t>
            </w:r>
            <w:proofErr w:type="gramStart"/>
            <w:r>
              <w:rPr>
                <w:rFonts w:ascii="Arial" w:hAnsi="Arial" w:cs="Arial"/>
                <w:b/>
                <w:bCs/>
                <w:color w:val="FFFFFF"/>
                <w:lang w:val="en-IN"/>
              </w:rPr>
              <w:t>IRR)  –</w:t>
            </w:r>
            <w:proofErr w:type="gramEnd"/>
            <w:r>
              <w:rPr>
                <w:rFonts w:ascii="Arial" w:hAnsi="Arial" w:cs="Arial"/>
                <w:b/>
                <w:bCs/>
                <w:color w:val="FFFFFF"/>
                <w:lang w:val="en-IN"/>
              </w:rPr>
              <w:t xml:space="preserve">  Hurdle Rate: 8%</w:t>
            </w:r>
          </w:p>
        </w:tc>
      </w:tr>
      <w:tr w:rsidR="009D4E2F" w14:paraId="0C7F732D" w14:textId="77777777">
        <w:trPr>
          <w:trHeight w:val="315"/>
        </w:trPr>
        <w:tc>
          <w:tcPr>
            <w:tcW w:w="881" w:type="pct"/>
            <w:tcBorders>
              <w:top w:val="nil"/>
              <w:left w:val="single" w:sz="4" w:space="0" w:color="auto"/>
              <w:bottom w:val="single" w:sz="4" w:space="0" w:color="auto"/>
              <w:right w:val="single" w:sz="4" w:space="0" w:color="auto"/>
            </w:tcBorders>
            <w:shd w:val="clear" w:color="D9E1F2" w:fill="BDD7EE"/>
            <w:noWrap/>
            <w:vAlign w:val="center"/>
          </w:tcPr>
          <w:p w14:paraId="38832753" w14:textId="77777777" w:rsidR="009D4E2F" w:rsidRDefault="00314650">
            <w:pPr>
              <w:spacing w:after="0"/>
              <w:jc w:val="center"/>
              <w:rPr>
                <w:rFonts w:ascii="Arial" w:hAnsi="Arial" w:cs="Arial"/>
                <w:b/>
                <w:bCs/>
                <w:lang w:val="en-IN"/>
              </w:rPr>
            </w:pPr>
            <w:r>
              <w:rPr>
                <w:rFonts w:ascii="Arial" w:hAnsi="Arial" w:cs="Arial"/>
                <w:b/>
                <w:bCs/>
                <w:lang w:val="en-IN"/>
              </w:rPr>
              <w:t>Project</w:t>
            </w:r>
          </w:p>
        </w:tc>
        <w:tc>
          <w:tcPr>
            <w:tcW w:w="545" w:type="pct"/>
            <w:tcBorders>
              <w:top w:val="nil"/>
              <w:left w:val="nil"/>
              <w:bottom w:val="single" w:sz="4" w:space="0" w:color="auto"/>
              <w:right w:val="single" w:sz="4" w:space="0" w:color="auto"/>
            </w:tcBorders>
            <w:shd w:val="clear" w:color="D9E1F2" w:fill="BDD7EE"/>
            <w:noWrap/>
            <w:vAlign w:val="center"/>
          </w:tcPr>
          <w:p w14:paraId="1A8864BC" w14:textId="77777777" w:rsidR="009D4E2F" w:rsidRDefault="00314650">
            <w:pPr>
              <w:spacing w:after="0"/>
              <w:jc w:val="center"/>
              <w:rPr>
                <w:rFonts w:ascii="Arial" w:hAnsi="Arial" w:cs="Arial"/>
                <w:b/>
                <w:bCs/>
                <w:lang w:val="en-IN"/>
              </w:rPr>
            </w:pPr>
            <w:r>
              <w:rPr>
                <w:rFonts w:ascii="Arial" w:hAnsi="Arial" w:cs="Arial"/>
                <w:b/>
                <w:bCs/>
                <w:lang w:val="en-IN"/>
              </w:rPr>
              <w:t>Year 0</w:t>
            </w:r>
          </w:p>
        </w:tc>
        <w:tc>
          <w:tcPr>
            <w:tcW w:w="751" w:type="pct"/>
            <w:tcBorders>
              <w:top w:val="nil"/>
              <w:left w:val="nil"/>
              <w:bottom w:val="single" w:sz="4" w:space="0" w:color="auto"/>
              <w:right w:val="single" w:sz="4" w:space="0" w:color="auto"/>
            </w:tcBorders>
            <w:shd w:val="clear" w:color="D9E1F2" w:fill="BDD7EE"/>
            <w:noWrap/>
            <w:vAlign w:val="center"/>
          </w:tcPr>
          <w:p w14:paraId="7D8D4201" w14:textId="77777777" w:rsidR="009D4E2F" w:rsidRDefault="00314650">
            <w:pPr>
              <w:spacing w:after="0"/>
              <w:jc w:val="center"/>
              <w:rPr>
                <w:rFonts w:ascii="Arial" w:hAnsi="Arial" w:cs="Arial"/>
                <w:b/>
                <w:bCs/>
                <w:lang w:val="en-IN"/>
              </w:rPr>
            </w:pPr>
            <w:r>
              <w:rPr>
                <w:rFonts w:ascii="Arial" w:hAnsi="Arial" w:cs="Arial"/>
                <w:b/>
                <w:bCs/>
                <w:lang w:val="en-IN"/>
              </w:rPr>
              <w:t>Year 1</w:t>
            </w:r>
          </w:p>
        </w:tc>
        <w:tc>
          <w:tcPr>
            <w:tcW w:w="485" w:type="pct"/>
            <w:tcBorders>
              <w:top w:val="nil"/>
              <w:left w:val="nil"/>
              <w:bottom w:val="single" w:sz="4" w:space="0" w:color="auto"/>
              <w:right w:val="single" w:sz="4" w:space="0" w:color="auto"/>
            </w:tcBorders>
            <w:shd w:val="clear" w:color="D9E1F2" w:fill="BDD7EE"/>
            <w:noWrap/>
            <w:vAlign w:val="center"/>
          </w:tcPr>
          <w:p w14:paraId="2F2A2C08" w14:textId="77777777" w:rsidR="009D4E2F" w:rsidRDefault="00314650">
            <w:pPr>
              <w:spacing w:after="0"/>
              <w:jc w:val="center"/>
              <w:rPr>
                <w:rFonts w:ascii="Arial" w:hAnsi="Arial" w:cs="Arial"/>
                <w:b/>
                <w:bCs/>
                <w:lang w:val="en-IN"/>
              </w:rPr>
            </w:pPr>
            <w:r>
              <w:rPr>
                <w:rFonts w:ascii="Arial" w:hAnsi="Arial" w:cs="Arial"/>
                <w:b/>
                <w:bCs/>
                <w:lang w:val="en-IN"/>
              </w:rPr>
              <w:t>Year 2</w:t>
            </w:r>
          </w:p>
        </w:tc>
        <w:tc>
          <w:tcPr>
            <w:tcW w:w="485" w:type="pct"/>
            <w:tcBorders>
              <w:top w:val="nil"/>
              <w:left w:val="nil"/>
              <w:bottom w:val="single" w:sz="4" w:space="0" w:color="auto"/>
              <w:right w:val="single" w:sz="4" w:space="0" w:color="auto"/>
            </w:tcBorders>
            <w:shd w:val="clear" w:color="D9E1F2" w:fill="BDD7EE"/>
            <w:noWrap/>
            <w:vAlign w:val="center"/>
          </w:tcPr>
          <w:p w14:paraId="7FE7F88F" w14:textId="77777777" w:rsidR="009D4E2F" w:rsidRDefault="00314650">
            <w:pPr>
              <w:spacing w:after="0"/>
              <w:jc w:val="center"/>
              <w:rPr>
                <w:rFonts w:ascii="Arial" w:hAnsi="Arial" w:cs="Arial"/>
                <w:b/>
                <w:bCs/>
                <w:lang w:val="en-IN"/>
              </w:rPr>
            </w:pPr>
            <w:r>
              <w:rPr>
                <w:rFonts w:ascii="Arial" w:hAnsi="Arial" w:cs="Arial"/>
                <w:b/>
                <w:bCs/>
                <w:lang w:val="en-IN"/>
              </w:rPr>
              <w:t>Year 3</w:t>
            </w:r>
          </w:p>
        </w:tc>
        <w:tc>
          <w:tcPr>
            <w:tcW w:w="709" w:type="pct"/>
            <w:tcBorders>
              <w:top w:val="nil"/>
              <w:left w:val="nil"/>
              <w:bottom w:val="single" w:sz="4" w:space="0" w:color="auto"/>
              <w:right w:val="single" w:sz="4" w:space="0" w:color="auto"/>
            </w:tcBorders>
            <w:shd w:val="clear" w:color="D9E1F2" w:fill="BDD7EE"/>
            <w:noWrap/>
            <w:vAlign w:val="center"/>
          </w:tcPr>
          <w:p w14:paraId="013774FF" w14:textId="77777777" w:rsidR="009D4E2F" w:rsidRDefault="00314650">
            <w:pPr>
              <w:spacing w:after="0"/>
              <w:jc w:val="center"/>
              <w:rPr>
                <w:rFonts w:ascii="Arial" w:hAnsi="Arial" w:cs="Arial"/>
                <w:b/>
                <w:bCs/>
                <w:lang w:val="en-IN"/>
              </w:rPr>
            </w:pPr>
            <w:r>
              <w:rPr>
                <w:rFonts w:ascii="Arial" w:hAnsi="Arial" w:cs="Arial"/>
                <w:b/>
                <w:bCs/>
                <w:lang w:val="en-IN"/>
              </w:rPr>
              <w:t>Year 4</w:t>
            </w:r>
          </w:p>
        </w:tc>
        <w:tc>
          <w:tcPr>
            <w:tcW w:w="627" w:type="pct"/>
            <w:tcBorders>
              <w:top w:val="nil"/>
              <w:left w:val="nil"/>
              <w:bottom w:val="single" w:sz="4" w:space="0" w:color="auto"/>
              <w:right w:val="single" w:sz="4" w:space="0" w:color="auto"/>
            </w:tcBorders>
            <w:shd w:val="clear" w:color="D9E1F2" w:fill="BDD7EE"/>
            <w:noWrap/>
            <w:vAlign w:val="center"/>
          </w:tcPr>
          <w:p w14:paraId="4790159B" w14:textId="77777777" w:rsidR="009D4E2F" w:rsidRDefault="00314650">
            <w:pPr>
              <w:spacing w:after="0"/>
              <w:jc w:val="center"/>
              <w:rPr>
                <w:rFonts w:ascii="Arial" w:hAnsi="Arial" w:cs="Arial"/>
                <w:b/>
                <w:bCs/>
                <w:lang w:val="en-IN"/>
              </w:rPr>
            </w:pPr>
            <w:r>
              <w:rPr>
                <w:rFonts w:ascii="Arial" w:hAnsi="Arial" w:cs="Arial"/>
                <w:b/>
                <w:bCs/>
                <w:lang w:val="en-IN"/>
              </w:rPr>
              <w:t>Year 5</w:t>
            </w:r>
          </w:p>
        </w:tc>
        <w:tc>
          <w:tcPr>
            <w:tcW w:w="517" w:type="pct"/>
            <w:tcBorders>
              <w:top w:val="nil"/>
              <w:left w:val="nil"/>
              <w:bottom w:val="single" w:sz="4" w:space="0" w:color="auto"/>
              <w:right w:val="single" w:sz="4" w:space="0" w:color="auto"/>
            </w:tcBorders>
            <w:shd w:val="clear" w:color="D9E1F2" w:fill="BDD7EE"/>
            <w:noWrap/>
            <w:vAlign w:val="center"/>
          </w:tcPr>
          <w:p w14:paraId="7D99B346" w14:textId="77777777" w:rsidR="009D4E2F" w:rsidRDefault="00314650">
            <w:pPr>
              <w:spacing w:after="0"/>
              <w:jc w:val="center"/>
              <w:rPr>
                <w:rFonts w:ascii="Arial" w:hAnsi="Arial" w:cs="Arial"/>
                <w:b/>
                <w:bCs/>
                <w:lang w:val="en-IN"/>
              </w:rPr>
            </w:pPr>
            <w:r>
              <w:rPr>
                <w:rFonts w:ascii="Arial" w:hAnsi="Arial" w:cs="Arial"/>
                <w:b/>
                <w:bCs/>
                <w:lang w:val="en-IN"/>
              </w:rPr>
              <w:t>IRR (%)</w:t>
            </w:r>
          </w:p>
        </w:tc>
      </w:tr>
      <w:tr w:rsidR="009D4E2F" w14:paraId="4B44F89A"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10724ACF" w14:textId="77777777" w:rsidR="009D4E2F" w:rsidRDefault="00314650">
            <w:pPr>
              <w:spacing w:after="0"/>
              <w:jc w:val="left"/>
              <w:rPr>
                <w:rFonts w:ascii="Arial" w:hAnsi="Arial" w:cs="Arial"/>
                <w:lang w:val="en-IN"/>
              </w:rPr>
            </w:pPr>
            <w:r>
              <w:rPr>
                <w:rFonts w:ascii="Arial" w:hAnsi="Arial" w:cs="Arial"/>
                <w:lang w:val="en-IN"/>
              </w:rPr>
              <w:t>Project A</w:t>
            </w:r>
          </w:p>
        </w:tc>
        <w:tc>
          <w:tcPr>
            <w:tcW w:w="545" w:type="pct"/>
            <w:tcBorders>
              <w:top w:val="nil"/>
              <w:left w:val="nil"/>
              <w:bottom w:val="single" w:sz="4" w:space="0" w:color="auto"/>
              <w:right w:val="single" w:sz="4" w:space="0" w:color="auto"/>
            </w:tcBorders>
            <w:shd w:val="clear" w:color="D9E1F2" w:fill="DEEAF1"/>
            <w:noWrap/>
            <w:vAlign w:val="center"/>
          </w:tcPr>
          <w:p w14:paraId="0BACA94A" w14:textId="77777777" w:rsidR="009D4E2F" w:rsidRDefault="00314650">
            <w:pPr>
              <w:spacing w:after="0"/>
              <w:jc w:val="center"/>
              <w:rPr>
                <w:rFonts w:ascii="Arial" w:hAnsi="Arial" w:cs="Arial"/>
                <w:lang w:val="en-IN"/>
              </w:rPr>
            </w:pPr>
            <w:r>
              <w:rPr>
                <w:rFonts w:ascii="Arial" w:hAnsi="Arial" w:cs="Arial"/>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tcPr>
          <w:p w14:paraId="79E7374C" w14:textId="77777777" w:rsidR="009D4E2F" w:rsidRDefault="00314650">
            <w:pPr>
              <w:spacing w:after="0"/>
              <w:jc w:val="center"/>
              <w:rPr>
                <w:rFonts w:ascii="Arial" w:hAnsi="Arial" w:cs="Arial"/>
                <w:lang w:val="en-IN"/>
              </w:rPr>
            </w:pPr>
            <w:r>
              <w:rPr>
                <w:rFonts w:ascii="Arial" w:hAnsi="Arial" w:cs="Arial"/>
                <w:lang w:val="en-IN"/>
              </w:rPr>
              <w:t>£7.41</w:t>
            </w:r>
          </w:p>
        </w:tc>
        <w:tc>
          <w:tcPr>
            <w:tcW w:w="485" w:type="pct"/>
            <w:tcBorders>
              <w:top w:val="nil"/>
              <w:left w:val="nil"/>
              <w:bottom w:val="single" w:sz="4" w:space="0" w:color="auto"/>
              <w:right w:val="single" w:sz="4" w:space="0" w:color="auto"/>
            </w:tcBorders>
            <w:shd w:val="clear" w:color="D9E1F2" w:fill="DEEAF1"/>
            <w:noWrap/>
            <w:vAlign w:val="center"/>
          </w:tcPr>
          <w:p w14:paraId="36416063" w14:textId="77777777" w:rsidR="009D4E2F" w:rsidRDefault="00314650">
            <w:pPr>
              <w:spacing w:after="0"/>
              <w:jc w:val="center"/>
              <w:rPr>
                <w:rFonts w:ascii="Arial" w:hAnsi="Arial" w:cs="Arial"/>
                <w:lang w:val="en-IN"/>
              </w:rPr>
            </w:pPr>
            <w:r>
              <w:rPr>
                <w:rFonts w:ascii="Arial" w:hAnsi="Arial" w:cs="Arial"/>
                <w:lang w:val="en-IN"/>
              </w:rPr>
              <w:t>£11.11</w:t>
            </w:r>
          </w:p>
        </w:tc>
        <w:tc>
          <w:tcPr>
            <w:tcW w:w="485" w:type="pct"/>
            <w:tcBorders>
              <w:top w:val="nil"/>
              <w:left w:val="nil"/>
              <w:bottom w:val="single" w:sz="4" w:space="0" w:color="auto"/>
              <w:right w:val="single" w:sz="4" w:space="0" w:color="auto"/>
            </w:tcBorders>
            <w:shd w:val="clear" w:color="D9E1F2" w:fill="DEEAF1"/>
            <w:noWrap/>
            <w:vAlign w:val="center"/>
          </w:tcPr>
          <w:p w14:paraId="051B8086" w14:textId="77777777" w:rsidR="009D4E2F" w:rsidRDefault="00314650">
            <w:pPr>
              <w:spacing w:after="0"/>
              <w:jc w:val="center"/>
              <w:rPr>
                <w:rFonts w:ascii="Arial" w:hAnsi="Arial" w:cs="Arial"/>
                <w:lang w:val="en-IN"/>
              </w:rPr>
            </w:pPr>
            <w:r>
              <w:rPr>
                <w:rFonts w:ascii="Arial" w:hAnsi="Arial" w:cs="Arial"/>
                <w:lang w:val="en-IN"/>
              </w:rPr>
              <w:t>£12.96</w:t>
            </w:r>
          </w:p>
        </w:tc>
        <w:tc>
          <w:tcPr>
            <w:tcW w:w="709" w:type="pct"/>
            <w:tcBorders>
              <w:top w:val="nil"/>
              <w:left w:val="nil"/>
              <w:bottom w:val="single" w:sz="4" w:space="0" w:color="auto"/>
              <w:right w:val="single" w:sz="4" w:space="0" w:color="auto"/>
            </w:tcBorders>
            <w:shd w:val="clear" w:color="D9E1F2" w:fill="DEEAF1"/>
            <w:noWrap/>
            <w:vAlign w:val="center"/>
          </w:tcPr>
          <w:p w14:paraId="0B1E3DE5" w14:textId="77777777" w:rsidR="009D4E2F" w:rsidRDefault="00314650">
            <w:pPr>
              <w:spacing w:after="0"/>
              <w:jc w:val="center"/>
              <w:rPr>
                <w:rFonts w:ascii="Arial" w:hAnsi="Arial" w:cs="Arial"/>
                <w:lang w:val="en-IN"/>
              </w:rPr>
            </w:pPr>
            <w:r>
              <w:rPr>
                <w:rFonts w:ascii="Arial" w:hAnsi="Arial" w:cs="Arial"/>
                <w:lang w:val="en-IN"/>
              </w:rPr>
              <w:t>£7.41</w:t>
            </w:r>
          </w:p>
        </w:tc>
        <w:tc>
          <w:tcPr>
            <w:tcW w:w="627" w:type="pct"/>
            <w:tcBorders>
              <w:top w:val="nil"/>
              <w:left w:val="nil"/>
              <w:bottom w:val="single" w:sz="4" w:space="0" w:color="auto"/>
              <w:right w:val="single" w:sz="4" w:space="0" w:color="auto"/>
            </w:tcBorders>
            <w:shd w:val="clear" w:color="D9E1F2" w:fill="DEEAF1"/>
            <w:noWrap/>
            <w:vAlign w:val="center"/>
          </w:tcPr>
          <w:p w14:paraId="223929EC" w14:textId="77777777" w:rsidR="009D4E2F" w:rsidRDefault="00314650">
            <w:pPr>
              <w:spacing w:after="0"/>
              <w:jc w:val="center"/>
              <w:rPr>
                <w:rFonts w:ascii="Arial" w:hAnsi="Arial" w:cs="Arial"/>
                <w:lang w:val="en-IN"/>
              </w:rPr>
            </w:pPr>
            <w:r>
              <w:rPr>
                <w:rFonts w:ascii="Arial" w:hAnsi="Arial" w:cs="Arial"/>
                <w:lang w:val="en-IN"/>
              </w:rPr>
              <w:t>£7.41</w:t>
            </w:r>
          </w:p>
        </w:tc>
        <w:tc>
          <w:tcPr>
            <w:tcW w:w="517" w:type="pct"/>
            <w:tcBorders>
              <w:top w:val="nil"/>
              <w:left w:val="nil"/>
              <w:bottom w:val="single" w:sz="4" w:space="0" w:color="auto"/>
              <w:right w:val="single" w:sz="4" w:space="0" w:color="auto"/>
            </w:tcBorders>
            <w:shd w:val="clear" w:color="D9E1F2" w:fill="DEEAF1"/>
            <w:noWrap/>
            <w:vAlign w:val="center"/>
          </w:tcPr>
          <w:p w14:paraId="060A1143"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-2.58%</w:t>
            </w:r>
          </w:p>
        </w:tc>
      </w:tr>
      <w:tr w:rsidR="009D4E2F" w14:paraId="637FAC9B" w14:textId="77777777">
        <w:trPr>
          <w:trHeight w:val="300"/>
        </w:trPr>
        <w:tc>
          <w:tcPr>
            <w:tcW w:w="881" w:type="pct"/>
            <w:tcBorders>
              <w:top w:val="nil"/>
              <w:left w:val="single" w:sz="4" w:space="0" w:color="auto"/>
              <w:bottom w:val="single" w:sz="4" w:space="0" w:color="auto"/>
              <w:right w:val="single" w:sz="4" w:space="0" w:color="auto"/>
            </w:tcBorders>
            <w:shd w:val="clear" w:color="F2F2F2" w:fill="FFFFFF"/>
            <w:vAlign w:val="center"/>
          </w:tcPr>
          <w:p w14:paraId="30020DCE" w14:textId="77777777" w:rsidR="009D4E2F" w:rsidRDefault="00314650">
            <w:pPr>
              <w:spacing w:after="0"/>
              <w:jc w:val="left"/>
              <w:rPr>
                <w:rFonts w:ascii="Arial" w:hAnsi="Arial" w:cs="Arial"/>
                <w:lang w:val="en-IN"/>
              </w:rPr>
            </w:pPr>
            <w:r>
              <w:rPr>
                <w:rFonts w:ascii="Arial" w:hAnsi="Arial" w:cs="Arial"/>
                <w:lang w:val="en-IN"/>
              </w:rPr>
              <w:t>Project B</w:t>
            </w:r>
          </w:p>
        </w:tc>
        <w:tc>
          <w:tcPr>
            <w:tcW w:w="545" w:type="pct"/>
            <w:tcBorders>
              <w:top w:val="nil"/>
              <w:left w:val="nil"/>
              <w:bottom w:val="single" w:sz="4" w:space="0" w:color="auto"/>
              <w:right w:val="single" w:sz="4" w:space="0" w:color="auto"/>
            </w:tcBorders>
            <w:shd w:val="clear" w:color="D9E1F2" w:fill="DEEAF1"/>
            <w:noWrap/>
            <w:vAlign w:val="center"/>
          </w:tcPr>
          <w:p w14:paraId="59D853DA" w14:textId="77777777" w:rsidR="009D4E2F" w:rsidRDefault="00314650">
            <w:pPr>
              <w:spacing w:after="0"/>
              <w:jc w:val="center"/>
              <w:rPr>
                <w:rFonts w:ascii="Arial" w:hAnsi="Arial" w:cs="Arial"/>
                <w:lang w:val="en-IN"/>
              </w:rPr>
            </w:pPr>
            <w:r>
              <w:rPr>
                <w:rFonts w:ascii="Arial" w:hAnsi="Arial" w:cs="Arial"/>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tcPr>
          <w:p w14:paraId="5B15BEFD" w14:textId="77777777" w:rsidR="009D4E2F" w:rsidRDefault="00314650">
            <w:pPr>
              <w:spacing w:after="0"/>
              <w:jc w:val="center"/>
              <w:rPr>
                <w:rFonts w:ascii="Arial" w:hAnsi="Arial" w:cs="Arial"/>
                <w:lang w:val="en-IN"/>
              </w:rPr>
            </w:pPr>
            <w:r>
              <w:rPr>
                <w:rFonts w:ascii="Arial" w:hAnsi="Arial" w:cs="Arial"/>
                <w:lang w:val="en-IN"/>
              </w:rPr>
              <w:t>£10.19</w:t>
            </w:r>
          </w:p>
        </w:tc>
        <w:tc>
          <w:tcPr>
            <w:tcW w:w="485" w:type="pct"/>
            <w:tcBorders>
              <w:top w:val="nil"/>
              <w:left w:val="nil"/>
              <w:bottom w:val="single" w:sz="4" w:space="0" w:color="auto"/>
              <w:right w:val="single" w:sz="4" w:space="0" w:color="auto"/>
            </w:tcBorders>
            <w:shd w:val="clear" w:color="D9E1F2" w:fill="DEEAF1"/>
            <w:noWrap/>
            <w:vAlign w:val="center"/>
          </w:tcPr>
          <w:p w14:paraId="6C4CE638" w14:textId="77777777" w:rsidR="009D4E2F" w:rsidRDefault="00314650">
            <w:pPr>
              <w:spacing w:after="0"/>
              <w:jc w:val="center"/>
              <w:rPr>
                <w:rFonts w:ascii="Arial" w:hAnsi="Arial" w:cs="Arial"/>
                <w:lang w:val="en-IN"/>
              </w:rPr>
            </w:pPr>
            <w:r>
              <w:rPr>
                <w:rFonts w:ascii="Arial" w:hAnsi="Arial" w:cs="Arial"/>
                <w:lang w:val="en-IN"/>
              </w:rPr>
              <w:t>£10.19</w:t>
            </w:r>
          </w:p>
        </w:tc>
        <w:tc>
          <w:tcPr>
            <w:tcW w:w="485" w:type="pct"/>
            <w:tcBorders>
              <w:top w:val="nil"/>
              <w:left w:val="nil"/>
              <w:bottom w:val="single" w:sz="4" w:space="0" w:color="auto"/>
              <w:right w:val="single" w:sz="4" w:space="0" w:color="auto"/>
            </w:tcBorders>
            <w:shd w:val="clear" w:color="D9E1F2" w:fill="DEEAF1"/>
            <w:noWrap/>
            <w:vAlign w:val="center"/>
          </w:tcPr>
          <w:p w14:paraId="5D28EB47" w14:textId="77777777" w:rsidR="009D4E2F" w:rsidRDefault="00314650">
            <w:pPr>
              <w:spacing w:after="0"/>
              <w:jc w:val="center"/>
              <w:rPr>
                <w:rFonts w:ascii="Arial" w:hAnsi="Arial" w:cs="Arial"/>
                <w:lang w:val="en-IN"/>
              </w:rPr>
            </w:pPr>
            <w:r>
              <w:rPr>
                <w:rFonts w:ascii="Arial" w:hAnsi="Arial" w:cs="Arial"/>
                <w:lang w:val="en-IN"/>
              </w:rPr>
              <w:t>£10.19</w:t>
            </w:r>
          </w:p>
        </w:tc>
        <w:tc>
          <w:tcPr>
            <w:tcW w:w="709" w:type="pct"/>
            <w:tcBorders>
              <w:top w:val="nil"/>
              <w:left w:val="nil"/>
              <w:bottom w:val="single" w:sz="4" w:space="0" w:color="auto"/>
              <w:right w:val="single" w:sz="4" w:space="0" w:color="auto"/>
            </w:tcBorders>
            <w:shd w:val="clear" w:color="D9E1F2" w:fill="DEEAF1"/>
            <w:noWrap/>
            <w:vAlign w:val="center"/>
          </w:tcPr>
          <w:p w14:paraId="05D6E33B" w14:textId="77777777" w:rsidR="009D4E2F" w:rsidRDefault="00314650">
            <w:pPr>
              <w:spacing w:after="0"/>
              <w:jc w:val="center"/>
              <w:rPr>
                <w:rFonts w:ascii="Arial" w:hAnsi="Arial" w:cs="Arial"/>
                <w:lang w:val="en-IN"/>
              </w:rPr>
            </w:pPr>
            <w:r>
              <w:rPr>
                <w:rFonts w:ascii="Arial" w:hAnsi="Arial" w:cs="Arial"/>
                <w:lang w:val="en-IN"/>
              </w:rPr>
              <w:t>£10.19</w:t>
            </w:r>
          </w:p>
        </w:tc>
        <w:tc>
          <w:tcPr>
            <w:tcW w:w="627" w:type="pct"/>
            <w:tcBorders>
              <w:top w:val="nil"/>
              <w:left w:val="nil"/>
              <w:bottom w:val="single" w:sz="4" w:space="0" w:color="auto"/>
              <w:right w:val="single" w:sz="4" w:space="0" w:color="auto"/>
            </w:tcBorders>
            <w:shd w:val="clear" w:color="D9E1F2" w:fill="DEEAF1"/>
            <w:noWrap/>
            <w:vAlign w:val="center"/>
          </w:tcPr>
          <w:p w14:paraId="1FD7F925" w14:textId="77777777" w:rsidR="009D4E2F" w:rsidRDefault="00314650">
            <w:pPr>
              <w:spacing w:after="0"/>
              <w:jc w:val="center"/>
              <w:rPr>
                <w:rFonts w:ascii="Arial" w:hAnsi="Arial" w:cs="Arial"/>
                <w:lang w:val="en-IN"/>
              </w:rPr>
            </w:pPr>
            <w:r>
              <w:rPr>
                <w:rFonts w:ascii="Arial" w:hAnsi="Arial" w:cs="Arial"/>
                <w:lang w:val="en-IN"/>
              </w:rPr>
              <w:t>£10.19</w:t>
            </w:r>
          </w:p>
        </w:tc>
        <w:tc>
          <w:tcPr>
            <w:tcW w:w="517" w:type="pct"/>
            <w:tcBorders>
              <w:top w:val="nil"/>
              <w:left w:val="nil"/>
              <w:bottom w:val="single" w:sz="4" w:space="0" w:color="auto"/>
              <w:right w:val="single" w:sz="4" w:space="0" w:color="auto"/>
            </w:tcBorders>
            <w:shd w:val="clear" w:color="D9E1F2" w:fill="DEEAF1"/>
            <w:noWrap/>
            <w:vAlign w:val="center"/>
          </w:tcPr>
          <w:p w14:paraId="3B7DC873"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0.61%</w:t>
            </w:r>
          </w:p>
        </w:tc>
      </w:tr>
      <w:tr w:rsidR="009D4E2F" w14:paraId="5A7A4ADA" w14:textId="77777777">
        <w:trPr>
          <w:trHeight w:val="300"/>
        </w:trPr>
        <w:tc>
          <w:tcPr>
            <w:tcW w:w="881" w:type="pct"/>
            <w:tcBorders>
              <w:top w:val="nil"/>
              <w:left w:val="single" w:sz="4" w:space="0" w:color="auto"/>
              <w:bottom w:val="single" w:sz="4" w:space="0" w:color="auto"/>
              <w:right w:val="single" w:sz="4" w:space="0" w:color="auto"/>
            </w:tcBorders>
            <w:shd w:val="clear" w:color="D9E1F2" w:fill="DEEAF1"/>
            <w:vAlign w:val="center"/>
          </w:tcPr>
          <w:p w14:paraId="340DA56E" w14:textId="77777777" w:rsidR="009D4E2F" w:rsidRDefault="00314650">
            <w:pPr>
              <w:spacing w:after="0"/>
              <w:jc w:val="left"/>
              <w:rPr>
                <w:rFonts w:ascii="Arial" w:hAnsi="Arial" w:cs="Arial"/>
                <w:lang w:val="en-IN"/>
              </w:rPr>
            </w:pPr>
            <w:r>
              <w:rPr>
                <w:rFonts w:ascii="Arial" w:hAnsi="Arial" w:cs="Arial"/>
                <w:lang w:val="en-IN"/>
              </w:rPr>
              <w:t>Project C</w:t>
            </w:r>
          </w:p>
        </w:tc>
        <w:tc>
          <w:tcPr>
            <w:tcW w:w="545" w:type="pct"/>
            <w:tcBorders>
              <w:top w:val="nil"/>
              <w:left w:val="nil"/>
              <w:bottom w:val="single" w:sz="4" w:space="0" w:color="auto"/>
              <w:right w:val="single" w:sz="4" w:space="0" w:color="auto"/>
            </w:tcBorders>
            <w:shd w:val="clear" w:color="D9E1F2" w:fill="DEEAF1"/>
            <w:noWrap/>
            <w:vAlign w:val="center"/>
          </w:tcPr>
          <w:p w14:paraId="0A902EC0" w14:textId="77777777" w:rsidR="009D4E2F" w:rsidRDefault="00314650">
            <w:pPr>
              <w:spacing w:after="0"/>
              <w:jc w:val="center"/>
              <w:rPr>
                <w:rFonts w:ascii="Arial" w:hAnsi="Arial" w:cs="Arial"/>
                <w:lang w:val="en-IN"/>
              </w:rPr>
            </w:pPr>
            <w:r>
              <w:rPr>
                <w:rFonts w:ascii="Arial" w:hAnsi="Arial" w:cs="Arial"/>
                <w:lang w:val="en-IN"/>
              </w:rPr>
              <w:t xml:space="preserve">-£           50.00 </w:t>
            </w:r>
          </w:p>
        </w:tc>
        <w:tc>
          <w:tcPr>
            <w:tcW w:w="751" w:type="pct"/>
            <w:tcBorders>
              <w:top w:val="nil"/>
              <w:left w:val="nil"/>
              <w:bottom w:val="single" w:sz="4" w:space="0" w:color="auto"/>
              <w:right w:val="single" w:sz="4" w:space="0" w:color="auto"/>
            </w:tcBorders>
            <w:shd w:val="clear" w:color="D9E1F2" w:fill="DEEAF1"/>
            <w:noWrap/>
            <w:vAlign w:val="center"/>
          </w:tcPr>
          <w:p w14:paraId="585E41A8" w14:textId="77777777" w:rsidR="009D4E2F" w:rsidRDefault="00314650">
            <w:pPr>
              <w:spacing w:after="0"/>
              <w:jc w:val="center"/>
              <w:rPr>
                <w:rFonts w:ascii="Arial" w:hAnsi="Arial" w:cs="Arial"/>
                <w:lang w:val="en-IN"/>
              </w:rPr>
            </w:pPr>
            <w:r>
              <w:rPr>
                <w:rFonts w:ascii="Arial" w:hAnsi="Arial" w:cs="Arial"/>
                <w:lang w:val="en-IN"/>
              </w:rPr>
              <w:t>£4.63</w:t>
            </w:r>
          </w:p>
        </w:tc>
        <w:tc>
          <w:tcPr>
            <w:tcW w:w="485" w:type="pct"/>
            <w:tcBorders>
              <w:top w:val="nil"/>
              <w:left w:val="nil"/>
              <w:bottom w:val="single" w:sz="4" w:space="0" w:color="auto"/>
              <w:right w:val="single" w:sz="4" w:space="0" w:color="auto"/>
            </w:tcBorders>
            <w:shd w:val="clear" w:color="D9E1F2" w:fill="DEEAF1"/>
            <w:noWrap/>
            <w:vAlign w:val="center"/>
          </w:tcPr>
          <w:p w14:paraId="3309B5EE" w14:textId="77777777" w:rsidR="009D4E2F" w:rsidRDefault="00314650">
            <w:pPr>
              <w:spacing w:after="0"/>
              <w:jc w:val="center"/>
              <w:rPr>
                <w:rFonts w:ascii="Arial" w:hAnsi="Arial" w:cs="Arial"/>
                <w:lang w:val="en-IN"/>
              </w:rPr>
            </w:pPr>
            <w:r>
              <w:rPr>
                <w:rFonts w:ascii="Arial" w:hAnsi="Arial" w:cs="Arial"/>
                <w:lang w:val="en-IN"/>
              </w:rPr>
              <w:t>£7.41</w:t>
            </w:r>
          </w:p>
        </w:tc>
        <w:tc>
          <w:tcPr>
            <w:tcW w:w="485" w:type="pct"/>
            <w:tcBorders>
              <w:top w:val="nil"/>
              <w:left w:val="nil"/>
              <w:bottom w:val="single" w:sz="4" w:space="0" w:color="auto"/>
              <w:right w:val="single" w:sz="4" w:space="0" w:color="auto"/>
            </w:tcBorders>
            <w:shd w:val="clear" w:color="D9E1F2" w:fill="DEEAF1"/>
            <w:noWrap/>
            <w:vAlign w:val="center"/>
          </w:tcPr>
          <w:p w14:paraId="16953485" w14:textId="77777777" w:rsidR="009D4E2F" w:rsidRDefault="00314650">
            <w:pPr>
              <w:spacing w:after="0"/>
              <w:jc w:val="center"/>
              <w:rPr>
                <w:rFonts w:ascii="Arial" w:hAnsi="Arial" w:cs="Arial"/>
                <w:lang w:val="en-IN"/>
              </w:rPr>
            </w:pPr>
            <w:r>
              <w:rPr>
                <w:rFonts w:ascii="Arial" w:hAnsi="Arial" w:cs="Arial"/>
                <w:lang w:val="en-IN"/>
              </w:rPr>
              <w:t>£18.52</w:t>
            </w:r>
          </w:p>
        </w:tc>
        <w:tc>
          <w:tcPr>
            <w:tcW w:w="709" w:type="pct"/>
            <w:tcBorders>
              <w:top w:val="nil"/>
              <w:left w:val="nil"/>
              <w:bottom w:val="single" w:sz="4" w:space="0" w:color="auto"/>
              <w:right w:val="single" w:sz="4" w:space="0" w:color="auto"/>
            </w:tcBorders>
            <w:shd w:val="clear" w:color="D9E1F2" w:fill="DEEAF1"/>
            <w:noWrap/>
            <w:vAlign w:val="center"/>
          </w:tcPr>
          <w:p w14:paraId="750C899C" w14:textId="77777777" w:rsidR="009D4E2F" w:rsidRDefault="00314650">
            <w:pPr>
              <w:spacing w:after="0"/>
              <w:jc w:val="center"/>
              <w:rPr>
                <w:rFonts w:ascii="Arial" w:hAnsi="Arial" w:cs="Arial"/>
                <w:lang w:val="en-IN"/>
              </w:rPr>
            </w:pPr>
            <w:r>
              <w:rPr>
                <w:rFonts w:ascii="Arial" w:hAnsi="Arial" w:cs="Arial"/>
                <w:lang w:val="en-IN"/>
              </w:rPr>
              <w:t>£23.15</w:t>
            </w:r>
          </w:p>
        </w:tc>
        <w:tc>
          <w:tcPr>
            <w:tcW w:w="627" w:type="pct"/>
            <w:tcBorders>
              <w:top w:val="nil"/>
              <w:left w:val="nil"/>
              <w:bottom w:val="single" w:sz="4" w:space="0" w:color="auto"/>
              <w:right w:val="single" w:sz="4" w:space="0" w:color="auto"/>
            </w:tcBorders>
            <w:shd w:val="clear" w:color="D9E1F2" w:fill="DEEAF1"/>
            <w:noWrap/>
            <w:vAlign w:val="center"/>
          </w:tcPr>
          <w:p w14:paraId="7D0827D2" w14:textId="77777777" w:rsidR="009D4E2F" w:rsidRDefault="00314650">
            <w:pPr>
              <w:spacing w:after="0"/>
              <w:jc w:val="center"/>
              <w:rPr>
                <w:rFonts w:ascii="Arial" w:hAnsi="Arial" w:cs="Arial"/>
                <w:lang w:val="en-IN"/>
              </w:rPr>
            </w:pPr>
            <w:r>
              <w:rPr>
                <w:rFonts w:ascii="Arial" w:hAnsi="Arial" w:cs="Arial"/>
                <w:lang w:val="en-IN"/>
              </w:rPr>
              <w:t>£4.63</w:t>
            </w:r>
          </w:p>
        </w:tc>
        <w:tc>
          <w:tcPr>
            <w:tcW w:w="517" w:type="pct"/>
            <w:tcBorders>
              <w:top w:val="nil"/>
              <w:left w:val="nil"/>
              <w:bottom w:val="single" w:sz="4" w:space="0" w:color="auto"/>
              <w:right w:val="single" w:sz="4" w:space="0" w:color="auto"/>
            </w:tcBorders>
            <w:shd w:val="clear" w:color="D9E1F2" w:fill="DEEAF1"/>
            <w:noWrap/>
            <w:vAlign w:val="center"/>
          </w:tcPr>
          <w:p w14:paraId="3CEC90C3" w14:textId="77777777" w:rsidR="009D4E2F" w:rsidRDefault="00314650">
            <w:pPr>
              <w:spacing w:after="0"/>
              <w:jc w:val="center"/>
              <w:rPr>
                <w:rFonts w:ascii="Arial" w:hAnsi="Arial" w:cs="Arial"/>
                <w:b/>
                <w:bCs/>
                <w:color w:val="C00000"/>
                <w:lang w:val="en-IN"/>
              </w:rPr>
            </w:pPr>
            <w:r>
              <w:rPr>
                <w:rFonts w:ascii="Arial" w:hAnsi="Arial" w:cs="Arial"/>
                <w:b/>
                <w:bCs/>
                <w:color w:val="C00000"/>
                <w:lang w:val="en-IN"/>
              </w:rPr>
              <w:t>4.87%</w:t>
            </w:r>
          </w:p>
        </w:tc>
      </w:tr>
      <w:tr w:rsidR="009D4E2F" w14:paraId="4520F443" w14:textId="77777777">
        <w:trPr>
          <w:trHeight w:val="315"/>
        </w:trPr>
        <w:tc>
          <w:tcPr>
            <w:tcW w:w="5000" w:type="pct"/>
            <w:gridSpan w:val="8"/>
            <w:tcBorders>
              <w:top w:val="single" w:sz="4" w:space="0" w:color="auto"/>
              <w:left w:val="single" w:sz="4" w:space="0" w:color="auto"/>
              <w:bottom w:val="single" w:sz="4" w:space="0" w:color="auto"/>
              <w:right w:val="nil"/>
            </w:tcBorders>
            <w:shd w:val="clear" w:color="333333" w:fill="1F3864"/>
            <w:vAlign w:val="center"/>
          </w:tcPr>
          <w:p w14:paraId="20966803" w14:textId="77777777" w:rsidR="009D4E2F" w:rsidRDefault="00314650">
            <w:pPr>
              <w:spacing w:after="0"/>
              <w:jc w:val="left"/>
              <w:rPr>
                <w:rFonts w:ascii="Arial" w:hAnsi="Arial" w:cs="Arial"/>
                <w:b/>
                <w:bCs/>
                <w:color w:val="FFFFFF"/>
                <w:lang w:val="en-IN"/>
              </w:rPr>
            </w:pPr>
            <w:r>
              <w:rPr>
                <w:rFonts w:ascii="Arial" w:hAnsi="Arial" w:cs="Arial"/>
                <w:b/>
                <w:bCs/>
                <w:color w:val="FFFFFF"/>
                <w:lang w:val="en-IN"/>
              </w:rPr>
              <w:t>Best: Project C (all three exceed 8% hurdle)</w:t>
            </w:r>
          </w:p>
        </w:tc>
      </w:tr>
    </w:tbl>
    <w:p w14:paraId="1C477885" w14:textId="77777777" w:rsidR="009D4E2F" w:rsidRDefault="009D4E2F">
      <w:pPr>
        <w:rPr>
          <w:rFonts w:ascii="Arial" w:hAnsi="Arial" w:cs="Arial"/>
        </w:rPr>
      </w:pPr>
    </w:p>
    <w:sectPr w:rsidR="009D4E2F">
      <w:headerReference w:type="default" r:id="rId76"/>
      <w:footerReference w:type="default" r:id="rId77"/>
      <w:headerReference w:type="first" r:id="rId7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E7BD4" w14:textId="77777777" w:rsidR="00314650" w:rsidRDefault="00314650">
      <w:pPr>
        <w:spacing w:line="240" w:lineRule="auto"/>
      </w:pPr>
      <w:r>
        <w:separator/>
      </w:r>
    </w:p>
  </w:endnote>
  <w:endnote w:type="continuationSeparator" w:id="0">
    <w:p w14:paraId="39480F30" w14:textId="77777777" w:rsidR="00314650" w:rsidRDefault="003146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BDF002B-2FAF-41CF-B77C-57FBE01C3F7E}"/>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embedBold r:id="rId2" w:fontKey="{684E1CA6-757A-4A14-9786-5D76EFE2C806}"/>
  </w:font>
  <w:font w:name="Calibri">
    <w:panose1 w:val="020F0502020204030204"/>
    <w:charset w:val="00"/>
    <w:family w:val="swiss"/>
    <w:pitch w:val="variable"/>
    <w:sig w:usb0="E4002EFF" w:usb1="C200247B" w:usb2="00000009" w:usb3="00000000" w:csb0="000001FF" w:csb1="00000000"/>
    <w:embedRegular r:id="rId3" w:fontKey="{3FA33B68-A155-46FB-8876-8985274398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2684" w14:textId="77777777" w:rsidR="009D4E2F" w:rsidRDefault="00314650">
    <w:pPr>
      <w:jc w:val="right"/>
    </w:pPr>
    <w:r>
      <w:fldChar w:fldCharType="begin"/>
    </w:r>
    <w:r>
      <w:instrText>PAGE</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339AD" w14:textId="77777777" w:rsidR="00314650" w:rsidRDefault="00314650">
      <w:pPr>
        <w:spacing w:after="0"/>
      </w:pPr>
      <w:r>
        <w:separator/>
      </w:r>
    </w:p>
  </w:footnote>
  <w:footnote w:type="continuationSeparator" w:id="0">
    <w:p w14:paraId="5D31CFF1" w14:textId="77777777" w:rsidR="00314650" w:rsidRDefault="003146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D5DC7" w14:textId="77777777" w:rsidR="009D4E2F" w:rsidRDefault="00314650">
    <w:pPr>
      <w:pStyle w:val="Header"/>
      <w:jc w:val="right"/>
    </w:pPr>
    <w:r>
      <w:rPr>
        <w:noProof/>
      </w:rPr>
      <w:drawing>
        <wp:inline distT="0" distB="0" distL="0" distR="0" wp14:anchorId="787688F8" wp14:editId="76718B40">
          <wp:extent cx="1790700" cy="777240"/>
          <wp:effectExtent l="0" t="0" r="0" b="3810"/>
          <wp:docPr id="56046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6586" name="Picture 1"/>
                  <pic:cNvPicPr>
                    <a:picLocks noChangeAspect="1"/>
                  </pic:cNvPicPr>
                </pic:nvPicPr>
                <pic:blipFill>
                  <a:blip r:embed="rId1"/>
                  <a:stretch>
                    <a:fillRect/>
                  </a:stretch>
                </pic:blipFill>
                <pic:spPr>
                  <a:xfrm>
                    <a:off x="0" y="0"/>
                    <a:ext cx="1790855" cy="777307"/>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EC435" w14:textId="77777777" w:rsidR="009D4E2F" w:rsidRDefault="00314650">
    <w:pPr>
      <w:jc w:val="right"/>
    </w:pPr>
    <w:r>
      <w:rPr>
        <w:noProof/>
      </w:rPr>
      <w:drawing>
        <wp:inline distT="0" distB="0" distL="0" distR="0" wp14:anchorId="7CF80B82" wp14:editId="52DE84C5">
          <wp:extent cx="1790700" cy="777240"/>
          <wp:effectExtent l="0" t="0" r="0" b="3810"/>
          <wp:docPr id="1874762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62385" name="Picture 1"/>
                  <pic:cNvPicPr>
                    <a:picLocks noChangeAspect="1"/>
                  </pic:cNvPicPr>
                </pic:nvPicPr>
                <pic:blipFill>
                  <a:blip r:embed="rId1"/>
                  <a:stretch>
                    <a:fillRect/>
                  </a:stretch>
                </pic:blipFill>
                <pic:spPr>
                  <a:xfrm>
                    <a:off x="0" y="0"/>
                    <a:ext cx="1790855" cy="77730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EA7"/>
    <w:rsid w:val="00014F94"/>
    <w:rsid w:val="00043EA7"/>
    <w:rsid w:val="001230B5"/>
    <w:rsid w:val="00185F5E"/>
    <w:rsid w:val="001B685A"/>
    <w:rsid w:val="001C655B"/>
    <w:rsid w:val="001F2948"/>
    <w:rsid w:val="002017C3"/>
    <w:rsid w:val="0022325A"/>
    <w:rsid w:val="00266AAB"/>
    <w:rsid w:val="002F7469"/>
    <w:rsid w:val="00314650"/>
    <w:rsid w:val="003264D6"/>
    <w:rsid w:val="003A7DA1"/>
    <w:rsid w:val="003B3B54"/>
    <w:rsid w:val="003B79B8"/>
    <w:rsid w:val="00430AD8"/>
    <w:rsid w:val="004522CD"/>
    <w:rsid w:val="0045392C"/>
    <w:rsid w:val="0046574C"/>
    <w:rsid w:val="00490CE4"/>
    <w:rsid w:val="004E2CAB"/>
    <w:rsid w:val="005643D6"/>
    <w:rsid w:val="00567DCE"/>
    <w:rsid w:val="005A362D"/>
    <w:rsid w:val="005A7725"/>
    <w:rsid w:val="006207CE"/>
    <w:rsid w:val="00625391"/>
    <w:rsid w:val="006418D2"/>
    <w:rsid w:val="006A0446"/>
    <w:rsid w:val="006C31CE"/>
    <w:rsid w:val="007243E1"/>
    <w:rsid w:val="007E3A63"/>
    <w:rsid w:val="00892BBE"/>
    <w:rsid w:val="009263E4"/>
    <w:rsid w:val="0094391A"/>
    <w:rsid w:val="00944F19"/>
    <w:rsid w:val="0095349F"/>
    <w:rsid w:val="009A13CB"/>
    <w:rsid w:val="009A34BD"/>
    <w:rsid w:val="009D4E2F"/>
    <w:rsid w:val="009E25B2"/>
    <w:rsid w:val="009F4053"/>
    <w:rsid w:val="009F432B"/>
    <w:rsid w:val="00A15302"/>
    <w:rsid w:val="00A7767D"/>
    <w:rsid w:val="00AD597A"/>
    <w:rsid w:val="00AE5E05"/>
    <w:rsid w:val="00B334BF"/>
    <w:rsid w:val="00B546A1"/>
    <w:rsid w:val="00BB7319"/>
    <w:rsid w:val="00BD31D8"/>
    <w:rsid w:val="00BF204F"/>
    <w:rsid w:val="00C212B2"/>
    <w:rsid w:val="00C47290"/>
    <w:rsid w:val="00CD6E48"/>
    <w:rsid w:val="00DF6262"/>
    <w:rsid w:val="00E62B9C"/>
    <w:rsid w:val="00EB50A7"/>
    <w:rsid w:val="00EE5A64"/>
    <w:rsid w:val="00EF1C05"/>
    <w:rsid w:val="00EF424B"/>
    <w:rsid w:val="00F1189A"/>
    <w:rsid w:val="00FC059A"/>
    <w:rsid w:val="00FD7956"/>
    <w:rsid w:val="115120DA"/>
    <w:rsid w:val="322F2549"/>
    <w:rsid w:val="33C93DEB"/>
    <w:rsid w:val="4BEC37AB"/>
    <w:rsid w:val="61927223"/>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FD807"/>
  <w15:docId w15:val="{681DE38E-2665-425F-AE48-193C606FF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uiPriority w:val="99"/>
    <w:semiHidden/>
    <w:unhideWhenUsed/>
    <w:qFormat/>
    <w:pPr>
      <w:jc w:val="left"/>
    </w:p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unhideWhenUsed/>
  </w:style>
  <w:style w:type="paragraph" w:styleId="TOC2">
    <w:name w:val="toc 2"/>
    <w:basedOn w:val="Normal"/>
    <w:next w:val="Normal"/>
    <w:uiPriority w:val="39"/>
    <w:unhideWhenUsed/>
    <w:pPr>
      <w:ind w:leftChars="200" w:left="420"/>
    </w:pPr>
  </w:style>
  <w:style w:type="paragraph" w:styleId="TOC3">
    <w:name w:val="toc 3"/>
    <w:basedOn w:val="Normal"/>
    <w:next w:val="Normal"/>
    <w:uiPriority w:val="39"/>
    <w:semiHidden/>
    <w:unhideWhenUsed/>
    <w:pPr>
      <w:ind w:leftChars="400" w:left="840"/>
    </w:p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table" w:customStyle="1" w:styleId="GridTable4-Accent21">
    <w:name w:val="Grid Table 4 - Accent 21"/>
    <w:basedOn w:val="TableNormal"/>
    <w:uiPriority w:val="49"/>
    <w:qFormat/>
    <w:tblPr>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41">
    <w:name w:val="Grid Table 4 - Accent 41"/>
    <w:basedOn w:val="TableNormal"/>
    <w:uiPriority w:val="49"/>
    <w:qFormat/>
    <w:tblPr>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styleId="Hyperlink">
    <w:name w:val="Hyperlink"/>
    <w:basedOn w:val="DefaultParagraphFont"/>
    <w:uiPriority w:val="99"/>
    <w:unhideWhenUsed/>
    <w:rsid w:val="00430A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emf"/><Relationship Id="rId42" Type="http://schemas.openxmlformats.org/officeDocument/2006/relationships/hyperlink" Target="https://vinodkothari.com/2024/03/overview-of-sustainability-linked-loans/" TargetMode="External"/><Relationship Id="rId47" Type="http://schemas.openxmlformats.org/officeDocument/2006/relationships/hyperlink" Target="https://www.highradius.com/resources/Blog/what-is-cash-conversion-cycle/" TargetMode="External"/><Relationship Id="rId63" Type="http://schemas.openxmlformats.org/officeDocument/2006/relationships/hyperlink" Target="https://doi.org/10.1016/j.ijhm.2024.103758" TargetMode="External"/><Relationship Id="rId68" Type="http://schemas.openxmlformats.org/officeDocument/2006/relationships/hyperlink" Target="https://www.sofi.com/fixed-vs-variable-rate-loans/" TargetMode="External"/><Relationship Id="rId16" Type="http://schemas.openxmlformats.org/officeDocument/2006/relationships/image" Target="media/image9.emf"/><Relationship Id="rId11" Type="http://schemas.openxmlformats.org/officeDocument/2006/relationships/image" Target="media/image5.png"/><Relationship Id="rId24" Type="http://schemas.openxmlformats.org/officeDocument/2006/relationships/image" Target="media/image16.emf"/><Relationship Id="rId32" Type="http://schemas.openxmlformats.org/officeDocument/2006/relationships/hyperlink" Target="https://www.netsuite.com/portal/resource/articles/financial-management/hospitality-financial-management.shtml" TargetMode="External"/><Relationship Id="rId37" Type="http://schemas.openxmlformats.org/officeDocument/2006/relationships/hyperlink" Target="https://www.bbva.com/en/economy-and-finance/what-is-a-rcf-or-revolving-credit-facility/" TargetMode="External"/><Relationship Id="rId40" Type="http://schemas.openxmlformats.org/officeDocument/2006/relationships/hyperlink" Target="https://www.businesswire.com/news/home/20260428679863/en/Hilton-Reports-First-Quarter-Results-Raises-Full-Year-Outlook" TargetMode="External"/><Relationship Id="rId45" Type="http://schemas.openxmlformats.org/officeDocument/2006/relationships/hyperlink" Target="https://doi.org/10.1016/j.jisa.2024.103960" TargetMode="External"/><Relationship Id="rId53" Type="http://schemas.openxmlformats.org/officeDocument/2006/relationships/hyperlink" Target="https://stories-editor.hilton.com/wp-content/uploads/2026/03/Hilton-2025-Annual-Report-SEC-Form-10-K.pdf" TargetMode="External"/><Relationship Id="rId58" Type="http://schemas.openxmlformats.org/officeDocument/2006/relationships/hyperlink" Target="https://doi.org/10.3390/ijfs9040072" TargetMode="External"/><Relationship Id="rId66" Type="http://schemas.openxmlformats.org/officeDocument/2006/relationships/hyperlink" Target="https://doi.org/10.3390/ijfs12040112" TargetMode="External"/><Relationship Id="rId74" Type="http://schemas.openxmlformats.org/officeDocument/2006/relationships/hyperlink" Target="https://www.freedomventure.com/blogs/irr-exposed-how-the-internal-rate-of-return-can-mislead-investors"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serrala.com/blog/understanding-days-sales-outstanding-in-accounts-receivable-and-why-it-matters" TargetMode="External"/><Relationship Id="rId19" Type="http://schemas.openxmlformats.org/officeDocument/2006/relationships/image" Target="media/image11.png"/><Relationship Id="rId14" Type="http://schemas.openxmlformats.org/officeDocument/2006/relationships/image" Target="media/image8.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hyperlink" Target="https://doi.org/10.1016/j.heliyon.2025.e41868" TargetMode="External"/><Relationship Id="rId35" Type="http://schemas.openxmlformats.org/officeDocument/2006/relationships/hyperlink" Target="https://doi.org/10.1016/j.jcorpfin.2022.102317" TargetMode="External"/><Relationship Id="rId43" Type="http://schemas.openxmlformats.org/officeDocument/2006/relationships/hyperlink" Target="https://travelwithpurpose.hilton.com/wp-content/uploads/sites/4/2025/06/2024Report.pdf" TargetMode="External"/><Relationship Id="rId48" Type="http://schemas.openxmlformats.org/officeDocument/2006/relationships/hyperlink" Target="https://stories.hilton.com/2022-annual-report" TargetMode="External"/><Relationship Id="rId56" Type="http://schemas.openxmlformats.org/officeDocument/2006/relationships/hyperlink" Target="https://www.travelweekly.com/travel-news/hotel-news/hilton-braces-for-ripple-effects-from-iran-war" TargetMode="External"/><Relationship Id="rId64" Type="http://schemas.openxmlformats.org/officeDocument/2006/relationships/hyperlink" Target="https://www.researchgate.net/publication/389436092_THE_PAYBACK_PERIOD_PBP_UNIFIED_FORMULA_A_SIMPLIFIED_PROPOSED_METHOD_FOR_CALCULATING_PBP_IN_CAPITAL_BUDGETING_DECISION" TargetMode="External"/><Relationship Id="rId69" Type="http://schemas.openxmlformats.org/officeDocument/2006/relationships/hyperlink" Target="https://doi.org/10.60079/amfr.v3i1.433" TargetMode="External"/><Relationship Id="rId77"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ir.hilton.com/~/media/Files/H/Hilton-Worldwide-IR-V3/presentations/hlt-investor-presentation-february-2026" TargetMode="External"/><Relationship Id="rId72" Type="http://schemas.openxmlformats.org/officeDocument/2006/relationships/hyperlink" Target="https://doi.org/10.3390/jrfm16090395"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chart" Target="charts/chart2.xml"/><Relationship Id="rId25" Type="http://schemas.openxmlformats.org/officeDocument/2006/relationships/image" Target="media/image17.emf"/><Relationship Id="rId33" Type="http://schemas.openxmlformats.org/officeDocument/2006/relationships/hyperlink" Target="https://doi.org/10.1016/j.ssaho.2026.103102" TargetMode="External"/><Relationship Id="rId38" Type="http://schemas.openxmlformats.org/officeDocument/2006/relationships/hyperlink" Target="https://www.bcg.com/publications/2023/why-a-resilient-balance-sheet-is-critical-to-creating-value" TargetMode="External"/><Relationship Id="rId46" Type="http://schemas.openxmlformats.org/officeDocument/2006/relationships/hyperlink" Target="https://www.highradius.com/resources/Blog/accounting-rate-of-return-arr/" TargetMode="External"/><Relationship Id="rId59" Type="http://schemas.openxmlformats.org/officeDocument/2006/relationships/hyperlink" Target="https://www.ad-hoc-news.de/boerse/news/ueberblick/hilton-worldwide-stock-reflects-global-hotel-recovery-amid-steady-us/69737600" TargetMode="External"/><Relationship Id="rId67" Type="http://schemas.openxmlformats.org/officeDocument/2006/relationships/hyperlink" Target="https://finance.yahoo.com/news/look-hilton-worldwide-holdings-hlt-041502027.html" TargetMode="External"/><Relationship Id="rId20" Type="http://schemas.openxmlformats.org/officeDocument/2006/relationships/image" Target="media/image12.png"/><Relationship Id="rId41" Type="http://schemas.openxmlformats.org/officeDocument/2006/relationships/hyperlink" Target="https://corporatefinanceinstitute.com/resources/valuation/net-present-value-rule/" TargetMode="External"/><Relationship Id="rId54" Type="http://schemas.openxmlformats.org/officeDocument/2006/relationships/hyperlink" Target="https://imarticus.org/blog/capital-budgeting-methods/" TargetMode="External"/><Relationship Id="rId62" Type="http://schemas.openxmlformats.org/officeDocument/2006/relationships/hyperlink" Target="https://www.researchgate.net/publication/399899124_Comparative_Financial_Performance_and_Social_Impact_in_the_Global_Hospitality_Industry_Evidence_from_Marriott_International_and_Hilton_Worldwide" TargetMode="External"/><Relationship Id="rId70" Type="http://schemas.openxmlformats.org/officeDocument/2006/relationships/hyperlink" Target="https://ir.hilton.com/~/media/Files/H/Hilton-Worldwide-IR-V3/presentations/hlt-investor-presentation-august-2023.pdf" TargetMode="External"/><Relationship Id="rId75" Type="http://schemas.openxmlformats.org/officeDocument/2006/relationships/hyperlink" Target="https://finance.yahoo.com/quote/HLT/cash-flow/"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chart" Target="charts/chart1.xml"/><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hyperlink" Target="https://doi.org/10.2139/ssrn.5004465" TargetMode="External"/><Relationship Id="rId49" Type="http://schemas.openxmlformats.org/officeDocument/2006/relationships/hyperlink" Target="https://travelwithpurpose.hilton.com/wp-content/uploads/sites/4/2025/06/Risk-Management.pdf" TargetMode="External"/><Relationship Id="rId57" Type="http://schemas.openxmlformats.org/officeDocument/2006/relationships/hyperlink" Target="https://digitalcommons.unl.edu/cgi/viewcontent.cgi?article=1849&amp;context=honorstheses" TargetMode="External"/><Relationship Id="rId10" Type="http://schemas.openxmlformats.org/officeDocument/2006/relationships/image" Target="media/image4.emf"/><Relationship Id="rId31" Type="http://schemas.openxmlformats.org/officeDocument/2006/relationships/hyperlink" Target="https://doi.org/10.2139/ssrn.3930493" TargetMode="External"/><Relationship Id="rId44" Type="http://schemas.openxmlformats.org/officeDocument/2006/relationships/hyperlink" Target="https://doi.org/10.3390/soc15090247" TargetMode="External"/><Relationship Id="rId52" Type="http://schemas.openxmlformats.org/officeDocument/2006/relationships/hyperlink" Target="https://stories-editor.hilton.com/wp-content/uploads/2024/04/2023-Annual-Report-10-K.pdf" TargetMode="External"/><Relationship Id="rId60" Type="http://schemas.openxmlformats.org/officeDocument/2006/relationships/hyperlink" Target="https://news.alphastreet.com/hilton-hlt-has-a-fee-and-loyalty-engine-bigger-than-a-hotel-cycle-trade/" TargetMode="External"/><Relationship Id="rId65" Type="http://schemas.openxmlformats.org/officeDocument/2006/relationships/hyperlink" Target="https://finance.yahoo.com/news/hilton-worldwide-holdings-digital-transformation-095700618.html" TargetMode="External"/><Relationship Id="rId73" Type="http://schemas.openxmlformats.org/officeDocument/2006/relationships/hyperlink" Target="https://www.dripcapital.com/resources/blog/vendor-financing-vs-trade-credit" TargetMode="External"/><Relationship Id="rId78"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0.emf"/><Relationship Id="rId39" Type="http://schemas.openxmlformats.org/officeDocument/2006/relationships/hyperlink" Target="https://doi.org/10.1177/00472875261456334" TargetMode="External"/><Relationship Id="rId34" Type="http://schemas.openxmlformats.org/officeDocument/2006/relationships/hyperlink" Target="https://doi.org/10.1590/1806-9282.20230560" TargetMode="External"/><Relationship Id="rId50" Type="http://schemas.openxmlformats.org/officeDocument/2006/relationships/hyperlink" Target="https://ir.hilton.com/~/media/Files/H/Hilton-Worldwide-IR-V3/quarterly-results/2026/q1-2026-earnings-release.pdf" TargetMode="External"/><Relationship Id="rId55" Type="http://schemas.openxmlformats.org/officeDocument/2006/relationships/hyperlink" Target="https://www.reportlinker.com/article/8138" TargetMode="External"/><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hyperlink" Target="https://umbrex.com/resources/company-profiles/hilton/" TargetMode="External"/><Relationship Id="rId2" Type="http://schemas.openxmlformats.org/officeDocument/2006/relationships/styles" Target="styles.xml"/><Relationship Id="rId29" Type="http://schemas.openxmlformats.org/officeDocument/2006/relationships/image" Target="media/image21.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s>
</file>

<file path=word/charts/_rels/chart1.xml.rels><?xml version="1.0" encoding="UTF-8" standalone="yes"?>
<Relationships xmlns="http://schemas.openxmlformats.org/package/2006/relationships"><Relationship Id="rId3" Type="http://schemas.openxmlformats.org/officeDocument/2006/relationships/oleObject" Target="file:///D:\Work\BM14542\Financial%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Work\BM14542\Hilton_Ratios_2021-202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IN" b="1"/>
              <a:t>GEARING RATIOS </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Charts!$A$18</c:f>
              <c:strCache>
                <c:ptCount val="1"/>
                <c:pt idx="0">
                  <c:v>Interest Coverage (EBIT)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Charts!$B$17:$F$17</c:f>
              <c:numCache>
                <c:formatCode>0</c:formatCode>
                <c:ptCount val="5"/>
                <c:pt idx="0">
                  <c:v>2021</c:v>
                </c:pt>
                <c:pt idx="1">
                  <c:v>2022</c:v>
                </c:pt>
                <c:pt idx="2">
                  <c:v>2023</c:v>
                </c:pt>
                <c:pt idx="3">
                  <c:v>2024</c:v>
                </c:pt>
                <c:pt idx="4">
                  <c:v>2025</c:v>
                </c:pt>
              </c:numCache>
            </c:numRef>
          </c:cat>
          <c:val>
            <c:numRef>
              <c:f>Charts!$B$18:$F$18</c:f>
              <c:numCache>
                <c:formatCode>#,##0.00;\(#,##0.00\);\-</c:formatCode>
                <c:ptCount val="5"/>
                <c:pt idx="0">
                  <c:v>0.83879093198992405</c:v>
                </c:pt>
                <c:pt idx="1">
                  <c:v>2.2072289156626499</c:v>
                </c:pt>
                <c:pt idx="2">
                  <c:v>1.7306034482758601</c:v>
                </c:pt>
                <c:pt idx="3">
                  <c:v>1.5518453427065</c:v>
                </c:pt>
                <c:pt idx="4">
                  <c:v>2.2709677419354799</c:v>
                </c:pt>
              </c:numCache>
            </c:numRef>
          </c:val>
          <c:extLst>
            <c:ext xmlns:c16="http://schemas.microsoft.com/office/drawing/2014/chart" uri="{C3380CC4-5D6E-409C-BE32-E72D297353CC}">
              <c16:uniqueId val="{00000000-697E-4447-956F-C2043AFE8C04}"/>
            </c:ext>
          </c:extLst>
        </c:ser>
        <c:ser>
          <c:idx val="1"/>
          <c:order val="1"/>
          <c:tx>
            <c:strRef>
              <c:f>Charts!$A$19</c:f>
              <c:strCache>
                <c:ptCount val="1"/>
                <c:pt idx="0">
                  <c:v>Debt/Equity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Charts!$B$17:$F$17</c:f>
              <c:numCache>
                <c:formatCode>0</c:formatCode>
                <c:ptCount val="5"/>
                <c:pt idx="0">
                  <c:v>2021</c:v>
                </c:pt>
                <c:pt idx="1">
                  <c:v>2022</c:v>
                </c:pt>
                <c:pt idx="2">
                  <c:v>2023</c:v>
                </c:pt>
                <c:pt idx="3">
                  <c:v>2024</c:v>
                </c:pt>
                <c:pt idx="4">
                  <c:v>2025</c:v>
                </c:pt>
              </c:numCache>
            </c:numRef>
          </c:cat>
          <c:val>
            <c:numRef>
              <c:f>Charts!$B$19:$F$19</c:f>
              <c:numCache>
                <c:formatCode>#,##0.00\x;\(#,##0.00"x)";\-</c:formatCode>
                <c:ptCount val="5"/>
                <c:pt idx="0">
                  <c:v>-19.8534798534799</c:v>
                </c:pt>
                <c:pt idx="1">
                  <c:v>-1.8574610244988901</c:v>
                </c:pt>
                <c:pt idx="2">
                  <c:v>-7.5619940349382198</c:v>
                </c:pt>
                <c:pt idx="3">
                  <c:v>-5.4535887749595204</c:v>
                </c:pt>
                <c:pt idx="4">
                  <c:v>-4.1276357529389802</c:v>
                </c:pt>
              </c:numCache>
            </c:numRef>
          </c:val>
          <c:extLst>
            <c:ext xmlns:c16="http://schemas.microsoft.com/office/drawing/2014/chart" uri="{C3380CC4-5D6E-409C-BE32-E72D297353CC}">
              <c16:uniqueId val="{00000001-697E-4447-956F-C2043AFE8C04}"/>
            </c:ext>
          </c:extLst>
        </c:ser>
        <c:dLbls>
          <c:showLegendKey val="0"/>
          <c:showVal val="1"/>
          <c:showCatName val="0"/>
          <c:showSerName val="0"/>
          <c:showPercent val="0"/>
          <c:showBubbleSize val="0"/>
        </c:dLbls>
        <c:gapWidth val="219"/>
        <c:overlap val="-27"/>
        <c:axId val="1117045935"/>
        <c:axId val="1117039695"/>
      </c:barChart>
      <c:catAx>
        <c:axId val="1117045935"/>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117039695"/>
        <c:crosses val="autoZero"/>
        <c:auto val="1"/>
        <c:lblAlgn val="ctr"/>
        <c:lblOffset val="100"/>
        <c:noMultiLvlLbl val="0"/>
      </c:catAx>
      <c:valAx>
        <c:axId val="1117039695"/>
        <c:scaling>
          <c:orientation val="minMax"/>
        </c:scaling>
        <c:delete val="0"/>
        <c:axPos val="l"/>
        <c:majorGridlines>
          <c:spPr>
            <a:ln w="9525" cap="flat" cmpd="sng" algn="ctr">
              <a:solidFill>
                <a:schemeClr val="tx1">
                  <a:lumMod val="15000"/>
                  <a:lumOff val="85000"/>
                </a:schemeClr>
              </a:solidFill>
              <a:round/>
            </a:ln>
            <a:effectLst/>
          </c:spPr>
        </c:majorGridlines>
        <c:numFmt formatCode="#,##0.00;\(#,##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117045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f64ecc23-26a2-4e23-ab87-26857bbe9c6a}"/>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spc="-1" baseline="0">
                <a:solidFill>
                  <a:srgbClr val="000000"/>
                </a:solidFill>
                <a:latin typeface="Calibri" panose="020F0502020204030204"/>
                <a:ea typeface="+mn-ea"/>
                <a:cs typeface="+mn-cs"/>
              </a:defRPr>
            </a:pPr>
            <a:r>
              <a:rPr lang="en-IN" sz="1800" b="1" strike="noStrike" spc="-1">
                <a:solidFill>
                  <a:srgbClr val="000000"/>
                </a:solidFill>
                <a:latin typeface="Calibri" panose="020F0502020204030204"/>
              </a:rPr>
              <a:t>Market Ratios (2021-2025)</a:t>
            </a:r>
          </a:p>
        </c:rich>
      </c:tx>
      <c:overlay val="0"/>
      <c:spPr>
        <a:noFill/>
        <a:ln w="0">
          <a:noFill/>
        </a:ln>
      </c:spPr>
    </c:title>
    <c:autoTitleDeleted val="0"/>
    <c:plotArea>
      <c:layout/>
      <c:barChart>
        <c:barDir val="col"/>
        <c:grouping val="clustered"/>
        <c:varyColors val="0"/>
        <c:ser>
          <c:idx val="1"/>
          <c:order val="1"/>
          <c:tx>
            <c:strRef>
              <c:f>Charts!$A$35</c:f>
              <c:strCache>
                <c:ptCount val="1"/>
                <c:pt idx="0">
                  <c:v>Price/Earnings Ratio (P/E)</c:v>
                </c:pt>
              </c:strCache>
            </c:strRef>
          </c:tx>
          <c:spPr>
            <a:ln w="28440">
              <a:solidFill>
                <a:srgbClr val="BE4B48"/>
              </a:solidFill>
              <a:round/>
            </a:ln>
          </c:spPr>
          <c:invertIfNegative val="0"/>
          <c:cat>
            <c:numRef>
              <c:f>Charts!$B$34:$F$34</c:f>
              <c:numCache>
                <c:formatCode>0</c:formatCode>
                <c:ptCount val="5"/>
                <c:pt idx="0">
                  <c:v>2021</c:v>
                </c:pt>
                <c:pt idx="1">
                  <c:v>2022</c:v>
                </c:pt>
                <c:pt idx="2">
                  <c:v>2023</c:v>
                </c:pt>
                <c:pt idx="3">
                  <c:v>2024</c:v>
                </c:pt>
                <c:pt idx="4">
                  <c:v>2025</c:v>
                </c:pt>
              </c:numCache>
            </c:numRef>
          </c:cat>
          <c:val>
            <c:numRef>
              <c:f>Charts!$B$35:$F$35</c:f>
              <c:numCache>
                <c:formatCode>#,##0.00;\(#,##0.00\);\-</c:formatCode>
                <c:ptCount val="5"/>
                <c:pt idx="0">
                  <c:v>104.700680272109</c:v>
                </c:pt>
                <c:pt idx="1">
                  <c:v>27.4364035087719</c:v>
                </c:pt>
                <c:pt idx="2">
                  <c:v>41.5137614678899</c:v>
                </c:pt>
                <c:pt idx="3">
                  <c:v>39.737096774193503</c:v>
                </c:pt>
                <c:pt idx="4">
                  <c:v>46.4368932038835</c:v>
                </c:pt>
              </c:numCache>
            </c:numRef>
          </c:val>
          <c:extLst>
            <c:ext xmlns:c16="http://schemas.microsoft.com/office/drawing/2014/chart" uri="{C3380CC4-5D6E-409C-BE32-E72D297353CC}">
              <c16:uniqueId val="{00000000-C989-456D-870A-DAEBBD3EF34E}"/>
            </c:ext>
          </c:extLst>
        </c:ser>
        <c:ser>
          <c:idx val="2"/>
          <c:order val="2"/>
          <c:tx>
            <c:strRef>
              <c:f>Charts!$A$36</c:f>
              <c:strCache>
                <c:ptCount val="1"/>
                <c:pt idx="0">
                  <c:v>Dividend Payout Ratio (%)</c:v>
                </c:pt>
              </c:strCache>
            </c:strRef>
          </c:tx>
          <c:spPr>
            <a:ln w="28440">
              <a:solidFill>
                <a:srgbClr val="98B855"/>
              </a:solidFill>
              <a:round/>
            </a:ln>
          </c:spPr>
          <c:invertIfNegative val="0"/>
          <c:cat>
            <c:numRef>
              <c:f>Charts!$B$34:$F$34</c:f>
              <c:numCache>
                <c:formatCode>0</c:formatCode>
                <c:ptCount val="5"/>
                <c:pt idx="0">
                  <c:v>2021</c:v>
                </c:pt>
                <c:pt idx="1">
                  <c:v>2022</c:v>
                </c:pt>
                <c:pt idx="2">
                  <c:v>2023</c:v>
                </c:pt>
                <c:pt idx="3">
                  <c:v>2024</c:v>
                </c:pt>
                <c:pt idx="4">
                  <c:v>2025</c:v>
                </c:pt>
              </c:numCache>
            </c:numRef>
          </c:cat>
          <c:val>
            <c:numRef>
              <c:f>Charts!$B$36:$F$36</c:f>
              <c:numCache>
                <c:formatCode>#,##0.00;\(#,##0.00\);\-</c:formatCode>
                <c:ptCount val="5"/>
                <c:pt idx="0">
                  <c:v>0</c:v>
                </c:pt>
                <c:pt idx="1">
                  <c:v>0.100700680245376</c:v>
                </c:pt>
                <c:pt idx="2">
                  <c:v>0.14295955670521601</c:v>
                </c:pt>
                <c:pt idx="3">
                  <c:v>0.100053548659242</c:v>
                </c:pt>
                <c:pt idx="4">
                  <c:v>0.100415993265078</c:v>
                </c:pt>
              </c:numCache>
            </c:numRef>
          </c:val>
          <c:extLst>
            <c:ext xmlns:c16="http://schemas.microsoft.com/office/drawing/2014/chart" uri="{C3380CC4-5D6E-409C-BE32-E72D297353CC}">
              <c16:uniqueId val="{00000001-C989-456D-870A-DAEBBD3EF34E}"/>
            </c:ext>
          </c:extLst>
        </c:ser>
        <c:ser>
          <c:idx val="3"/>
          <c:order val="3"/>
          <c:tx>
            <c:strRef>
              <c:f>Charts!$A$37</c:f>
              <c:strCache>
                <c:ptCount val="1"/>
                <c:pt idx="0">
                  <c:v>Dividend Yield (%)</c:v>
                </c:pt>
              </c:strCache>
            </c:strRef>
          </c:tx>
          <c:spPr>
            <a:ln w="28440">
              <a:solidFill>
                <a:srgbClr val="7D5FA0"/>
              </a:solidFill>
              <a:round/>
            </a:ln>
          </c:spPr>
          <c:invertIfNegative val="0"/>
          <c:cat>
            <c:numRef>
              <c:f>Charts!$B$34:$F$34</c:f>
              <c:numCache>
                <c:formatCode>0</c:formatCode>
                <c:ptCount val="5"/>
                <c:pt idx="0">
                  <c:v>2021</c:v>
                </c:pt>
                <c:pt idx="1">
                  <c:v>2022</c:v>
                </c:pt>
                <c:pt idx="2">
                  <c:v>2023</c:v>
                </c:pt>
                <c:pt idx="3">
                  <c:v>2024</c:v>
                </c:pt>
                <c:pt idx="4">
                  <c:v>2025</c:v>
                </c:pt>
              </c:numCache>
            </c:numRef>
          </c:cat>
          <c:val>
            <c:numRef>
              <c:f>Charts!$B$37:$F$37</c:f>
              <c:numCache>
                <c:formatCode>#,##0.00;\(#,##0.00\);\-</c:formatCode>
                <c:ptCount val="5"/>
                <c:pt idx="0">
                  <c:v>0</c:v>
                </c:pt>
                <c:pt idx="1">
                  <c:v>3.6703309241380602E-3</c:v>
                </c:pt>
                <c:pt idx="2">
                  <c:v>3.4436666698052002E-3</c:v>
                </c:pt>
                <c:pt idx="3">
                  <c:v>2.5178877366858901E-3</c:v>
                </c:pt>
                <c:pt idx="4">
                  <c:v>2.1624184207198502E-3</c:v>
                </c:pt>
              </c:numCache>
            </c:numRef>
          </c:val>
          <c:extLst>
            <c:ext xmlns:c16="http://schemas.microsoft.com/office/drawing/2014/chart" uri="{C3380CC4-5D6E-409C-BE32-E72D297353CC}">
              <c16:uniqueId val="{00000002-C989-456D-870A-DAEBBD3EF34E}"/>
            </c:ext>
          </c:extLst>
        </c:ser>
        <c:dLbls>
          <c:showLegendKey val="0"/>
          <c:showVal val="0"/>
          <c:showCatName val="0"/>
          <c:showSerName val="0"/>
          <c:showPercent val="0"/>
          <c:showBubbleSize val="0"/>
        </c:dLbls>
        <c:gapWidth val="150"/>
        <c:axId val="37208736"/>
        <c:axId val="93891159"/>
        <c:extLst>
          <c:ext xmlns:c15="http://schemas.microsoft.com/office/drawing/2012/chart" uri="{02D57815-91ED-43cb-92C2-25804820EDAC}">
            <c15:filteredBarSeries>
              <c15:ser>
                <c:idx val="0"/>
                <c:order val="0"/>
                <c:tx>
                  <c:strRef>
                    <c:extLst>
                      <c:ext uri="{02D57815-91ED-43cb-92C2-25804820EDAC}">
                        <c15:formulaRef>
                          <c15:sqref>Charts!$A$34</c15:sqref>
                        </c15:formulaRef>
                      </c:ext>
                    </c:extLst>
                    <c:strCache>
                      <c:ptCount val="1"/>
                      <c:pt idx="0">
                        <c:v>Particulars</c:v>
                      </c:pt>
                    </c:strCache>
                  </c:strRef>
                </c:tx>
                <c:spPr>
                  <a:ln w="28440">
                    <a:solidFill>
                      <a:srgbClr val="4A7EBB"/>
                    </a:solidFill>
                    <a:round/>
                  </a:ln>
                </c:spPr>
                <c:invertIfNegative val="0"/>
                <c:cat>
                  <c:numRef>
                    <c:extLst>
                      <c:ext uri="{02D57815-91ED-43cb-92C2-25804820EDAC}">
                        <c15:formulaRef>
                          <c15:sqref>Charts!$B$34:$F$34</c15:sqref>
                        </c15:formulaRef>
                      </c:ext>
                    </c:extLst>
                    <c:numCache>
                      <c:formatCode>0</c:formatCode>
                      <c:ptCount val="5"/>
                      <c:pt idx="0">
                        <c:v>2021</c:v>
                      </c:pt>
                      <c:pt idx="1">
                        <c:v>2022</c:v>
                      </c:pt>
                      <c:pt idx="2">
                        <c:v>2023</c:v>
                      </c:pt>
                      <c:pt idx="3">
                        <c:v>2024</c:v>
                      </c:pt>
                      <c:pt idx="4">
                        <c:v>2025</c:v>
                      </c:pt>
                    </c:numCache>
                  </c:numRef>
                </c:cat>
                <c:val>
                  <c:numRef>
                    <c:extLst>
                      <c:ext uri="{02D57815-91ED-43cb-92C2-25804820EDAC}">
                        <c15:formulaRef>
                          <c15:sqref>Charts!$B$34:$F$34</c15:sqref>
                        </c15:formulaRef>
                      </c:ext>
                    </c:extLst>
                    <c:numCache>
                      <c:formatCode>0</c:formatCode>
                      <c:ptCount val="5"/>
                      <c:pt idx="0">
                        <c:v>2021</c:v>
                      </c:pt>
                      <c:pt idx="1">
                        <c:v>2022</c:v>
                      </c:pt>
                      <c:pt idx="2">
                        <c:v>2023</c:v>
                      </c:pt>
                      <c:pt idx="3">
                        <c:v>2024</c:v>
                      </c:pt>
                      <c:pt idx="4">
                        <c:v>2025</c:v>
                      </c:pt>
                    </c:numCache>
                  </c:numRef>
                </c:val>
                <c:extLst>
                  <c:ext xmlns:c16="http://schemas.microsoft.com/office/drawing/2014/chart" uri="{C3380CC4-5D6E-409C-BE32-E72D297353CC}">
                    <c16:uniqueId val="{00000003-C989-456D-870A-DAEBBD3EF34E}"/>
                  </c:ext>
                </c:extLst>
              </c15:ser>
            </c15:filteredBarSeries>
          </c:ext>
        </c:extLst>
      </c:barChart>
      <c:catAx>
        <c:axId val="37208736"/>
        <c:scaling>
          <c:orientation val="minMax"/>
        </c:scaling>
        <c:delete val="0"/>
        <c:axPos val="b"/>
        <c:numFmt formatCode="0" sourceLinked="1"/>
        <c:majorTickMark val="none"/>
        <c:minorTickMark val="none"/>
        <c:tickLblPos val="nextTo"/>
        <c:spPr>
          <a:ln w="9360" cap="flat" cmpd="sng" algn="ctr">
            <a:solidFill>
              <a:srgbClr val="878787"/>
            </a:solidFill>
            <a:prstDash val="solid"/>
            <a:round/>
          </a:ln>
        </c:spPr>
        <c:txPr>
          <a:bodyPr rot="-60000000" spcFirstLastPara="0" vertOverflow="ellipsis" vert="horz" wrap="square" anchor="ctr" anchorCtr="1"/>
          <a:lstStyle/>
          <a:p>
            <a:pPr>
              <a:defRPr lang="en-US" sz="1000" b="0" i="0" u="none" strike="noStrike" kern="1200" spc="-1" baseline="0">
                <a:solidFill>
                  <a:srgbClr val="000000"/>
                </a:solidFill>
                <a:latin typeface="Calibri" panose="020F0502020204030204"/>
                <a:ea typeface="+mn-ea"/>
                <a:cs typeface="+mn-cs"/>
              </a:defRPr>
            </a:pPr>
            <a:endParaRPr lang="en-US"/>
          </a:p>
        </c:txPr>
        <c:crossAx val="93891159"/>
        <c:crosses val="autoZero"/>
        <c:auto val="1"/>
        <c:lblAlgn val="ctr"/>
        <c:lblOffset val="100"/>
        <c:noMultiLvlLbl val="0"/>
      </c:catAx>
      <c:valAx>
        <c:axId val="93891159"/>
        <c:scaling>
          <c:orientation val="minMax"/>
        </c:scaling>
        <c:delete val="0"/>
        <c:axPos val="l"/>
        <c:majorGridlines>
          <c:spPr>
            <a:ln w="9360" cap="flat" cmpd="sng" algn="ctr">
              <a:solidFill>
                <a:srgbClr val="878787"/>
              </a:solidFill>
              <a:prstDash val="solid"/>
              <a:round/>
            </a:ln>
          </c:spPr>
        </c:majorGridlines>
        <c:numFmt formatCode="#,##0.00" sourceLinked="0"/>
        <c:majorTickMark val="none"/>
        <c:minorTickMark val="none"/>
        <c:tickLblPos val="nextTo"/>
        <c:spPr>
          <a:ln w="9360" cap="flat" cmpd="sng" algn="ctr">
            <a:solidFill>
              <a:srgbClr val="878787"/>
            </a:solidFill>
            <a:prstDash val="solid"/>
            <a:round/>
          </a:ln>
        </c:spPr>
        <c:txPr>
          <a:bodyPr rot="-60000000" spcFirstLastPara="0" vertOverflow="ellipsis" vert="horz" wrap="square" anchor="ctr" anchorCtr="1"/>
          <a:lstStyle/>
          <a:p>
            <a:pPr>
              <a:defRPr lang="en-US" sz="1000" b="0" i="0" u="none" strike="noStrike" kern="1200" spc="-1" baseline="0">
                <a:solidFill>
                  <a:srgbClr val="000000"/>
                </a:solidFill>
                <a:latin typeface="Calibri" panose="020F0502020204030204"/>
                <a:ea typeface="+mn-ea"/>
                <a:cs typeface="+mn-cs"/>
              </a:defRPr>
            </a:pPr>
            <a:endParaRPr lang="en-US"/>
          </a:p>
        </c:txPr>
        <c:crossAx val="37208736"/>
        <c:crosses val="autoZero"/>
        <c:crossBetween val="between"/>
      </c:valAx>
      <c:dTable>
        <c:showHorzBorder val="1"/>
        <c:showVertBorder val="1"/>
        <c:showOutline val="1"/>
        <c:showKeys val="1"/>
        <c:txPr>
          <a:bodyPr rot="0" spcFirstLastPara="0" vertOverflow="ellipsis" vert="horz" wrap="square" anchor="ctr" anchorCtr="1"/>
          <a:lstStyle/>
          <a:p>
            <a:pPr rtl="0">
              <a:defRPr lang="en-US" sz="1000" b="0" i="0" u="none" strike="noStrike" kern="1200" baseline="0">
                <a:solidFill>
                  <a:schemeClr val="tx1"/>
                </a:solidFill>
                <a:latin typeface="+mn-lt"/>
                <a:ea typeface="+mn-ea"/>
                <a:cs typeface="+mn-cs"/>
              </a:defRPr>
            </a:pPr>
            <a:endParaRPr lang="en-US"/>
          </a:p>
        </c:txPr>
      </c:dTable>
      <c:spPr>
        <a:noFill/>
        <a:ln w="0">
          <a:noFill/>
        </a:ln>
      </c:spPr>
    </c:plotArea>
    <c:plotVisOnly val="1"/>
    <c:dispBlanksAs val="gap"/>
    <c:showDLblsOverMax val="1"/>
    <c:extLst>
      <c:ext uri="{0b15fc19-7d7d-44ad-8c2d-2c3a37ce22c3}">
        <chartProps xmlns="https://web.wps.cn/et/2018/main" chartId="{5436b361-1715-4f7f-bd21-38cc99fbc58d}"/>
      </c:ext>
    </c:extLst>
  </c:chart>
  <c:spPr>
    <a:solidFill>
      <a:srgbClr val="FFFFFF"/>
    </a:solidFill>
    <a:ln w="9360" cap="flat" cmpd="sng" algn="ctr">
      <a:solidFill>
        <a:srgbClr val="D9D9D9"/>
      </a:solidFill>
      <a:prstDash val="solid"/>
      <a:round/>
    </a:ln>
  </c:spPr>
  <c:txPr>
    <a:bodyPr/>
    <a:lstStyle/>
    <a:p>
      <a:pPr>
        <a:defRPr lang="en-US"/>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D03B4-649F-4281-AA76-2E0E10115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10159</Words>
  <Characters>57909</Characters>
  <Application>Microsoft Office Word</Application>
  <DocSecurity>0</DocSecurity>
  <Lines>482</Lines>
  <Paragraphs>135</Paragraphs>
  <ScaleCrop>false</ScaleCrop>
  <Company/>
  <LinksUpToDate>false</LinksUpToDate>
  <CharactersWithSpaces>67933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Mayuri Prajapati</cp:lastModifiedBy>
  <cp:revision>2</cp:revision>
  <dcterms:created xsi:type="dcterms:W3CDTF">2026-08-12T19:40:00Z</dcterms:created>
  <dcterms:modified xsi:type="dcterms:W3CDTF">2026-08-12T19:40:00Z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44B1838860FE4B1A893A69EA5773BD0A_12</vt:lpwstr>
  </property>
</Properties>
</file>