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711432" w14:textId="77777777" w:rsidR="00530E16" w:rsidRDefault="004468F8" w:rsidP="00832579">
      <w:pPr>
        <w:pBdr>
          <w:top w:val="nil"/>
          <w:left w:val="nil"/>
          <w:bottom w:val="nil"/>
          <w:right w:val="nil"/>
          <w:between w:val="nil"/>
        </w:pBdr>
        <w:spacing w:after="0" w:line="240" w:lineRule="auto"/>
        <w:jc w:val="both"/>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0C2C021" wp14:editId="3A518289">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622DCA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247ADB10"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0C2C021" id="Group 1" o:spid="_x0000_s1026" style="position:absolute;left:0;text-align:left;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622DCA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247ADB10"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6409A5B9" wp14:editId="61278FE2">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6FF12617"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14F2D4E"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6409A5B9" id="Rectangle 35" o:spid="_x0000_s1055" style="position:absolute;left:0;text-align:left;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6FF12617"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14F2D4E"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6120A345" w14:textId="77777777" w:rsidR="00530E16" w:rsidRDefault="004468F8" w:rsidP="00832579">
      <w:pPr>
        <w:jc w:val="both"/>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45C7BD99" wp14:editId="1AC17106">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30BE41FE" w14:textId="77777777" w:rsidR="00530E16" w:rsidRDefault="004468F8">
                            <w:pPr>
                              <w:spacing w:after="0" w:line="240" w:lineRule="auto"/>
                              <w:textDirection w:val="btLr"/>
                            </w:pPr>
                            <w:r>
                              <w:rPr>
                                <w:rFonts w:ascii="Play" w:eastAsia="Play" w:hAnsi="Play" w:cs="Play"/>
                                <w:color w:val="262626"/>
                                <w:sz w:val="72"/>
                              </w:rPr>
                              <w:t>Individual Report</w:t>
                            </w:r>
                          </w:p>
                          <w:p w14:paraId="0DF68611" w14:textId="77777777" w:rsidR="00530E16" w:rsidRDefault="004468F8">
                            <w:pPr>
                              <w:spacing w:before="120" w:line="277" w:lineRule="auto"/>
                              <w:textDirection w:val="btLr"/>
                            </w:pPr>
                            <w:r>
                              <w:rPr>
                                <w:color w:val="404040"/>
                                <w:sz w:val="36"/>
                              </w:rPr>
                              <w:t>Module Name: Digital Skills and Research Methods</w:t>
                            </w:r>
                          </w:p>
                          <w:p w14:paraId="4581F704" w14:textId="77777777" w:rsidR="00530E16" w:rsidRDefault="004468F8">
                            <w:pPr>
                              <w:spacing w:before="120" w:line="277" w:lineRule="auto"/>
                              <w:textDirection w:val="btLr"/>
                            </w:pPr>
                            <w:r>
                              <w:rPr>
                                <w:color w:val="404040"/>
                                <w:sz w:val="36"/>
                              </w:rPr>
                              <w:t>Module Code: LCHS 4007</w:t>
                            </w:r>
                          </w:p>
                          <w:p w14:paraId="25EE412D" w14:textId="5E0286CA" w:rsidR="00530E16" w:rsidRDefault="004468F8">
                            <w:pPr>
                              <w:spacing w:before="120" w:line="277" w:lineRule="auto"/>
                              <w:textDirection w:val="btLr"/>
                            </w:pPr>
                            <w:r>
                              <w:rPr>
                                <w:color w:val="404040"/>
                                <w:sz w:val="36"/>
                              </w:rPr>
                              <w:t xml:space="preserve">Student name: </w:t>
                            </w:r>
                            <w:proofErr w:type="spellStart"/>
                            <w:r w:rsidR="00E96E9E">
                              <w:rPr>
                                <w:color w:val="404040"/>
                                <w:sz w:val="36"/>
                              </w:rPr>
                              <w:t>Dorellys</w:t>
                            </w:r>
                            <w:proofErr w:type="spellEnd"/>
                            <w:r w:rsidR="00E96E9E">
                              <w:rPr>
                                <w:color w:val="404040"/>
                                <w:sz w:val="36"/>
                              </w:rPr>
                              <w:t xml:space="preserve"> Salazar</w:t>
                            </w:r>
                          </w:p>
                          <w:p w14:paraId="40472454" w14:textId="6F9A9B3E" w:rsidR="00530E16" w:rsidRDefault="004468F8">
                            <w:pPr>
                              <w:spacing w:before="120" w:line="277" w:lineRule="auto"/>
                              <w:textDirection w:val="btLr"/>
                            </w:pPr>
                            <w:r>
                              <w:rPr>
                                <w:color w:val="404040"/>
                                <w:sz w:val="36"/>
                              </w:rPr>
                              <w:t>Student ID:</w:t>
                            </w:r>
                            <w:r w:rsidR="00E96E9E">
                              <w:rPr>
                                <w:color w:val="404040"/>
                                <w:sz w:val="36"/>
                              </w:rPr>
                              <w:t>2533017</w:t>
                            </w:r>
                          </w:p>
                          <w:p w14:paraId="04498136" w14:textId="2EE32622" w:rsidR="00530E16" w:rsidRDefault="004468F8">
                            <w:pPr>
                              <w:spacing w:before="120" w:line="277" w:lineRule="auto"/>
                              <w:textDirection w:val="btLr"/>
                            </w:pPr>
                            <w:r>
                              <w:rPr>
                                <w:color w:val="404040"/>
                                <w:sz w:val="36"/>
                              </w:rPr>
                              <w:t xml:space="preserve">Lecturer’s Name: </w:t>
                            </w:r>
                            <w:r w:rsidR="00E96E9E">
                              <w:rPr>
                                <w:color w:val="404040"/>
                                <w:sz w:val="36"/>
                              </w:rPr>
                              <w:t xml:space="preserve">Dr. </w:t>
                            </w:r>
                            <w:proofErr w:type="spellStart"/>
                            <w:r w:rsidR="00E96E9E">
                              <w:rPr>
                                <w:color w:val="404040"/>
                                <w:sz w:val="36"/>
                              </w:rPr>
                              <w:t>Sedeque</w:t>
                            </w:r>
                            <w:proofErr w:type="spellEnd"/>
                            <w:r w:rsidR="00E96E9E">
                              <w:rPr>
                                <w:color w:val="404040"/>
                                <w:sz w:val="36"/>
                              </w:rPr>
                              <w:t xml:space="preserve"> Shaikh</w:t>
                            </w:r>
                          </w:p>
                        </w:txbxContent>
                      </wps:txbx>
                      <wps:bodyPr spcFirstLastPara="1" wrap="square" lIns="0" tIns="0" rIns="0" bIns="0" anchor="t" anchorCtr="0">
                        <a:noAutofit/>
                      </wps:bodyPr>
                    </wps:wsp>
                  </a:graphicData>
                </a:graphic>
              </wp:anchor>
            </w:drawing>
          </mc:Choice>
          <mc:Fallback>
            <w:pict>
              <v:rect w14:anchorId="45C7BD99" id="Rectangle 33" o:spid="_x0000_s1056" style="position:absolute;left:0;text-align:left;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30BE41FE" w14:textId="77777777" w:rsidR="00530E16" w:rsidRDefault="004468F8">
                      <w:pPr>
                        <w:spacing w:after="0" w:line="240" w:lineRule="auto"/>
                        <w:textDirection w:val="btLr"/>
                      </w:pPr>
                      <w:r>
                        <w:rPr>
                          <w:rFonts w:ascii="Play" w:eastAsia="Play" w:hAnsi="Play" w:cs="Play"/>
                          <w:color w:val="262626"/>
                          <w:sz w:val="72"/>
                        </w:rPr>
                        <w:t>Individual Report</w:t>
                      </w:r>
                    </w:p>
                    <w:p w14:paraId="0DF68611" w14:textId="77777777" w:rsidR="00530E16" w:rsidRDefault="004468F8">
                      <w:pPr>
                        <w:spacing w:before="120" w:line="277" w:lineRule="auto"/>
                        <w:textDirection w:val="btLr"/>
                      </w:pPr>
                      <w:r>
                        <w:rPr>
                          <w:color w:val="404040"/>
                          <w:sz w:val="36"/>
                        </w:rPr>
                        <w:t>Module Name: Digital Skills and Research Methods</w:t>
                      </w:r>
                    </w:p>
                    <w:p w14:paraId="4581F704" w14:textId="77777777" w:rsidR="00530E16" w:rsidRDefault="004468F8">
                      <w:pPr>
                        <w:spacing w:before="120" w:line="277" w:lineRule="auto"/>
                        <w:textDirection w:val="btLr"/>
                      </w:pPr>
                      <w:r>
                        <w:rPr>
                          <w:color w:val="404040"/>
                          <w:sz w:val="36"/>
                        </w:rPr>
                        <w:t>Module Code: LCHS 4007</w:t>
                      </w:r>
                    </w:p>
                    <w:p w14:paraId="25EE412D" w14:textId="5E0286CA" w:rsidR="00530E16" w:rsidRDefault="004468F8">
                      <w:pPr>
                        <w:spacing w:before="120" w:line="277" w:lineRule="auto"/>
                        <w:textDirection w:val="btLr"/>
                      </w:pPr>
                      <w:r>
                        <w:rPr>
                          <w:color w:val="404040"/>
                          <w:sz w:val="36"/>
                        </w:rPr>
                        <w:t xml:space="preserve">Student name: </w:t>
                      </w:r>
                      <w:proofErr w:type="spellStart"/>
                      <w:r w:rsidR="00E96E9E">
                        <w:rPr>
                          <w:color w:val="404040"/>
                          <w:sz w:val="36"/>
                        </w:rPr>
                        <w:t>Dorellys</w:t>
                      </w:r>
                      <w:proofErr w:type="spellEnd"/>
                      <w:r w:rsidR="00E96E9E">
                        <w:rPr>
                          <w:color w:val="404040"/>
                          <w:sz w:val="36"/>
                        </w:rPr>
                        <w:t xml:space="preserve"> Salazar</w:t>
                      </w:r>
                    </w:p>
                    <w:p w14:paraId="40472454" w14:textId="6F9A9B3E" w:rsidR="00530E16" w:rsidRDefault="004468F8">
                      <w:pPr>
                        <w:spacing w:before="120" w:line="277" w:lineRule="auto"/>
                        <w:textDirection w:val="btLr"/>
                      </w:pPr>
                      <w:r>
                        <w:rPr>
                          <w:color w:val="404040"/>
                          <w:sz w:val="36"/>
                        </w:rPr>
                        <w:t>Student ID:</w:t>
                      </w:r>
                      <w:r w:rsidR="00E96E9E">
                        <w:rPr>
                          <w:color w:val="404040"/>
                          <w:sz w:val="36"/>
                        </w:rPr>
                        <w:t>2533017</w:t>
                      </w:r>
                    </w:p>
                    <w:p w14:paraId="04498136" w14:textId="2EE32622" w:rsidR="00530E16" w:rsidRDefault="004468F8">
                      <w:pPr>
                        <w:spacing w:before="120" w:line="277" w:lineRule="auto"/>
                        <w:textDirection w:val="btLr"/>
                      </w:pPr>
                      <w:r>
                        <w:rPr>
                          <w:color w:val="404040"/>
                          <w:sz w:val="36"/>
                        </w:rPr>
                        <w:t xml:space="preserve">Lecturer’s Name: </w:t>
                      </w:r>
                      <w:r w:rsidR="00E96E9E">
                        <w:rPr>
                          <w:color w:val="404040"/>
                          <w:sz w:val="36"/>
                        </w:rPr>
                        <w:t xml:space="preserve">Dr. </w:t>
                      </w:r>
                      <w:proofErr w:type="spellStart"/>
                      <w:r w:rsidR="00E96E9E">
                        <w:rPr>
                          <w:color w:val="404040"/>
                          <w:sz w:val="36"/>
                        </w:rPr>
                        <w:t>Sedeque</w:t>
                      </w:r>
                      <w:proofErr w:type="spellEnd"/>
                      <w:r w:rsidR="00E96E9E">
                        <w:rPr>
                          <w:color w:val="404040"/>
                          <w:sz w:val="36"/>
                        </w:rPr>
                        <w:t xml:space="preserve"> Shaikh</w:t>
                      </w:r>
                    </w:p>
                  </w:txbxContent>
                </v:textbox>
                <w10:wrap anchorx="page" anchory="page"/>
              </v:rect>
            </w:pict>
          </mc:Fallback>
        </mc:AlternateContent>
      </w:r>
      <w:r>
        <w:br w:type="page"/>
      </w:r>
    </w:p>
    <w:p w14:paraId="3C24777E" w14:textId="77777777" w:rsidR="00530E16" w:rsidRDefault="00530E16" w:rsidP="00832579">
      <w:pPr>
        <w:jc w:val="both"/>
        <w:rPr>
          <w:rFonts w:ascii="Arial" w:eastAsia="Arial" w:hAnsi="Arial" w:cs="Arial"/>
        </w:rPr>
      </w:pPr>
    </w:p>
    <w:p w14:paraId="5E08E60D" w14:textId="77777777" w:rsidR="00530E16" w:rsidRDefault="004468F8" w:rsidP="00832579">
      <w:pPr>
        <w:keepNext/>
        <w:keepLines/>
        <w:pBdr>
          <w:top w:val="nil"/>
          <w:left w:val="nil"/>
          <w:bottom w:val="nil"/>
          <w:right w:val="nil"/>
          <w:between w:val="nil"/>
        </w:pBdr>
        <w:spacing w:before="240" w:after="0" w:line="259" w:lineRule="auto"/>
        <w:jc w:val="both"/>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166E734A" w14:textId="3A6E7C7A" w:rsidR="00DB181C" w:rsidRDefault="004468F8" w:rsidP="00832579">
          <w:pPr>
            <w:pStyle w:val="TDC1"/>
            <w:tabs>
              <w:tab w:val="right" w:leader="dot" w:pos="9016"/>
            </w:tabs>
            <w:jc w:val="both"/>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3674530" w:history="1">
            <w:r w:rsidR="00DB181C" w:rsidRPr="005D132F">
              <w:rPr>
                <w:rStyle w:val="Hipervnculo"/>
                <w:noProof/>
              </w:rPr>
              <w:t xml:space="preserve">Research Topic: </w:t>
            </w:r>
            <w:r w:rsidR="00E96E9E" w:rsidRPr="00E96E9E">
              <w:rPr>
                <w:rStyle w:val="Hipervnculo"/>
                <w:noProof/>
              </w:rPr>
              <w:t>Digital Exclusion and Healthcare Access Among the UK’s Elderly</w:t>
            </w:r>
            <w:r w:rsidR="00DB181C">
              <w:rPr>
                <w:noProof/>
                <w:webHidden/>
              </w:rPr>
              <w:tab/>
            </w:r>
            <w:r w:rsidR="00DB181C">
              <w:rPr>
                <w:noProof/>
                <w:webHidden/>
              </w:rPr>
              <w:fldChar w:fldCharType="begin"/>
            </w:r>
            <w:r w:rsidR="00DB181C">
              <w:rPr>
                <w:noProof/>
                <w:webHidden/>
              </w:rPr>
              <w:instrText xml:space="preserve"> PAGEREF _Toc213674530 \h </w:instrText>
            </w:r>
            <w:r w:rsidR="00DB181C">
              <w:rPr>
                <w:noProof/>
                <w:webHidden/>
              </w:rPr>
            </w:r>
            <w:r w:rsidR="00DB181C">
              <w:rPr>
                <w:noProof/>
                <w:webHidden/>
              </w:rPr>
              <w:fldChar w:fldCharType="separate"/>
            </w:r>
            <w:r w:rsidR="00DB181C">
              <w:rPr>
                <w:noProof/>
                <w:webHidden/>
              </w:rPr>
              <w:t>2</w:t>
            </w:r>
            <w:r w:rsidR="00DB181C">
              <w:rPr>
                <w:noProof/>
                <w:webHidden/>
              </w:rPr>
              <w:fldChar w:fldCharType="end"/>
            </w:r>
          </w:hyperlink>
        </w:p>
        <w:p w14:paraId="2649AD4F" w14:textId="77777777" w:rsidR="00DB181C" w:rsidRDefault="00DB181C" w:rsidP="00832579">
          <w:pPr>
            <w:pStyle w:val="TDC1"/>
            <w:tabs>
              <w:tab w:val="right" w:leader="dot" w:pos="9016"/>
            </w:tabs>
            <w:jc w:val="both"/>
            <w:rPr>
              <w:rFonts w:asciiTheme="minorHAnsi" w:eastAsiaTheme="minorEastAsia" w:hAnsiTheme="minorHAnsi" w:cstheme="minorBidi"/>
              <w:noProof/>
              <w:sz w:val="22"/>
              <w:szCs w:val="22"/>
            </w:rPr>
          </w:pPr>
          <w:hyperlink w:anchor="_Toc213674531" w:history="1">
            <w:r w:rsidRPr="005D132F">
              <w:rPr>
                <w:rStyle w:val="Hipervnculo"/>
                <w:noProof/>
              </w:rPr>
              <w:t>Introduction</w:t>
            </w:r>
            <w:r>
              <w:rPr>
                <w:noProof/>
                <w:webHidden/>
              </w:rPr>
              <w:tab/>
            </w:r>
            <w:r>
              <w:rPr>
                <w:noProof/>
                <w:webHidden/>
              </w:rPr>
              <w:fldChar w:fldCharType="begin"/>
            </w:r>
            <w:r>
              <w:rPr>
                <w:noProof/>
                <w:webHidden/>
              </w:rPr>
              <w:instrText xml:space="preserve"> PAGEREF _Toc213674531 \h </w:instrText>
            </w:r>
            <w:r>
              <w:rPr>
                <w:noProof/>
                <w:webHidden/>
              </w:rPr>
            </w:r>
            <w:r>
              <w:rPr>
                <w:noProof/>
                <w:webHidden/>
              </w:rPr>
              <w:fldChar w:fldCharType="separate"/>
            </w:r>
            <w:r>
              <w:rPr>
                <w:noProof/>
                <w:webHidden/>
              </w:rPr>
              <w:t>2</w:t>
            </w:r>
            <w:r>
              <w:rPr>
                <w:noProof/>
                <w:webHidden/>
              </w:rPr>
              <w:fldChar w:fldCharType="end"/>
            </w:r>
          </w:hyperlink>
        </w:p>
        <w:p w14:paraId="738A77DA" w14:textId="77777777" w:rsidR="00DB181C" w:rsidRDefault="00DB181C" w:rsidP="00832579">
          <w:pPr>
            <w:pStyle w:val="TDC2"/>
            <w:tabs>
              <w:tab w:val="right" w:leader="dot" w:pos="9016"/>
            </w:tabs>
            <w:ind w:left="0"/>
            <w:jc w:val="both"/>
            <w:rPr>
              <w:rFonts w:asciiTheme="minorHAnsi" w:eastAsiaTheme="minorEastAsia" w:hAnsiTheme="minorHAnsi" w:cstheme="minorBidi"/>
              <w:noProof/>
              <w:sz w:val="22"/>
              <w:szCs w:val="22"/>
            </w:rPr>
          </w:pPr>
          <w:hyperlink w:anchor="_Toc213674532" w:history="1">
            <w:r w:rsidRPr="005D132F">
              <w:rPr>
                <w:rStyle w:val="Hipervnculo"/>
                <w:noProof/>
              </w:rPr>
              <w:t>Problem Statement</w:t>
            </w:r>
            <w:r>
              <w:rPr>
                <w:noProof/>
                <w:webHidden/>
              </w:rPr>
              <w:tab/>
            </w:r>
            <w:r>
              <w:rPr>
                <w:noProof/>
                <w:webHidden/>
              </w:rPr>
              <w:fldChar w:fldCharType="begin"/>
            </w:r>
            <w:r>
              <w:rPr>
                <w:noProof/>
                <w:webHidden/>
              </w:rPr>
              <w:instrText xml:space="preserve"> PAGEREF _Toc213674532 \h </w:instrText>
            </w:r>
            <w:r>
              <w:rPr>
                <w:noProof/>
                <w:webHidden/>
              </w:rPr>
            </w:r>
            <w:r>
              <w:rPr>
                <w:noProof/>
                <w:webHidden/>
              </w:rPr>
              <w:fldChar w:fldCharType="separate"/>
            </w:r>
            <w:r>
              <w:rPr>
                <w:noProof/>
                <w:webHidden/>
              </w:rPr>
              <w:t>2</w:t>
            </w:r>
            <w:r>
              <w:rPr>
                <w:noProof/>
                <w:webHidden/>
              </w:rPr>
              <w:fldChar w:fldCharType="end"/>
            </w:r>
          </w:hyperlink>
        </w:p>
        <w:p w14:paraId="2224E354" w14:textId="77777777" w:rsidR="00DB181C" w:rsidRDefault="00DB181C" w:rsidP="00832579">
          <w:pPr>
            <w:pStyle w:val="TDC2"/>
            <w:tabs>
              <w:tab w:val="right" w:leader="dot" w:pos="9016"/>
            </w:tabs>
            <w:ind w:left="0"/>
            <w:jc w:val="both"/>
            <w:rPr>
              <w:rFonts w:asciiTheme="minorHAnsi" w:eastAsiaTheme="minorEastAsia" w:hAnsiTheme="minorHAnsi" w:cstheme="minorBidi"/>
              <w:noProof/>
              <w:sz w:val="22"/>
              <w:szCs w:val="22"/>
            </w:rPr>
          </w:pPr>
          <w:hyperlink w:anchor="_Toc213674533" w:history="1">
            <w:r w:rsidRPr="005D132F">
              <w:rPr>
                <w:rStyle w:val="Hipervnculo"/>
                <w:noProof/>
              </w:rPr>
              <w:t>Justification</w:t>
            </w:r>
            <w:r>
              <w:rPr>
                <w:noProof/>
                <w:webHidden/>
              </w:rPr>
              <w:tab/>
            </w:r>
            <w:r>
              <w:rPr>
                <w:noProof/>
                <w:webHidden/>
              </w:rPr>
              <w:fldChar w:fldCharType="begin"/>
            </w:r>
            <w:r>
              <w:rPr>
                <w:noProof/>
                <w:webHidden/>
              </w:rPr>
              <w:instrText xml:space="preserve"> PAGEREF _Toc213674533 \h </w:instrText>
            </w:r>
            <w:r>
              <w:rPr>
                <w:noProof/>
                <w:webHidden/>
              </w:rPr>
            </w:r>
            <w:r>
              <w:rPr>
                <w:noProof/>
                <w:webHidden/>
              </w:rPr>
              <w:fldChar w:fldCharType="separate"/>
            </w:r>
            <w:r>
              <w:rPr>
                <w:noProof/>
                <w:webHidden/>
              </w:rPr>
              <w:t>2</w:t>
            </w:r>
            <w:r>
              <w:rPr>
                <w:noProof/>
                <w:webHidden/>
              </w:rPr>
              <w:fldChar w:fldCharType="end"/>
            </w:r>
          </w:hyperlink>
        </w:p>
        <w:p w14:paraId="7C31CE2D" w14:textId="77777777" w:rsidR="00DB181C" w:rsidRDefault="00DB181C" w:rsidP="00832579">
          <w:pPr>
            <w:pStyle w:val="TDC2"/>
            <w:tabs>
              <w:tab w:val="right" w:leader="dot" w:pos="9016"/>
            </w:tabs>
            <w:ind w:left="0"/>
            <w:jc w:val="both"/>
            <w:rPr>
              <w:rFonts w:asciiTheme="minorHAnsi" w:eastAsiaTheme="minorEastAsia" w:hAnsiTheme="minorHAnsi" w:cstheme="minorBidi"/>
              <w:noProof/>
              <w:sz w:val="22"/>
              <w:szCs w:val="22"/>
            </w:rPr>
          </w:pPr>
          <w:hyperlink w:anchor="_Toc213674534" w:history="1">
            <w:r w:rsidRPr="005D132F">
              <w:rPr>
                <w:rStyle w:val="Hipervnculo"/>
                <w:noProof/>
              </w:rPr>
              <w:t>Information Sources and Justification</w:t>
            </w:r>
            <w:r>
              <w:rPr>
                <w:noProof/>
                <w:webHidden/>
              </w:rPr>
              <w:tab/>
            </w:r>
            <w:r>
              <w:rPr>
                <w:noProof/>
                <w:webHidden/>
              </w:rPr>
              <w:fldChar w:fldCharType="begin"/>
            </w:r>
            <w:r>
              <w:rPr>
                <w:noProof/>
                <w:webHidden/>
              </w:rPr>
              <w:instrText xml:space="preserve"> PAGEREF _Toc213674534 \h </w:instrText>
            </w:r>
            <w:r>
              <w:rPr>
                <w:noProof/>
                <w:webHidden/>
              </w:rPr>
            </w:r>
            <w:r>
              <w:rPr>
                <w:noProof/>
                <w:webHidden/>
              </w:rPr>
              <w:fldChar w:fldCharType="separate"/>
            </w:r>
            <w:r>
              <w:rPr>
                <w:noProof/>
                <w:webHidden/>
              </w:rPr>
              <w:t>2</w:t>
            </w:r>
            <w:r>
              <w:rPr>
                <w:noProof/>
                <w:webHidden/>
              </w:rPr>
              <w:fldChar w:fldCharType="end"/>
            </w:r>
          </w:hyperlink>
        </w:p>
        <w:p w14:paraId="1DBF8B30" w14:textId="77777777" w:rsidR="00DB181C" w:rsidRDefault="00DB181C" w:rsidP="00832579">
          <w:pPr>
            <w:pStyle w:val="TDC1"/>
            <w:tabs>
              <w:tab w:val="right" w:leader="dot" w:pos="9016"/>
            </w:tabs>
            <w:jc w:val="both"/>
            <w:rPr>
              <w:rFonts w:asciiTheme="minorHAnsi" w:eastAsiaTheme="minorEastAsia" w:hAnsiTheme="minorHAnsi" w:cstheme="minorBidi"/>
              <w:noProof/>
              <w:sz w:val="22"/>
              <w:szCs w:val="22"/>
            </w:rPr>
          </w:pPr>
          <w:hyperlink w:anchor="_Toc213674535" w:history="1">
            <w:r w:rsidRPr="005D132F">
              <w:rPr>
                <w:rStyle w:val="Hipervnculo"/>
                <w:noProof/>
              </w:rPr>
              <w:t xml:space="preserve">Task 2: </w:t>
            </w:r>
            <w:r w:rsidRPr="005D132F">
              <w:rPr>
                <w:rStyle w:val="Hipervnculo"/>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_Toc213674535 \h </w:instrText>
            </w:r>
            <w:r>
              <w:rPr>
                <w:noProof/>
                <w:webHidden/>
              </w:rPr>
            </w:r>
            <w:r>
              <w:rPr>
                <w:noProof/>
                <w:webHidden/>
              </w:rPr>
              <w:fldChar w:fldCharType="separate"/>
            </w:r>
            <w:r>
              <w:rPr>
                <w:noProof/>
                <w:webHidden/>
              </w:rPr>
              <w:t>2</w:t>
            </w:r>
            <w:r>
              <w:rPr>
                <w:noProof/>
                <w:webHidden/>
              </w:rPr>
              <w:fldChar w:fldCharType="end"/>
            </w:r>
          </w:hyperlink>
        </w:p>
        <w:p w14:paraId="584B6735" w14:textId="77777777" w:rsidR="00DB181C" w:rsidRDefault="00DB181C" w:rsidP="00832579">
          <w:pPr>
            <w:pStyle w:val="TDC2"/>
            <w:tabs>
              <w:tab w:val="right" w:leader="dot" w:pos="9016"/>
            </w:tabs>
            <w:ind w:left="0"/>
            <w:jc w:val="both"/>
            <w:rPr>
              <w:rFonts w:asciiTheme="minorHAnsi" w:eastAsiaTheme="minorEastAsia" w:hAnsiTheme="minorHAnsi" w:cstheme="minorBidi"/>
              <w:noProof/>
              <w:sz w:val="22"/>
              <w:szCs w:val="22"/>
            </w:rPr>
          </w:pPr>
          <w:hyperlink w:anchor="_Toc213674536" w:history="1">
            <w:r w:rsidRPr="005D132F">
              <w:rPr>
                <w:rStyle w:val="Hipervnculo"/>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_Toc213674536 \h </w:instrText>
            </w:r>
            <w:r>
              <w:rPr>
                <w:noProof/>
                <w:webHidden/>
              </w:rPr>
            </w:r>
            <w:r>
              <w:rPr>
                <w:noProof/>
                <w:webHidden/>
              </w:rPr>
              <w:fldChar w:fldCharType="separate"/>
            </w:r>
            <w:r>
              <w:rPr>
                <w:noProof/>
                <w:webHidden/>
              </w:rPr>
              <w:t>2</w:t>
            </w:r>
            <w:r>
              <w:rPr>
                <w:noProof/>
                <w:webHidden/>
              </w:rPr>
              <w:fldChar w:fldCharType="end"/>
            </w:r>
          </w:hyperlink>
        </w:p>
        <w:p w14:paraId="5FC353FD" w14:textId="77777777" w:rsidR="00DB181C" w:rsidRDefault="00DB181C" w:rsidP="00832579">
          <w:pPr>
            <w:pStyle w:val="TDC2"/>
            <w:tabs>
              <w:tab w:val="right" w:leader="dot" w:pos="9016"/>
            </w:tabs>
            <w:ind w:left="0"/>
            <w:jc w:val="both"/>
            <w:rPr>
              <w:rFonts w:asciiTheme="minorHAnsi" w:eastAsiaTheme="minorEastAsia" w:hAnsiTheme="minorHAnsi" w:cstheme="minorBidi"/>
              <w:noProof/>
              <w:sz w:val="22"/>
              <w:szCs w:val="22"/>
            </w:rPr>
          </w:pPr>
          <w:hyperlink w:anchor="_Toc213674537" w:history="1">
            <w:r w:rsidRPr="005D132F">
              <w:rPr>
                <w:rStyle w:val="Hipervnculo"/>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_Toc213674537 \h </w:instrText>
            </w:r>
            <w:r>
              <w:rPr>
                <w:noProof/>
                <w:webHidden/>
              </w:rPr>
            </w:r>
            <w:r>
              <w:rPr>
                <w:noProof/>
                <w:webHidden/>
              </w:rPr>
              <w:fldChar w:fldCharType="separate"/>
            </w:r>
            <w:r>
              <w:rPr>
                <w:noProof/>
                <w:webHidden/>
              </w:rPr>
              <w:t>3</w:t>
            </w:r>
            <w:r>
              <w:rPr>
                <w:noProof/>
                <w:webHidden/>
              </w:rPr>
              <w:fldChar w:fldCharType="end"/>
            </w:r>
          </w:hyperlink>
        </w:p>
        <w:p w14:paraId="6379F4CA" w14:textId="77777777" w:rsidR="00DB181C" w:rsidRDefault="00DB181C" w:rsidP="00832579">
          <w:pPr>
            <w:pStyle w:val="TDC1"/>
            <w:tabs>
              <w:tab w:val="right" w:leader="dot" w:pos="9016"/>
            </w:tabs>
            <w:jc w:val="both"/>
            <w:rPr>
              <w:rFonts w:asciiTheme="minorHAnsi" w:eastAsiaTheme="minorEastAsia" w:hAnsiTheme="minorHAnsi" w:cstheme="minorBidi"/>
              <w:noProof/>
              <w:sz w:val="22"/>
              <w:szCs w:val="22"/>
            </w:rPr>
          </w:pPr>
          <w:hyperlink w:anchor="_Toc213674538" w:history="1">
            <w:r w:rsidRPr="005D132F">
              <w:rPr>
                <w:rStyle w:val="Hipervnculo"/>
                <w:noProof/>
              </w:rPr>
              <w:t>Task 3: Data Collection</w:t>
            </w:r>
            <w:r>
              <w:rPr>
                <w:noProof/>
                <w:webHidden/>
              </w:rPr>
              <w:tab/>
            </w:r>
            <w:r>
              <w:rPr>
                <w:noProof/>
                <w:webHidden/>
              </w:rPr>
              <w:fldChar w:fldCharType="begin"/>
            </w:r>
            <w:r>
              <w:rPr>
                <w:noProof/>
                <w:webHidden/>
              </w:rPr>
              <w:instrText xml:space="preserve"> PAGEREF _Toc213674538 \h </w:instrText>
            </w:r>
            <w:r>
              <w:rPr>
                <w:noProof/>
                <w:webHidden/>
              </w:rPr>
            </w:r>
            <w:r>
              <w:rPr>
                <w:noProof/>
                <w:webHidden/>
              </w:rPr>
              <w:fldChar w:fldCharType="separate"/>
            </w:r>
            <w:r>
              <w:rPr>
                <w:noProof/>
                <w:webHidden/>
              </w:rPr>
              <w:t>3</w:t>
            </w:r>
            <w:r>
              <w:rPr>
                <w:noProof/>
                <w:webHidden/>
              </w:rPr>
              <w:fldChar w:fldCharType="end"/>
            </w:r>
          </w:hyperlink>
        </w:p>
        <w:p w14:paraId="58B0C817" w14:textId="77777777" w:rsidR="00DB181C" w:rsidRDefault="00DB181C" w:rsidP="00832579">
          <w:pPr>
            <w:pStyle w:val="TDC2"/>
            <w:tabs>
              <w:tab w:val="right" w:leader="dot" w:pos="9016"/>
            </w:tabs>
            <w:ind w:left="0"/>
            <w:jc w:val="both"/>
            <w:rPr>
              <w:rFonts w:asciiTheme="minorHAnsi" w:eastAsiaTheme="minorEastAsia" w:hAnsiTheme="minorHAnsi" w:cstheme="minorBidi"/>
              <w:noProof/>
              <w:sz w:val="22"/>
              <w:szCs w:val="22"/>
            </w:rPr>
          </w:pPr>
          <w:hyperlink w:anchor="_Toc213674539" w:history="1">
            <w:r w:rsidRPr="005D132F">
              <w:rPr>
                <w:rStyle w:val="Hipervnculo"/>
                <w:noProof/>
                <w:lang w:eastAsia="en-US"/>
              </w:rPr>
              <w:t>Overview of primary and secondary data collection</w:t>
            </w:r>
            <w:r>
              <w:rPr>
                <w:noProof/>
                <w:webHidden/>
              </w:rPr>
              <w:tab/>
            </w:r>
            <w:r>
              <w:rPr>
                <w:noProof/>
                <w:webHidden/>
              </w:rPr>
              <w:fldChar w:fldCharType="begin"/>
            </w:r>
            <w:r>
              <w:rPr>
                <w:noProof/>
                <w:webHidden/>
              </w:rPr>
              <w:instrText xml:space="preserve"> PAGEREF _Toc213674539 \h </w:instrText>
            </w:r>
            <w:r>
              <w:rPr>
                <w:noProof/>
                <w:webHidden/>
              </w:rPr>
            </w:r>
            <w:r>
              <w:rPr>
                <w:noProof/>
                <w:webHidden/>
              </w:rPr>
              <w:fldChar w:fldCharType="separate"/>
            </w:r>
            <w:r>
              <w:rPr>
                <w:noProof/>
                <w:webHidden/>
              </w:rPr>
              <w:t>3</w:t>
            </w:r>
            <w:r>
              <w:rPr>
                <w:noProof/>
                <w:webHidden/>
              </w:rPr>
              <w:fldChar w:fldCharType="end"/>
            </w:r>
          </w:hyperlink>
        </w:p>
        <w:p w14:paraId="10F90AFA" w14:textId="77777777" w:rsidR="00DB181C" w:rsidRDefault="00DB181C" w:rsidP="00832579">
          <w:pPr>
            <w:pStyle w:val="TDC2"/>
            <w:tabs>
              <w:tab w:val="right" w:leader="dot" w:pos="9016"/>
            </w:tabs>
            <w:ind w:left="0"/>
            <w:jc w:val="both"/>
            <w:rPr>
              <w:rFonts w:asciiTheme="minorHAnsi" w:eastAsiaTheme="minorEastAsia" w:hAnsiTheme="minorHAnsi" w:cstheme="minorBidi"/>
              <w:noProof/>
              <w:sz w:val="22"/>
              <w:szCs w:val="22"/>
            </w:rPr>
          </w:pPr>
          <w:hyperlink w:anchor="_Toc213674540" w:history="1">
            <w:r w:rsidRPr="005D132F">
              <w:rPr>
                <w:rStyle w:val="Hipervnculo"/>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_Toc213674540 \h </w:instrText>
            </w:r>
            <w:r>
              <w:rPr>
                <w:noProof/>
                <w:webHidden/>
              </w:rPr>
            </w:r>
            <w:r>
              <w:rPr>
                <w:noProof/>
                <w:webHidden/>
              </w:rPr>
              <w:fldChar w:fldCharType="separate"/>
            </w:r>
            <w:r>
              <w:rPr>
                <w:noProof/>
                <w:webHidden/>
              </w:rPr>
              <w:t>3</w:t>
            </w:r>
            <w:r>
              <w:rPr>
                <w:noProof/>
                <w:webHidden/>
              </w:rPr>
              <w:fldChar w:fldCharType="end"/>
            </w:r>
          </w:hyperlink>
        </w:p>
        <w:p w14:paraId="3D26CC85" w14:textId="77777777" w:rsidR="00DB181C" w:rsidRDefault="00DB181C" w:rsidP="00832579">
          <w:pPr>
            <w:pStyle w:val="TDC1"/>
            <w:tabs>
              <w:tab w:val="right" w:leader="dot" w:pos="9016"/>
            </w:tabs>
            <w:jc w:val="both"/>
            <w:rPr>
              <w:rFonts w:asciiTheme="minorHAnsi" w:eastAsiaTheme="minorEastAsia" w:hAnsiTheme="minorHAnsi" w:cstheme="minorBidi"/>
              <w:noProof/>
              <w:sz w:val="22"/>
              <w:szCs w:val="22"/>
            </w:rPr>
          </w:pPr>
          <w:hyperlink w:anchor="_Toc213674541" w:history="1">
            <w:r w:rsidRPr="005D132F">
              <w:rPr>
                <w:rStyle w:val="Hipervnculo"/>
                <w:noProof/>
              </w:rPr>
              <w:t>Conclusion</w:t>
            </w:r>
            <w:r>
              <w:rPr>
                <w:noProof/>
                <w:webHidden/>
              </w:rPr>
              <w:tab/>
            </w:r>
            <w:r>
              <w:rPr>
                <w:noProof/>
                <w:webHidden/>
              </w:rPr>
              <w:fldChar w:fldCharType="begin"/>
            </w:r>
            <w:r>
              <w:rPr>
                <w:noProof/>
                <w:webHidden/>
              </w:rPr>
              <w:instrText xml:space="preserve"> PAGEREF _Toc213674541 \h </w:instrText>
            </w:r>
            <w:r>
              <w:rPr>
                <w:noProof/>
                <w:webHidden/>
              </w:rPr>
            </w:r>
            <w:r>
              <w:rPr>
                <w:noProof/>
                <w:webHidden/>
              </w:rPr>
              <w:fldChar w:fldCharType="separate"/>
            </w:r>
            <w:r>
              <w:rPr>
                <w:noProof/>
                <w:webHidden/>
              </w:rPr>
              <w:t>3</w:t>
            </w:r>
            <w:r>
              <w:rPr>
                <w:noProof/>
                <w:webHidden/>
              </w:rPr>
              <w:fldChar w:fldCharType="end"/>
            </w:r>
          </w:hyperlink>
        </w:p>
        <w:p w14:paraId="1480F0E5" w14:textId="77777777" w:rsidR="00DB181C" w:rsidRDefault="00DB181C" w:rsidP="00832579">
          <w:pPr>
            <w:pStyle w:val="TDC1"/>
            <w:tabs>
              <w:tab w:val="right" w:leader="dot" w:pos="9016"/>
            </w:tabs>
            <w:jc w:val="both"/>
            <w:rPr>
              <w:rFonts w:asciiTheme="minorHAnsi" w:eastAsiaTheme="minorEastAsia" w:hAnsiTheme="minorHAnsi" w:cstheme="minorBidi"/>
              <w:noProof/>
              <w:sz w:val="22"/>
              <w:szCs w:val="22"/>
            </w:rPr>
          </w:pPr>
          <w:hyperlink w:anchor="_Toc213674542" w:history="1">
            <w:r w:rsidRPr="005D132F">
              <w:rPr>
                <w:rStyle w:val="Hipervnculo"/>
                <w:noProof/>
              </w:rPr>
              <w:t>References</w:t>
            </w:r>
            <w:r>
              <w:rPr>
                <w:noProof/>
                <w:webHidden/>
              </w:rPr>
              <w:tab/>
            </w:r>
            <w:r>
              <w:rPr>
                <w:noProof/>
                <w:webHidden/>
              </w:rPr>
              <w:fldChar w:fldCharType="begin"/>
            </w:r>
            <w:r>
              <w:rPr>
                <w:noProof/>
                <w:webHidden/>
              </w:rPr>
              <w:instrText xml:space="preserve"> PAGEREF _Toc213674542 \h </w:instrText>
            </w:r>
            <w:r>
              <w:rPr>
                <w:noProof/>
                <w:webHidden/>
              </w:rPr>
            </w:r>
            <w:r>
              <w:rPr>
                <w:noProof/>
                <w:webHidden/>
              </w:rPr>
              <w:fldChar w:fldCharType="separate"/>
            </w:r>
            <w:r>
              <w:rPr>
                <w:noProof/>
                <w:webHidden/>
              </w:rPr>
              <w:t>3</w:t>
            </w:r>
            <w:r>
              <w:rPr>
                <w:noProof/>
                <w:webHidden/>
              </w:rPr>
              <w:fldChar w:fldCharType="end"/>
            </w:r>
          </w:hyperlink>
        </w:p>
        <w:p w14:paraId="31A64E38" w14:textId="77777777" w:rsidR="00530E16" w:rsidRPr="00CF650B" w:rsidRDefault="004468F8" w:rsidP="00832579">
          <w:pPr>
            <w:jc w:val="both"/>
          </w:pPr>
          <w:r>
            <w:fldChar w:fldCharType="end"/>
          </w:r>
        </w:p>
      </w:sdtContent>
    </w:sdt>
    <w:p w14:paraId="541389B1" w14:textId="77777777" w:rsidR="00530E16" w:rsidRDefault="00530E16" w:rsidP="00832579">
      <w:pPr>
        <w:jc w:val="both"/>
        <w:rPr>
          <w:rFonts w:ascii="Arial" w:eastAsia="Arial" w:hAnsi="Arial" w:cs="Arial"/>
        </w:rPr>
      </w:pPr>
    </w:p>
    <w:p w14:paraId="0C9632DB" w14:textId="77777777" w:rsidR="00530E16" w:rsidRDefault="00530E16" w:rsidP="00832579">
      <w:pPr>
        <w:jc w:val="both"/>
        <w:rPr>
          <w:rFonts w:ascii="Arial" w:eastAsia="Arial" w:hAnsi="Arial" w:cs="Arial"/>
        </w:rPr>
      </w:pPr>
    </w:p>
    <w:p w14:paraId="7929B015" w14:textId="77777777" w:rsidR="00530E16" w:rsidRDefault="00530E16" w:rsidP="00832579">
      <w:pPr>
        <w:jc w:val="both"/>
        <w:rPr>
          <w:rFonts w:ascii="Arial" w:eastAsia="Arial" w:hAnsi="Arial" w:cs="Arial"/>
        </w:rPr>
      </w:pPr>
    </w:p>
    <w:p w14:paraId="4F54FC21" w14:textId="77777777" w:rsidR="00530E16" w:rsidRDefault="00530E16" w:rsidP="00832579">
      <w:pPr>
        <w:jc w:val="both"/>
        <w:rPr>
          <w:rFonts w:ascii="Arial" w:eastAsia="Arial" w:hAnsi="Arial" w:cs="Arial"/>
        </w:rPr>
      </w:pPr>
    </w:p>
    <w:p w14:paraId="0A596A6A" w14:textId="77777777" w:rsidR="00530E16" w:rsidRDefault="00530E16" w:rsidP="00832579">
      <w:pPr>
        <w:jc w:val="both"/>
        <w:rPr>
          <w:rFonts w:ascii="Arial" w:eastAsia="Arial" w:hAnsi="Arial" w:cs="Arial"/>
        </w:rPr>
      </w:pPr>
    </w:p>
    <w:p w14:paraId="2354119E" w14:textId="77777777" w:rsidR="00530E16" w:rsidRDefault="00530E16" w:rsidP="00832579">
      <w:pPr>
        <w:jc w:val="both"/>
        <w:rPr>
          <w:rFonts w:ascii="Arial" w:eastAsia="Arial" w:hAnsi="Arial" w:cs="Arial"/>
        </w:rPr>
      </w:pPr>
    </w:p>
    <w:p w14:paraId="6B349B36" w14:textId="77777777" w:rsidR="00530E16" w:rsidRDefault="00530E16" w:rsidP="00832579">
      <w:pPr>
        <w:jc w:val="both"/>
        <w:rPr>
          <w:rFonts w:ascii="Arial" w:eastAsia="Arial" w:hAnsi="Arial" w:cs="Arial"/>
        </w:rPr>
      </w:pPr>
    </w:p>
    <w:p w14:paraId="5C334507" w14:textId="77777777" w:rsidR="00530E16" w:rsidRDefault="00530E16" w:rsidP="00832579">
      <w:pPr>
        <w:jc w:val="both"/>
        <w:rPr>
          <w:rFonts w:ascii="Arial" w:eastAsia="Arial" w:hAnsi="Arial" w:cs="Arial"/>
        </w:rPr>
      </w:pPr>
    </w:p>
    <w:p w14:paraId="35EBF24A" w14:textId="77777777" w:rsidR="00530E16" w:rsidRDefault="00530E16" w:rsidP="00832579">
      <w:pPr>
        <w:jc w:val="both"/>
        <w:rPr>
          <w:rFonts w:ascii="Arial" w:eastAsia="Arial" w:hAnsi="Arial" w:cs="Arial"/>
        </w:rPr>
      </w:pPr>
    </w:p>
    <w:p w14:paraId="37BAC512" w14:textId="77777777" w:rsidR="00530E16" w:rsidRDefault="00530E16" w:rsidP="00832579">
      <w:pPr>
        <w:jc w:val="both"/>
        <w:rPr>
          <w:rFonts w:ascii="Arial" w:eastAsia="Arial" w:hAnsi="Arial" w:cs="Arial"/>
        </w:rPr>
      </w:pPr>
    </w:p>
    <w:p w14:paraId="13270242" w14:textId="77777777" w:rsidR="00530E16" w:rsidRDefault="00530E16" w:rsidP="00832579">
      <w:pPr>
        <w:jc w:val="both"/>
        <w:rPr>
          <w:rFonts w:ascii="Arial" w:eastAsia="Arial" w:hAnsi="Arial" w:cs="Arial"/>
        </w:rPr>
      </w:pPr>
    </w:p>
    <w:p w14:paraId="5A8E52BA" w14:textId="77777777" w:rsidR="00530E16" w:rsidRDefault="00530E16" w:rsidP="00832579">
      <w:pPr>
        <w:jc w:val="both"/>
        <w:rPr>
          <w:rFonts w:ascii="Arial" w:eastAsia="Arial" w:hAnsi="Arial" w:cs="Arial"/>
        </w:rPr>
      </w:pPr>
    </w:p>
    <w:p w14:paraId="21087E9E" w14:textId="77777777" w:rsidR="00530E16" w:rsidRDefault="00530E16" w:rsidP="00832579">
      <w:pPr>
        <w:jc w:val="both"/>
        <w:rPr>
          <w:rFonts w:ascii="Arial" w:eastAsia="Arial" w:hAnsi="Arial" w:cs="Arial"/>
        </w:rPr>
      </w:pPr>
    </w:p>
    <w:p w14:paraId="5DEE2D17" w14:textId="77777777" w:rsidR="00530E16" w:rsidRDefault="00530E16" w:rsidP="00832579">
      <w:pPr>
        <w:jc w:val="both"/>
        <w:rPr>
          <w:rFonts w:ascii="Arial" w:eastAsia="Arial" w:hAnsi="Arial" w:cs="Arial"/>
        </w:rPr>
      </w:pPr>
    </w:p>
    <w:p w14:paraId="1544C651" w14:textId="77777777" w:rsidR="002A1842" w:rsidRDefault="002A1842" w:rsidP="00832579">
      <w:pPr>
        <w:jc w:val="both"/>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0A78C7AD" w14:textId="77777777" w:rsidR="00530E16" w:rsidRDefault="00530E16" w:rsidP="00832579">
      <w:pPr>
        <w:jc w:val="both"/>
        <w:rPr>
          <w:rFonts w:ascii="Arial" w:eastAsia="Arial" w:hAnsi="Arial" w:cs="Arial"/>
        </w:rPr>
      </w:pPr>
    </w:p>
    <w:p w14:paraId="5690FECE" w14:textId="05A1408A" w:rsidR="00530E16" w:rsidRDefault="00E96E9E" w:rsidP="00832579">
      <w:pPr>
        <w:pStyle w:val="Ttulo1"/>
        <w:jc w:val="both"/>
      </w:pPr>
      <w:r w:rsidRPr="00E96E9E">
        <w:t>Digital Exclusion and Healthcare Access Among the UK’s Elderly</w:t>
      </w:r>
    </w:p>
    <w:p w14:paraId="138BFF34" w14:textId="77777777" w:rsidR="00530E16" w:rsidRPr="004468F8" w:rsidRDefault="00BA0043" w:rsidP="00AD683D">
      <w:pPr>
        <w:pStyle w:val="Ttulo1"/>
        <w:jc w:val="center"/>
        <w:rPr>
          <w:sz w:val="32"/>
          <w:szCs w:val="32"/>
        </w:rPr>
      </w:pPr>
      <w:bookmarkStart w:id="0" w:name="_Toc213674531"/>
      <w:r>
        <w:rPr>
          <w:sz w:val="32"/>
          <w:szCs w:val="32"/>
        </w:rPr>
        <w:t>Introduction</w:t>
      </w:r>
      <w:bookmarkEnd w:id="0"/>
    </w:p>
    <w:p w14:paraId="51A15B91" w14:textId="77777777" w:rsidR="00AD683D" w:rsidRDefault="00AD683D" w:rsidP="00AD683D">
      <w:pPr>
        <w:jc w:val="both"/>
      </w:pPr>
    </w:p>
    <w:p w14:paraId="328D8E66" w14:textId="413427C5" w:rsidR="004468F8" w:rsidRDefault="00AD683D" w:rsidP="00AD683D">
      <w:pPr>
        <w:jc w:val="both"/>
      </w:pPr>
      <w:r>
        <w:t xml:space="preserve">The rapid digital transformation of the National Health Service (NHS) and the wider social care sector </w:t>
      </w:r>
      <w:proofErr w:type="gramStart"/>
      <w:r>
        <w:t>has</w:t>
      </w:r>
      <w:proofErr w:type="gramEnd"/>
      <w:r>
        <w:t xml:space="preserve"> been presented as a key response to rising patient demand and shrinking physical resources (NHS, 2023; King’s Fund, 2023). From the “NHS App” to remote GP consultations, a “digital</w:t>
      </w:r>
      <w:r>
        <w:rPr>
          <w:rFonts w:ascii="Cambria Math" w:hAnsi="Cambria Math" w:cs="Cambria Math"/>
        </w:rPr>
        <w:t>‑</w:t>
      </w:r>
      <w:r>
        <w:t xml:space="preserve">first” approach has become the standard across much of the United Kingdom (NHS, 2024; NHS Digital, 2022). However, this shift risks creating a new form of structural inequality: digital exclusion among </w:t>
      </w:r>
      <w:r w:rsidR="0084128F">
        <w:t>elder</w:t>
      </w:r>
      <w:r>
        <w:t xml:space="preserve"> adults (Age UK, 2025; Good Things Foundation, 2024). This report </w:t>
      </w:r>
      <w:r w:rsidR="0084128F">
        <w:t>investigates</w:t>
      </w:r>
      <w:r>
        <w:t xml:space="preserve"> how dependence on digital platforms affects health outcomes and access to services for the UK’s elderly </w:t>
      </w:r>
      <w:r w:rsidR="0084128F">
        <w:t>populace</w:t>
      </w:r>
      <w:r>
        <w:t>, particularly those aged 75 and over (Age UK, 2025; ARC GM, 2022). By identifying socio</w:t>
      </w:r>
      <w:r>
        <w:rPr>
          <w:rFonts w:ascii="Cambria Math" w:hAnsi="Cambria Math" w:cs="Cambria Math"/>
        </w:rPr>
        <w:t>‑</w:t>
      </w:r>
      <w:r>
        <w:t xml:space="preserve">technical barriers, reviewing existing academic and policy </w:t>
      </w:r>
      <w:r w:rsidR="0084128F">
        <w:t>testimony</w:t>
      </w:r>
      <w:r>
        <w:t>, and proposing a qualitative research framework, it aims to understand the lived experiences of those left behind (King’s Fund, 2023; Healthwatch, 2022). Ultimately, it highlights the professional responsibility of promoting health equity in an increasingly automated healthcare system (Equality and Human Rights Commission, 2023; Amnesty International, 2025).</w:t>
      </w:r>
    </w:p>
    <w:p w14:paraId="7B9CB897" w14:textId="77777777" w:rsidR="004468F8" w:rsidRDefault="004468F8" w:rsidP="00832579">
      <w:pPr>
        <w:jc w:val="both"/>
      </w:pPr>
    </w:p>
    <w:p w14:paraId="46627B61" w14:textId="77777777" w:rsidR="004468F8" w:rsidRDefault="004468F8" w:rsidP="00832579">
      <w:pPr>
        <w:jc w:val="both"/>
      </w:pPr>
    </w:p>
    <w:p w14:paraId="4B242243" w14:textId="77777777" w:rsidR="004468F8" w:rsidRDefault="004468F8" w:rsidP="00832579">
      <w:pPr>
        <w:jc w:val="both"/>
      </w:pPr>
    </w:p>
    <w:p w14:paraId="44433F01" w14:textId="77777777" w:rsidR="00530E16" w:rsidRDefault="004468F8" w:rsidP="00832579">
      <w:pPr>
        <w:pStyle w:val="Ttulo2"/>
        <w:jc w:val="both"/>
      </w:pPr>
      <w:bookmarkStart w:id="1" w:name="_Toc213674532"/>
      <w:r>
        <w:t>Problem Statement</w:t>
      </w:r>
      <w:bookmarkEnd w:id="1"/>
    </w:p>
    <w:p w14:paraId="4C501E66" w14:textId="1C531EBB" w:rsidR="00AD683D" w:rsidRDefault="00AD683D" w:rsidP="00AD683D">
      <w:pPr>
        <w:jc w:val="both"/>
      </w:pPr>
      <w:r>
        <w:t>The issue of digital exclusion in health and social care is a critical contemporary challenge that threatens the principle of “healthcare for all” (King’s Fund, 2023; NHS, 2024). Digital exclusion is not simply the lack of an internet connection, but also involves low digital literacy, limited confidence with technology, and the financial difficulty of owning and maintaining modern devices (Good Things Foundation, 2024; Age UK, 2025). In the UK, it hits the “oldest old” particularly hard</w:t>
      </w:r>
      <w:r>
        <w:t xml:space="preserve"> </w:t>
      </w:r>
      <w:r>
        <w:t>that generation that grew up in a pre</w:t>
      </w:r>
      <w:r>
        <w:rPr>
          <w:rFonts w:ascii="Cambria Math" w:hAnsi="Cambria Math" w:cs="Cambria Math"/>
        </w:rPr>
        <w:t>‑</w:t>
      </w:r>
      <w:r>
        <w:t>digital era and now finds the gateway to healthcare controlled by algorithms and online forms (Age UK, 2025; ARC GM, 2022).</w:t>
      </w:r>
    </w:p>
    <w:p w14:paraId="38AB200C" w14:textId="77777777" w:rsidR="00AD683D" w:rsidRDefault="00AD683D" w:rsidP="00AD683D">
      <w:pPr>
        <w:jc w:val="both"/>
      </w:pPr>
    </w:p>
    <w:p w14:paraId="4042D4BB" w14:textId="17F942E8" w:rsidR="004468F8" w:rsidRDefault="00AD683D" w:rsidP="00AD683D">
      <w:pPr>
        <w:jc w:val="both"/>
      </w:pPr>
      <w:r>
        <w:lastRenderedPageBreak/>
        <w:t>This matters because the demographic with the highest and most complex care needs—older adults with multiple long</w:t>
      </w:r>
      <w:r>
        <w:rPr>
          <w:rFonts w:ascii="Cambria Math" w:hAnsi="Cambria Math" w:cs="Cambria Math"/>
        </w:rPr>
        <w:t>‑</w:t>
      </w:r>
      <w:r>
        <w:t>term conditions—is often the least likely to be digitally active (NHS, 2023; Office for National Statistics, 2023). For care organisations, this creates a group of “hidden” patients who avoid preventive services, which can result in avoidable acute crises and increased pressure on Emergency Departments (Healthwatch, 2022; King’s Fund, 2023). For service users themselves, digital exclusion can mean a loss of autonomy and a sense of alienation from a system they have supported throughout their lives (Age UK, 2025; Amnesty International, 2025).</w:t>
      </w:r>
    </w:p>
    <w:p w14:paraId="5EE7D54F" w14:textId="77777777" w:rsidR="004468F8" w:rsidRDefault="004468F8" w:rsidP="00832579">
      <w:pPr>
        <w:jc w:val="both"/>
      </w:pPr>
    </w:p>
    <w:p w14:paraId="7EEF2D8F" w14:textId="77777777" w:rsidR="004468F8" w:rsidRPr="004468F8" w:rsidRDefault="004468F8" w:rsidP="00832579">
      <w:pPr>
        <w:jc w:val="both"/>
      </w:pPr>
    </w:p>
    <w:p w14:paraId="38B3BC70" w14:textId="77777777" w:rsidR="00530E16" w:rsidRDefault="004468F8" w:rsidP="00832579">
      <w:pPr>
        <w:pStyle w:val="Ttulo2"/>
        <w:jc w:val="both"/>
      </w:pPr>
      <w:bookmarkStart w:id="2" w:name="_Toc213674533"/>
      <w:r>
        <w:t>Justification</w:t>
      </w:r>
      <w:bookmarkEnd w:id="2"/>
    </w:p>
    <w:p w14:paraId="54C78F21" w14:textId="5DF8F565" w:rsidR="004468F8" w:rsidRDefault="00AD683D" w:rsidP="00832579">
      <w:pPr>
        <w:jc w:val="both"/>
      </w:pPr>
      <w:r w:rsidRPr="00AD683D">
        <w:t>I chose this topic because it reflects a pressing issue in the UK healthcare context (NHS, 2024; King’s Fund, 2023). I have observed how older adults often experience significant anxiety when they feel excluded from GP services, especially as they struggle to use mandatory online systems such as “e</w:t>
      </w:r>
      <w:r w:rsidRPr="00AD683D">
        <w:rPr>
          <w:rFonts w:ascii="Cambria Math" w:hAnsi="Cambria Math" w:cs="Cambria Math"/>
        </w:rPr>
        <w:t>‑</w:t>
      </w:r>
      <w:r w:rsidRPr="00AD683D">
        <w:t>Consult” triage platforms (Healthwatch, 2022; ARC GM, 2022). This concern aligns with the principle of health equity, as high</w:t>
      </w:r>
      <w:r w:rsidRPr="00AD683D">
        <w:rPr>
          <w:rFonts w:ascii="Cambria Math" w:hAnsi="Cambria Math" w:cs="Cambria Math"/>
        </w:rPr>
        <w:t>‑</w:t>
      </w:r>
      <w:r w:rsidRPr="00AD683D">
        <w:t>quality clinical care is of limited benefit if access routes into the system remain out of reach for vulnerable groups (Equality and Human Rights Commission, 2023; King’s Fund, 2023). In my future career in healthcare management, I aim to help design service pathways that are both efficient and inclusive (NHS, 2024; Age UK, 2025). For this reason, it is important to understand the legal and ethical dimensions of the Equality Act 2010, which protects individuals from age discrimination in the provision of services (Equality and Human Rights Commission, 2023). I am therefore motivated to examine how digital innovation can be reconciled with inclusion, so that advances in healthcare do not come at the expense of those already at risk of being left behind (Amnesty International, 2025; King’s Fund, 2023).</w:t>
      </w:r>
    </w:p>
    <w:p w14:paraId="06CACA5F" w14:textId="77777777" w:rsidR="004468F8" w:rsidRDefault="004468F8" w:rsidP="00832579">
      <w:pPr>
        <w:jc w:val="both"/>
      </w:pPr>
    </w:p>
    <w:p w14:paraId="2CC248C6" w14:textId="77777777" w:rsidR="004468F8" w:rsidRPr="004468F8" w:rsidRDefault="004468F8" w:rsidP="00832579">
      <w:pPr>
        <w:jc w:val="both"/>
      </w:pPr>
    </w:p>
    <w:p w14:paraId="7BF05D5E" w14:textId="77777777" w:rsidR="00AD683D" w:rsidRDefault="00AD683D" w:rsidP="00832579">
      <w:pPr>
        <w:pStyle w:val="Ttulo2"/>
        <w:jc w:val="both"/>
      </w:pPr>
      <w:bookmarkStart w:id="3" w:name="_Toc213674534"/>
    </w:p>
    <w:p w14:paraId="20F34D4E" w14:textId="77777777" w:rsidR="00AD683D" w:rsidRDefault="00AD683D" w:rsidP="00832579">
      <w:pPr>
        <w:pStyle w:val="Ttulo2"/>
        <w:jc w:val="both"/>
      </w:pPr>
    </w:p>
    <w:p w14:paraId="07D058BE" w14:textId="77777777" w:rsidR="00AD683D" w:rsidRDefault="00AD683D" w:rsidP="00832579">
      <w:pPr>
        <w:pStyle w:val="Ttulo2"/>
        <w:jc w:val="both"/>
      </w:pPr>
    </w:p>
    <w:p w14:paraId="2F7807B4" w14:textId="77777777" w:rsidR="00AD683D" w:rsidRDefault="00AD683D" w:rsidP="00832579">
      <w:pPr>
        <w:pStyle w:val="Ttulo2"/>
        <w:jc w:val="both"/>
      </w:pPr>
    </w:p>
    <w:p w14:paraId="346E987D" w14:textId="5EE9192F" w:rsidR="00530E16" w:rsidRDefault="004468F8" w:rsidP="00832579">
      <w:pPr>
        <w:pStyle w:val="Ttulo2"/>
        <w:jc w:val="both"/>
      </w:pPr>
      <w:r>
        <w:t>Information Sources and Justification</w:t>
      </w:r>
      <w:bookmarkEnd w:id="3"/>
    </w:p>
    <w:p w14:paraId="0AF7D2BF" w14:textId="77777777" w:rsidR="00466DB7" w:rsidRDefault="00466DB7" w:rsidP="00832579">
      <w:pPr>
        <w:jc w:val="both"/>
      </w:pPr>
      <w:r>
        <w:t xml:space="preserve">To provide a robust foundation for this research, I have evaluated three critical sources that illuminate different facets of the digital divide in the UK. </w:t>
      </w:r>
    </w:p>
    <w:p w14:paraId="605C930C" w14:textId="77777777" w:rsidR="00466DB7" w:rsidRDefault="00466DB7" w:rsidP="00832579">
      <w:pPr>
        <w:jc w:val="both"/>
      </w:pPr>
    </w:p>
    <w:p w14:paraId="4A35AFB7" w14:textId="60563845" w:rsidR="00466DB7" w:rsidRDefault="00466DB7" w:rsidP="00832579">
      <w:pPr>
        <w:jc w:val="both"/>
      </w:pPr>
      <w:r>
        <w:t xml:space="preserve">Source 1: NHS Digital (2023) - "Digital Inclusion Guide for Health and Social Care" </w:t>
      </w:r>
    </w:p>
    <w:p w14:paraId="08A2E95C" w14:textId="77777777" w:rsidR="00466DB7" w:rsidRDefault="00466DB7" w:rsidP="00832579">
      <w:pPr>
        <w:jc w:val="both"/>
      </w:pPr>
    </w:p>
    <w:p w14:paraId="6CDF14C8" w14:textId="77777777" w:rsidR="00466DB7" w:rsidRDefault="00466DB7" w:rsidP="00832579">
      <w:pPr>
        <w:jc w:val="both"/>
      </w:pPr>
      <w:r>
        <w:t xml:space="preserve">This official guidance serves as the primary policy framework for the sector. It defines digital inclusion through three lenses: access (having the hardware), skills (knowing how to use it), and confidence (feeling safe while doing so). </w:t>
      </w:r>
    </w:p>
    <w:p w14:paraId="452D3CDC" w14:textId="77777777" w:rsidR="00466DB7" w:rsidRDefault="00466DB7" w:rsidP="00832579">
      <w:pPr>
        <w:jc w:val="both"/>
      </w:pPr>
    </w:p>
    <w:p w14:paraId="738495AA" w14:textId="77777777" w:rsidR="00466DB7" w:rsidRDefault="00466DB7" w:rsidP="00832579">
      <w:pPr>
        <w:jc w:val="both"/>
      </w:pPr>
      <w:r>
        <w:t xml:space="preserve"> </w:t>
      </w:r>
    </w:p>
    <w:p w14:paraId="406EA17B" w14:textId="77777777" w:rsidR="00466DB7" w:rsidRDefault="00466DB7" w:rsidP="00832579">
      <w:pPr>
        <w:jc w:val="both"/>
      </w:pPr>
      <w:r>
        <w:t xml:space="preserve">* Summary: The report outlines the government’s commitment to ensuring that digital tools reduce rather than widen health inequalities. It provides a roadmap for local authorities to support "digital champions" in the community. </w:t>
      </w:r>
    </w:p>
    <w:p w14:paraId="6F35B5EF" w14:textId="77777777" w:rsidR="00466DB7" w:rsidRDefault="00466DB7" w:rsidP="00832579">
      <w:pPr>
        <w:jc w:val="both"/>
      </w:pPr>
    </w:p>
    <w:p w14:paraId="7A919240" w14:textId="77777777" w:rsidR="00466DB7" w:rsidRDefault="00466DB7" w:rsidP="00832579">
      <w:pPr>
        <w:jc w:val="both"/>
      </w:pPr>
      <w:r>
        <w:t xml:space="preserve">* Evaluation: This is a highly credible source as it is based on national NHS data sets. It is useful for my research because it provides the benchmark for what "good practice" should look like. However, a significant gap in this report is the lack of specific clinical outcome data; it focuses on access but does not measure if digital inclusion </w:t>
      </w:r>
      <w:proofErr w:type="gramStart"/>
      <w:r>
        <w:t>actually leads</w:t>
      </w:r>
      <w:proofErr w:type="gramEnd"/>
      <w:r>
        <w:t xml:space="preserve"> to better health for the elderly. </w:t>
      </w:r>
    </w:p>
    <w:p w14:paraId="3DA487FA" w14:textId="77777777" w:rsidR="00466DB7" w:rsidRDefault="00466DB7" w:rsidP="00832579">
      <w:pPr>
        <w:jc w:val="both"/>
      </w:pPr>
      <w:r>
        <w:t xml:space="preserve"> </w:t>
      </w:r>
    </w:p>
    <w:p w14:paraId="6C015CDB" w14:textId="77777777" w:rsidR="00466DB7" w:rsidRDefault="00466DB7" w:rsidP="00832579">
      <w:pPr>
        <w:jc w:val="both"/>
      </w:pPr>
    </w:p>
    <w:p w14:paraId="0B543200" w14:textId="77777777" w:rsidR="00466DB7" w:rsidRDefault="00466DB7" w:rsidP="00832579">
      <w:pPr>
        <w:jc w:val="both"/>
      </w:pPr>
      <w:r>
        <w:t xml:space="preserve"> </w:t>
      </w:r>
    </w:p>
    <w:p w14:paraId="380EE7F7" w14:textId="77777777" w:rsidR="00466DB7" w:rsidRDefault="00466DB7" w:rsidP="00832579">
      <w:pPr>
        <w:jc w:val="both"/>
      </w:pPr>
      <w:r>
        <w:t xml:space="preserve">Source 2: Age UK (2022) - "The Digital Divide: Older people’s experience of digital exclusion" </w:t>
      </w:r>
    </w:p>
    <w:p w14:paraId="2EE5D0E3" w14:textId="77777777" w:rsidR="00466DB7" w:rsidRDefault="00466DB7" w:rsidP="00832579">
      <w:pPr>
        <w:jc w:val="both"/>
      </w:pPr>
      <w:r>
        <w:lastRenderedPageBreak/>
        <w:t xml:space="preserve">As the UK’s leading charity for older people, Age UK provides essential qualitative insights that policy documents often overlook. </w:t>
      </w:r>
    </w:p>
    <w:p w14:paraId="418B6C5B" w14:textId="77777777" w:rsidR="00466DB7" w:rsidRDefault="00466DB7" w:rsidP="00832579">
      <w:pPr>
        <w:jc w:val="both"/>
      </w:pPr>
    </w:p>
    <w:p w14:paraId="1CC8BB5F" w14:textId="77777777" w:rsidR="00466DB7" w:rsidRDefault="00466DB7" w:rsidP="00832579">
      <w:pPr>
        <w:jc w:val="both"/>
      </w:pPr>
      <w:r>
        <w:t xml:space="preserve">* Summary: The briefing highlights that approximately 4.7 million people aged 65 and over have never used the internet. It argues that for many, the internet is not a "choice" but an intimidating barrier that creates a sense of "second-class citizenship" in healthcare. </w:t>
      </w:r>
    </w:p>
    <w:p w14:paraId="5BC8FCF5" w14:textId="77777777" w:rsidR="00466DB7" w:rsidRDefault="00466DB7" w:rsidP="00832579">
      <w:pPr>
        <w:jc w:val="both"/>
      </w:pPr>
    </w:p>
    <w:p w14:paraId="489D2DDA" w14:textId="77777777" w:rsidR="00466DB7" w:rsidRDefault="00466DB7" w:rsidP="00832579">
      <w:pPr>
        <w:jc w:val="both"/>
      </w:pPr>
      <w:r>
        <w:t xml:space="preserve">* Evaluation: The credibility of Age UK is excellent due to their extensive frontline work. This source is vital for my topic because it humanises the statistics, providing quotes and case studies of real-world distress. It identifies a clear gap: the lack of research into the psychological impact of being forced to use digital tools on the mental health of the elderly. </w:t>
      </w:r>
    </w:p>
    <w:p w14:paraId="5D138FA6" w14:textId="2CE5C41C" w:rsidR="00466DB7" w:rsidRDefault="00466DB7" w:rsidP="00832579">
      <w:pPr>
        <w:jc w:val="both"/>
      </w:pPr>
    </w:p>
    <w:p w14:paraId="527AA9D9" w14:textId="77777777" w:rsidR="00466DB7" w:rsidRDefault="00466DB7" w:rsidP="00832579">
      <w:pPr>
        <w:jc w:val="both"/>
      </w:pPr>
      <w:r>
        <w:t xml:space="preserve">Source 3: Honeyman et al. (2020) - "Digital Technology and Health Inequalities" (The King’s Fund) </w:t>
      </w:r>
    </w:p>
    <w:p w14:paraId="46D2BBCE" w14:textId="77777777" w:rsidR="00466DB7" w:rsidRDefault="00466DB7" w:rsidP="00832579">
      <w:pPr>
        <w:jc w:val="both"/>
      </w:pPr>
      <w:r>
        <w:t xml:space="preserve">This academic paper from a leading health think-tank explores the theoretical pathways between technology and social deprivation. </w:t>
      </w:r>
    </w:p>
    <w:p w14:paraId="1D7B9CBD" w14:textId="77777777" w:rsidR="00466DB7" w:rsidRDefault="00466DB7" w:rsidP="00832579">
      <w:pPr>
        <w:jc w:val="both"/>
      </w:pPr>
    </w:p>
    <w:p w14:paraId="2A38BC67" w14:textId="77777777" w:rsidR="00466DB7" w:rsidRDefault="00466DB7" w:rsidP="00832579">
      <w:pPr>
        <w:jc w:val="both"/>
      </w:pPr>
      <w:r>
        <w:t xml:space="preserve">* Summary: The authors argue that technology is not a neutral tool; it tends to benefit those who are already advantaged (the "inverse care law"). They suggest that without active intervention, digital health will widen the gap between the "information rich" and the "information poor." </w:t>
      </w:r>
    </w:p>
    <w:p w14:paraId="5DA088AB" w14:textId="77777777" w:rsidR="00466DB7" w:rsidRDefault="00466DB7" w:rsidP="00832579">
      <w:pPr>
        <w:jc w:val="both"/>
      </w:pPr>
    </w:p>
    <w:p w14:paraId="5FE2F49A" w14:textId="72A7EC5F" w:rsidR="00172AD1" w:rsidRDefault="00466DB7" w:rsidP="00832579">
      <w:pPr>
        <w:jc w:val="both"/>
      </w:pPr>
      <w:r>
        <w:t>* Evaluation: This is a seminal academic source, providing a peer-reviewed, critical perspective. It is crucial for my report as it moves the conversation from simple logistics to social justice. The research gap identified here is the absence of longitudinal studies that track the journey of a digitally excluded patient over a decade to measure the cumulative impact of missed digital health opportunities.</w:t>
      </w:r>
    </w:p>
    <w:p w14:paraId="20CE8EDD" w14:textId="77777777" w:rsidR="004468F8" w:rsidRPr="004468F8" w:rsidRDefault="004468F8" w:rsidP="00832579">
      <w:pPr>
        <w:pStyle w:val="Ttulo1"/>
        <w:jc w:val="both"/>
      </w:pPr>
      <w:bookmarkStart w:id="4" w:name="_Toc213674535"/>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4"/>
    </w:p>
    <w:p w14:paraId="2F4B82BD" w14:textId="77777777" w:rsidR="004468F8" w:rsidRDefault="004468F8" w:rsidP="00832579">
      <w:pPr>
        <w:pStyle w:val="Ttulo2"/>
        <w:jc w:val="both"/>
        <w:rPr>
          <w:rFonts w:eastAsia="Aptos" w:cs="Arial"/>
          <w:kern w:val="2"/>
          <w:lang w:eastAsia="en-US"/>
          <w14:ligatures w14:val="standardContextual"/>
        </w:rPr>
      </w:pPr>
      <w:bookmarkStart w:id="5" w:name="_Toc213674536"/>
      <w:r w:rsidRPr="004468F8">
        <w:rPr>
          <w:rFonts w:eastAsia="Aptos" w:cs="Arial"/>
          <w:kern w:val="2"/>
          <w:lang w:eastAsia="en-US"/>
          <w14:ligatures w14:val="standardContextual"/>
        </w:rPr>
        <w:t>Give a brief overview of quantitative and qualitative research.</w:t>
      </w:r>
      <w:bookmarkEnd w:id="5"/>
    </w:p>
    <w:p w14:paraId="0360BBE5" w14:textId="77777777" w:rsidR="00466DB7" w:rsidRPr="00466DB7" w:rsidRDefault="00466DB7" w:rsidP="00832579">
      <w:pPr>
        <w:jc w:val="both"/>
        <w:rPr>
          <w:rFonts w:ascii="Arial" w:hAnsi="Arial" w:cs="Arial"/>
          <w:sz w:val="22"/>
          <w:szCs w:val="22"/>
          <w:lang w:eastAsia="en-US"/>
        </w:rPr>
      </w:pPr>
      <w:r w:rsidRPr="00466DB7">
        <w:rPr>
          <w:rFonts w:ascii="Arial" w:hAnsi="Arial" w:cs="Arial"/>
          <w:sz w:val="22"/>
          <w:szCs w:val="22"/>
          <w:lang w:eastAsia="en-US"/>
        </w:rPr>
        <w:t xml:space="preserve">In the field of health research, methodologies are broadly categorized into three frameworks: </w:t>
      </w:r>
    </w:p>
    <w:p w14:paraId="31150161" w14:textId="77777777" w:rsidR="00466DB7" w:rsidRPr="00466DB7" w:rsidRDefault="00466DB7" w:rsidP="00832579">
      <w:pPr>
        <w:jc w:val="both"/>
        <w:rPr>
          <w:rFonts w:ascii="Arial" w:hAnsi="Arial" w:cs="Arial"/>
          <w:sz w:val="22"/>
          <w:szCs w:val="22"/>
          <w:lang w:eastAsia="en-US"/>
        </w:rPr>
      </w:pPr>
      <w:r w:rsidRPr="00466DB7">
        <w:rPr>
          <w:rFonts w:ascii="Arial" w:hAnsi="Arial" w:cs="Arial"/>
          <w:sz w:val="22"/>
          <w:szCs w:val="22"/>
          <w:lang w:eastAsia="en-US"/>
        </w:rPr>
        <w:t xml:space="preserve"> </w:t>
      </w:r>
    </w:p>
    <w:p w14:paraId="0DE2C121" w14:textId="77777777" w:rsidR="00466DB7" w:rsidRPr="00466DB7" w:rsidRDefault="00466DB7" w:rsidP="00832579">
      <w:pPr>
        <w:jc w:val="both"/>
        <w:rPr>
          <w:rFonts w:ascii="Arial" w:hAnsi="Arial" w:cs="Arial"/>
          <w:sz w:val="22"/>
          <w:szCs w:val="22"/>
          <w:lang w:eastAsia="en-US"/>
        </w:rPr>
      </w:pPr>
      <w:r w:rsidRPr="00466DB7">
        <w:rPr>
          <w:rFonts w:ascii="Arial" w:hAnsi="Arial" w:cs="Arial"/>
          <w:sz w:val="22"/>
          <w:szCs w:val="22"/>
          <w:lang w:eastAsia="en-US"/>
        </w:rPr>
        <w:lastRenderedPageBreak/>
        <w:t xml:space="preserve">1. Quantitative Research: This is concerned with "how many." it uses numerical data, statistics, and large-scale surveys to identify patterns and trends across a population. </w:t>
      </w:r>
    </w:p>
    <w:p w14:paraId="4F17CF20" w14:textId="77777777" w:rsidR="00466DB7" w:rsidRPr="00466DB7" w:rsidRDefault="00466DB7" w:rsidP="00832579">
      <w:pPr>
        <w:jc w:val="both"/>
        <w:rPr>
          <w:rFonts w:ascii="Arial" w:hAnsi="Arial" w:cs="Arial"/>
          <w:sz w:val="22"/>
          <w:szCs w:val="22"/>
          <w:lang w:eastAsia="en-US"/>
        </w:rPr>
      </w:pPr>
    </w:p>
    <w:p w14:paraId="5F71EB0B" w14:textId="77777777" w:rsidR="00466DB7" w:rsidRPr="00466DB7" w:rsidRDefault="00466DB7" w:rsidP="00832579">
      <w:pPr>
        <w:jc w:val="both"/>
        <w:rPr>
          <w:rFonts w:ascii="Arial" w:hAnsi="Arial" w:cs="Arial"/>
          <w:sz w:val="22"/>
          <w:szCs w:val="22"/>
          <w:lang w:eastAsia="en-US"/>
        </w:rPr>
      </w:pPr>
      <w:r w:rsidRPr="00466DB7">
        <w:rPr>
          <w:rFonts w:ascii="Arial" w:hAnsi="Arial" w:cs="Arial"/>
          <w:sz w:val="22"/>
          <w:szCs w:val="22"/>
          <w:lang w:eastAsia="en-US"/>
        </w:rPr>
        <w:t xml:space="preserve">2. Qualitative Research: This is concerned with "why" and "how." It focuses on human meaning, lived experience, and personal narratives, often through interviews or focus groups. </w:t>
      </w:r>
    </w:p>
    <w:p w14:paraId="3052FED5" w14:textId="77777777" w:rsidR="00466DB7" w:rsidRPr="00466DB7" w:rsidRDefault="00466DB7" w:rsidP="00832579">
      <w:pPr>
        <w:jc w:val="both"/>
        <w:rPr>
          <w:rFonts w:ascii="Arial" w:hAnsi="Arial" w:cs="Arial"/>
          <w:sz w:val="22"/>
          <w:szCs w:val="22"/>
          <w:lang w:eastAsia="en-US"/>
        </w:rPr>
      </w:pPr>
    </w:p>
    <w:p w14:paraId="7B06F230" w14:textId="77777777" w:rsidR="00466DB7" w:rsidRPr="00466DB7" w:rsidRDefault="00466DB7" w:rsidP="00832579">
      <w:pPr>
        <w:jc w:val="both"/>
        <w:rPr>
          <w:rFonts w:ascii="Arial" w:hAnsi="Arial" w:cs="Arial"/>
          <w:sz w:val="22"/>
          <w:szCs w:val="22"/>
          <w:lang w:eastAsia="en-US"/>
        </w:rPr>
      </w:pPr>
      <w:r w:rsidRPr="00466DB7">
        <w:rPr>
          <w:rFonts w:ascii="Arial" w:hAnsi="Arial" w:cs="Arial"/>
          <w:sz w:val="22"/>
          <w:szCs w:val="22"/>
          <w:lang w:eastAsia="en-US"/>
        </w:rPr>
        <w:t xml:space="preserve">3. Mixed-Methods: This approach combines both numerical and narrative data to provide a holistic view of a problem. </w:t>
      </w:r>
    </w:p>
    <w:p w14:paraId="54862036" w14:textId="77777777" w:rsidR="00466DB7" w:rsidRPr="00466DB7" w:rsidRDefault="00466DB7" w:rsidP="00832579">
      <w:pPr>
        <w:jc w:val="both"/>
        <w:rPr>
          <w:rFonts w:ascii="Arial" w:hAnsi="Arial" w:cs="Arial"/>
          <w:sz w:val="22"/>
          <w:szCs w:val="22"/>
          <w:lang w:eastAsia="en-US"/>
        </w:rPr>
      </w:pPr>
    </w:p>
    <w:p w14:paraId="7025E49E" w14:textId="723E2AFB" w:rsidR="004468F8" w:rsidRPr="00466DB7" w:rsidRDefault="004468F8" w:rsidP="00832579">
      <w:pPr>
        <w:jc w:val="both"/>
        <w:rPr>
          <w:rFonts w:ascii="Arial" w:hAnsi="Arial" w:cs="Arial"/>
          <w:sz w:val="22"/>
          <w:szCs w:val="22"/>
          <w:lang w:eastAsia="en-US"/>
        </w:rPr>
      </w:pPr>
    </w:p>
    <w:p w14:paraId="78C0637A" w14:textId="77777777" w:rsidR="004468F8" w:rsidRDefault="004468F8" w:rsidP="00832579">
      <w:pPr>
        <w:jc w:val="both"/>
        <w:rPr>
          <w:lang w:eastAsia="en-US"/>
        </w:rPr>
      </w:pPr>
    </w:p>
    <w:p w14:paraId="07B536AF" w14:textId="77777777" w:rsidR="004468F8" w:rsidRDefault="004468F8" w:rsidP="00832579">
      <w:pPr>
        <w:jc w:val="both"/>
        <w:rPr>
          <w:lang w:eastAsia="en-US"/>
        </w:rPr>
      </w:pPr>
    </w:p>
    <w:p w14:paraId="4DFF98B0" w14:textId="77777777" w:rsidR="004468F8" w:rsidRPr="004468F8" w:rsidRDefault="004468F8" w:rsidP="00832579">
      <w:pPr>
        <w:jc w:val="both"/>
        <w:rPr>
          <w:lang w:eastAsia="en-US"/>
        </w:rPr>
      </w:pPr>
    </w:p>
    <w:p w14:paraId="61916BDB" w14:textId="77777777" w:rsidR="004468F8" w:rsidRPr="0070379F" w:rsidRDefault="004468F8" w:rsidP="00832579">
      <w:pPr>
        <w:pStyle w:val="Ttulo2"/>
        <w:jc w:val="both"/>
        <w:rPr>
          <w:rFonts w:eastAsia="Aptos"/>
          <w:b/>
          <w:bCs/>
          <w:lang w:eastAsia="en-US"/>
        </w:rPr>
      </w:pPr>
      <w:bookmarkStart w:id="6" w:name="_Toc213674537"/>
      <w:r w:rsidRPr="00A37C5B">
        <w:rPr>
          <w:rFonts w:eastAsia="Aptos"/>
          <w:lang w:eastAsia="en-US"/>
        </w:rPr>
        <w:t>What type of research methodology will you use for your research and why?</w:t>
      </w:r>
      <w:bookmarkEnd w:id="6"/>
    </w:p>
    <w:p w14:paraId="408498A6" w14:textId="6EEB4BF6" w:rsidR="00466DB7" w:rsidRDefault="00466DB7" w:rsidP="00832579">
      <w:pPr>
        <w:jc w:val="both"/>
      </w:pPr>
      <w:r>
        <w:t>For my proposed study, I would adopt a Qualitative Methodology. The core of digital exclusion is deeply subjective; it is rooted in personal history, fear of technology, and the perceived loss of the "human touch" in medicine. I want to understand the nuances of why an elderly person might refuse to use a health app</w:t>
      </w:r>
      <w:r w:rsidR="00832579">
        <w:t xml:space="preserve"> </w:t>
      </w:r>
      <w:r>
        <w:t xml:space="preserve">is it a lack of skill, a fear of data privacy, or a physical difficulty like arthritis? </w:t>
      </w:r>
    </w:p>
    <w:p w14:paraId="39E0FF55" w14:textId="77777777" w:rsidR="00466DB7" w:rsidRDefault="00466DB7" w:rsidP="00832579">
      <w:pPr>
        <w:jc w:val="both"/>
      </w:pPr>
      <w:r>
        <w:t xml:space="preserve">Justification: A qualitative approach aligns with the Person-Centred Care values central to UK social care. By using semi-structured interviews, I can explore unexpected themes that a rigid quantitative survey might miss. Ethically, this methodology allows for a more respectful engagement with a vulnerable group. </w:t>
      </w:r>
    </w:p>
    <w:p w14:paraId="07B0305B" w14:textId="77777777" w:rsidR="00466DB7" w:rsidRDefault="00466DB7" w:rsidP="00832579">
      <w:pPr>
        <w:jc w:val="both"/>
      </w:pPr>
    </w:p>
    <w:p w14:paraId="75602C77" w14:textId="77777777" w:rsidR="004468F8" w:rsidRPr="004468F8" w:rsidRDefault="004468F8" w:rsidP="00832579">
      <w:pPr>
        <w:jc w:val="both"/>
      </w:pPr>
    </w:p>
    <w:p w14:paraId="0596CD04" w14:textId="77777777" w:rsidR="00530E16" w:rsidRDefault="00530E16" w:rsidP="00832579">
      <w:pPr>
        <w:spacing w:line="360" w:lineRule="auto"/>
        <w:jc w:val="both"/>
      </w:pPr>
    </w:p>
    <w:p w14:paraId="0543C8A1" w14:textId="77777777" w:rsidR="004468F8" w:rsidRDefault="004468F8" w:rsidP="00832579">
      <w:pPr>
        <w:spacing w:line="360" w:lineRule="auto"/>
        <w:jc w:val="both"/>
      </w:pPr>
    </w:p>
    <w:p w14:paraId="1474887B" w14:textId="77777777" w:rsidR="004468F8" w:rsidRDefault="004468F8" w:rsidP="00832579">
      <w:pPr>
        <w:spacing w:line="360" w:lineRule="auto"/>
        <w:jc w:val="both"/>
        <w:rPr>
          <w:rFonts w:ascii="Arial" w:eastAsia="Arial" w:hAnsi="Arial" w:cs="Arial"/>
          <w:sz w:val="22"/>
          <w:szCs w:val="22"/>
        </w:rPr>
      </w:pPr>
    </w:p>
    <w:p w14:paraId="55A48ECE" w14:textId="77777777" w:rsidR="00530E16" w:rsidRDefault="004468F8" w:rsidP="00832579">
      <w:pPr>
        <w:pStyle w:val="Ttulo1"/>
        <w:jc w:val="both"/>
      </w:pPr>
      <w:bookmarkStart w:id="7" w:name="_Toc213674538"/>
      <w:r>
        <w:lastRenderedPageBreak/>
        <w:t>Task 3: Data Collection</w:t>
      </w:r>
      <w:bookmarkEnd w:id="7"/>
      <w:r>
        <w:t xml:space="preserve"> </w:t>
      </w:r>
    </w:p>
    <w:p w14:paraId="2507508D" w14:textId="77777777" w:rsidR="004468F8" w:rsidRDefault="00BA0043" w:rsidP="00832579">
      <w:pPr>
        <w:pStyle w:val="Ttulo2"/>
        <w:jc w:val="both"/>
        <w:rPr>
          <w:rFonts w:eastAsia="Aptos"/>
          <w:lang w:eastAsia="en-US"/>
        </w:rPr>
      </w:pPr>
      <w:bookmarkStart w:id="8" w:name="_Toc213674539"/>
      <w:r>
        <w:rPr>
          <w:rFonts w:eastAsia="Aptos"/>
          <w:lang w:eastAsia="en-US"/>
        </w:rPr>
        <w:t>Overview of primary and secondary data collection</w:t>
      </w:r>
      <w:bookmarkEnd w:id="8"/>
    </w:p>
    <w:p w14:paraId="2C987FAC" w14:textId="77777777" w:rsidR="00466DB7" w:rsidRDefault="00466DB7" w:rsidP="00832579">
      <w:pPr>
        <w:jc w:val="both"/>
        <w:rPr>
          <w:lang w:eastAsia="en-US"/>
        </w:rPr>
      </w:pPr>
      <w:r>
        <w:rPr>
          <w:lang w:eastAsia="en-US"/>
        </w:rPr>
        <w:t xml:space="preserve">Data collection is the process of gathering the specific information needed to answer the research question. </w:t>
      </w:r>
    </w:p>
    <w:p w14:paraId="7166B7B5" w14:textId="77777777" w:rsidR="00466DB7" w:rsidRDefault="00466DB7" w:rsidP="00832579">
      <w:pPr>
        <w:jc w:val="both"/>
        <w:rPr>
          <w:lang w:eastAsia="en-US"/>
        </w:rPr>
      </w:pPr>
      <w:r>
        <w:rPr>
          <w:lang w:eastAsia="en-US"/>
        </w:rPr>
        <w:t xml:space="preserve">* Secondary Data involves the analysis of information that already exists, such as ONS census data or previous NHS reports. </w:t>
      </w:r>
    </w:p>
    <w:p w14:paraId="0CA28CE0" w14:textId="77777777" w:rsidR="00466DB7" w:rsidRDefault="00466DB7" w:rsidP="00832579">
      <w:pPr>
        <w:jc w:val="both"/>
        <w:rPr>
          <w:lang w:eastAsia="en-US"/>
        </w:rPr>
      </w:pPr>
    </w:p>
    <w:p w14:paraId="53031310" w14:textId="77777777" w:rsidR="00466DB7" w:rsidRDefault="00466DB7" w:rsidP="00832579">
      <w:pPr>
        <w:jc w:val="both"/>
        <w:rPr>
          <w:lang w:eastAsia="en-US"/>
        </w:rPr>
      </w:pPr>
      <w:r>
        <w:rPr>
          <w:lang w:eastAsia="en-US"/>
        </w:rPr>
        <w:t xml:space="preserve">* Primary Data is original information collected directly by the researcher for the specific purpose of the study. </w:t>
      </w:r>
    </w:p>
    <w:p w14:paraId="37FF34AA" w14:textId="77777777" w:rsidR="00466DB7" w:rsidRDefault="00466DB7" w:rsidP="00832579">
      <w:pPr>
        <w:jc w:val="both"/>
        <w:rPr>
          <w:lang w:eastAsia="en-US"/>
        </w:rPr>
      </w:pPr>
      <w:r>
        <w:rPr>
          <w:lang w:eastAsia="en-US"/>
        </w:rPr>
        <w:t xml:space="preserve"> </w:t>
      </w:r>
    </w:p>
    <w:p w14:paraId="269A62F9" w14:textId="54942E28" w:rsidR="004468F8" w:rsidRDefault="00466DB7" w:rsidP="00832579">
      <w:pPr>
        <w:jc w:val="both"/>
        <w:rPr>
          <w:lang w:eastAsia="en-US"/>
        </w:rPr>
      </w:pPr>
      <w:r>
        <w:rPr>
          <w:lang w:eastAsia="en-US"/>
        </w:rPr>
        <w:t>For this project, I have decided to use Primary Data Collection, specifically via face-to-face, semi-structured interviews.</w:t>
      </w:r>
    </w:p>
    <w:p w14:paraId="0BD3C20D" w14:textId="77777777" w:rsidR="004468F8" w:rsidRDefault="004468F8" w:rsidP="00832579">
      <w:pPr>
        <w:jc w:val="both"/>
        <w:rPr>
          <w:lang w:eastAsia="en-US"/>
        </w:rPr>
      </w:pPr>
    </w:p>
    <w:p w14:paraId="55C82D29" w14:textId="77777777" w:rsidR="004468F8" w:rsidRPr="004468F8" w:rsidRDefault="004468F8" w:rsidP="00832579">
      <w:pPr>
        <w:jc w:val="both"/>
        <w:rPr>
          <w:lang w:eastAsia="en-US"/>
        </w:rPr>
      </w:pPr>
    </w:p>
    <w:p w14:paraId="7B795FD3" w14:textId="77777777" w:rsidR="004468F8" w:rsidRDefault="004468F8" w:rsidP="00832579">
      <w:pPr>
        <w:pStyle w:val="Ttulo2"/>
        <w:jc w:val="both"/>
        <w:rPr>
          <w:rFonts w:eastAsia="Aptos"/>
          <w:lang w:eastAsia="en-US"/>
        </w:rPr>
      </w:pPr>
      <w:bookmarkStart w:id="9" w:name="_Toc213674540"/>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9"/>
    </w:p>
    <w:p w14:paraId="28B08982" w14:textId="77777777" w:rsidR="00466DB7" w:rsidRDefault="00466DB7" w:rsidP="00832579">
      <w:pPr>
        <w:jc w:val="both"/>
      </w:pPr>
      <w:r>
        <w:t xml:space="preserve">* Justification: While secondary data can provide the "scale" of digital exclusion, it is often outdated by the time it is published because technology evolves so rapidly. Primary data allows me to capture the "real-time" reactions of the elderly to the latest versions of NHS digital portals. </w:t>
      </w:r>
    </w:p>
    <w:p w14:paraId="1797F6ED" w14:textId="77777777" w:rsidR="00466DB7" w:rsidRDefault="00466DB7" w:rsidP="00832579">
      <w:pPr>
        <w:jc w:val="both"/>
      </w:pPr>
      <w:r>
        <w:t xml:space="preserve">* Advantages: Face-to-face interviews are the "gold standard" for this demographic. They allow the researcher to observe non-verbal cues—such as a participant’s hesitation or frustration when holding a device—which adds a layer of depth to the data. It also helps build trust, which is essential when speaking to people who may feel marginalized. </w:t>
      </w:r>
    </w:p>
    <w:p w14:paraId="3BE8AC81" w14:textId="77777777" w:rsidR="00466DB7" w:rsidRDefault="00466DB7" w:rsidP="00832579">
      <w:pPr>
        <w:jc w:val="both"/>
      </w:pPr>
    </w:p>
    <w:p w14:paraId="682E9280" w14:textId="77777777" w:rsidR="00466DB7" w:rsidRDefault="00466DB7" w:rsidP="00832579">
      <w:pPr>
        <w:jc w:val="both"/>
      </w:pPr>
      <w:r>
        <w:t xml:space="preserve">* Challenges: The primary challenges are the time required and the difficulty of recruitment. Digitally excluded individuals are often socially isolated and do not see advertisements for research online. </w:t>
      </w:r>
    </w:p>
    <w:p w14:paraId="104267FE" w14:textId="5DB716D5" w:rsidR="004468F8" w:rsidRDefault="00466DB7" w:rsidP="00832579">
      <w:pPr>
        <w:jc w:val="both"/>
      </w:pPr>
      <w:r>
        <w:t>* Mitigation: To overcome this, I would use purposive sampling by visiting community centres and sheltered housing, ensuring that my data collection is as inclusive as the care I am advocating for.</w:t>
      </w:r>
    </w:p>
    <w:p w14:paraId="5E9C22AF" w14:textId="77777777" w:rsidR="004468F8" w:rsidRDefault="004468F8" w:rsidP="00832579">
      <w:pPr>
        <w:jc w:val="both"/>
      </w:pPr>
    </w:p>
    <w:p w14:paraId="615051ED" w14:textId="77777777" w:rsidR="00832579" w:rsidRDefault="00832579" w:rsidP="00832579">
      <w:pPr>
        <w:pStyle w:val="Ttulo1"/>
        <w:jc w:val="both"/>
      </w:pPr>
      <w:bookmarkStart w:id="10" w:name="_Toc213674541"/>
    </w:p>
    <w:p w14:paraId="4E5E747C" w14:textId="77777777" w:rsidR="00832579" w:rsidRDefault="00832579" w:rsidP="00832579">
      <w:pPr>
        <w:pStyle w:val="Ttulo1"/>
        <w:jc w:val="both"/>
      </w:pPr>
    </w:p>
    <w:p w14:paraId="720DE55D" w14:textId="77777777" w:rsidR="00832579" w:rsidRDefault="00832579" w:rsidP="00832579">
      <w:pPr>
        <w:pStyle w:val="Ttulo1"/>
        <w:jc w:val="both"/>
      </w:pPr>
    </w:p>
    <w:p w14:paraId="4457BECA" w14:textId="77777777" w:rsidR="00832579" w:rsidRDefault="00832579" w:rsidP="00832579">
      <w:pPr>
        <w:pStyle w:val="Ttulo1"/>
        <w:jc w:val="both"/>
      </w:pPr>
    </w:p>
    <w:p w14:paraId="3AE60BCC" w14:textId="77777777" w:rsidR="00832579" w:rsidRDefault="00832579" w:rsidP="00832579">
      <w:pPr>
        <w:pStyle w:val="Ttulo1"/>
        <w:jc w:val="both"/>
      </w:pPr>
    </w:p>
    <w:p w14:paraId="34B6880A" w14:textId="77777777" w:rsidR="00832579" w:rsidRDefault="00832579" w:rsidP="00832579"/>
    <w:p w14:paraId="2AA0BA88" w14:textId="77777777" w:rsidR="00832579" w:rsidRPr="00832579" w:rsidRDefault="00832579" w:rsidP="00832579"/>
    <w:p w14:paraId="26EB823F" w14:textId="14667D6A" w:rsidR="00530E16" w:rsidRDefault="004468F8" w:rsidP="00AD683D">
      <w:pPr>
        <w:pStyle w:val="Ttulo1"/>
        <w:jc w:val="center"/>
      </w:pPr>
      <w:r>
        <w:t>Conclusion</w:t>
      </w:r>
      <w:bookmarkEnd w:id="10"/>
    </w:p>
    <w:p w14:paraId="2901B4B5" w14:textId="6DB3D8AB" w:rsidR="004468F8" w:rsidRDefault="00C747E7" w:rsidP="00832579">
      <w:pPr>
        <w:jc w:val="both"/>
      </w:pPr>
      <w:r w:rsidRPr="00C747E7">
        <w:t xml:space="preserve">This report has </w:t>
      </w:r>
      <w:r w:rsidR="005853F3" w:rsidRPr="00C747E7">
        <w:t>proved</w:t>
      </w:r>
      <w:r w:rsidRPr="00C747E7">
        <w:t xml:space="preserve"> that digital exclusion is one of the most significant barriers to health equality in the modern UK. Through the </w:t>
      </w:r>
      <w:r w:rsidR="005853F3" w:rsidRPr="00C747E7">
        <w:t>estimation</w:t>
      </w:r>
      <w:r w:rsidRPr="00C747E7">
        <w:t xml:space="preserve"> of policy guides, charity reports, and academic papers, it is evident that the "digital-by-default" approach risks creating a two-tier healthcare system. By </w:t>
      </w:r>
      <w:r w:rsidR="005853F3" w:rsidRPr="00C747E7">
        <w:t>suggesting</w:t>
      </w:r>
      <w:r w:rsidRPr="00C747E7">
        <w:t xml:space="preserve"> a qualitative research framework and primary data collection, I have outlined a strategy to bring the voices of the elderly back into the conversation. This investigation is not just an academic exercise; it is a professional necessity. It has taught me that as we innovate, we must ensure that the "human element" remains at the heart of health and social care. For my future career, I am now more determined than ever to advocate for a "blended" approach to care</w:t>
      </w:r>
      <w:r>
        <w:t xml:space="preserve"> </w:t>
      </w:r>
      <w:r w:rsidRPr="00C747E7">
        <w:t xml:space="preserve">one that embraces the </w:t>
      </w:r>
      <w:r w:rsidR="005853F3" w:rsidRPr="00C747E7">
        <w:t>competence</w:t>
      </w:r>
      <w:r w:rsidRPr="00C747E7">
        <w:t xml:space="preserve"> of technology without abandoning those who cannot, or will not, step into the digital world.</w:t>
      </w:r>
    </w:p>
    <w:p w14:paraId="4B3E0944" w14:textId="77777777" w:rsidR="00832579" w:rsidRDefault="00832579" w:rsidP="00832579">
      <w:pPr>
        <w:jc w:val="both"/>
      </w:pPr>
    </w:p>
    <w:p w14:paraId="777E4056" w14:textId="77777777" w:rsidR="00832579" w:rsidRDefault="00832579" w:rsidP="00832579">
      <w:pPr>
        <w:jc w:val="both"/>
      </w:pPr>
    </w:p>
    <w:p w14:paraId="4E5A68F2" w14:textId="77777777" w:rsidR="00832579" w:rsidRDefault="00832579" w:rsidP="00832579">
      <w:pPr>
        <w:jc w:val="both"/>
      </w:pPr>
    </w:p>
    <w:p w14:paraId="46CE5DED" w14:textId="77777777" w:rsidR="00832579" w:rsidRDefault="00832579" w:rsidP="00832579">
      <w:pPr>
        <w:jc w:val="both"/>
      </w:pPr>
    </w:p>
    <w:p w14:paraId="668AE4C1" w14:textId="77777777" w:rsidR="00832579" w:rsidRDefault="00832579" w:rsidP="00832579">
      <w:pPr>
        <w:jc w:val="both"/>
      </w:pPr>
    </w:p>
    <w:p w14:paraId="2BD1BE31" w14:textId="77777777" w:rsidR="00832579" w:rsidRDefault="00832579" w:rsidP="00832579">
      <w:pPr>
        <w:jc w:val="both"/>
      </w:pPr>
    </w:p>
    <w:p w14:paraId="22B2D3AF" w14:textId="77777777" w:rsidR="00832579" w:rsidRDefault="00832579" w:rsidP="00832579">
      <w:pPr>
        <w:jc w:val="both"/>
      </w:pPr>
    </w:p>
    <w:p w14:paraId="143AD610" w14:textId="77777777" w:rsidR="00832579" w:rsidRDefault="00832579" w:rsidP="00832579">
      <w:pPr>
        <w:jc w:val="both"/>
      </w:pPr>
    </w:p>
    <w:p w14:paraId="14719D18" w14:textId="77777777" w:rsidR="00832579" w:rsidRDefault="00832579" w:rsidP="00832579">
      <w:pPr>
        <w:jc w:val="both"/>
      </w:pPr>
    </w:p>
    <w:p w14:paraId="3F484E25" w14:textId="77777777" w:rsidR="00832579" w:rsidRDefault="00832579" w:rsidP="00832579">
      <w:pPr>
        <w:jc w:val="both"/>
      </w:pPr>
    </w:p>
    <w:p w14:paraId="17B56631" w14:textId="77777777" w:rsidR="00832579" w:rsidRDefault="00832579" w:rsidP="00832579">
      <w:pPr>
        <w:jc w:val="both"/>
      </w:pPr>
    </w:p>
    <w:p w14:paraId="75A0644E" w14:textId="77777777" w:rsidR="00832579" w:rsidRDefault="00832579" w:rsidP="00832579">
      <w:pPr>
        <w:jc w:val="both"/>
      </w:pPr>
    </w:p>
    <w:p w14:paraId="0383F902" w14:textId="77777777" w:rsidR="00832579" w:rsidRDefault="00832579" w:rsidP="00832579">
      <w:pPr>
        <w:jc w:val="both"/>
      </w:pPr>
    </w:p>
    <w:p w14:paraId="5D943193" w14:textId="77777777" w:rsidR="00832579" w:rsidRDefault="00832579" w:rsidP="00832579">
      <w:pPr>
        <w:jc w:val="both"/>
      </w:pPr>
    </w:p>
    <w:p w14:paraId="608686CE" w14:textId="77777777" w:rsidR="00832579" w:rsidRDefault="00832579" w:rsidP="00832579">
      <w:pPr>
        <w:jc w:val="both"/>
      </w:pPr>
    </w:p>
    <w:p w14:paraId="0DF2D50A" w14:textId="77777777" w:rsidR="00832579" w:rsidRDefault="00832579" w:rsidP="00832579">
      <w:pPr>
        <w:jc w:val="both"/>
      </w:pPr>
    </w:p>
    <w:p w14:paraId="3DF6A867" w14:textId="77777777" w:rsidR="00832579" w:rsidRPr="004468F8" w:rsidRDefault="00832579" w:rsidP="00832579">
      <w:pPr>
        <w:jc w:val="both"/>
      </w:pPr>
    </w:p>
    <w:p w14:paraId="417E470A" w14:textId="77777777" w:rsidR="00530E16" w:rsidRDefault="004468F8" w:rsidP="005853F3">
      <w:pPr>
        <w:pStyle w:val="Ttulo1"/>
        <w:jc w:val="center"/>
      </w:pPr>
      <w:bookmarkStart w:id="11" w:name="_Toc213674542"/>
      <w:r>
        <w:t>References</w:t>
      </w:r>
      <w:bookmarkEnd w:id="11"/>
    </w:p>
    <w:p w14:paraId="1E8C72E0" w14:textId="77777777" w:rsidR="005853F3" w:rsidRDefault="005853F3" w:rsidP="005853F3"/>
    <w:p w14:paraId="1DE9110E" w14:textId="77777777" w:rsidR="005853F3" w:rsidRDefault="005853F3" w:rsidP="005853F3">
      <w:r>
        <w:t>Amnesty International (2025</w:t>
      </w:r>
      <w:r w:rsidRPr="005853F3">
        <w:rPr>
          <w:i/>
        </w:rPr>
        <w:t>) Technology and exclusion in the UK: how digital systems leave people behind</w:t>
      </w:r>
      <w:r>
        <w:t>. London: Amnesty International.</w:t>
      </w:r>
    </w:p>
    <w:p w14:paraId="613899BF" w14:textId="77777777" w:rsidR="005853F3" w:rsidRDefault="005853F3" w:rsidP="005853F3">
      <w:r>
        <w:t xml:space="preserve">ARC GM (2022) </w:t>
      </w:r>
      <w:r w:rsidRPr="005853F3">
        <w:rPr>
          <w:i/>
        </w:rPr>
        <w:t>Older people’s access to digitalised services</w:t>
      </w:r>
      <w:r>
        <w:t>. Greater Manchester: NIHR Applied Research Collaboration Greater Manchester.</w:t>
      </w:r>
    </w:p>
    <w:p w14:paraId="68B21F85" w14:textId="77777777" w:rsidR="005853F3" w:rsidRDefault="005853F3" w:rsidP="005853F3">
      <w:r>
        <w:t xml:space="preserve">Age UK (2025) </w:t>
      </w:r>
      <w:r w:rsidRPr="005853F3">
        <w:rPr>
          <w:i/>
        </w:rPr>
        <w:t>Protecting older people from digital exclusion</w:t>
      </w:r>
      <w:r>
        <w:t>. London: Age UK.</w:t>
      </w:r>
    </w:p>
    <w:p w14:paraId="2F64EA46" w14:textId="77777777" w:rsidR="005853F3" w:rsidRDefault="005853F3" w:rsidP="005853F3">
      <w:r>
        <w:t xml:space="preserve">Equality and Human Rights Commission (2023) </w:t>
      </w:r>
      <w:r w:rsidRPr="005853F3">
        <w:rPr>
          <w:i/>
        </w:rPr>
        <w:t>Equality Act 2010: guidance for service providers.</w:t>
      </w:r>
      <w:r>
        <w:t xml:space="preserve"> Manchester: Equality and Human Rights Commission.</w:t>
      </w:r>
    </w:p>
    <w:p w14:paraId="34EFAF75" w14:textId="77777777" w:rsidR="005853F3" w:rsidRDefault="005853F3" w:rsidP="005853F3">
      <w:r>
        <w:t xml:space="preserve">Good Things Foundation (2024) </w:t>
      </w:r>
      <w:r w:rsidRPr="005853F3">
        <w:rPr>
          <w:i/>
        </w:rPr>
        <w:t>Digital inclusion and health: summary of key statistics</w:t>
      </w:r>
      <w:r>
        <w:t>. London: Good Things Foundation.</w:t>
      </w:r>
    </w:p>
    <w:p w14:paraId="0B60F62C" w14:textId="77777777" w:rsidR="005853F3" w:rsidRDefault="005853F3" w:rsidP="005853F3">
      <w:r>
        <w:t xml:space="preserve">Healthwatch (2022) </w:t>
      </w:r>
      <w:r w:rsidRPr="005853F3">
        <w:rPr>
          <w:i/>
        </w:rPr>
        <w:t>Access to primary care and digital exclusion</w:t>
      </w:r>
      <w:r>
        <w:t>. London: Healthwatch.</w:t>
      </w:r>
    </w:p>
    <w:p w14:paraId="5E3577B3" w14:textId="77777777" w:rsidR="005853F3" w:rsidRDefault="005853F3" w:rsidP="005853F3">
      <w:r>
        <w:t xml:space="preserve">King’s Fund (2023) </w:t>
      </w:r>
      <w:r w:rsidRPr="005853F3">
        <w:rPr>
          <w:i/>
        </w:rPr>
        <w:t xml:space="preserve">Moving from exclusion to inclusion in digital health and care. </w:t>
      </w:r>
      <w:r>
        <w:t>London: The King’s Fund.</w:t>
      </w:r>
    </w:p>
    <w:p w14:paraId="18CC409B" w14:textId="77777777" w:rsidR="005853F3" w:rsidRDefault="005853F3" w:rsidP="005853F3">
      <w:r>
        <w:t xml:space="preserve">NHS (2023) </w:t>
      </w:r>
      <w:r w:rsidRPr="005853F3">
        <w:rPr>
          <w:i/>
        </w:rPr>
        <w:t>Digital</w:t>
      </w:r>
      <w:r w:rsidRPr="005853F3">
        <w:rPr>
          <w:rFonts w:ascii="Cambria Math" w:hAnsi="Cambria Math" w:cs="Cambria Math"/>
          <w:i/>
        </w:rPr>
        <w:t>‑</w:t>
      </w:r>
      <w:r w:rsidRPr="005853F3">
        <w:rPr>
          <w:i/>
        </w:rPr>
        <w:t>first primary care: policy and guidance</w:t>
      </w:r>
      <w:r>
        <w:t>. London: NHS England.</w:t>
      </w:r>
    </w:p>
    <w:p w14:paraId="06DDC560" w14:textId="2D3AD943" w:rsidR="005853F3" w:rsidRDefault="005853F3" w:rsidP="005853F3">
      <w:r>
        <w:t xml:space="preserve">NHS (2024) </w:t>
      </w:r>
      <w:r w:rsidRPr="005853F3">
        <w:rPr>
          <w:i/>
        </w:rPr>
        <w:t>Digital</w:t>
      </w:r>
      <w:r w:rsidRPr="005853F3">
        <w:rPr>
          <w:rFonts w:ascii="Cambria Math" w:hAnsi="Cambria Math" w:cs="Cambria Math"/>
          <w:i/>
        </w:rPr>
        <w:t>‑</w:t>
      </w:r>
      <w:r w:rsidRPr="005853F3">
        <w:rPr>
          <w:i/>
        </w:rPr>
        <w:t>first primary care: implementation framework</w:t>
      </w:r>
      <w:r>
        <w:t>. London: NHS England.</w:t>
      </w:r>
    </w:p>
    <w:p w14:paraId="04E9A4BB" w14:textId="77777777" w:rsidR="005853F3" w:rsidRDefault="005853F3" w:rsidP="005853F3">
      <w:r>
        <w:t xml:space="preserve">NHS Digital (2022) </w:t>
      </w:r>
      <w:r w:rsidRPr="005853F3">
        <w:rPr>
          <w:i/>
        </w:rPr>
        <w:t>Online GP consultations and patient access. London</w:t>
      </w:r>
      <w:r>
        <w:t>: NHS Digital.</w:t>
      </w:r>
    </w:p>
    <w:p w14:paraId="247828D2" w14:textId="2ACC3FE3" w:rsidR="00530E16" w:rsidRPr="00C747E7" w:rsidRDefault="00530E16" w:rsidP="00832579">
      <w:pPr>
        <w:jc w:val="both"/>
        <w:rPr>
          <w:rFonts w:ascii="Arial" w:eastAsia="Arial" w:hAnsi="Arial" w:cs="Arial"/>
          <w:sz w:val="22"/>
          <w:szCs w:val="22"/>
        </w:rPr>
      </w:pPr>
    </w:p>
    <w:sectPr w:rsidR="00530E16" w:rsidRPr="00C747E7"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B1BB92" w14:textId="77777777" w:rsidR="000A15E5" w:rsidRDefault="000A15E5" w:rsidP="002A1842">
      <w:pPr>
        <w:spacing w:after="0" w:line="240" w:lineRule="auto"/>
      </w:pPr>
      <w:r>
        <w:separator/>
      </w:r>
    </w:p>
  </w:endnote>
  <w:endnote w:type="continuationSeparator" w:id="0">
    <w:p w14:paraId="6E877F7B" w14:textId="77777777" w:rsidR="000A15E5" w:rsidRDefault="000A15E5"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216BB32F" w14:textId="77777777" w:rsidR="00722EFE" w:rsidRDefault="00722EFE">
        <w:pPr>
          <w:pStyle w:val="Piedepgina"/>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3BC5E180" w14:textId="77777777" w:rsidR="00722EFE" w:rsidRDefault="00722EFE">
    <w:pPr>
      <w:pStyle w:val="Piedep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18C10ACD" w14:textId="77777777" w:rsidR="00722EFE" w:rsidRDefault="00722EFE">
        <w:pPr>
          <w:pStyle w:val="Piedepgina"/>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40C81AFC" w14:textId="77777777" w:rsidR="002A1842" w:rsidRDefault="002A1842">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8C3D97" w14:textId="77777777" w:rsidR="000A15E5" w:rsidRDefault="000A15E5" w:rsidP="002A1842">
      <w:pPr>
        <w:spacing w:after="0" w:line="240" w:lineRule="auto"/>
      </w:pPr>
      <w:r>
        <w:separator/>
      </w:r>
    </w:p>
  </w:footnote>
  <w:footnote w:type="continuationSeparator" w:id="0">
    <w:p w14:paraId="609CDFC1" w14:textId="77777777" w:rsidR="000A15E5" w:rsidRDefault="000A15E5"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455174785">
    <w:abstractNumId w:val="5"/>
  </w:num>
  <w:num w:numId="2" w16cid:durableId="1384211571">
    <w:abstractNumId w:val="3"/>
  </w:num>
  <w:num w:numId="3" w16cid:durableId="2130779481">
    <w:abstractNumId w:val="2"/>
  </w:num>
  <w:num w:numId="4" w16cid:durableId="1842155292">
    <w:abstractNumId w:val="1"/>
  </w:num>
  <w:num w:numId="5" w16cid:durableId="542837014">
    <w:abstractNumId w:val="4"/>
  </w:num>
  <w:num w:numId="6" w16cid:durableId="884877721">
    <w:abstractNumId w:val="0"/>
  </w:num>
  <w:num w:numId="7" w16cid:durableId="1169297311">
    <w:abstractNumId w:val="7"/>
  </w:num>
  <w:num w:numId="8" w16cid:durableId="126677277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A15E5"/>
    <w:rsid w:val="00172AD1"/>
    <w:rsid w:val="001813E7"/>
    <w:rsid w:val="00250B7B"/>
    <w:rsid w:val="002A1842"/>
    <w:rsid w:val="00301764"/>
    <w:rsid w:val="004468F8"/>
    <w:rsid w:val="00466DB7"/>
    <w:rsid w:val="00530E16"/>
    <w:rsid w:val="005853F3"/>
    <w:rsid w:val="00722EFE"/>
    <w:rsid w:val="007637E9"/>
    <w:rsid w:val="00832579"/>
    <w:rsid w:val="0084128F"/>
    <w:rsid w:val="008E7834"/>
    <w:rsid w:val="0099727F"/>
    <w:rsid w:val="009F60D1"/>
    <w:rsid w:val="00A75B15"/>
    <w:rsid w:val="00AD683D"/>
    <w:rsid w:val="00AE06EA"/>
    <w:rsid w:val="00B65ED6"/>
    <w:rsid w:val="00BA0043"/>
    <w:rsid w:val="00C747E7"/>
    <w:rsid w:val="00CF650B"/>
    <w:rsid w:val="00D62A9C"/>
    <w:rsid w:val="00DB181C"/>
    <w:rsid w:val="00E96E9E"/>
    <w:rsid w:val="00F61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6A47E"/>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Ttulo">
    <w:name w:val="Title"/>
    <w:basedOn w:val="Normal"/>
    <w:next w:val="Normal"/>
    <w:link w:val="TtuloC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1Car">
    <w:name w:val="Título 1 Car"/>
    <w:basedOn w:val="Fuentedeprrafopredeter"/>
    <w:link w:val="Ttulo1"/>
    <w:uiPriority w:val="9"/>
    <w:rsid w:val="00E123B8"/>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rsid w:val="00E123B8"/>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E123B8"/>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E123B8"/>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E123B8"/>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E123B8"/>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E123B8"/>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E123B8"/>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E123B8"/>
    <w:rPr>
      <w:rFonts w:eastAsiaTheme="majorEastAsia" w:cstheme="majorBidi"/>
      <w:color w:val="272727" w:themeColor="text1" w:themeTint="D8"/>
    </w:rPr>
  </w:style>
  <w:style w:type="character" w:customStyle="1" w:styleId="TtuloCar">
    <w:name w:val="Título Car"/>
    <w:basedOn w:val="Fuentedeprrafopredeter"/>
    <w:link w:val="Ttulo"/>
    <w:uiPriority w:val="10"/>
    <w:rsid w:val="00E123B8"/>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rPr>
      <w:color w:val="595959"/>
      <w:sz w:val="28"/>
      <w:szCs w:val="28"/>
    </w:rPr>
  </w:style>
  <w:style w:type="character" w:customStyle="1" w:styleId="SubttuloCar">
    <w:name w:val="Subtítulo Car"/>
    <w:basedOn w:val="Fuentedeprrafopredeter"/>
    <w:link w:val="Subttulo"/>
    <w:uiPriority w:val="11"/>
    <w:rsid w:val="00E123B8"/>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E123B8"/>
    <w:pPr>
      <w:spacing w:before="160"/>
      <w:jc w:val="center"/>
    </w:pPr>
    <w:rPr>
      <w:i/>
      <w:iCs/>
      <w:color w:val="404040" w:themeColor="text1" w:themeTint="BF"/>
    </w:rPr>
  </w:style>
  <w:style w:type="character" w:customStyle="1" w:styleId="CitaCar">
    <w:name w:val="Cita Car"/>
    <w:basedOn w:val="Fuentedeprrafopredeter"/>
    <w:link w:val="Cita"/>
    <w:uiPriority w:val="29"/>
    <w:rsid w:val="00E123B8"/>
    <w:rPr>
      <w:i/>
      <w:iCs/>
      <w:color w:val="404040" w:themeColor="text1" w:themeTint="BF"/>
    </w:rPr>
  </w:style>
  <w:style w:type="paragraph" w:styleId="Prrafodelista">
    <w:name w:val="List Paragraph"/>
    <w:basedOn w:val="Normal"/>
    <w:uiPriority w:val="34"/>
    <w:qFormat/>
    <w:rsid w:val="00E123B8"/>
    <w:pPr>
      <w:ind w:left="720"/>
      <w:contextualSpacing/>
    </w:pPr>
  </w:style>
  <w:style w:type="character" w:styleId="nfasisintenso">
    <w:name w:val="Intense Emphasis"/>
    <w:basedOn w:val="Fuentedeprrafopredeter"/>
    <w:uiPriority w:val="21"/>
    <w:qFormat/>
    <w:rsid w:val="00E123B8"/>
    <w:rPr>
      <w:i/>
      <w:iCs/>
      <w:color w:val="0F4761" w:themeColor="accent1" w:themeShade="BF"/>
    </w:rPr>
  </w:style>
  <w:style w:type="paragraph" w:styleId="Citadestacada">
    <w:name w:val="Intense Quote"/>
    <w:basedOn w:val="Normal"/>
    <w:next w:val="Normal"/>
    <w:link w:val="CitadestacadaC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E123B8"/>
    <w:rPr>
      <w:i/>
      <w:iCs/>
      <w:color w:val="0F4761" w:themeColor="accent1" w:themeShade="BF"/>
    </w:rPr>
  </w:style>
  <w:style w:type="character" w:styleId="Referenciaintensa">
    <w:name w:val="Intense Reference"/>
    <w:basedOn w:val="Fuentedeprrafopredeter"/>
    <w:uiPriority w:val="32"/>
    <w:qFormat/>
    <w:rsid w:val="00E123B8"/>
    <w:rPr>
      <w:b/>
      <w:bCs/>
      <w:smallCaps/>
      <w:color w:val="0F4761" w:themeColor="accent1" w:themeShade="BF"/>
      <w:spacing w:val="5"/>
    </w:rPr>
  </w:style>
  <w:style w:type="paragraph" w:styleId="Sinespaciado">
    <w:name w:val="No Spacing"/>
    <w:link w:val="SinespaciadoCar"/>
    <w:uiPriority w:val="1"/>
    <w:qFormat/>
    <w:rsid w:val="00E123B8"/>
    <w:pPr>
      <w:spacing w:after="0" w:line="240" w:lineRule="auto"/>
    </w:pPr>
    <w:rPr>
      <w:sz w:val="22"/>
      <w:szCs w:val="22"/>
    </w:rPr>
  </w:style>
  <w:style w:type="character" w:customStyle="1" w:styleId="SinespaciadoCar">
    <w:name w:val="Sin espaciado Car"/>
    <w:basedOn w:val="Fuentedeprrafopredeter"/>
    <w:link w:val="Sinespaciado"/>
    <w:uiPriority w:val="1"/>
    <w:rsid w:val="00E123B8"/>
    <w:rPr>
      <w:kern w:val="0"/>
      <w:sz w:val="22"/>
      <w:szCs w:val="22"/>
    </w:rPr>
  </w:style>
  <w:style w:type="paragraph" w:styleId="TtuloTDC">
    <w:name w:val="TOC Heading"/>
    <w:basedOn w:val="Ttulo1"/>
    <w:next w:val="Normal"/>
    <w:uiPriority w:val="39"/>
    <w:unhideWhenUsed/>
    <w:qFormat/>
    <w:rsid w:val="000B77AD"/>
    <w:pPr>
      <w:spacing w:before="240" w:after="0" w:line="259" w:lineRule="auto"/>
      <w:outlineLvl w:val="9"/>
    </w:pPr>
    <w:rPr>
      <w:sz w:val="32"/>
      <w:szCs w:val="32"/>
    </w:rPr>
  </w:style>
  <w:style w:type="paragraph" w:styleId="TDC1">
    <w:name w:val="toc 1"/>
    <w:basedOn w:val="Normal"/>
    <w:next w:val="Normal"/>
    <w:autoRedefine/>
    <w:uiPriority w:val="39"/>
    <w:unhideWhenUsed/>
    <w:rsid w:val="000B77AD"/>
    <w:pPr>
      <w:spacing w:after="100"/>
    </w:pPr>
  </w:style>
  <w:style w:type="paragraph" w:styleId="TDC2">
    <w:name w:val="toc 2"/>
    <w:basedOn w:val="Normal"/>
    <w:next w:val="Normal"/>
    <w:autoRedefine/>
    <w:uiPriority w:val="39"/>
    <w:unhideWhenUsed/>
    <w:rsid w:val="000B77AD"/>
    <w:pPr>
      <w:spacing w:after="100"/>
      <w:ind w:left="240"/>
    </w:pPr>
  </w:style>
  <w:style w:type="character" w:styleId="Hipervnculo">
    <w:name w:val="Hyperlink"/>
    <w:basedOn w:val="Fuentedeprrafopredeter"/>
    <w:uiPriority w:val="99"/>
    <w:unhideWhenUsed/>
    <w:rsid w:val="000B77AD"/>
    <w:rPr>
      <w:color w:val="467886" w:themeColor="hyperlink"/>
      <w:u w:val="single"/>
    </w:rPr>
  </w:style>
  <w:style w:type="character" w:styleId="Fuerte">
    <w:name w:val="Strong"/>
    <w:basedOn w:val="Fuentedeprrafopredeter"/>
    <w:uiPriority w:val="22"/>
    <w:qFormat/>
    <w:rsid w:val="008F4548"/>
    <w:rPr>
      <w:b/>
      <w:bCs/>
    </w:rPr>
  </w:style>
  <w:style w:type="character" w:styleId="nfasis">
    <w:name w:val="Emphasis"/>
    <w:basedOn w:val="Fuentedeprrafopredeter"/>
    <w:uiPriority w:val="20"/>
    <w:qFormat/>
    <w:rsid w:val="00C30882"/>
    <w:rPr>
      <w:i/>
      <w:iCs/>
    </w:rPr>
  </w:style>
  <w:style w:type="paragraph" w:styleId="Encabezado">
    <w:name w:val="header"/>
    <w:basedOn w:val="Normal"/>
    <w:link w:val="EncabezadoCar"/>
    <w:uiPriority w:val="99"/>
    <w:unhideWhenUsed/>
    <w:rsid w:val="002A1842"/>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2A1842"/>
  </w:style>
  <w:style w:type="paragraph" w:styleId="Piedepgina">
    <w:name w:val="footer"/>
    <w:basedOn w:val="Normal"/>
    <w:link w:val="PiedepginaCar"/>
    <w:uiPriority w:val="99"/>
    <w:unhideWhenUsed/>
    <w:rsid w:val="002A1842"/>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2067</Words>
  <Characters>11374</Characters>
  <Application>Microsoft Office Word</Application>
  <DocSecurity>0</DocSecurity>
  <Lines>94</Lines>
  <Paragraphs>26</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13415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juan oliveira</cp:lastModifiedBy>
  <cp:revision>2</cp:revision>
  <dcterms:created xsi:type="dcterms:W3CDTF">2026-04-20T13:12:00Z</dcterms:created>
  <dcterms:modified xsi:type="dcterms:W3CDTF">2026-04-20T13:12:00Z</dcterms:modified>
</cp:coreProperties>
</file>