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F22736" w14:textId="508E6358" w:rsidR="00F916AF" w:rsidRDefault="00436B47" w:rsidP="00166EEF">
      <w:pPr>
        <w:spacing w:line="360" w:lineRule="auto"/>
        <w:jc w:val="center"/>
        <w:rPr>
          <w:rFonts w:eastAsia="Times New Roman" w:cs="Arial"/>
          <w:b/>
          <w:bCs/>
          <w:kern w:val="36"/>
          <w:sz w:val="32"/>
          <w:szCs w:val="32"/>
          <w:lang w:eastAsia="en-GB"/>
        </w:rPr>
      </w:pPr>
      <w:r w:rsidRPr="00436B47">
        <w:rPr>
          <w:rFonts w:eastAsia="Times New Roman" w:cs="Arial"/>
          <w:b/>
          <w:bCs/>
          <w:kern w:val="36"/>
          <w:sz w:val="32"/>
          <w:szCs w:val="32"/>
          <w:lang w:eastAsia="en-GB"/>
        </w:rPr>
        <w:t>The Social Model of Disability as a Foundation for Person-Centred Practice: Emergence, Critique, and Application to Health and Social Care Policy</w:t>
      </w:r>
    </w:p>
    <w:p w14:paraId="01860EAC" w14:textId="77777777" w:rsidR="003932E3" w:rsidRDefault="003932E3" w:rsidP="00166EEF">
      <w:pPr>
        <w:spacing w:line="360" w:lineRule="auto"/>
        <w:jc w:val="center"/>
        <w:rPr>
          <w:rFonts w:eastAsia="Times New Roman" w:cs="Arial"/>
          <w:b/>
          <w:bCs/>
          <w:kern w:val="36"/>
          <w:sz w:val="32"/>
          <w:szCs w:val="32"/>
          <w:lang w:eastAsia="en-GB"/>
        </w:rPr>
      </w:pPr>
    </w:p>
    <w:p w14:paraId="2D5C6AAF" w14:textId="77777777" w:rsidR="00436B47" w:rsidRDefault="00436B47" w:rsidP="00166EEF">
      <w:pPr>
        <w:spacing w:line="360" w:lineRule="auto"/>
        <w:jc w:val="center"/>
      </w:pPr>
      <w:r>
        <w:rPr>
          <w:noProof/>
          <w:lang w:val="en-GB" w:eastAsia="en-GB"/>
        </w:rPr>
        <w:drawing>
          <wp:inline distT="0" distB="0" distL="0" distR="0" wp14:anchorId="3B19F6FD" wp14:editId="39E457EE">
            <wp:extent cx="3848100" cy="1455003"/>
            <wp:effectExtent l="0" t="0" r="0" b="0"/>
            <wp:docPr id="195777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7967" name=""/>
                    <pic:cNvPicPr/>
                  </pic:nvPicPr>
                  <pic:blipFill>
                    <a:blip r:embed="rId7"/>
                    <a:stretch>
                      <a:fillRect/>
                    </a:stretch>
                  </pic:blipFill>
                  <pic:spPr>
                    <a:xfrm>
                      <a:off x="0" y="0"/>
                      <a:ext cx="3894802" cy="1472662"/>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436B47" w14:paraId="1EA1F548" w14:textId="77777777" w:rsidTr="008B75EF">
        <w:trPr>
          <w:trHeight w:val="872"/>
        </w:trPr>
        <w:tc>
          <w:tcPr>
            <w:tcW w:w="4675" w:type="dxa"/>
            <w:vAlign w:val="center"/>
          </w:tcPr>
          <w:p w14:paraId="4D7580BC" w14:textId="77777777" w:rsidR="00436B47" w:rsidRDefault="00436B47" w:rsidP="00166EEF">
            <w:pPr>
              <w:spacing w:line="360" w:lineRule="auto"/>
              <w:jc w:val="center"/>
            </w:pPr>
            <w:r>
              <w:t>Student Name</w:t>
            </w:r>
          </w:p>
        </w:tc>
        <w:tc>
          <w:tcPr>
            <w:tcW w:w="4675" w:type="dxa"/>
            <w:vAlign w:val="center"/>
          </w:tcPr>
          <w:p w14:paraId="2FD878E0" w14:textId="77777777" w:rsidR="00436B47" w:rsidRDefault="00436B47" w:rsidP="00166EEF">
            <w:pPr>
              <w:spacing w:line="360" w:lineRule="auto"/>
              <w:jc w:val="center"/>
            </w:pPr>
          </w:p>
        </w:tc>
      </w:tr>
      <w:tr w:rsidR="00436B47" w14:paraId="56BCFDF5" w14:textId="77777777" w:rsidTr="008B75EF">
        <w:trPr>
          <w:trHeight w:val="872"/>
        </w:trPr>
        <w:tc>
          <w:tcPr>
            <w:tcW w:w="4675" w:type="dxa"/>
            <w:vAlign w:val="center"/>
          </w:tcPr>
          <w:p w14:paraId="464B7EB5" w14:textId="77777777" w:rsidR="00436B47" w:rsidRDefault="00436B47" w:rsidP="00166EEF">
            <w:pPr>
              <w:spacing w:line="360" w:lineRule="auto"/>
              <w:jc w:val="center"/>
            </w:pPr>
            <w:r>
              <w:t>Student ID</w:t>
            </w:r>
          </w:p>
        </w:tc>
        <w:tc>
          <w:tcPr>
            <w:tcW w:w="4675" w:type="dxa"/>
            <w:vAlign w:val="center"/>
          </w:tcPr>
          <w:p w14:paraId="5948BE65" w14:textId="77777777" w:rsidR="00436B47" w:rsidRDefault="00436B47" w:rsidP="00166EEF">
            <w:pPr>
              <w:spacing w:line="360" w:lineRule="auto"/>
              <w:jc w:val="center"/>
            </w:pPr>
          </w:p>
        </w:tc>
      </w:tr>
      <w:tr w:rsidR="00436B47" w14:paraId="5EC16BE3" w14:textId="77777777" w:rsidTr="008B75EF">
        <w:trPr>
          <w:trHeight w:val="872"/>
        </w:trPr>
        <w:tc>
          <w:tcPr>
            <w:tcW w:w="4675" w:type="dxa"/>
            <w:vAlign w:val="center"/>
          </w:tcPr>
          <w:p w14:paraId="2B6794F8" w14:textId="77777777" w:rsidR="00436B47" w:rsidRDefault="00436B47" w:rsidP="00166EEF">
            <w:pPr>
              <w:spacing w:line="360" w:lineRule="auto"/>
              <w:jc w:val="center"/>
            </w:pPr>
            <w:r>
              <w:t>Programme</w:t>
            </w:r>
          </w:p>
        </w:tc>
        <w:tc>
          <w:tcPr>
            <w:tcW w:w="4675" w:type="dxa"/>
            <w:vAlign w:val="center"/>
          </w:tcPr>
          <w:p w14:paraId="3FCAB653" w14:textId="6A338850" w:rsidR="00436B47" w:rsidRDefault="00436B47" w:rsidP="00166EEF">
            <w:pPr>
              <w:spacing w:line="360" w:lineRule="auto"/>
              <w:jc w:val="center"/>
            </w:pPr>
            <w:r w:rsidRPr="00436B47">
              <w:t>BSc (Hons) Health and Social Care</w:t>
            </w:r>
          </w:p>
        </w:tc>
      </w:tr>
      <w:tr w:rsidR="00436B47" w14:paraId="130CFE1C" w14:textId="77777777" w:rsidTr="008B75EF">
        <w:trPr>
          <w:trHeight w:val="872"/>
        </w:trPr>
        <w:tc>
          <w:tcPr>
            <w:tcW w:w="4675" w:type="dxa"/>
            <w:vAlign w:val="center"/>
          </w:tcPr>
          <w:p w14:paraId="3D54C639" w14:textId="77777777" w:rsidR="00436B47" w:rsidRDefault="00436B47" w:rsidP="00166EEF">
            <w:pPr>
              <w:spacing w:line="360" w:lineRule="auto"/>
              <w:jc w:val="center"/>
            </w:pPr>
            <w:r>
              <w:t>Module</w:t>
            </w:r>
          </w:p>
        </w:tc>
        <w:tc>
          <w:tcPr>
            <w:tcW w:w="4675" w:type="dxa"/>
            <w:vAlign w:val="center"/>
          </w:tcPr>
          <w:p w14:paraId="78453B9D" w14:textId="7C7A89C2" w:rsidR="00436B47" w:rsidRDefault="00436B47" w:rsidP="00166EEF">
            <w:pPr>
              <w:spacing w:line="360" w:lineRule="auto"/>
              <w:jc w:val="center"/>
            </w:pPr>
            <w:r w:rsidRPr="00436B47">
              <w:t>Principles of Health and Social Care Practice</w:t>
            </w:r>
          </w:p>
        </w:tc>
      </w:tr>
      <w:tr w:rsidR="00436B47" w14:paraId="0061983C" w14:textId="77777777" w:rsidTr="008B75EF">
        <w:trPr>
          <w:trHeight w:val="872"/>
        </w:trPr>
        <w:tc>
          <w:tcPr>
            <w:tcW w:w="4675" w:type="dxa"/>
            <w:vAlign w:val="center"/>
          </w:tcPr>
          <w:p w14:paraId="747D2640" w14:textId="70874885" w:rsidR="00436B47" w:rsidRDefault="00436B47" w:rsidP="00166EEF">
            <w:pPr>
              <w:spacing w:line="360" w:lineRule="auto"/>
              <w:jc w:val="center"/>
            </w:pPr>
            <w:r w:rsidRPr="0089114B">
              <w:t>Assignment Title</w:t>
            </w:r>
          </w:p>
        </w:tc>
        <w:tc>
          <w:tcPr>
            <w:tcW w:w="4675" w:type="dxa"/>
            <w:vAlign w:val="center"/>
          </w:tcPr>
          <w:p w14:paraId="00315A4B" w14:textId="5364F11C" w:rsidR="00436B47" w:rsidRPr="0089114B" w:rsidRDefault="00436B47" w:rsidP="00166EEF">
            <w:pPr>
              <w:spacing w:line="360" w:lineRule="auto"/>
              <w:jc w:val="center"/>
            </w:pPr>
            <w:r w:rsidRPr="00436B47">
              <w:t>Component 2: Written Assignment (Essay)</w:t>
            </w:r>
          </w:p>
        </w:tc>
      </w:tr>
    </w:tbl>
    <w:p w14:paraId="7221B103" w14:textId="77777777" w:rsidR="00166EEF" w:rsidRDefault="00166EEF" w:rsidP="00166EEF">
      <w:pPr>
        <w:pStyle w:val="TOCHeading"/>
        <w:spacing w:line="360" w:lineRule="auto"/>
      </w:pPr>
    </w:p>
    <w:sdt>
      <w:sdtPr>
        <w:rPr>
          <w:rFonts w:ascii="Arial" w:eastAsia="Calibri" w:hAnsi="Arial" w:cs="Times New Roman"/>
          <w:b w:val="0"/>
          <w:color w:val="auto"/>
          <w:kern w:val="3"/>
          <w:sz w:val="22"/>
          <w:szCs w:val="24"/>
        </w:rPr>
        <w:id w:val="-127402100"/>
        <w:docPartObj>
          <w:docPartGallery w:val="Table of Contents"/>
          <w:docPartUnique/>
        </w:docPartObj>
      </w:sdtPr>
      <w:sdtEndPr>
        <w:rPr>
          <w:bCs/>
          <w:noProof/>
        </w:rPr>
      </w:sdtEndPr>
      <w:sdtContent>
        <w:p w14:paraId="4C773024" w14:textId="77777777" w:rsidR="00166EEF" w:rsidRDefault="00166EEF" w:rsidP="003932E3">
          <w:pPr>
            <w:pStyle w:val="TOCHeading"/>
            <w:spacing w:line="360" w:lineRule="auto"/>
            <w:sectPr w:rsidR="00166EEF">
              <w:pgSz w:w="12240" w:h="15840"/>
              <w:pgMar w:top="1440" w:right="1440" w:bottom="1440" w:left="1440" w:header="720" w:footer="720" w:gutter="0"/>
              <w:cols w:space="720"/>
            </w:sectPr>
          </w:pPr>
        </w:p>
        <w:p w14:paraId="4600F41D" w14:textId="347EF3B9" w:rsidR="00436B47" w:rsidRPr="00166EEF" w:rsidRDefault="00166EEF" w:rsidP="003932E3">
          <w:pPr>
            <w:pStyle w:val="TOCHeading"/>
            <w:spacing w:line="360" w:lineRule="auto"/>
            <w:jc w:val="center"/>
            <w:rPr>
              <w:rFonts w:ascii="Arial" w:hAnsi="Arial" w:cs="Arial"/>
              <w:color w:val="auto"/>
            </w:rPr>
          </w:pPr>
          <w:r w:rsidRPr="00166EEF">
            <w:rPr>
              <w:rFonts w:ascii="Arial" w:hAnsi="Arial" w:cs="Arial"/>
              <w:color w:val="auto"/>
            </w:rPr>
            <w:lastRenderedPageBreak/>
            <w:t>Table of Content</w:t>
          </w:r>
        </w:p>
        <w:p w14:paraId="0721652D" w14:textId="48C68A92" w:rsidR="003932E3" w:rsidRDefault="00436B47"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r>
            <w:fldChar w:fldCharType="begin"/>
          </w:r>
          <w:r>
            <w:instrText xml:space="preserve"> TOC \o "1-3" \h \z \u </w:instrText>
          </w:r>
          <w:r>
            <w:fldChar w:fldCharType="separate"/>
          </w:r>
          <w:hyperlink w:anchor="_Toc236089151" w:history="1">
            <w:r w:rsidR="003932E3" w:rsidRPr="00DD4F00">
              <w:rPr>
                <w:rStyle w:val="Hyperlink"/>
                <w:noProof/>
                <w:lang w:val="en-GB"/>
              </w:rPr>
              <w:t>Introduction</w:t>
            </w:r>
            <w:r w:rsidR="003932E3">
              <w:rPr>
                <w:noProof/>
                <w:webHidden/>
              </w:rPr>
              <w:tab/>
            </w:r>
            <w:r w:rsidR="003932E3">
              <w:rPr>
                <w:noProof/>
                <w:webHidden/>
              </w:rPr>
              <w:fldChar w:fldCharType="begin"/>
            </w:r>
            <w:r w:rsidR="003932E3">
              <w:rPr>
                <w:noProof/>
                <w:webHidden/>
              </w:rPr>
              <w:instrText xml:space="preserve"> PAGEREF _Toc236089151 \h </w:instrText>
            </w:r>
            <w:r w:rsidR="003932E3">
              <w:rPr>
                <w:noProof/>
                <w:webHidden/>
              </w:rPr>
            </w:r>
            <w:r w:rsidR="003932E3">
              <w:rPr>
                <w:noProof/>
                <w:webHidden/>
              </w:rPr>
              <w:fldChar w:fldCharType="separate"/>
            </w:r>
            <w:r w:rsidR="003932E3">
              <w:rPr>
                <w:noProof/>
                <w:webHidden/>
              </w:rPr>
              <w:t>3</w:t>
            </w:r>
            <w:r w:rsidR="003932E3">
              <w:rPr>
                <w:noProof/>
                <w:webHidden/>
              </w:rPr>
              <w:fldChar w:fldCharType="end"/>
            </w:r>
          </w:hyperlink>
        </w:p>
        <w:p w14:paraId="27331231" w14:textId="0B336EB0" w:rsidR="003932E3" w:rsidRDefault="008A4674"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hyperlink w:anchor="_Toc236089152" w:history="1">
            <w:r w:rsidR="003932E3" w:rsidRPr="00DD4F00">
              <w:rPr>
                <w:rStyle w:val="Hyperlink"/>
                <w:noProof/>
                <w:lang w:val="en-GB"/>
              </w:rPr>
              <w:t>Emergence and Development of the Social Model</w:t>
            </w:r>
            <w:r w:rsidR="003932E3">
              <w:rPr>
                <w:noProof/>
                <w:webHidden/>
              </w:rPr>
              <w:tab/>
            </w:r>
            <w:r w:rsidR="003932E3">
              <w:rPr>
                <w:noProof/>
                <w:webHidden/>
              </w:rPr>
              <w:fldChar w:fldCharType="begin"/>
            </w:r>
            <w:r w:rsidR="003932E3">
              <w:rPr>
                <w:noProof/>
                <w:webHidden/>
              </w:rPr>
              <w:instrText xml:space="preserve"> PAGEREF _Toc236089152 \h </w:instrText>
            </w:r>
            <w:r w:rsidR="003932E3">
              <w:rPr>
                <w:noProof/>
                <w:webHidden/>
              </w:rPr>
            </w:r>
            <w:r w:rsidR="003932E3">
              <w:rPr>
                <w:noProof/>
                <w:webHidden/>
              </w:rPr>
              <w:fldChar w:fldCharType="separate"/>
            </w:r>
            <w:r w:rsidR="003932E3">
              <w:rPr>
                <w:noProof/>
                <w:webHidden/>
              </w:rPr>
              <w:t>3</w:t>
            </w:r>
            <w:r w:rsidR="003932E3">
              <w:rPr>
                <w:noProof/>
                <w:webHidden/>
              </w:rPr>
              <w:fldChar w:fldCharType="end"/>
            </w:r>
          </w:hyperlink>
        </w:p>
        <w:p w14:paraId="6D4DA708" w14:textId="4919B4B0" w:rsidR="003932E3" w:rsidRDefault="008A4674"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hyperlink w:anchor="_Toc236089153" w:history="1">
            <w:r w:rsidR="003932E3" w:rsidRPr="00DD4F00">
              <w:rPr>
                <w:rStyle w:val="Hyperlink"/>
                <w:noProof/>
              </w:rPr>
              <w:t>Reviews and responses</w:t>
            </w:r>
            <w:r w:rsidR="003932E3">
              <w:rPr>
                <w:noProof/>
                <w:webHidden/>
              </w:rPr>
              <w:tab/>
            </w:r>
            <w:r w:rsidR="003932E3">
              <w:rPr>
                <w:noProof/>
                <w:webHidden/>
              </w:rPr>
              <w:fldChar w:fldCharType="begin"/>
            </w:r>
            <w:r w:rsidR="003932E3">
              <w:rPr>
                <w:noProof/>
                <w:webHidden/>
              </w:rPr>
              <w:instrText xml:space="preserve"> PAGEREF _Toc236089153 \h </w:instrText>
            </w:r>
            <w:r w:rsidR="003932E3">
              <w:rPr>
                <w:noProof/>
                <w:webHidden/>
              </w:rPr>
            </w:r>
            <w:r w:rsidR="003932E3">
              <w:rPr>
                <w:noProof/>
                <w:webHidden/>
              </w:rPr>
              <w:fldChar w:fldCharType="separate"/>
            </w:r>
            <w:r w:rsidR="003932E3">
              <w:rPr>
                <w:noProof/>
                <w:webHidden/>
              </w:rPr>
              <w:t>4</w:t>
            </w:r>
            <w:r w:rsidR="003932E3">
              <w:rPr>
                <w:noProof/>
                <w:webHidden/>
              </w:rPr>
              <w:fldChar w:fldCharType="end"/>
            </w:r>
          </w:hyperlink>
        </w:p>
        <w:p w14:paraId="570DD7D0" w14:textId="4B8116F7" w:rsidR="003932E3" w:rsidRDefault="008A4674"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hyperlink w:anchor="_Toc236089154" w:history="1">
            <w:r w:rsidR="003932E3" w:rsidRPr="00DD4F00">
              <w:rPr>
                <w:rStyle w:val="Hyperlink"/>
                <w:noProof/>
              </w:rPr>
              <w:t>Application to Policy and Practice in Health and Social Care</w:t>
            </w:r>
            <w:r w:rsidR="003932E3">
              <w:rPr>
                <w:noProof/>
                <w:webHidden/>
              </w:rPr>
              <w:tab/>
            </w:r>
            <w:r w:rsidR="003932E3">
              <w:rPr>
                <w:noProof/>
                <w:webHidden/>
              </w:rPr>
              <w:fldChar w:fldCharType="begin"/>
            </w:r>
            <w:r w:rsidR="003932E3">
              <w:rPr>
                <w:noProof/>
                <w:webHidden/>
              </w:rPr>
              <w:instrText xml:space="preserve"> PAGEREF _Toc236089154 \h </w:instrText>
            </w:r>
            <w:r w:rsidR="003932E3">
              <w:rPr>
                <w:noProof/>
                <w:webHidden/>
              </w:rPr>
            </w:r>
            <w:r w:rsidR="003932E3">
              <w:rPr>
                <w:noProof/>
                <w:webHidden/>
              </w:rPr>
              <w:fldChar w:fldCharType="separate"/>
            </w:r>
            <w:r w:rsidR="003932E3">
              <w:rPr>
                <w:noProof/>
                <w:webHidden/>
              </w:rPr>
              <w:t>5</w:t>
            </w:r>
            <w:r w:rsidR="003932E3">
              <w:rPr>
                <w:noProof/>
                <w:webHidden/>
              </w:rPr>
              <w:fldChar w:fldCharType="end"/>
            </w:r>
          </w:hyperlink>
        </w:p>
        <w:p w14:paraId="491D34C8" w14:textId="559E4B4D" w:rsidR="003932E3" w:rsidRDefault="008A4674"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hyperlink w:anchor="_Toc236089155" w:history="1">
            <w:r w:rsidR="003932E3" w:rsidRPr="00DD4F00">
              <w:rPr>
                <w:rStyle w:val="Hyperlink"/>
                <w:noProof/>
              </w:rPr>
              <w:t>Recommendations and Conclusion</w:t>
            </w:r>
            <w:r w:rsidR="003932E3">
              <w:rPr>
                <w:noProof/>
                <w:webHidden/>
              </w:rPr>
              <w:tab/>
            </w:r>
            <w:r w:rsidR="003932E3">
              <w:rPr>
                <w:noProof/>
                <w:webHidden/>
              </w:rPr>
              <w:fldChar w:fldCharType="begin"/>
            </w:r>
            <w:r w:rsidR="003932E3">
              <w:rPr>
                <w:noProof/>
                <w:webHidden/>
              </w:rPr>
              <w:instrText xml:space="preserve"> PAGEREF _Toc236089155 \h </w:instrText>
            </w:r>
            <w:r w:rsidR="003932E3">
              <w:rPr>
                <w:noProof/>
                <w:webHidden/>
              </w:rPr>
            </w:r>
            <w:r w:rsidR="003932E3">
              <w:rPr>
                <w:noProof/>
                <w:webHidden/>
              </w:rPr>
              <w:fldChar w:fldCharType="separate"/>
            </w:r>
            <w:r w:rsidR="003932E3">
              <w:rPr>
                <w:noProof/>
                <w:webHidden/>
              </w:rPr>
              <w:t>6</w:t>
            </w:r>
            <w:r w:rsidR="003932E3">
              <w:rPr>
                <w:noProof/>
                <w:webHidden/>
              </w:rPr>
              <w:fldChar w:fldCharType="end"/>
            </w:r>
          </w:hyperlink>
        </w:p>
        <w:p w14:paraId="007EBDEB" w14:textId="62D43FC2" w:rsidR="003932E3" w:rsidRDefault="008A4674" w:rsidP="003932E3">
          <w:pPr>
            <w:pStyle w:val="TOC1"/>
            <w:tabs>
              <w:tab w:val="right" w:leader="dot" w:pos="9350"/>
            </w:tabs>
            <w:spacing w:line="360" w:lineRule="auto"/>
            <w:rPr>
              <w:rFonts w:asciiTheme="minorHAnsi" w:eastAsiaTheme="minorEastAsia" w:hAnsiTheme="minorHAnsi" w:cstheme="minorBidi"/>
              <w:noProof/>
              <w:kern w:val="0"/>
              <w:szCs w:val="22"/>
              <w:lang w:val="en-GB" w:eastAsia="en-GB"/>
            </w:rPr>
          </w:pPr>
          <w:hyperlink w:anchor="_Toc236089156" w:history="1">
            <w:r w:rsidR="003932E3" w:rsidRPr="00DD4F00">
              <w:rPr>
                <w:rStyle w:val="Hyperlink"/>
                <w:noProof/>
                <w:lang w:val="en-GB"/>
              </w:rPr>
              <w:t>References</w:t>
            </w:r>
            <w:r w:rsidR="003932E3">
              <w:rPr>
                <w:noProof/>
                <w:webHidden/>
              </w:rPr>
              <w:tab/>
            </w:r>
            <w:r w:rsidR="003932E3">
              <w:rPr>
                <w:noProof/>
                <w:webHidden/>
              </w:rPr>
              <w:fldChar w:fldCharType="begin"/>
            </w:r>
            <w:r w:rsidR="003932E3">
              <w:rPr>
                <w:noProof/>
                <w:webHidden/>
              </w:rPr>
              <w:instrText xml:space="preserve"> PAGEREF _Toc236089156 \h </w:instrText>
            </w:r>
            <w:r w:rsidR="003932E3">
              <w:rPr>
                <w:noProof/>
                <w:webHidden/>
              </w:rPr>
            </w:r>
            <w:r w:rsidR="003932E3">
              <w:rPr>
                <w:noProof/>
                <w:webHidden/>
              </w:rPr>
              <w:fldChar w:fldCharType="separate"/>
            </w:r>
            <w:r w:rsidR="003932E3">
              <w:rPr>
                <w:noProof/>
                <w:webHidden/>
              </w:rPr>
              <w:t>7</w:t>
            </w:r>
            <w:r w:rsidR="003932E3">
              <w:rPr>
                <w:noProof/>
                <w:webHidden/>
              </w:rPr>
              <w:fldChar w:fldCharType="end"/>
            </w:r>
          </w:hyperlink>
        </w:p>
        <w:p w14:paraId="2DA1C7FD" w14:textId="2B235FDD" w:rsidR="00436B47" w:rsidRDefault="00436B47" w:rsidP="003932E3">
          <w:pPr>
            <w:spacing w:line="360" w:lineRule="auto"/>
          </w:pPr>
          <w:r>
            <w:rPr>
              <w:b/>
              <w:bCs/>
              <w:noProof/>
            </w:rPr>
            <w:fldChar w:fldCharType="end"/>
          </w:r>
        </w:p>
      </w:sdtContent>
    </w:sdt>
    <w:p w14:paraId="4E06CD1D" w14:textId="77777777" w:rsidR="00436B47" w:rsidRDefault="00436B47" w:rsidP="00166EEF">
      <w:pPr>
        <w:spacing w:line="360" w:lineRule="auto"/>
        <w:rPr>
          <w:rFonts w:cs="Arial"/>
          <w:sz w:val="32"/>
          <w:szCs w:val="32"/>
        </w:rPr>
      </w:pPr>
    </w:p>
    <w:p w14:paraId="7D73C5C4" w14:textId="77777777" w:rsidR="00166EEF" w:rsidRDefault="00166EEF" w:rsidP="00166EEF">
      <w:pPr>
        <w:pStyle w:val="Heading1"/>
        <w:spacing w:line="360" w:lineRule="auto"/>
        <w:rPr>
          <w:lang w:val="en-GB"/>
        </w:rPr>
        <w:sectPr w:rsidR="00166EEF">
          <w:pgSz w:w="12240" w:h="15840"/>
          <w:pgMar w:top="1440" w:right="1440" w:bottom="1440" w:left="1440" w:header="720" w:footer="720" w:gutter="0"/>
          <w:cols w:space="720"/>
        </w:sectPr>
      </w:pPr>
    </w:p>
    <w:p w14:paraId="32D6F98A" w14:textId="137EAB06" w:rsidR="00F916AF" w:rsidRDefault="00222FEF" w:rsidP="00166EEF">
      <w:pPr>
        <w:pStyle w:val="Heading1"/>
        <w:spacing w:line="360" w:lineRule="auto"/>
        <w:rPr>
          <w:lang w:val="en-GB"/>
        </w:rPr>
      </w:pPr>
      <w:bookmarkStart w:id="0" w:name="_Toc236089151"/>
      <w:r>
        <w:rPr>
          <w:lang w:val="en-GB"/>
        </w:rPr>
        <w:lastRenderedPageBreak/>
        <w:t>Introduction</w:t>
      </w:r>
      <w:bookmarkEnd w:id="0"/>
    </w:p>
    <w:p w14:paraId="157DFDB2" w14:textId="77777777" w:rsidR="00166EEF" w:rsidRDefault="00222FEF" w:rsidP="00166EEF">
      <w:pPr>
        <w:spacing w:line="360" w:lineRule="auto"/>
      </w:pPr>
      <w:r>
        <w:t>Person-centred care is based on the person’s own understanding of his or her needs and circumstances rather than on institutional convenience or professional assumption. Few others have done more to change this understanding for disabled people than the social model of disability. Disability policy, professional practice and the political identity of disabled people were changed by shifting the source of disadvantage from the individual body to the disabling environment and social organization. This essay charts the development of the social model, the criticisms it has faced and the answers to these criticisms, before considering its use in health and social care policy and practice in the UK and the problems this has exposed. It ends with recommendations for a more coherent, person-centred approach to disabi</w:t>
      </w:r>
      <w:r w:rsidR="00166EEF">
        <w:t>lity in health and social care.</w:t>
      </w:r>
    </w:p>
    <w:p w14:paraId="7C300270" w14:textId="376414C8" w:rsidR="00F916AF" w:rsidRDefault="00222FEF" w:rsidP="00166EEF">
      <w:pPr>
        <w:pStyle w:val="Heading1"/>
        <w:spacing w:line="360" w:lineRule="auto"/>
      </w:pPr>
      <w:bookmarkStart w:id="1" w:name="_Toc236089152"/>
      <w:r>
        <w:rPr>
          <w:lang w:val="en-GB"/>
        </w:rPr>
        <w:t>Emergence and Development of the Social Model</w:t>
      </w:r>
      <w:bookmarkEnd w:id="1"/>
    </w:p>
    <w:p w14:paraId="58DA84B0" w14:textId="69321225" w:rsidR="00F916AF" w:rsidRDefault="00222FEF" w:rsidP="00166EEF">
      <w:pPr>
        <w:spacing w:line="360" w:lineRule="auto"/>
      </w:pPr>
      <w:r>
        <w:t>The social model of disability was developed in Britain in the late 1970s out of the disabled people’s movement, in particular the Union o</w:t>
      </w:r>
      <w:r w:rsidR="00166EEF">
        <w:t>f the Physically Impaired a</w:t>
      </w:r>
      <w:r>
        <w:t>gainst Segregation (UPIAS). In its 1976 policy statement UPIAS made a crucial distinction between impairment — the lack of or limitation of physical, sensory or mental function — and disability, which is the disadvantage or restriction of activity caused by contemporary social organization which takes little or no account of people with impairments. This reframing directly challenged the dominant ‘medical model’, which positioned the problem of disability within the individual’s body and framed intervention as a matter of cure, rehabilitation or management by professionals.</w:t>
      </w:r>
    </w:p>
    <w:p w14:paraId="52213378" w14:textId="77777777" w:rsidR="00F916AF" w:rsidRDefault="00222FEF" w:rsidP="00166EEF">
      <w:pPr>
        <w:spacing w:line="360" w:lineRule="auto"/>
      </w:pPr>
      <w:r>
        <w:t>Mike Oliver (1983, 1990) formalized this distinction into the "social model of disability". He argued that barriers, such as inaccessible buildings, exclusionary education, discriminatory employment practices and inadequate transport, not impairment itself, were the real causes of disabled people’s exclusion and disadvantage. Oliver placed the model in a materialist analysis, arguing that industrial capitalism had historically excluded disabled people from paid labour and in so doing constructed them as a dependent underclass. The social model therefore had two functions: as an analytic tool it explained disability as a product of social organization; as a political tool it provided disabled people with a rallying framework for collective action, most visibly in campaigns that led to the Disability Discrimination Act 1995.</w:t>
      </w:r>
    </w:p>
    <w:p w14:paraId="08A855EC" w14:textId="77777777" w:rsidR="00166EEF" w:rsidRDefault="00222FEF" w:rsidP="00166EEF">
      <w:pPr>
        <w:spacing w:line="360" w:lineRule="auto"/>
      </w:pPr>
      <w:r>
        <w:t xml:space="preserve">Over the 1990s and 2000s the model was further developed as disabled scholars and activists explored the implications of the model for independent living, self-determination and the removal of institutional barriers. The independent living movement, with figures such as Vic Finkelstein, </w:t>
      </w:r>
      <w:r>
        <w:lastRenderedPageBreak/>
        <w:t>took the logic of the social model into direct demands for user-controlled support, direct payments and de-institutionalization, arguing that disabled people should control the help they need rather than having it administered by professionals on their behalf.</w:t>
      </w:r>
    </w:p>
    <w:p w14:paraId="664367E5" w14:textId="15340B75" w:rsidR="00F916AF" w:rsidRDefault="00222FEF" w:rsidP="00166EEF">
      <w:pPr>
        <w:pStyle w:val="Heading1"/>
        <w:spacing w:line="360" w:lineRule="auto"/>
      </w:pPr>
      <w:bookmarkStart w:id="2" w:name="_Toc236089153"/>
      <w:r>
        <w:t>Reviews and responses</w:t>
      </w:r>
      <w:bookmarkEnd w:id="2"/>
    </w:p>
    <w:p w14:paraId="42F5AF35" w14:textId="77777777" w:rsidR="00F916AF" w:rsidRDefault="00222FEF" w:rsidP="00166EEF">
      <w:pPr>
        <w:spacing w:line="360" w:lineRule="auto"/>
      </w:pPr>
      <w:r>
        <w:t>Much of the criticism directed at the social model has come from within the disabled people's movement and disability studies itself. The most significant critique pertains to its treatment of impairment. Critics, including feminist disability scholars such as Jenny Morris (1991) and Liz Crow (1996), argued that in focusing exclusively on social and environmental barriers, the model risked denying or downplaying the lived reality of pain, fatigue and bodily limitation that many disabled people experience – what Crow termed the ‘unmentionable’ aspect of impairment within the movement’s own discourse. Critics argued that this “strong” social model might unintentionally silence disabled people who experience their impairment as a defining aspect of their lives, rather than social barriers alone, such as people with chronic illness, progressive conditions, or fluctuating impairments.</w:t>
      </w:r>
    </w:p>
    <w:p w14:paraId="664F571F" w14:textId="152753B5" w:rsidR="00F916AF" w:rsidRDefault="00222FEF" w:rsidP="00166EEF">
      <w:pPr>
        <w:spacing w:line="360" w:lineRule="auto"/>
      </w:pPr>
      <w:r>
        <w:t>A second criticism, associated with Tom Shakespeare and Nicholas Watson (2001), attacked the model's strict impairment/disability binary as philosophically and empirically unsustainable. They argued that the relationship between bodily impairment and social disablement is complex, interactive and context-dependent rather than a neat causal distinction. Shakespeare and Watson provide a ‘critical realist’ position, which acknowledges both material bodily reality and social construction as jointly constitutive of the experience of disabled people. A third criti</w:t>
      </w:r>
      <w:r w:rsidR="00166EEF">
        <w:t>cism concerns intersectionality</w:t>
      </w:r>
      <w:r>
        <w:t>. Disabled feminists and disabled people of colour argued that the social model, by making universal claims about 'disabled people' as a unified category, masked the ways in which gender, race, class and sexuality differentiate disabled people's experience of impairment and of social barriers (Vernon, 1999).</w:t>
      </w:r>
    </w:p>
    <w:p w14:paraId="01667D88" w14:textId="77777777" w:rsidR="00166EEF" w:rsidRDefault="00222FEF" w:rsidP="00166EEF">
      <w:pPr>
        <w:spacing w:line="360" w:lineRule="auto"/>
      </w:pPr>
      <w:r>
        <w:t xml:space="preserve">Responses to these critiques have generally sought to preserve the social model's core political achievement — shifting responsibility for disadvantage from individual bodies to social organization — while incorporating impairment and difference more fully. Oliver (2004) himself acknowledged that the model was never intended as a complete social theory of disability, but as a practical tool for changing policy and practice, and that its purpose was compatible with acknowledging impairment effects without abandoning the central claim that disabling barriers are socially created and therefore socially removable. More recently, scholars have adopted a "social relational" model that preserves the social model's concern with structural barriers but provides more analytical room for the personal and psychological experience of impairment (Thomas, </w:t>
      </w:r>
      <w:r>
        <w:lastRenderedPageBreak/>
        <w:t>1999). This synthesis has maintained the social model as the dominant frame of disability policy, but also created room for more disabled people’s own narratives of embodiment.</w:t>
      </w:r>
    </w:p>
    <w:p w14:paraId="524BAF36" w14:textId="78EEEF7D" w:rsidR="00F916AF" w:rsidRPr="00166EEF" w:rsidRDefault="00222FEF" w:rsidP="00166EEF">
      <w:pPr>
        <w:pStyle w:val="Heading1"/>
        <w:spacing w:line="360" w:lineRule="auto"/>
      </w:pPr>
      <w:bookmarkStart w:id="3" w:name="_Toc236089154"/>
      <w:r>
        <w:t>Application to Policy and Practice in Health and Social Care</w:t>
      </w:r>
      <w:bookmarkEnd w:id="3"/>
    </w:p>
    <w:p w14:paraId="3C8D8AFA" w14:textId="77777777" w:rsidR="00F916AF" w:rsidRDefault="00222FEF" w:rsidP="00166EEF">
      <w:pPr>
        <w:spacing w:line="360" w:lineRule="auto"/>
      </w:pPr>
      <w:r>
        <w:t>The social model has had a profound influence on UK disability policy and by extension health and social care practice. The Disability Discrimination Act 1995 (subsequently consolidated in the Equality Act 2010) codified a legal duty to remove barriers and make reasonable adjustments, which is consistent with the model's main proposition that disadvantage comes from environments that are not adapted, not impairment as such. From the social model has sprung the independent living philosophy which has impacted on direct payments, personal budgets and the wider personalisation agenda in adult social care, all of which are founded on the idea that disabled people should have choice and control over their own support rather than it being decided by professional assessment alone.</w:t>
      </w:r>
    </w:p>
    <w:p w14:paraId="1D1962ED" w14:textId="77777777" w:rsidR="00F916AF" w:rsidRDefault="00222FEF" w:rsidP="00166EEF">
      <w:pPr>
        <w:spacing w:line="360" w:lineRule="auto"/>
      </w:pPr>
      <w:r>
        <w:t>However, the application of the social model to health and social care practice has revealed considerable tensions. Firstly, health care is organisationally and professionally constructed around the medical model: diagnosis, treatment and clinical outcome measures are dominant, even where policy rhetoric supports social-model thinking. The social model’s aspirations continue to diverge from the operational logic of the NHS, as clinicians are trained to identify and treat impairment and health service commissioning is usually condition-led rather than barrier-led.</w:t>
      </w:r>
    </w:p>
    <w:p w14:paraId="71F4EA39" w14:textId="77777777" w:rsidR="00F916AF" w:rsidRDefault="00222FEF" w:rsidP="00166EEF">
      <w:pPr>
        <w:spacing w:line="360" w:lineRule="auto"/>
        <w:rPr>
          <w:lang w:val="en-GB"/>
        </w:rPr>
      </w:pPr>
      <w:r>
        <w:rPr>
          <w:lang w:val="en-GB"/>
        </w:rPr>
        <w:t>Second, social care assessment and eligibility processes, despite adopting the language of independence and choice, frequently continue to individualise need. Needs assessments under the Care Act 2014, for example, still require identifying what an individual "cannot do" in order to establish eligibility for support, a framing that inevitably centres on impairment-related deficit rather than disabling social barriers, even within a policy framework explicitly indebted to social-model thinking (Roulstone and Prideaux, 2012). This tension reflects the ongoing conceptual difficulty, identified by Shakespeare and Watson, of translating a rights-based, barrier-removal model into individualised eligibility criteria that inevitably require some assessment of bodily function.</w:t>
      </w:r>
    </w:p>
    <w:p w14:paraId="5BCA7B86" w14:textId="77777777" w:rsidR="00F916AF" w:rsidRDefault="00222FEF" w:rsidP="00166EEF">
      <w:pPr>
        <w:spacing w:line="360" w:lineRule="auto"/>
      </w:pPr>
      <w:r>
        <w:rPr>
          <w:lang w:val="en-GB"/>
        </w:rPr>
        <w:t>Third, austerity-driven constraints on social care funding have limited the practical realisation of independent living and barrier removal.</w:t>
      </w:r>
      <w:r>
        <w:t xml:space="preserve"> </w:t>
      </w:r>
      <w:r>
        <w:rPr>
          <w:lang w:val="en-GB"/>
        </w:rPr>
        <w:t>In practice, direct payments and personal budgets – designed to give disabled people control over the support they receive – have often come with reduced overall budgets, narrower eligibility thresholds and increased administrative burden, producing what disabled people’s organisations have described as ‘personalisation without resources’ – choice in name, without the funding to exercise it meaningfully.</w:t>
      </w:r>
    </w:p>
    <w:p w14:paraId="281BD6D1" w14:textId="77777777" w:rsidR="00166EEF" w:rsidRDefault="00222FEF" w:rsidP="00166EEF">
      <w:pPr>
        <w:spacing w:line="360" w:lineRule="auto"/>
        <w:rPr>
          <w:lang w:val="en-GB"/>
        </w:rPr>
      </w:pPr>
      <w:r>
        <w:rPr>
          <w:lang w:val="en-GB"/>
        </w:rPr>
        <w:lastRenderedPageBreak/>
        <w:t>Fourth, the failure to consider impairment effects identified by Morris and Crow has practical implications for health and social care: services designed solely around barrier removal may not sufficiently address the needs of pain management, fatigue, mental health or the changing nature of many conditions, particularly for people with long-term conditions who do not fit neatly into either a purely medical or purely social frame.</w:t>
      </w:r>
    </w:p>
    <w:p w14:paraId="6060BF00" w14:textId="3A34FB1F" w:rsidR="00F916AF" w:rsidRPr="00166EEF" w:rsidRDefault="00166EEF" w:rsidP="00166EEF">
      <w:pPr>
        <w:pStyle w:val="Heading1"/>
        <w:spacing w:line="360" w:lineRule="auto"/>
        <w:rPr>
          <w:lang w:val="en-GB"/>
        </w:rPr>
      </w:pPr>
      <w:bookmarkStart w:id="4" w:name="_Toc236089155"/>
      <w:r>
        <w:t>Recommendations and Conclusion</w:t>
      </w:r>
      <w:bookmarkEnd w:id="4"/>
    </w:p>
    <w:p w14:paraId="7A8C5184" w14:textId="77777777" w:rsidR="00F916AF" w:rsidRDefault="00222FEF" w:rsidP="00166EEF">
      <w:pPr>
        <w:spacing w:line="360" w:lineRule="auto"/>
      </w:pPr>
      <w:r>
        <w:t>The analysis yields several recommendations. Firstly, health service commissioning and clinical training need to be more intentional about embedding social-model thinking along with clinical practice, with the removal of environmental, communication and attitudinal barriers being seen as part of good health care rather than an equalities add-on. Secondly, social care assessment frameworks should be reoriented to give identification and removal of barriers equal status to functional need, so that eligibility processes do not inadvertently reproduce a deficit-focused, medical-model logic beneath social-model rhetoric. Third, personalisation policy needs to be properly resourced. Choice and control are no good without appropriate funding and policymakers should see resourcing as a prerequisite of, not an optional extra to, independent living. Fourth, services need to adopt a social-relational approach, acknowledging that pain, fatigue, fluctuating conditions and mental health are valid concerns in the social model, and not dismissing attention to bodily experience as a retreat to the medical model. Finally, policy and practice should consider intersectionality, understanding that disabled people’s experience of both impairment and disabling barriers are influenced by gender, race, class and other social divisions and offer help accordingly.</w:t>
      </w:r>
    </w:p>
    <w:p w14:paraId="74203215" w14:textId="77777777" w:rsidR="00F916AF" w:rsidRDefault="00222FEF" w:rsidP="00166EEF">
      <w:pPr>
        <w:spacing w:line="360" w:lineRule="auto"/>
      </w:pPr>
      <w:r>
        <w:t>The social model of disability has been transformational for person centred practice in that it has shifted the locus of responsibility for disadvantage from disabled individuals to disabling social structures and underpinned the key legal and policy protections in the UK. The shift from the original distinction made by UPIAS to more recent social-relational syntheses shows a productive engagement with critiques around impairment, embodiment and intersectionality. However, its use in health and social care is still limited by the dominance of medical-model organizational logic, deficit-based assessment processes, and lack of resourcing of independent living. Realising the potential of the social model for person-centred care requires ongoing conceptual work and sustained political and financial commitment to dismantle the barriers identified by the model.</w:t>
      </w:r>
    </w:p>
    <w:p w14:paraId="122E36A9" w14:textId="77777777" w:rsidR="00F916AF" w:rsidRDefault="00222FEF" w:rsidP="00166EEF">
      <w:pPr>
        <w:pStyle w:val="Heading1"/>
        <w:spacing w:line="360" w:lineRule="auto"/>
        <w:rPr>
          <w:lang w:val="en-GB"/>
        </w:rPr>
      </w:pPr>
      <w:bookmarkStart w:id="5" w:name="_Toc236089156"/>
      <w:r>
        <w:rPr>
          <w:lang w:val="en-GB"/>
        </w:rPr>
        <w:lastRenderedPageBreak/>
        <w:t>References</w:t>
      </w:r>
      <w:bookmarkEnd w:id="5"/>
    </w:p>
    <w:p w14:paraId="45A06045" w14:textId="77777777" w:rsidR="00432E0B" w:rsidRPr="003B7504" w:rsidRDefault="00432E0B" w:rsidP="00432E0B">
      <w:pPr>
        <w:spacing w:line="360" w:lineRule="auto"/>
        <w:rPr>
          <w:lang w:eastAsia="en-GB"/>
        </w:rPr>
      </w:pPr>
      <w:r w:rsidRPr="003B7504">
        <w:rPr>
          <w:lang w:eastAsia="en-GB"/>
        </w:rPr>
        <w:t xml:space="preserve">Crow, L. (1996) 'Including all of our lives: renewing the social model of disability', in Barnes, C. and Mercer, G. (eds) </w:t>
      </w:r>
      <w:r w:rsidRPr="003B7504">
        <w:rPr>
          <w:i/>
          <w:iCs/>
          <w:lang w:eastAsia="en-GB"/>
        </w:rPr>
        <w:t>Exploring the Divide</w:t>
      </w:r>
      <w:r w:rsidRPr="003B7504">
        <w:rPr>
          <w:lang w:eastAsia="en-GB"/>
        </w:rPr>
        <w:t>. Leeds: The Disability Press.</w:t>
      </w:r>
    </w:p>
    <w:p w14:paraId="349A0FB5" w14:textId="77777777" w:rsidR="00432E0B" w:rsidRPr="003B7504" w:rsidRDefault="00432E0B" w:rsidP="00432E0B">
      <w:pPr>
        <w:spacing w:line="360" w:lineRule="auto"/>
        <w:rPr>
          <w:lang w:eastAsia="en-GB"/>
        </w:rPr>
      </w:pPr>
      <w:r w:rsidRPr="003B7504">
        <w:rPr>
          <w:lang w:eastAsia="en-GB"/>
        </w:rPr>
        <w:t xml:space="preserve">Finkelstein, V. (1980) </w:t>
      </w:r>
      <w:r w:rsidRPr="003B7504">
        <w:rPr>
          <w:i/>
          <w:iCs/>
          <w:lang w:eastAsia="en-GB"/>
        </w:rPr>
        <w:t>Attitudes and Disabled People: Issues for Discussion</w:t>
      </w:r>
      <w:r w:rsidRPr="003B7504">
        <w:rPr>
          <w:lang w:eastAsia="en-GB"/>
        </w:rPr>
        <w:t>. New York: World Rehabilitation Fund.</w:t>
      </w:r>
    </w:p>
    <w:p w14:paraId="15596806" w14:textId="77777777" w:rsidR="00432E0B" w:rsidRPr="003B7504" w:rsidRDefault="00432E0B" w:rsidP="00432E0B">
      <w:pPr>
        <w:spacing w:line="360" w:lineRule="auto"/>
        <w:rPr>
          <w:lang w:eastAsia="en-GB"/>
        </w:rPr>
      </w:pPr>
      <w:r w:rsidRPr="003B7504">
        <w:rPr>
          <w:lang w:eastAsia="en-GB"/>
        </w:rPr>
        <w:t xml:space="preserve">Morris, J. (1991) </w:t>
      </w:r>
      <w:r w:rsidRPr="003B7504">
        <w:rPr>
          <w:i/>
          <w:iCs/>
          <w:lang w:eastAsia="en-GB"/>
        </w:rPr>
        <w:t>Pride Against Prejudice: Transforming Attitudes to Disability</w:t>
      </w:r>
      <w:r w:rsidRPr="003B7504">
        <w:rPr>
          <w:lang w:eastAsia="en-GB"/>
        </w:rPr>
        <w:t>. London: The Women's Press.</w:t>
      </w:r>
    </w:p>
    <w:p w14:paraId="21F87CC8" w14:textId="77777777" w:rsidR="00432E0B" w:rsidRPr="003B7504" w:rsidRDefault="00432E0B" w:rsidP="00432E0B">
      <w:pPr>
        <w:spacing w:line="360" w:lineRule="auto"/>
        <w:rPr>
          <w:lang w:eastAsia="en-GB"/>
        </w:rPr>
      </w:pPr>
      <w:r w:rsidRPr="003B7504">
        <w:rPr>
          <w:lang w:eastAsia="en-GB"/>
        </w:rPr>
        <w:t xml:space="preserve">Oliver, M. (1983) </w:t>
      </w:r>
      <w:r w:rsidRPr="003B7504">
        <w:rPr>
          <w:i/>
          <w:iCs/>
          <w:lang w:eastAsia="en-GB"/>
        </w:rPr>
        <w:t>Social Work with Disabled People</w:t>
      </w:r>
      <w:r w:rsidRPr="003B7504">
        <w:rPr>
          <w:lang w:eastAsia="en-GB"/>
        </w:rPr>
        <w:t>. Basingstoke: Macmillan.</w:t>
      </w:r>
    </w:p>
    <w:p w14:paraId="54D7CCE3" w14:textId="77777777" w:rsidR="00432E0B" w:rsidRPr="003B7504" w:rsidRDefault="00432E0B" w:rsidP="00432E0B">
      <w:pPr>
        <w:spacing w:line="360" w:lineRule="auto"/>
        <w:rPr>
          <w:lang w:eastAsia="en-GB"/>
        </w:rPr>
      </w:pPr>
      <w:r w:rsidRPr="003B7504">
        <w:rPr>
          <w:lang w:eastAsia="en-GB"/>
        </w:rPr>
        <w:t xml:space="preserve">Oliver, M. (1990) </w:t>
      </w:r>
      <w:r w:rsidRPr="003B7504">
        <w:rPr>
          <w:i/>
          <w:iCs/>
          <w:lang w:eastAsia="en-GB"/>
        </w:rPr>
        <w:t>The Politics of Disablement</w:t>
      </w:r>
      <w:r w:rsidRPr="003B7504">
        <w:rPr>
          <w:lang w:eastAsia="en-GB"/>
        </w:rPr>
        <w:t>. Basingstoke: Macmillan.</w:t>
      </w:r>
    </w:p>
    <w:p w14:paraId="75DBFE32" w14:textId="77777777" w:rsidR="00432E0B" w:rsidRPr="003B7504" w:rsidRDefault="00432E0B" w:rsidP="00432E0B">
      <w:pPr>
        <w:spacing w:line="360" w:lineRule="auto"/>
        <w:rPr>
          <w:lang w:eastAsia="en-GB"/>
        </w:rPr>
      </w:pPr>
      <w:r w:rsidRPr="003B7504">
        <w:rPr>
          <w:lang w:eastAsia="en-GB"/>
        </w:rPr>
        <w:t xml:space="preserve">Oliver, M. (2004) 'If I had a hammer: the social model in action', in Barnes, C. and Mercer, G. (eds) </w:t>
      </w:r>
      <w:r w:rsidRPr="003B7504">
        <w:rPr>
          <w:i/>
          <w:iCs/>
          <w:lang w:eastAsia="en-GB"/>
        </w:rPr>
        <w:t>Implementing the Social Model of Disability: Theory and Research</w:t>
      </w:r>
      <w:r w:rsidRPr="003B7504">
        <w:rPr>
          <w:lang w:eastAsia="en-GB"/>
        </w:rPr>
        <w:t>. Leeds: The Disability Press.</w:t>
      </w:r>
    </w:p>
    <w:p w14:paraId="13B3CD49" w14:textId="77777777" w:rsidR="00432E0B" w:rsidRPr="003B7504" w:rsidRDefault="00432E0B" w:rsidP="00432E0B">
      <w:pPr>
        <w:spacing w:line="360" w:lineRule="auto"/>
        <w:rPr>
          <w:lang w:eastAsia="en-GB"/>
        </w:rPr>
      </w:pPr>
      <w:r w:rsidRPr="003B7504">
        <w:rPr>
          <w:lang w:eastAsia="en-GB"/>
        </w:rPr>
        <w:t xml:space="preserve">Roulstone, A. and Prideaux, S. (2012) </w:t>
      </w:r>
      <w:r w:rsidRPr="003B7504">
        <w:rPr>
          <w:i/>
          <w:iCs/>
          <w:lang w:eastAsia="en-GB"/>
        </w:rPr>
        <w:t>Understanding Disability Policy</w:t>
      </w:r>
      <w:r w:rsidRPr="003B7504">
        <w:rPr>
          <w:lang w:eastAsia="en-GB"/>
        </w:rPr>
        <w:t>. Bristol: Policy Press.</w:t>
      </w:r>
    </w:p>
    <w:p w14:paraId="73D72C94" w14:textId="77777777" w:rsidR="00432E0B" w:rsidRPr="003B7504" w:rsidRDefault="00432E0B" w:rsidP="00432E0B">
      <w:pPr>
        <w:spacing w:line="360" w:lineRule="auto"/>
        <w:rPr>
          <w:lang w:eastAsia="en-GB"/>
        </w:rPr>
      </w:pPr>
      <w:r w:rsidRPr="003B7504">
        <w:rPr>
          <w:lang w:eastAsia="en-GB"/>
        </w:rPr>
        <w:t xml:space="preserve">Shakespeare, T. and Watson, N. (2001) 'The social model of disability: an outdated ideology?', </w:t>
      </w:r>
      <w:r w:rsidRPr="003B7504">
        <w:rPr>
          <w:i/>
          <w:iCs/>
          <w:lang w:eastAsia="en-GB"/>
        </w:rPr>
        <w:t>Research in Social Science and Disability</w:t>
      </w:r>
      <w:r w:rsidRPr="003B7504">
        <w:rPr>
          <w:lang w:eastAsia="en-GB"/>
        </w:rPr>
        <w:t>, 2, pp. 9–28.</w:t>
      </w:r>
    </w:p>
    <w:p w14:paraId="20D61969" w14:textId="77777777" w:rsidR="00432E0B" w:rsidRPr="003B7504" w:rsidRDefault="00432E0B" w:rsidP="00432E0B">
      <w:pPr>
        <w:spacing w:line="360" w:lineRule="auto"/>
        <w:rPr>
          <w:lang w:eastAsia="en-GB"/>
        </w:rPr>
      </w:pPr>
      <w:r w:rsidRPr="003B7504">
        <w:rPr>
          <w:lang w:eastAsia="en-GB"/>
        </w:rPr>
        <w:t xml:space="preserve">Thomas, C. (1999) </w:t>
      </w:r>
      <w:r w:rsidRPr="003B7504">
        <w:rPr>
          <w:i/>
          <w:iCs/>
          <w:lang w:eastAsia="en-GB"/>
        </w:rPr>
        <w:t>Female Forms: Experiencing and Understanding Disability</w:t>
      </w:r>
      <w:r w:rsidRPr="003B7504">
        <w:rPr>
          <w:lang w:eastAsia="en-GB"/>
        </w:rPr>
        <w:t>. Buckingham: Open University Press.</w:t>
      </w:r>
    </w:p>
    <w:p w14:paraId="50999D7F" w14:textId="77777777" w:rsidR="00432E0B" w:rsidRPr="003B7504" w:rsidRDefault="00432E0B" w:rsidP="00432E0B">
      <w:pPr>
        <w:spacing w:line="360" w:lineRule="auto"/>
        <w:rPr>
          <w:lang w:eastAsia="en-GB"/>
        </w:rPr>
      </w:pPr>
      <w:r w:rsidRPr="003B7504">
        <w:rPr>
          <w:lang w:eastAsia="en-GB"/>
        </w:rPr>
        <w:t xml:space="preserve">Union of the Physically Impaired Against Segregation (UPIAS) (1976) </w:t>
      </w:r>
      <w:r w:rsidRPr="003B7504">
        <w:rPr>
          <w:i/>
          <w:iCs/>
          <w:lang w:eastAsia="en-GB"/>
        </w:rPr>
        <w:t>Fundamental Principles of Disability</w:t>
      </w:r>
      <w:r w:rsidRPr="003B7504">
        <w:rPr>
          <w:lang w:eastAsia="en-GB"/>
        </w:rPr>
        <w:t>. London: UPIAS.</w:t>
      </w:r>
    </w:p>
    <w:p w14:paraId="2158329D" w14:textId="303BEE80" w:rsidR="00F916AF" w:rsidRDefault="00432E0B" w:rsidP="00432E0B">
      <w:pPr>
        <w:spacing w:line="360" w:lineRule="auto"/>
      </w:pPr>
      <w:r w:rsidRPr="003B7504">
        <w:rPr>
          <w:lang w:eastAsia="en-GB"/>
        </w:rPr>
        <w:t xml:space="preserve">Vernon, A. (1999) 'The dialectics of multiple identities and the disabled people's movement', </w:t>
      </w:r>
      <w:r w:rsidRPr="003B7504">
        <w:rPr>
          <w:i/>
          <w:iCs/>
          <w:lang w:eastAsia="en-GB"/>
        </w:rPr>
        <w:t>Disability &amp; Society</w:t>
      </w:r>
      <w:r w:rsidRPr="003B7504">
        <w:rPr>
          <w:lang w:eastAsia="en-GB"/>
        </w:rPr>
        <w:t>, 14(3), pp. 385–398.</w:t>
      </w:r>
    </w:p>
    <w:p w14:paraId="4F9A7A8A" w14:textId="77777777" w:rsidR="00F916AF" w:rsidRDefault="00F916AF" w:rsidP="00166EEF">
      <w:pPr>
        <w:spacing w:line="360" w:lineRule="auto"/>
      </w:pPr>
      <w:bookmarkStart w:id="6" w:name="_GoBack"/>
      <w:bookmarkEnd w:id="6"/>
    </w:p>
    <w:sectPr w:rsidR="00F916A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E6FB65" w14:textId="77777777" w:rsidR="008A4674" w:rsidRDefault="008A4674">
      <w:r>
        <w:separator/>
      </w:r>
    </w:p>
  </w:endnote>
  <w:endnote w:type="continuationSeparator" w:id="0">
    <w:p w14:paraId="035300A4" w14:textId="77777777" w:rsidR="008A4674" w:rsidRDefault="008A4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F3BA81" w14:textId="77777777" w:rsidR="008A4674" w:rsidRDefault="008A4674">
      <w:r>
        <w:rPr>
          <w:color w:val="000000"/>
        </w:rPr>
        <w:separator/>
      </w:r>
    </w:p>
  </w:footnote>
  <w:footnote w:type="continuationSeparator" w:id="0">
    <w:p w14:paraId="079B7643" w14:textId="77777777" w:rsidR="008A4674" w:rsidRDefault="008A467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16AF"/>
    <w:rsid w:val="00166EEF"/>
    <w:rsid w:val="001F5E64"/>
    <w:rsid w:val="00222FEF"/>
    <w:rsid w:val="003932E3"/>
    <w:rsid w:val="00432E0B"/>
    <w:rsid w:val="00436B47"/>
    <w:rsid w:val="0053313D"/>
    <w:rsid w:val="008A4674"/>
    <w:rsid w:val="00F916AF"/>
    <w:rsid w:val="00FA7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2BF1"/>
  <w15:docId w15:val="{9949DA0D-0B0B-4438-9489-03B9DADC4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kern w:val="3"/>
        <w:sz w:val="24"/>
        <w:szCs w:val="24"/>
        <w:lang w:val="en-US"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6B47"/>
    <w:pPr>
      <w:suppressAutoHyphens/>
      <w:spacing w:after="0" w:line="240" w:lineRule="auto"/>
      <w:jc w:val="both"/>
    </w:pPr>
    <w:rPr>
      <w:rFonts w:ascii="Arial" w:hAnsi="Arial"/>
      <w:sz w:val="22"/>
    </w:rPr>
  </w:style>
  <w:style w:type="paragraph" w:styleId="Heading1">
    <w:name w:val="heading 1"/>
    <w:basedOn w:val="Normal"/>
    <w:next w:val="Normal"/>
    <w:uiPriority w:val="9"/>
    <w:qFormat/>
    <w:rsid w:val="00436B47"/>
    <w:pPr>
      <w:keepNext/>
      <w:keepLines/>
      <w:spacing w:before="120" w:after="120"/>
      <w:outlineLvl w:val="0"/>
    </w:pPr>
    <w:rPr>
      <w:rFonts w:eastAsia="Times New Roman"/>
      <w:b/>
      <w:sz w:val="32"/>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outlineLvl w:val="5"/>
    </w:pPr>
    <w:rPr>
      <w:rFonts w:eastAsia="Times New Roman"/>
      <w:i/>
      <w:iCs/>
      <w:color w:val="595959"/>
    </w:rPr>
  </w:style>
  <w:style w:type="paragraph" w:styleId="Heading7">
    <w:name w:val="heading 7"/>
    <w:basedOn w:val="Normal"/>
    <w:next w:val="Normal"/>
    <w:pPr>
      <w:keepNext/>
      <w:keepLines/>
      <w:spacing w:before="40"/>
      <w:outlineLvl w:val="6"/>
    </w:pPr>
    <w:rPr>
      <w:rFonts w:eastAsia="Times New Roman"/>
      <w:color w:val="595959"/>
    </w:rPr>
  </w:style>
  <w:style w:type="paragraph" w:styleId="Heading8">
    <w:name w:val="heading 8"/>
    <w:basedOn w:val="Normal"/>
    <w:next w:val="Normal"/>
    <w:pPr>
      <w:keepNext/>
      <w:keepLines/>
      <w:outlineLvl w:val="7"/>
    </w:pPr>
    <w:rPr>
      <w:rFonts w:eastAsia="Times New Roman"/>
      <w:i/>
      <w:iCs/>
      <w:color w:val="272727"/>
    </w:rPr>
  </w:style>
  <w:style w:type="paragraph" w:styleId="Heading9">
    <w:name w:val="heading 9"/>
    <w:basedOn w:val="Normal"/>
    <w:next w:val="Normal"/>
    <w:pPr>
      <w:keepNext/>
      <w:keepLines/>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table" w:styleId="TableGrid">
    <w:name w:val="Table Grid"/>
    <w:basedOn w:val="TableNormal"/>
    <w:uiPriority w:val="39"/>
    <w:rsid w:val="00436B47"/>
    <w:pPr>
      <w:autoSpaceDN/>
      <w:spacing w:after="0" w:line="240" w:lineRule="auto"/>
      <w:textAlignment w:val="auto"/>
    </w:pPr>
    <w:rPr>
      <w:rFonts w:asciiTheme="minorHAnsi" w:eastAsiaTheme="minorHAnsi" w:hAnsiTheme="minorHAnsi" w:cstheme="minorBid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6B47"/>
    <w:pPr>
      <w:suppressAutoHyphens w:val="0"/>
      <w:autoSpaceDN/>
      <w:spacing w:before="240" w:after="0" w:line="259" w:lineRule="auto"/>
      <w:textAlignment w:val="auto"/>
      <w:outlineLvl w:val="9"/>
    </w:pPr>
    <w:rPr>
      <w:rFonts w:asciiTheme="majorHAnsi" w:eastAsiaTheme="majorEastAsia" w:hAnsiTheme="majorHAnsi" w:cstheme="majorBidi"/>
      <w:color w:val="2F5496" w:themeColor="accent1" w:themeShade="BF"/>
      <w:kern w:val="0"/>
      <w:szCs w:val="32"/>
    </w:rPr>
  </w:style>
  <w:style w:type="paragraph" w:styleId="TOC1">
    <w:name w:val="toc 1"/>
    <w:basedOn w:val="Normal"/>
    <w:next w:val="Normal"/>
    <w:autoRedefine/>
    <w:uiPriority w:val="39"/>
    <w:unhideWhenUsed/>
    <w:rsid w:val="00166EEF"/>
    <w:pPr>
      <w:spacing w:after="100"/>
    </w:pPr>
  </w:style>
  <w:style w:type="character" w:styleId="Hyperlink">
    <w:name w:val="Hyperlink"/>
    <w:basedOn w:val="DefaultParagraphFont"/>
    <w:uiPriority w:val="99"/>
    <w:unhideWhenUsed/>
    <w:rsid w:val="00166E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85217-356F-4AAB-BFBB-7CB76D840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Faizi Khan</dc:creator>
  <dc:description/>
  <cp:lastModifiedBy>Muhid Shahid Khan</cp:lastModifiedBy>
  <cp:revision>4</cp:revision>
  <dcterms:created xsi:type="dcterms:W3CDTF">2026-07-27T12:54:00Z</dcterms:created>
  <dcterms:modified xsi:type="dcterms:W3CDTF">2026-07-27T19:14:00Z</dcterms:modified>
</cp:coreProperties>
</file>