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
        <w:spacing w:line="360" w:lineRule="auto"/>
        <w:jc w:val="both"/>
        <w:rPr>
          <w:b/>
          <w:i w:val="0"/>
          <w:iCs w:val="0"/>
        </w:rPr>
      </w:pPr>
    </w:p>
    <w:p>
      <w:pPr>
        <w:pStyle w:val="8"/>
        <w:spacing w:line="360" w:lineRule="auto"/>
        <w:jc w:val="both"/>
        <w:rPr>
          <w:b/>
          <w:i w:val="0"/>
          <w:iCs w:val="0"/>
        </w:rPr>
      </w:pPr>
    </w:p>
    <w:p>
      <w:pPr>
        <w:jc w:val="center"/>
        <w:rPr>
          <w:rFonts w:cstheme="minorHAnsi"/>
          <w:i w:val="0"/>
          <w:iCs w:val="0"/>
        </w:rPr>
      </w:pPr>
      <w:bookmarkStart w:id="15" w:name="_GoBack"/>
      <w:r>
        <w:rPr>
          <w:rFonts w:cstheme="minorHAnsi"/>
          <w:i w:val="0"/>
          <w:iCs w:val="0"/>
          <w:lang w:eastAsia="en-IN"/>
        </w:rPr>
        <w:drawing>
          <wp:inline distT="0" distB="0" distL="0" distR="0">
            <wp:extent cx="3909060" cy="1322070"/>
            <wp:effectExtent l="0" t="0" r="2540" b="11430"/>
            <wp:docPr id="5" name="Picture 5"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raxisauril.org.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bookmarkEnd w:id="15"/>
    <w:p>
      <w:pPr>
        <w:jc w:val="center"/>
        <w:rPr>
          <w:rFonts w:cstheme="minorHAnsi"/>
          <w:i w:val="0"/>
          <w:iCs w:val="0"/>
        </w:rPr>
      </w:pPr>
    </w:p>
    <w:p>
      <w:pPr>
        <w:jc w:val="center"/>
        <w:rPr>
          <w:rFonts w:cstheme="minorHAnsi"/>
          <w:i w:val="0"/>
          <w:iCs w:val="0"/>
        </w:rPr>
      </w:pPr>
    </w:p>
    <w:p>
      <w:pPr>
        <w:jc w:val="center"/>
        <w:rPr>
          <w:rFonts w:hint="default" w:cstheme="minorHAnsi"/>
          <w:i w:val="0"/>
          <w:iCs w:val="0"/>
          <w:lang w:val="en-US"/>
        </w:rPr>
      </w:pPr>
      <w:r>
        <w:rPr>
          <w:rFonts w:cstheme="minorHAnsi"/>
          <w:i w:val="0"/>
          <w:iCs w:val="0"/>
        </w:rPr>
        <w:t xml:space="preserve">NAME: </w:t>
      </w:r>
      <w:r>
        <w:rPr>
          <w:rFonts w:hint="default" w:cstheme="minorHAnsi"/>
          <w:i w:val="0"/>
          <w:iCs w:val="0"/>
          <w:lang w:val="en-US"/>
        </w:rPr>
        <w:t>NIHITH KISHORE MEDURI</w:t>
      </w:r>
    </w:p>
    <w:p>
      <w:pPr>
        <w:jc w:val="center"/>
        <w:rPr>
          <w:rFonts w:cstheme="minorHAnsi"/>
          <w:i w:val="0"/>
          <w:iCs w:val="0"/>
        </w:rPr>
      </w:pPr>
      <w:r>
        <w:rPr>
          <w:rFonts w:cstheme="minorHAnsi"/>
          <w:i w:val="0"/>
          <w:iCs w:val="0"/>
        </w:rPr>
        <w:t>STUDENT NUMBER:</w:t>
      </w:r>
      <w:r>
        <w:rPr>
          <w:rFonts w:hint="default" w:cstheme="minorHAnsi"/>
          <w:i w:val="0"/>
          <w:iCs w:val="0"/>
          <w:lang w:val="en-US"/>
        </w:rPr>
        <w:t xml:space="preserve"> 2212393</w:t>
      </w:r>
      <w:r>
        <w:rPr>
          <w:rFonts w:cstheme="minorHAnsi"/>
          <w:i w:val="0"/>
          <w:iCs w:val="0"/>
        </w:rPr>
        <w:t xml:space="preserve"> </w:t>
      </w:r>
    </w:p>
    <w:p>
      <w:pPr>
        <w:jc w:val="center"/>
        <w:rPr>
          <w:rFonts w:cstheme="minorHAnsi"/>
          <w:i w:val="0"/>
          <w:iCs w:val="0"/>
        </w:rPr>
      </w:pPr>
    </w:p>
    <w:p>
      <w:pPr>
        <w:jc w:val="center"/>
        <w:rPr>
          <w:rFonts w:cstheme="minorHAnsi"/>
          <w:i w:val="0"/>
          <w:iCs w:val="0"/>
        </w:rPr>
      </w:pPr>
      <w:r>
        <w:rPr>
          <w:rFonts w:cstheme="minorHAnsi"/>
          <w:i w:val="0"/>
          <w:iCs w:val="0"/>
        </w:rPr>
        <w:t>MODULE: LCBM7001</w:t>
      </w:r>
    </w:p>
    <w:p>
      <w:pPr>
        <w:jc w:val="center"/>
        <w:rPr>
          <w:rFonts w:cstheme="minorHAnsi"/>
          <w:i w:val="0"/>
          <w:iCs w:val="0"/>
        </w:rPr>
      </w:pPr>
    </w:p>
    <w:p>
      <w:pPr>
        <w:jc w:val="center"/>
        <w:rPr>
          <w:rFonts w:cstheme="minorHAnsi"/>
          <w:i w:val="0"/>
          <w:iCs w:val="0"/>
        </w:rPr>
      </w:pPr>
      <w:r>
        <w:rPr>
          <w:rFonts w:cstheme="minorHAnsi"/>
          <w:i w:val="0"/>
          <w:iCs w:val="0"/>
        </w:rPr>
        <w:t>TITLE: MARKETING MANAGEMENT ASSESSMENT 1</w:t>
      </w:r>
    </w:p>
    <w:p>
      <w:pPr>
        <w:jc w:val="center"/>
        <w:rPr>
          <w:rFonts w:cstheme="minorHAnsi"/>
          <w:i w:val="0"/>
          <w:iCs w:val="0"/>
        </w:rPr>
      </w:pPr>
      <w:r>
        <w:rPr>
          <w:rFonts w:cstheme="minorHAnsi"/>
          <w:i w:val="0"/>
          <w:iCs w:val="0"/>
        </w:rPr>
        <w:t xml:space="preserve"> </w:t>
      </w:r>
    </w:p>
    <w:p>
      <w:pPr>
        <w:jc w:val="center"/>
        <w:rPr>
          <w:rFonts w:cstheme="minorHAnsi"/>
          <w:i w:val="0"/>
          <w:iCs w:val="0"/>
        </w:rPr>
      </w:pPr>
      <w:r>
        <w:rPr>
          <w:rFonts w:cstheme="minorHAnsi"/>
          <w:i w:val="0"/>
          <w:iCs w:val="0"/>
        </w:rPr>
        <w:t>LECTURER: TUSHARA BALENDRAN</w:t>
      </w:r>
    </w:p>
    <w:p>
      <w:pPr>
        <w:jc w:val="center"/>
        <w:rPr>
          <w:rFonts w:cstheme="minorHAnsi"/>
          <w:i w:val="0"/>
          <w:iCs w:val="0"/>
        </w:rPr>
      </w:pPr>
    </w:p>
    <w:p>
      <w:pPr>
        <w:jc w:val="center"/>
        <w:rPr>
          <w:rFonts w:cstheme="minorHAnsi"/>
          <w:i w:val="0"/>
          <w:iCs w:val="0"/>
        </w:rPr>
      </w:pPr>
      <w:r>
        <w:rPr>
          <w:rFonts w:cstheme="minorHAnsi"/>
          <w:i w:val="0"/>
          <w:iCs w:val="0"/>
        </w:rPr>
        <w:t>WORD COUNT: 3500 WORDS OR EQUIVALENT</w:t>
      </w:r>
    </w:p>
    <w:p>
      <w:pPr>
        <w:jc w:val="center"/>
        <w:rPr>
          <w:rFonts w:cstheme="minorHAnsi"/>
          <w:i w:val="0"/>
          <w:iCs w:val="0"/>
        </w:rPr>
      </w:pPr>
    </w:p>
    <w:p>
      <w:pPr>
        <w:jc w:val="center"/>
        <w:rPr>
          <w:rFonts w:cstheme="minorHAnsi"/>
          <w:i w:val="0"/>
          <w:iCs w:val="0"/>
        </w:rPr>
      </w:pPr>
      <w:r>
        <w:rPr>
          <w:rFonts w:cstheme="minorHAnsi"/>
          <w:i w:val="0"/>
          <w:iCs w:val="0"/>
        </w:rPr>
        <w:t>SUBMISSION DATE: 09/01/2023</w:t>
      </w:r>
    </w:p>
    <w:p>
      <w:pPr>
        <w:pStyle w:val="8"/>
        <w:spacing w:line="360" w:lineRule="auto"/>
        <w:jc w:val="both"/>
        <w:rPr>
          <w:b/>
          <w:i w:val="0"/>
          <w:iCs w:val="0"/>
        </w:rPr>
      </w:pPr>
    </w:p>
    <w:p>
      <w:pPr>
        <w:pStyle w:val="8"/>
        <w:spacing w:line="360" w:lineRule="auto"/>
        <w:jc w:val="both"/>
        <w:rPr>
          <w:b/>
          <w:i w:val="0"/>
          <w:iCs w:val="0"/>
        </w:rPr>
      </w:pPr>
    </w:p>
    <w:p>
      <w:pPr>
        <w:pStyle w:val="8"/>
        <w:spacing w:line="360" w:lineRule="auto"/>
        <w:jc w:val="both"/>
        <w:rPr>
          <w:b/>
          <w:i w:val="0"/>
          <w:iCs w:val="0"/>
        </w:rPr>
      </w:pPr>
    </w:p>
    <w:p>
      <w:pPr>
        <w:pStyle w:val="8"/>
        <w:spacing w:line="360" w:lineRule="auto"/>
        <w:jc w:val="both"/>
        <w:rPr>
          <w:b/>
          <w:i w:val="0"/>
          <w:iCs w:val="0"/>
        </w:rPr>
      </w:pPr>
    </w:p>
    <w:p>
      <w:pPr>
        <w:pStyle w:val="8"/>
        <w:spacing w:line="360" w:lineRule="auto"/>
        <w:jc w:val="both"/>
        <w:rPr>
          <w:b/>
          <w:i w:val="0"/>
          <w:iCs w:val="0"/>
        </w:rPr>
      </w:pPr>
    </w:p>
    <w:p>
      <w:pPr>
        <w:pStyle w:val="8"/>
        <w:spacing w:line="360" w:lineRule="auto"/>
        <w:jc w:val="both"/>
        <w:rPr>
          <w:b/>
          <w:i w:val="0"/>
          <w:iCs w:val="0"/>
        </w:rPr>
      </w:pPr>
    </w:p>
    <w:p>
      <w:pPr>
        <w:pStyle w:val="8"/>
        <w:spacing w:line="360" w:lineRule="auto"/>
        <w:jc w:val="center"/>
        <w:rPr>
          <w:b/>
          <w:i w:val="0"/>
          <w:iCs w:val="0"/>
        </w:rPr>
      </w:pPr>
    </w:p>
    <w:p>
      <w:pPr>
        <w:pStyle w:val="8"/>
        <w:spacing w:line="360" w:lineRule="auto"/>
        <w:jc w:val="both"/>
        <w:rPr>
          <w:b/>
          <w:i w:val="0"/>
          <w:iCs w:val="0"/>
          <w:sz w:val="36"/>
          <w:szCs w:val="36"/>
        </w:rPr>
      </w:pPr>
    </w:p>
    <w:p>
      <w:pPr>
        <w:pStyle w:val="8"/>
        <w:spacing w:line="360" w:lineRule="auto"/>
        <w:jc w:val="both"/>
        <w:rPr>
          <w:i w:val="0"/>
          <w:iCs w:val="0"/>
        </w:rPr>
      </w:pPr>
    </w:p>
    <w:p>
      <w:pPr>
        <w:spacing w:line="360" w:lineRule="auto"/>
        <w:jc w:val="both"/>
        <w:rPr>
          <w:rFonts w:ascii="Times New Roman" w:hAnsi="Times New Roman" w:eastAsia="Times New Roman" w:cs="Times New Roman"/>
          <w:i w:val="0"/>
          <w:iCs w:val="0"/>
          <w:sz w:val="24"/>
          <w:szCs w:val="24"/>
        </w:rPr>
      </w:pPr>
      <w:r>
        <w:rPr>
          <w:rFonts w:ascii="Times New Roman" w:hAnsi="Times New Roman" w:cs="Times New Roman"/>
          <w:i w:val="0"/>
          <w:iCs w:val="0"/>
          <w:sz w:val="24"/>
          <w:szCs w:val="24"/>
        </w:rPr>
        <w:br w:type="page"/>
      </w:r>
    </w:p>
    <w:p>
      <w:pPr>
        <w:pStyle w:val="8"/>
        <w:spacing w:line="360" w:lineRule="auto"/>
        <w:jc w:val="center"/>
        <w:rPr>
          <w:b/>
          <w:i w:val="0"/>
          <w:iCs w:val="0"/>
        </w:rPr>
      </w:pPr>
      <w:r>
        <w:rPr>
          <w:b/>
          <w:i w:val="0"/>
          <w:iCs w:val="0"/>
        </w:rPr>
        <w:t>Executive Summary</w:t>
      </w:r>
    </w:p>
    <w:p>
      <w:pPr>
        <w:pStyle w:val="8"/>
        <w:spacing w:line="360" w:lineRule="auto"/>
        <w:jc w:val="both"/>
        <w:rPr>
          <w:b/>
          <w:i w:val="0"/>
          <w:iCs w:val="0"/>
        </w:rPr>
      </w:pPr>
      <w:r>
        <w:rPr>
          <w:i w:val="0"/>
          <w:iCs w:val="0"/>
        </w:rPr>
        <w:t xml:space="preserve">Tesco is regarded as one of the key multinational retailers in the UK and all across the world. The reputation of this company is high and it used to have a large customer base within the company. This report is focused on three fundamental pillars of any business such as marketing, promotion and communication with special reference to Tesco. First, a brief overview of the company has been given considering the annual revenue, the number of employees, origin and foundation year. After that, the concept of communication and promotion for any business has been analyzed critically with the help of multiple business models. After that, digital promotion, and integrated marketing communication approaches have been highlighted and analyzed in this context. The total engagement model and the concept of brand equity have also been analyzed here. By developing a customer journey mapping, the overall experience of a customer at Tesco has been evaluated. It can help bring effective changes to Tesco. Later on, the key findings of the report have been formulated as the conclusion. </w:t>
      </w:r>
    </w:p>
    <w:p>
      <w:pPr>
        <w:pStyle w:val="8"/>
        <w:spacing w:line="360" w:lineRule="auto"/>
        <w:jc w:val="both"/>
        <w:rPr>
          <w:b/>
          <w:i w:val="0"/>
          <w:iCs w:val="0"/>
        </w:rPr>
      </w:pPr>
    </w:p>
    <w:p>
      <w:pPr>
        <w:spacing w:line="360" w:lineRule="auto"/>
        <w:rPr>
          <w:rFonts w:ascii="Times New Roman" w:hAnsi="Times New Roman" w:eastAsia="Times New Roman" w:cs="Times New Roman"/>
          <w:b/>
          <w:i w:val="0"/>
          <w:iCs w:val="0"/>
          <w:sz w:val="24"/>
          <w:szCs w:val="24"/>
        </w:rPr>
      </w:pPr>
      <w:r>
        <w:rPr>
          <w:rFonts w:ascii="Times New Roman" w:hAnsi="Times New Roman" w:cs="Times New Roman"/>
          <w:b/>
          <w:i w:val="0"/>
          <w:iCs w:val="0"/>
          <w:sz w:val="24"/>
          <w:szCs w:val="24"/>
        </w:rPr>
        <w:br w:type="page"/>
      </w:r>
    </w:p>
    <w:sdt>
      <w:sdtPr>
        <w:rPr>
          <w:rFonts w:ascii="Times New Roman" w:hAnsi="Times New Roman" w:cs="Times New Roman" w:eastAsiaTheme="minorEastAsia"/>
          <w:b w:val="0"/>
          <w:bCs w:val="0"/>
          <w:i w:val="0"/>
          <w:iCs w:val="0"/>
          <w:color w:val="auto"/>
          <w:sz w:val="24"/>
          <w:szCs w:val="24"/>
        </w:rPr>
        <w:id w:val="28249594"/>
        <w:docPartObj>
          <w:docPartGallery w:val="Table of Contents"/>
          <w:docPartUnique/>
        </w:docPartObj>
      </w:sdtPr>
      <w:sdtEndPr>
        <w:rPr>
          <w:rFonts w:ascii="Times New Roman" w:hAnsi="Times New Roman" w:cs="Times New Roman" w:eastAsiaTheme="minorEastAsia"/>
          <w:b w:val="0"/>
          <w:bCs w:val="0"/>
          <w:i w:val="0"/>
          <w:iCs w:val="0"/>
          <w:color w:val="auto"/>
          <w:sz w:val="24"/>
          <w:szCs w:val="24"/>
        </w:rPr>
      </w:sdtEndPr>
      <w:sdtContent>
        <w:p>
          <w:pPr>
            <w:pStyle w:val="14"/>
            <w:spacing w:line="360" w:lineRule="auto"/>
            <w:jc w:val="center"/>
            <w:rPr>
              <w:rFonts w:ascii="Times New Roman" w:hAnsi="Times New Roman" w:cs="Times New Roman"/>
              <w:i w:val="0"/>
              <w:iCs w:val="0"/>
              <w:color w:val="auto"/>
              <w:sz w:val="24"/>
              <w:szCs w:val="24"/>
            </w:rPr>
          </w:pPr>
          <w:r>
            <w:rPr>
              <w:rFonts w:ascii="Times New Roman" w:hAnsi="Times New Roman" w:cs="Times New Roman"/>
              <w:i w:val="0"/>
              <w:iCs w:val="0"/>
              <w:color w:val="auto"/>
              <w:sz w:val="24"/>
              <w:szCs w:val="24"/>
            </w:rPr>
            <w:t>Table of Contents</w:t>
          </w:r>
        </w:p>
        <w:p>
          <w:pPr>
            <w:pStyle w:val="9"/>
            <w:tabs>
              <w:tab w:val="right" w:leader="dot" w:pos="9350"/>
            </w:tabs>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TOC \o "1-3" \h \z \u </w:instrText>
          </w:r>
          <w:r>
            <w:rPr>
              <w:rFonts w:ascii="Times New Roman" w:hAnsi="Times New Roman" w:cs="Times New Roman"/>
              <w:i w:val="0"/>
              <w:iCs w:val="0"/>
              <w:sz w:val="24"/>
              <w:szCs w:val="24"/>
            </w:rPr>
            <w:fldChar w:fldCharType="separate"/>
          </w:r>
          <w:r>
            <w:rPr>
              <w:i w:val="0"/>
              <w:iCs w:val="0"/>
            </w:rPr>
            <w:fldChar w:fldCharType="begin"/>
          </w:r>
          <w:r>
            <w:rPr>
              <w:i w:val="0"/>
              <w:iCs w:val="0"/>
            </w:rPr>
            <w:instrText xml:space="preserve"> HYPERLINK \l "_Toc122104229" </w:instrText>
          </w:r>
          <w:r>
            <w:rPr>
              <w:i w:val="0"/>
              <w:iCs w:val="0"/>
            </w:rPr>
            <w:fldChar w:fldCharType="separate"/>
          </w:r>
          <w:r>
            <w:rPr>
              <w:rStyle w:val="7"/>
              <w:rFonts w:ascii="Times New Roman" w:hAnsi="Times New Roman" w:cs="Times New Roman"/>
              <w:i w:val="0"/>
              <w:iCs w:val="0"/>
              <w:color w:val="auto"/>
              <w:sz w:val="24"/>
              <w:szCs w:val="24"/>
            </w:rPr>
            <w:t>Introduction</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_Toc122104229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4</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"_Toc122104230" </w:instrText>
          </w:r>
          <w:r>
            <w:rPr>
              <w:i w:val="0"/>
              <w:iCs w:val="0"/>
            </w:rPr>
            <w:fldChar w:fldCharType="separate"/>
          </w:r>
          <w:r>
            <w:rPr>
              <w:rStyle w:val="7"/>
              <w:rFonts w:ascii="Times New Roman" w:hAnsi="Times New Roman" w:cs="Times New Roman"/>
              <w:i w:val="0"/>
              <w:iCs w:val="0"/>
              <w:color w:val="auto"/>
              <w:sz w:val="24"/>
              <w:szCs w:val="24"/>
            </w:rPr>
            <w:t>Background of the company</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_Toc122104230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4</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"_Toc122104231" </w:instrText>
          </w:r>
          <w:r>
            <w:rPr>
              <w:i w:val="0"/>
              <w:iCs w:val="0"/>
            </w:rPr>
            <w:fldChar w:fldCharType="separate"/>
          </w:r>
          <w:r>
            <w:rPr>
              <w:rStyle w:val="7"/>
              <w:rFonts w:ascii="Times New Roman" w:hAnsi="Times New Roman" w:cs="Times New Roman"/>
              <w:i w:val="0"/>
              <w:iCs w:val="0"/>
              <w:color w:val="auto"/>
              <w:sz w:val="24"/>
              <w:szCs w:val="24"/>
            </w:rPr>
            <w:t>Definition of communication</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_Toc122104231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6</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"_Toc122104232" </w:instrText>
          </w:r>
          <w:r>
            <w:rPr>
              <w:i w:val="0"/>
              <w:iCs w:val="0"/>
            </w:rPr>
            <w:fldChar w:fldCharType="separate"/>
          </w:r>
          <w:r>
            <w:rPr>
              <w:rStyle w:val="7"/>
              <w:rFonts w:ascii="Times New Roman" w:hAnsi="Times New Roman" w:cs="Times New Roman"/>
              <w:i w:val="0"/>
              <w:iCs w:val="0"/>
              <w:color w:val="auto"/>
              <w:sz w:val="24"/>
              <w:szCs w:val="24"/>
            </w:rPr>
            <w:t>Communication model</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_Toc122104232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7</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"_Toc122104233" </w:instrText>
          </w:r>
          <w:r>
            <w:rPr>
              <w:i w:val="0"/>
              <w:iCs w:val="0"/>
            </w:rPr>
            <w:fldChar w:fldCharType="separate"/>
          </w:r>
          <w:r>
            <w:rPr>
              <w:rStyle w:val="7"/>
              <w:rFonts w:ascii="Times New Roman" w:hAnsi="Times New Roman" w:cs="Times New Roman"/>
              <w:i w:val="0"/>
              <w:iCs w:val="0"/>
              <w:color w:val="auto"/>
              <w:sz w:val="24"/>
              <w:szCs w:val="24"/>
            </w:rPr>
            <w:t>Integrated marketing communication</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_Toc122104233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8</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"_Toc122104234" </w:instrText>
          </w:r>
          <w:r>
            <w:rPr>
              <w:i w:val="0"/>
              <w:iCs w:val="0"/>
            </w:rPr>
            <w:fldChar w:fldCharType="separate"/>
          </w:r>
          <w:r>
            <w:rPr>
              <w:rStyle w:val="7"/>
              <w:rFonts w:ascii="Times New Roman" w:hAnsi="Times New Roman" w:cs="Times New Roman"/>
              <w:i w:val="0"/>
              <w:iCs w:val="0"/>
              <w:color w:val="auto"/>
              <w:sz w:val="24"/>
              <w:szCs w:val="24"/>
            </w:rPr>
            <w:t>Suggested new promotional strategy</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_Toc122104234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10</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"_Toc122104235" </w:instrText>
          </w:r>
          <w:r>
            <w:rPr>
              <w:i w:val="0"/>
              <w:iCs w:val="0"/>
            </w:rPr>
            <w:fldChar w:fldCharType="separate"/>
          </w:r>
          <w:r>
            <w:rPr>
              <w:rStyle w:val="7"/>
              <w:rFonts w:ascii="Times New Roman" w:hAnsi="Times New Roman" w:cs="Times New Roman"/>
              <w:i w:val="0"/>
              <w:iCs w:val="0"/>
              <w:color w:val="auto"/>
              <w:sz w:val="24"/>
              <w:szCs w:val="24"/>
            </w:rPr>
            <w:t>Branding and equity</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_Toc122104235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12</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"_Toc122104236" </w:instrText>
          </w:r>
          <w:r>
            <w:rPr>
              <w:i w:val="0"/>
              <w:iCs w:val="0"/>
            </w:rPr>
            <w:fldChar w:fldCharType="separate"/>
          </w:r>
          <w:r>
            <w:rPr>
              <w:rStyle w:val="7"/>
              <w:rFonts w:ascii="Times New Roman" w:hAnsi="Times New Roman" w:cs="Times New Roman"/>
              <w:i w:val="0"/>
              <w:iCs w:val="0"/>
              <w:color w:val="auto"/>
              <w:sz w:val="24"/>
              <w:szCs w:val="24"/>
            </w:rPr>
            <w:t>Brand equity model</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_Toc122104236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13</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"_Toc122104237" </w:instrText>
          </w:r>
          <w:r>
            <w:rPr>
              <w:i w:val="0"/>
              <w:iCs w:val="0"/>
            </w:rPr>
            <w:fldChar w:fldCharType="separate"/>
          </w:r>
          <w:r>
            <w:rPr>
              <w:rStyle w:val="7"/>
              <w:rFonts w:ascii="Times New Roman" w:hAnsi="Times New Roman" w:cs="Times New Roman"/>
              <w:i w:val="0"/>
              <w:iCs w:val="0"/>
              <w:color w:val="auto"/>
              <w:sz w:val="24"/>
              <w:szCs w:val="24"/>
            </w:rPr>
            <w:t>Customer journey mapping</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_Toc122104237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14</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"_Toc122104238" </w:instrText>
          </w:r>
          <w:r>
            <w:rPr>
              <w:i w:val="0"/>
              <w:iCs w:val="0"/>
            </w:rPr>
            <w:fldChar w:fldCharType="separate"/>
          </w:r>
          <w:r>
            <w:rPr>
              <w:rStyle w:val="7"/>
              <w:rFonts w:ascii="Times New Roman" w:hAnsi="Times New Roman" w:cs="Times New Roman"/>
              <w:i w:val="0"/>
              <w:iCs w:val="0"/>
              <w:color w:val="auto"/>
              <w:sz w:val="24"/>
              <w:szCs w:val="24"/>
            </w:rPr>
            <w:t>Total engagement model</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_Toc122104238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15</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"_Toc122104239" </w:instrText>
          </w:r>
          <w:r>
            <w:rPr>
              <w:i w:val="0"/>
              <w:iCs w:val="0"/>
            </w:rPr>
            <w:fldChar w:fldCharType="separate"/>
          </w:r>
          <w:r>
            <w:rPr>
              <w:rStyle w:val="7"/>
              <w:rFonts w:ascii="Times New Roman" w:hAnsi="Times New Roman" w:cs="Times New Roman"/>
              <w:i w:val="0"/>
              <w:iCs w:val="0"/>
              <w:color w:val="auto"/>
              <w:sz w:val="24"/>
              <w:szCs w:val="24"/>
            </w:rPr>
            <w:t>Conclusion</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_Toc122104239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16</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"_Toc122104240" </w:instrText>
          </w:r>
          <w:r>
            <w:rPr>
              <w:i w:val="0"/>
              <w:iCs w:val="0"/>
            </w:rPr>
            <w:fldChar w:fldCharType="separate"/>
          </w:r>
          <w:r>
            <w:rPr>
              <w:rStyle w:val="7"/>
              <w:rFonts w:ascii="Times New Roman" w:hAnsi="Times New Roman" w:cs="Times New Roman"/>
              <w:i w:val="0"/>
              <w:iCs w:val="0"/>
              <w:color w:val="auto"/>
              <w:sz w:val="24"/>
              <w:szCs w:val="24"/>
            </w:rPr>
            <w:t>References</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_Toc122104240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18</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"_Toc122104241" </w:instrText>
          </w:r>
          <w:r>
            <w:rPr>
              <w:i w:val="0"/>
              <w:iCs w:val="0"/>
            </w:rPr>
            <w:fldChar w:fldCharType="separate"/>
          </w:r>
          <w:r>
            <w:rPr>
              <w:rStyle w:val="7"/>
              <w:rFonts w:ascii="Times New Roman" w:hAnsi="Times New Roman" w:cs="Times New Roman"/>
              <w:i w:val="0"/>
              <w:iCs w:val="0"/>
              <w:color w:val="auto"/>
              <w:sz w:val="24"/>
              <w:szCs w:val="24"/>
            </w:rPr>
            <w:t>Appendices</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_Toc122104241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21</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10"/>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"_Toc122104242" </w:instrText>
          </w:r>
          <w:r>
            <w:rPr>
              <w:i w:val="0"/>
              <w:iCs w:val="0"/>
            </w:rPr>
            <w:fldChar w:fldCharType="separate"/>
          </w:r>
          <w:r>
            <w:rPr>
              <w:rStyle w:val="7"/>
              <w:rFonts w:ascii="Times New Roman" w:hAnsi="Times New Roman" w:cs="Times New Roman"/>
              <w:i w:val="0"/>
              <w:iCs w:val="0"/>
              <w:color w:val="auto"/>
              <w:sz w:val="24"/>
              <w:szCs w:val="24"/>
            </w:rPr>
            <w:t>Appendix 1: Performance highlight of Tesco for the financial year 2022.</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_Toc122104242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21</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10"/>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"_Toc122104243" </w:instrText>
          </w:r>
          <w:r>
            <w:rPr>
              <w:i w:val="0"/>
              <w:iCs w:val="0"/>
            </w:rPr>
            <w:fldChar w:fldCharType="separate"/>
          </w:r>
          <w:r>
            <w:rPr>
              <w:rStyle w:val="7"/>
              <w:rFonts w:ascii="Times New Roman" w:hAnsi="Times New Roman" w:cs="Times New Roman"/>
              <w:i w:val="0"/>
              <w:iCs w:val="0"/>
              <w:color w:val="auto"/>
              <w:sz w:val="24"/>
              <w:szCs w:val="24"/>
            </w:rPr>
            <w:t>Appendix 2: The concept of Brand equity</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_Toc122104243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22</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fldChar w:fldCharType="end"/>
          </w:r>
        </w:p>
      </w:sdtContent>
    </w:sdt>
    <w:p>
      <w:pPr>
        <w:pStyle w:val="2"/>
        <w:rPr>
          <w:rFonts w:cs="Times New Roman"/>
          <w:i w:val="0"/>
          <w:iCs w:val="0"/>
          <w:color w:val="auto"/>
          <w:sz w:val="24"/>
          <w:szCs w:val="24"/>
        </w:rPr>
      </w:pPr>
    </w:p>
    <w:p>
      <w:pPr>
        <w:spacing w:line="360" w:lineRule="auto"/>
        <w:rPr>
          <w:rFonts w:ascii="Times New Roman" w:hAnsi="Times New Roman" w:cs="Times New Roman" w:eastAsiaTheme="majorEastAsia"/>
          <w:b/>
          <w:bCs/>
          <w:i w:val="0"/>
          <w:iCs w:val="0"/>
          <w:sz w:val="24"/>
          <w:szCs w:val="24"/>
        </w:rPr>
      </w:pPr>
      <w:r>
        <w:rPr>
          <w:rFonts w:ascii="Times New Roman" w:hAnsi="Times New Roman" w:cs="Times New Roman"/>
          <w:i w:val="0"/>
          <w:iCs w:val="0"/>
          <w:sz w:val="24"/>
          <w:szCs w:val="24"/>
        </w:rPr>
        <w:br w:type="page"/>
      </w:r>
    </w:p>
    <w:p>
      <w:pPr>
        <w:pStyle w:val="2"/>
        <w:rPr>
          <w:rFonts w:cs="Times New Roman"/>
          <w:i w:val="0"/>
          <w:iCs w:val="0"/>
          <w:color w:val="auto"/>
          <w:sz w:val="24"/>
          <w:szCs w:val="24"/>
        </w:rPr>
      </w:pPr>
      <w:bookmarkStart w:id="0" w:name="_Toc122104229"/>
      <w:r>
        <w:rPr>
          <w:rFonts w:cs="Times New Roman"/>
          <w:i w:val="0"/>
          <w:iCs w:val="0"/>
          <w:color w:val="auto"/>
          <w:sz w:val="24"/>
          <w:szCs w:val="24"/>
        </w:rPr>
        <w:t>Introduction</w:t>
      </w:r>
      <w:bookmarkEnd w:id="0"/>
      <w:r>
        <w:rPr>
          <w:rFonts w:cs="Times New Roman"/>
          <w:i w:val="0"/>
          <w:iCs w:val="0"/>
          <w:color w:val="auto"/>
          <w:sz w:val="24"/>
          <w:szCs w:val="24"/>
        </w:rPr>
        <w:t xml:space="preserve"> </w:t>
      </w:r>
    </w:p>
    <w:p>
      <w:pPr>
        <w:pStyle w:val="8"/>
        <w:spacing w:line="360" w:lineRule="auto"/>
        <w:jc w:val="both"/>
        <w:rPr>
          <w:i w:val="0"/>
          <w:iCs w:val="0"/>
        </w:rPr>
      </w:pPr>
      <w:r>
        <w:rPr>
          <w:i w:val="0"/>
          <w:iCs w:val="0"/>
        </w:rPr>
        <w:t>Tesco is regarded as one of the famous leading multinational retailers in the world. The main goal of this company is to serve customers with high-quality products with affordable price ranges in a sustainable manner. This report aims to analyze the internal business environment of the company along with suggesting new strategies for future development. A critical analysis of the business environment of Tesco has been done and innovative marketing strategies have also been developed for training awareness about the brand. Along with that, the journey of a customer has also been evaluated through a customer journey map. The communication strategy of Tesco has also been analyzed and an innovative marketing strategy has also been recommended to Tesco for reaching a large number of customers. Different theoretical models have also been used here for developing depth understanding of the communication, marketing and brand awareness aspect. Later on, the key findings of the report have also been summarized through the conclusion.</w:t>
      </w:r>
    </w:p>
    <w:p>
      <w:pPr>
        <w:pStyle w:val="2"/>
        <w:rPr>
          <w:rFonts w:cs="Times New Roman"/>
          <w:i w:val="0"/>
          <w:iCs w:val="0"/>
          <w:color w:val="auto"/>
          <w:sz w:val="24"/>
          <w:szCs w:val="24"/>
        </w:rPr>
      </w:pPr>
      <w:bookmarkStart w:id="1" w:name="_Toc122104230"/>
      <w:r>
        <w:rPr>
          <w:rFonts w:cs="Times New Roman"/>
          <w:i w:val="0"/>
          <w:iCs w:val="0"/>
          <w:color w:val="auto"/>
          <w:sz w:val="24"/>
          <w:szCs w:val="24"/>
        </w:rPr>
        <w:t>Background of the company</w:t>
      </w:r>
      <w:bookmarkEnd w:id="1"/>
      <w:r>
        <w:rPr>
          <w:rFonts w:cs="Times New Roman"/>
          <w:i w:val="0"/>
          <w:iCs w:val="0"/>
          <w:color w:val="auto"/>
          <w:sz w:val="24"/>
          <w:szCs w:val="24"/>
        </w:rPr>
        <w:t xml:space="preserve"> </w:t>
      </w:r>
    </w:p>
    <w:p>
      <w:pPr>
        <w:pStyle w:val="8"/>
        <w:spacing w:line="360" w:lineRule="auto"/>
        <w:jc w:val="both"/>
        <w:rPr>
          <w:i w:val="0"/>
          <w:iCs w:val="0"/>
        </w:rPr>
      </w:pPr>
      <w:r>
        <w:rPr>
          <w:i w:val="0"/>
          <w:iCs w:val="0"/>
        </w:rPr>
        <w:t>Tesco is one of the most famous and reputed retail sectors in the UK and all over r the world. This company has been established in the year 1919 in the east end of London by Jack Cohen. However, the name Teso has been developed in the year 1924 (Tescoplc.com 2022). Soon after its establishment, this country started gaining popularity among the citizens and gained an immense amount of profit. The annual revenue of Tesco for the financial year 2022 was almost $84.138 billion, which is a 12.15% increment from the financial year 2021. </w:t>
      </w:r>
    </w:p>
    <w:p>
      <w:pPr>
        <w:pStyle w:val="8"/>
        <w:spacing w:line="360" w:lineRule="auto"/>
        <w:jc w:val="center"/>
        <w:rPr>
          <w:i w:val="0"/>
          <w:iCs w:val="0"/>
        </w:rPr>
      </w:pPr>
      <w:r>
        <w:rPr>
          <w:i w:val="0"/>
          <w:iCs w:val="0"/>
        </w:rPr>
        <w:drawing>
          <wp:inline distT="0" distB="0" distL="0" distR="0">
            <wp:extent cx="4857750" cy="3141980"/>
            <wp:effectExtent l="38100" t="57150" r="114300" b="96312"/>
            <wp:docPr id="4" name="Picture 4" descr="D:\Monalisa Das\December\16.12.2022\Job Reference No 9756\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Monalisa Das\December\16.12.2022\Job Reference No 9756\image.png"/>
                    <pic:cNvPicPr>
                      <a:picLocks noChangeAspect="1" noChangeArrowheads="1"/>
                    </pic:cNvPicPr>
                  </pic:nvPicPr>
                  <pic:blipFill>
                    <a:blip r:embed="rId7"/>
                    <a:stretch>
                      <a:fillRect/>
                    </a:stretch>
                  </pic:blipFill>
                  <pic:spPr>
                    <a:xfrm>
                      <a:off x="0" y="0"/>
                      <a:ext cx="4857750" cy="3142188"/>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1: Annual revenue of Tesco</w:t>
      </w:r>
    </w:p>
    <w:p>
      <w:pPr>
        <w:pStyle w:val="8"/>
        <w:spacing w:line="360" w:lineRule="auto"/>
        <w:jc w:val="center"/>
        <w:rPr>
          <w:i w:val="0"/>
          <w:iCs w:val="0"/>
        </w:rPr>
      </w:pPr>
      <w:r>
        <w:rPr>
          <w:i w:val="0"/>
          <w:iCs w:val="0"/>
        </w:rPr>
        <w:t>(Source: Statista.com, 2022)</w:t>
      </w:r>
    </w:p>
    <w:p>
      <w:pPr>
        <w:pStyle w:val="8"/>
        <w:spacing w:line="360" w:lineRule="auto"/>
        <w:jc w:val="both"/>
        <w:rPr>
          <w:i w:val="0"/>
          <w:iCs w:val="0"/>
        </w:rPr>
      </w:pPr>
      <w:r>
        <w:rPr>
          <w:i w:val="0"/>
          <w:iCs w:val="0"/>
        </w:rPr>
        <w:t>From the above-indicated figure, a growing trend in the annual revenue has been witnessed. However, between January and May 2021, Tesco lost 0.9% of the market share and stands at 27% (Statista.com, 2022). However, the core competitors of Tesco such as Sainsbury, Asda, and Morrisons have also witnessed a similar decline meant in the market share for that successive year. </w:t>
      </w:r>
    </w:p>
    <w:p>
      <w:pPr>
        <w:pStyle w:val="8"/>
        <w:spacing w:line="360" w:lineRule="auto"/>
        <w:jc w:val="both"/>
        <w:rPr>
          <w:i w:val="0"/>
          <w:iCs w:val="0"/>
        </w:rPr>
      </w:pPr>
      <w:r>
        <w:rPr>
          <w:i w:val="0"/>
          <w:iCs w:val="0"/>
        </w:rPr>
        <w:t>Mission Statement: </w:t>
      </w:r>
      <w:r>
        <w:rPr>
          <w:i w:val="0"/>
          <w:iCs w:val="0"/>
        </w:rPr>
        <w:t>“</w:t>
      </w:r>
      <w:r>
        <w:rPr>
          <w:b/>
          <w:bCs/>
          <w:i w:val="0"/>
          <w:iCs w:val="0"/>
        </w:rPr>
        <w:t>We make what matters better, together.</w:t>
      </w:r>
      <w:r>
        <w:rPr>
          <w:i w:val="0"/>
          <w:iCs w:val="0"/>
        </w:rPr>
        <w:t>” </w:t>
      </w:r>
    </w:p>
    <w:p>
      <w:pPr>
        <w:pStyle w:val="8"/>
        <w:spacing w:line="360" w:lineRule="auto"/>
        <w:jc w:val="both"/>
        <w:rPr>
          <w:i w:val="0"/>
          <w:iCs w:val="0"/>
        </w:rPr>
      </w:pPr>
      <w:r>
        <w:rPr>
          <w:i w:val="0"/>
          <w:iCs w:val="0"/>
        </w:rPr>
        <w:t xml:space="preserve">The core value of this company is to provide customer-focused, caring services for their customers as they believe that any little help can make big difference. Therefore, this company is regarded as one of the highly valued companies in the UK. In the year 2022, Tesco achieved a 27.7% of the market share in the UK </w:t>
      </w:r>
      <w:r>
        <w:rPr>
          <w:b/>
          <w:bCs/>
          <w:i w:val="0"/>
          <w:iCs w:val="0"/>
        </w:rPr>
        <w:t xml:space="preserve">[Refer to appendix 1].  </w:t>
      </w:r>
      <w:r>
        <w:rPr>
          <w:i w:val="0"/>
          <w:iCs w:val="0"/>
        </w:rPr>
        <w:t>Tesco used a wide number of "Key performance indicators (KPIs) for ensuring quality services by the end of this company.</w:t>
      </w:r>
    </w:p>
    <w:p>
      <w:pPr>
        <w:pStyle w:val="2"/>
        <w:rPr>
          <w:rFonts w:cs="Times New Roman"/>
          <w:i w:val="0"/>
          <w:iCs w:val="0"/>
          <w:color w:val="auto"/>
          <w:sz w:val="24"/>
          <w:szCs w:val="24"/>
        </w:rPr>
      </w:pPr>
      <w:bookmarkStart w:id="2" w:name="_Toc122104231"/>
      <w:r>
        <w:rPr>
          <w:rFonts w:cs="Times New Roman"/>
          <w:i w:val="0"/>
          <w:iCs w:val="0"/>
          <w:color w:val="auto"/>
          <w:sz w:val="24"/>
          <w:szCs w:val="24"/>
        </w:rPr>
        <w:t>Definition of communication</w:t>
      </w:r>
      <w:bookmarkEnd w:id="2"/>
      <w:r>
        <w:rPr>
          <w:rFonts w:cs="Times New Roman"/>
          <w:i w:val="0"/>
          <w:iCs w:val="0"/>
          <w:color w:val="auto"/>
          <w:sz w:val="24"/>
          <w:szCs w:val="24"/>
        </w:rPr>
        <w:t xml:space="preserve"> </w:t>
      </w:r>
    </w:p>
    <w:p>
      <w:pPr>
        <w:pStyle w:val="8"/>
        <w:spacing w:line="360" w:lineRule="auto"/>
        <w:jc w:val="both"/>
        <w:rPr>
          <w:i w:val="0"/>
          <w:iCs w:val="0"/>
        </w:rPr>
      </w:pPr>
      <w:r>
        <w:rPr>
          <w:i w:val="0"/>
          <w:iCs w:val="0"/>
        </w:rPr>
        <w:t xml:space="preserve">Communication can be defined as a process that is used for exchanging thoughts among individuals through a common system of behaviour, and symbols. language and signs. As opined by Zerfass </w:t>
      </w:r>
      <w:r>
        <w:rPr>
          <w:i w:val="0"/>
          <w:iCs w:val="0"/>
        </w:rPr>
        <w:t>et al</w:t>
      </w:r>
      <w:r>
        <w:rPr>
          <w:i w:val="0"/>
          <w:iCs w:val="0"/>
        </w:rPr>
        <w:t xml:space="preserve">. (2019), Strategic communication is used to encompass all types of communication that help in developing a strategy for thriving a community for achieving strategic goals. In contradiction, Ritter </w:t>
      </w:r>
      <w:r>
        <w:rPr>
          <w:i w:val="0"/>
          <w:iCs w:val="0"/>
        </w:rPr>
        <w:t>et al.</w:t>
      </w:r>
      <w:r>
        <w:rPr>
          <w:i w:val="0"/>
          <w:iCs w:val="0"/>
        </w:rPr>
        <w:t xml:space="preserve"> (2020), have argued that, in the era of digitization, effective communication is highly necessary for interacting with business customers, and the e employees within the organization. Multiple advanced technologies can amplify the communication approach. Different theories of communication can also enhance the concept of communication such as the </w:t>
      </w:r>
      <w:r>
        <w:rPr>
          <w:b/>
          <w:bCs/>
          <w:i w:val="0"/>
          <w:iCs w:val="0"/>
        </w:rPr>
        <w:t xml:space="preserve">Authoritarian Theory, the "Classical theory of communication", </w:t>
      </w:r>
      <w:r>
        <w:rPr>
          <w:i w:val="0"/>
          <w:iCs w:val="0"/>
        </w:rPr>
        <w:t>and different others. Both of the theories are impactful and can enhance effective communication within a system. The </w:t>
      </w:r>
      <w:r>
        <w:rPr>
          <w:b/>
          <w:bCs/>
          <w:i w:val="0"/>
          <w:iCs w:val="0"/>
        </w:rPr>
        <w:t xml:space="preserve">Authoritarian Theory of communication </w:t>
      </w:r>
      <w:r>
        <w:rPr>
          <w:i w:val="0"/>
          <w:iCs w:val="0"/>
        </w:rPr>
        <w:t>states that all different forms of communication are under the control of authorities or an influential governing elite (Communicationtheory.org 2022). There are ample numbers of controversies regarding the applicability and advantages of the Authoritarian theory of communication.   The classical theory of communication by </w:t>
      </w:r>
      <w:r>
        <w:rPr>
          <w:b/>
          <w:bCs/>
          <w:i w:val="0"/>
          <w:iCs w:val="0"/>
        </w:rPr>
        <w:t>Max Weber and Henri Fayol</w:t>
      </w:r>
      <w:r>
        <w:rPr>
          <w:i w:val="0"/>
          <w:iCs w:val="0"/>
        </w:rPr>
        <w:t> defines that the purpose of any communication is to facilitate the comments of the leaders and impose control over any organization through different channels. This theory is mostly applicable to organizational perspectives. The below-indicated figure has given an idea about organizational communication.</w:t>
      </w:r>
    </w:p>
    <w:p>
      <w:pPr>
        <w:pStyle w:val="8"/>
        <w:spacing w:line="360" w:lineRule="auto"/>
        <w:jc w:val="center"/>
        <w:rPr>
          <w:i w:val="0"/>
          <w:iCs w:val="0"/>
        </w:rPr>
      </w:pPr>
      <w:r>
        <w:rPr>
          <w:i w:val="0"/>
          <w:iCs w:val="0"/>
        </w:rPr>
        <w:drawing>
          <wp:inline distT="0" distB="0" distL="0" distR="0">
            <wp:extent cx="4514850" cy="2597150"/>
            <wp:effectExtent l="38100" t="57150" r="114300" b="88683"/>
            <wp:docPr id="32" name="Picture 32" descr="The Organizational Communication-Overview Based on Defin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he Organizational Communication-Overview Based on Definitions"/>
                    <pic:cNvPicPr>
                      <a:picLocks noChangeAspect="1" noChangeArrowheads="1"/>
                    </pic:cNvPicPr>
                  </pic:nvPicPr>
                  <pic:blipFill>
                    <a:blip r:embed="rId8"/>
                    <a:stretch>
                      <a:fillRect/>
                    </a:stretch>
                  </pic:blipFill>
                  <pic:spPr>
                    <a:xfrm>
                      <a:off x="0" y="0"/>
                      <a:ext cx="4514850" cy="2597367"/>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2: Communication within an organization</w:t>
      </w:r>
    </w:p>
    <w:p>
      <w:pPr>
        <w:pStyle w:val="8"/>
        <w:spacing w:line="360" w:lineRule="auto"/>
        <w:jc w:val="center"/>
        <w:rPr>
          <w:i w:val="0"/>
          <w:iCs w:val="0"/>
        </w:rPr>
      </w:pPr>
      <w:r>
        <w:rPr>
          <w:i w:val="0"/>
          <w:iCs w:val="0"/>
        </w:rPr>
        <w:t>(Source: </w:t>
      </w:r>
      <w:r>
        <w:rPr>
          <w:i w:val="0"/>
          <w:iCs w:val="0"/>
          <w:shd w:val="clear" w:color="auto" w:fill="FFFFFF"/>
        </w:rPr>
        <w:t>Borca and Baesu, 2014</w:t>
      </w:r>
      <w:r>
        <w:rPr>
          <w:i w:val="0"/>
          <w:iCs w:val="0"/>
        </w:rPr>
        <w:t>)</w:t>
      </w:r>
    </w:p>
    <w:p>
      <w:pPr>
        <w:pStyle w:val="8"/>
        <w:spacing w:line="360" w:lineRule="auto"/>
        <w:jc w:val="both"/>
        <w:rPr>
          <w:i w:val="0"/>
          <w:iCs w:val="0"/>
        </w:rPr>
      </w:pPr>
      <w:r>
        <w:rPr>
          <w:i w:val="0"/>
          <w:iCs w:val="0"/>
        </w:rPr>
        <w:t xml:space="preserve">Hence, these theories can play a vital role in evaluating communication strategies of Tesco and suggesting suitable one. </w:t>
      </w:r>
    </w:p>
    <w:p>
      <w:pPr>
        <w:pStyle w:val="2"/>
        <w:rPr>
          <w:rFonts w:cs="Times New Roman"/>
          <w:i w:val="0"/>
          <w:iCs w:val="0"/>
          <w:color w:val="auto"/>
          <w:sz w:val="24"/>
          <w:szCs w:val="24"/>
        </w:rPr>
      </w:pPr>
      <w:bookmarkStart w:id="3" w:name="_Toc122104232"/>
      <w:r>
        <w:rPr>
          <w:rFonts w:cs="Times New Roman"/>
          <w:i w:val="0"/>
          <w:iCs w:val="0"/>
          <w:color w:val="auto"/>
          <w:sz w:val="24"/>
          <w:szCs w:val="24"/>
        </w:rPr>
        <w:t>Communication model</w:t>
      </w:r>
      <w:bookmarkEnd w:id="3"/>
      <w:r>
        <w:rPr>
          <w:rFonts w:cs="Times New Roman"/>
          <w:i w:val="0"/>
          <w:iCs w:val="0"/>
          <w:color w:val="auto"/>
          <w:sz w:val="24"/>
          <w:szCs w:val="24"/>
        </w:rPr>
        <w:t xml:space="preserve"> </w:t>
      </w:r>
    </w:p>
    <w:p>
      <w:pPr>
        <w:pStyle w:val="8"/>
        <w:spacing w:line="360" w:lineRule="auto"/>
        <w:jc w:val="both"/>
        <w:rPr>
          <w:i w:val="0"/>
          <w:iCs w:val="0"/>
        </w:rPr>
      </w:pPr>
      <w:r>
        <w:rPr>
          <w:i w:val="0"/>
          <w:iCs w:val="0"/>
        </w:rPr>
        <w:t xml:space="preserve">There are multiple suitable models that can evaluate the core concept of communication in an effective way. The </w:t>
      </w:r>
      <w:r>
        <w:rPr>
          <w:i w:val="0"/>
          <w:iCs w:val="0"/>
        </w:rPr>
        <w:t>"</w:t>
      </w:r>
      <w:r>
        <w:rPr>
          <w:b/>
          <w:bCs/>
          <w:i w:val="0"/>
          <w:iCs w:val="0"/>
        </w:rPr>
        <w:t>Osgood and Schramm circular model"</w:t>
      </w:r>
      <w:r>
        <w:rPr>
          <w:b/>
          <w:bCs/>
          <w:i w:val="0"/>
          <w:iCs w:val="0"/>
        </w:rPr>
        <w:t xml:space="preserve"> </w:t>
      </w:r>
      <w:r>
        <w:rPr>
          <w:i w:val="0"/>
          <w:iCs w:val="0"/>
        </w:rPr>
        <w:t>of communication can emphasise the circular nature of any communication approach. However, several models can be used in implementing effective communication in a business system. The 7cs of communication model is one of them. The core components of this model are complete, considered, concise, clear, correct, courteous and complete.  This theory can be applied for enhancing the communication approach within an organization. As opinedKarmarkar, (2022), This theory can play an important role in being an effective communicator in business or personal life. Hence, clear and concise messages can be delivered through its approach. Therefore, multiple famous business organizations have also adopted the 7Cs model of communication. Similarly, Vardanidze and Benedek, (2019), have stated that this theory is also effective in evaluating the customer's motivation and communication perspective within an organization. The below-indicated figure has given an idea about the 7Cs model of business communication.</w:t>
      </w:r>
    </w:p>
    <w:p>
      <w:pPr>
        <w:pStyle w:val="8"/>
        <w:spacing w:line="360" w:lineRule="auto"/>
        <w:jc w:val="center"/>
        <w:rPr>
          <w:i w:val="0"/>
          <w:iCs w:val="0"/>
        </w:rPr>
      </w:pPr>
      <w:r>
        <w:rPr>
          <w:i w:val="0"/>
          <w:iCs w:val="0"/>
        </w:rPr>
        <w:drawing>
          <wp:inline distT="0" distB="0" distL="0" distR="0">
            <wp:extent cx="5943600" cy="2351405"/>
            <wp:effectExtent l="38100" t="57150" r="114300" b="86690"/>
            <wp:docPr id="8" name="Picture 8" descr="https://www.communicationtheory.org/wp-content/uploads/2010/03/the-7cs-for-effective-business-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ttps://www.communicationtheory.org/wp-content/uploads/2010/03/the-7cs-for-effective-business-communication.jpg"/>
                    <pic:cNvPicPr>
                      <a:picLocks noChangeAspect="1" noChangeArrowheads="1"/>
                    </pic:cNvPicPr>
                  </pic:nvPicPr>
                  <pic:blipFill>
                    <a:blip r:embed="rId9"/>
                    <a:stretch>
                      <a:fillRect/>
                    </a:stretch>
                  </pic:blipFill>
                  <pic:spPr>
                    <a:xfrm>
                      <a:off x="0" y="0"/>
                      <a:ext cx="5943600" cy="235171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3: 7Cs model of communication</w:t>
      </w:r>
    </w:p>
    <w:p>
      <w:pPr>
        <w:pStyle w:val="8"/>
        <w:spacing w:line="360" w:lineRule="auto"/>
        <w:jc w:val="center"/>
        <w:rPr>
          <w:i w:val="0"/>
          <w:iCs w:val="0"/>
        </w:rPr>
      </w:pPr>
      <w:r>
        <w:rPr>
          <w:i w:val="0"/>
          <w:iCs w:val="0"/>
        </w:rPr>
        <w:t>(Source: Communicationtheory.org 2022)</w:t>
      </w:r>
    </w:p>
    <w:p>
      <w:pPr>
        <w:pStyle w:val="8"/>
        <w:spacing w:line="360" w:lineRule="auto"/>
        <w:jc w:val="both"/>
        <w:rPr>
          <w:i w:val="0"/>
          <w:iCs w:val="0"/>
        </w:rPr>
      </w:pPr>
      <w:r>
        <w:rPr>
          <w:i w:val="0"/>
          <w:iCs w:val="0"/>
        </w:rPr>
        <w:t>Tesco can look forward to applying this model in the organization. It is expected that the effective implementation of this theory can enhance the business performance of Tesco. </w:t>
      </w:r>
    </w:p>
    <w:p>
      <w:pPr>
        <w:pStyle w:val="2"/>
        <w:rPr>
          <w:rFonts w:cs="Times New Roman"/>
          <w:i w:val="0"/>
          <w:iCs w:val="0"/>
          <w:color w:val="auto"/>
          <w:sz w:val="24"/>
          <w:szCs w:val="24"/>
        </w:rPr>
      </w:pPr>
      <w:bookmarkStart w:id="4" w:name="_Toc122104233"/>
      <w:r>
        <w:rPr>
          <w:rFonts w:cs="Times New Roman"/>
          <w:i w:val="0"/>
          <w:iCs w:val="0"/>
          <w:color w:val="auto"/>
          <w:sz w:val="24"/>
          <w:szCs w:val="24"/>
        </w:rPr>
        <w:t>Integrated marketing communication</w:t>
      </w:r>
      <w:bookmarkEnd w:id="4"/>
      <w:r>
        <w:rPr>
          <w:rFonts w:cs="Times New Roman"/>
          <w:i w:val="0"/>
          <w:iCs w:val="0"/>
          <w:color w:val="auto"/>
          <w:sz w:val="24"/>
          <w:szCs w:val="24"/>
        </w:rPr>
        <w:t xml:space="preserve"> </w:t>
      </w:r>
    </w:p>
    <w:p>
      <w:pPr>
        <w:pStyle w:val="8"/>
        <w:spacing w:line="360" w:lineRule="auto"/>
        <w:jc w:val="both"/>
        <w:rPr>
          <w:i w:val="0"/>
          <w:iCs w:val="0"/>
        </w:rPr>
      </w:pPr>
      <w:r>
        <w:rPr>
          <w:i w:val="0"/>
          <w:iCs w:val="0"/>
        </w:rPr>
        <w:t>In the era of digitization, the concept of communication is getting more complex day by day. Due to serving the immense need, within a short period, different new platforms, as well as new concepts are introduced in the business communication approach. The integrated marketing communication approach is one of them and it enhances the traditional business communication aspect into an advanced one. As opined by Gordon-Isasi</w:t>
      </w:r>
      <w:r>
        <w:rPr>
          <w:i w:val="0"/>
          <w:iCs w:val="0"/>
        </w:rPr>
        <w:t xml:space="preserve"> et al</w:t>
      </w:r>
      <w:r>
        <w:rPr>
          <w:i w:val="0"/>
          <w:iCs w:val="0"/>
        </w:rPr>
        <w:t>. (2021), Integrated marketing communication or IMC is a planning process that has been designed to assuring that the customers receive the brand contacts and enhance the product and services of the organization. Similarly, Englund et al. (2020), have stated that there are 5 modes of integrated marketing communication approaches such as direct marketing, sales promotion, internet marketing, public relations and advertising. Authors have also indicated that this IMC approach is directly correlated with business performance and it positively influences the performance of any business. The below-indicated figure has given a clear idea about the multiple channels of IMC. </w:t>
      </w:r>
    </w:p>
    <w:p>
      <w:pPr>
        <w:pStyle w:val="8"/>
        <w:spacing w:line="360" w:lineRule="auto"/>
        <w:jc w:val="center"/>
        <w:rPr>
          <w:i w:val="0"/>
          <w:iCs w:val="0"/>
        </w:rPr>
      </w:pPr>
      <w:r>
        <w:rPr>
          <w:i w:val="0"/>
          <w:iCs w:val="0"/>
        </w:rPr>
        <w:drawing>
          <wp:inline distT="0" distB="0" distL="0" distR="0">
            <wp:extent cx="4124325" cy="3929380"/>
            <wp:effectExtent l="38100" t="57150" r="123825" b="89769"/>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noChangeArrowheads="1"/>
                    </pic:cNvPicPr>
                  </pic:nvPicPr>
                  <pic:blipFill>
                    <a:blip r:embed="rId10"/>
                    <a:stretch>
                      <a:fillRect/>
                    </a:stretch>
                  </pic:blipFill>
                  <pic:spPr>
                    <a:xfrm>
                      <a:off x="0" y="0"/>
                      <a:ext cx="4124325" cy="3929781"/>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4: Integrated marketing communication</w:t>
      </w:r>
    </w:p>
    <w:p>
      <w:pPr>
        <w:pStyle w:val="8"/>
        <w:spacing w:line="360" w:lineRule="auto"/>
        <w:jc w:val="center"/>
        <w:rPr>
          <w:i w:val="0"/>
          <w:iCs w:val="0"/>
        </w:rPr>
      </w:pPr>
      <w:r>
        <w:rPr>
          <w:i w:val="0"/>
          <w:iCs w:val="0"/>
        </w:rPr>
        <w:t>(Source: </w:t>
      </w:r>
      <w:r>
        <w:rPr>
          <w:i w:val="0"/>
          <w:iCs w:val="0"/>
          <w:shd w:val="clear" w:color="auto" w:fill="FFFFFF"/>
        </w:rPr>
        <w:t>Ballesteros-Sola, 2017</w:t>
      </w:r>
      <w:r>
        <w:rPr>
          <w:i w:val="0"/>
          <w:iCs w:val="0"/>
        </w:rPr>
        <w:t>)</w:t>
      </w:r>
    </w:p>
    <w:p>
      <w:pPr>
        <w:pStyle w:val="8"/>
        <w:spacing w:line="360" w:lineRule="auto"/>
        <w:jc w:val="both"/>
        <w:rPr>
          <w:i w:val="0"/>
          <w:iCs w:val="0"/>
        </w:rPr>
      </w:pPr>
      <w:r>
        <w:rPr>
          <w:i w:val="0"/>
          <w:iCs w:val="0"/>
        </w:rPr>
        <w:t xml:space="preserve">There can be  4 types of IMC such as internal, horizontal, external and vertical. By taking all these approaches together into business practice, business goals can be easily achieved. The IMC approach also helps in building an effective relationship for two different aspects as the "business-to-consumer (B2C)" and the "Business-to-business (B2B)" approach. However, a suitable platform is required to be chosen before proceeding with IMC. The channels can be Magazines, radio, internet, mobile phones and different others. There are different real-life examples of the successful implication of the IMC approach (Psu.pb.unizin.org, 2022). There are multiple advantages of IMC such as it significantly improves the efficiency of an organization by providing streamlined business operation processes. Along with that accessibility of its approach is higher than the other modes of marketing. Hence a large number of the customer base can be addressed within a short period. The method is cost-effective and helps in building trust among the customers. In certain cases, it becomes difficult sometime to manage the content of integrated marketing properly. Along with that, it becomes difficult to reach international audiences and clients through this approach.  The applicability of IMC is still low and cannot meet the business goals of some selective organizations. The Campbell soup company has used this approach and designed two different marketing strategies for promoting its products. and it became highly successful. This integrating marketing communication approach can also helps effectively communicate the existing business strategies to its customer. </w:t>
      </w:r>
    </w:p>
    <w:p>
      <w:pPr>
        <w:pStyle w:val="8"/>
        <w:spacing w:line="360" w:lineRule="auto"/>
        <w:jc w:val="both"/>
        <w:rPr>
          <w:i w:val="0"/>
          <w:iCs w:val="0"/>
        </w:rPr>
      </w:pPr>
      <w:r>
        <w:rPr>
          <w:i w:val="0"/>
          <w:iCs w:val="0"/>
        </w:rPr>
        <w:t>The IMC and public relations are two different terms and both of them are correlated with each other. Any company is required to develop products and services and the goodness of their products and their services are required to be communicated to the customers. An IMC approach works effectively in facilitating communication between consumers and business managers. Its communication strategy of Tesco is strong enough to address the needs of the customers. A strategic communication approach has been taken by Tesco for evaluating the needs of the customers w within the company. Along with that it also helps in evaluating the opinions of the employees in decision-making. Moreover, a clear and transparent communication approach used to be established within the company. More than 400000 employees work in Tesco and this strategic communication helps in reducing organizational conflicts and enhancing organizational peace. Implementation of the IMC approach in Tesco can also enhance organizational performance and promote their products more in a selected market.</w:t>
      </w:r>
    </w:p>
    <w:p>
      <w:pPr>
        <w:pStyle w:val="2"/>
        <w:rPr>
          <w:rFonts w:cs="Times New Roman"/>
          <w:i w:val="0"/>
          <w:iCs w:val="0"/>
          <w:color w:val="auto"/>
          <w:sz w:val="24"/>
          <w:szCs w:val="24"/>
        </w:rPr>
      </w:pPr>
      <w:bookmarkStart w:id="5" w:name="_Toc122104234"/>
      <w:r>
        <w:rPr>
          <w:rFonts w:cs="Times New Roman"/>
          <w:i w:val="0"/>
          <w:iCs w:val="0"/>
          <w:color w:val="auto"/>
          <w:sz w:val="24"/>
          <w:szCs w:val="24"/>
        </w:rPr>
        <w:t>Suggested new promotional strategy</w:t>
      </w:r>
      <w:bookmarkEnd w:id="5"/>
      <w:r>
        <w:rPr>
          <w:rFonts w:cs="Times New Roman"/>
          <w:i w:val="0"/>
          <w:iCs w:val="0"/>
          <w:color w:val="auto"/>
          <w:sz w:val="24"/>
          <w:szCs w:val="24"/>
        </w:rPr>
        <w:t xml:space="preserve"> </w:t>
      </w:r>
    </w:p>
    <w:p>
      <w:pPr>
        <w:pStyle w:val="8"/>
        <w:spacing w:line="360" w:lineRule="auto"/>
        <w:jc w:val="both"/>
        <w:rPr>
          <w:i w:val="0"/>
          <w:iCs w:val="0"/>
        </w:rPr>
      </w:pPr>
      <w:r>
        <w:rPr>
          <w:i w:val="0"/>
          <w:iCs w:val="0"/>
        </w:rPr>
        <w:t>Marketing and promotion are regarded as one of the most important aspects of business proliferation. A strong promotional strategy can help a brand in gaining a large customer base inside the company. Along with that, it can also create brand awareness effectively. Hence, it is highly required for all companies to develop a potential promotional strategy for the business (Nyagadza, 2020). Tesco considers promotional strategy as one of the main fundamental aspects of their business. Tesco ost;y used traditional types of promotion through hoarding, pamphlets and others. Hence, Tesco is suggested to focus on a digital marketing strategy over the traditional one for addressing a large number of audiences within a short period.</w:t>
      </w:r>
    </w:p>
    <w:p>
      <w:pPr>
        <w:pStyle w:val="8"/>
        <w:spacing w:line="360" w:lineRule="auto"/>
        <w:jc w:val="both"/>
        <w:rPr>
          <w:i w:val="0"/>
          <w:iCs w:val="0"/>
        </w:rPr>
      </w:pPr>
      <w:r>
        <w:rPr>
          <w:i w:val="0"/>
          <w:iCs w:val="0"/>
        </w:rPr>
        <w:t>A digital promotional strategy includes utilizing different social media platforms and updating their official websites and others. social media promotion includes training awareness about the brand among the customers through posting on the social media platforms such as Facebook, Instagram youtube and others. Utilizing social media platforms, Tesco can increase its customer base and address a wide number of customers. within a short period. Along with that, it is also effective in gaining the ideas of the customers and their opinions and utilizing these for further development purposes. An overview of the digital promotional strategy has been given in the below-indicated figure.</w:t>
      </w:r>
    </w:p>
    <w:p>
      <w:pPr>
        <w:pStyle w:val="8"/>
        <w:spacing w:line="360" w:lineRule="auto"/>
        <w:jc w:val="both"/>
        <w:rPr>
          <w:i w:val="0"/>
          <w:iCs w:val="0"/>
        </w:rPr>
      </w:pPr>
      <w:r>
        <w:rPr>
          <w:i w:val="0"/>
          <w:iCs w:val="0"/>
        </w:rPr>
        <w:drawing>
          <wp:inline distT="0" distB="0" distL="0" distR="0">
            <wp:extent cx="5486400" cy="3200400"/>
            <wp:effectExtent l="0" t="3810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pPr>
        <w:pStyle w:val="8"/>
        <w:spacing w:line="360" w:lineRule="auto"/>
        <w:jc w:val="center"/>
        <w:rPr>
          <w:b/>
          <w:i w:val="0"/>
          <w:iCs w:val="0"/>
        </w:rPr>
      </w:pPr>
      <w:r>
        <w:rPr>
          <w:b/>
          <w:i w:val="0"/>
          <w:iCs w:val="0"/>
        </w:rPr>
        <w:t>Figure 5: Digital promotional strategy</w:t>
      </w:r>
    </w:p>
    <w:p>
      <w:pPr>
        <w:pStyle w:val="8"/>
        <w:spacing w:line="360" w:lineRule="auto"/>
        <w:jc w:val="center"/>
        <w:rPr>
          <w:i w:val="0"/>
          <w:iCs w:val="0"/>
        </w:rPr>
      </w:pPr>
      <w:r>
        <w:rPr>
          <w:i w:val="0"/>
          <w:iCs w:val="0"/>
        </w:rPr>
        <w:t>(Source: Self-developed)</w:t>
      </w:r>
    </w:p>
    <w:p>
      <w:pPr>
        <w:pStyle w:val="8"/>
        <w:spacing w:line="360" w:lineRule="auto"/>
        <w:jc w:val="both"/>
        <w:rPr>
          <w:i w:val="0"/>
          <w:iCs w:val="0"/>
        </w:rPr>
      </w:pPr>
      <w:r>
        <w:rPr>
          <w:i w:val="0"/>
          <w:iCs w:val="0"/>
        </w:rPr>
        <w:t xml:space="preserve">As opined by Scolere </w:t>
      </w:r>
      <w:r>
        <w:rPr>
          <w:i w:val="0"/>
          <w:iCs w:val="0"/>
        </w:rPr>
        <w:t>et al.</w:t>
      </w:r>
      <w:r>
        <w:rPr>
          <w:i w:val="0"/>
          <w:iCs w:val="0"/>
        </w:rPr>
        <w:t xml:space="preserve"> (2018), digital marketing and promotional aspect impact brand transformation, brand positioning and analyzing the internal business environment. It also helps in gaining international customers. In contradiction Carlson </w:t>
      </w:r>
      <w:r>
        <w:rPr>
          <w:i w:val="0"/>
          <w:iCs w:val="0"/>
        </w:rPr>
        <w:t>et al</w:t>
      </w:r>
      <w:r>
        <w:rPr>
          <w:i w:val="0"/>
          <w:iCs w:val="0"/>
        </w:rPr>
        <w:t>. (2019), have argued that there are certain risks associated with digital promotion such as there is always chance of data breach, cyber risks and different others. The digital promotion also reduces the chances of gaining competitive advantages as it makes business strategies open to its competitors. Hence, Tesco is always advised to follow these guidelines before proceeding with digital promotion. </w:t>
      </w:r>
    </w:p>
    <w:p>
      <w:pPr>
        <w:pStyle w:val="8"/>
        <w:spacing w:line="360" w:lineRule="auto"/>
        <w:jc w:val="both"/>
        <w:rPr>
          <w:i w:val="0"/>
          <w:iCs w:val="0"/>
        </w:rPr>
      </w:pPr>
      <w:r>
        <w:rPr>
          <w:i w:val="0"/>
          <w:iCs w:val="0"/>
        </w:rPr>
        <w:t>Despite the social media promotioning, there are different other ways of advanced digital marketing approaches such as email marketing, "Search engine optimization", "Pay per click" and different others. All these aspects can also help in creating brand awareness in this company. Digital media marketing enhances the chances of connecting with the customers, gaining their point of view and sharing the brand voices and story through [posting social media advertising, creating potential content and different others. In this way, through attractive and informational posts on social media, a sense of brand awareness can be created in a company. Hence, Tesco is advised to create an official social media account and post their thoughts, views, offers and other business-related information through this. In this way, these approaches can thrive brand awareness and gain the attention of the customers. It also helps in creating a brand reputation. Tesco can also consider hiring Brand ambassadors for promoting its products. However, this process is highly cost-effective and hence can increase the customer base within the organization. Therefore, an internal organizational analysis is recommended before proceeding with this approach. </w:t>
      </w:r>
    </w:p>
    <w:p>
      <w:pPr>
        <w:pStyle w:val="2"/>
        <w:rPr>
          <w:rFonts w:cs="Times New Roman"/>
          <w:i w:val="0"/>
          <w:iCs w:val="0"/>
          <w:color w:val="auto"/>
          <w:sz w:val="24"/>
          <w:szCs w:val="24"/>
        </w:rPr>
      </w:pPr>
      <w:bookmarkStart w:id="6" w:name="_Toc122104235"/>
      <w:r>
        <w:rPr>
          <w:rFonts w:cs="Times New Roman"/>
          <w:i w:val="0"/>
          <w:iCs w:val="0"/>
          <w:color w:val="auto"/>
          <w:sz w:val="24"/>
          <w:szCs w:val="24"/>
        </w:rPr>
        <w:t>Branding and equity</w:t>
      </w:r>
      <w:bookmarkEnd w:id="6"/>
      <w:r>
        <w:rPr>
          <w:rFonts w:cs="Times New Roman"/>
          <w:i w:val="0"/>
          <w:iCs w:val="0"/>
          <w:color w:val="auto"/>
          <w:sz w:val="24"/>
          <w:szCs w:val="24"/>
        </w:rPr>
        <w:t xml:space="preserve"> </w:t>
      </w:r>
    </w:p>
    <w:p>
      <w:pPr>
        <w:pStyle w:val="8"/>
        <w:spacing w:line="360" w:lineRule="auto"/>
        <w:jc w:val="both"/>
        <w:rPr>
          <w:i w:val="0"/>
          <w:iCs w:val="0"/>
        </w:rPr>
      </w:pPr>
      <w:r>
        <w:rPr>
          <w:i w:val="0"/>
          <w:iCs w:val="0"/>
        </w:rPr>
        <w:t>Product branding is a way of presenting any product to its customer in an attractive manner. Along with that proper branding is also essential for creating brand value among customers. On the other hand, Brand equity is a marketing approach that potentially describes the value of a specific brand. Multiple opinions have been reported regarding the concept of these two terms. Brand equity is dependent on two dimensions such as the marketing elements (4P) and the non-marketing Both of these factors effectively help in creating brand equity dimensions, that further developed into brand equity. The consumer perspective and financial perspective of the company is depended on brand equity</w:t>
      </w:r>
      <w:r>
        <w:rPr>
          <w:b/>
          <w:bCs/>
          <w:i w:val="0"/>
          <w:iCs w:val="0"/>
        </w:rPr>
        <w:t xml:space="preserve"> [Refer to appendix 2].</w:t>
      </w:r>
      <w:r>
        <w:rPr>
          <w:i w:val="0"/>
          <w:iCs w:val="0"/>
        </w:rPr>
        <w:t>  As opined by Shariq, (2018), defining a brand is the most important aspect for a company as it can create the overall brand image and value proposition for a brand. The process of converting a product into a brand is called branding. The branding strategy of a firm reflects the nature and the products of the brands. The marketing strategy also plays a significant role in developing a brand image and branding perspectives. Branding equity is also important for understanding the driving determinants of any company such as channel, advertising, name and spokesperson of a company. Therefore, branding and equity are highly important for any business to create brand awareness and brand image for their customers. </w:t>
      </w:r>
    </w:p>
    <w:p>
      <w:pPr>
        <w:pStyle w:val="8"/>
        <w:spacing w:line="360" w:lineRule="auto"/>
        <w:jc w:val="both"/>
        <w:rPr>
          <w:i w:val="0"/>
          <w:iCs w:val="0"/>
        </w:rPr>
      </w:pPr>
      <w:r>
        <w:rPr>
          <w:i w:val="0"/>
          <w:iCs w:val="0"/>
        </w:rPr>
        <w:t xml:space="preserve">Tesco is conscious of its brand image. However, since the beginning with an effective marketing strategy, Tesco has invited a large customer base inside the company. The fundamental branding strategy of Tesco is related to its excellent product services with affordable price ranges. Along with that the sustainability approaches of Tesco, also work as the key driving factor for ensuring an effective brand image in the community. </w:t>
      </w:r>
    </w:p>
    <w:p>
      <w:pPr>
        <w:pStyle w:val="2"/>
        <w:rPr>
          <w:rFonts w:cs="Times New Roman"/>
          <w:i w:val="0"/>
          <w:iCs w:val="0"/>
          <w:color w:val="auto"/>
          <w:sz w:val="24"/>
          <w:szCs w:val="24"/>
        </w:rPr>
      </w:pPr>
      <w:bookmarkStart w:id="7" w:name="_Toc122104236"/>
      <w:r>
        <w:rPr>
          <w:rFonts w:cs="Times New Roman"/>
          <w:i w:val="0"/>
          <w:iCs w:val="0"/>
          <w:color w:val="auto"/>
          <w:sz w:val="24"/>
          <w:szCs w:val="24"/>
        </w:rPr>
        <w:t>Brand equity model</w:t>
      </w:r>
      <w:bookmarkEnd w:id="7"/>
      <w:r>
        <w:rPr>
          <w:rFonts w:cs="Times New Roman"/>
          <w:i w:val="0"/>
          <w:iCs w:val="0"/>
          <w:color w:val="auto"/>
          <w:sz w:val="24"/>
          <w:szCs w:val="24"/>
        </w:rPr>
        <w:t xml:space="preserve"> </w:t>
      </w:r>
    </w:p>
    <w:p>
      <w:pPr>
        <w:pStyle w:val="8"/>
        <w:spacing w:line="360" w:lineRule="auto"/>
        <w:jc w:val="both"/>
        <w:rPr>
          <w:i w:val="0"/>
          <w:iCs w:val="0"/>
        </w:rPr>
      </w:pPr>
      <w:r>
        <w:rPr>
          <w:i w:val="0"/>
          <w:iCs w:val="0"/>
        </w:rPr>
        <w:t xml:space="preserve">As explained earlier, the fundamental concept of brand equity is highly important from an organizational perspective. It helps in creating a brand reputation, ensuring high customer engagement and increasing the profitability index of a company. Keller's brand equity model is highly effective in analyzing the concept of brand equity and its importance for organizational development. The Keller brand equity model is also known as the </w:t>
      </w:r>
      <w:r>
        <w:rPr>
          <w:i w:val="0"/>
          <w:iCs w:val="0"/>
        </w:rPr>
        <w:t>"</w:t>
      </w:r>
      <w:r>
        <w:rPr>
          <w:b/>
          <w:bCs/>
          <w:i w:val="0"/>
          <w:iCs w:val="0"/>
        </w:rPr>
        <w:t>Customer-Based Brand Equity (CBBE) model"</w:t>
      </w:r>
      <w:r>
        <w:rPr>
          <w:b/>
          <w:bCs/>
          <w:i w:val="0"/>
          <w:iCs w:val="0"/>
        </w:rPr>
        <w:t>.</w:t>
      </w:r>
      <w:r>
        <w:rPr>
          <w:i w:val="0"/>
          <w:iCs w:val="0"/>
        </w:rPr>
        <w:t xml:space="preserve"> This management tool helps a company in finding ways for building strong and potential brand shaping (</w:t>
      </w:r>
      <w:r>
        <w:rPr>
          <w:i w:val="0"/>
          <w:iCs w:val="0"/>
          <w:shd w:val="clear" w:color="auto" w:fill="FFFFFF"/>
        </w:rPr>
        <w:t xml:space="preserve">Keller and Brexendorf, 2019). </w:t>
      </w:r>
      <w:r>
        <w:rPr>
          <w:i w:val="0"/>
          <w:iCs w:val="0"/>
        </w:rPr>
        <w:t xml:space="preserve"> Along with that it also helps in shaping the mind of the customers and identifying a proper stage in which the brand belongs to. Therefore, this model effectively helps in identifying a suitable stage for brand positioning. There are 4 key elements of brand equity such as brand loyalty, brand association, perceived quality and brand awareness. All these factors effectively contribute to developing brand equity. This model has been invented by Kevin Way Keller and there are 4 levels in the pyramid Relationship, Response, Meaning and Identity (</w:t>
      </w:r>
      <w:r>
        <w:rPr>
          <w:i w:val="0"/>
          <w:iCs w:val="0"/>
          <w:shd w:val="clear" w:color="auto" w:fill="FFFFFF"/>
        </w:rPr>
        <w:t>Tasci, 2020).</w:t>
      </w:r>
      <w:r>
        <w:rPr>
          <w:i w:val="0"/>
          <w:iCs w:val="0"/>
        </w:rPr>
        <w:t xml:space="preserve"> For the creation of a solid and impactful brand, their aspects are needed to be considered. For implementing this model in any organization, first, the brand identity is needed to be created. After that, through effective communication and recognizing the relationship among the customers, proper brand equity can be created. There are multiple advantages and disadvantages associated with this model. This model can facilitate any company's long-term growth. This theory potentially leverages the brand value, hence the accessibility of the products is increased. Hence, the chances for exploring new market and geographic area is increased through the implementation of this model. A strong brand identity helps in differentiating any company from the competitors in the existing market. This also helps in creating emotional connections with the customers, which directly helps in increasing customer satisfaction rate.  The negotiation power of the company also increases through this. Therefore, these can be considered as the advantages of Keller's brand equity model. </w:t>
      </w:r>
    </w:p>
    <w:p>
      <w:pPr>
        <w:pStyle w:val="8"/>
        <w:spacing w:line="360" w:lineRule="auto"/>
        <w:jc w:val="both"/>
        <w:rPr>
          <w:i w:val="0"/>
          <w:iCs w:val="0"/>
        </w:rPr>
      </w:pPr>
      <w:r>
        <w:rPr>
          <w:i w:val="0"/>
          <w:iCs w:val="0"/>
        </w:rPr>
        <w:t>There are also multiple disadvantages of this model too. The development cost of the brand awareness and brand equity model is huge; hence, this can drain monetary resources from an organization. The flexibility and quality of the models are limited to certain companies only. Hence the application is not possible in all companies. Moreover, it is always hard to change the perception of any existing brand to its customers. Despite these disadvantages in a business context., this theory can potentially increase the brand value of any company along with creating an effective brand image within the company. Therefore, Tesco can implement Keller's brand equity model for creating brand value for an organization.  Along with that, it is also effective in developing brand awareness among the customers about any selected brand. Hence, the market reputation of Tesco can also be enriched. </w:t>
      </w:r>
    </w:p>
    <w:p>
      <w:pPr>
        <w:pStyle w:val="2"/>
        <w:rPr>
          <w:rFonts w:cs="Times New Roman"/>
          <w:i w:val="0"/>
          <w:iCs w:val="0"/>
          <w:color w:val="auto"/>
          <w:sz w:val="24"/>
          <w:szCs w:val="24"/>
        </w:rPr>
      </w:pPr>
      <w:bookmarkStart w:id="8" w:name="_Toc122104237"/>
      <w:r>
        <w:rPr>
          <w:rFonts w:cs="Times New Roman"/>
          <w:i w:val="0"/>
          <w:iCs w:val="0"/>
          <w:color w:val="auto"/>
          <w:sz w:val="24"/>
          <w:szCs w:val="24"/>
        </w:rPr>
        <w:t>Customer journey mapping</w:t>
      </w:r>
      <w:bookmarkEnd w:id="8"/>
      <w:r>
        <w:rPr>
          <w:rFonts w:cs="Times New Roman"/>
          <w:i w:val="0"/>
          <w:iCs w:val="0"/>
          <w:color w:val="auto"/>
          <w:sz w:val="24"/>
          <w:szCs w:val="24"/>
        </w:rPr>
        <w:t xml:space="preserve"> </w:t>
      </w:r>
    </w:p>
    <w:p>
      <w:pPr>
        <w:pStyle w:val="8"/>
        <w:spacing w:line="360" w:lineRule="auto"/>
        <w:jc w:val="both"/>
        <w:rPr>
          <w:i w:val="0"/>
          <w:iCs w:val="0"/>
        </w:rPr>
      </w:pPr>
      <w:r>
        <w:rPr>
          <w:i w:val="0"/>
          <w:iCs w:val="0"/>
        </w:rPr>
        <w:t>As opined by Micheaux and Bosio, (2019), customer journey mapping is regarded as an essential tool as it can help in analyzing the customer's interaction with a brand; hence it makes the task easier for a company to formulate their strategies. Multiple touch points of a customer journey map effectively analyse the overall experience of a customer while purchasing any product of a brand. A customer journey map has been created here for evaluating the touchpoints of a Tesco consumer after purchasing any product from the Tesco store or online. The customer journey mapping of a Tesco consumer has been shown below:</w:t>
      </w:r>
    </w:p>
    <w:p>
      <w:pPr>
        <w:pStyle w:val="8"/>
        <w:spacing w:line="360" w:lineRule="auto"/>
        <w:jc w:val="both"/>
        <w:rPr>
          <w:i w:val="0"/>
          <w:iCs w:val="0"/>
        </w:rPr>
      </w:pPr>
      <w:r>
        <w:rPr>
          <w:i w:val="0"/>
          <w:iCs w:val="0"/>
        </w:rPr>
        <w:drawing>
          <wp:inline distT="0" distB="0" distL="0" distR="0">
            <wp:extent cx="5943600" cy="2198370"/>
            <wp:effectExtent l="38100" t="57150" r="114300" b="87492"/>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noChangeArrowheads="1"/>
                    </pic:cNvPicPr>
                  </pic:nvPicPr>
                  <pic:blipFill>
                    <a:blip r:embed="rId16"/>
                    <a:stretch>
                      <a:fillRect/>
                    </a:stretch>
                  </pic:blipFill>
                  <pic:spPr>
                    <a:xfrm>
                      <a:off x="0" y="0"/>
                      <a:ext cx="5943600" cy="2198508"/>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6: Customer journey mapping</w:t>
      </w:r>
    </w:p>
    <w:p>
      <w:pPr>
        <w:pStyle w:val="8"/>
        <w:spacing w:line="360" w:lineRule="auto"/>
        <w:jc w:val="center"/>
        <w:rPr>
          <w:i w:val="0"/>
          <w:iCs w:val="0"/>
        </w:rPr>
      </w:pPr>
      <w:r>
        <w:rPr>
          <w:i w:val="0"/>
          <w:iCs w:val="0"/>
        </w:rPr>
        <w:t>(Source: Self-developed)</w:t>
      </w:r>
    </w:p>
    <w:p>
      <w:pPr>
        <w:pStyle w:val="8"/>
        <w:spacing w:line="360" w:lineRule="auto"/>
        <w:jc w:val="both"/>
        <w:rPr>
          <w:i w:val="0"/>
          <w:iCs w:val="0"/>
        </w:rPr>
      </w:pPr>
      <w:r>
        <w:rPr>
          <w:i w:val="0"/>
          <w:iCs w:val="0"/>
        </w:rPr>
        <w:t xml:space="preserve">From the above-indicated figure, a total of 6 touch points have been found. It has been noted that while searching for a retail product, customers have taken the help of online searching and found Tesco as the most effective one. The customer is highly satisfied with the search results; however, the customer was not satisfied with the available options on the w websites and stores. However, the services, provided by Tesco have impressed the customer and the attractive features of the products, the billing and delivery processes have impressed the customers. Hence the overall journey of the customer was satisfied. In this way, an idea has been gained about the overall journey of the customer at Tesco. This customer journey map can help modify the existing business strategy of Tesco and make it more consumer-friendly. </w:t>
      </w:r>
    </w:p>
    <w:p>
      <w:pPr>
        <w:pStyle w:val="2"/>
        <w:rPr>
          <w:rFonts w:cs="Times New Roman"/>
          <w:i w:val="0"/>
          <w:iCs w:val="0"/>
          <w:color w:val="auto"/>
          <w:sz w:val="24"/>
          <w:szCs w:val="24"/>
        </w:rPr>
      </w:pPr>
      <w:bookmarkStart w:id="9" w:name="_Toc122104238"/>
      <w:r>
        <w:rPr>
          <w:rFonts w:cs="Times New Roman"/>
          <w:i w:val="0"/>
          <w:iCs w:val="0"/>
          <w:color w:val="auto"/>
          <w:sz w:val="24"/>
          <w:szCs w:val="24"/>
        </w:rPr>
        <w:t>Total engagement model</w:t>
      </w:r>
      <w:bookmarkEnd w:id="9"/>
      <w:r>
        <w:rPr>
          <w:rFonts w:cs="Times New Roman"/>
          <w:i w:val="0"/>
          <w:iCs w:val="0"/>
          <w:color w:val="auto"/>
          <w:sz w:val="24"/>
          <w:szCs w:val="24"/>
        </w:rPr>
        <w:t xml:space="preserve"> </w:t>
      </w:r>
    </w:p>
    <w:p>
      <w:pPr>
        <w:pStyle w:val="8"/>
        <w:spacing w:line="360" w:lineRule="auto"/>
        <w:jc w:val="both"/>
        <w:rPr>
          <w:i w:val="0"/>
          <w:iCs w:val="0"/>
        </w:rPr>
      </w:pPr>
      <w:r>
        <w:rPr>
          <w:i w:val="0"/>
          <w:iCs w:val="0"/>
        </w:rPr>
        <w:t>The total engagement model is focused on customer engagement with a certain brand. As per this theory, an engaged customer is always loyal and focused on promoting and recommending the brand to others., In this way, these engaged customers can enhance the brand reputation and create a brand image for a company. The three major elements of this model are customer, employees and organization. As opined by Firdinata and Hendriyani, (2021), the TEM is beneficial in creating brand awareness and improving brand quality by focusing on the customer's opinion. Similarly, Abbott e</w:t>
      </w:r>
      <w:r>
        <w:rPr>
          <w:i w:val="0"/>
          <w:iCs w:val="0"/>
        </w:rPr>
        <w:t>t al</w:t>
      </w:r>
      <w:r>
        <w:rPr>
          <w:i w:val="0"/>
          <w:iCs w:val="0"/>
        </w:rPr>
        <w:t>. (2021), have stated that TEM is needed in organizational perspectives for developing a value proposition. Based on the value proposition, successive buisness strategies are created within an organization. similarly, the author has indicated the importance of stakeholders' engagement in buisness for achieving the organisational goals. There are multiple advantages of this TEM such as it can deliver a planned and unique type of customer experience within an organization. Along with that the commitment of the staff and the consumers are increased through this model. However, strong customer insight is needed for developing this model. </w:t>
      </w:r>
    </w:p>
    <w:p>
      <w:pPr>
        <w:pStyle w:val="8"/>
        <w:spacing w:line="360" w:lineRule="auto"/>
        <w:jc w:val="both"/>
        <w:rPr>
          <w:i w:val="0"/>
          <w:iCs w:val="0"/>
        </w:rPr>
      </w:pPr>
      <w:r>
        <w:rPr>
          <w:i w:val="0"/>
          <w:iCs w:val="0"/>
        </w:rPr>
        <w:t xml:space="preserve">The customer engagement of Tesco is strong and it can effectively help in engaging a large number of customers in the company. Similarly, the customer retention rate of Tesco is also high. However, the implementation of the TEM can modify the existing customer engagement model and positively influences the customer's engagement with the brand. In this way, better brand performance is achieved and a reputed brand image is created within the company. The total engagement model is also effective in enhancing the existing customer base within a company. It also creates a positive impact on the market reputation of any brand. </w:t>
      </w:r>
    </w:p>
    <w:p>
      <w:pPr>
        <w:pStyle w:val="2"/>
        <w:rPr>
          <w:rFonts w:cs="Times New Roman"/>
          <w:i w:val="0"/>
          <w:iCs w:val="0"/>
          <w:color w:val="auto"/>
          <w:sz w:val="24"/>
          <w:szCs w:val="24"/>
        </w:rPr>
      </w:pPr>
      <w:bookmarkStart w:id="10" w:name="_Toc122104239"/>
      <w:r>
        <w:rPr>
          <w:rFonts w:cs="Times New Roman"/>
          <w:i w:val="0"/>
          <w:iCs w:val="0"/>
          <w:color w:val="auto"/>
          <w:sz w:val="24"/>
          <w:szCs w:val="24"/>
        </w:rPr>
        <w:t>Conclusion</w:t>
      </w:r>
      <w:bookmarkEnd w:id="10"/>
      <w:r>
        <w:rPr>
          <w:rFonts w:cs="Times New Roman"/>
          <w:i w:val="0"/>
          <w:iCs w:val="0"/>
          <w:color w:val="auto"/>
          <w:sz w:val="24"/>
          <w:szCs w:val="24"/>
        </w:rPr>
        <w:t xml:space="preserve"> </w:t>
      </w:r>
    </w:p>
    <w:p>
      <w:pPr>
        <w:pStyle w:val="8"/>
        <w:spacing w:line="360" w:lineRule="auto"/>
        <w:jc w:val="both"/>
        <w:rPr>
          <w:i w:val="0"/>
          <w:iCs w:val="0"/>
        </w:rPr>
      </w:pPr>
      <w:r>
        <w:rPr>
          <w:i w:val="0"/>
          <w:iCs w:val="0"/>
        </w:rPr>
        <w:t xml:space="preserve">Communication, marketing and promotion are regarded as the three fundamental pillars of any business. Tesco is one of the leading multinational retailing brands in the UK and all across the world. This report has analyzed the concept of promotion, marketing and communication with special reference to Tesco. A brief analysis of the company background has been given and it highlighted the amount of annual revenue, origin place and foundation year of Tesco. Along with that other basic information about this company has also been given here. After that, the importance of communication in buisness perspectives has been stated critically. Multiple communication theories such as </w:t>
      </w:r>
      <w:r>
        <w:rPr>
          <w:b/>
          <w:bCs/>
          <w:i w:val="0"/>
          <w:iCs w:val="0"/>
        </w:rPr>
        <w:t>Authoritarian Theory, and the "Classical theory of communication" have been highlighted and the 7cs of communication model</w:t>
      </w:r>
      <w:r>
        <w:rPr>
          <w:i w:val="0"/>
          <w:iCs w:val="0"/>
        </w:rPr>
        <w:t xml:space="preserve"> has been elaborated. After that, a digital promotional strategy has been suggested to Tesco for gaining a large customer base in the company. Along with that, it can also be used in raising brand awareness. The concept of branding and equity is also focused on in this report and analysed with proper justification. Through the development of the customer journey map, the insights into a customer's experience have been analyzed here. Lastly, the total engagement model has also been analysed here for gaining an idea about customer engagement. In this way, the overall buisness satrtegy of Tesco has been analyzed here with proper justification. </w:t>
      </w:r>
    </w:p>
    <w:p>
      <w:pPr>
        <w:spacing w:line="360" w:lineRule="auto"/>
        <w:rPr>
          <w:rFonts w:ascii="Times New Roman" w:hAnsi="Times New Roman" w:eastAsia="Times New Roman" w:cs="Times New Roman"/>
          <w:i w:val="0"/>
          <w:iCs w:val="0"/>
          <w:sz w:val="24"/>
          <w:szCs w:val="24"/>
        </w:rPr>
      </w:pPr>
      <w:r>
        <w:rPr>
          <w:rFonts w:ascii="Times New Roman" w:hAnsi="Times New Roman" w:cs="Times New Roman"/>
          <w:i w:val="0"/>
          <w:iCs w:val="0"/>
          <w:sz w:val="24"/>
          <w:szCs w:val="24"/>
        </w:rPr>
        <w:br w:type="page"/>
      </w:r>
    </w:p>
    <w:p>
      <w:pPr>
        <w:pStyle w:val="2"/>
        <w:rPr>
          <w:rFonts w:cs="Times New Roman"/>
          <w:i w:val="0"/>
          <w:iCs w:val="0"/>
          <w:color w:val="auto"/>
          <w:sz w:val="24"/>
          <w:szCs w:val="24"/>
        </w:rPr>
      </w:pPr>
      <w:bookmarkStart w:id="11" w:name="_Toc122104240"/>
      <w:r>
        <w:rPr>
          <w:rFonts w:cs="Times New Roman"/>
          <w:i w:val="0"/>
          <w:iCs w:val="0"/>
          <w:color w:val="auto"/>
          <w:sz w:val="24"/>
          <w:szCs w:val="24"/>
        </w:rPr>
        <w:t>References</w:t>
      </w:r>
      <w:bookmarkEnd w:id="11"/>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Abbott, C., Bandara, W., French, E., Tate, M. and Mathiesen, P., 2021, September. A Stakeholder Engagement Model for Process Improvement Initiatives. In </w:t>
      </w:r>
      <w:r>
        <w:rPr>
          <w:rFonts w:ascii="Times New Roman" w:hAnsi="Times New Roman" w:cs="Times New Roman"/>
          <w:i w:val="0"/>
          <w:iCs w:val="0"/>
          <w:sz w:val="24"/>
          <w:szCs w:val="24"/>
          <w:shd w:val="clear" w:color="auto" w:fill="FFFFFF"/>
        </w:rPr>
        <w:t>International Conference on Business Process Management</w:t>
      </w:r>
      <w:r>
        <w:rPr>
          <w:rFonts w:ascii="Times New Roman" w:hAnsi="Times New Roman" w:cs="Times New Roman"/>
          <w:i w:val="0"/>
          <w:iCs w:val="0"/>
          <w:sz w:val="24"/>
          <w:szCs w:val="24"/>
          <w:shd w:val="clear" w:color="auto" w:fill="FFFFFF"/>
        </w:rPr>
        <w:t> (pp. 455-472). Springer, Cham.</w:t>
      </w:r>
      <w:r>
        <w:rPr>
          <w:rFonts w:ascii="Times New Roman" w:hAnsi="Times New Roman" w:cs="Times New Roman"/>
          <w:i w:val="0"/>
          <w:iCs w:val="0"/>
          <w:sz w:val="24"/>
          <w:szCs w:val="24"/>
        </w:rPr>
        <w:t>DOI: 10.1007/978-3-030-85469-0_28</w:t>
      </w:r>
    </w:p>
    <w:p>
      <w:pPr>
        <w:spacing w:line="360" w:lineRule="auto"/>
        <w:jc w:val="both"/>
        <w:rPr>
          <w:rFonts w:ascii="Times New Roman" w:hAnsi="Times New Roman" w:cs="Times New Roman"/>
          <w:i w:val="0"/>
          <w:iCs w:val="0"/>
          <w:sz w:val="24"/>
          <w:szCs w:val="24"/>
          <w:shd w:val="clear" w:color="auto" w:fill="FFFFFF"/>
        </w:rPr>
      </w:pPr>
      <w:r>
        <w:rPr>
          <w:rFonts w:ascii="Times New Roman" w:hAnsi="Times New Roman" w:cs="Times New Roman"/>
          <w:i w:val="0"/>
          <w:iCs w:val="0"/>
          <w:sz w:val="24"/>
          <w:szCs w:val="24"/>
          <w:shd w:val="clear" w:color="auto" w:fill="FFFFFF"/>
        </w:rPr>
        <w:t>Ballesteros-Sola, M., 2017. Service Leaning: a key pedagogical tool for gaining a deeper understanding of Yunus Social Business. </w:t>
      </w:r>
      <w:r>
        <w:rPr>
          <w:rFonts w:ascii="Times New Roman" w:hAnsi="Times New Roman" w:cs="Times New Roman"/>
          <w:i w:val="0"/>
          <w:iCs w:val="0"/>
          <w:sz w:val="24"/>
          <w:szCs w:val="24"/>
          <w:shd w:val="clear" w:color="auto" w:fill="FFFFFF"/>
        </w:rPr>
        <w:t>International Journal of Social Business</w:t>
      </w:r>
      <w:r>
        <w:rPr>
          <w:rFonts w:ascii="Times New Roman" w:hAnsi="Times New Roman" w:cs="Times New Roman"/>
          <w:i w:val="0"/>
          <w:iCs w:val="0"/>
          <w:sz w:val="24"/>
          <w:szCs w:val="24"/>
          <w:shd w:val="clear" w:color="auto" w:fill="FFFFFF"/>
        </w:rPr>
        <w:t>, pp.12-24.</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Borca, C. and Baesu, V., 2014. A possible managerial approach for internal organizational communication characterization. </w:t>
      </w:r>
      <w:r>
        <w:rPr>
          <w:rFonts w:ascii="Times New Roman" w:hAnsi="Times New Roman" w:cs="Times New Roman"/>
          <w:i w:val="0"/>
          <w:iCs w:val="0"/>
          <w:sz w:val="24"/>
          <w:szCs w:val="24"/>
          <w:shd w:val="clear" w:color="auto" w:fill="FFFFFF"/>
        </w:rPr>
        <w:t>Procedia-Social and Behavioral Sciences</w:t>
      </w:r>
      <w:r>
        <w:rPr>
          <w:rFonts w:ascii="Times New Roman" w:hAnsi="Times New Roman" w:cs="Times New Roman"/>
          <w:i w:val="0"/>
          <w:iCs w:val="0"/>
          <w:sz w:val="24"/>
          <w:szCs w:val="24"/>
          <w:shd w:val="clear" w:color="auto" w:fill="FFFFFF"/>
        </w:rPr>
        <w:t>, </w:t>
      </w:r>
      <w:r>
        <w:rPr>
          <w:rFonts w:ascii="Times New Roman" w:hAnsi="Times New Roman" w:cs="Times New Roman"/>
          <w:i w:val="0"/>
          <w:iCs w:val="0"/>
          <w:sz w:val="24"/>
          <w:szCs w:val="24"/>
          <w:shd w:val="clear" w:color="auto" w:fill="FFFFFF"/>
        </w:rPr>
        <w:t>124</w:t>
      </w:r>
      <w:r>
        <w:rPr>
          <w:rFonts w:ascii="Times New Roman" w:hAnsi="Times New Roman" w:cs="Times New Roman"/>
          <w:i w:val="0"/>
          <w:iCs w:val="0"/>
          <w:sz w:val="24"/>
          <w:szCs w:val="24"/>
          <w:shd w:val="clear" w:color="auto" w:fill="FFFFFF"/>
        </w:rPr>
        <w:t>, pp.496-503.</w:t>
      </w:r>
      <w:r>
        <w:rPr>
          <w:i w:val="0"/>
          <w:iCs w:val="0"/>
        </w:rPr>
        <w:fldChar w:fldCharType="begin"/>
      </w:r>
      <w:r>
        <w:rPr>
          <w:i w:val="0"/>
          <w:iCs w:val="0"/>
        </w:rPr>
        <w:instrText xml:space="preserve"> HYPERLINK "https://doi.org/10.1016/j.sbspro.2014.02.512" </w:instrText>
      </w:r>
      <w:r>
        <w:rPr>
          <w:i w:val="0"/>
          <w:iCs w:val="0"/>
        </w:rPr>
        <w:fldChar w:fldCharType="separate"/>
      </w:r>
      <w:r>
        <w:rPr>
          <w:rStyle w:val="7"/>
          <w:rFonts w:ascii="Times New Roman" w:hAnsi="Times New Roman" w:cs="Times New Roman"/>
          <w:i w:val="0"/>
          <w:iCs w:val="0"/>
          <w:color w:val="auto"/>
          <w:sz w:val="24"/>
          <w:szCs w:val="24"/>
        </w:rPr>
        <w:t>https://doi.org/10.1016/j.sbspro.2014.02.512</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Carlson, J., Wyllie, J., Rahman, M.M. and Voola, R., 2019. Enhancing brand relationship performance through customer participation and value creation in social media brand communities. </w:t>
      </w:r>
      <w:r>
        <w:rPr>
          <w:rFonts w:ascii="Times New Roman" w:hAnsi="Times New Roman" w:cs="Times New Roman"/>
          <w:i w:val="0"/>
          <w:iCs w:val="0"/>
          <w:sz w:val="24"/>
          <w:szCs w:val="24"/>
          <w:shd w:val="clear" w:color="auto" w:fill="FFFFFF"/>
        </w:rPr>
        <w:t>Journal of Retailing and Consumer Services</w:t>
      </w:r>
      <w:r>
        <w:rPr>
          <w:rFonts w:ascii="Times New Roman" w:hAnsi="Times New Roman" w:cs="Times New Roman"/>
          <w:i w:val="0"/>
          <w:iCs w:val="0"/>
          <w:sz w:val="24"/>
          <w:szCs w:val="24"/>
          <w:shd w:val="clear" w:color="auto" w:fill="FFFFFF"/>
        </w:rPr>
        <w:t>, </w:t>
      </w:r>
      <w:r>
        <w:rPr>
          <w:rFonts w:ascii="Times New Roman" w:hAnsi="Times New Roman" w:cs="Times New Roman"/>
          <w:i w:val="0"/>
          <w:iCs w:val="0"/>
          <w:sz w:val="24"/>
          <w:szCs w:val="24"/>
          <w:shd w:val="clear" w:color="auto" w:fill="FFFFFF"/>
        </w:rPr>
        <w:t>50</w:t>
      </w:r>
      <w:r>
        <w:rPr>
          <w:rFonts w:ascii="Times New Roman" w:hAnsi="Times New Roman" w:cs="Times New Roman"/>
          <w:i w:val="0"/>
          <w:iCs w:val="0"/>
          <w:sz w:val="24"/>
          <w:szCs w:val="24"/>
          <w:shd w:val="clear" w:color="auto" w:fill="FFFFFF"/>
        </w:rPr>
        <w:t>, pp.333-341.</w:t>
      </w:r>
      <w:r>
        <w:rPr>
          <w:i w:val="0"/>
          <w:iCs w:val="0"/>
        </w:rPr>
        <w:fldChar w:fldCharType="begin"/>
      </w:r>
      <w:r>
        <w:rPr>
          <w:i w:val="0"/>
          <w:iCs w:val="0"/>
        </w:rPr>
        <w:instrText xml:space="preserve"> HYPERLINK "https://doi.org/10.1016/j.jretconser.2018.07.008" </w:instrText>
      </w:r>
      <w:r>
        <w:rPr>
          <w:i w:val="0"/>
          <w:iCs w:val="0"/>
        </w:rPr>
        <w:fldChar w:fldCharType="separate"/>
      </w:r>
      <w:r>
        <w:rPr>
          <w:rStyle w:val="7"/>
          <w:rFonts w:ascii="Times New Roman" w:hAnsi="Times New Roman" w:cs="Times New Roman"/>
          <w:i w:val="0"/>
          <w:iCs w:val="0"/>
          <w:color w:val="auto"/>
          <w:sz w:val="24"/>
          <w:szCs w:val="24"/>
        </w:rPr>
        <w:t>https://doi.org/10.1016/j.jretconser.2018.07.008</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 xml:space="preserve">Communicationtheory.org (2022). </w:t>
      </w:r>
      <w:r>
        <w:rPr>
          <w:rFonts w:ascii="Times New Roman" w:hAnsi="Times New Roman" w:cs="Times New Roman"/>
          <w:i w:val="0"/>
          <w:iCs w:val="0"/>
          <w:sz w:val="24"/>
          <w:szCs w:val="24"/>
        </w:rPr>
        <w:t>Communication theories.</w:t>
      </w:r>
      <w:r>
        <w:rPr>
          <w:rFonts w:ascii="Times New Roman" w:hAnsi="Times New Roman" w:cs="Times New Roman"/>
          <w:i w:val="0"/>
          <w:iCs w:val="0"/>
          <w:sz w:val="24"/>
          <w:szCs w:val="24"/>
        </w:rPr>
        <w:t xml:space="preserve"> Available from </w:t>
      </w:r>
      <w:r>
        <w:rPr>
          <w:i w:val="0"/>
          <w:iCs w:val="0"/>
        </w:rPr>
        <w:fldChar w:fldCharType="begin"/>
      </w:r>
      <w:r>
        <w:rPr>
          <w:i w:val="0"/>
          <w:iCs w:val="0"/>
        </w:rPr>
        <w:instrText xml:space="preserve"> HYPERLINK "https://www.communicationtheory.org/authoritarian-theory/" </w:instrText>
      </w:r>
      <w:r>
        <w:rPr>
          <w:i w:val="0"/>
          <w:iCs w:val="0"/>
        </w:rPr>
        <w:fldChar w:fldCharType="separate"/>
      </w:r>
      <w:r>
        <w:rPr>
          <w:rStyle w:val="7"/>
          <w:rFonts w:ascii="Times New Roman" w:hAnsi="Times New Roman" w:cs="Times New Roman"/>
          <w:i w:val="0"/>
          <w:iCs w:val="0"/>
          <w:color w:val="auto"/>
          <w:sz w:val="24"/>
          <w:szCs w:val="24"/>
        </w:rPr>
        <w:t>https://www.communicationtheory.org/authoritarian-theory/</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 Accessed on 16.12.2022.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Englund, T.R., Hedrick, V.E., Duffey, K.J. and Kraak, V.I., 2020. Evaluation of integrated marketing communication strategies used for the Fruits &amp; Veggies Campaign in California and Virginia. </w:t>
      </w:r>
      <w:r>
        <w:rPr>
          <w:rFonts w:ascii="Times New Roman" w:hAnsi="Times New Roman" w:cs="Times New Roman"/>
          <w:i w:val="0"/>
          <w:iCs w:val="0"/>
          <w:sz w:val="24"/>
          <w:szCs w:val="24"/>
          <w:shd w:val="clear" w:color="auto" w:fill="FFFFFF"/>
        </w:rPr>
        <w:t>Preventive medicine reports</w:t>
      </w:r>
      <w:r>
        <w:rPr>
          <w:rFonts w:ascii="Times New Roman" w:hAnsi="Times New Roman" w:cs="Times New Roman"/>
          <w:i w:val="0"/>
          <w:iCs w:val="0"/>
          <w:sz w:val="24"/>
          <w:szCs w:val="24"/>
          <w:shd w:val="clear" w:color="auto" w:fill="FFFFFF"/>
        </w:rPr>
        <w:t>, </w:t>
      </w:r>
      <w:r>
        <w:rPr>
          <w:rFonts w:ascii="Times New Roman" w:hAnsi="Times New Roman" w:cs="Times New Roman"/>
          <w:i w:val="0"/>
          <w:iCs w:val="0"/>
          <w:sz w:val="24"/>
          <w:szCs w:val="24"/>
          <w:shd w:val="clear" w:color="auto" w:fill="FFFFFF"/>
        </w:rPr>
        <w:t>18</w:t>
      </w:r>
      <w:r>
        <w:rPr>
          <w:rFonts w:ascii="Times New Roman" w:hAnsi="Times New Roman" w:cs="Times New Roman"/>
          <w:i w:val="0"/>
          <w:iCs w:val="0"/>
          <w:sz w:val="24"/>
          <w:szCs w:val="24"/>
          <w:shd w:val="clear" w:color="auto" w:fill="FFFFFF"/>
        </w:rPr>
        <w:t>, p.101062.</w:t>
      </w:r>
      <w:r>
        <w:rPr>
          <w:rFonts w:ascii="Times New Roman" w:hAnsi="Times New Roman" w:cs="Times New Roman"/>
          <w:i w:val="0"/>
          <w:iCs w:val="0"/>
          <w:sz w:val="24"/>
          <w:szCs w:val="24"/>
        </w:rPr>
        <w:t xml:space="preserve"> </w:t>
      </w:r>
      <w:r>
        <w:rPr>
          <w:i w:val="0"/>
          <w:iCs w:val="0"/>
        </w:rPr>
        <w:fldChar w:fldCharType="begin"/>
      </w:r>
      <w:r>
        <w:rPr>
          <w:i w:val="0"/>
          <w:iCs w:val="0"/>
        </w:rPr>
        <w:instrText xml:space="preserve"> HYPERLINK "https://doi.org/10.1016/j.pmedr.2020.101062" </w:instrText>
      </w:r>
      <w:r>
        <w:rPr>
          <w:i w:val="0"/>
          <w:iCs w:val="0"/>
        </w:rPr>
        <w:fldChar w:fldCharType="separate"/>
      </w:r>
      <w:r>
        <w:rPr>
          <w:rStyle w:val="7"/>
          <w:rFonts w:ascii="Times New Roman" w:hAnsi="Times New Roman" w:cs="Times New Roman"/>
          <w:i w:val="0"/>
          <w:iCs w:val="0"/>
          <w:color w:val="auto"/>
          <w:sz w:val="24"/>
          <w:szCs w:val="24"/>
        </w:rPr>
        <w:t>https://doi.org/10.1016/j.pmedr.2020.101062</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Firdinata, R. and Hendriyani, H., 2021, February. Employee Engagement Model: A Study Among Millennials. In </w:t>
      </w:r>
      <w:r>
        <w:rPr>
          <w:rFonts w:ascii="Times New Roman" w:hAnsi="Times New Roman" w:cs="Times New Roman"/>
          <w:i w:val="0"/>
          <w:iCs w:val="0"/>
          <w:sz w:val="24"/>
          <w:szCs w:val="24"/>
          <w:shd w:val="clear" w:color="auto" w:fill="FFFFFF"/>
        </w:rPr>
        <w:t>Procedings of the 1st ICA Regional Conference, ICA 2019, October 16-17 2019, Bali, Indonesia</w:t>
      </w:r>
      <w:r>
        <w:rPr>
          <w:rFonts w:ascii="Times New Roman" w:hAnsi="Times New Roman" w:cs="Times New Roman"/>
          <w:i w:val="0"/>
          <w:iCs w:val="0"/>
          <w:sz w:val="24"/>
          <w:szCs w:val="24"/>
          <w:shd w:val="clear" w:color="auto" w:fill="FFFFFF"/>
        </w:rPr>
        <w:t>.</w:t>
      </w:r>
      <w:r>
        <w:rPr>
          <w:i w:val="0"/>
          <w:iCs w:val="0"/>
        </w:rPr>
        <w:fldChar w:fldCharType="begin"/>
      </w:r>
      <w:r>
        <w:rPr>
          <w:i w:val="0"/>
          <w:iCs w:val="0"/>
        </w:rPr>
        <w:instrText xml:space="preserve"> HYPERLINK "http://dx.doi.org/10.4108/eai.16-10-2019.2304293" </w:instrText>
      </w:r>
      <w:r>
        <w:rPr>
          <w:i w:val="0"/>
          <w:iCs w:val="0"/>
        </w:rPr>
        <w:fldChar w:fldCharType="separate"/>
      </w:r>
      <w:r>
        <w:rPr>
          <w:rStyle w:val="7"/>
          <w:rFonts w:ascii="Times New Roman" w:hAnsi="Times New Roman" w:cs="Times New Roman"/>
          <w:i w:val="0"/>
          <w:iCs w:val="0"/>
          <w:color w:val="auto"/>
          <w:sz w:val="24"/>
          <w:szCs w:val="24"/>
        </w:rPr>
        <w:t>http://dx.doi.org/10.4108/eai.16-10-2019.2304293</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Gordon-Isasi, J., Narvaiza, L. and Gibaja, J.J., 2022. An exploratory approach of the association between integrated marketing communication and business performance in higher education institutions. </w:t>
      </w:r>
      <w:r>
        <w:rPr>
          <w:rFonts w:ascii="Times New Roman" w:hAnsi="Times New Roman" w:cs="Times New Roman"/>
          <w:i w:val="0"/>
          <w:iCs w:val="0"/>
          <w:sz w:val="24"/>
          <w:szCs w:val="24"/>
          <w:shd w:val="clear" w:color="auto" w:fill="FFFFFF"/>
        </w:rPr>
        <w:t>Journal of Marketing for Higher Education</w:t>
      </w:r>
      <w:r>
        <w:rPr>
          <w:rFonts w:ascii="Times New Roman" w:hAnsi="Times New Roman" w:cs="Times New Roman"/>
          <w:i w:val="0"/>
          <w:iCs w:val="0"/>
          <w:sz w:val="24"/>
          <w:szCs w:val="24"/>
          <w:shd w:val="clear" w:color="auto" w:fill="FFFFFF"/>
        </w:rPr>
        <w:t>, pp.1-24.</w:t>
      </w:r>
      <w:r>
        <w:rPr>
          <w:i w:val="0"/>
          <w:iCs w:val="0"/>
        </w:rPr>
        <w:fldChar w:fldCharType="begin"/>
      </w:r>
      <w:r>
        <w:rPr>
          <w:i w:val="0"/>
          <w:iCs w:val="0"/>
        </w:rPr>
        <w:instrText xml:space="preserve"> HYPERLINK "https://doi.org/10.1080/08841241.2022.2070938" </w:instrText>
      </w:r>
      <w:r>
        <w:rPr>
          <w:i w:val="0"/>
          <w:iCs w:val="0"/>
        </w:rPr>
        <w:fldChar w:fldCharType="separate"/>
      </w:r>
      <w:r>
        <w:rPr>
          <w:rStyle w:val="7"/>
          <w:rFonts w:ascii="Times New Roman" w:hAnsi="Times New Roman" w:cs="Times New Roman"/>
          <w:i w:val="0"/>
          <w:iCs w:val="0"/>
          <w:color w:val="auto"/>
          <w:sz w:val="24"/>
          <w:szCs w:val="24"/>
        </w:rPr>
        <w:t>https://doi.org/10.1080/08841241.2022.2070938</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Karmarkar, M.A., 2022. Using Twitter to Teach Business Communication Teaching the 7 C’s of Communication. </w:t>
      </w:r>
      <w:r>
        <w:rPr>
          <w:rFonts w:ascii="Times New Roman" w:hAnsi="Times New Roman" w:cs="Times New Roman"/>
          <w:i w:val="0"/>
          <w:iCs w:val="0"/>
          <w:sz w:val="24"/>
          <w:szCs w:val="24"/>
          <w:shd w:val="clear" w:color="auto" w:fill="FFFFFF"/>
        </w:rPr>
        <w:t>English Language Teachers’ Association of India (ELTAI) J</w:t>
      </w:r>
      <w:r>
        <w:rPr>
          <w:rFonts w:ascii="Times New Roman" w:hAnsi="Times New Roman" w:cs="Times New Roman"/>
          <w:i w:val="0"/>
          <w:iCs w:val="0"/>
          <w:sz w:val="24"/>
          <w:szCs w:val="24"/>
          <w:shd w:val="clear" w:color="auto" w:fill="FFFFFF"/>
        </w:rPr>
        <w:t>, </w:t>
      </w:r>
      <w:r>
        <w:rPr>
          <w:rFonts w:ascii="Times New Roman" w:hAnsi="Times New Roman" w:cs="Times New Roman"/>
          <w:i w:val="0"/>
          <w:iCs w:val="0"/>
          <w:sz w:val="24"/>
          <w:szCs w:val="24"/>
          <w:shd w:val="clear" w:color="auto" w:fill="FFFFFF"/>
        </w:rPr>
        <w:t>64</w:t>
      </w:r>
      <w:r>
        <w:rPr>
          <w:rFonts w:ascii="Times New Roman" w:hAnsi="Times New Roman" w:cs="Times New Roman"/>
          <w:i w:val="0"/>
          <w:iCs w:val="0"/>
          <w:sz w:val="24"/>
          <w:szCs w:val="24"/>
          <w:shd w:val="clear" w:color="auto" w:fill="FFFFFF"/>
        </w:rPr>
        <w:t>(4), p.14.</w:t>
      </w:r>
      <w:r>
        <w:rPr>
          <w:i w:val="0"/>
          <w:iCs w:val="0"/>
        </w:rPr>
        <w:fldChar w:fldCharType="begin"/>
      </w:r>
      <w:r>
        <w:rPr>
          <w:i w:val="0"/>
          <w:iCs w:val="0"/>
        </w:rPr>
        <w:instrText xml:space="preserve"> HYPERLINK "https://jelt.eltai.in/wp-content/uploads/2022/09/ELTAI-JULY-AUGST-2022-WEB-ISSUE.pdf" \l "page=16" </w:instrText>
      </w:r>
      <w:r>
        <w:rPr>
          <w:i w:val="0"/>
          <w:iCs w:val="0"/>
        </w:rPr>
        <w:fldChar w:fldCharType="separate"/>
      </w:r>
      <w:r>
        <w:rPr>
          <w:rStyle w:val="7"/>
          <w:rFonts w:ascii="Times New Roman" w:hAnsi="Times New Roman" w:cs="Times New Roman"/>
          <w:i w:val="0"/>
          <w:iCs w:val="0"/>
          <w:color w:val="auto"/>
          <w:sz w:val="24"/>
          <w:szCs w:val="24"/>
        </w:rPr>
        <w:t>https://jelt.eltai.in/wp-content/uploads/2022/09/ELTAI-JULY-AUGST-2022-WEB-ISSUE.pdf#page=16</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Keller, K.L. and Brexendorf, T.O., 2019. Measuring brand equity. </w:t>
      </w:r>
      <w:r>
        <w:rPr>
          <w:rFonts w:ascii="Times New Roman" w:hAnsi="Times New Roman" w:cs="Times New Roman"/>
          <w:i w:val="0"/>
          <w:iCs w:val="0"/>
          <w:sz w:val="24"/>
          <w:szCs w:val="24"/>
          <w:shd w:val="clear" w:color="auto" w:fill="FFFFFF"/>
        </w:rPr>
        <w:t>Handbuch Markenführung</w:t>
      </w:r>
      <w:r>
        <w:rPr>
          <w:rFonts w:ascii="Times New Roman" w:hAnsi="Times New Roman" w:cs="Times New Roman"/>
          <w:i w:val="0"/>
          <w:iCs w:val="0"/>
          <w:sz w:val="24"/>
          <w:szCs w:val="24"/>
          <w:shd w:val="clear" w:color="auto" w:fill="FFFFFF"/>
        </w:rPr>
        <w:t>, pp.1409-1439.</w:t>
      </w:r>
      <w:r>
        <w:rPr>
          <w:rFonts w:ascii="Times New Roman" w:hAnsi="Times New Roman" w:cs="Times New Roman"/>
          <w:i w:val="0"/>
          <w:iCs w:val="0"/>
          <w:sz w:val="24"/>
          <w:szCs w:val="24"/>
        </w:rPr>
        <w:t>DOI: 10.1007/978-3-658-13342-9_72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Micheaux, A. and Bosio, B., 2019. Customer journey mapping as a new way to teach data-driven marketing as a service. </w:t>
      </w:r>
      <w:r>
        <w:rPr>
          <w:rFonts w:ascii="Times New Roman" w:hAnsi="Times New Roman" w:cs="Times New Roman"/>
          <w:i w:val="0"/>
          <w:iCs w:val="0"/>
          <w:sz w:val="24"/>
          <w:szCs w:val="24"/>
          <w:shd w:val="clear" w:color="auto" w:fill="FFFFFF"/>
        </w:rPr>
        <w:t>Journal of Marketing Education</w:t>
      </w:r>
      <w:r>
        <w:rPr>
          <w:rFonts w:ascii="Times New Roman" w:hAnsi="Times New Roman" w:cs="Times New Roman"/>
          <w:i w:val="0"/>
          <w:iCs w:val="0"/>
          <w:sz w:val="24"/>
          <w:szCs w:val="24"/>
          <w:shd w:val="clear" w:color="auto" w:fill="FFFFFF"/>
        </w:rPr>
        <w:t>, </w:t>
      </w:r>
      <w:r>
        <w:rPr>
          <w:rFonts w:ascii="Times New Roman" w:hAnsi="Times New Roman" w:cs="Times New Roman"/>
          <w:i w:val="0"/>
          <w:iCs w:val="0"/>
          <w:sz w:val="24"/>
          <w:szCs w:val="24"/>
          <w:shd w:val="clear" w:color="auto" w:fill="FFFFFF"/>
        </w:rPr>
        <w:t>41</w:t>
      </w:r>
      <w:r>
        <w:rPr>
          <w:rFonts w:ascii="Times New Roman" w:hAnsi="Times New Roman" w:cs="Times New Roman"/>
          <w:i w:val="0"/>
          <w:iCs w:val="0"/>
          <w:sz w:val="24"/>
          <w:szCs w:val="24"/>
          <w:shd w:val="clear" w:color="auto" w:fill="FFFFFF"/>
        </w:rPr>
        <w:t>(2), pp.127-140.</w:t>
      </w:r>
      <w:r>
        <w:rPr>
          <w:i w:val="0"/>
          <w:iCs w:val="0"/>
        </w:rPr>
        <w:fldChar w:fldCharType="begin"/>
      </w:r>
      <w:r>
        <w:rPr>
          <w:i w:val="0"/>
          <w:iCs w:val="0"/>
        </w:rPr>
        <w:instrText xml:space="preserve"> HYPERLINK "https://doi.org/10.1177/0273475318812551" </w:instrText>
      </w:r>
      <w:r>
        <w:rPr>
          <w:i w:val="0"/>
          <w:iCs w:val="0"/>
        </w:rPr>
        <w:fldChar w:fldCharType="separate"/>
      </w:r>
      <w:r>
        <w:rPr>
          <w:rStyle w:val="7"/>
          <w:rFonts w:ascii="Times New Roman" w:hAnsi="Times New Roman" w:cs="Times New Roman"/>
          <w:i w:val="0"/>
          <w:iCs w:val="0"/>
          <w:color w:val="auto"/>
          <w:sz w:val="24"/>
          <w:szCs w:val="24"/>
        </w:rPr>
        <w:t>https://doi.org/10.1177/0273475318812551</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Nyagadza, B., 2020. Search engine marketing and social media marketing predictive trends. </w:t>
      </w:r>
      <w:r>
        <w:rPr>
          <w:rFonts w:ascii="Times New Roman" w:hAnsi="Times New Roman" w:cs="Times New Roman"/>
          <w:i w:val="0"/>
          <w:iCs w:val="0"/>
          <w:sz w:val="24"/>
          <w:szCs w:val="24"/>
          <w:shd w:val="clear" w:color="auto" w:fill="FFFFFF"/>
        </w:rPr>
        <w:t>Journal of Digital Media &amp; Policy</w:t>
      </w:r>
      <w:r>
        <w:rPr>
          <w:rFonts w:ascii="Times New Roman" w:hAnsi="Times New Roman" w:cs="Times New Roman"/>
          <w:i w:val="0"/>
          <w:iCs w:val="0"/>
          <w:sz w:val="24"/>
          <w:szCs w:val="24"/>
          <w:shd w:val="clear" w:color="auto" w:fill="FFFFFF"/>
        </w:rPr>
        <w:t>.</w:t>
      </w:r>
      <w:r>
        <w:rPr>
          <w:i w:val="0"/>
          <w:iCs w:val="0"/>
        </w:rPr>
        <w:fldChar w:fldCharType="begin"/>
      </w:r>
      <w:r>
        <w:rPr>
          <w:i w:val="0"/>
          <w:iCs w:val="0"/>
        </w:rPr>
        <w:instrText xml:space="preserve"> HYPERLINK "https://doi.org/10.1386/jdmp_00036_1" </w:instrText>
      </w:r>
      <w:r>
        <w:rPr>
          <w:i w:val="0"/>
          <w:iCs w:val="0"/>
        </w:rPr>
        <w:fldChar w:fldCharType="separate"/>
      </w:r>
      <w:r>
        <w:rPr>
          <w:rStyle w:val="7"/>
          <w:rFonts w:ascii="Times New Roman" w:hAnsi="Times New Roman" w:cs="Times New Roman"/>
          <w:i w:val="0"/>
          <w:iCs w:val="0"/>
          <w:color w:val="auto"/>
          <w:sz w:val="24"/>
          <w:szCs w:val="24"/>
        </w:rPr>
        <w:t>https://doi.org/10.1386/jdmp_00036_1</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 xml:space="preserve">Psu.pb.unizin.org (2022). </w:t>
      </w:r>
      <w:r>
        <w:rPr>
          <w:rFonts w:ascii="Times New Roman" w:hAnsi="Times New Roman" w:cs="Times New Roman"/>
          <w:i w:val="0"/>
          <w:iCs w:val="0"/>
          <w:sz w:val="24"/>
          <w:szCs w:val="24"/>
        </w:rPr>
        <w:t>Integrated marketing communication and public relation</w:t>
      </w:r>
      <w:r>
        <w:rPr>
          <w:rFonts w:ascii="Times New Roman" w:hAnsi="Times New Roman" w:cs="Times New Roman"/>
          <w:i w:val="0"/>
          <w:iCs w:val="0"/>
          <w:sz w:val="24"/>
          <w:szCs w:val="24"/>
        </w:rPr>
        <w:t xml:space="preserve">. Available from </w:t>
      </w:r>
      <w:r>
        <w:rPr>
          <w:i w:val="0"/>
          <w:iCs w:val="0"/>
        </w:rPr>
        <w:fldChar w:fldCharType="begin"/>
      </w:r>
      <w:r>
        <w:rPr>
          <w:i w:val="0"/>
          <w:iCs w:val="0"/>
        </w:rPr>
        <w:instrText xml:space="preserve"> HYPERLINK "https://psu.pb.unizin.org/comm370/chapter/chapter-4-integrated-marketing-communications-and-public-relations/" </w:instrText>
      </w:r>
      <w:r>
        <w:rPr>
          <w:i w:val="0"/>
          <w:iCs w:val="0"/>
        </w:rPr>
        <w:fldChar w:fldCharType="separate"/>
      </w:r>
      <w:r>
        <w:rPr>
          <w:rStyle w:val="7"/>
          <w:rFonts w:ascii="Times New Roman" w:hAnsi="Times New Roman" w:cs="Times New Roman"/>
          <w:i w:val="0"/>
          <w:iCs w:val="0"/>
          <w:color w:val="auto"/>
          <w:sz w:val="24"/>
          <w:szCs w:val="24"/>
        </w:rPr>
        <w:t>https://psu.pb.unizin.org/comm370/chapter/chapter-4-integrated-marketing-communications-and-public-relations/</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 Accessed on 16.12.2022.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Ritter, T. and Pedersen, C.L., 2020. Digitization capability and the digitalization of business models in business-to-business firms: Past, present, and future. </w:t>
      </w:r>
      <w:r>
        <w:rPr>
          <w:rFonts w:ascii="Times New Roman" w:hAnsi="Times New Roman" w:cs="Times New Roman"/>
          <w:i w:val="0"/>
          <w:iCs w:val="0"/>
          <w:sz w:val="24"/>
          <w:szCs w:val="24"/>
          <w:shd w:val="clear" w:color="auto" w:fill="FFFFFF"/>
        </w:rPr>
        <w:t>Industrial Marketing Management</w:t>
      </w:r>
      <w:r>
        <w:rPr>
          <w:rFonts w:ascii="Times New Roman" w:hAnsi="Times New Roman" w:cs="Times New Roman"/>
          <w:i w:val="0"/>
          <w:iCs w:val="0"/>
          <w:sz w:val="24"/>
          <w:szCs w:val="24"/>
          <w:shd w:val="clear" w:color="auto" w:fill="FFFFFF"/>
        </w:rPr>
        <w:t>, </w:t>
      </w:r>
      <w:r>
        <w:rPr>
          <w:rFonts w:ascii="Times New Roman" w:hAnsi="Times New Roman" w:cs="Times New Roman"/>
          <w:i w:val="0"/>
          <w:iCs w:val="0"/>
          <w:sz w:val="24"/>
          <w:szCs w:val="24"/>
          <w:shd w:val="clear" w:color="auto" w:fill="FFFFFF"/>
        </w:rPr>
        <w:t>86</w:t>
      </w:r>
      <w:r>
        <w:rPr>
          <w:rFonts w:ascii="Times New Roman" w:hAnsi="Times New Roman" w:cs="Times New Roman"/>
          <w:i w:val="0"/>
          <w:iCs w:val="0"/>
          <w:sz w:val="24"/>
          <w:szCs w:val="24"/>
          <w:shd w:val="clear" w:color="auto" w:fill="FFFFFF"/>
        </w:rPr>
        <w:t>, pp.180-190.</w:t>
      </w:r>
      <w:r>
        <w:rPr>
          <w:rFonts w:ascii="Times New Roman" w:hAnsi="Times New Roman" w:cs="Times New Roman"/>
          <w:i w:val="0"/>
          <w:iCs w:val="0"/>
          <w:sz w:val="24"/>
          <w:szCs w:val="24"/>
        </w:rPr>
        <w:t xml:space="preserve"> </w:t>
      </w:r>
      <w:r>
        <w:rPr>
          <w:i w:val="0"/>
          <w:iCs w:val="0"/>
        </w:rPr>
        <w:fldChar w:fldCharType="begin"/>
      </w:r>
      <w:r>
        <w:rPr>
          <w:i w:val="0"/>
          <w:iCs w:val="0"/>
        </w:rPr>
        <w:instrText xml:space="preserve"> HYPERLINK "https://doi.org/10.1016/j.indmarman.2019.11.019" </w:instrText>
      </w:r>
      <w:r>
        <w:rPr>
          <w:i w:val="0"/>
          <w:iCs w:val="0"/>
        </w:rPr>
        <w:fldChar w:fldCharType="separate"/>
      </w:r>
      <w:r>
        <w:rPr>
          <w:rStyle w:val="7"/>
          <w:rFonts w:ascii="Times New Roman" w:hAnsi="Times New Roman" w:cs="Times New Roman"/>
          <w:i w:val="0"/>
          <w:iCs w:val="0"/>
          <w:color w:val="auto"/>
          <w:sz w:val="24"/>
          <w:szCs w:val="24"/>
        </w:rPr>
        <w:t>https://doi.org/10.1016/j.indmarman.2019.11.019</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Scolere, L., Pruchniewska, U. and Duffy, B.E., 2018. Constructing the platform-specific self-brand: The labor of social media promotion. </w:t>
      </w:r>
      <w:r>
        <w:rPr>
          <w:rFonts w:ascii="Times New Roman" w:hAnsi="Times New Roman" w:cs="Times New Roman"/>
          <w:i w:val="0"/>
          <w:iCs w:val="0"/>
          <w:sz w:val="24"/>
          <w:szCs w:val="24"/>
          <w:shd w:val="clear" w:color="auto" w:fill="FFFFFF"/>
        </w:rPr>
        <w:t>Social Media+ Society</w:t>
      </w:r>
      <w:r>
        <w:rPr>
          <w:rFonts w:ascii="Times New Roman" w:hAnsi="Times New Roman" w:cs="Times New Roman"/>
          <w:i w:val="0"/>
          <w:iCs w:val="0"/>
          <w:sz w:val="24"/>
          <w:szCs w:val="24"/>
          <w:shd w:val="clear" w:color="auto" w:fill="FFFFFF"/>
        </w:rPr>
        <w:t>, </w:t>
      </w:r>
      <w:r>
        <w:rPr>
          <w:rFonts w:ascii="Times New Roman" w:hAnsi="Times New Roman" w:cs="Times New Roman"/>
          <w:i w:val="0"/>
          <w:iCs w:val="0"/>
          <w:sz w:val="24"/>
          <w:szCs w:val="24"/>
          <w:shd w:val="clear" w:color="auto" w:fill="FFFFFF"/>
        </w:rPr>
        <w:t>4</w:t>
      </w:r>
      <w:r>
        <w:rPr>
          <w:rFonts w:ascii="Times New Roman" w:hAnsi="Times New Roman" w:cs="Times New Roman"/>
          <w:i w:val="0"/>
          <w:iCs w:val="0"/>
          <w:sz w:val="24"/>
          <w:szCs w:val="24"/>
          <w:shd w:val="clear" w:color="auto" w:fill="FFFFFF"/>
        </w:rPr>
        <w:t>(3), p.2056305118784768.</w:t>
      </w:r>
      <w:r>
        <w:rPr>
          <w:i w:val="0"/>
          <w:iCs w:val="0"/>
        </w:rPr>
        <w:fldChar w:fldCharType="begin"/>
      </w:r>
      <w:r>
        <w:rPr>
          <w:i w:val="0"/>
          <w:iCs w:val="0"/>
        </w:rPr>
        <w:instrText xml:space="preserve"> HYPERLINK "https://doi.org/10.1177/2056305118784768" </w:instrText>
      </w:r>
      <w:r>
        <w:rPr>
          <w:i w:val="0"/>
          <w:iCs w:val="0"/>
        </w:rPr>
        <w:fldChar w:fldCharType="separate"/>
      </w:r>
      <w:r>
        <w:rPr>
          <w:rStyle w:val="7"/>
          <w:rFonts w:ascii="Times New Roman" w:hAnsi="Times New Roman" w:cs="Times New Roman"/>
          <w:i w:val="0"/>
          <w:iCs w:val="0"/>
          <w:color w:val="auto"/>
          <w:sz w:val="24"/>
          <w:szCs w:val="24"/>
        </w:rPr>
        <w:t>https://doi.org/10.1177/2056305118784768</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Shariq, M., 2018. Brand equity dimensions-a literature review. </w:t>
      </w:r>
      <w:r>
        <w:rPr>
          <w:rFonts w:ascii="Times New Roman" w:hAnsi="Times New Roman" w:cs="Times New Roman"/>
          <w:i w:val="0"/>
          <w:iCs w:val="0"/>
          <w:sz w:val="24"/>
          <w:szCs w:val="24"/>
        </w:rPr>
        <w:t>International Research Journal of Management and Commerce</w:t>
      </w:r>
      <w:r>
        <w:rPr>
          <w:rFonts w:ascii="Times New Roman" w:hAnsi="Times New Roman" w:cs="Times New Roman"/>
          <w:i w:val="0"/>
          <w:iCs w:val="0"/>
          <w:sz w:val="24"/>
          <w:szCs w:val="24"/>
        </w:rPr>
        <w:t>, </w:t>
      </w:r>
      <w:r>
        <w:rPr>
          <w:rFonts w:ascii="Times New Roman" w:hAnsi="Times New Roman" w:cs="Times New Roman"/>
          <w:i w:val="0"/>
          <w:iCs w:val="0"/>
          <w:sz w:val="24"/>
          <w:szCs w:val="24"/>
        </w:rPr>
        <w:t>5</w:t>
      </w:r>
      <w:r>
        <w:rPr>
          <w:rFonts w:ascii="Times New Roman" w:hAnsi="Times New Roman" w:cs="Times New Roman"/>
          <w:i w:val="0"/>
          <w:iCs w:val="0"/>
          <w:sz w:val="24"/>
          <w:szCs w:val="24"/>
        </w:rPr>
        <w:t>(3), p.312.</w:t>
      </w:r>
      <w:r>
        <w:rPr>
          <w:i w:val="0"/>
          <w:iCs w:val="0"/>
        </w:rPr>
        <w:fldChar w:fldCharType="begin"/>
      </w:r>
      <w:r>
        <w:rPr>
          <w:i w:val="0"/>
          <w:iCs w:val="0"/>
        </w:rPr>
        <w:instrText xml:space="preserve"> HYPERLINK "https://www.researchgate.net/profile/Mohammad-Shariq-2/publication/326302689_BRAND_EQUITY_DIMENSIONS-A_LITERATURE_REVIEW/links/5b44e4bcaca272dc385e1d47/BRAND-EQUITY-DIMENSIONS-A-LITERATURE-REVIEW.pdf" </w:instrText>
      </w:r>
      <w:r>
        <w:rPr>
          <w:i w:val="0"/>
          <w:iCs w:val="0"/>
        </w:rPr>
        <w:fldChar w:fldCharType="separate"/>
      </w:r>
      <w:r>
        <w:rPr>
          <w:rStyle w:val="7"/>
          <w:rFonts w:ascii="Times New Roman" w:hAnsi="Times New Roman" w:cs="Times New Roman"/>
          <w:i w:val="0"/>
          <w:iCs w:val="0"/>
          <w:color w:val="auto"/>
          <w:sz w:val="24"/>
          <w:szCs w:val="24"/>
        </w:rPr>
        <w:t>https://www.researchgate.net/profile/Mohammad-Shariq-2/publication/326302689_BRAND_EQUITY_DIMENSIONS-A_LITERATURE_REVIEW/links/5b44e4bcaca272dc385e1d47/BRAND-EQUITY-DIMENSIONS-A-LITERATURE-REVIEW.pdf</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 xml:space="preserve">Statista.com (2022). </w:t>
      </w:r>
      <w:r>
        <w:rPr>
          <w:rFonts w:ascii="Times New Roman" w:hAnsi="Times New Roman" w:cs="Times New Roman"/>
          <w:i w:val="0"/>
          <w:iCs w:val="0"/>
          <w:sz w:val="24"/>
          <w:szCs w:val="24"/>
        </w:rPr>
        <w:t>Annual revenue of Tesco Group in the United Kingdom (UK) and the Republic of Ireland from financial year 2015 to 2022</w:t>
      </w:r>
      <w:r>
        <w:rPr>
          <w:rFonts w:ascii="Times New Roman" w:hAnsi="Times New Roman" w:cs="Times New Roman"/>
          <w:i w:val="0"/>
          <w:iCs w:val="0"/>
          <w:sz w:val="24"/>
          <w:szCs w:val="24"/>
        </w:rPr>
        <w:t xml:space="preserve">. Available from </w:t>
      </w:r>
      <w:r>
        <w:rPr>
          <w:i w:val="0"/>
          <w:iCs w:val="0"/>
        </w:rPr>
        <w:fldChar w:fldCharType="begin"/>
      </w:r>
      <w:r>
        <w:rPr>
          <w:i w:val="0"/>
          <w:iCs w:val="0"/>
        </w:rPr>
        <w:instrText xml:space="preserve"> HYPERLINK "https://www.statista.com/statistics/490931/tesco-group-finance-revenue-united-kingdom-uk/" </w:instrText>
      </w:r>
      <w:r>
        <w:rPr>
          <w:i w:val="0"/>
          <w:iCs w:val="0"/>
        </w:rPr>
        <w:fldChar w:fldCharType="separate"/>
      </w:r>
      <w:r>
        <w:rPr>
          <w:rStyle w:val="7"/>
          <w:rFonts w:ascii="Times New Roman" w:hAnsi="Times New Roman" w:cs="Times New Roman"/>
          <w:i w:val="0"/>
          <w:iCs w:val="0"/>
          <w:color w:val="auto"/>
          <w:sz w:val="24"/>
          <w:szCs w:val="24"/>
        </w:rPr>
        <w:t>https://www.statista.com/statistics/490931/tesco-group-finance-revenue-united-kingdom-uk/</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 Accessed on 16.12.2022.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Tasci, A.D., 2020. A critical review and reconstruction of perceptual brand equity. </w:t>
      </w:r>
      <w:r>
        <w:rPr>
          <w:rFonts w:ascii="Times New Roman" w:hAnsi="Times New Roman" w:cs="Times New Roman"/>
          <w:i w:val="0"/>
          <w:iCs w:val="0"/>
          <w:sz w:val="24"/>
          <w:szCs w:val="24"/>
          <w:shd w:val="clear" w:color="auto" w:fill="FFFFFF"/>
        </w:rPr>
        <w:t>International Journal of Contemporary Hospitality Management</w:t>
      </w:r>
      <w:r>
        <w:rPr>
          <w:rFonts w:ascii="Times New Roman" w:hAnsi="Times New Roman" w:cs="Times New Roman"/>
          <w:i w:val="0"/>
          <w:iCs w:val="0"/>
          <w:sz w:val="24"/>
          <w:szCs w:val="24"/>
          <w:shd w:val="clear" w:color="auto" w:fill="FFFFFF"/>
        </w:rPr>
        <w:t>.</w:t>
      </w:r>
      <w:r>
        <w:rPr>
          <w:i w:val="0"/>
          <w:iCs w:val="0"/>
        </w:rPr>
        <w:fldChar w:fldCharType="begin"/>
      </w:r>
      <w:r>
        <w:rPr>
          <w:i w:val="0"/>
          <w:iCs w:val="0"/>
        </w:rPr>
        <w:instrText xml:space="preserve"> HYPERLINK "https://doi.org/10.1108/IJCHM-03-2020-0186" </w:instrText>
      </w:r>
      <w:r>
        <w:rPr>
          <w:i w:val="0"/>
          <w:iCs w:val="0"/>
        </w:rPr>
        <w:fldChar w:fldCharType="separate"/>
      </w:r>
      <w:r>
        <w:rPr>
          <w:rStyle w:val="7"/>
          <w:rFonts w:ascii="Times New Roman" w:hAnsi="Times New Roman" w:cs="Times New Roman"/>
          <w:i w:val="0"/>
          <w:iCs w:val="0"/>
          <w:color w:val="auto"/>
          <w:sz w:val="24"/>
          <w:szCs w:val="24"/>
        </w:rPr>
        <w:t>https://doi.org/10.1108/IJCHM-03-2020-0186</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 xml:space="preserve">Tescoplc.com (2022). About Us. Available from </w:t>
      </w:r>
      <w:r>
        <w:rPr>
          <w:i w:val="0"/>
          <w:iCs w:val="0"/>
        </w:rPr>
        <w:fldChar w:fldCharType="begin"/>
      </w:r>
      <w:r>
        <w:rPr>
          <w:i w:val="0"/>
          <w:iCs w:val="0"/>
        </w:rPr>
        <w:instrText xml:space="preserve"> HYPERLINK "https://www.tescoplc.com/about/" </w:instrText>
      </w:r>
      <w:r>
        <w:rPr>
          <w:i w:val="0"/>
          <w:iCs w:val="0"/>
        </w:rPr>
        <w:fldChar w:fldCharType="separate"/>
      </w:r>
      <w:r>
        <w:rPr>
          <w:rStyle w:val="7"/>
          <w:rFonts w:ascii="Times New Roman" w:hAnsi="Times New Roman" w:cs="Times New Roman"/>
          <w:i w:val="0"/>
          <w:iCs w:val="0"/>
          <w:color w:val="auto"/>
          <w:sz w:val="24"/>
          <w:szCs w:val="24"/>
        </w:rPr>
        <w:t>https://www.tescoplc.com/about/</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 Accessed on 16.12.2022.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Vardanidze, T. and Benedek, A., 2019. Online business analysis on the bases of 7c elements. </w:t>
      </w:r>
      <w:r>
        <w:rPr>
          <w:rFonts w:ascii="Times New Roman" w:hAnsi="Times New Roman" w:cs="Times New Roman"/>
          <w:i w:val="0"/>
          <w:iCs w:val="0"/>
          <w:sz w:val="24"/>
          <w:szCs w:val="24"/>
          <w:shd w:val="clear" w:color="auto" w:fill="FFFFFF"/>
        </w:rPr>
        <w:t>Acta Carolus Robertus</w:t>
      </w:r>
      <w:r>
        <w:rPr>
          <w:rFonts w:ascii="Times New Roman" w:hAnsi="Times New Roman" w:cs="Times New Roman"/>
          <w:i w:val="0"/>
          <w:iCs w:val="0"/>
          <w:sz w:val="24"/>
          <w:szCs w:val="24"/>
          <w:shd w:val="clear" w:color="auto" w:fill="FFFFFF"/>
        </w:rPr>
        <w:t>, </w:t>
      </w:r>
      <w:r>
        <w:rPr>
          <w:rFonts w:ascii="Times New Roman" w:hAnsi="Times New Roman" w:cs="Times New Roman"/>
          <w:i w:val="0"/>
          <w:iCs w:val="0"/>
          <w:sz w:val="24"/>
          <w:szCs w:val="24"/>
          <w:shd w:val="clear" w:color="auto" w:fill="FFFFFF"/>
        </w:rPr>
        <w:t>9</w:t>
      </w:r>
      <w:r>
        <w:rPr>
          <w:rFonts w:ascii="Times New Roman" w:hAnsi="Times New Roman" w:cs="Times New Roman"/>
          <w:i w:val="0"/>
          <w:iCs w:val="0"/>
          <w:sz w:val="24"/>
          <w:szCs w:val="24"/>
          <w:shd w:val="clear" w:color="auto" w:fill="FFFFFF"/>
        </w:rPr>
        <w:t>(1064-2020-299), pp.187-197.</w:t>
      </w:r>
      <w:r>
        <w:rPr>
          <w:i w:val="0"/>
          <w:iCs w:val="0"/>
        </w:rPr>
        <w:fldChar w:fldCharType="begin"/>
      </w:r>
      <w:r>
        <w:rPr>
          <w:i w:val="0"/>
          <w:iCs w:val="0"/>
        </w:rPr>
        <w:instrText xml:space="preserve"> HYPERLINK "http://dx.doi.org/10.22004/ag.econ.301091" </w:instrText>
      </w:r>
      <w:r>
        <w:rPr>
          <w:i w:val="0"/>
          <w:iCs w:val="0"/>
        </w:rPr>
        <w:fldChar w:fldCharType="separate"/>
      </w:r>
      <w:r>
        <w:rPr>
          <w:rStyle w:val="7"/>
          <w:rFonts w:ascii="Times New Roman" w:hAnsi="Times New Roman" w:cs="Times New Roman"/>
          <w:i w:val="0"/>
          <w:iCs w:val="0"/>
          <w:color w:val="auto"/>
          <w:sz w:val="24"/>
          <w:szCs w:val="24"/>
        </w:rPr>
        <w:t>http://dx.doi.org/10.22004/ag.econ.301091</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eastAsia="Times New Roman" w:cs="Times New Roman"/>
          <w:i w:val="0"/>
          <w:iCs w:val="0"/>
          <w:sz w:val="24"/>
          <w:szCs w:val="24"/>
        </w:rPr>
      </w:pPr>
      <w:r>
        <w:rPr>
          <w:rFonts w:ascii="Times New Roman" w:hAnsi="Times New Roman" w:cs="Times New Roman"/>
          <w:i w:val="0"/>
          <w:iCs w:val="0"/>
          <w:sz w:val="24"/>
          <w:szCs w:val="24"/>
          <w:shd w:val="clear" w:color="auto" w:fill="FFFFFF"/>
        </w:rPr>
        <w:t>Zerfass, A., Verčič, D., Nothhaft, H. and Werder, K.P., 2018. Strategic communication: Defining the field and its contribution to research and practice. </w:t>
      </w:r>
      <w:r>
        <w:rPr>
          <w:rFonts w:ascii="Times New Roman" w:hAnsi="Times New Roman" w:cs="Times New Roman"/>
          <w:i w:val="0"/>
          <w:iCs w:val="0"/>
          <w:sz w:val="24"/>
          <w:szCs w:val="24"/>
          <w:shd w:val="clear" w:color="auto" w:fill="FFFFFF"/>
        </w:rPr>
        <w:t>International Journal of Strategic Communication</w:t>
      </w:r>
      <w:r>
        <w:rPr>
          <w:rFonts w:ascii="Times New Roman" w:hAnsi="Times New Roman" w:cs="Times New Roman"/>
          <w:i w:val="0"/>
          <w:iCs w:val="0"/>
          <w:sz w:val="24"/>
          <w:szCs w:val="24"/>
          <w:shd w:val="clear" w:color="auto" w:fill="FFFFFF"/>
        </w:rPr>
        <w:t>, </w:t>
      </w:r>
      <w:r>
        <w:rPr>
          <w:rFonts w:ascii="Times New Roman" w:hAnsi="Times New Roman" w:cs="Times New Roman"/>
          <w:i w:val="0"/>
          <w:iCs w:val="0"/>
          <w:sz w:val="24"/>
          <w:szCs w:val="24"/>
          <w:shd w:val="clear" w:color="auto" w:fill="FFFFFF"/>
        </w:rPr>
        <w:t>12</w:t>
      </w:r>
      <w:r>
        <w:rPr>
          <w:rFonts w:ascii="Times New Roman" w:hAnsi="Times New Roman" w:cs="Times New Roman"/>
          <w:i w:val="0"/>
          <w:iCs w:val="0"/>
          <w:sz w:val="24"/>
          <w:szCs w:val="24"/>
          <w:shd w:val="clear" w:color="auto" w:fill="FFFFFF"/>
        </w:rPr>
        <w:t>(4), pp.487-505.</w:t>
      </w:r>
      <w:r>
        <w:rPr>
          <w:i w:val="0"/>
          <w:iCs w:val="0"/>
        </w:rPr>
        <w:fldChar w:fldCharType="begin"/>
      </w:r>
      <w:r>
        <w:rPr>
          <w:i w:val="0"/>
          <w:iCs w:val="0"/>
        </w:rPr>
        <w:instrText xml:space="preserve"> HYPERLINK "https://doi.org/10.1080/1553118X.2018.1493485" </w:instrText>
      </w:r>
      <w:r>
        <w:rPr>
          <w:i w:val="0"/>
          <w:iCs w:val="0"/>
        </w:rPr>
        <w:fldChar w:fldCharType="separate"/>
      </w:r>
      <w:r>
        <w:rPr>
          <w:rStyle w:val="7"/>
          <w:rFonts w:ascii="Times New Roman" w:hAnsi="Times New Roman" w:cs="Times New Roman"/>
          <w:i w:val="0"/>
          <w:iCs w:val="0"/>
          <w:color w:val="auto"/>
          <w:sz w:val="24"/>
          <w:szCs w:val="24"/>
        </w:rPr>
        <w:t>https://doi.org/10.1080/1553118X.2018.1493485</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br w:type="page"/>
      </w:r>
    </w:p>
    <w:p>
      <w:pPr>
        <w:pStyle w:val="2"/>
        <w:rPr>
          <w:rFonts w:cs="Times New Roman"/>
          <w:i w:val="0"/>
          <w:iCs w:val="0"/>
          <w:color w:val="auto"/>
          <w:sz w:val="24"/>
          <w:szCs w:val="24"/>
        </w:rPr>
      </w:pPr>
      <w:bookmarkStart w:id="12" w:name="_Toc122104241"/>
      <w:r>
        <w:rPr>
          <w:rFonts w:cs="Times New Roman"/>
          <w:i w:val="0"/>
          <w:iCs w:val="0"/>
          <w:color w:val="auto"/>
          <w:sz w:val="24"/>
          <w:szCs w:val="24"/>
        </w:rPr>
        <w:t>Appendices</w:t>
      </w:r>
      <w:bookmarkEnd w:id="12"/>
    </w:p>
    <w:p>
      <w:pPr>
        <w:pStyle w:val="3"/>
        <w:rPr>
          <w:rFonts w:cs="Times New Roman"/>
          <w:i w:val="0"/>
          <w:iCs w:val="0"/>
          <w:color w:val="auto"/>
          <w:sz w:val="24"/>
          <w:szCs w:val="24"/>
        </w:rPr>
      </w:pPr>
      <w:bookmarkStart w:id="13" w:name="_Toc122104242"/>
      <w:r>
        <w:rPr>
          <w:rFonts w:cs="Times New Roman"/>
          <w:i w:val="0"/>
          <w:iCs w:val="0"/>
          <w:color w:val="auto"/>
          <w:sz w:val="24"/>
          <w:szCs w:val="24"/>
        </w:rPr>
        <w:t>Appendix 1: Performance highlight of Tesco for the financial year 2022.</w:t>
      </w:r>
      <w:bookmarkEnd w:id="13"/>
    </w:p>
    <w:p>
      <w:pPr>
        <w:pStyle w:val="8"/>
        <w:spacing w:line="360" w:lineRule="auto"/>
        <w:jc w:val="center"/>
        <w:rPr>
          <w:i w:val="0"/>
          <w:iCs w:val="0"/>
        </w:rPr>
      </w:pPr>
      <w:r>
        <w:rPr>
          <w:i w:val="0"/>
          <w:iCs w:val="0"/>
        </w:rPr>
        <w:drawing>
          <wp:inline distT="0" distB="0" distL="0" distR="0">
            <wp:extent cx="5086350" cy="3981450"/>
            <wp:effectExtent l="38100" t="57150" r="114300"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7"/>
                    <a:srcRect/>
                    <a:stretch>
                      <a:fillRect/>
                    </a:stretch>
                  </pic:blipFill>
                  <pic:spPr>
                    <a:xfrm>
                      <a:off x="0" y="0"/>
                      <a:ext cx="5086350" cy="398145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i w:val="0"/>
          <w:iCs w:val="0"/>
        </w:rPr>
      </w:pPr>
      <w:r>
        <w:rPr>
          <w:i w:val="0"/>
          <w:iCs w:val="0"/>
        </w:rPr>
        <w:t>(Source: https://www.tescoplc.com/media/759057/tesco-annual-report-2022.pdf)</w:t>
      </w:r>
    </w:p>
    <w:p>
      <w:pPr>
        <w:spacing w:line="360" w:lineRule="auto"/>
        <w:rPr>
          <w:rFonts w:ascii="Times New Roman" w:hAnsi="Times New Roman" w:eastAsia="Times New Roman" w:cs="Times New Roman"/>
          <w:i w:val="0"/>
          <w:iCs w:val="0"/>
          <w:sz w:val="24"/>
          <w:szCs w:val="24"/>
        </w:rPr>
      </w:pPr>
      <w:r>
        <w:rPr>
          <w:rFonts w:ascii="Times New Roman" w:hAnsi="Times New Roman" w:cs="Times New Roman"/>
          <w:i w:val="0"/>
          <w:iCs w:val="0"/>
          <w:sz w:val="24"/>
          <w:szCs w:val="24"/>
        </w:rPr>
        <w:br w:type="page"/>
      </w:r>
    </w:p>
    <w:p>
      <w:pPr>
        <w:pStyle w:val="3"/>
        <w:rPr>
          <w:rFonts w:cs="Times New Roman"/>
          <w:i w:val="0"/>
          <w:iCs w:val="0"/>
          <w:color w:val="auto"/>
          <w:sz w:val="24"/>
          <w:szCs w:val="24"/>
        </w:rPr>
      </w:pPr>
      <w:bookmarkStart w:id="14" w:name="_Toc122104243"/>
      <w:r>
        <w:rPr>
          <w:rFonts w:cs="Times New Roman"/>
          <w:i w:val="0"/>
          <w:iCs w:val="0"/>
          <w:color w:val="auto"/>
          <w:sz w:val="24"/>
          <w:szCs w:val="24"/>
        </w:rPr>
        <w:t>Appendix 2: The concept of Brand equity</w:t>
      </w:r>
      <w:bookmarkEnd w:id="14"/>
    </w:p>
    <w:p>
      <w:pPr>
        <w:pStyle w:val="8"/>
        <w:spacing w:line="360" w:lineRule="auto"/>
        <w:jc w:val="center"/>
        <w:rPr>
          <w:i w:val="0"/>
          <w:iCs w:val="0"/>
        </w:rPr>
      </w:pPr>
      <w:r>
        <w:rPr>
          <w:i w:val="0"/>
          <w:iCs w:val="0"/>
        </w:rPr>
        <w:drawing>
          <wp:inline distT="0" distB="0" distL="0" distR="0">
            <wp:extent cx="5610225" cy="2362200"/>
            <wp:effectExtent l="38100" t="57150" r="123825" b="95250"/>
            <wp:docPr id="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5"/>
                    <pic:cNvPicPr>
                      <a:picLocks noChangeAspect="1" noChangeArrowheads="1"/>
                    </pic:cNvPicPr>
                  </pic:nvPicPr>
                  <pic:blipFill>
                    <a:blip r:embed="rId18"/>
                    <a:srcRect/>
                    <a:stretch>
                      <a:fillRect/>
                    </a:stretch>
                  </pic:blipFill>
                  <pic:spPr>
                    <a:xfrm>
                      <a:off x="0" y="0"/>
                      <a:ext cx="5610225" cy="23622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line="360" w:lineRule="auto"/>
        <w:jc w:val="center"/>
        <w:rPr>
          <w:rFonts w:ascii="Times New Roman" w:hAnsi="Times New Roman" w:cs="Times New Roman"/>
          <w:i w:val="0"/>
          <w:iCs w:val="0"/>
          <w:sz w:val="24"/>
          <w:szCs w:val="24"/>
        </w:rPr>
      </w:pPr>
      <w:r>
        <w:rPr>
          <w:rFonts w:ascii="Times New Roman" w:hAnsi="Times New Roman" w:cs="Times New Roman"/>
          <w:i w:val="0"/>
          <w:iCs w:val="0"/>
          <w:sz w:val="24"/>
          <w:szCs w:val="24"/>
        </w:rPr>
        <w:t xml:space="preserve">(Source: </w:t>
      </w:r>
      <w:r>
        <w:rPr>
          <w:i w:val="0"/>
          <w:iCs w:val="0"/>
        </w:rPr>
        <w:fldChar w:fldCharType="begin"/>
      </w:r>
      <w:r>
        <w:rPr>
          <w:i w:val="0"/>
          <w:iCs w:val="0"/>
        </w:rPr>
        <w:instrText xml:space="preserve"> HYPERLINK "https://www.researchgate.net/profile/Mohammad-Shariq-2/publication/326302689_BRAND_EQUITY_DIMENSIONS-A_LITERATURE_REVIEW/links/5b44e4bcaca272dc385e1d47/BRAND-EQUITY-DIMENSIONS-A-LITERATURE-REVIEW.pdf" </w:instrText>
      </w:r>
      <w:r>
        <w:rPr>
          <w:i w:val="0"/>
          <w:iCs w:val="0"/>
        </w:rPr>
        <w:fldChar w:fldCharType="separate"/>
      </w:r>
      <w:r>
        <w:rPr>
          <w:rStyle w:val="7"/>
          <w:rFonts w:ascii="Times New Roman" w:hAnsi="Times New Roman" w:cs="Times New Roman"/>
          <w:i w:val="0"/>
          <w:iCs w:val="0"/>
          <w:color w:val="auto"/>
          <w:sz w:val="24"/>
          <w:szCs w:val="24"/>
        </w:rPr>
        <w:t>https://www.researchgate.net/profile/Mohammad-Shariq-2/publication/326302689_BRAND_EQUITY_DIMENSIONS-A_LITERATURE_REVIEW/links/5b44e4bcaca272dc385e1d47/BRAND-EQUITY-DIMENSIONS-A-LITERATURE-REVIEW.pdf</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w:t>
      </w:r>
    </w:p>
    <w:p>
      <w:pPr>
        <w:spacing w:line="360" w:lineRule="auto"/>
        <w:jc w:val="both"/>
        <w:rPr>
          <w:rFonts w:ascii="Times New Roman" w:hAnsi="Times New Roman" w:cs="Times New Roman"/>
          <w:i w:val="0"/>
          <w:iCs w:val="0"/>
          <w:sz w:val="24"/>
          <w:szCs w:val="24"/>
        </w:rPr>
      </w:pPr>
    </w:p>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Calibri">
    <w:panose1 w:val="020F0502020204030204"/>
    <w:charset w:val="86"/>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FA7C23"/>
    <w:rsid w:val="000128A5"/>
    <w:rsid w:val="0001490E"/>
    <w:rsid w:val="000244F0"/>
    <w:rsid w:val="0007338B"/>
    <w:rsid w:val="000948B1"/>
    <w:rsid w:val="000B1ADF"/>
    <w:rsid w:val="000E76C3"/>
    <w:rsid w:val="00124771"/>
    <w:rsid w:val="00143664"/>
    <w:rsid w:val="001A1563"/>
    <w:rsid w:val="001A4F38"/>
    <w:rsid w:val="001F4281"/>
    <w:rsid w:val="00207B11"/>
    <w:rsid w:val="0026221A"/>
    <w:rsid w:val="0028740E"/>
    <w:rsid w:val="00296ADA"/>
    <w:rsid w:val="00365880"/>
    <w:rsid w:val="00392D63"/>
    <w:rsid w:val="003A09FD"/>
    <w:rsid w:val="003C6EAB"/>
    <w:rsid w:val="00411374"/>
    <w:rsid w:val="004530DB"/>
    <w:rsid w:val="004873B9"/>
    <w:rsid w:val="004E1A55"/>
    <w:rsid w:val="004F5C9B"/>
    <w:rsid w:val="005048DA"/>
    <w:rsid w:val="005568A3"/>
    <w:rsid w:val="005E6FB9"/>
    <w:rsid w:val="005F322D"/>
    <w:rsid w:val="00637B2B"/>
    <w:rsid w:val="006A7FD4"/>
    <w:rsid w:val="006C5B11"/>
    <w:rsid w:val="00737547"/>
    <w:rsid w:val="00754FEE"/>
    <w:rsid w:val="00775A15"/>
    <w:rsid w:val="007F1786"/>
    <w:rsid w:val="008249B1"/>
    <w:rsid w:val="008B5CD2"/>
    <w:rsid w:val="009003B7"/>
    <w:rsid w:val="009138A4"/>
    <w:rsid w:val="00967FDC"/>
    <w:rsid w:val="00976754"/>
    <w:rsid w:val="0098599C"/>
    <w:rsid w:val="009A01AD"/>
    <w:rsid w:val="009F76EA"/>
    <w:rsid w:val="00A23108"/>
    <w:rsid w:val="00A5403B"/>
    <w:rsid w:val="00AB50B2"/>
    <w:rsid w:val="00AF2FE2"/>
    <w:rsid w:val="00B10DCD"/>
    <w:rsid w:val="00BE2B56"/>
    <w:rsid w:val="00C17025"/>
    <w:rsid w:val="00C53319"/>
    <w:rsid w:val="00CF21F7"/>
    <w:rsid w:val="00CF5742"/>
    <w:rsid w:val="00D208C8"/>
    <w:rsid w:val="00D51ADD"/>
    <w:rsid w:val="00D71EF3"/>
    <w:rsid w:val="00DA370D"/>
    <w:rsid w:val="00DA5870"/>
    <w:rsid w:val="00DC41CB"/>
    <w:rsid w:val="00DF084B"/>
    <w:rsid w:val="00E0577D"/>
    <w:rsid w:val="00E243D5"/>
    <w:rsid w:val="00E305A2"/>
    <w:rsid w:val="00E33B77"/>
    <w:rsid w:val="00ED4E67"/>
    <w:rsid w:val="00F16C9C"/>
    <w:rsid w:val="00F7013A"/>
    <w:rsid w:val="00F76A8A"/>
    <w:rsid w:val="00F8794D"/>
    <w:rsid w:val="00FA37B6"/>
    <w:rsid w:val="00FA7C23"/>
    <w:rsid w:val="00FE6FD9"/>
    <w:rsid w:val="196A5A35"/>
    <w:rsid w:val="49597C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5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12"/>
    <w:qFormat/>
    <w:uiPriority w:val="9"/>
    <w:pPr>
      <w:keepNext/>
      <w:keepLines/>
      <w:spacing w:before="240" w:after="0" w:line="360" w:lineRule="auto"/>
      <w:jc w:val="both"/>
      <w:outlineLvl w:val="0"/>
    </w:pPr>
    <w:rPr>
      <w:rFonts w:ascii="Times New Roman" w:hAnsi="Times New Roman" w:eastAsiaTheme="majorEastAsia" w:cstheme="majorBidi"/>
      <w:b/>
      <w:bCs/>
      <w:color w:val="000000" w:themeColor="text1"/>
      <w:sz w:val="28"/>
      <w:szCs w:val="28"/>
    </w:rPr>
  </w:style>
  <w:style w:type="paragraph" w:styleId="3">
    <w:name w:val="heading 2"/>
    <w:basedOn w:val="1"/>
    <w:next w:val="1"/>
    <w:link w:val="13"/>
    <w:unhideWhenUsed/>
    <w:qFormat/>
    <w:uiPriority w:val="9"/>
    <w:pPr>
      <w:keepNext/>
      <w:keepLines/>
      <w:spacing w:before="80" w:after="0" w:line="360" w:lineRule="auto"/>
      <w:jc w:val="both"/>
      <w:outlineLvl w:val="1"/>
    </w:pPr>
    <w:rPr>
      <w:rFonts w:ascii="Times New Roman" w:hAnsi="Times New Roman" w:eastAsiaTheme="majorEastAsia" w:cstheme="majorBidi"/>
      <w:b/>
      <w:bCs/>
      <w:color w:val="000000" w:themeColor="text1"/>
      <w:sz w:val="26"/>
      <w:szCs w:val="26"/>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11"/>
    <w:semiHidden/>
    <w:unhideWhenUsed/>
    <w:uiPriority w:val="99"/>
    <w:pPr>
      <w:spacing w:after="0" w:line="240" w:lineRule="auto"/>
    </w:pPr>
    <w:rPr>
      <w:rFonts w:ascii="Tahoma" w:hAnsi="Tahoma" w:cs="Tahoma"/>
      <w:sz w:val="16"/>
      <w:szCs w:val="16"/>
    </w:rPr>
  </w:style>
  <w:style w:type="character" w:styleId="7">
    <w:name w:val="Hyperlink"/>
    <w:basedOn w:val="4"/>
    <w:unhideWhenUsed/>
    <w:uiPriority w:val="99"/>
    <w:rPr>
      <w:color w:val="0000FF" w:themeColor="hyperlink"/>
      <w:u w:val="single"/>
    </w:rPr>
  </w:style>
  <w:style w:type="paragraph" w:styleId="8">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9">
    <w:name w:val="toc 1"/>
    <w:basedOn w:val="1"/>
    <w:next w:val="1"/>
    <w:unhideWhenUsed/>
    <w:uiPriority w:val="39"/>
    <w:pPr>
      <w:spacing w:after="100"/>
    </w:pPr>
  </w:style>
  <w:style w:type="paragraph" w:styleId="10">
    <w:name w:val="toc 2"/>
    <w:basedOn w:val="1"/>
    <w:next w:val="1"/>
    <w:unhideWhenUsed/>
    <w:uiPriority w:val="39"/>
    <w:pPr>
      <w:spacing w:after="100"/>
      <w:ind w:left="220"/>
    </w:pPr>
  </w:style>
  <w:style w:type="character" w:customStyle="1" w:styleId="11">
    <w:name w:val="Balloon Text Char"/>
    <w:basedOn w:val="4"/>
    <w:link w:val="6"/>
    <w:semiHidden/>
    <w:uiPriority w:val="99"/>
    <w:rPr>
      <w:rFonts w:ascii="Tahoma" w:hAnsi="Tahoma" w:cs="Tahoma"/>
      <w:sz w:val="16"/>
      <w:szCs w:val="16"/>
    </w:rPr>
  </w:style>
  <w:style w:type="character" w:customStyle="1" w:styleId="12">
    <w:name w:val="Heading 1 Char"/>
    <w:basedOn w:val="4"/>
    <w:link w:val="2"/>
    <w:uiPriority w:val="9"/>
    <w:rPr>
      <w:rFonts w:ascii="Times New Roman" w:hAnsi="Times New Roman" w:eastAsiaTheme="majorEastAsia" w:cstheme="majorBidi"/>
      <w:b/>
      <w:bCs/>
      <w:color w:val="000000" w:themeColor="text1"/>
      <w:sz w:val="28"/>
      <w:szCs w:val="28"/>
    </w:rPr>
  </w:style>
  <w:style w:type="character" w:customStyle="1" w:styleId="13">
    <w:name w:val="Heading 2 Char"/>
    <w:basedOn w:val="4"/>
    <w:link w:val="3"/>
    <w:uiPriority w:val="9"/>
    <w:rPr>
      <w:rFonts w:ascii="Times New Roman" w:hAnsi="Times New Roman" w:eastAsiaTheme="majorEastAsia" w:cstheme="majorBidi"/>
      <w:b/>
      <w:bCs/>
      <w:color w:val="000000" w:themeColor="text1"/>
      <w:sz w:val="26"/>
      <w:szCs w:val="26"/>
    </w:rPr>
  </w:style>
  <w:style w:type="paragraph" w:customStyle="1" w:styleId="14">
    <w:name w:val="TOC Heading"/>
    <w:basedOn w:val="2"/>
    <w:next w:val="1"/>
    <w:semiHidden/>
    <w:unhideWhenUsed/>
    <w:qFormat/>
    <w:uiPriority w:val="39"/>
    <w:pPr>
      <w:spacing w:before="480" w:line="276" w:lineRule="auto"/>
      <w:jc w:val="left"/>
      <w:outlineLvl w:val="9"/>
    </w:pPr>
    <w:rPr>
      <w:rFonts w:asciiTheme="majorHAnsi" w:hAnsiTheme="majorHAnsi"/>
      <w:color w:val="366091" w:themeColor="accent1" w:themeShade="BF"/>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8.png"/><Relationship Id="rId17" Type="http://schemas.openxmlformats.org/officeDocument/2006/relationships/image" Target="media/image7.png"/><Relationship Id="rId16" Type="http://schemas.openxmlformats.org/officeDocument/2006/relationships/image" Target="media/image6.png"/><Relationship Id="rId15" Type="http://schemas.microsoft.com/office/2007/relationships/diagramDrawing" Target="diagrams/drawing1.xml"/><Relationship Id="rId14" Type="http://schemas.openxmlformats.org/officeDocument/2006/relationships/diagramColors" Target="diagrams/colors1.xml"/><Relationship Id="rId13" Type="http://schemas.openxmlformats.org/officeDocument/2006/relationships/diagramQuickStyle" Target="diagrams/quickStyle1.xml"/><Relationship Id="rId12" Type="http://schemas.openxmlformats.org/officeDocument/2006/relationships/diagramLayout" Target="diagrams/layout1.xml"/><Relationship Id="rId11" Type="http://schemas.openxmlformats.org/officeDocument/2006/relationships/diagramData" Target="diagrams/data1.xml"/><Relationship Id="rId10" Type="http://schemas.openxmlformats.org/officeDocument/2006/relationships/image" Target="media/image5.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FFAFB536-BCC8-424E-82F4-5F743510ACB7}" type="doc">
      <dgm:prSet loTypeId="urn:microsoft.com/office/officeart/2005/8/layout/radial1#1" loCatId="cycle" qsTypeId="urn:microsoft.com/office/officeart/2005/8/quickstyle/3d3" qsCatId="3D" csTypeId="urn:microsoft.com/office/officeart/2005/8/colors/colorful2" csCatId="colorful" phldr="1"/>
      <dgm:spPr/>
      <dgm:t>
        <a:bodyPr/>
        <a:p>
          <a:endParaRPr lang="en-US"/>
        </a:p>
      </dgm:t>
    </dgm:pt>
    <dgm:pt modelId="{AD2421E4-53E7-43C0-9FBD-D2192431D32B}">
      <dgm:prSet phldrT="[Text]" custT="1"/>
      <dgm:spPr/>
      <dgm:t>
        <a:bodyPr/>
        <a:p>
          <a:r>
            <a:rPr lang="en-US" sz="1000" b="1">
              <a:solidFill>
                <a:schemeClr val="tx1"/>
              </a:solidFill>
              <a:latin typeface="Times New Roman" panose="02020603050405020304" charset="0"/>
              <a:cs typeface="Times New Roman" panose="02020603050405020304" charset="0"/>
            </a:rPr>
            <a:t>Digital promotion</a:t>
          </a:r>
        </a:p>
      </dgm:t>
    </dgm:pt>
    <dgm:pt modelId="{D5EEF5C7-5D78-4F5D-981A-D60359A4B592}" cxnId="{334C4E98-6FB3-4384-8D9D-B8B462189F84}" type="parTrans">
      <dgm:prSet/>
      <dgm:spPr/>
      <dgm:t>
        <a:bodyPr/>
        <a:p>
          <a:endParaRPr lang="en-US"/>
        </a:p>
      </dgm:t>
    </dgm:pt>
    <dgm:pt modelId="{17828E7A-6D47-4B7C-AACC-34FC0E267A64}" cxnId="{334C4E98-6FB3-4384-8D9D-B8B462189F84}" type="sibTrans">
      <dgm:prSet/>
      <dgm:spPr/>
      <dgm:t>
        <a:bodyPr/>
        <a:p>
          <a:endParaRPr lang="en-US"/>
        </a:p>
      </dgm:t>
    </dgm:pt>
    <dgm:pt modelId="{28BB95F1-1A8B-4CD9-B570-1EFDFCD63B98}">
      <dgm:prSet phldrT="[Text]" custT="1"/>
      <dgm:spPr/>
      <dgm:t>
        <a:bodyPr/>
        <a:p>
          <a:r>
            <a:rPr lang="en-US" sz="1000" b="1">
              <a:solidFill>
                <a:schemeClr val="tx1"/>
              </a:solidFill>
              <a:latin typeface="Times New Roman" panose="02020603050405020304" charset="0"/>
              <a:cs typeface="Times New Roman" panose="02020603050405020304" charset="0"/>
            </a:rPr>
            <a:t>Podcasts</a:t>
          </a:r>
        </a:p>
      </dgm:t>
    </dgm:pt>
    <dgm:pt modelId="{F5473045-D1FF-472A-AB44-0036E98AB09B}" cxnId="{A3C7101A-F5F7-42A9-87E7-C4152B2B7071}"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F7FB670E-A452-4561-B63B-4E77A544F165}" cxnId="{A3C7101A-F5F7-42A9-87E7-C4152B2B7071}" type="sibTrans">
      <dgm:prSet/>
      <dgm:spPr/>
      <dgm:t>
        <a:bodyPr/>
        <a:p>
          <a:endParaRPr lang="en-US"/>
        </a:p>
      </dgm:t>
    </dgm:pt>
    <dgm:pt modelId="{64166EB1-0A60-49F9-987A-42831E188352}">
      <dgm:prSet phldrT="[Text]" custT="1"/>
      <dgm:spPr/>
      <dgm:t>
        <a:bodyPr/>
        <a:p>
          <a:r>
            <a:rPr lang="en-US" sz="1000" b="1">
              <a:solidFill>
                <a:schemeClr val="tx1"/>
              </a:solidFill>
              <a:latin typeface="Times New Roman" panose="02020603050405020304" charset="0"/>
              <a:cs typeface="Times New Roman" panose="02020603050405020304" charset="0"/>
            </a:rPr>
            <a:t>video conferences</a:t>
          </a:r>
        </a:p>
      </dgm:t>
    </dgm:pt>
    <dgm:pt modelId="{635B09F6-D7D8-4FEE-B763-AD047D895C7A}" cxnId="{301B73F3-3FD7-4874-BEB4-8474CEC5BE81}"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67F6E05E-ED65-49B1-A004-46019341F3A9}" cxnId="{301B73F3-3FD7-4874-BEB4-8474CEC5BE81}" type="sibTrans">
      <dgm:prSet/>
      <dgm:spPr/>
      <dgm:t>
        <a:bodyPr/>
        <a:p>
          <a:endParaRPr lang="en-US"/>
        </a:p>
      </dgm:t>
    </dgm:pt>
    <dgm:pt modelId="{16A50AEE-E557-4A04-B4D7-C413C2F3D2B8}">
      <dgm:prSet phldrT="[Text]" custT="1"/>
      <dgm:spPr/>
      <dgm:t>
        <a:bodyPr/>
        <a:p>
          <a:r>
            <a:rPr lang="en-US" sz="1000" b="1">
              <a:solidFill>
                <a:schemeClr val="tx1"/>
              </a:solidFill>
              <a:latin typeface="Times New Roman" panose="02020603050405020304" charset="0"/>
              <a:cs typeface="Times New Roman" panose="02020603050405020304" charset="0"/>
            </a:rPr>
            <a:t>Email marketing</a:t>
          </a:r>
        </a:p>
      </dgm:t>
    </dgm:pt>
    <dgm:pt modelId="{262DF250-936C-49F9-9256-76482BAD116F}" cxnId="{12822735-B987-4CB8-B4A4-1892E6A8CE8C}"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66FDAFB4-6BEA-4C95-A272-0C498D7FB38D}" cxnId="{12822735-B987-4CB8-B4A4-1892E6A8CE8C}" type="sibTrans">
      <dgm:prSet/>
      <dgm:spPr/>
      <dgm:t>
        <a:bodyPr/>
        <a:p>
          <a:endParaRPr lang="en-US"/>
        </a:p>
      </dgm:t>
    </dgm:pt>
    <dgm:pt modelId="{0C237E54-3CAB-44C4-A71D-F33B50A4E353}">
      <dgm:prSet phldrT="[Text]" custT="1"/>
      <dgm:spPr/>
      <dgm:t>
        <a:bodyPr/>
        <a:p>
          <a:r>
            <a:rPr lang="en-US" sz="1000" b="1">
              <a:solidFill>
                <a:schemeClr val="tx1"/>
              </a:solidFill>
              <a:latin typeface="Times New Roman" panose="02020603050405020304" charset="0"/>
              <a:cs typeface="Times New Roman" panose="02020603050405020304" charset="0"/>
            </a:rPr>
            <a:t>Social media</a:t>
          </a:r>
        </a:p>
      </dgm:t>
    </dgm:pt>
    <dgm:pt modelId="{50F392CD-269C-483C-88DB-E7C4E3FA2B89}" cxnId="{C77D8C29-7690-4D56-BE95-1B3EF790B9F6}"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90117E6D-4DCE-4390-861A-A9AF4459DD90}" cxnId="{C77D8C29-7690-4D56-BE95-1B3EF790B9F6}" type="sibTrans">
      <dgm:prSet/>
      <dgm:spPr/>
      <dgm:t>
        <a:bodyPr/>
        <a:p>
          <a:endParaRPr lang="en-US"/>
        </a:p>
      </dgm:t>
    </dgm:pt>
    <dgm:pt modelId="{8FA8AFE1-3A51-48B7-BD28-9AEAF3E9141A}">
      <dgm:prSet phldrT="[Text]" custT="1"/>
      <dgm:spPr/>
      <dgm:t>
        <a:bodyPr/>
        <a:p>
          <a:r>
            <a:rPr lang="en-US" sz="1000" b="1">
              <a:solidFill>
                <a:schemeClr val="tx1"/>
              </a:solidFill>
              <a:latin typeface="Times New Roman" panose="02020603050405020304" charset="0"/>
              <a:cs typeface="Times New Roman" panose="02020603050405020304" charset="0"/>
            </a:rPr>
            <a:t>Webpage developement</a:t>
          </a:r>
        </a:p>
      </dgm:t>
    </dgm:pt>
    <dgm:pt modelId="{C6E4542E-F5D5-4ACC-8B96-A3BA264801C3}" cxnId="{74DFB37D-4680-4322-8630-D14538C58564}"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DA52FF7D-433D-4512-B168-7CD001D6F44D}" cxnId="{74DFB37D-4680-4322-8630-D14538C58564}" type="sibTrans">
      <dgm:prSet/>
      <dgm:spPr/>
      <dgm:t>
        <a:bodyPr/>
        <a:p>
          <a:endParaRPr lang="en-US"/>
        </a:p>
      </dgm:t>
    </dgm:pt>
    <dgm:pt modelId="{EC6486E0-AEF4-461D-97B3-604E4B7E40E2}" type="pres">
      <dgm:prSet presAssocID="{FFAFB536-BCC8-424E-82F4-5F743510ACB7}" presName="cycle" presStyleCnt="0">
        <dgm:presLayoutVars>
          <dgm:chMax val="1"/>
          <dgm:dir/>
          <dgm:animLvl val="ctr"/>
          <dgm:resizeHandles val="exact"/>
        </dgm:presLayoutVars>
      </dgm:prSet>
      <dgm:spPr/>
    </dgm:pt>
    <dgm:pt modelId="{6BFB6979-1EBF-4679-8E9F-D2AC2BA924FB}" type="pres">
      <dgm:prSet presAssocID="{AD2421E4-53E7-43C0-9FBD-D2192431D32B}" presName="centerShape" presStyleLbl="node0" presStyleIdx="0" presStyleCnt="1"/>
      <dgm:spPr/>
    </dgm:pt>
    <dgm:pt modelId="{AFEBE3D1-644A-4C31-84BC-B4F91C958899}" type="pres">
      <dgm:prSet presAssocID="{F5473045-D1FF-472A-AB44-0036E98AB09B}" presName="Name9" presStyleLbl="parChTrans1D2" presStyleIdx="0" presStyleCnt="5"/>
      <dgm:spPr/>
    </dgm:pt>
    <dgm:pt modelId="{12184A97-6BB8-40BB-A681-4284C4290CAF}" type="pres">
      <dgm:prSet presAssocID="{F5473045-D1FF-472A-AB44-0036E98AB09B}" presName="connTx" presStyleLbl="parChTrans1D2" presStyleIdx="0" presStyleCnt="5"/>
      <dgm:spPr/>
    </dgm:pt>
    <dgm:pt modelId="{FF7C3B32-C955-43BA-A5FE-1485331D78E2}" type="pres">
      <dgm:prSet presAssocID="{28BB95F1-1A8B-4CD9-B570-1EFDFCD63B98}" presName="node" presStyleLbl="node1" presStyleIdx="0" presStyleCnt="5">
        <dgm:presLayoutVars>
          <dgm:bulletEnabled val="1"/>
        </dgm:presLayoutVars>
      </dgm:prSet>
      <dgm:spPr/>
    </dgm:pt>
    <dgm:pt modelId="{99AA3503-2797-423B-8C28-D0057515D86B}" type="pres">
      <dgm:prSet presAssocID="{635B09F6-D7D8-4FEE-B763-AD047D895C7A}" presName="Name9" presStyleLbl="parChTrans1D2" presStyleIdx="1" presStyleCnt="5"/>
      <dgm:spPr/>
    </dgm:pt>
    <dgm:pt modelId="{26EC9613-3F4D-433E-A8F2-E1CC91934913}" type="pres">
      <dgm:prSet presAssocID="{635B09F6-D7D8-4FEE-B763-AD047D895C7A}" presName="connTx" presStyleLbl="parChTrans1D2" presStyleIdx="1" presStyleCnt="5"/>
      <dgm:spPr/>
    </dgm:pt>
    <dgm:pt modelId="{0E6CC67E-6241-41D5-92EC-A64299C9B79E}" type="pres">
      <dgm:prSet presAssocID="{64166EB1-0A60-49F9-987A-42831E188352}" presName="node" presStyleLbl="node1" presStyleIdx="1" presStyleCnt="5">
        <dgm:presLayoutVars>
          <dgm:bulletEnabled val="1"/>
        </dgm:presLayoutVars>
      </dgm:prSet>
      <dgm:spPr/>
    </dgm:pt>
    <dgm:pt modelId="{317E2F32-A7C7-4410-B703-2469848BFF75}" type="pres">
      <dgm:prSet presAssocID="{262DF250-936C-49F9-9256-76482BAD116F}" presName="Name9" presStyleLbl="parChTrans1D2" presStyleIdx="2" presStyleCnt="5"/>
      <dgm:spPr/>
    </dgm:pt>
    <dgm:pt modelId="{50BCBE21-FE59-4089-8BD9-8F29750E60B0}" type="pres">
      <dgm:prSet presAssocID="{262DF250-936C-49F9-9256-76482BAD116F}" presName="connTx" presStyleLbl="parChTrans1D2" presStyleIdx="2" presStyleCnt="5"/>
      <dgm:spPr/>
    </dgm:pt>
    <dgm:pt modelId="{C1641318-33F8-44D2-81C1-FA5EA0899842}" type="pres">
      <dgm:prSet presAssocID="{16A50AEE-E557-4A04-B4D7-C413C2F3D2B8}" presName="node" presStyleLbl="node1" presStyleIdx="2" presStyleCnt="5">
        <dgm:presLayoutVars>
          <dgm:bulletEnabled val="1"/>
        </dgm:presLayoutVars>
      </dgm:prSet>
      <dgm:spPr/>
    </dgm:pt>
    <dgm:pt modelId="{D65583F6-1192-4A5E-8072-A825DB54653E}" type="pres">
      <dgm:prSet presAssocID="{50F392CD-269C-483C-88DB-E7C4E3FA2B89}" presName="Name9" presStyleLbl="parChTrans1D2" presStyleIdx="3" presStyleCnt="5"/>
      <dgm:spPr/>
    </dgm:pt>
    <dgm:pt modelId="{9A236CA4-6313-4D19-8643-9C7C18B8EA3C}" type="pres">
      <dgm:prSet presAssocID="{50F392CD-269C-483C-88DB-E7C4E3FA2B89}" presName="connTx" presStyleLbl="parChTrans1D2" presStyleIdx="3" presStyleCnt="5"/>
      <dgm:spPr/>
    </dgm:pt>
    <dgm:pt modelId="{BD14EFAF-C92D-4B5F-A9FD-AD927370D33C}" type="pres">
      <dgm:prSet presAssocID="{0C237E54-3CAB-44C4-A71D-F33B50A4E353}" presName="node" presStyleLbl="node1" presStyleIdx="3" presStyleCnt="5">
        <dgm:presLayoutVars>
          <dgm:bulletEnabled val="1"/>
        </dgm:presLayoutVars>
      </dgm:prSet>
      <dgm:spPr/>
    </dgm:pt>
    <dgm:pt modelId="{02C82CE4-16E9-45BE-BF12-BE094EF94354}" type="pres">
      <dgm:prSet presAssocID="{C6E4542E-F5D5-4ACC-8B96-A3BA264801C3}" presName="Name9" presStyleLbl="parChTrans1D2" presStyleIdx="4" presStyleCnt="5"/>
      <dgm:spPr/>
    </dgm:pt>
    <dgm:pt modelId="{9AC320D5-4127-491D-92A2-1FE2EECD23BE}" type="pres">
      <dgm:prSet presAssocID="{C6E4542E-F5D5-4ACC-8B96-A3BA264801C3}" presName="connTx" presStyleLbl="parChTrans1D2" presStyleIdx="4" presStyleCnt="5"/>
      <dgm:spPr/>
    </dgm:pt>
    <dgm:pt modelId="{776B899D-AA94-4892-9023-529A34B620FE}" type="pres">
      <dgm:prSet presAssocID="{8FA8AFE1-3A51-48B7-BD28-9AEAF3E9141A}" presName="node" presStyleLbl="node1" presStyleIdx="4" presStyleCnt="5">
        <dgm:presLayoutVars>
          <dgm:bulletEnabled val="1"/>
        </dgm:presLayoutVars>
      </dgm:prSet>
      <dgm:spPr/>
    </dgm:pt>
  </dgm:ptLst>
  <dgm:cxnLst>
    <dgm:cxn modelId="{A3C7101A-F5F7-42A9-87E7-C4152B2B7071}" srcId="{AD2421E4-53E7-43C0-9FBD-D2192431D32B}" destId="{28BB95F1-1A8B-4CD9-B570-1EFDFCD63B98}" srcOrd="0" destOrd="0" parTransId="{F5473045-D1FF-472A-AB44-0036E98AB09B}" sibTransId="{F7FB670E-A452-4561-B63B-4E77A544F165}"/>
    <dgm:cxn modelId="{C5DFB821-27B0-43B2-884B-5D08A15632AB}" type="presOf" srcId="{262DF250-936C-49F9-9256-76482BAD116F}" destId="{317E2F32-A7C7-4410-B703-2469848BFF75}" srcOrd="0" destOrd="0" presId="urn:microsoft.com/office/officeart/2005/8/layout/radial1#1"/>
    <dgm:cxn modelId="{80F47826-3DE8-4286-9494-34B959792342}" type="presOf" srcId="{C6E4542E-F5D5-4ACC-8B96-A3BA264801C3}" destId="{02C82CE4-16E9-45BE-BF12-BE094EF94354}" srcOrd="0" destOrd="0" presId="urn:microsoft.com/office/officeart/2005/8/layout/radial1#1"/>
    <dgm:cxn modelId="{C77D8C29-7690-4D56-BE95-1B3EF790B9F6}" srcId="{AD2421E4-53E7-43C0-9FBD-D2192431D32B}" destId="{0C237E54-3CAB-44C4-A71D-F33B50A4E353}" srcOrd="3" destOrd="0" parTransId="{50F392CD-269C-483C-88DB-E7C4E3FA2B89}" sibTransId="{90117E6D-4DCE-4390-861A-A9AF4459DD90}"/>
    <dgm:cxn modelId="{8F22A52C-9E81-463C-BE34-4483544D2864}" type="presOf" srcId="{635B09F6-D7D8-4FEE-B763-AD047D895C7A}" destId="{99AA3503-2797-423B-8C28-D0057515D86B}" srcOrd="0" destOrd="0" presId="urn:microsoft.com/office/officeart/2005/8/layout/radial1#1"/>
    <dgm:cxn modelId="{B08E3431-92D5-486F-BFF7-BFF3DA6DEE6E}" type="presOf" srcId="{50F392CD-269C-483C-88DB-E7C4E3FA2B89}" destId="{D65583F6-1192-4A5E-8072-A825DB54653E}" srcOrd="0" destOrd="0" presId="urn:microsoft.com/office/officeart/2005/8/layout/radial1#1"/>
    <dgm:cxn modelId="{12822735-B987-4CB8-B4A4-1892E6A8CE8C}" srcId="{AD2421E4-53E7-43C0-9FBD-D2192431D32B}" destId="{16A50AEE-E557-4A04-B4D7-C413C2F3D2B8}" srcOrd="2" destOrd="0" parTransId="{262DF250-936C-49F9-9256-76482BAD116F}" sibTransId="{66FDAFB4-6BEA-4C95-A272-0C498D7FB38D}"/>
    <dgm:cxn modelId="{6438DD41-6690-4B15-B886-71A8F7EA00AC}" type="presOf" srcId="{262DF250-936C-49F9-9256-76482BAD116F}" destId="{50BCBE21-FE59-4089-8BD9-8F29750E60B0}" srcOrd="1" destOrd="0" presId="urn:microsoft.com/office/officeart/2005/8/layout/radial1#1"/>
    <dgm:cxn modelId="{32A5EE68-C38F-436A-A5F1-76A28DBAD4FC}" type="presOf" srcId="{F5473045-D1FF-472A-AB44-0036E98AB09B}" destId="{12184A97-6BB8-40BB-A681-4284C4290CAF}" srcOrd="1" destOrd="0" presId="urn:microsoft.com/office/officeart/2005/8/layout/radial1#1"/>
    <dgm:cxn modelId="{C457AF6A-FC2F-42B0-A37B-8C6A54070D72}" type="presOf" srcId="{F5473045-D1FF-472A-AB44-0036E98AB09B}" destId="{AFEBE3D1-644A-4C31-84BC-B4F91C958899}" srcOrd="0" destOrd="0" presId="urn:microsoft.com/office/officeart/2005/8/layout/radial1#1"/>
    <dgm:cxn modelId="{7738A14D-0B29-42AD-AB81-0BDA6CE4BC23}" type="presOf" srcId="{FFAFB536-BCC8-424E-82F4-5F743510ACB7}" destId="{EC6486E0-AEF4-461D-97B3-604E4B7E40E2}" srcOrd="0" destOrd="0" presId="urn:microsoft.com/office/officeart/2005/8/layout/radial1#1"/>
    <dgm:cxn modelId="{59675658-6D81-4BCA-99C5-285865BE89D9}" type="presOf" srcId="{28BB95F1-1A8B-4CD9-B570-1EFDFCD63B98}" destId="{FF7C3B32-C955-43BA-A5FE-1485331D78E2}" srcOrd="0" destOrd="0" presId="urn:microsoft.com/office/officeart/2005/8/layout/radial1#1"/>
    <dgm:cxn modelId="{01B79159-86AC-43AA-9950-306BAC8F310F}" type="presOf" srcId="{8FA8AFE1-3A51-48B7-BD28-9AEAF3E9141A}" destId="{776B899D-AA94-4892-9023-529A34B620FE}" srcOrd="0" destOrd="0" presId="urn:microsoft.com/office/officeart/2005/8/layout/radial1#1"/>
    <dgm:cxn modelId="{74DFB37D-4680-4322-8630-D14538C58564}" srcId="{AD2421E4-53E7-43C0-9FBD-D2192431D32B}" destId="{8FA8AFE1-3A51-48B7-BD28-9AEAF3E9141A}" srcOrd="4" destOrd="0" parTransId="{C6E4542E-F5D5-4ACC-8B96-A3BA264801C3}" sibTransId="{DA52FF7D-433D-4512-B168-7CD001D6F44D}"/>
    <dgm:cxn modelId="{9A4DF37F-D8C5-45DF-BF9E-9985C231A984}" type="presOf" srcId="{635B09F6-D7D8-4FEE-B763-AD047D895C7A}" destId="{26EC9613-3F4D-433E-A8F2-E1CC91934913}" srcOrd="1" destOrd="0" presId="urn:microsoft.com/office/officeart/2005/8/layout/radial1#1"/>
    <dgm:cxn modelId="{08AAD192-A6A2-4404-A01A-962CC7D08144}" type="presOf" srcId="{AD2421E4-53E7-43C0-9FBD-D2192431D32B}" destId="{6BFB6979-1EBF-4679-8E9F-D2AC2BA924FB}" srcOrd="0" destOrd="0" presId="urn:microsoft.com/office/officeart/2005/8/layout/radial1#1"/>
    <dgm:cxn modelId="{334C4E98-6FB3-4384-8D9D-B8B462189F84}" srcId="{FFAFB536-BCC8-424E-82F4-5F743510ACB7}" destId="{AD2421E4-53E7-43C0-9FBD-D2192431D32B}" srcOrd="0" destOrd="0" parTransId="{D5EEF5C7-5D78-4F5D-981A-D60359A4B592}" sibTransId="{17828E7A-6D47-4B7C-AACC-34FC0E267A64}"/>
    <dgm:cxn modelId="{9A818EA1-EFBF-490B-B19B-9FF332AA8285}" type="presOf" srcId="{16A50AEE-E557-4A04-B4D7-C413C2F3D2B8}" destId="{C1641318-33F8-44D2-81C1-FA5EA0899842}" srcOrd="0" destOrd="0" presId="urn:microsoft.com/office/officeart/2005/8/layout/radial1#1"/>
    <dgm:cxn modelId="{072799AA-D674-4C92-9D49-05807B1AE892}" type="presOf" srcId="{64166EB1-0A60-49F9-987A-42831E188352}" destId="{0E6CC67E-6241-41D5-92EC-A64299C9B79E}" srcOrd="0" destOrd="0" presId="urn:microsoft.com/office/officeart/2005/8/layout/radial1#1"/>
    <dgm:cxn modelId="{5AF0EFE3-6542-4F16-91F6-56E3CD0AC173}" type="presOf" srcId="{50F392CD-269C-483C-88DB-E7C4E3FA2B89}" destId="{9A236CA4-6313-4D19-8643-9C7C18B8EA3C}" srcOrd="1" destOrd="0" presId="urn:microsoft.com/office/officeart/2005/8/layout/radial1#1"/>
    <dgm:cxn modelId="{FD1257EA-32E3-40EA-BD35-143D920A7098}" type="presOf" srcId="{C6E4542E-F5D5-4ACC-8B96-A3BA264801C3}" destId="{9AC320D5-4127-491D-92A2-1FE2EECD23BE}" srcOrd="1" destOrd="0" presId="urn:microsoft.com/office/officeart/2005/8/layout/radial1#1"/>
    <dgm:cxn modelId="{0DB54AF3-0720-4437-B2CF-C9E23537C999}" type="presOf" srcId="{0C237E54-3CAB-44C4-A71D-F33B50A4E353}" destId="{BD14EFAF-C92D-4B5F-A9FD-AD927370D33C}" srcOrd="0" destOrd="0" presId="urn:microsoft.com/office/officeart/2005/8/layout/radial1#1"/>
    <dgm:cxn modelId="{301B73F3-3FD7-4874-BEB4-8474CEC5BE81}" srcId="{AD2421E4-53E7-43C0-9FBD-D2192431D32B}" destId="{64166EB1-0A60-49F9-987A-42831E188352}" srcOrd="1" destOrd="0" parTransId="{635B09F6-D7D8-4FEE-B763-AD047D895C7A}" sibTransId="{67F6E05E-ED65-49B1-A004-46019341F3A9}"/>
    <dgm:cxn modelId="{0C628F96-3F52-448D-B5AD-25AF3EC60AE6}" type="presParOf" srcId="{EC6486E0-AEF4-461D-97B3-604E4B7E40E2}" destId="{6BFB6979-1EBF-4679-8E9F-D2AC2BA924FB}" srcOrd="0" destOrd="0" presId="urn:microsoft.com/office/officeart/2005/8/layout/radial1#1"/>
    <dgm:cxn modelId="{F4609260-5FE9-47DB-B63E-2D0C3DD1D053}" type="presParOf" srcId="{EC6486E0-AEF4-461D-97B3-604E4B7E40E2}" destId="{AFEBE3D1-644A-4C31-84BC-B4F91C958899}" srcOrd="1" destOrd="0" presId="urn:microsoft.com/office/officeart/2005/8/layout/radial1#1"/>
    <dgm:cxn modelId="{6740E0CF-AC40-4612-82E3-3CE06014D71A}" type="presParOf" srcId="{AFEBE3D1-644A-4C31-84BC-B4F91C958899}" destId="{12184A97-6BB8-40BB-A681-4284C4290CAF}" srcOrd="0" destOrd="0" presId="urn:microsoft.com/office/officeart/2005/8/layout/radial1#1"/>
    <dgm:cxn modelId="{8A799C3B-FDD9-4F47-9F08-FE4AA5F457A8}" type="presParOf" srcId="{EC6486E0-AEF4-461D-97B3-604E4B7E40E2}" destId="{FF7C3B32-C955-43BA-A5FE-1485331D78E2}" srcOrd="2" destOrd="0" presId="urn:microsoft.com/office/officeart/2005/8/layout/radial1#1"/>
    <dgm:cxn modelId="{5A06FB00-17FE-49C6-B238-4B3FC8CCA260}" type="presParOf" srcId="{EC6486E0-AEF4-461D-97B3-604E4B7E40E2}" destId="{99AA3503-2797-423B-8C28-D0057515D86B}" srcOrd="3" destOrd="0" presId="urn:microsoft.com/office/officeart/2005/8/layout/radial1#1"/>
    <dgm:cxn modelId="{49E132AB-D9E9-4825-AAC7-5C3EFD9A6291}" type="presParOf" srcId="{99AA3503-2797-423B-8C28-D0057515D86B}" destId="{26EC9613-3F4D-433E-A8F2-E1CC91934913}" srcOrd="0" destOrd="0" presId="urn:microsoft.com/office/officeart/2005/8/layout/radial1#1"/>
    <dgm:cxn modelId="{15D6C438-0457-4D34-BEC9-A3E52D1129CE}" type="presParOf" srcId="{EC6486E0-AEF4-461D-97B3-604E4B7E40E2}" destId="{0E6CC67E-6241-41D5-92EC-A64299C9B79E}" srcOrd="4" destOrd="0" presId="urn:microsoft.com/office/officeart/2005/8/layout/radial1#1"/>
    <dgm:cxn modelId="{C61259CD-ACC2-4A14-814C-1F41A5668AC1}" type="presParOf" srcId="{EC6486E0-AEF4-461D-97B3-604E4B7E40E2}" destId="{317E2F32-A7C7-4410-B703-2469848BFF75}" srcOrd="5" destOrd="0" presId="urn:microsoft.com/office/officeart/2005/8/layout/radial1#1"/>
    <dgm:cxn modelId="{83C9CE46-1C04-4C95-86CA-B6D629D84C8A}" type="presParOf" srcId="{317E2F32-A7C7-4410-B703-2469848BFF75}" destId="{50BCBE21-FE59-4089-8BD9-8F29750E60B0}" srcOrd="0" destOrd="0" presId="urn:microsoft.com/office/officeart/2005/8/layout/radial1#1"/>
    <dgm:cxn modelId="{1EE3A831-97A8-4E2B-A005-FDF5A08247FC}" type="presParOf" srcId="{EC6486E0-AEF4-461D-97B3-604E4B7E40E2}" destId="{C1641318-33F8-44D2-81C1-FA5EA0899842}" srcOrd="6" destOrd="0" presId="urn:microsoft.com/office/officeart/2005/8/layout/radial1#1"/>
    <dgm:cxn modelId="{E5172EA2-DB02-4C7A-9927-524A5A779C3A}" type="presParOf" srcId="{EC6486E0-AEF4-461D-97B3-604E4B7E40E2}" destId="{D65583F6-1192-4A5E-8072-A825DB54653E}" srcOrd="7" destOrd="0" presId="urn:microsoft.com/office/officeart/2005/8/layout/radial1#1"/>
    <dgm:cxn modelId="{97F33E62-A0D4-48A4-91E4-D1235CDE009E}" type="presParOf" srcId="{D65583F6-1192-4A5E-8072-A825DB54653E}" destId="{9A236CA4-6313-4D19-8643-9C7C18B8EA3C}" srcOrd="0" destOrd="0" presId="urn:microsoft.com/office/officeart/2005/8/layout/radial1#1"/>
    <dgm:cxn modelId="{25A83957-5F03-4986-93D7-55425346AAE2}" type="presParOf" srcId="{EC6486E0-AEF4-461D-97B3-604E4B7E40E2}" destId="{BD14EFAF-C92D-4B5F-A9FD-AD927370D33C}" srcOrd="8" destOrd="0" presId="urn:microsoft.com/office/officeart/2005/8/layout/radial1#1"/>
    <dgm:cxn modelId="{06A558F8-4BA8-474C-9EB7-7E35FDDAD833}" type="presParOf" srcId="{EC6486E0-AEF4-461D-97B3-604E4B7E40E2}" destId="{02C82CE4-16E9-45BE-BF12-BE094EF94354}" srcOrd="9" destOrd="0" presId="urn:microsoft.com/office/officeart/2005/8/layout/radial1#1"/>
    <dgm:cxn modelId="{5B5753F4-0947-40AF-8C39-AA30FDAEDCA5}" type="presParOf" srcId="{02C82CE4-16E9-45BE-BF12-BE094EF94354}" destId="{9AC320D5-4127-491D-92A2-1FE2EECD23BE}" srcOrd="0" destOrd="0" presId="urn:microsoft.com/office/officeart/2005/8/layout/radial1#1"/>
    <dgm:cxn modelId="{33BC0D3A-C979-48DE-814B-DD1C68D09F62}" type="presParOf" srcId="{EC6486E0-AEF4-461D-97B3-604E4B7E40E2}" destId="{776B899D-AA94-4892-9023-529A34B620FE}" srcOrd="10" destOrd="0" presId="urn:microsoft.com/office/officeart/2005/8/layout/radial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FB6979-1EBF-4679-8E9F-D2AC2BA924FB}">
      <dsp:nvSpPr>
        <dsp:cNvPr id="0" name=""/>
        <dsp:cNvSpPr/>
      </dsp:nvSpPr>
      <dsp:spPr>
        <a:xfrm>
          <a:off x="2270080" y="1244701"/>
          <a:ext cx="946239" cy="946239"/>
        </a:xfrm>
        <a:prstGeom prst="ellipse">
          <a:avLst/>
        </a:prstGeom>
        <a:solidFill>
          <a:schemeClr val="accen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Digital promotion</a:t>
          </a:r>
        </a:p>
      </dsp:txBody>
      <dsp:txXfrm>
        <a:off x="2408653" y="1383274"/>
        <a:ext cx="669093" cy="669093"/>
      </dsp:txXfrm>
    </dsp:sp>
    <dsp:sp modelId="{AFEBE3D1-644A-4C31-84BC-B4F91C958899}">
      <dsp:nvSpPr>
        <dsp:cNvPr id="0" name=""/>
        <dsp:cNvSpPr/>
      </dsp:nvSpPr>
      <dsp:spPr>
        <a:xfrm rot="16200000">
          <a:off x="2600446" y="1086425"/>
          <a:ext cx="285506" cy="31044"/>
        </a:xfrm>
        <a:custGeom>
          <a:avLst/>
          <a:gdLst/>
          <a:ahLst/>
          <a:cxnLst/>
          <a:rect l="0" t="0" r="0" b="0"/>
          <a:pathLst>
            <a:path>
              <a:moveTo>
                <a:pt x="0" y="15522"/>
              </a:moveTo>
              <a:lnTo>
                <a:pt x="285506" y="15522"/>
              </a:lnTo>
            </a:path>
          </a:pathLst>
        </a:custGeom>
        <a:noFill/>
        <a:ln w="25400" cap="flat" cmpd="sng" algn="ctr">
          <a:solidFill>
            <a:schemeClr val="accent3">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1" kern="1200">
            <a:solidFill>
              <a:schemeClr val="tx1"/>
            </a:solidFill>
            <a:latin typeface="Times New Roman" pitchFamily="18" charset="0"/>
            <a:cs typeface="Times New Roman" pitchFamily="18" charset="0"/>
          </a:endParaRPr>
        </a:p>
      </dsp:txBody>
      <dsp:txXfrm>
        <a:off x="2736062" y="1094810"/>
        <a:ext cx="14275" cy="14275"/>
      </dsp:txXfrm>
    </dsp:sp>
    <dsp:sp modelId="{FF7C3B32-C955-43BA-A5FE-1485331D78E2}">
      <dsp:nvSpPr>
        <dsp:cNvPr id="0" name=""/>
        <dsp:cNvSpPr/>
      </dsp:nvSpPr>
      <dsp:spPr>
        <a:xfrm>
          <a:off x="2270080" y="12954"/>
          <a:ext cx="946239" cy="946239"/>
        </a:xfrm>
        <a:prstGeom prst="ellipse">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Podcasts</a:t>
          </a:r>
        </a:p>
      </dsp:txBody>
      <dsp:txXfrm>
        <a:off x="2408653" y="151527"/>
        <a:ext cx="669093" cy="669093"/>
      </dsp:txXfrm>
    </dsp:sp>
    <dsp:sp modelId="{99AA3503-2797-423B-8C28-D0057515D86B}">
      <dsp:nvSpPr>
        <dsp:cNvPr id="0" name=""/>
        <dsp:cNvSpPr/>
      </dsp:nvSpPr>
      <dsp:spPr>
        <a:xfrm rot="20520000">
          <a:off x="3186176" y="1511983"/>
          <a:ext cx="285506" cy="31044"/>
        </a:xfrm>
        <a:custGeom>
          <a:avLst/>
          <a:gdLst/>
          <a:ahLst/>
          <a:cxnLst/>
          <a:rect l="0" t="0" r="0" b="0"/>
          <a:pathLst>
            <a:path>
              <a:moveTo>
                <a:pt x="0" y="15522"/>
              </a:moveTo>
              <a:lnTo>
                <a:pt x="285506" y="15522"/>
              </a:lnTo>
            </a:path>
          </a:pathLst>
        </a:custGeom>
        <a:noFill/>
        <a:ln w="25400" cap="flat" cmpd="sng" algn="ctr">
          <a:solidFill>
            <a:schemeClr val="accent3">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1" kern="1200">
            <a:solidFill>
              <a:schemeClr val="tx1"/>
            </a:solidFill>
            <a:latin typeface="Times New Roman" pitchFamily="18" charset="0"/>
            <a:cs typeface="Times New Roman" pitchFamily="18" charset="0"/>
          </a:endParaRPr>
        </a:p>
      </dsp:txBody>
      <dsp:txXfrm>
        <a:off x="3321792" y="1520368"/>
        <a:ext cx="14275" cy="14275"/>
      </dsp:txXfrm>
    </dsp:sp>
    <dsp:sp modelId="{0E6CC67E-6241-41D5-92EC-A64299C9B79E}">
      <dsp:nvSpPr>
        <dsp:cNvPr id="0" name=""/>
        <dsp:cNvSpPr/>
      </dsp:nvSpPr>
      <dsp:spPr>
        <a:xfrm>
          <a:off x="3441540" y="864070"/>
          <a:ext cx="946239" cy="946239"/>
        </a:xfrm>
        <a:prstGeom prst="ellipse">
          <a:avLst/>
        </a:prstGeom>
        <a:solidFill>
          <a:schemeClr val="accent2">
            <a:hueOff val="1170380"/>
            <a:satOff val="-1460"/>
            <a:lumOff val="34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video conferences</a:t>
          </a:r>
        </a:p>
      </dsp:txBody>
      <dsp:txXfrm>
        <a:off x="3580113" y="1002643"/>
        <a:ext cx="669093" cy="669093"/>
      </dsp:txXfrm>
    </dsp:sp>
    <dsp:sp modelId="{317E2F32-A7C7-4410-B703-2469848BFF75}">
      <dsp:nvSpPr>
        <dsp:cNvPr id="0" name=""/>
        <dsp:cNvSpPr/>
      </dsp:nvSpPr>
      <dsp:spPr>
        <a:xfrm rot="3240000">
          <a:off x="2962447" y="2200550"/>
          <a:ext cx="285506" cy="31044"/>
        </a:xfrm>
        <a:custGeom>
          <a:avLst/>
          <a:gdLst/>
          <a:ahLst/>
          <a:cxnLst/>
          <a:rect l="0" t="0" r="0" b="0"/>
          <a:pathLst>
            <a:path>
              <a:moveTo>
                <a:pt x="0" y="15522"/>
              </a:moveTo>
              <a:lnTo>
                <a:pt x="285506" y="15522"/>
              </a:lnTo>
            </a:path>
          </a:pathLst>
        </a:custGeom>
        <a:noFill/>
        <a:ln w="25400" cap="flat" cmpd="sng" algn="ctr">
          <a:solidFill>
            <a:schemeClr val="accent3">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1" kern="1200">
            <a:solidFill>
              <a:schemeClr val="tx1"/>
            </a:solidFill>
            <a:latin typeface="Times New Roman" pitchFamily="18" charset="0"/>
            <a:cs typeface="Times New Roman" pitchFamily="18" charset="0"/>
          </a:endParaRPr>
        </a:p>
      </dsp:txBody>
      <dsp:txXfrm>
        <a:off x="3098063" y="2208935"/>
        <a:ext cx="14275" cy="14275"/>
      </dsp:txXfrm>
    </dsp:sp>
    <dsp:sp modelId="{C1641318-33F8-44D2-81C1-FA5EA0899842}">
      <dsp:nvSpPr>
        <dsp:cNvPr id="0" name=""/>
        <dsp:cNvSpPr/>
      </dsp:nvSpPr>
      <dsp:spPr>
        <a:xfrm>
          <a:off x="2994082" y="2241205"/>
          <a:ext cx="946239" cy="946239"/>
        </a:xfrm>
        <a:prstGeom prst="ellipse">
          <a:avLst/>
        </a:prstGeom>
        <a:solidFill>
          <a:schemeClr val="accent2">
            <a:hueOff val="2340759"/>
            <a:satOff val="-2919"/>
            <a:lumOff val="68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Email marketing</a:t>
          </a:r>
        </a:p>
      </dsp:txBody>
      <dsp:txXfrm>
        <a:off x="3132655" y="2379778"/>
        <a:ext cx="669093" cy="669093"/>
      </dsp:txXfrm>
    </dsp:sp>
    <dsp:sp modelId="{D65583F6-1192-4A5E-8072-A825DB54653E}">
      <dsp:nvSpPr>
        <dsp:cNvPr id="0" name=""/>
        <dsp:cNvSpPr/>
      </dsp:nvSpPr>
      <dsp:spPr>
        <a:xfrm rot="7560000">
          <a:off x="2238445" y="2200550"/>
          <a:ext cx="285506" cy="31044"/>
        </a:xfrm>
        <a:custGeom>
          <a:avLst/>
          <a:gdLst/>
          <a:ahLst/>
          <a:cxnLst/>
          <a:rect l="0" t="0" r="0" b="0"/>
          <a:pathLst>
            <a:path>
              <a:moveTo>
                <a:pt x="0" y="15522"/>
              </a:moveTo>
              <a:lnTo>
                <a:pt x="285506" y="15522"/>
              </a:lnTo>
            </a:path>
          </a:pathLst>
        </a:custGeom>
        <a:noFill/>
        <a:ln w="25400" cap="flat" cmpd="sng" algn="ctr">
          <a:solidFill>
            <a:schemeClr val="accent3">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1" kern="1200">
            <a:solidFill>
              <a:schemeClr val="tx1"/>
            </a:solidFill>
            <a:latin typeface="Times New Roman" pitchFamily="18" charset="0"/>
            <a:cs typeface="Times New Roman" pitchFamily="18" charset="0"/>
          </a:endParaRPr>
        </a:p>
      </dsp:txBody>
      <dsp:txXfrm rot="10800000">
        <a:off x="2374061" y="2208935"/>
        <a:ext cx="14275" cy="14275"/>
      </dsp:txXfrm>
    </dsp:sp>
    <dsp:sp modelId="{BD14EFAF-C92D-4B5F-A9FD-AD927370D33C}">
      <dsp:nvSpPr>
        <dsp:cNvPr id="0" name=""/>
        <dsp:cNvSpPr/>
      </dsp:nvSpPr>
      <dsp:spPr>
        <a:xfrm>
          <a:off x="1546077" y="2241205"/>
          <a:ext cx="946239" cy="946239"/>
        </a:xfrm>
        <a:prstGeom prst="ellipse">
          <a:avLst/>
        </a:prstGeom>
        <a:solidFill>
          <a:schemeClr val="accent2">
            <a:hueOff val="3511139"/>
            <a:satOff val="-4379"/>
            <a:lumOff val="103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Social media</a:t>
          </a:r>
        </a:p>
      </dsp:txBody>
      <dsp:txXfrm>
        <a:off x="1684650" y="2379778"/>
        <a:ext cx="669093" cy="669093"/>
      </dsp:txXfrm>
    </dsp:sp>
    <dsp:sp modelId="{02C82CE4-16E9-45BE-BF12-BE094EF94354}">
      <dsp:nvSpPr>
        <dsp:cNvPr id="0" name=""/>
        <dsp:cNvSpPr/>
      </dsp:nvSpPr>
      <dsp:spPr>
        <a:xfrm rot="11880000">
          <a:off x="2014716" y="1511983"/>
          <a:ext cx="285506" cy="31044"/>
        </a:xfrm>
        <a:custGeom>
          <a:avLst/>
          <a:gdLst/>
          <a:ahLst/>
          <a:cxnLst/>
          <a:rect l="0" t="0" r="0" b="0"/>
          <a:pathLst>
            <a:path>
              <a:moveTo>
                <a:pt x="0" y="15522"/>
              </a:moveTo>
              <a:lnTo>
                <a:pt x="285506" y="15522"/>
              </a:lnTo>
            </a:path>
          </a:pathLst>
        </a:custGeom>
        <a:noFill/>
        <a:ln w="25400" cap="flat" cmpd="sng" algn="ctr">
          <a:solidFill>
            <a:schemeClr val="accent3">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1" kern="1200">
            <a:solidFill>
              <a:schemeClr val="tx1"/>
            </a:solidFill>
            <a:latin typeface="Times New Roman" pitchFamily="18" charset="0"/>
            <a:cs typeface="Times New Roman" pitchFamily="18" charset="0"/>
          </a:endParaRPr>
        </a:p>
      </dsp:txBody>
      <dsp:txXfrm rot="10800000">
        <a:off x="2150332" y="1520368"/>
        <a:ext cx="14275" cy="14275"/>
      </dsp:txXfrm>
    </dsp:sp>
    <dsp:sp modelId="{776B899D-AA94-4892-9023-529A34B620FE}">
      <dsp:nvSpPr>
        <dsp:cNvPr id="0" name=""/>
        <dsp:cNvSpPr/>
      </dsp:nvSpPr>
      <dsp:spPr>
        <a:xfrm>
          <a:off x="1098619" y="864070"/>
          <a:ext cx="946239" cy="946239"/>
        </a:xfrm>
        <a:prstGeom prst="ellipse">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itchFamily="18" charset="0"/>
              <a:cs typeface="Times New Roman" pitchFamily="18" charset="0"/>
            </a:rPr>
            <a:t>Webpage developement</a:t>
          </a:r>
        </a:p>
      </dsp:txBody>
      <dsp:txXfrm>
        <a:off x="1237192" y="1002643"/>
        <a:ext cx="669093" cy="66909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E276F4D-5679-4AF9-B22C-100C544B209D}">
  <ds:schemaRefs/>
</ds:datastoreItem>
</file>

<file path=docProps/app.xml><?xml version="1.0" encoding="utf-8"?>
<Properties xmlns="http://schemas.openxmlformats.org/officeDocument/2006/extended-properties" xmlns:vt="http://schemas.openxmlformats.org/officeDocument/2006/docPropsVTypes">
  <Template>Normal</Template>
  <Pages>22</Pages>
  <Words>4862</Words>
  <Characters>27719</Characters>
  <Lines>230</Lines>
  <Paragraphs>65</Paragraphs>
  <TotalTime>1</TotalTime>
  <ScaleCrop>false</ScaleCrop>
  <LinksUpToDate>false</LinksUpToDate>
  <CharactersWithSpaces>32516</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2022-12-16T04:50:00Z</dcterms:created>
  <dc:creator>User</dc:creator>
  <cp:lastModifiedBy>Hi</cp:lastModifiedBy>
  <dcterms:modified xsi:type="dcterms:W3CDTF">2023-01-03T15:53:19Z</dcterms:modified>
  <cp:revision>95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8A10A5C0328845BA93D8690288421ADA</vt:lpwstr>
  </property>
</Properties>
</file>