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29014625"/>
        <w:docPartObj>
          <w:docPartGallery w:val="Cover Pages"/>
          <w:docPartUnique/>
        </w:docPartObj>
      </w:sdtPr>
      <w:sdtEndPr>
        <w:rPr>
          <w:color w:val="FFFFFF" w:themeColor="background1"/>
          <w:spacing w:val="15"/>
          <w:sz w:val="28"/>
          <w:szCs w:val="28"/>
        </w:rPr>
      </w:sdtEndPr>
      <w:sdtContent>
        <w:p w14:paraId="0EC2F42E" w14:textId="6A086011" w:rsidR="00BC2F94" w:rsidRDefault="00000000">
          <w:r>
            <w:rPr>
              <w:noProof/>
            </w:rPr>
            <w:pict w14:anchorId="36522FD9">
              <v:group id="Group 157" o:spid="_x0000_s103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2"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3"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w:r>
          <w:r>
            <w:rPr>
              <w:noProof/>
            </w:rPr>
            <w:pict w14:anchorId="01128C50">
              <v:shapetype id="_x0000_t202" coordsize="21600,21600" o:spt="202" path="m,l,21600r21600,l21600,xe">
                <v:stroke joinstyle="miter"/>
                <v:path gradientshapeok="t" o:connecttype="rect"/>
              </v:shapetype>
              <v:shape id="Text Box 159" o:spid="_x0000_s1030"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C0000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60F620E" w14:textId="6CAD5554" w:rsidR="00BC2F94" w:rsidRPr="000C3A6C" w:rsidRDefault="00BC2F94">
                          <w:pPr>
                            <w:pStyle w:val="NoSpacing"/>
                            <w:jc w:val="right"/>
                            <w:rPr>
                              <w:color w:val="C00000"/>
                              <w:sz w:val="28"/>
                              <w:szCs w:val="28"/>
                            </w:rPr>
                          </w:pPr>
                          <w:r w:rsidRPr="000C3A6C">
                            <w:rPr>
                              <w:color w:val="C00000"/>
                              <w:sz w:val="28"/>
                              <w:szCs w:val="28"/>
                            </w:rPr>
                            <w:t>Iustina Rusei (1905309)</w:t>
                          </w:r>
                        </w:p>
                      </w:sdtContent>
                    </w:sdt>
                    <w:p w14:paraId="4731B696" w14:textId="4EDCE38E" w:rsidR="00BC2F94" w:rsidRPr="000C3A6C" w:rsidRDefault="00000000">
                      <w:pPr>
                        <w:pStyle w:val="NoSpacing"/>
                        <w:jc w:val="right"/>
                        <w:rPr>
                          <w:color w:val="C00000"/>
                          <w:sz w:val="18"/>
                          <w:szCs w:val="18"/>
                        </w:rPr>
                      </w:pPr>
                      <w:sdt>
                        <w:sdtPr>
                          <w:rPr>
                            <w:color w:val="C00000"/>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C3A6C" w:rsidRPr="000C3A6C">
                            <w:rPr>
                              <w:color w:val="C00000"/>
                              <w:sz w:val="18"/>
                              <w:szCs w:val="18"/>
                            </w:rPr>
                            <w:t>Deadline submission: 23rd of March 2026</w:t>
                          </w:r>
                        </w:sdtContent>
                      </w:sdt>
                    </w:p>
                  </w:txbxContent>
                </v:textbox>
                <w10:wrap type="square" anchorx="page" anchory="page"/>
              </v:shape>
            </w:pict>
          </w:r>
          <w:r>
            <w:rPr>
              <w:noProof/>
            </w:rPr>
            <w:pict w14:anchorId="362505FB">
              <v:shape id="Text Box 161" o:spid="_x0000_s1029"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93669F0" w14:textId="49B6E722" w:rsidR="00BC2F94" w:rsidRDefault="00BB1D2D" w:rsidP="007419E7">
                      <w:pPr>
                        <w:pStyle w:val="NoSpacing"/>
                        <w:jc w:val="center"/>
                        <w:rPr>
                          <w:color w:val="4472C4" w:themeColor="accent1"/>
                          <w:sz w:val="28"/>
                          <w:szCs w:val="28"/>
                        </w:rPr>
                      </w:pPr>
                      <w:r>
                        <w:rPr>
                          <w:color w:val="4472C4" w:themeColor="accent1"/>
                          <w:sz w:val="28"/>
                          <w:szCs w:val="28"/>
                        </w:rPr>
                        <w:t xml:space="preserve">Lecturer: Christine Joy </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78B070A" w14:textId="5C27386C" w:rsidR="00BC2F94" w:rsidRDefault="00BB1D2D">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w:r>
          <w:r>
            <w:rPr>
              <w:noProof/>
            </w:rPr>
            <w:pict w14:anchorId="47EC70EF">
              <v:shape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B99BEDC" w14:textId="248D7805" w:rsidR="00BC2F94" w:rsidRPr="000C3A6C" w:rsidRDefault="00000000">
                      <w:pPr>
                        <w:jc w:val="right"/>
                        <w:rPr>
                          <w:color w:val="C00000"/>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65C3">
                            <w:rPr>
                              <w:caps/>
                              <w:color w:val="4472C4" w:themeColor="accent1"/>
                              <w:sz w:val="64"/>
                              <w:szCs w:val="64"/>
                            </w:rPr>
                            <w:t>Principles and concepts of finance (BMSW5012)</w:t>
                          </w:r>
                        </w:sdtContent>
                      </w:sdt>
                    </w:p>
                    <w:sdt>
                      <w:sdtPr>
                        <w:rPr>
                          <w:color w:val="C00000"/>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3BC88C" w14:textId="293BE287" w:rsidR="00BC2F94" w:rsidRPr="000C3A6C" w:rsidRDefault="007419E7">
                          <w:pPr>
                            <w:jc w:val="right"/>
                            <w:rPr>
                              <w:smallCaps/>
                              <w:color w:val="C00000"/>
                              <w:sz w:val="36"/>
                              <w:szCs w:val="36"/>
                            </w:rPr>
                          </w:pPr>
                          <w:r w:rsidRPr="000C3A6C">
                            <w:rPr>
                              <w:color w:val="C00000"/>
                              <w:sz w:val="32"/>
                              <w:szCs w:val="32"/>
                            </w:rPr>
                            <w:t>Budgeting Principles and Approaches at Silver Stitch Ltd</w:t>
                          </w:r>
                        </w:p>
                      </w:sdtContent>
                    </w:sdt>
                  </w:txbxContent>
                </v:textbox>
                <w10:wrap type="square" anchorx="page" anchory="page"/>
              </v:shape>
            </w:pict>
          </w:r>
        </w:p>
        <w:p w14:paraId="2E4DB46C" w14:textId="6C509245" w:rsidR="00BC2F94" w:rsidRDefault="00BC2F94">
          <w:pPr>
            <w:rPr>
              <w:rFonts w:eastAsiaTheme="majorEastAsia"/>
              <w:color w:val="FFFFFF" w:themeColor="background1"/>
              <w:spacing w:val="15"/>
              <w:sz w:val="28"/>
              <w:szCs w:val="28"/>
            </w:rPr>
          </w:pPr>
          <w:r>
            <w:rPr>
              <w:color w:val="FFFFFF" w:themeColor="background1"/>
              <w:spacing w:val="15"/>
              <w:sz w:val="28"/>
              <w:szCs w:val="28"/>
            </w:rPr>
            <w:br w:type="page"/>
          </w:r>
        </w:p>
      </w:sdtContent>
    </w:sdt>
    <w:p w14:paraId="18D0572F" w14:textId="1D7F0E20" w:rsidR="009E3A29" w:rsidRPr="006430C6" w:rsidRDefault="009E3A29" w:rsidP="00CE72E6">
      <w:pPr>
        <w:pStyle w:val="Title"/>
        <w:rPr>
          <w:b/>
          <w:bCs/>
          <w:i/>
          <w:iCs/>
        </w:rPr>
      </w:pPr>
      <w:r w:rsidRPr="006430C6">
        <w:rPr>
          <w:b/>
          <w:bCs/>
          <w:i/>
          <w:iCs/>
        </w:rPr>
        <w:lastRenderedPageBreak/>
        <w:t>Budgeting Principles and Approaches at Silver Stitch Ltd</w:t>
      </w:r>
    </w:p>
    <w:p w14:paraId="3BBB2088" w14:textId="77777777" w:rsidR="003B20B8" w:rsidRDefault="003B20B8" w:rsidP="003B20B8"/>
    <w:p w14:paraId="502F204D" w14:textId="77777777" w:rsidR="003B20B8" w:rsidRPr="00B77A5C" w:rsidRDefault="003B20B8" w:rsidP="003B20B8">
      <w:pPr>
        <w:rPr>
          <w:rFonts w:ascii="Arial" w:hAnsi="Arial" w:cs="Arial"/>
          <w:sz w:val="24"/>
          <w:szCs w:val="24"/>
        </w:rPr>
      </w:pPr>
    </w:p>
    <w:p w14:paraId="32B304B7" w14:textId="77777777" w:rsidR="003B20B8" w:rsidRDefault="003B20B8" w:rsidP="003B20B8"/>
    <w:p w14:paraId="683066FE" w14:textId="77777777" w:rsidR="003B20B8" w:rsidRPr="00A3274F" w:rsidRDefault="003B20B8" w:rsidP="003B20B8">
      <w:pPr>
        <w:rPr>
          <w:rFonts w:ascii="Arial" w:hAnsi="Arial" w:cs="Arial"/>
        </w:rPr>
      </w:pPr>
    </w:p>
    <w:sdt>
      <w:sdtPr>
        <w:rPr>
          <w:rFonts w:asciiTheme="minorHAnsi" w:eastAsiaTheme="minorHAnsi" w:hAnsiTheme="minorHAnsi" w:cstheme="minorBidi"/>
          <w:color w:val="auto"/>
          <w:kern w:val="2"/>
          <w:sz w:val="22"/>
          <w:szCs w:val="22"/>
          <w:lang w:val="en-GB"/>
        </w:rPr>
        <w:id w:val="-484549470"/>
        <w:docPartObj>
          <w:docPartGallery w:val="Table of Contents"/>
          <w:docPartUnique/>
        </w:docPartObj>
      </w:sdtPr>
      <w:sdtEndPr>
        <w:rPr>
          <w:b/>
          <w:bCs/>
          <w:noProof/>
        </w:rPr>
      </w:sdtEndPr>
      <w:sdtContent>
        <w:p w14:paraId="26FBA301" w14:textId="75AC6445" w:rsidR="00897A01" w:rsidRDefault="00897A01">
          <w:pPr>
            <w:pStyle w:val="TOCHeading"/>
            <w:rPr>
              <w:rFonts w:ascii="Arial" w:hAnsi="Arial" w:cs="Arial"/>
              <w:sz w:val="24"/>
              <w:szCs w:val="24"/>
            </w:rPr>
          </w:pPr>
          <w:r w:rsidRPr="00A3274F">
            <w:rPr>
              <w:rFonts w:ascii="Arial" w:hAnsi="Arial" w:cs="Arial"/>
              <w:sz w:val="24"/>
              <w:szCs w:val="24"/>
            </w:rPr>
            <w:t>Contents</w:t>
          </w:r>
        </w:p>
        <w:p w14:paraId="00F2E3BE" w14:textId="77777777" w:rsidR="00A3274F" w:rsidRPr="00A3274F" w:rsidRDefault="00A3274F" w:rsidP="00A3274F">
          <w:pPr>
            <w:rPr>
              <w:lang w:val="en-US"/>
            </w:rPr>
          </w:pPr>
        </w:p>
        <w:p w14:paraId="77F7C169" w14:textId="106F9620" w:rsidR="00A3274F" w:rsidRPr="00A3274F" w:rsidRDefault="00897A01" w:rsidP="00A3274F">
          <w:pPr>
            <w:pStyle w:val="TOC1"/>
            <w:tabs>
              <w:tab w:val="right" w:leader="dot" w:pos="9016"/>
            </w:tabs>
            <w:spacing w:line="360" w:lineRule="auto"/>
            <w:jc w:val="both"/>
            <w:rPr>
              <w:rFonts w:ascii="Arial" w:eastAsiaTheme="minorEastAsia" w:hAnsi="Arial" w:cs="Arial"/>
              <w:noProof/>
              <w:sz w:val="24"/>
              <w:szCs w:val="24"/>
              <w:lang w:eastAsia="en-GB"/>
            </w:rPr>
          </w:pPr>
          <w:r w:rsidRPr="00A3274F">
            <w:rPr>
              <w:rFonts w:ascii="Arial" w:hAnsi="Arial" w:cs="Arial"/>
              <w:sz w:val="24"/>
              <w:szCs w:val="24"/>
            </w:rPr>
            <w:fldChar w:fldCharType="begin"/>
          </w:r>
          <w:r w:rsidRPr="00A3274F">
            <w:rPr>
              <w:rFonts w:ascii="Arial" w:hAnsi="Arial" w:cs="Arial"/>
              <w:sz w:val="24"/>
              <w:szCs w:val="24"/>
            </w:rPr>
            <w:instrText xml:space="preserve"> TOC \o "1-3" \h \z \u </w:instrText>
          </w:r>
          <w:r w:rsidRPr="00A3274F">
            <w:rPr>
              <w:rFonts w:ascii="Arial" w:hAnsi="Arial" w:cs="Arial"/>
              <w:sz w:val="24"/>
              <w:szCs w:val="24"/>
            </w:rPr>
            <w:fldChar w:fldCharType="separate"/>
          </w:r>
          <w:hyperlink w:anchor="_Toc225098713" w:history="1">
            <w:r w:rsidR="00A3274F" w:rsidRPr="00A3274F">
              <w:rPr>
                <w:rStyle w:val="Hyperlink"/>
                <w:rFonts w:ascii="Arial" w:hAnsi="Arial" w:cs="Arial"/>
                <w:b/>
                <w:bCs/>
                <w:noProof/>
                <w:sz w:val="24"/>
                <w:szCs w:val="24"/>
              </w:rPr>
              <w:t>Executive summary</w:t>
            </w:r>
            <w:r w:rsidR="00A3274F" w:rsidRPr="00A3274F">
              <w:rPr>
                <w:rFonts w:ascii="Arial" w:hAnsi="Arial" w:cs="Arial"/>
                <w:noProof/>
                <w:webHidden/>
                <w:sz w:val="24"/>
                <w:szCs w:val="24"/>
              </w:rPr>
              <w:tab/>
            </w:r>
            <w:r w:rsidR="00A3274F" w:rsidRPr="00A3274F">
              <w:rPr>
                <w:rFonts w:ascii="Arial" w:hAnsi="Arial" w:cs="Arial"/>
                <w:noProof/>
                <w:webHidden/>
                <w:sz w:val="24"/>
                <w:szCs w:val="24"/>
              </w:rPr>
              <w:fldChar w:fldCharType="begin"/>
            </w:r>
            <w:r w:rsidR="00A3274F" w:rsidRPr="00A3274F">
              <w:rPr>
                <w:rFonts w:ascii="Arial" w:hAnsi="Arial" w:cs="Arial"/>
                <w:noProof/>
                <w:webHidden/>
                <w:sz w:val="24"/>
                <w:szCs w:val="24"/>
              </w:rPr>
              <w:instrText xml:space="preserve"> PAGEREF _Toc225098713 \h </w:instrText>
            </w:r>
            <w:r w:rsidR="00A3274F" w:rsidRPr="00A3274F">
              <w:rPr>
                <w:rFonts w:ascii="Arial" w:hAnsi="Arial" w:cs="Arial"/>
                <w:noProof/>
                <w:webHidden/>
                <w:sz w:val="24"/>
                <w:szCs w:val="24"/>
              </w:rPr>
            </w:r>
            <w:r w:rsidR="00A3274F" w:rsidRPr="00A3274F">
              <w:rPr>
                <w:rFonts w:ascii="Arial" w:hAnsi="Arial" w:cs="Arial"/>
                <w:noProof/>
                <w:webHidden/>
                <w:sz w:val="24"/>
                <w:szCs w:val="24"/>
              </w:rPr>
              <w:fldChar w:fldCharType="separate"/>
            </w:r>
            <w:r w:rsidR="00A3274F" w:rsidRPr="00A3274F">
              <w:rPr>
                <w:rFonts w:ascii="Arial" w:hAnsi="Arial" w:cs="Arial"/>
                <w:noProof/>
                <w:webHidden/>
                <w:sz w:val="24"/>
                <w:szCs w:val="24"/>
              </w:rPr>
              <w:t>2</w:t>
            </w:r>
            <w:r w:rsidR="00A3274F" w:rsidRPr="00A3274F">
              <w:rPr>
                <w:rFonts w:ascii="Arial" w:hAnsi="Arial" w:cs="Arial"/>
                <w:noProof/>
                <w:webHidden/>
                <w:sz w:val="24"/>
                <w:szCs w:val="24"/>
              </w:rPr>
              <w:fldChar w:fldCharType="end"/>
            </w:r>
          </w:hyperlink>
        </w:p>
        <w:p w14:paraId="76C3E3AF" w14:textId="3B47AFA3"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14" w:history="1">
            <w:r w:rsidRPr="00A3274F">
              <w:rPr>
                <w:rStyle w:val="Hyperlink"/>
                <w:rFonts w:ascii="Arial" w:hAnsi="Arial" w:cs="Arial"/>
                <w:b/>
                <w:bCs/>
                <w:noProof/>
                <w:sz w:val="24"/>
                <w:szCs w:val="24"/>
              </w:rPr>
              <w:t>Introduction</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_Toc225098714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3</w:t>
            </w:r>
            <w:r w:rsidRPr="00A3274F">
              <w:rPr>
                <w:rFonts w:ascii="Arial" w:hAnsi="Arial" w:cs="Arial"/>
                <w:noProof/>
                <w:webHidden/>
                <w:sz w:val="24"/>
                <w:szCs w:val="24"/>
              </w:rPr>
              <w:fldChar w:fldCharType="end"/>
            </w:r>
          </w:hyperlink>
        </w:p>
        <w:p w14:paraId="5402AB3B" w14:textId="07ECE4C8"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15" w:history="1">
            <w:r w:rsidRPr="00A3274F">
              <w:rPr>
                <w:rStyle w:val="Hyperlink"/>
                <w:rFonts w:ascii="Arial" w:hAnsi="Arial" w:cs="Arial"/>
                <w:b/>
                <w:bCs/>
                <w:noProof/>
                <w:sz w:val="24"/>
                <w:szCs w:val="24"/>
              </w:rPr>
              <w:t>Budget Overview and Key Findings</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_Toc225098715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4</w:t>
            </w:r>
            <w:r w:rsidRPr="00A3274F">
              <w:rPr>
                <w:rFonts w:ascii="Arial" w:hAnsi="Arial" w:cs="Arial"/>
                <w:noProof/>
                <w:webHidden/>
                <w:sz w:val="24"/>
                <w:szCs w:val="24"/>
              </w:rPr>
              <w:fldChar w:fldCharType="end"/>
            </w:r>
          </w:hyperlink>
        </w:p>
        <w:p w14:paraId="056FDD9D" w14:textId="0668014E" w:rsidR="00A3274F" w:rsidRPr="00A3274F" w:rsidRDefault="00A3274F" w:rsidP="00A3274F">
          <w:pPr>
            <w:pStyle w:val="TOC2"/>
            <w:tabs>
              <w:tab w:val="right" w:leader="dot" w:pos="9016"/>
            </w:tabs>
            <w:spacing w:line="360" w:lineRule="auto"/>
            <w:jc w:val="both"/>
            <w:rPr>
              <w:rFonts w:ascii="Arial" w:eastAsiaTheme="minorEastAsia" w:hAnsi="Arial" w:cs="Arial"/>
              <w:noProof/>
              <w:sz w:val="24"/>
              <w:szCs w:val="24"/>
              <w:lang w:eastAsia="en-GB"/>
            </w:rPr>
          </w:pPr>
          <w:hyperlink w:anchor="_Toc225098716" w:history="1">
            <w:r w:rsidRPr="00A3274F">
              <w:rPr>
                <w:rStyle w:val="Hyperlink"/>
                <w:rFonts w:ascii="Arial" w:hAnsi="Arial" w:cs="Arial"/>
                <w:noProof/>
                <w:sz w:val="24"/>
                <w:szCs w:val="24"/>
              </w:rPr>
              <w:t>The stock budget for 6 months to December 31</w:t>
            </w:r>
            <w:r w:rsidRPr="00A3274F">
              <w:rPr>
                <w:rStyle w:val="Hyperlink"/>
                <w:rFonts w:ascii="Arial" w:hAnsi="Arial" w:cs="Arial"/>
                <w:noProof/>
                <w:sz w:val="24"/>
                <w:szCs w:val="24"/>
                <w:vertAlign w:val="superscript"/>
              </w:rPr>
              <w:t>st</w:t>
            </w:r>
            <w:r w:rsidRPr="00A3274F">
              <w:rPr>
                <w:rStyle w:val="Hyperlink"/>
                <w:rFonts w:ascii="Arial" w:hAnsi="Arial" w:cs="Arial"/>
                <w:noProof/>
                <w:sz w:val="24"/>
                <w:szCs w:val="24"/>
              </w:rPr>
              <w:t>.</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_Toc225098716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4</w:t>
            </w:r>
            <w:r w:rsidRPr="00A3274F">
              <w:rPr>
                <w:rFonts w:ascii="Arial" w:hAnsi="Arial" w:cs="Arial"/>
                <w:noProof/>
                <w:webHidden/>
                <w:sz w:val="24"/>
                <w:szCs w:val="24"/>
              </w:rPr>
              <w:fldChar w:fldCharType="end"/>
            </w:r>
          </w:hyperlink>
        </w:p>
        <w:p w14:paraId="2F958815" w14:textId="22FCE7C5" w:rsidR="00A3274F" w:rsidRPr="00A3274F" w:rsidRDefault="00A3274F" w:rsidP="00A3274F">
          <w:pPr>
            <w:pStyle w:val="TOC2"/>
            <w:tabs>
              <w:tab w:val="right" w:leader="dot" w:pos="9016"/>
            </w:tabs>
            <w:spacing w:line="360" w:lineRule="auto"/>
            <w:jc w:val="both"/>
            <w:rPr>
              <w:rFonts w:ascii="Arial" w:eastAsiaTheme="minorEastAsia" w:hAnsi="Arial" w:cs="Arial"/>
              <w:noProof/>
              <w:sz w:val="24"/>
              <w:szCs w:val="24"/>
              <w:lang w:eastAsia="en-GB"/>
            </w:rPr>
          </w:pPr>
          <w:hyperlink w:anchor="_Toc225098717" w:history="1">
            <w:r w:rsidRPr="00A3274F">
              <w:rPr>
                <w:rStyle w:val="Hyperlink"/>
                <w:rFonts w:ascii="Arial" w:hAnsi="Arial" w:cs="Arial"/>
                <w:noProof/>
                <w:sz w:val="24"/>
                <w:szCs w:val="24"/>
              </w:rPr>
              <w:t>The cash budget for the 6 months period to December 31</w:t>
            </w:r>
            <w:r w:rsidRPr="00A3274F">
              <w:rPr>
                <w:rStyle w:val="Hyperlink"/>
                <w:rFonts w:ascii="Arial" w:hAnsi="Arial" w:cs="Arial"/>
                <w:noProof/>
                <w:sz w:val="24"/>
                <w:szCs w:val="24"/>
                <w:vertAlign w:val="superscript"/>
              </w:rPr>
              <w:t>st</w:t>
            </w:r>
            <w:r w:rsidRPr="00A3274F">
              <w:rPr>
                <w:rStyle w:val="Hyperlink"/>
                <w:rFonts w:ascii="Arial" w:hAnsi="Arial" w:cs="Arial"/>
                <w:noProof/>
                <w:sz w:val="24"/>
                <w:szCs w:val="24"/>
              </w:rPr>
              <w:t>.</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_Toc225098717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5</w:t>
            </w:r>
            <w:r w:rsidRPr="00A3274F">
              <w:rPr>
                <w:rFonts w:ascii="Arial" w:hAnsi="Arial" w:cs="Arial"/>
                <w:noProof/>
                <w:webHidden/>
                <w:sz w:val="24"/>
                <w:szCs w:val="24"/>
              </w:rPr>
              <w:fldChar w:fldCharType="end"/>
            </w:r>
          </w:hyperlink>
        </w:p>
        <w:p w14:paraId="16926260" w14:textId="46DD8152" w:rsidR="00A3274F" w:rsidRPr="00A3274F" w:rsidRDefault="00A3274F" w:rsidP="00A3274F">
          <w:pPr>
            <w:pStyle w:val="TOC2"/>
            <w:tabs>
              <w:tab w:val="right" w:leader="dot" w:pos="9016"/>
            </w:tabs>
            <w:spacing w:line="360" w:lineRule="auto"/>
            <w:jc w:val="both"/>
            <w:rPr>
              <w:rFonts w:ascii="Arial" w:eastAsiaTheme="minorEastAsia" w:hAnsi="Arial" w:cs="Arial"/>
              <w:noProof/>
              <w:sz w:val="24"/>
              <w:szCs w:val="24"/>
              <w:lang w:eastAsia="en-GB"/>
            </w:rPr>
          </w:pPr>
          <w:hyperlink w:anchor="_Toc225098718" w:history="1">
            <w:r w:rsidRPr="00A3274F">
              <w:rPr>
                <w:rStyle w:val="Hyperlink"/>
                <w:rFonts w:ascii="Arial" w:hAnsi="Arial" w:cs="Arial"/>
                <w:noProof/>
                <w:sz w:val="24"/>
                <w:szCs w:val="24"/>
              </w:rPr>
              <w:t>Profit and Loss Accounting for the 6 months ending December 31</w:t>
            </w:r>
            <w:r w:rsidRPr="00A3274F">
              <w:rPr>
                <w:rStyle w:val="Hyperlink"/>
                <w:rFonts w:ascii="Arial" w:hAnsi="Arial" w:cs="Arial"/>
                <w:noProof/>
                <w:sz w:val="24"/>
                <w:szCs w:val="24"/>
                <w:vertAlign w:val="superscript"/>
              </w:rPr>
              <w:t>st</w:t>
            </w:r>
            <w:r w:rsidRPr="00A3274F">
              <w:rPr>
                <w:rStyle w:val="Hyperlink"/>
                <w:rFonts w:ascii="Arial" w:hAnsi="Arial" w:cs="Arial"/>
                <w:noProof/>
                <w:sz w:val="24"/>
                <w:szCs w:val="24"/>
              </w:rPr>
              <w:t>.</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_Toc225098718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6</w:t>
            </w:r>
            <w:r w:rsidRPr="00A3274F">
              <w:rPr>
                <w:rFonts w:ascii="Arial" w:hAnsi="Arial" w:cs="Arial"/>
                <w:noProof/>
                <w:webHidden/>
                <w:sz w:val="24"/>
                <w:szCs w:val="24"/>
              </w:rPr>
              <w:fldChar w:fldCharType="end"/>
            </w:r>
          </w:hyperlink>
        </w:p>
        <w:p w14:paraId="08D4C110" w14:textId="1BE4980A"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19" w:history="1">
            <w:r w:rsidRPr="00A3274F">
              <w:rPr>
                <w:rStyle w:val="Hyperlink"/>
                <w:rFonts w:ascii="Arial" w:hAnsi="Arial" w:cs="Arial"/>
                <w:b/>
                <w:bCs/>
                <w:noProof/>
                <w:sz w:val="24"/>
                <w:szCs w:val="24"/>
              </w:rPr>
              <w:t>Financial and Operational Issues Identified from the Budgets</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_Toc225098719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8</w:t>
            </w:r>
            <w:r w:rsidRPr="00A3274F">
              <w:rPr>
                <w:rFonts w:ascii="Arial" w:hAnsi="Arial" w:cs="Arial"/>
                <w:noProof/>
                <w:webHidden/>
                <w:sz w:val="24"/>
                <w:szCs w:val="24"/>
              </w:rPr>
              <w:fldChar w:fldCharType="end"/>
            </w:r>
          </w:hyperlink>
        </w:p>
        <w:p w14:paraId="64FF4187" w14:textId="1F284FB5"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0" w:history="1">
            <w:r w:rsidRPr="00A3274F">
              <w:rPr>
                <w:rStyle w:val="Hyperlink"/>
                <w:rFonts w:ascii="Arial" w:hAnsi="Arial" w:cs="Arial"/>
                <w:b/>
                <w:bCs/>
                <w:noProof/>
                <w:sz w:val="24"/>
                <w:szCs w:val="24"/>
              </w:rPr>
              <w:t>Conditions for Effective Budgeting and Budgetary Control</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_Toc225098720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11</w:t>
            </w:r>
            <w:r w:rsidRPr="00A3274F">
              <w:rPr>
                <w:rFonts w:ascii="Arial" w:hAnsi="Arial" w:cs="Arial"/>
                <w:noProof/>
                <w:webHidden/>
                <w:sz w:val="24"/>
                <w:szCs w:val="24"/>
              </w:rPr>
              <w:fldChar w:fldCharType="end"/>
            </w:r>
          </w:hyperlink>
        </w:p>
        <w:p w14:paraId="2F81B328" w14:textId="0C5C9129"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1" w:history="1">
            <w:r w:rsidRPr="00A3274F">
              <w:rPr>
                <w:rStyle w:val="Hyperlink"/>
                <w:rFonts w:ascii="Arial" w:hAnsi="Arial" w:cs="Arial"/>
                <w:b/>
                <w:bCs/>
                <w:noProof/>
                <w:sz w:val="24"/>
                <w:szCs w:val="24"/>
              </w:rPr>
              <w:t>Behavioural Issues in Budgeting</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_Toc225098721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13</w:t>
            </w:r>
            <w:r w:rsidRPr="00A3274F">
              <w:rPr>
                <w:rFonts w:ascii="Arial" w:hAnsi="Arial" w:cs="Arial"/>
                <w:noProof/>
                <w:webHidden/>
                <w:sz w:val="24"/>
                <w:szCs w:val="24"/>
              </w:rPr>
              <w:fldChar w:fldCharType="end"/>
            </w:r>
          </w:hyperlink>
        </w:p>
        <w:p w14:paraId="1DC2DA94" w14:textId="78035C14"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2" w:history="1">
            <w:r w:rsidRPr="00A3274F">
              <w:rPr>
                <w:rStyle w:val="Hyperlink"/>
                <w:rFonts w:ascii="Arial" w:hAnsi="Arial" w:cs="Arial"/>
                <w:b/>
                <w:bCs/>
                <w:noProof/>
                <w:sz w:val="24"/>
                <w:szCs w:val="24"/>
              </w:rPr>
              <w:t>Critical Evaluation of Traditional Budgeting in a changing Business Environment</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_Toc225098722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14</w:t>
            </w:r>
            <w:r w:rsidRPr="00A3274F">
              <w:rPr>
                <w:rFonts w:ascii="Arial" w:hAnsi="Arial" w:cs="Arial"/>
                <w:noProof/>
                <w:webHidden/>
                <w:sz w:val="24"/>
                <w:szCs w:val="24"/>
              </w:rPr>
              <w:fldChar w:fldCharType="end"/>
            </w:r>
          </w:hyperlink>
        </w:p>
        <w:p w14:paraId="57481976" w14:textId="25F39366"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3" w:history="1">
            <w:r w:rsidRPr="00A3274F">
              <w:rPr>
                <w:rStyle w:val="Hyperlink"/>
                <w:rFonts w:ascii="Arial" w:hAnsi="Arial" w:cs="Arial"/>
                <w:b/>
                <w:bCs/>
                <w:noProof/>
                <w:sz w:val="24"/>
                <w:szCs w:val="24"/>
              </w:rPr>
              <w:t>Performance measurement, Sustainability and Strategic control</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_Toc225098723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16</w:t>
            </w:r>
            <w:r w:rsidRPr="00A3274F">
              <w:rPr>
                <w:rFonts w:ascii="Arial" w:hAnsi="Arial" w:cs="Arial"/>
                <w:noProof/>
                <w:webHidden/>
                <w:sz w:val="24"/>
                <w:szCs w:val="24"/>
              </w:rPr>
              <w:fldChar w:fldCharType="end"/>
            </w:r>
          </w:hyperlink>
        </w:p>
        <w:p w14:paraId="04059877" w14:textId="6BFCE199"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4" w:history="1">
            <w:r w:rsidRPr="00A3274F">
              <w:rPr>
                <w:rStyle w:val="Hyperlink"/>
                <w:rFonts w:ascii="Arial" w:hAnsi="Arial" w:cs="Arial"/>
                <w:b/>
                <w:bCs/>
                <w:noProof/>
                <w:sz w:val="24"/>
                <w:szCs w:val="24"/>
              </w:rPr>
              <w:t>Friedman vs Freeman: competing view of business purpose</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_Toc225098724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18</w:t>
            </w:r>
            <w:r w:rsidRPr="00A3274F">
              <w:rPr>
                <w:rFonts w:ascii="Arial" w:hAnsi="Arial" w:cs="Arial"/>
                <w:noProof/>
                <w:webHidden/>
                <w:sz w:val="24"/>
                <w:szCs w:val="24"/>
              </w:rPr>
              <w:fldChar w:fldCharType="end"/>
            </w:r>
          </w:hyperlink>
        </w:p>
        <w:p w14:paraId="65B6C37A" w14:textId="23697CE0"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5" w:history="1">
            <w:r w:rsidRPr="00A3274F">
              <w:rPr>
                <w:rStyle w:val="Hyperlink"/>
                <w:rFonts w:ascii="Arial" w:hAnsi="Arial" w:cs="Arial"/>
                <w:b/>
                <w:bCs/>
                <w:noProof/>
                <w:sz w:val="24"/>
                <w:szCs w:val="24"/>
              </w:rPr>
              <w:t>Conclusion</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_Toc225098725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19</w:t>
            </w:r>
            <w:r w:rsidRPr="00A3274F">
              <w:rPr>
                <w:rFonts w:ascii="Arial" w:hAnsi="Arial" w:cs="Arial"/>
                <w:noProof/>
                <w:webHidden/>
                <w:sz w:val="24"/>
                <w:szCs w:val="24"/>
              </w:rPr>
              <w:fldChar w:fldCharType="end"/>
            </w:r>
          </w:hyperlink>
        </w:p>
        <w:p w14:paraId="2F760CA4" w14:textId="0CF69B69" w:rsidR="00A3274F" w:rsidRPr="00A3274F" w:rsidRDefault="00A3274F" w:rsidP="00A3274F">
          <w:pPr>
            <w:pStyle w:val="TOC1"/>
            <w:tabs>
              <w:tab w:val="right" w:leader="dot" w:pos="9016"/>
            </w:tabs>
            <w:spacing w:line="360" w:lineRule="auto"/>
            <w:jc w:val="both"/>
            <w:rPr>
              <w:rFonts w:ascii="Arial" w:eastAsiaTheme="minorEastAsia" w:hAnsi="Arial" w:cs="Arial"/>
              <w:noProof/>
              <w:sz w:val="24"/>
              <w:szCs w:val="24"/>
              <w:lang w:eastAsia="en-GB"/>
            </w:rPr>
          </w:pPr>
          <w:hyperlink w:anchor="_Toc225098726" w:history="1">
            <w:r w:rsidRPr="00A3274F">
              <w:rPr>
                <w:rStyle w:val="Hyperlink"/>
                <w:rFonts w:ascii="Arial" w:hAnsi="Arial" w:cs="Arial"/>
                <w:b/>
                <w:bCs/>
                <w:noProof/>
                <w:sz w:val="24"/>
                <w:szCs w:val="24"/>
              </w:rPr>
              <w:t>Reference list:</w:t>
            </w:r>
            <w:r w:rsidRPr="00A3274F">
              <w:rPr>
                <w:rFonts w:ascii="Arial" w:hAnsi="Arial" w:cs="Arial"/>
                <w:noProof/>
                <w:webHidden/>
                <w:sz w:val="24"/>
                <w:szCs w:val="24"/>
              </w:rPr>
              <w:tab/>
            </w:r>
            <w:r w:rsidRPr="00A3274F">
              <w:rPr>
                <w:rFonts w:ascii="Arial" w:hAnsi="Arial" w:cs="Arial"/>
                <w:noProof/>
                <w:webHidden/>
                <w:sz w:val="24"/>
                <w:szCs w:val="24"/>
              </w:rPr>
              <w:fldChar w:fldCharType="begin"/>
            </w:r>
            <w:r w:rsidRPr="00A3274F">
              <w:rPr>
                <w:rFonts w:ascii="Arial" w:hAnsi="Arial" w:cs="Arial"/>
                <w:noProof/>
                <w:webHidden/>
                <w:sz w:val="24"/>
                <w:szCs w:val="24"/>
              </w:rPr>
              <w:instrText xml:space="preserve"> PAGEREF _Toc225098726 \h </w:instrText>
            </w:r>
            <w:r w:rsidRPr="00A3274F">
              <w:rPr>
                <w:rFonts w:ascii="Arial" w:hAnsi="Arial" w:cs="Arial"/>
                <w:noProof/>
                <w:webHidden/>
                <w:sz w:val="24"/>
                <w:szCs w:val="24"/>
              </w:rPr>
            </w:r>
            <w:r w:rsidRPr="00A3274F">
              <w:rPr>
                <w:rFonts w:ascii="Arial" w:hAnsi="Arial" w:cs="Arial"/>
                <w:noProof/>
                <w:webHidden/>
                <w:sz w:val="24"/>
                <w:szCs w:val="24"/>
              </w:rPr>
              <w:fldChar w:fldCharType="separate"/>
            </w:r>
            <w:r w:rsidRPr="00A3274F">
              <w:rPr>
                <w:rFonts w:ascii="Arial" w:hAnsi="Arial" w:cs="Arial"/>
                <w:noProof/>
                <w:webHidden/>
                <w:sz w:val="24"/>
                <w:szCs w:val="24"/>
              </w:rPr>
              <w:t>20</w:t>
            </w:r>
            <w:r w:rsidRPr="00A3274F">
              <w:rPr>
                <w:rFonts w:ascii="Arial" w:hAnsi="Arial" w:cs="Arial"/>
                <w:noProof/>
                <w:webHidden/>
                <w:sz w:val="24"/>
                <w:szCs w:val="24"/>
              </w:rPr>
              <w:fldChar w:fldCharType="end"/>
            </w:r>
          </w:hyperlink>
        </w:p>
        <w:p w14:paraId="1EA92226" w14:textId="5ECFC9F1" w:rsidR="00897A01" w:rsidRDefault="00897A01">
          <w:r w:rsidRPr="00A3274F">
            <w:rPr>
              <w:rFonts w:ascii="Arial" w:hAnsi="Arial" w:cs="Arial"/>
              <w:b/>
              <w:bCs/>
              <w:noProof/>
              <w:sz w:val="24"/>
              <w:szCs w:val="24"/>
            </w:rPr>
            <w:fldChar w:fldCharType="end"/>
          </w:r>
        </w:p>
      </w:sdtContent>
    </w:sdt>
    <w:p w14:paraId="4239AA1A" w14:textId="77777777" w:rsidR="00BD4FA7" w:rsidRDefault="00BD4FA7" w:rsidP="00BD4FA7"/>
    <w:p w14:paraId="142C2D61" w14:textId="77777777" w:rsidR="00897A01" w:rsidRDefault="00897A01" w:rsidP="00BD4FA7"/>
    <w:p w14:paraId="09080630" w14:textId="77777777" w:rsidR="00897A01" w:rsidRDefault="00897A01" w:rsidP="00B77A5C">
      <w:pPr>
        <w:jc w:val="both"/>
      </w:pPr>
    </w:p>
    <w:p w14:paraId="570B5F6A" w14:textId="77777777" w:rsidR="00897A01" w:rsidRDefault="00897A01" w:rsidP="00BD4FA7"/>
    <w:p w14:paraId="123A54DF" w14:textId="77777777" w:rsidR="00897A01" w:rsidRDefault="00897A01" w:rsidP="00BD4FA7"/>
    <w:p w14:paraId="32269957" w14:textId="77777777" w:rsidR="003B20B8" w:rsidRDefault="003B20B8" w:rsidP="00BD4FA7"/>
    <w:p w14:paraId="27D94A67" w14:textId="77777777" w:rsidR="00897A01" w:rsidRDefault="00897A01" w:rsidP="00925B36">
      <w:pPr>
        <w:pStyle w:val="Heading1"/>
        <w:rPr>
          <w:b/>
          <w:bCs/>
        </w:rPr>
      </w:pPr>
    </w:p>
    <w:p w14:paraId="38C106CC" w14:textId="5A090A34" w:rsidR="00AB7A86" w:rsidRPr="00925B36" w:rsidRDefault="00925B36" w:rsidP="00925B36">
      <w:pPr>
        <w:pStyle w:val="Heading1"/>
        <w:rPr>
          <w:b/>
          <w:bCs/>
        </w:rPr>
      </w:pPr>
      <w:bookmarkStart w:id="0" w:name="_Toc225098713"/>
      <w:r w:rsidRPr="00925B36">
        <w:rPr>
          <w:b/>
          <w:bCs/>
        </w:rPr>
        <w:t>Executive summary</w:t>
      </w:r>
      <w:bookmarkEnd w:id="0"/>
      <w:r w:rsidRPr="00925B36">
        <w:rPr>
          <w:b/>
          <w:bCs/>
        </w:rPr>
        <w:t xml:space="preserve"> </w:t>
      </w:r>
    </w:p>
    <w:p w14:paraId="7453CDC9" w14:textId="77777777" w:rsidR="00AB7A86" w:rsidRDefault="00AB7A86" w:rsidP="00BD4FA7"/>
    <w:p w14:paraId="15DE1C2C" w14:textId="77777777" w:rsidR="00AB7A86" w:rsidRPr="00AB7A86" w:rsidRDefault="00AB7A86" w:rsidP="00AB7A86">
      <w:pPr>
        <w:spacing w:line="360" w:lineRule="auto"/>
        <w:jc w:val="both"/>
        <w:rPr>
          <w:rFonts w:ascii="Arial" w:hAnsi="Arial" w:cs="Arial"/>
          <w:sz w:val="24"/>
          <w:szCs w:val="24"/>
        </w:rPr>
      </w:pPr>
      <w:r w:rsidRPr="00AB7A86">
        <w:rPr>
          <w:rFonts w:ascii="Arial" w:hAnsi="Arial" w:cs="Arial"/>
          <w:sz w:val="24"/>
          <w:szCs w:val="24"/>
        </w:rPr>
        <w:t>This report evaluates the forecast budgets prepared for Silver Stitch Ltd for the six months to 31 December, with particular focus on liquidity, profitability and working capital management. The analysis shows that the business is expected to remain profitable and should be able to eliminate its £30,000 overdraft before the bank’s year-end deadline. The cash budget indicates that the overdraft is likely to be cleared by September, with the company ending December in a positive cash position.</w:t>
      </w:r>
    </w:p>
    <w:p w14:paraId="04EB7FDB" w14:textId="77777777" w:rsidR="00AB7A86" w:rsidRPr="00AB7A86" w:rsidRDefault="00AB7A86" w:rsidP="00AB7A86">
      <w:pPr>
        <w:spacing w:line="360" w:lineRule="auto"/>
        <w:jc w:val="both"/>
        <w:rPr>
          <w:rFonts w:ascii="Arial" w:hAnsi="Arial" w:cs="Arial"/>
          <w:sz w:val="24"/>
          <w:szCs w:val="24"/>
        </w:rPr>
      </w:pPr>
    </w:p>
    <w:p w14:paraId="5994AD0E" w14:textId="77777777" w:rsidR="00AB7A86" w:rsidRPr="00AB7A86" w:rsidRDefault="00AB7A86" w:rsidP="00AB7A86">
      <w:pPr>
        <w:spacing w:line="360" w:lineRule="auto"/>
        <w:jc w:val="both"/>
        <w:rPr>
          <w:rFonts w:ascii="Arial" w:hAnsi="Arial" w:cs="Arial"/>
          <w:sz w:val="24"/>
          <w:szCs w:val="24"/>
        </w:rPr>
      </w:pPr>
      <w:r w:rsidRPr="00AB7A86">
        <w:rPr>
          <w:rFonts w:ascii="Arial" w:hAnsi="Arial" w:cs="Arial"/>
          <w:sz w:val="24"/>
          <w:szCs w:val="24"/>
        </w:rPr>
        <w:t>However, the report argues that this favourable outcome masks several underlying weaknesses. Most notably, stock levels are forecast to rise significantly over the period, suggesting that too much cash is being tied up in inventory. This is a concern for a premium clothing retailer, where excess stock increases the risk of markdowns, obsolescence and weaker working capital efficiency. The business is also exposed to short-term liquidity pressure in the early months, and this is made more serious by the decision to undertake refurbishment expenditure while cash remains tight.</w:t>
      </w:r>
    </w:p>
    <w:p w14:paraId="37BFCA47" w14:textId="77777777" w:rsidR="00AB7A86" w:rsidRPr="00AB7A86" w:rsidRDefault="00AB7A86" w:rsidP="00AB7A86">
      <w:pPr>
        <w:spacing w:line="360" w:lineRule="auto"/>
        <w:jc w:val="both"/>
        <w:rPr>
          <w:rFonts w:ascii="Arial" w:hAnsi="Arial" w:cs="Arial"/>
          <w:sz w:val="24"/>
          <w:szCs w:val="24"/>
        </w:rPr>
      </w:pPr>
    </w:p>
    <w:p w14:paraId="072B3848" w14:textId="53BFD79D" w:rsidR="00AB7A86" w:rsidRPr="00AB7A86" w:rsidRDefault="00AB7A86" w:rsidP="00AB7A86">
      <w:pPr>
        <w:spacing w:line="360" w:lineRule="auto"/>
        <w:jc w:val="both"/>
        <w:rPr>
          <w:rFonts w:ascii="Arial" w:hAnsi="Arial" w:cs="Arial"/>
          <w:sz w:val="24"/>
          <w:szCs w:val="24"/>
        </w:rPr>
      </w:pPr>
      <w:r w:rsidRPr="00AB7A86">
        <w:rPr>
          <w:rFonts w:ascii="Arial" w:hAnsi="Arial" w:cs="Arial"/>
          <w:sz w:val="24"/>
          <w:szCs w:val="24"/>
        </w:rPr>
        <w:t>The report concludes that Silver Stitch’s main challenge is not profitability, but the quality of financial control and planning. It recommends tighter inventory management, more frequent cash-flow monitoring, and a more flexible budgeting approach supported by KPIs and broader performance measures. Overall, while the company appears capable of meeting its immediate banking requirement, a more responsive and strategically balanced budgeting system would provide a stronger basis for long-term performance.</w:t>
      </w:r>
    </w:p>
    <w:p w14:paraId="1AE98217" w14:textId="77777777" w:rsidR="00AB7A86" w:rsidRDefault="00AB7A86" w:rsidP="00BD4FA7"/>
    <w:p w14:paraId="514D41DA" w14:textId="77777777" w:rsidR="00BD4FA7" w:rsidRPr="00BD4FA7" w:rsidRDefault="00BD4FA7" w:rsidP="00BD4FA7"/>
    <w:p w14:paraId="6CE3E092" w14:textId="1F240A54" w:rsidR="00DF1287" w:rsidRPr="007B0ED3" w:rsidRDefault="00DF1287" w:rsidP="00CE72E6">
      <w:pPr>
        <w:pStyle w:val="Heading1"/>
        <w:rPr>
          <w:b/>
          <w:bCs/>
        </w:rPr>
      </w:pPr>
      <w:bookmarkStart w:id="1" w:name="_Toc225098714"/>
      <w:r w:rsidRPr="007B0ED3">
        <w:rPr>
          <w:b/>
          <w:bCs/>
        </w:rPr>
        <w:t>Introduction</w:t>
      </w:r>
      <w:bookmarkEnd w:id="1"/>
    </w:p>
    <w:p w14:paraId="76017503" w14:textId="77777777" w:rsidR="00D412F1" w:rsidRPr="00D412F1" w:rsidRDefault="00D412F1" w:rsidP="00D412F1"/>
    <w:p w14:paraId="7D2B3EB1" w14:textId="20300C04"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Budgeting remains one of the most widely used tools in management accounting because it helps organisations translate plans into quantified targets and provides a basis for control, coordination and performance evaluation (Drury, 2021; Seal, Garrison and Noreen, 2018). In teaching terms, your module places budgeting alongside cash budgets, working capital, KPI analysis and sustainable accounting practices, which shows that budgets are not meant to be treated as isolated calculations but as part of a wider decision-making </w:t>
      </w:r>
      <w:r w:rsidR="006D641B" w:rsidRPr="00DF1287">
        <w:rPr>
          <w:rFonts w:ascii="Arial" w:hAnsi="Arial" w:cs="Arial"/>
          <w:sz w:val="24"/>
          <w:szCs w:val="24"/>
        </w:rPr>
        <w:t>system.</w:t>
      </w:r>
      <w:r w:rsidRPr="00DF1287">
        <w:rPr>
          <w:rFonts w:ascii="Arial" w:hAnsi="Arial" w:cs="Arial"/>
          <w:sz w:val="24"/>
          <w:szCs w:val="24"/>
        </w:rPr>
        <w:t xml:space="preserve"> For a retailer such as Silver Stitch Ltd, this matters because profitability depends not only on sales levels, but also on stock management, payment timing and the ability to balance short-term liquidity with longer-term operational priorities (Atrill and McLaney, 2021; Horner, 2020).</w:t>
      </w:r>
    </w:p>
    <w:p w14:paraId="7F10FDAA" w14:textId="07303083"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This report evaluates the budgetary position of Silver Stitch Ltd for the six months to 31 December. The company’s immediate problem is that it began the review period with a £30,000 overdraft and the bank required that this be eliminated by the end of </w:t>
      </w:r>
      <w:r w:rsidR="006D641B" w:rsidRPr="00DF1287">
        <w:rPr>
          <w:rFonts w:ascii="Arial" w:hAnsi="Arial" w:cs="Arial"/>
          <w:sz w:val="24"/>
          <w:szCs w:val="24"/>
        </w:rPr>
        <w:t>December.</w:t>
      </w:r>
      <w:r w:rsidRPr="00DF1287">
        <w:rPr>
          <w:rFonts w:ascii="Arial" w:hAnsi="Arial" w:cs="Arial"/>
          <w:sz w:val="24"/>
          <w:szCs w:val="24"/>
        </w:rPr>
        <w:t xml:space="preserve"> At first sight, this looks like a narrow cash-management issue. However, the forecast budgets suggest a broader set of problems involving rising inventory, pressure on early-month liquidity and the limits of traditional budgeting in a changing retail environment. The task itself asks for a critical evaluation of forecast budgets, the barriers and success conditions of budgeting, and the weaknesses of traditional annual budget </w:t>
      </w:r>
      <w:r w:rsidR="006D641B" w:rsidRPr="00DF1287">
        <w:rPr>
          <w:rFonts w:ascii="Arial" w:hAnsi="Arial" w:cs="Arial"/>
          <w:sz w:val="24"/>
          <w:szCs w:val="24"/>
        </w:rPr>
        <w:t>models.</w:t>
      </w:r>
      <w:r w:rsidRPr="00DF1287">
        <w:rPr>
          <w:rFonts w:ascii="Arial" w:hAnsi="Arial" w:cs="Arial"/>
          <w:sz w:val="24"/>
          <w:szCs w:val="24"/>
        </w:rPr>
        <w:t xml:space="preserve"> The discussion therefore takes a critical approach by examining not just whether the company can remove the overdraft, but whether its wider planning and control system is strong enough to support efficient and sustainable decision making.</w:t>
      </w:r>
    </w:p>
    <w:p w14:paraId="71872EF7" w14:textId="77777777" w:rsidR="00343793" w:rsidRDefault="00343793" w:rsidP="00DF1287">
      <w:pPr>
        <w:spacing w:line="360" w:lineRule="auto"/>
        <w:jc w:val="both"/>
        <w:rPr>
          <w:rFonts w:ascii="Arial" w:hAnsi="Arial" w:cs="Arial"/>
          <w:sz w:val="24"/>
          <w:szCs w:val="24"/>
        </w:rPr>
      </w:pPr>
    </w:p>
    <w:p w14:paraId="06282D96" w14:textId="77777777" w:rsidR="00343793" w:rsidRDefault="00343793" w:rsidP="00DF1287">
      <w:pPr>
        <w:spacing w:line="360" w:lineRule="auto"/>
        <w:jc w:val="both"/>
        <w:rPr>
          <w:rFonts w:ascii="Arial" w:hAnsi="Arial" w:cs="Arial"/>
          <w:sz w:val="24"/>
          <w:szCs w:val="24"/>
        </w:rPr>
      </w:pPr>
    </w:p>
    <w:p w14:paraId="10A46958" w14:textId="77777777" w:rsidR="00897A01" w:rsidRDefault="00897A01" w:rsidP="00DF1287">
      <w:pPr>
        <w:spacing w:line="360" w:lineRule="auto"/>
        <w:jc w:val="both"/>
        <w:rPr>
          <w:rFonts w:ascii="Arial" w:hAnsi="Arial" w:cs="Arial"/>
          <w:sz w:val="24"/>
          <w:szCs w:val="24"/>
        </w:rPr>
      </w:pPr>
    </w:p>
    <w:p w14:paraId="0E0741BB" w14:textId="77777777" w:rsidR="00897A01" w:rsidRDefault="00897A01" w:rsidP="00DF1287">
      <w:pPr>
        <w:spacing w:line="360" w:lineRule="auto"/>
        <w:jc w:val="both"/>
        <w:rPr>
          <w:rFonts w:ascii="Arial" w:hAnsi="Arial" w:cs="Arial"/>
          <w:sz w:val="24"/>
          <w:szCs w:val="24"/>
        </w:rPr>
      </w:pPr>
    </w:p>
    <w:p w14:paraId="49E05C37" w14:textId="4E6086E7" w:rsidR="00DF1287" w:rsidRPr="007B0ED3" w:rsidRDefault="00672F43" w:rsidP="00CE72E6">
      <w:pPr>
        <w:pStyle w:val="Heading1"/>
        <w:rPr>
          <w:b/>
          <w:bCs/>
        </w:rPr>
      </w:pPr>
      <w:bookmarkStart w:id="2" w:name="_Toc225098715"/>
      <w:r w:rsidRPr="007B0ED3">
        <w:rPr>
          <w:b/>
          <w:bCs/>
        </w:rPr>
        <w:lastRenderedPageBreak/>
        <w:t xml:space="preserve">Budget </w:t>
      </w:r>
      <w:r w:rsidR="002945E2" w:rsidRPr="007B0ED3">
        <w:rPr>
          <w:b/>
          <w:bCs/>
        </w:rPr>
        <w:t>Overview and Key Findings</w:t>
      </w:r>
      <w:bookmarkEnd w:id="2"/>
    </w:p>
    <w:p w14:paraId="08DC7723" w14:textId="77777777" w:rsidR="00250A49" w:rsidRDefault="00250A49" w:rsidP="00DF1287">
      <w:pPr>
        <w:spacing w:line="360" w:lineRule="auto"/>
        <w:jc w:val="both"/>
        <w:rPr>
          <w:rFonts w:ascii="Arial" w:hAnsi="Arial" w:cs="Arial"/>
          <w:sz w:val="24"/>
          <w:szCs w:val="24"/>
        </w:rPr>
      </w:pPr>
    </w:p>
    <w:p w14:paraId="2D115B5A" w14:textId="223BFD5B" w:rsidR="00966A2A" w:rsidRDefault="00966A2A" w:rsidP="00CE72E6">
      <w:pPr>
        <w:pStyle w:val="Heading2"/>
      </w:pPr>
      <w:r w:rsidRPr="00966A2A">
        <w:t> </w:t>
      </w:r>
      <w:bookmarkStart w:id="3" w:name="_Toc225098716"/>
      <w:r w:rsidR="004829F5">
        <w:t>The stock budget for 6 months to December 31</w:t>
      </w:r>
      <w:r w:rsidR="004829F5" w:rsidRPr="004829F5">
        <w:rPr>
          <w:vertAlign w:val="superscript"/>
        </w:rPr>
        <w:t>st</w:t>
      </w:r>
      <w:r w:rsidR="004829F5">
        <w:t>.</w:t>
      </w:r>
      <w:bookmarkEnd w:id="3"/>
    </w:p>
    <w:p w14:paraId="4D35B3F4" w14:textId="77777777" w:rsidR="00E74338" w:rsidRPr="00966A2A" w:rsidRDefault="00E74338" w:rsidP="00966A2A">
      <w:pPr>
        <w:spacing w:line="360" w:lineRule="auto"/>
        <w:jc w:val="both"/>
        <w:rPr>
          <w:rFonts w:ascii="Arial" w:hAnsi="Arial" w:cs="Arial"/>
          <w:sz w:val="24"/>
          <w:szCs w:val="24"/>
        </w:rPr>
      </w:pPr>
    </w:p>
    <w:tbl>
      <w:tblPr>
        <w:tblW w:w="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685"/>
        <w:gridCol w:w="1125"/>
        <w:gridCol w:w="1125"/>
        <w:gridCol w:w="1125"/>
        <w:gridCol w:w="990"/>
        <w:gridCol w:w="990"/>
        <w:gridCol w:w="930"/>
      </w:tblGrid>
      <w:tr w:rsidR="00966A2A" w:rsidRPr="00966A2A" w14:paraId="3408DD8D"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0DEA5C3F"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72E19A7A"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July</w:t>
            </w:r>
            <w:r w:rsidRPr="00966A2A">
              <w:rPr>
                <w:rFonts w:ascii="Arial" w:hAnsi="Arial" w:cs="Arial"/>
                <w:color w:val="C00000"/>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53F01FFF"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Aug</w:t>
            </w:r>
            <w:r w:rsidRPr="00966A2A">
              <w:rPr>
                <w:rFonts w:ascii="Arial" w:hAnsi="Arial" w:cs="Arial"/>
                <w:color w:val="C00000"/>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3E086635"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Sept</w:t>
            </w:r>
            <w:r w:rsidRPr="00966A2A">
              <w:rPr>
                <w:rFonts w:ascii="Arial" w:hAnsi="Arial" w:cs="Arial"/>
                <w:color w:val="C00000"/>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6345E0A9"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Oct</w:t>
            </w:r>
            <w:r w:rsidRPr="00966A2A">
              <w:rPr>
                <w:rFonts w:ascii="Arial" w:hAnsi="Arial" w:cs="Arial"/>
                <w:color w:val="C00000"/>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0AC89255"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Nov</w:t>
            </w:r>
            <w:r w:rsidRPr="00966A2A">
              <w:rPr>
                <w:rFonts w:ascii="Arial" w:hAnsi="Arial" w:cs="Arial"/>
                <w:color w:val="C00000"/>
                <w:sz w:val="24"/>
                <w:szCs w:val="24"/>
              </w:rPr>
              <w:t> </w:t>
            </w:r>
          </w:p>
        </w:tc>
        <w:tc>
          <w:tcPr>
            <w:tcW w:w="930" w:type="dxa"/>
            <w:tcBorders>
              <w:top w:val="single" w:sz="6" w:space="0" w:color="auto"/>
              <w:left w:val="single" w:sz="6" w:space="0" w:color="auto"/>
              <w:bottom w:val="single" w:sz="6" w:space="0" w:color="auto"/>
              <w:right w:val="single" w:sz="6" w:space="0" w:color="auto"/>
            </w:tcBorders>
            <w:hideMark/>
          </w:tcPr>
          <w:p w14:paraId="4BA27FAD" w14:textId="77777777" w:rsidR="00966A2A" w:rsidRPr="00966A2A" w:rsidRDefault="00966A2A" w:rsidP="00966A2A">
            <w:pPr>
              <w:spacing w:line="360" w:lineRule="auto"/>
              <w:jc w:val="both"/>
              <w:rPr>
                <w:rFonts w:ascii="Arial" w:hAnsi="Arial" w:cs="Arial"/>
                <w:color w:val="C00000"/>
                <w:sz w:val="24"/>
                <w:szCs w:val="24"/>
              </w:rPr>
            </w:pPr>
            <w:r w:rsidRPr="00966A2A">
              <w:rPr>
                <w:rFonts w:ascii="Arial" w:hAnsi="Arial" w:cs="Arial"/>
                <w:b/>
                <w:bCs/>
                <w:color w:val="C00000"/>
                <w:sz w:val="24"/>
                <w:szCs w:val="24"/>
              </w:rPr>
              <w:t>Dec</w:t>
            </w:r>
            <w:r w:rsidRPr="00966A2A">
              <w:rPr>
                <w:rFonts w:ascii="Arial" w:hAnsi="Arial" w:cs="Arial"/>
                <w:color w:val="C00000"/>
                <w:sz w:val="24"/>
                <w:szCs w:val="24"/>
              </w:rPr>
              <w:t> </w:t>
            </w:r>
          </w:p>
        </w:tc>
      </w:tr>
      <w:tr w:rsidR="00966A2A" w:rsidRPr="00966A2A" w14:paraId="5038D0DD"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53282B8F"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471BF5C6"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c>
          <w:tcPr>
            <w:tcW w:w="1125" w:type="dxa"/>
            <w:tcBorders>
              <w:top w:val="single" w:sz="6" w:space="0" w:color="auto"/>
              <w:left w:val="single" w:sz="6" w:space="0" w:color="auto"/>
              <w:bottom w:val="single" w:sz="6" w:space="0" w:color="auto"/>
              <w:right w:val="single" w:sz="6" w:space="0" w:color="auto"/>
            </w:tcBorders>
            <w:hideMark/>
          </w:tcPr>
          <w:p w14:paraId="16B08B31"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c>
          <w:tcPr>
            <w:tcW w:w="1125" w:type="dxa"/>
            <w:tcBorders>
              <w:top w:val="single" w:sz="6" w:space="0" w:color="auto"/>
              <w:left w:val="single" w:sz="6" w:space="0" w:color="auto"/>
              <w:bottom w:val="single" w:sz="6" w:space="0" w:color="auto"/>
              <w:right w:val="single" w:sz="6" w:space="0" w:color="auto"/>
            </w:tcBorders>
            <w:hideMark/>
          </w:tcPr>
          <w:p w14:paraId="0DD89D9D"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c>
          <w:tcPr>
            <w:tcW w:w="990" w:type="dxa"/>
            <w:tcBorders>
              <w:top w:val="single" w:sz="6" w:space="0" w:color="auto"/>
              <w:left w:val="single" w:sz="6" w:space="0" w:color="auto"/>
              <w:bottom w:val="single" w:sz="6" w:space="0" w:color="auto"/>
              <w:right w:val="single" w:sz="6" w:space="0" w:color="auto"/>
            </w:tcBorders>
            <w:hideMark/>
          </w:tcPr>
          <w:p w14:paraId="4A233619"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c>
          <w:tcPr>
            <w:tcW w:w="990" w:type="dxa"/>
            <w:tcBorders>
              <w:top w:val="single" w:sz="6" w:space="0" w:color="auto"/>
              <w:left w:val="single" w:sz="6" w:space="0" w:color="auto"/>
              <w:bottom w:val="single" w:sz="6" w:space="0" w:color="auto"/>
              <w:right w:val="single" w:sz="6" w:space="0" w:color="auto"/>
            </w:tcBorders>
            <w:hideMark/>
          </w:tcPr>
          <w:p w14:paraId="43DF4169"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c>
          <w:tcPr>
            <w:tcW w:w="930" w:type="dxa"/>
            <w:tcBorders>
              <w:top w:val="single" w:sz="6" w:space="0" w:color="auto"/>
              <w:left w:val="single" w:sz="6" w:space="0" w:color="auto"/>
              <w:bottom w:val="single" w:sz="6" w:space="0" w:color="auto"/>
              <w:right w:val="single" w:sz="6" w:space="0" w:color="auto"/>
            </w:tcBorders>
            <w:hideMark/>
          </w:tcPr>
          <w:p w14:paraId="66DD3B4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£000 </w:t>
            </w:r>
          </w:p>
        </w:tc>
      </w:tr>
      <w:tr w:rsidR="00966A2A" w:rsidRPr="00966A2A" w14:paraId="6515816F"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2EB18A99" w14:textId="77777777" w:rsidR="00966A2A" w:rsidRPr="00966A2A" w:rsidRDefault="00966A2A" w:rsidP="00966A2A">
            <w:pPr>
              <w:spacing w:line="360" w:lineRule="auto"/>
              <w:jc w:val="both"/>
              <w:rPr>
                <w:rFonts w:ascii="Arial" w:hAnsi="Arial" w:cs="Arial"/>
                <w:b/>
                <w:bCs/>
                <w:color w:val="C00000"/>
                <w:sz w:val="24"/>
                <w:szCs w:val="24"/>
              </w:rPr>
            </w:pPr>
            <w:r w:rsidRPr="00966A2A">
              <w:rPr>
                <w:rFonts w:ascii="Arial" w:hAnsi="Arial" w:cs="Arial"/>
                <w:b/>
                <w:bCs/>
                <w:color w:val="C00000"/>
                <w:sz w:val="24"/>
                <w:szCs w:val="24"/>
              </w:rPr>
              <w:t>Opening balance  </w:t>
            </w:r>
          </w:p>
        </w:tc>
        <w:tc>
          <w:tcPr>
            <w:tcW w:w="1125" w:type="dxa"/>
            <w:tcBorders>
              <w:top w:val="single" w:sz="6" w:space="0" w:color="auto"/>
              <w:left w:val="single" w:sz="6" w:space="0" w:color="auto"/>
              <w:bottom w:val="single" w:sz="6" w:space="0" w:color="auto"/>
              <w:right w:val="single" w:sz="6" w:space="0" w:color="auto"/>
            </w:tcBorders>
            <w:hideMark/>
          </w:tcPr>
          <w:p w14:paraId="6C1EE107"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100 </w:t>
            </w:r>
          </w:p>
        </w:tc>
        <w:tc>
          <w:tcPr>
            <w:tcW w:w="1125" w:type="dxa"/>
            <w:tcBorders>
              <w:top w:val="single" w:sz="6" w:space="0" w:color="auto"/>
              <w:left w:val="single" w:sz="6" w:space="0" w:color="auto"/>
              <w:bottom w:val="single" w:sz="6" w:space="0" w:color="auto"/>
              <w:right w:val="single" w:sz="6" w:space="0" w:color="auto"/>
            </w:tcBorders>
            <w:hideMark/>
          </w:tcPr>
          <w:p w14:paraId="77ABB463"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154 </w:t>
            </w:r>
          </w:p>
        </w:tc>
        <w:tc>
          <w:tcPr>
            <w:tcW w:w="1125" w:type="dxa"/>
            <w:tcBorders>
              <w:top w:val="single" w:sz="6" w:space="0" w:color="auto"/>
              <w:left w:val="single" w:sz="6" w:space="0" w:color="auto"/>
              <w:bottom w:val="single" w:sz="6" w:space="0" w:color="auto"/>
              <w:right w:val="single" w:sz="6" w:space="0" w:color="auto"/>
            </w:tcBorders>
            <w:hideMark/>
          </w:tcPr>
          <w:p w14:paraId="11343B12"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186 </w:t>
            </w:r>
          </w:p>
        </w:tc>
        <w:tc>
          <w:tcPr>
            <w:tcW w:w="990" w:type="dxa"/>
            <w:tcBorders>
              <w:top w:val="single" w:sz="6" w:space="0" w:color="auto"/>
              <w:left w:val="single" w:sz="6" w:space="0" w:color="auto"/>
              <w:bottom w:val="single" w:sz="6" w:space="0" w:color="auto"/>
              <w:right w:val="single" w:sz="6" w:space="0" w:color="auto"/>
            </w:tcBorders>
            <w:hideMark/>
          </w:tcPr>
          <w:p w14:paraId="1BCAD3D2"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230 </w:t>
            </w:r>
          </w:p>
        </w:tc>
        <w:tc>
          <w:tcPr>
            <w:tcW w:w="990" w:type="dxa"/>
            <w:tcBorders>
              <w:top w:val="single" w:sz="6" w:space="0" w:color="auto"/>
              <w:left w:val="single" w:sz="6" w:space="0" w:color="auto"/>
              <w:bottom w:val="single" w:sz="6" w:space="0" w:color="auto"/>
              <w:right w:val="single" w:sz="6" w:space="0" w:color="auto"/>
            </w:tcBorders>
            <w:hideMark/>
          </w:tcPr>
          <w:p w14:paraId="4F2CCE32"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296 </w:t>
            </w:r>
          </w:p>
        </w:tc>
        <w:tc>
          <w:tcPr>
            <w:tcW w:w="930" w:type="dxa"/>
            <w:tcBorders>
              <w:top w:val="single" w:sz="6" w:space="0" w:color="auto"/>
              <w:left w:val="single" w:sz="6" w:space="0" w:color="auto"/>
              <w:bottom w:val="single" w:sz="6" w:space="0" w:color="auto"/>
              <w:right w:val="single" w:sz="6" w:space="0" w:color="auto"/>
            </w:tcBorders>
            <w:hideMark/>
          </w:tcPr>
          <w:p w14:paraId="04EF22C5"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336 </w:t>
            </w:r>
          </w:p>
        </w:tc>
      </w:tr>
      <w:tr w:rsidR="00966A2A" w:rsidRPr="00966A2A" w14:paraId="4B3993DA"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05135D10" w14:textId="77777777" w:rsidR="00966A2A" w:rsidRPr="00966A2A" w:rsidRDefault="00966A2A" w:rsidP="00966A2A">
            <w:pPr>
              <w:spacing w:line="360" w:lineRule="auto"/>
              <w:jc w:val="both"/>
              <w:rPr>
                <w:rFonts w:ascii="Arial" w:hAnsi="Arial" w:cs="Arial"/>
                <w:b/>
                <w:bCs/>
                <w:color w:val="C00000"/>
                <w:sz w:val="24"/>
                <w:szCs w:val="24"/>
              </w:rPr>
            </w:pPr>
            <w:r w:rsidRPr="00966A2A">
              <w:rPr>
                <w:rFonts w:ascii="Arial" w:hAnsi="Arial" w:cs="Arial"/>
                <w:b/>
                <w:bCs/>
                <w:color w:val="C00000"/>
                <w:sz w:val="24"/>
                <w:szCs w:val="24"/>
              </w:rPr>
              <w:t>Stock purchased </w:t>
            </w:r>
          </w:p>
        </w:tc>
        <w:tc>
          <w:tcPr>
            <w:tcW w:w="1125" w:type="dxa"/>
            <w:tcBorders>
              <w:top w:val="single" w:sz="6" w:space="0" w:color="auto"/>
              <w:left w:val="single" w:sz="6" w:space="0" w:color="auto"/>
              <w:bottom w:val="single" w:sz="6" w:space="0" w:color="auto"/>
              <w:right w:val="single" w:sz="6" w:space="0" w:color="auto"/>
            </w:tcBorders>
            <w:hideMark/>
          </w:tcPr>
          <w:p w14:paraId="52E5EB34"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180 </w:t>
            </w:r>
          </w:p>
        </w:tc>
        <w:tc>
          <w:tcPr>
            <w:tcW w:w="1125" w:type="dxa"/>
            <w:tcBorders>
              <w:top w:val="single" w:sz="6" w:space="0" w:color="auto"/>
              <w:left w:val="single" w:sz="6" w:space="0" w:color="auto"/>
              <w:bottom w:val="single" w:sz="6" w:space="0" w:color="auto"/>
              <w:right w:val="single" w:sz="6" w:space="0" w:color="auto"/>
            </w:tcBorders>
            <w:hideMark/>
          </w:tcPr>
          <w:p w14:paraId="597D132A"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170 </w:t>
            </w:r>
          </w:p>
        </w:tc>
        <w:tc>
          <w:tcPr>
            <w:tcW w:w="1125" w:type="dxa"/>
            <w:tcBorders>
              <w:top w:val="single" w:sz="6" w:space="0" w:color="auto"/>
              <w:left w:val="single" w:sz="6" w:space="0" w:color="auto"/>
              <w:bottom w:val="single" w:sz="6" w:space="0" w:color="auto"/>
              <w:right w:val="single" w:sz="6" w:space="0" w:color="auto"/>
            </w:tcBorders>
            <w:hideMark/>
          </w:tcPr>
          <w:p w14:paraId="2E5513F7"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200 </w:t>
            </w:r>
          </w:p>
        </w:tc>
        <w:tc>
          <w:tcPr>
            <w:tcW w:w="990" w:type="dxa"/>
            <w:tcBorders>
              <w:top w:val="single" w:sz="6" w:space="0" w:color="auto"/>
              <w:left w:val="single" w:sz="6" w:space="0" w:color="auto"/>
              <w:bottom w:val="single" w:sz="6" w:space="0" w:color="auto"/>
              <w:right w:val="single" w:sz="6" w:space="0" w:color="auto"/>
            </w:tcBorders>
            <w:hideMark/>
          </w:tcPr>
          <w:p w14:paraId="10EBBF2E"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210 </w:t>
            </w:r>
          </w:p>
        </w:tc>
        <w:tc>
          <w:tcPr>
            <w:tcW w:w="990" w:type="dxa"/>
            <w:tcBorders>
              <w:top w:val="single" w:sz="6" w:space="0" w:color="auto"/>
              <w:left w:val="single" w:sz="6" w:space="0" w:color="auto"/>
              <w:bottom w:val="single" w:sz="6" w:space="0" w:color="auto"/>
              <w:right w:val="single" w:sz="6" w:space="0" w:color="auto"/>
            </w:tcBorders>
            <w:hideMark/>
          </w:tcPr>
          <w:p w14:paraId="3F11F006"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190 </w:t>
            </w:r>
          </w:p>
        </w:tc>
        <w:tc>
          <w:tcPr>
            <w:tcW w:w="930" w:type="dxa"/>
            <w:tcBorders>
              <w:top w:val="single" w:sz="6" w:space="0" w:color="auto"/>
              <w:left w:val="single" w:sz="6" w:space="0" w:color="auto"/>
              <w:bottom w:val="single" w:sz="6" w:space="0" w:color="auto"/>
              <w:right w:val="single" w:sz="6" w:space="0" w:color="auto"/>
            </w:tcBorders>
            <w:hideMark/>
          </w:tcPr>
          <w:p w14:paraId="2E31E561"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220 </w:t>
            </w:r>
          </w:p>
        </w:tc>
      </w:tr>
      <w:tr w:rsidR="00966A2A" w:rsidRPr="00966A2A" w14:paraId="077C70CB"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7AE9F552" w14:textId="0767277B" w:rsidR="00966A2A" w:rsidRPr="00966A2A" w:rsidRDefault="006430C6" w:rsidP="00966A2A">
            <w:pPr>
              <w:spacing w:line="360" w:lineRule="auto"/>
              <w:jc w:val="both"/>
              <w:rPr>
                <w:rFonts w:ascii="Arial" w:hAnsi="Arial" w:cs="Arial"/>
                <w:b/>
                <w:bCs/>
                <w:color w:val="C00000"/>
                <w:sz w:val="24"/>
                <w:szCs w:val="24"/>
              </w:rPr>
            </w:pPr>
            <w:r>
              <w:rPr>
                <w:rFonts w:ascii="Arial" w:hAnsi="Arial" w:cs="Arial"/>
                <w:b/>
                <w:bCs/>
                <w:color w:val="C00000"/>
                <w:sz w:val="24"/>
                <w:szCs w:val="24"/>
              </w:rPr>
              <w:t>Goods available for sale</w:t>
            </w:r>
          </w:p>
        </w:tc>
        <w:tc>
          <w:tcPr>
            <w:tcW w:w="1125" w:type="dxa"/>
            <w:tcBorders>
              <w:top w:val="single" w:sz="6" w:space="0" w:color="auto"/>
              <w:left w:val="single" w:sz="6" w:space="0" w:color="auto"/>
              <w:bottom w:val="single" w:sz="6" w:space="0" w:color="auto"/>
              <w:right w:val="single" w:sz="6" w:space="0" w:color="auto"/>
            </w:tcBorders>
            <w:hideMark/>
          </w:tcPr>
          <w:p w14:paraId="7C7556E7"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280 </w:t>
            </w:r>
          </w:p>
        </w:tc>
        <w:tc>
          <w:tcPr>
            <w:tcW w:w="1125" w:type="dxa"/>
            <w:tcBorders>
              <w:top w:val="single" w:sz="6" w:space="0" w:color="auto"/>
              <w:left w:val="single" w:sz="6" w:space="0" w:color="auto"/>
              <w:bottom w:val="single" w:sz="6" w:space="0" w:color="auto"/>
              <w:right w:val="single" w:sz="6" w:space="0" w:color="auto"/>
            </w:tcBorders>
            <w:hideMark/>
          </w:tcPr>
          <w:p w14:paraId="3C93CF88"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324 </w:t>
            </w:r>
          </w:p>
        </w:tc>
        <w:tc>
          <w:tcPr>
            <w:tcW w:w="1125" w:type="dxa"/>
            <w:tcBorders>
              <w:top w:val="single" w:sz="6" w:space="0" w:color="auto"/>
              <w:left w:val="single" w:sz="6" w:space="0" w:color="auto"/>
              <w:bottom w:val="single" w:sz="6" w:space="0" w:color="auto"/>
              <w:right w:val="single" w:sz="6" w:space="0" w:color="auto"/>
            </w:tcBorders>
            <w:hideMark/>
          </w:tcPr>
          <w:p w14:paraId="0D8D78BD"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386 </w:t>
            </w:r>
          </w:p>
        </w:tc>
        <w:tc>
          <w:tcPr>
            <w:tcW w:w="990" w:type="dxa"/>
            <w:tcBorders>
              <w:top w:val="single" w:sz="6" w:space="0" w:color="auto"/>
              <w:left w:val="single" w:sz="6" w:space="0" w:color="auto"/>
              <w:bottom w:val="single" w:sz="6" w:space="0" w:color="auto"/>
              <w:right w:val="single" w:sz="6" w:space="0" w:color="auto"/>
            </w:tcBorders>
            <w:hideMark/>
          </w:tcPr>
          <w:p w14:paraId="075DA675"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440 </w:t>
            </w:r>
          </w:p>
        </w:tc>
        <w:tc>
          <w:tcPr>
            <w:tcW w:w="990" w:type="dxa"/>
            <w:tcBorders>
              <w:top w:val="single" w:sz="6" w:space="0" w:color="auto"/>
              <w:left w:val="single" w:sz="6" w:space="0" w:color="auto"/>
              <w:bottom w:val="single" w:sz="6" w:space="0" w:color="auto"/>
              <w:right w:val="single" w:sz="6" w:space="0" w:color="auto"/>
            </w:tcBorders>
            <w:hideMark/>
          </w:tcPr>
          <w:p w14:paraId="2EC78808"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486 </w:t>
            </w:r>
          </w:p>
        </w:tc>
        <w:tc>
          <w:tcPr>
            <w:tcW w:w="930" w:type="dxa"/>
            <w:tcBorders>
              <w:top w:val="single" w:sz="6" w:space="0" w:color="auto"/>
              <w:left w:val="single" w:sz="6" w:space="0" w:color="auto"/>
              <w:bottom w:val="single" w:sz="6" w:space="0" w:color="auto"/>
              <w:right w:val="single" w:sz="6" w:space="0" w:color="auto"/>
            </w:tcBorders>
            <w:hideMark/>
          </w:tcPr>
          <w:p w14:paraId="37BA7738"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556 </w:t>
            </w:r>
          </w:p>
        </w:tc>
      </w:tr>
      <w:tr w:rsidR="00966A2A" w:rsidRPr="00966A2A" w14:paraId="534519A0"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4BFFE03B" w14:textId="77777777" w:rsidR="00966A2A" w:rsidRPr="00966A2A" w:rsidRDefault="00966A2A" w:rsidP="00966A2A">
            <w:pPr>
              <w:spacing w:line="360" w:lineRule="auto"/>
              <w:jc w:val="both"/>
              <w:rPr>
                <w:rFonts w:ascii="Arial" w:hAnsi="Arial" w:cs="Arial"/>
                <w:b/>
                <w:bCs/>
                <w:color w:val="C00000"/>
                <w:sz w:val="24"/>
                <w:szCs w:val="24"/>
              </w:rPr>
            </w:pPr>
            <w:r w:rsidRPr="00966A2A">
              <w:rPr>
                <w:rFonts w:ascii="Arial" w:hAnsi="Arial" w:cs="Arial"/>
                <w:b/>
                <w:bCs/>
                <w:color w:val="C00000"/>
                <w:sz w:val="24"/>
                <w:szCs w:val="24"/>
              </w:rPr>
              <w:t>Cost of Stock sold </w:t>
            </w:r>
          </w:p>
        </w:tc>
        <w:tc>
          <w:tcPr>
            <w:tcW w:w="1125" w:type="dxa"/>
            <w:tcBorders>
              <w:top w:val="single" w:sz="6" w:space="0" w:color="auto"/>
              <w:left w:val="single" w:sz="6" w:space="0" w:color="auto"/>
              <w:bottom w:val="single" w:sz="6" w:space="0" w:color="auto"/>
              <w:right w:val="single" w:sz="6" w:space="0" w:color="auto"/>
            </w:tcBorders>
            <w:hideMark/>
          </w:tcPr>
          <w:p w14:paraId="324A1206"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5EA23ACF"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1125" w:type="dxa"/>
            <w:tcBorders>
              <w:top w:val="single" w:sz="6" w:space="0" w:color="auto"/>
              <w:left w:val="single" w:sz="6" w:space="0" w:color="auto"/>
              <w:bottom w:val="single" w:sz="6" w:space="0" w:color="auto"/>
              <w:right w:val="single" w:sz="6" w:space="0" w:color="auto"/>
            </w:tcBorders>
            <w:hideMark/>
          </w:tcPr>
          <w:p w14:paraId="10B6EDBF"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54CB63FE"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990" w:type="dxa"/>
            <w:tcBorders>
              <w:top w:val="single" w:sz="6" w:space="0" w:color="auto"/>
              <w:left w:val="single" w:sz="6" w:space="0" w:color="auto"/>
              <w:bottom w:val="single" w:sz="6" w:space="0" w:color="auto"/>
              <w:right w:val="single" w:sz="6" w:space="0" w:color="auto"/>
            </w:tcBorders>
            <w:hideMark/>
          </w:tcPr>
          <w:p w14:paraId="19C7FC8A"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c>
          <w:tcPr>
            <w:tcW w:w="930" w:type="dxa"/>
            <w:tcBorders>
              <w:top w:val="single" w:sz="6" w:space="0" w:color="auto"/>
              <w:left w:val="single" w:sz="6" w:space="0" w:color="auto"/>
              <w:bottom w:val="single" w:sz="6" w:space="0" w:color="auto"/>
              <w:right w:val="single" w:sz="6" w:space="0" w:color="auto"/>
            </w:tcBorders>
            <w:hideMark/>
          </w:tcPr>
          <w:p w14:paraId="282FF7E0"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 </w:t>
            </w:r>
          </w:p>
        </w:tc>
      </w:tr>
      <w:tr w:rsidR="00966A2A" w:rsidRPr="00966A2A" w14:paraId="19EE66FB"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1CF4F362" w14:textId="77777777" w:rsidR="00966A2A" w:rsidRPr="00966A2A" w:rsidRDefault="00966A2A" w:rsidP="00966A2A">
            <w:pPr>
              <w:spacing w:line="360" w:lineRule="auto"/>
              <w:jc w:val="both"/>
              <w:rPr>
                <w:rFonts w:ascii="Arial" w:hAnsi="Arial" w:cs="Arial"/>
                <w:b/>
                <w:bCs/>
                <w:color w:val="C00000"/>
                <w:sz w:val="24"/>
                <w:szCs w:val="24"/>
              </w:rPr>
            </w:pPr>
            <w:r w:rsidRPr="00966A2A">
              <w:rPr>
                <w:rFonts w:ascii="Arial" w:hAnsi="Arial" w:cs="Arial"/>
                <w:b/>
                <w:bCs/>
                <w:color w:val="C00000"/>
                <w:sz w:val="24"/>
                <w:szCs w:val="24"/>
              </w:rPr>
              <w:t>(60% of sales)  </w:t>
            </w:r>
          </w:p>
        </w:tc>
        <w:tc>
          <w:tcPr>
            <w:tcW w:w="1125" w:type="dxa"/>
            <w:tcBorders>
              <w:top w:val="single" w:sz="6" w:space="0" w:color="auto"/>
              <w:left w:val="single" w:sz="6" w:space="0" w:color="auto"/>
              <w:bottom w:val="single" w:sz="6" w:space="0" w:color="auto"/>
              <w:right w:val="single" w:sz="6" w:space="0" w:color="auto"/>
            </w:tcBorders>
            <w:hideMark/>
          </w:tcPr>
          <w:p w14:paraId="7C29AB6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(126) </w:t>
            </w:r>
          </w:p>
        </w:tc>
        <w:tc>
          <w:tcPr>
            <w:tcW w:w="1125" w:type="dxa"/>
            <w:tcBorders>
              <w:top w:val="single" w:sz="6" w:space="0" w:color="auto"/>
              <w:left w:val="single" w:sz="6" w:space="0" w:color="auto"/>
              <w:bottom w:val="single" w:sz="6" w:space="0" w:color="auto"/>
              <w:right w:val="single" w:sz="6" w:space="0" w:color="auto"/>
            </w:tcBorders>
            <w:hideMark/>
          </w:tcPr>
          <w:p w14:paraId="65A2509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(138) </w:t>
            </w:r>
          </w:p>
        </w:tc>
        <w:tc>
          <w:tcPr>
            <w:tcW w:w="1125" w:type="dxa"/>
            <w:tcBorders>
              <w:top w:val="single" w:sz="6" w:space="0" w:color="auto"/>
              <w:left w:val="single" w:sz="6" w:space="0" w:color="auto"/>
              <w:bottom w:val="single" w:sz="6" w:space="0" w:color="auto"/>
              <w:right w:val="single" w:sz="6" w:space="0" w:color="auto"/>
            </w:tcBorders>
            <w:hideMark/>
          </w:tcPr>
          <w:p w14:paraId="1EFB4C9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(156) </w:t>
            </w:r>
          </w:p>
        </w:tc>
        <w:tc>
          <w:tcPr>
            <w:tcW w:w="990" w:type="dxa"/>
            <w:tcBorders>
              <w:top w:val="single" w:sz="6" w:space="0" w:color="auto"/>
              <w:left w:val="single" w:sz="6" w:space="0" w:color="auto"/>
              <w:bottom w:val="single" w:sz="6" w:space="0" w:color="auto"/>
              <w:right w:val="single" w:sz="6" w:space="0" w:color="auto"/>
            </w:tcBorders>
            <w:hideMark/>
          </w:tcPr>
          <w:p w14:paraId="29B6D1A4"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(144) </w:t>
            </w:r>
          </w:p>
        </w:tc>
        <w:tc>
          <w:tcPr>
            <w:tcW w:w="990" w:type="dxa"/>
            <w:tcBorders>
              <w:top w:val="single" w:sz="6" w:space="0" w:color="auto"/>
              <w:left w:val="single" w:sz="6" w:space="0" w:color="auto"/>
              <w:bottom w:val="single" w:sz="6" w:space="0" w:color="auto"/>
              <w:right w:val="single" w:sz="6" w:space="0" w:color="auto"/>
            </w:tcBorders>
            <w:hideMark/>
          </w:tcPr>
          <w:p w14:paraId="659559AA"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(150) </w:t>
            </w:r>
          </w:p>
        </w:tc>
        <w:tc>
          <w:tcPr>
            <w:tcW w:w="930" w:type="dxa"/>
            <w:tcBorders>
              <w:top w:val="single" w:sz="6" w:space="0" w:color="auto"/>
              <w:left w:val="single" w:sz="6" w:space="0" w:color="auto"/>
              <w:bottom w:val="single" w:sz="6" w:space="0" w:color="auto"/>
              <w:right w:val="single" w:sz="6" w:space="0" w:color="auto"/>
            </w:tcBorders>
            <w:hideMark/>
          </w:tcPr>
          <w:p w14:paraId="2D9DCDD6"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(168) </w:t>
            </w:r>
          </w:p>
        </w:tc>
      </w:tr>
      <w:tr w:rsidR="00966A2A" w:rsidRPr="00966A2A" w14:paraId="703F77A9" w14:textId="77777777">
        <w:trPr>
          <w:trHeight w:val="165"/>
        </w:trPr>
        <w:tc>
          <w:tcPr>
            <w:tcW w:w="2685" w:type="dxa"/>
            <w:tcBorders>
              <w:top w:val="single" w:sz="6" w:space="0" w:color="auto"/>
              <w:left w:val="single" w:sz="6" w:space="0" w:color="auto"/>
              <w:bottom w:val="single" w:sz="6" w:space="0" w:color="auto"/>
              <w:right w:val="single" w:sz="6" w:space="0" w:color="auto"/>
            </w:tcBorders>
            <w:hideMark/>
          </w:tcPr>
          <w:p w14:paraId="69F175A9" w14:textId="77777777" w:rsidR="00966A2A" w:rsidRPr="00966A2A" w:rsidRDefault="00966A2A" w:rsidP="00966A2A">
            <w:pPr>
              <w:spacing w:line="360" w:lineRule="auto"/>
              <w:jc w:val="both"/>
              <w:rPr>
                <w:rFonts w:ascii="Arial" w:hAnsi="Arial" w:cs="Arial"/>
                <w:b/>
                <w:bCs/>
                <w:color w:val="C00000"/>
                <w:sz w:val="24"/>
                <w:szCs w:val="24"/>
              </w:rPr>
            </w:pPr>
            <w:r w:rsidRPr="00966A2A">
              <w:rPr>
                <w:rFonts w:ascii="Arial" w:hAnsi="Arial" w:cs="Arial"/>
                <w:b/>
                <w:bCs/>
                <w:color w:val="C00000"/>
                <w:sz w:val="24"/>
                <w:szCs w:val="24"/>
              </w:rPr>
              <w:t>Closing stock </w:t>
            </w:r>
          </w:p>
        </w:tc>
        <w:tc>
          <w:tcPr>
            <w:tcW w:w="1125" w:type="dxa"/>
            <w:tcBorders>
              <w:top w:val="single" w:sz="6" w:space="0" w:color="auto"/>
              <w:left w:val="single" w:sz="6" w:space="0" w:color="auto"/>
              <w:bottom w:val="single" w:sz="6" w:space="0" w:color="auto"/>
              <w:right w:val="single" w:sz="6" w:space="0" w:color="auto"/>
            </w:tcBorders>
            <w:hideMark/>
          </w:tcPr>
          <w:p w14:paraId="6F3BC35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154 </w:t>
            </w:r>
          </w:p>
        </w:tc>
        <w:tc>
          <w:tcPr>
            <w:tcW w:w="1125" w:type="dxa"/>
            <w:tcBorders>
              <w:top w:val="single" w:sz="6" w:space="0" w:color="auto"/>
              <w:left w:val="single" w:sz="6" w:space="0" w:color="auto"/>
              <w:bottom w:val="single" w:sz="6" w:space="0" w:color="auto"/>
              <w:right w:val="single" w:sz="6" w:space="0" w:color="auto"/>
            </w:tcBorders>
            <w:hideMark/>
          </w:tcPr>
          <w:p w14:paraId="62C2A0FF"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186 </w:t>
            </w:r>
          </w:p>
        </w:tc>
        <w:tc>
          <w:tcPr>
            <w:tcW w:w="1125" w:type="dxa"/>
            <w:tcBorders>
              <w:top w:val="single" w:sz="6" w:space="0" w:color="auto"/>
              <w:left w:val="single" w:sz="6" w:space="0" w:color="auto"/>
              <w:bottom w:val="single" w:sz="6" w:space="0" w:color="auto"/>
              <w:right w:val="single" w:sz="6" w:space="0" w:color="auto"/>
            </w:tcBorders>
            <w:hideMark/>
          </w:tcPr>
          <w:p w14:paraId="5FA74B26"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230 </w:t>
            </w:r>
          </w:p>
        </w:tc>
        <w:tc>
          <w:tcPr>
            <w:tcW w:w="990" w:type="dxa"/>
            <w:tcBorders>
              <w:top w:val="single" w:sz="6" w:space="0" w:color="auto"/>
              <w:left w:val="single" w:sz="6" w:space="0" w:color="auto"/>
              <w:bottom w:val="single" w:sz="6" w:space="0" w:color="auto"/>
              <w:right w:val="single" w:sz="6" w:space="0" w:color="auto"/>
            </w:tcBorders>
            <w:hideMark/>
          </w:tcPr>
          <w:p w14:paraId="2FFADBF4"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296 </w:t>
            </w:r>
          </w:p>
        </w:tc>
        <w:tc>
          <w:tcPr>
            <w:tcW w:w="990" w:type="dxa"/>
            <w:tcBorders>
              <w:top w:val="single" w:sz="6" w:space="0" w:color="auto"/>
              <w:left w:val="single" w:sz="6" w:space="0" w:color="auto"/>
              <w:bottom w:val="single" w:sz="6" w:space="0" w:color="auto"/>
              <w:right w:val="single" w:sz="6" w:space="0" w:color="auto"/>
            </w:tcBorders>
            <w:hideMark/>
          </w:tcPr>
          <w:p w14:paraId="45D4EFBD"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336 </w:t>
            </w:r>
          </w:p>
        </w:tc>
        <w:tc>
          <w:tcPr>
            <w:tcW w:w="930" w:type="dxa"/>
            <w:tcBorders>
              <w:top w:val="single" w:sz="6" w:space="0" w:color="auto"/>
              <w:left w:val="single" w:sz="6" w:space="0" w:color="auto"/>
              <w:bottom w:val="single" w:sz="6" w:space="0" w:color="auto"/>
              <w:right w:val="single" w:sz="6" w:space="0" w:color="auto"/>
            </w:tcBorders>
            <w:hideMark/>
          </w:tcPr>
          <w:p w14:paraId="14FE062C" w14:textId="77777777" w:rsidR="00966A2A" w:rsidRPr="00966A2A" w:rsidRDefault="00966A2A" w:rsidP="00966A2A">
            <w:pPr>
              <w:spacing w:line="360" w:lineRule="auto"/>
              <w:jc w:val="both"/>
              <w:rPr>
                <w:rFonts w:ascii="Arial" w:hAnsi="Arial" w:cs="Arial"/>
                <w:sz w:val="24"/>
                <w:szCs w:val="24"/>
              </w:rPr>
            </w:pPr>
            <w:r w:rsidRPr="00966A2A">
              <w:rPr>
                <w:rFonts w:ascii="Arial" w:hAnsi="Arial" w:cs="Arial"/>
                <w:sz w:val="24"/>
                <w:szCs w:val="24"/>
              </w:rPr>
              <w:t>388 </w:t>
            </w:r>
          </w:p>
        </w:tc>
      </w:tr>
    </w:tbl>
    <w:p w14:paraId="50190E96" w14:textId="686F9A8A" w:rsidR="00343793" w:rsidRPr="00C37FE1" w:rsidRDefault="005F1783" w:rsidP="00F470AD">
      <w:pPr>
        <w:spacing w:line="360" w:lineRule="auto"/>
        <w:jc w:val="both"/>
        <w:rPr>
          <w:rFonts w:ascii="Arial" w:hAnsi="Arial" w:cs="Arial"/>
          <w:i/>
          <w:iCs/>
          <w:sz w:val="24"/>
          <w:szCs w:val="24"/>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r>
        <w:rPr>
          <w:rFonts w:ascii="Arial" w:hAnsi="Arial" w:cs="Arial"/>
          <w:sz w:val="24"/>
          <w:szCs w:val="24"/>
        </w:rPr>
        <w:fldChar w:fldCharType="end"/>
      </w:r>
      <w:r w:rsidR="00F470AD">
        <w:rPr>
          <w:rFonts w:ascii="Arial" w:hAnsi="Arial" w:cs="Arial"/>
          <w:sz w:val="24"/>
          <w:szCs w:val="24"/>
        </w:rPr>
        <w:t xml:space="preserve"> </w:t>
      </w:r>
      <w:r w:rsidR="00F470AD" w:rsidRPr="00C37FE1">
        <w:rPr>
          <w:i/>
          <w:iCs/>
        </w:rPr>
        <w:t xml:space="preserve">Figure </w:t>
      </w:r>
      <w:r w:rsidR="00F470AD" w:rsidRPr="00C37FE1">
        <w:rPr>
          <w:i/>
          <w:iCs/>
        </w:rPr>
        <w:fldChar w:fldCharType="begin"/>
      </w:r>
      <w:r w:rsidR="00F470AD" w:rsidRPr="00C37FE1">
        <w:rPr>
          <w:i/>
          <w:iCs/>
        </w:rPr>
        <w:instrText xml:space="preserve"> SEQ Figure \* ARABIC </w:instrText>
      </w:r>
      <w:r w:rsidR="00F470AD" w:rsidRPr="00C37FE1">
        <w:rPr>
          <w:i/>
          <w:iCs/>
        </w:rPr>
        <w:fldChar w:fldCharType="separate"/>
      </w:r>
      <w:r w:rsidR="00C37FE1">
        <w:rPr>
          <w:i/>
          <w:iCs/>
          <w:noProof/>
        </w:rPr>
        <w:t>1</w:t>
      </w:r>
      <w:r w:rsidR="00F470AD" w:rsidRPr="00C37FE1">
        <w:rPr>
          <w:i/>
          <w:iCs/>
        </w:rPr>
        <w:fldChar w:fldCharType="end"/>
      </w:r>
      <w:r w:rsidR="00F470AD" w:rsidRPr="00C37FE1">
        <w:rPr>
          <w:i/>
          <w:iCs/>
        </w:rPr>
        <w:t>.Stock Budget for the six months</w:t>
      </w:r>
    </w:p>
    <w:p w14:paraId="0AB98CEF" w14:textId="77777777" w:rsidR="00343793" w:rsidRDefault="00343793" w:rsidP="00DF1287">
      <w:pPr>
        <w:spacing w:line="360" w:lineRule="auto"/>
        <w:jc w:val="both"/>
        <w:rPr>
          <w:rFonts w:ascii="Arial" w:hAnsi="Arial" w:cs="Arial"/>
          <w:sz w:val="24"/>
          <w:szCs w:val="24"/>
        </w:rPr>
      </w:pPr>
    </w:p>
    <w:p w14:paraId="0B443CAF" w14:textId="77777777" w:rsidR="00343793" w:rsidRPr="00DF1287" w:rsidRDefault="00343793" w:rsidP="00DF1287">
      <w:pPr>
        <w:spacing w:line="360" w:lineRule="auto"/>
        <w:jc w:val="both"/>
        <w:rPr>
          <w:rFonts w:ascii="Arial" w:hAnsi="Arial" w:cs="Arial"/>
          <w:sz w:val="24"/>
          <w:szCs w:val="24"/>
        </w:rPr>
      </w:pPr>
    </w:p>
    <w:p w14:paraId="3F3E94C1" w14:textId="431D554C"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The starting point is the relationship between sales, gross profit and stock. Because the gross profit margin is 40</w:t>
      </w:r>
      <w:r w:rsidR="00261374">
        <w:rPr>
          <w:rFonts w:ascii="Arial" w:hAnsi="Arial" w:cs="Arial"/>
          <w:sz w:val="24"/>
          <w:szCs w:val="24"/>
        </w:rPr>
        <w:t>%</w:t>
      </w:r>
      <w:r w:rsidRPr="00DF1287">
        <w:rPr>
          <w:rFonts w:ascii="Arial" w:hAnsi="Arial" w:cs="Arial"/>
          <w:sz w:val="24"/>
          <w:szCs w:val="24"/>
        </w:rPr>
        <w:t>, cost of sales is 60</w:t>
      </w:r>
      <w:r w:rsidR="00261374">
        <w:rPr>
          <w:rFonts w:ascii="Arial" w:hAnsi="Arial" w:cs="Arial"/>
          <w:sz w:val="24"/>
          <w:szCs w:val="24"/>
        </w:rPr>
        <w:t xml:space="preserve">% </w:t>
      </w:r>
      <w:r w:rsidRPr="00DF1287">
        <w:rPr>
          <w:rFonts w:ascii="Arial" w:hAnsi="Arial" w:cs="Arial"/>
          <w:sz w:val="24"/>
          <w:szCs w:val="24"/>
        </w:rPr>
        <w:t xml:space="preserve">of sales revenue. This allows the stock budget and budgeted profit and loss account to be prepared on a consistent basis. From a management accounting perspective, this is important because budgets are designed to support planning and control by showing how operational choices affect both profitability and financial position (Datar and Rajan, 2017; Dyson, 2020). The budgeting materials in your course also describe the master budget as bringing together sales, stock, cash and profit expectations in one coordinated </w:t>
      </w:r>
      <w:r w:rsidR="006D641B" w:rsidRPr="00DF1287">
        <w:rPr>
          <w:rFonts w:ascii="Arial" w:hAnsi="Arial" w:cs="Arial"/>
          <w:sz w:val="24"/>
          <w:szCs w:val="24"/>
        </w:rPr>
        <w:t>framework.</w:t>
      </w:r>
      <w:r w:rsidRPr="00DF1287">
        <w:rPr>
          <w:rFonts w:ascii="Arial" w:hAnsi="Arial" w:cs="Arial"/>
          <w:sz w:val="24"/>
          <w:szCs w:val="24"/>
        </w:rPr>
        <w:t xml:space="preserve"> That broader view is essential here, because Silver Stitch’s position cannot be understood by looking at profit or cash alone.</w:t>
      </w:r>
    </w:p>
    <w:p w14:paraId="25BD9B71" w14:textId="77777777" w:rsidR="00C37FE1" w:rsidRDefault="00C37FE1" w:rsidP="00DF1287">
      <w:pPr>
        <w:spacing w:line="360" w:lineRule="auto"/>
        <w:jc w:val="both"/>
        <w:rPr>
          <w:rFonts w:ascii="Arial" w:hAnsi="Arial" w:cs="Arial"/>
          <w:sz w:val="24"/>
          <w:szCs w:val="24"/>
        </w:rPr>
      </w:pPr>
    </w:p>
    <w:p w14:paraId="1F88FF56" w14:textId="77777777" w:rsidR="00C37FE1" w:rsidRDefault="00C37FE1" w:rsidP="00DF1287">
      <w:pPr>
        <w:spacing w:line="360" w:lineRule="auto"/>
        <w:jc w:val="both"/>
        <w:rPr>
          <w:rFonts w:ascii="Arial" w:hAnsi="Arial" w:cs="Arial"/>
          <w:sz w:val="24"/>
          <w:szCs w:val="24"/>
        </w:rPr>
      </w:pPr>
    </w:p>
    <w:p w14:paraId="4DE59393" w14:textId="760100CF" w:rsidR="004829F5" w:rsidRDefault="0024519D" w:rsidP="00CE72E6">
      <w:pPr>
        <w:pStyle w:val="Heading2"/>
      </w:pPr>
      <w:bookmarkStart w:id="4" w:name="_Toc225098717"/>
      <w:r>
        <w:t>The cash budget for the 6 months period to December 31</w:t>
      </w:r>
      <w:r w:rsidRPr="0024519D">
        <w:rPr>
          <w:vertAlign w:val="superscript"/>
        </w:rPr>
        <w:t>st</w:t>
      </w:r>
      <w:r>
        <w:t>.</w:t>
      </w:r>
      <w:bookmarkEnd w:id="4"/>
      <w:r>
        <w:t xml:space="preserve"> </w:t>
      </w:r>
    </w:p>
    <w:p w14:paraId="46EA9A08" w14:textId="77777777" w:rsidR="00E74338" w:rsidRPr="00DF1287" w:rsidRDefault="00E74338" w:rsidP="00DF1287">
      <w:pPr>
        <w:spacing w:line="360" w:lineRule="auto"/>
        <w:jc w:val="both"/>
        <w:rPr>
          <w:rFonts w:ascii="Arial" w:hAnsi="Arial" w:cs="Arial"/>
          <w:sz w:val="24"/>
          <w:szCs w:val="24"/>
        </w:rPr>
      </w:pPr>
    </w:p>
    <w:tbl>
      <w:tblPr>
        <w:tblW w:w="9229"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632"/>
        <w:gridCol w:w="1231"/>
        <w:gridCol w:w="1098"/>
        <w:gridCol w:w="1098"/>
        <w:gridCol w:w="971"/>
        <w:gridCol w:w="971"/>
        <w:gridCol w:w="1228"/>
      </w:tblGrid>
      <w:tr w:rsidR="00296358" w:rsidRPr="00296358" w14:paraId="689ECBA6"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2867FF5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38BB4974"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July</w:t>
            </w:r>
            <w:r w:rsidRPr="00296358">
              <w:rPr>
                <w:rFonts w:ascii="Arial" w:hAnsi="Arial" w:cs="Arial"/>
                <w:color w:val="C00000"/>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03FDBE5C"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Aug</w:t>
            </w:r>
            <w:r w:rsidRPr="00296358">
              <w:rPr>
                <w:rFonts w:ascii="Arial" w:hAnsi="Arial" w:cs="Arial"/>
                <w:color w:val="C00000"/>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87C9362"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Sept</w:t>
            </w:r>
            <w:r w:rsidRPr="00296358">
              <w:rPr>
                <w:rFonts w:ascii="Arial" w:hAnsi="Arial" w:cs="Arial"/>
                <w:color w:val="C00000"/>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1E2EE6C7"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Oct</w:t>
            </w:r>
            <w:r w:rsidRPr="00296358">
              <w:rPr>
                <w:rFonts w:ascii="Arial" w:hAnsi="Arial" w:cs="Arial"/>
                <w:color w:val="C00000"/>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8582169"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Nov</w:t>
            </w:r>
            <w:r w:rsidRPr="00296358">
              <w:rPr>
                <w:rFonts w:ascii="Arial" w:hAnsi="Arial" w:cs="Arial"/>
                <w:color w:val="C00000"/>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380666B4"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Dec</w:t>
            </w:r>
            <w:r w:rsidRPr="00296358">
              <w:rPr>
                <w:rFonts w:ascii="Arial" w:hAnsi="Arial" w:cs="Arial"/>
                <w:color w:val="C00000"/>
                <w:sz w:val="24"/>
                <w:szCs w:val="24"/>
              </w:rPr>
              <w:t> </w:t>
            </w:r>
          </w:p>
        </w:tc>
      </w:tr>
      <w:tr w:rsidR="00296358" w:rsidRPr="00296358" w14:paraId="5200ACC1"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2EF78B5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69A9D2AF"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3047F5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E96A29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3E88793"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AA5CA8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15575265"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sz w:val="24"/>
                <w:szCs w:val="24"/>
              </w:rPr>
              <w:t>£000 </w:t>
            </w:r>
          </w:p>
        </w:tc>
      </w:tr>
      <w:tr w:rsidR="00296358" w:rsidRPr="00296358" w14:paraId="0C81B55A"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7EF04D90"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Cash receipts</w:t>
            </w:r>
            <w:r w:rsidRPr="00296358">
              <w:rPr>
                <w:rFonts w:ascii="Arial" w:hAnsi="Arial" w:cs="Arial"/>
                <w:color w:val="C00000"/>
                <w:sz w:val="24"/>
                <w:szCs w:val="24"/>
              </w:rPr>
              <w:t> </w:t>
            </w:r>
          </w:p>
          <w:p w14:paraId="63DC8B44" w14:textId="77777777" w:rsidR="00296358" w:rsidRPr="00296358" w:rsidRDefault="00296358" w:rsidP="00296358">
            <w:pPr>
              <w:spacing w:line="360" w:lineRule="auto"/>
              <w:jc w:val="both"/>
              <w:rPr>
                <w:rFonts w:ascii="Arial" w:hAnsi="Arial" w:cs="Arial"/>
                <w:color w:val="002060"/>
                <w:sz w:val="24"/>
                <w:szCs w:val="24"/>
              </w:rPr>
            </w:pPr>
            <w:r w:rsidRPr="00296358">
              <w:rPr>
                <w:rFonts w:ascii="Arial" w:hAnsi="Arial" w:cs="Arial"/>
                <w:color w:val="002060"/>
                <w:sz w:val="24"/>
                <w:szCs w:val="24"/>
              </w:rPr>
              <w:t>Sales net of 0.35 x 2.5%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1ED79695"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208</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FB894A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228</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772C22FC"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258</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7347069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238</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6D4E88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248</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30E9983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278</w:t>
            </w:r>
            <w:r w:rsidRPr="00296358">
              <w:rPr>
                <w:rFonts w:ascii="Arial" w:hAnsi="Arial" w:cs="Arial"/>
                <w:sz w:val="24"/>
                <w:szCs w:val="24"/>
              </w:rPr>
              <w:t> </w:t>
            </w:r>
          </w:p>
        </w:tc>
      </w:tr>
      <w:tr w:rsidR="00296358" w:rsidRPr="00296358" w14:paraId="32F6894E"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6716EDB9" w14:textId="77777777" w:rsidR="00296358" w:rsidRPr="00296358" w:rsidRDefault="00296358" w:rsidP="00296358">
            <w:pPr>
              <w:spacing w:line="360" w:lineRule="auto"/>
              <w:jc w:val="both"/>
              <w:rPr>
                <w:rFonts w:ascii="Arial" w:hAnsi="Arial" w:cs="Arial"/>
                <w:color w:val="C00000"/>
                <w:sz w:val="24"/>
                <w:szCs w:val="24"/>
              </w:rPr>
            </w:pPr>
            <w:r w:rsidRPr="00296358">
              <w:rPr>
                <w:rFonts w:ascii="Arial" w:hAnsi="Arial" w:cs="Arial"/>
                <w:b/>
                <w:bCs/>
                <w:color w:val="C00000"/>
                <w:sz w:val="24"/>
                <w:szCs w:val="24"/>
              </w:rPr>
              <w:t>Cash payments</w:t>
            </w:r>
            <w:r w:rsidRPr="00296358">
              <w:rPr>
                <w:rFonts w:ascii="Arial" w:hAnsi="Arial" w:cs="Arial"/>
                <w:color w:val="C00000"/>
                <w:sz w:val="24"/>
                <w:szCs w:val="24"/>
              </w:rPr>
              <w:t> </w:t>
            </w:r>
          </w:p>
          <w:p w14:paraId="75AABC9A" w14:textId="77777777" w:rsidR="00296358" w:rsidRPr="00296358" w:rsidRDefault="00296358" w:rsidP="00296358">
            <w:pPr>
              <w:spacing w:line="360" w:lineRule="auto"/>
              <w:jc w:val="both"/>
              <w:rPr>
                <w:rFonts w:ascii="Arial" w:hAnsi="Arial" w:cs="Arial"/>
                <w:b/>
                <w:bCs/>
                <w:color w:val="002060"/>
                <w:sz w:val="24"/>
                <w:szCs w:val="24"/>
              </w:rPr>
            </w:pPr>
            <w:r w:rsidRPr="00296358">
              <w:rPr>
                <w:rFonts w:ascii="Arial" w:hAnsi="Arial" w:cs="Arial"/>
                <w:b/>
                <w:bCs/>
                <w:color w:val="002060"/>
                <w:sz w:val="24"/>
                <w:szCs w:val="24"/>
              </w:rPr>
              <w:t>Administration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32125D7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(17)</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0597E83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(18)</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2FB41485"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(19)</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2A83EEEF"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(20)</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22721EA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(21)</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0F0E4EE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(22)</w:t>
            </w:r>
            <w:r w:rsidRPr="00296358">
              <w:rPr>
                <w:rFonts w:ascii="Arial" w:hAnsi="Arial" w:cs="Arial"/>
                <w:sz w:val="24"/>
                <w:szCs w:val="24"/>
              </w:rPr>
              <w:t> </w:t>
            </w:r>
          </w:p>
        </w:tc>
      </w:tr>
      <w:tr w:rsidR="00296358" w:rsidRPr="00296358" w14:paraId="1AF9AB66"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36FE3972"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Stock purchased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51EEA88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(150)</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BC3FBE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(180)</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8A414A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(170)</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9BA146E"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(200)</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42AE82CC"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(210)</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3BDCA6D9"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(190)</w:t>
            </w:r>
            <w:r w:rsidRPr="00296358">
              <w:rPr>
                <w:rFonts w:ascii="Arial" w:hAnsi="Arial" w:cs="Arial"/>
                <w:sz w:val="24"/>
                <w:szCs w:val="24"/>
              </w:rPr>
              <w:t> </w:t>
            </w:r>
          </w:p>
        </w:tc>
      </w:tr>
      <w:tr w:rsidR="00296358" w:rsidRPr="00296358" w14:paraId="4C623A08"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7731365A"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Repayments of Ioan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35FF13C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15A6A78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5752DD9"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6B6CAED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437BE26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02A9EFD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r>
      <w:tr w:rsidR="00296358" w:rsidRPr="00296358" w14:paraId="1E181A19"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6F593094"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Selling expenses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4BA98F4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2EA9E30"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(6)</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DC379E5"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(7)</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F28139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(8)</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0F847A0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(9)</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684AF14E"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(7)</w:t>
            </w:r>
            <w:r w:rsidRPr="00296358">
              <w:rPr>
                <w:rFonts w:ascii="Arial" w:hAnsi="Arial" w:cs="Arial"/>
                <w:sz w:val="24"/>
                <w:szCs w:val="24"/>
              </w:rPr>
              <w:t> </w:t>
            </w:r>
          </w:p>
        </w:tc>
      </w:tr>
      <w:tr w:rsidR="00296358" w:rsidRPr="00296358" w14:paraId="6D23F23E"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1DAE05FA"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Taxation paid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382819F1"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75780F62"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19F324D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(18)</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1FD8A72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5591E16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588122E1"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r>
      <w:tr w:rsidR="00296358" w:rsidRPr="00296358" w14:paraId="263B70AA"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171132EE"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Interest payments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09DB986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873376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07217843"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2A0F4FE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2878EED1"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426E8D9C"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w:t>
            </w:r>
            <w:r w:rsidRPr="00296358">
              <w:rPr>
                <w:rFonts w:ascii="Arial" w:hAnsi="Arial" w:cs="Arial"/>
                <w:sz w:val="24"/>
                <w:szCs w:val="24"/>
              </w:rPr>
              <w:t> </w:t>
            </w:r>
          </w:p>
        </w:tc>
      </w:tr>
      <w:tr w:rsidR="00296358" w:rsidRPr="00296358" w14:paraId="0AA8B55E"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515DFF2D"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Shop refurbishment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1E133DE3"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6339ED7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(12)</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405759A0"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(10)</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72162AD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57763A2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6DA26925"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w:t>
            </w:r>
            <w:r w:rsidRPr="00296358">
              <w:rPr>
                <w:rFonts w:ascii="Arial" w:hAnsi="Arial" w:cs="Arial"/>
                <w:sz w:val="24"/>
                <w:szCs w:val="24"/>
              </w:rPr>
              <w:t> </w:t>
            </w:r>
          </w:p>
        </w:tc>
      </w:tr>
      <w:tr w:rsidR="00296358" w:rsidRPr="00296358" w14:paraId="708BBB0B"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0542939F"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Cash surplus (deficit)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6625DE4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55CD2761"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6</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A6C890F"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28</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70D2CF9A"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4</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627327E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2</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76CEA48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53</w:t>
            </w:r>
            <w:r w:rsidRPr="00296358">
              <w:rPr>
                <w:rFonts w:ascii="Arial" w:hAnsi="Arial" w:cs="Arial"/>
                <w:sz w:val="24"/>
                <w:szCs w:val="24"/>
              </w:rPr>
              <w:t> </w:t>
            </w:r>
          </w:p>
        </w:tc>
      </w:tr>
      <w:tr w:rsidR="00296358" w:rsidRPr="00296358" w14:paraId="23F54CD6"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3B937EB8"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Opening balance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24713E13"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50</w:t>
            </w:r>
            <w:r w:rsidRPr="00296358">
              <w:rPr>
                <w:rFonts w:ascii="Arial" w:hAnsi="Arial" w:cs="Arial"/>
                <w:sz w:val="24"/>
                <w:szCs w:val="24"/>
              </w:rPr>
              <w:t> </w:t>
            </w:r>
          </w:p>
          <w:p w14:paraId="2767219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(min stock level</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3A806AA8"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65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6B888FD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71</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7102F8A7"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99</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1A0A1EDF"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103</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114F22C3"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105</w:t>
            </w:r>
            <w:r w:rsidRPr="00296358">
              <w:rPr>
                <w:rFonts w:ascii="Arial" w:hAnsi="Arial" w:cs="Arial"/>
                <w:sz w:val="24"/>
                <w:szCs w:val="24"/>
              </w:rPr>
              <w:t> </w:t>
            </w:r>
          </w:p>
        </w:tc>
      </w:tr>
      <w:tr w:rsidR="00296358" w:rsidRPr="00296358" w14:paraId="75A1D7AA" w14:textId="77777777" w:rsidTr="00563748">
        <w:trPr>
          <w:trHeight w:val="300"/>
        </w:trPr>
        <w:tc>
          <w:tcPr>
            <w:tcW w:w="2632" w:type="dxa"/>
            <w:tcBorders>
              <w:top w:val="single" w:sz="6" w:space="0" w:color="auto"/>
              <w:left w:val="single" w:sz="6" w:space="0" w:color="auto"/>
              <w:bottom w:val="single" w:sz="6" w:space="0" w:color="auto"/>
              <w:right w:val="single" w:sz="6" w:space="0" w:color="auto"/>
            </w:tcBorders>
            <w:shd w:val="clear" w:color="auto" w:fill="FFFFFF"/>
            <w:hideMark/>
          </w:tcPr>
          <w:p w14:paraId="149177D9" w14:textId="77777777" w:rsidR="00296358" w:rsidRPr="00296358" w:rsidRDefault="00296358" w:rsidP="00296358">
            <w:pPr>
              <w:spacing w:line="360" w:lineRule="auto"/>
              <w:jc w:val="both"/>
              <w:rPr>
                <w:rFonts w:ascii="Arial" w:hAnsi="Arial" w:cs="Arial"/>
                <w:b/>
                <w:bCs/>
                <w:color w:val="C00000"/>
                <w:sz w:val="24"/>
                <w:szCs w:val="24"/>
              </w:rPr>
            </w:pPr>
            <w:r w:rsidRPr="00296358">
              <w:rPr>
                <w:rFonts w:ascii="Arial" w:hAnsi="Arial" w:cs="Arial"/>
                <w:b/>
                <w:bCs/>
                <w:color w:val="C00000"/>
                <w:sz w:val="24"/>
                <w:szCs w:val="24"/>
              </w:rPr>
              <w:t>Closing balance </w:t>
            </w:r>
          </w:p>
        </w:tc>
        <w:tc>
          <w:tcPr>
            <w:tcW w:w="1231" w:type="dxa"/>
            <w:tcBorders>
              <w:top w:val="single" w:sz="6" w:space="0" w:color="auto"/>
              <w:left w:val="single" w:sz="6" w:space="0" w:color="auto"/>
              <w:bottom w:val="single" w:sz="6" w:space="0" w:color="auto"/>
              <w:right w:val="single" w:sz="6" w:space="0" w:color="auto"/>
            </w:tcBorders>
            <w:shd w:val="clear" w:color="auto" w:fill="FFFFFF"/>
            <w:hideMark/>
          </w:tcPr>
          <w:p w14:paraId="2BAF8BF6"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65</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089924D4"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71</w:t>
            </w:r>
            <w:r w:rsidRPr="00296358">
              <w:rPr>
                <w:rFonts w:ascii="Arial" w:hAnsi="Arial" w:cs="Arial"/>
                <w:sz w:val="24"/>
                <w:szCs w:val="24"/>
              </w:rPr>
              <w:t> </w:t>
            </w:r>
          </w:p>
        </w:tc>
        <w:tc>
          <w:tcPr>
            <w:tcW w:w="1098" w:type="dxa"/>
            <w:tcBorders>
              <w:top w:val="single" w:sz="6" w:space="0" w:color="auto"/>
              <w:left w:val="single" w:sz="6" w:space="0" w:color="auto"/>
              <w:bottom w:val="single" w:sz="6" w:space="0" w:color="auto"/>
              <w:right w:val="single" w:sz="6" w:space="0" w:color="auto"/>
            </w:tcBorders>
            <w:shd w:val="clear" w:color="auto" w:fill="FFFFFF"/>
            <w:hideMark/>
          </w:tcPr>
          <w:p w14:paraId="76267EED"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99</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3DE046D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103</w:t>
            </w:r>
            <w:r w:rsidRPr="00296358">
              <w:rPr>
                <w:rFonts w:ascii="Arial" w:hAnsi="Arial" w:cs="Arial"/>
                <w:sz w:val="24"/>
                <w:szCs w:val="24"/>
              </w:rPr>
              <w:t> </w:t>
            </w:r>
          </w:p>
        </w:tc>
        <w:tc>
          <w:tcPr>
            <w:tcW w:w="971" w:type="dxa"/>
            <w:tcBorders>
              <w:top w:val="single" w:sz="6" w:space="0" w:color="auto"/>
              <w:left w:val="single" w:sz="6" w:space="0" w:color="auto"/>
              <w:bottom w:val="single" w:sz="6" w:space="0" w:color="auto"/>
              <w:right w:val="single" w:sz="6" w:space="0" w:color="auto"/>
            </w:tcBorders>
            <w:shd w:val="clear" w:color="auto" w:fill="FFFFFF"/>
            <w:hideMark/>
          </w:tcPr>
          <w:p w14:paraId="600B03AB"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105</w:t>
            </w:r>
            <w:r w:rsidRPr="00296358">
              <w:rPr>
                <w:rFonts w:ascii="Arial" w:hAnsi="Arial" w:cs="Arial"/>
                <w:sz w:val="24"/>
                <w:szCs w:val="24"/>
              </w:rPr>
              <w:t> </w:t>
            </w:r>
          </w:p>
        </w:tc>
        <w:tc>
          <w:tcPr>
            <w:tcW w:w="1228" w:type="dxa"/>
            <w:tcBorders>
              <w:top w:val="single" w:sz="6" w:space="0" w:color="auto"/>
              <w:left w:val="single" w:sz="6" w:space="0" w:color="auto"/>
              <w:bottom w:val="single" w:sz="6" w:space="0" w:color="auto"/>
              <w:right w:val="single" w:sz="6" w:space="0" w:color="auto"/>
            </w:tcBorders>
            <w:shd w:val="clear" w:color="auto" w:fill="FFFFFF"/>
            <w:hideMark/>
          </w:tcPr>
          <w:p w14:paraId="2198953C" w14:textId="77777777" w:rsidR="00296358" w:rsidRPr="00296358" w:rsidRDefault="00296358" w:rsidP="00296358">
            <w:pPr>
              <w:spacing w:line="360" w:lineRule="auto"/>
              <w:jc w:val="both"/>
              <w:rPr>
                <w:rFonts w:ascii="Arial" w:hAnsi="Arial" w:cs="Arial"/>
                <w:sz w:val="24"/>
                <w:szCs w:val="24"/>
              </w:rPr>
            </w:pPr>
            <w:r w:rsidRPr="00296358">
              <w:rPr>
                <w:rFonts w:ascii="Arial" w:hAnsi="Arial" w:cs="Arial"/>
                <w:b/>
                <w:bCs/>
                <w:sz w:val="24"/>
                <w:szCs w:val="24"/>
              </w:rPr>
              <w:t>158</w:t>
            </w:r>
            <w:r w:rsidRPr="00296358">
              <w:rPr>
                <w:rFonts w:ascii="Arial" w:hAnsi="Arial" w:cs="Arial"/>
                <w:sz w:val="24"/>
                <w:szCs w:val="24"/>
              </w:rPr>
              <w:t> </w:t>
            </w:r>
          </w:p>
        </w:tc>
      </w:tr>
    </w:tbl>
    <w:p w14:paraId="5045498C" w14:textId="5F9A7692" w:rsidR="00296358" w:rsidRDefault="00C37FE1" w:rsidP="00C37FE1">
      <w:pPr>
        <w:pStyle w:val="Caption"/>
        <w:rPr>
          <w:rFonts w:ascii="Arial" w:hAnsi="Arial" w:cs="Arial"/>
          <w:sz w:val="24"/>
          <w:szCs w:val="24"/>
        </w:rPr>
      </w:pPr>
      <w:r>
        <w:t xml:space="preserve">Figure </w:t>
      </w:r>
      <w:fldSimple w:instr=" SEQ Figure \* ARABIC ">
        <w:r>
          <w:rPr>
            <w:noProof/>
          </w:rPr>
          <w:t>2</w:t>
        </w:r>
      </w:fldSimple>
      <w:r>
        <w:t>.Cash budget table for the 6 months period</w:t>
      </w:r>
    </w:p>
    <w:p w14:paraId="2106D043" w14:textId="77777777" w:rsidR="00296358" w:rsidRDefault="00296358" w:rsidP="00DF1287">
      <w:pPr>
        <w:spacing w:line="360" w:lineRule="auto"/>
        <w:jc w:val="both"/>
        <w:rPr>
          <w:rFonts w:ascii="Arial" w:hAnsi="Arial" w:cs="Arial"/>
          <w:sz w:val="24"/>
          <w:szCs w:val="24"/>
        </w:rPr>
      </w:pPr>
    </w:p>
    <w:p w14:paraId="21CCED36" w14:textId="77777777" w:rsidR="00296358" w:rsidRDefault="00296358" w:rsidP="00DF1287">
      <w:pPr>
        <w:spacing w:line="360" w:lineRule="auto"/>
        <w:jc w:val="both"/>
        <w:rPr>
          <w:rFonts w:ascii="Arial" w:hAnsi="Arial" w:cs="Arial"/>
          <w:sz w:val="24"/>
          <w:szCs w:val="24"/>
        </w:rPr>
      </w:pPr>
    </w:p>
    <w:p w14:paraId="32D83946" w14:textId="485B4A0E" w:rsidR="00296358" w:rsidRDefault="00E86B74" w:rsidP="00CE72E6">
      <w:pPr>
        <w:pStyle w:val="Heading2"/>
      </w:pPr>
      <w:bookmarkStart w:id="5" w:name="_Toc225098718"/>
      <w:r>
        <w:lastRenderedPageBreak/>
        <w:t xml:space="preserve">Profit and Loss Accounting for the 6 months </w:t>
      </w:r>
      <w:r w:rsidR="00B17231">
        <w:t>ending December 31</w:t>
      </w:r>
      <w:r w:rsidR="00B17231" w:rsidRPr="00B17231">
        <w:rPr>
          <w:vertAlign w:val="superscript"/>
        </w:rPr>
        <w:t>st</w:t>
      </w:r>
      <w:r w:rsidR="00B17231">
        <w:t>.</w:t>
      </w:r>
      <w:bookmarkEnd w:id="5"/>
      <w:r w:rsidR="00B17231">
        <w:t xml:space="preserve"> </w:t>
      </w:r>
    </w:p>
    <w:p w14:paraId="74209C84" w14:textId="77777777" w:rsidR="00CE72E6" w:rsidRPr="00CE72E6" w:rsidRDefault="00CE72E6" w:rsidP="00CE72E6"/>
    <w:tbl>
      <w:tblPr>
        <w:tblW w:w="0" w:type="dxa"/>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2931"/>
        <w:gridCol w:w="2924"/>
        <w:gridCol w:w="3201"/>
      </w:tblGrid>
      <w:tr w:rsidR="005D5B1F" w:rsidRPr="005D5B1F" w14:paraId="291A8367"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4E3D1C90"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sz w:val="24"/>
                <w:szCs w:val="24"/>
              </w:rPr>
              <w: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97D9AE7" w14:textId="77777777" w:rsidR="005D5B1F" w:rsidRPr="005D5B1F" w:rsidRDefault="005D5B1F" w:rsidP="005D5B1F">
            <w:pPr>
              <w:spacing w:line="360" w:lineRule="auto"/>
              <w:jc w:val="both"/>
              <w:rPr>
                <w:rFonts w:ascii="Arial" w:hAnsi="Arial" w:cs="Arial"/>
                <w:color w:val="C00000"/>
                <w:sz w:val="24"/>
                <w:szCs w:val="24"/>
              </w:rPr>
            </w:pPr>
            <w:r w:rsidRPr="005D5B1F">
              <w:rPr>
                <w:rFonts w:ascii="Arial" w:hAnsi="Arial" w:cs="Arial"/>
                <w:b/>
                <w:bCs/>
                <w:color w:val="C00000"/>
                <w:sz w:val="24"/>
                <w:szCs w:val="24"/>
              </w:rPr>
              <w:t>£000</w:t>
            </w:r>
            <w:r w:rsidRPr="005D5B1F">
              <w:rPr>
                <w:rFonts w:ascii="Arial" w:hAnsi="Arial" w:cs="Arial"/>
                <w:color w:val="C00000"/>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02AC5A8D" w14:textId="77777777" w:rsidR="005D5B1F" w:rsidRPr="005D5B1F" w:rsidRDefault="005D5B1F" w:rsidP="005D5B1F">
            <w:pPr>
              <w:spacing w:line="360" w:lineRule="auto"/>
              <w:jc w:val="both"/>
              <w:rPr>
                <w:rFonts w:ascii="Arial" w:hAnsi="Arial" w:cs="Arial"/>
                <w:color w:val="C00000"/>
                <w:sz w:val="24"/>
                <w:szCs w:val="24"/>
              </w:rPr>
            </w:pPr>
            <w:r w:rsidRPr="005D5B1F">
              <w:rPr>
                <w:rFonts w:ascii="Arial" w:hAnsi="Arial" w:cs="Arial"/>
                <w:b/>
                <w:bCs/>
                <w:color w:val="C00000"/>
                <w:sz w:val="24"/>
                <w:szCs w:val="24"/>
              </w:rPr>
              <w:t>Calculation</w:t>
            </w:r>
            <w:r w:rsidRPr="005D5B1F">
              <w:rPr>
                <w:rFonts w:ascii="Arial" w:hAnsi="Arial" w:cs="Arial"/>
                <w:color w:val="C00000"/>
                <w:sz w:val="24"/>
                <w:szCs w:val="24"/>
              </w:rPr>
              <w:t> </w:t>
            </w:r>
          </w:p>
        </w:tc>
      </w:tr>
      <w:tr w:rsidR="005D5B1F" w:rsidRPr="005D5B1F" w14:paraId="6DDA4408"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792FD864"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Sales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3B8D5A3B"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1470</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38CB6479"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210+230+260+240+250+280</w:t>
            </w:r>
            <w:r w:rsidRPr="005D5B1F">
              <w:rPr>
                <w:rFonts w:ascii="Arial" w:hAnsi="Arial" w:cs="Arial"/>
                <w:sz w:val="24"/>
                <w:szCs w:val="24"/>
              </w:rPr>
              <w:t> </w:t>
            </w:r>
          </w:p>
        </w:tc>
      </w:tr>
      <w:tr w:rsidR="005D5B1F" w:rsidRPr="005D5B1F" w14:paraId="02CCDD35"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6970CB15"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Cost of goods sold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72BDF4A"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882</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5921DA9F"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sz w:val="24"/>
                <w:szCs w:val="24"/>
              </w:rPr>
              <w:t>1470 x 60% </w:t>
            </w:r>
          </w:p>
        </w:tc>
      </w:tr>
      <w:tr w:rsidR="005D5B1F" w:rsidRPr="005D5B1F" w14:paraId="372501E7"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84EECC2"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Gross profit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56DD924A"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588</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0D41FA1E"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1470 x 40%</w:t>
            </w:r>
            <w:r w:rsidRPr="005D5B1F">
              <w:rPr>
                <w:rFonts w:ascii="Arial" w:hAnsi="Arial" w:cs="Arial"/>
                <w:sz w:val="24"/>
                <w:szCs w:val="24"/>
              </w:rPr>
              <w:t> </w:t>
            </w:r>
          </w:p>
        </w:tc>
      </w:tr>
      <w:tr w:rsidR="005D5B1F" w:rsidRPr="005D5B1F" w14:paraId="6B93BDE5"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21C6CCD1"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Selling expenses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62AC35DB"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42</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039AFACA"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5+6+7+8+9+7</w:t>
            </w:r>
            <w:r w:rsidRPr="005D5B1F">
              <w:rPr>
                <w:rFonts w:ascii="Arial" w:hAnsi="Arial" w:cs="Arial"/>
                <w:sz w:val="24"/>
                <w:szCs w:val="24"/>
              </w:rPr>
              <w:t> </w:t>
            </w:r>
          </w:p>
        </w:tc>
      </w:tr>
      <w:tr w:rsidR="005D5B1F" w:rsidRPr="005D5B1F" w14:paraId="47B04F5D"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DE8E1F8"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Admin expenses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A31B09A"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159</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2F50BEB1"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24+25+26+27+28+29</w:t>
            </w:r>
            <w:r w:rsidRPr="005D5B1F">
              <w:rPr>
                <w:rFonts w:ascii="Arial" w:hAnsi="Arial" w:cs="Arial"/>
                <w:sz w:val="24"/>
                <w:szCs w:val="24"/>
              </w:rPr>
              <w:t> </w:t>
            </w:r>
          </w:p>
        </w:tc>
      </w:tr>
      <w:tr w:rsidR="005D5B1F" w:rsidRPr="005D5B1F" w14:paraId="77F06DE9"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51E16C10"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Credit card charges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4FFB9461"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12.86</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01781CAB"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1470 x 35% x 2.5%</w:t>
            </w:r>
            <w:r w:rsidRPr="005D5B1F">
              <w:rPr>
                <w:rFonts w:ascii="Arial" w:hAnsi="Arial" w:cs="Arial"/>
                <w:sz w:val="24"/>
                <w:szCs w:val="24"/>
              </w:rPr>
              <w:t> </w:t>
            </w:r>
          </w:p>
        </w:tc>
      </w:tr>
      <w:tr w:rsidR="005D5B1F" w:rsidRPr="005D5B1F" w14:paraId="20B831B0"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5DB580C6"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Operating profit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171A1E59"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374.14</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600AFDD1"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sz w:val="24"/>
                <w:szCs w:val="24"/>
              </w:rPr>
              <w:t> </w:t>
            </w:r>
          </w:p>
        </w:tc>
      </w:tr>
      <w:tr w:rsidR="005D5B1F" w:rsidRPr="005D5B1F" w14:paraId="3FFCDB25"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555702F4"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Interest payable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06193890"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6</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109BB1B3"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6 x 5 x 20%</w:t>
            </w:r>
            <w:r w:rsidRPr="005D5B1F">
              <w:rPr>
                <w:rFonts w:ascii="Arial" w:hAnsi="Arial" w:cs="Arial"/>
                <w:sz w:val="24"/>
                <w:szCs w:val="24"/>
              </w:rPr>
              <w:t> </w:t>
            </w:r>
          </w:p>
        </w:tc>
      </w:tr>
      <w:tr w:rsidR="005D5B1F" w:rsidRPr="005D5B1F" w14:paraId="038BB1CE" w14:textId="77777777">
        <w:trPr>
          <w:trHeight w:val="300"/>
        </w:trPr>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62700058" w14:textId="77777777" w:rsidR="005D5B1F" w:rsidRPr="005D5B1F" w:rsidRDefault="005D5B1F" w:rsidP="005D5B1F">
            <w:pPr>
              <w:spacing w:line="360" w:lineRule="auto"/>
              <w:jc w:val="both"/>
              <w:rPr>
                <w:rFonts w:ascii="Arial" w:hAnsi="Arial" w:cs="Arial"/>
                <w:b/>
                <w:bCs/>
                <w:color w:val="C00000"/>
                <w:sz w:val="24"/>
                <w:szCs w:val="24"/>
              </w:rPr>
            </w:pPr>
            <w:r w:rsidRPr="005D5B1F">
              <w:rPr>
                <w:rFonts w:ascii="Arial" w:hAnsi="Arial" w:cs="Arial"/>
                <w:b/>
                <w:bCs/>
                <w:color w:val="C00000"/>
                <w:sz w:val="24"/>
                <w:szCs w:val="24"/>
              </w:rPr>
              <w:t>Profit for the period </w:t>
            </w:r>
          </w:p>
        </w:tc>
        <w:tc>
          <w:tcPr>
            <w:tcW w:w="2970" w:type="dxa"/>
            <w:tcBorders>
              <w:top w:val="single" w:sz="6" w:space="0" w:color="auto"/>
              <w:left w:val="single" w:sz="6" w:space="0" w:color="auto"/>
              <w:bottom w:val="single" w:sz="6" w:space="0" w:color="auto"/>
              <w:right w:val="single" w:sz="6" w:space="0" w:color="auto"/>
            </w:tcBorders>
            <w:shd w:val="clear" w:color="auto" w:fill="FFFFFF"/>
            <w:hideMark/>
          </w:tcPr>
          <w:p w14:paraId="7DCA0B01"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b/>
                <w:bCs/>
                <w:sz w:val="24"/>
                <w:szCs w:val="24"/>
              </w:rPr>
              <w:t>368.14</w:t>
            </w:r>
            <w:r w:rsidRPr="005D5B1F">
              <w:rPr>
                <w:rFonts w:ascii="Arial" w:hAnsi="Arial" w:cs="Arial"/>
                <w:sz w:val="24"/>
                <w:szCs w:val="24"/>
              </w:rPr>
              <w:t> </w:t>
            </w:r>
          </w:p>
        </w:tc>
        <w:tc>
          <w:tcPr>
            <w:tcW w:w="3060" w:type="dxa"/>
            <w:tcBorders>
              <w:top w:val="single" w:sz="6" w:space="0" w:color="auto"/>
              <w:left w:val="single" w:sz="6" w:space="0" w:color="auto"/>
              <w:bottom w:val="single" w:sz="6" w:space="0" w:color="auto"/>
              <w:right w:val="single" w:sz="6" w:space="0" w:color="auto"/>
            </w:tcBorders>
            <w:shd w:val="clear" w:color="auto" w:fill="FFFFFF"/>
            <w:hideMark/>
          </w:tcPr>
          <w:p w14:paraId="4B1519CD" w14:textId="77777777" w:rsidR="005D5B1F" w:rsidRPr="005D5B1F" w:rsidRDefault="005D5B1F" w:rsidP="005D5B1F">
            <w:pPr>
              <w:spacing w:line="360" w:lineRule="auto"/>
              <w:jc w:val="both"/>
              <w:rPr>
                <w:rFonts w:ascii="Arial" w:hAnsi="Arial" w:cs="Arial"/>
                <w:sz w:val="24"/>
                <w:szCs w:val="24"/>
              </w:rPr>
            </w:pPr>
            <w:r w:rsidRPr="005D5B1F">
              <w:rPr>
                <w:rFonts w:ascii="Arial" w:hAnsi="Arial" w:cs="Arial"/>
                <w:sz w:val="24"/>
                <w:szCs w:val="24"/>
              </w:rPr>
              <w:t> </w:t>
            </w:r>
          </w:p>
        </w:tc>
      </w:tr>
    </w:tbl>
    <w:p w14:paraId="7E5CDF92" w14:textId="74C43712" w:rsidR="005D5B1F" w:rsidRDefault="00C37FE1" w:rsidP="00C37FE1">
      <w:pPr>
        <w:pStyle w:val="Caption"/>
      </w:pPr>
      <w:r>
        <w:t xml:space="preserve">Figure </w:t>
      </w:r>
      <w:fldSimple w:instr=" SEQ Figure \* ARABIC ">
        <w:r>
          <w:rPr>
            <w:noProof/>
          </w:rPr>
          <w:t>3</w:t>
        </w:r>
      </w:fldSimple>
      <w:r>
        <w:t>.Profit and Loss Accounting table for the 6 months period.</w:t>
      </w:r>
    </w:p>
    <w:p w14:paraId="5610397F" w14:textId="77777777" w:rsidR="00C37FE1" w:rsidRDefault="00C37FE1" w:rsidP="00C37FE1"/>
    <w:p w14:paraId="463DD823" w14:textId="77777777" w:rsidR="00C37FE1" w:rsidRPr="00C37FE1" w:rsidRDefault="00C37FE1" w:rsidP="00C37FE1"/>
    <w:p w14:paraId="5EDD83BB" w14:textId="0D235F2C"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The stock budget indicates that the company comfortably maintains its stated minimum stock level of £50,000, but it also shows a large rise in inventory over the period. This is not automatically a positive sign. In a premium casual clothing business, excessive stock can expose the firm to markdowns, obsolescence and a higher risk that inventory will remain unsold as customer preferences shift. Supply chain and operations literature strongly supports this concern, especially in sectors where products are sensitive to seasonality and style changes (Christopher, 2016; Slack and Brandon-Jones, 2019). A rising stock figure therefore suggests that the company may be buying more aggressively than sales performance can justify, which points to a weakness in planning rather than a strength in preparedness.</w:t>
      </w:r>
    </w:p>
    <w:p w14:paraId="7313920B" w14:textId="1A58243E"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The cash budget gives a more encouraging headline result. Based on the forecast, the business remains overdrawn in July and </w:t>
      </w:r>
      <w:r w:rsidR="00646448" w:rsidRPr="00DF1287">
        <w:rPr>
          <w:rFonts w:ascii="Arial" w:hAnsi="Arial" w:cs="Arial"/>
          <w:sz w:val="24"/>
          <w:szCs w:val="24"/>
        </w:rPr>
        <w:t>August,</w:t>
      </w:r>
      <w:r w:rsidR="00FE0D8F">
        <w:rPr>
          <w:rFonts w:ascii="Arial" w:hAnsi="Arial" w:cs="Arial"/>
          <w:sz w:val="24"/>
          <w:szCs w:val="24"/>
        </w:rPr>
        <w:t xml:space="preserve"> however, </w:t>
      </w:r>
      <w:r w:rsidRPr="00DF1287">
        <w:rPr>
          <w:rFonts w:ascii="Arial" w:hAnsi="Arial" w:cs="Arial"/>
          <w:sz w:val="24"/>
          <w:szCs w:val="24"/>
        </w:rPr>
        <w:t xml:space="preserve">moves into a positive cash position in September and ends December with approximately £83,100 in cash. </w:t>
      </w:r>
      <w:r w:rsidRPr="00DF1287">
        <w:rPr>
          <w:rFonts w:ascii="Arial" w:hAnsi="Arial" w:cs="Arial"/>
          <w:sz w:val="24"/>
          <w:szCs w:val="24"/>
        </w:rPr>
        <w:lastRenderedPageBreak/>
        <w:t xml:space="preserve">On a narrow reading, this means the bank’s requirement should be met. However, the monthly pattern is more revealing than the final balance. Cash is tight in the early part of the period, and this means the business is exposed to any shortfall in sales or unplanned expenditure. This reflects a central principle of financial management: liquidity depends on timing as much as on overall profitability (Atrill and McLaney, 2018; Arnold, 2019). The module materials reinforce this by identifying cash budgets and working capital management as core elements of performance monitoring and decision </w:t>
      </w:r>
      <w:r w:rsidR="00FE0D8F" w:rsidRPr="00DF1287">
        <w:rPr>
          <w:rFonts w:ascii="Arial" w:hAnsi="Arial" w:cs="Arial"/>
          <w:sz w:val="24"/>
          <w:szCs w:val="24"/>
        </w:rPr>
        <w:t>making.</w:t>
      </w:r>
    </w:p>
    <w:p w14:paraId="50D6AC87" w14:textId="77777777"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The budgeted profit and loss account shows that Silver Stitch is profitable over the six months. That is an important finding, but it should not be over-interpreted. A profitable business can still face cash pressure, particularly where funds are tied up in stock or where capital spending coincides with weak liquidity. This distinction between profit and cash is fundamental in management accounting, because financial statements measure performance in different ways and for different purposes (Kolitz, 2017; Drury, 2021). In Silver Stitch’s case, the numbers suggest that the company is commercially viable, but that its working capital planning is not especially efficient. That is why the budget analysis points less to a profitability crisis than to a control and planning problem.</w:t>
      </w:r>
    </w:p>
    <w:p w14:paraId="6643D89B" w14:textId="77777777" w:rsidR="00FE5075" w:rsidRDefault="00FE5075" w:rsidP="00DF1287">
      <w:pPr>
        <w:spacing w:line="360" w:lineRule="auto"/>
        <w:jc w:val="both"/>
        <w:rPr>
          <w:rFonts w:ascii="Arial" w:hAnsi="Arial" w:cs="Arial"/>
          <w:sz w:val="24"/>
          <w:szCs w:val="24"/>
        </w:rPr>
      </w:pPr>
    </w:p>
    <w:p w14:paraId="257AF233" w14:textId="77777777" w:rsidR="00E74338" w:rsidRDefault="00E74338" w:rsidP="00DF1287">
      <w:pPr>
        <w:spacing w:line="360" w:lineRule="auto"/>
        <w:jc w:val="both"/>
        <w:rPr>
          <w:rFonts w:ascii="Arial" w:hAnsi="Arial" w:cs="Arial"/>
          <w:sz w:val="24"/>
          <w:szCs w:val="24"/>
        </w:rPr>
      </w:pPr>
    </w:p>
    <w:p w14:paraId="392B5596" w14:textId="77777777" w:rsidR="00E74338" w:rsidRDefault="00E74338" w:rsidP="00DF1287">
      <w:pPr>
        <w:spacing w:line="360" w:lineRule="auto"/>
        <w:jc w:val="both"/>
        <w:rPr>
          <w:rFonts w:ascii="Arial" w:hAnsi="Arial" w:cs="Arial"/>
          <w:sz w:val="24"/>
          <w:szCs w:val="24"/>
        </w:rPr>
      </w:pPr>
    </w:p>
    <w:p w14:paraId="7D7EF9F7" w14:textId="77777777" w:rsidR="00E74338" w:rsidRDefault="00E74338" w:rsidP="00DF1287">
      <w:pPr>
        <w:spacing w:line="360" w:lineRule="auto"/>
        <w:jc w:val="both"/>
        <w:rPr>
          <w:rFonts w:ascii="Arial" w:hAnsi="Arial" w:cs="Arial"/>
          <w:sz w:val="24"/>
          <w:szCs w:val="24"/>
        </w:rPr>
      </w:pPr>
    </w:p>
    <w:p w14:paraId="779BEBD3" w14:textId="77777777" w:rsidR="00E74338" w:rsidRDefault="00E74338" w:rsidP="00DF1287">
      <w:pPr>
        <w:spacing w:line="360" w:lineRule="auto"/>
        <w:jc w:val="both"/>
        <w:rPr>
          <w:rFonts w:ascii="Arial" w:hAnsi="Arial" w:cs="Arial"/>
          <w:sz w:val="24"/>
          <w:szCs w:val="24"/>
        </w:rPr>
      </w:pPr>
    </w:p>
    <w:p w14:paraId="74517145" w14:textId="77777777" w:rsidR="00E74338" w:rsidRDefault="00E74338" w:rsidP="00DF1287">
      <w:pPr>
        <w:spacing w:line="360" w:lineRule="auto"/>
        <w:jc w:val="both"/>
        <w:rPr>
          <w:rFonts w:ascii="Arial" w:hAnsi="Arial" w:cs="Arial"/>
          <w:sz w:val="24"/>
          <w:szCs w:val="24"/>
        </w:rPr>
      </w:pPr>
    </w:p>
    <w:p w14:paraId="2DE0111F" w14:textId="77777777" w:rsidR="00E74338" w:rsidRDefault="00E74338" w:rsidP="00DF1287">
      <w:pPr>
        <w:spacing w:line="360" w:lineRule="auto"/>
        <w:jc w:val="both"/>
        <w:rPr>
          <w:rFonts w:ascii="Arial" w:hAnsi="Arial" w:cs="Arial"/>
          <w:sz w:val="24"/>
          <w:szCs w:val="24"/>
        </w:rPr>
      </w:pPr>
    </w:p>
    <w:p w14:paraId="27534F0E" w14:textId="77777777" w:rsidR="00E74338" w:rsidRDefault="00E74338" w:rsidP="00DF1287">
      <w:pPr>
        <w:spacing w:line="360" w:lineRule="auto"/>
        <w:jc w:val="both"/>
        <w:rPr>
          <w:rFonts w:ascii="Arial" w:hAnsi="Arial" w:cs="Arial"/>
          <w:sz w:val="24"/>
          <w:szCs w:val="24"/>
        </w:rPr>
      </w:pPr>
    </w:p>
    <w:p w14:paraId="75A03C4F" w14:textId="77777777" w:rsidR="00E74338" w:rsidRPr="00DF1287" w:rsidRDefault="00E74338" w:rsidP="00DF1287">
      <w:pPr>
        <w:spacing w:line="360" w:lineRule="auto"/>
        <w:jc w:val="both"/>
        <w:rPr>
          <w:rFonts w:ascii="Arial" w:hAnsi="Arial" w:cs="Arial"/>
          <w:sz w:val="24"/>
          <w:szCs w:val="24"/>
        </w:rPr>
      </w:pPr>
    </w:p>
    <w:p w14:paraId="56A58CAF" w14:textId="6F28E122" w:rsidR="00DF1287" w:rsidRPr="007B0ED3" w:rsidRDefault="00614052" w:rsidP="00344471">
      <w:pPr>
        <w:pStyle w:val="Heading1"/>
        <w:rPr>
          <w:b/>
          <w:bCs/>
        </w:rPr>
      </w:pPr>
      <w:bookmarkStart w:id="6" w:name="_Toc225098719"/>
      <w:r w:rsidRPr="007B0ED3">
        <w:rPr>
          <w:b/>
          <w:bCs/>
        </w:rPr>
        <w:lastRenderedPageBreak/>
        <w:t xml:space="preserve">Financial and Operational Issues </w:t>
      </w:r>
      <w:r w:rsidR="00344471" w:rsidRPr="007B0ED3">
        <w:rPr>
          <w:b/>
          <w:bCs/>
        </w:rPr>
        <w:t>Identified from the Budgets</w:t>
      </w:r>
      <w:bookmarkEnd w:id="6"/>
    </w:p>
    <w:p w14:paraId="6DFADE43" w14:textId="77777777" w:rsidR="00F2213C" w:rsidRPr="00F2213C" w:rsidRDefault="00F2213C" w:rsidP="00F2213C">
      <w:pPr>
        <w:spacing w:line="360" w:lineRule="auto"/>
        <w:jc w:val="both"/>
        <w:rPr>
          <w:rFonts w:ascii="Arial" w:hAnsi="Arial" w:cs="Arial"/>
          <w:sz w:val="24"/>
          <w:szCs w:val="24"/>
        </w:rPr>
      </w:pPr>
    </w:p>
    <w:p w14:paraId="4C2DA933" w14:textId="77777777"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Although the forecast budgets suggest that Silver Stitch Ltd should remain profitable and succeed in removing its overdraft by the end of December, the figures also highlight several underlying problems that management will need to address. The budget calculations are useful not simply because they produce numbers, but because they reveal where pressure points are likely to emerge in the business. In that sense, budgeting is not just about forecasting outcomes; it is about giving management the information needed to make better decisions about costs, revenues, liquidity and resource allocation (Drury, 2021; Datar and Rajan, 2017). In Silver Stitch’s case, the numbers point to weaknesses in stock control, cash timing and spending priorities, all of which could affect the business if they are left unmanaged.</w:t>
      </w:r>
    </w:p>
    <w:p w14:paraId="0EC0E2EC" w14:textId="77777777"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The clearest problem is the steady increase in stock over the six-month period. While the business has no difficulty maintaining its minimum stock level, the forecast suggests that inventory will rise far beyond what appears necessary. For a premium casual clothing retailer, this is a serious issue. Clothing stock is particularly vulnerable to changing trends, seasonality and markdown pressure, so holding too much inventory can quickly become expensive. Excess stock ties up cash, adds to storage and handling costs, and increases the risk that products will have to be sold at reduced prices later. In other words, the company may look secure in terms of stock availability, but that security comes at the cost of weaker working capital efficiency (Christopher, 2016; Slack and Brandon-Jones, 2019; Walsh, 2008). This suggests that Silver Stitch’s purchasing plans may not be sufficiently aligned with expected demand.</w:t>
      </w:r>
    </w:p>
    <w:p w14:paraId="18CE1F99" w14:textId="77777777"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 xml:space="preserve">A second concern is the company’s cash position in the early months of the budget period. Even though the overdraft is forecast to be cleared by September, the business remains overdrawn in both July and August. This means that the company is still financially exposed for part of the period and has little room for unexpected setbacks. A lower-than-forecast sales month, an unplanned cost, or any delay in cash receipts could easily place additional strain on liquidity. This is a reminder that </w:t>
      </w:r>
      <w:r w:rsidRPr="00F2213C">
        <w:rPr>
          <w:rFonts w:ascii="Arial" w:hAnsi="Arial" w:cs="Arial"/>
          <w:sz w:val="24"/>
          <w:szCs w:val="24"/>
        </w:rPr>
        <w:lastRenderedPageBreak/>
        <w:t>profitability and cash flow are not the same thing. A company may be profitable in accounting terms but still experience short-term financial difficulty if cash inflows and outflows are poorly timed (Atrill and McLaney, 2018; Arnold, 2019). For Silver Stitch, the budgets show that the year-end cash position is reassuring, but the month-by-month pattern is much less comfortable.</w:t>
      </w:r>
    </w:p>
    <w:p w14:paraId="369EFC56" w14:textId="30707C41"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The timing of the refurbishment programme adds to this pressure. The company plans to spend on refurbishment during July, August and September, which are exactly the months when cash is under the greatest strain. There may well be a sound commercial reason for improving store presentation, especially in a premium retail environment where the customer experience plays an important part in supporting sales. However, the issue here is one of timing rather than principle. Capital spending may be beneficial in the long term, but if it takes place during a period of weak liquidity it can still create avoidable financial pressure. From a financial management point of view, investment decisions should be judged not only by their expected benefits but also by how and when they are financed (Brigham and Ehrhardt, 2019; Hillier et al., 2023). In this case, management should question whether all the refurbishment spending needs to happen at this stage, or whether some of it could be delayed until the cash position becomes more stable.</w:t>
      </w:r>
    </w:p>
    <w:p w14:paraId="0C433B39" w14:textId="77777777"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Another issue revealed by the budgets is the gap between reported profit and the overall quality of financial control. The budgeted profit and loss account indicates that Silver Stitch should perform well over the six months, but the cash and stock budgets suggest that the business is not using its resources as efficiently as it could. This is an important point because profit on its own can create a false sense of security. A business may report healthy earnings while still carrying too much stock, relying too heavily on short-term finance, or making spending decisions that weaken liquidity. Management therefore needs a broader range of information when evaluating performance, including cash flow, stock movement and efficiency measures, rather than looking only at the profit figure (Atrill and McLaney, 2021; Drury, 2021). In Silver Stitch’s case, the numbers suggest that the business is viable, but that its working capital planning could be much stronger.</w:t>
      </w:r>
    </w:p>
    <w:p w14:paraId="0A43B43B" w14:textId="34820E60"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 xml:space="preserve">These weaknesses point to several practical responses. First, Silver Stitch should improve inventory control by monitoring sales trends more closely, reviewing stock </w:t>
      </w:r>
      <w:r w:rsidRPr="00F2213C">
        <w:rPr>
          <w:rFonts w:ascii="Arial" w:hAnsi="Arial" w:cs="Arial"/>
          <w:sz w:val="24"/>
          <w:szCs w:val="24"/>
        </w:rPr>
        <w:lastRenderedPageBreak/>
        <w:t>levels by product line and reducing orders for slow-moving items. That would help release cash from inventory and reduce the risk of future markdowns. Second, the company should monitor cash flow more frequently, ideally using rolling forecasts, so that short-term liquidity issues can be identified earlier and managed more effectively. Third, the directors should reconsider the timing of refurbishment spending and focus first on the projects most likely to produce a clear commercial benefit. It may also be worth exploring whether this type of expenditure should be financed through a longer-term facility rather than from short-term operating cash. Finally, management should strengthen performance monitoring using ratios and KPIs, such as stock turnover, gross margin, current ratio and store-level sales performance. Looking at these measures together would provide a much clearer picture of whether the business is genuinely improving or simply appearing stronger on paper.</w:t>
      </w:r>
    </w:p>
    <w:p w14:paraId="6265E996" w14:textId="77777777" w:rsidR="00F2213C" w:rsidRPr="00F2213C" w:rsidRDefault="00F2213C" w:rsidP="00F2213C">
      <w:pPr>
        <w:spacing w:line="360" w:lineRule="auto"/>
        <w:jc w:val="both"/>
        <w:rPr>
          <w:rFonts w:ascii="Arial" w:hAnsi="Arial" w:cs="Arial"/>
          <w:sz w:val="24"/>
          <w:szCs w:val="24"/>
        </w:rPr>
      </w:pPr>
      <w:r w:rsidRPr="00F2213C">
        <w:rPr>
          <w:rFonts w:ascii="Arial" w:hAnsi="Arial" w:cs="Arial"/>
          <w:sz w:val="24"/>
          <w:szCs w:val="24"/>
        </w:rPr>
        <w:t>Overall, the budgets do not suggest that Silver Stitch is in immediate financial danger. Rather, they show a business that is profitable but not yet managing its working capital as effectively as it should. The real issue is therefore not survival, but control. Management needs to make sure that stock, cash and investment decisions are better aligned, so that the company’s financial improvement is supported by stronger operational discipline as well as by favourable headline results (Seal, Garrison and Noreen, 2018; Horner, 2020).</w:t>
      </w:r>
    </w:p>
    <w:p w14:paraId="7ABF1B7F" w14:textId="77777777" w:rsidR="00F2213C" w:rsidRPr="00F2213C" w:rsidRDefault="00F2213C" w:rsidP="00F2213C">
      <w:pPr>
        <w:spacing w:line="360" w:lineRule="auto"/>
        <w:jc w:val="both"/>
        <w:rPr>
          <w:rFonts w:ascii="Arial" w:hAnsi="Arial" w:cs="Arial"/>
          <w:sz w:val="24"/>
          <w:szCs w:val="24"/>
        </w:rPr>
      </w:pPr>
    </w:p>
    <w:p w14:paraId="720CBEA6" w14:textId="77777777" w:rsidR="00F2213C" w:rsidRDefault="00F2213C" w:rsidP="00DF1287">
      <w:pPr>
        <w:spacing w:line="360" w:lineRule="auto"/>
        <w:jc w:val="both"/>
        <w:rPr>
          <w:rFonts w:ascii="Arial" w:hAnsi="Arial" w:cs="Arial"/>
          <w:sz w:val="24"/>
          <w:szCs w:val="24"/>
        </w:rPr>
      </w:pPr>
    </w:p>
    <w:p w14:paraId="041EB35B" w14:textId="77777777" w:rsidR="007B0ED3" w:rsidRDefault="007B0ED3" w:rsidP="00DF1287">
      <w:pPr>
        <w:spacing w:line="360" w:lineRule="auto"/>
        <w:jc w:val="both"/>
        <w:rPr>
          <w:rFonts w:ascii="Arial" w:hAnsi="Arial" w:cs="Arial"/>
          <w:sz w:val="24"/>
          <w:szCs w:val="24"/>
        </w:rPr>
      </w:pPr>
    </w:p>
    <w:p w14:paraId="4CFDA1DE" w14:textId="77777777" w:rsidR="007B0ED3" w:rsidRDefault="007B0ED3" w:rsidP="00DF1287">
      <w:pPr>
        <w:spacing w:line="360" w:lineRule="auto"/>
        <w:jc w:val="both"/>
        <w:rPr>
          <w:rFonts w:ascii="Arial" w:hAnsi="Arial" w:cs="Arial"/>
          <w:sz w:val="24"/>
          <w:szCs w:val="24"/>
        </w:rPr>
      </w:pPr>
    </w:p>
    <w:p w14:paraId="25DBF601" w14:textId="77777777" w:rsidR="007B0ED3" w:rsidRDefault="007B0ED3" w:rsidP="00DF1287">
      <w:pPr>
        <w:spacing w:line="360" w:lineRule="auto"/>
        <w:jc w:val="both"/>
        <w:rPr>
          <w:rFonts w:ascii="Arial" w:hAnsi="Arial" w:cs="Arial"/>
          <w:sz w:val="24"/>
          <w:szCs w:val="24"/>
        </w:rPr>
      </w:pPr>
    </w:p>
    <w:p w14:paraId="0AFAED5D" w14:textId="77777777" w:rsidR="00E74338" w:rsidRPr="00DF1287" w:rsidRDefault="00E74338" w:rsidP="00DF1287">
      <w:pPr>
        <w:spacing w:line="360" w:lineRule="auto"/>
        <w:jc w:val="both"/>
        <w:rPr>
          <w:rFonts w:ascii="Arial" w:hAnsi="Arial" w:cs="Arial"/>
          <w:sz w:val="24"/>
          <w:szCs w:val="24"/>
        </w:rPr>
      </w:pPr>
    </w:p>
    <w:p w14:paraId="0A691E58" w14:textId="77777777" w:rsidR="00576B61" w:rsidRDefault="00576B61" w:rsidP="00DF1287">
      <w:pPr>
        <w:spacing w:line="360" w:lineRule="auto"/>
        <w:jc w:val="both"/>
        <w:rPr>
          <w:rFonts w:ascii="Arial" w:hAnsi="Arial" w:cs="Arial"/>
          <w:sz w:val="24"/>
          <w:szCs w:val="24"/>
        </w:rPr>
      </w:pPr>
    </w:p>
    <w:p w14:paraId="636DBAC4" w14:textId="77777777" w:rsidR="007B0ED3" w:rsidRPr="00AC6650" w:rsidRDefault="007B0ED3" w:rsidP="007B0ED3">
      <w:pPr>
        <w:pStyle w:val="Heading1"/>
        <w:rPr>
          <w:b/>
          <w:bCs/>
        </w:rPr>
      </w:pPr>
      <w:bookmarkStart w:id="7" w:name="_Toc225098720"/>
      <w:r w:rsidRPr="00AC6650">
        <w:rPr>
          <w:b/>
          <w:bCs/>
        </w:rPr>
        <w:lastRenderedPageBreak/>
        <w:t>Conditions for Effective Budgeting and Budgetary Control</w:t>
      </w:r>
      <w:bookmarkEnd w:id="7"/>
    </w:p>
    <w:p w14:paraId="18B00706" w14:textId="77777777" w:rsidR="007B0ED3" w:rsidRDefault="007B0ED3" w:rsidP="00DF1287">
      <w:pPr>
        <w:spacing w:line="360" w:lineRule="auto"/>
        <w:jc w:val="both"/>
        <w:rPr>
          <w:rFonts w:ascii="Arial" w:hAnsi="Arial" w:cs="Arial"/>
          <w:sz w:val="24"/>
          <w:szCs w:val="24"/>
        </w:rPr>
      </w:pPr>
    </w:p>
    <w:p w14:paraId="1895C5AB" w14:textId="03A2D41D"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For a budgeting system to succeed, there must first be clarity about what the organisation is trying to achieve. Budgets are most useful when they are linked to strategic objectives rather than treated as routine annual paperwork. In Silver Stitch’s case, eliminating the overdraft is an obvious short-term goal, but a well-designed budgetary system would also connect this goal to stock control, customer service, store performance and long-term resilience (Drury, 2021; Atrill and McLaney, 2021). The assignment brief itself expects more than mechanical calculation and calls for analysis of both the barriers and the success of </w:t>
      </w:r>
      <w:r w:rsidR="00FE0D8F" w:rsidRPr="00DF1287">
        <w:rPr>
          <w:rFonts w:ascii="Arial" w:hAnsi="Arial" w:cs="Arial"/>
          <w:sz w:val="24"/>
          <w:szCs w:val="24"/>
        </w:rPr>
        <w:t>budgeting.</w:t>
      </w:r>
      <w:r w:rsidRPr="00DF1287">
        <w:rPr>
          <w:rFonts w:ascii="Arial" w:hAnsi="Arial" w:cs="Arial"/>
          <w:sz w:val="24"/>
          <w:szCs w:val="24"/>
        </w:rPr>
        <w:t xml:space="preserve"> That means success should be judged by the quality of control the budget provides, not simply by whether a single year-end target is achieved.</w:t>
      </w:r>
    </w:p>
    <w:p w14:paraId="44CCFA40" w14:textId="188641EE"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A second condition is the availability of reliable, timely information. Budgets built on weak sales forecasts, poor stock records or unrealistic expenditure assumptions are unlikely to support good control. This is especially true in retailing, where demand and customer behaviour can shift quickly. Performance measurement research shows that control systems only work well when managers trust the information they are using and when that information reflects operational reality (Otley, 1999; Jordan and Messner, 2012). In the module material, KPI analysis is presented as a way of broadening performance review beyond simple financial outcomes, which reinforces the idea that good budgeting depends on a wider information </w:t>
      </w:r>
      <w:r w:rsidR="00FE0D8F" w:rsidRPr="00DF1287">
        <w:rPr>
          <w:rFonts w:ascii="Arial" w:hAnsi="Arial" w:cs="Arial"/>
          <w:sz w:val="24"/>
          <w:szCs w:val="24"/>
        </w:rPr>
        <w:t>base.</w:t>
      </w:r>
    </w:p>
    <w:p w14:paraId="06A94DE2"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A third condition is participation and communication. Participative budgeting can improve realism because line managers often understand local costs, store trading conditions and customer demand more clearly than senior executives do. At the same time, participation is not automatically beneficial, because it can also create opportunities for manipulation and slack (Shields and Shields, 1998; Covaleski et al., 2003). The key point is that participation should be paired with challenge and review. Managers need to feel involved, but senior leadership also needs to test assumptions and ensure that the budget remains aligned with organisational priorities.</w:t>
      </w:r>
    </w:p>
    <w:p w14:paraId="281D8868" w14:textId="16E042C5" w:rsidR="00DF1287" w:rsidRDefault="00DF1287" w:rsidP="00DF1287">
      <w:pPr>
        <w:spacing w:line="360" w:lineRule="auto"/>
        <w:jc w:val="both"/>
        <w:rPr>
          <w:rFonts w:ascii="Arial" w:hAnsi="Arial" w:cs="Arial"/>
          <w:sz w:val="24"/>
          <w:szCs w:val="24"/>
        </w:rPr>
      </w:pPr>
      <w:r w:rsidRPr="00DF1287">
        <w:rPr>
          <w:rFonts w:ascii="Arial" w:hAnsi="Arial" w:cs="Arial"/>
          <w:sz w:val="24"/>
          <w:szCs w:val="24"/>
        </w:rPr>
        <w:lastRenderedPageBreak/>
        <w:t xml:space="preserve">A fourth condition is responsibility accounting. Budgetary control works best when managers are held accountable only for areas they can </w:t>
      </w:r>
      <w:r w:rsidR="00FE0D8F" w:rsidRPr="00DF1287">
        <w:rPr>
          <w:rFonts w:ascii="Arial" w:hAnsi="Arial" w:cs="Arial"/>
          <w:sz w:val="24"/>
          <w:szCs w:val="24"/>
        </w:rPr>
        <w:t>influence</w:t>
      </w:r>
      <w:r w:rsidRPr="00DF1287">
        <w:rPr>
          <w:rFonts w:ascii="Arial" w:hAnsi="Arial" w:cs="Arial"/>
          <w:sz w:val="24"/>
          <w:szCs w:val="24"/>
        </w:rPr>
        <w:t xml:space="preserve">. The costing materials in your uploaded files make this point directly by distinguishing controllable and uncontrollable costs and linking performance reporting to areas of </w:t>
      </w:r>
      <w:r w:rsidR="00FE0D8F" w:rsidRPr="00DF1287">
        <w:rPr>
          <w:rFonts w:ascii="Arial" w:hAnsi="Arial" w:cs="Arial"/>
          <w:sz w:val="24"/>
          <w:szCs w:val="24"/>
        </w:rPr>
        <w:t>responsibility.</w:t>
      </w:r>
      <w:r w:rsidRPr="00DF1287">
        <w:rPr>
          <w:rFonts w:ascii="Arial" w:hAnsi="Arial" w:cs="Arial"/>
          <w:sz w:val="24"/>
          <w:szCs w:val="24"/>
        </w:rPr>
        <w:t xml:space="preserve"> This principle matters because it affects both fairness and usefulness. If managers are judged on costs that they do not control, the budget becomes less credible and more likely to create resistance. Responsibility-based reporting therefore strengthens budgeting by making variances more meaningful and corrective action more targeted (Merchant, 1985; Datar and Rajan, 2017).</w:t>
      </w:r>
    </w:p>
    <w:p w14:paraId="69186E88" w14:textId="77777777" w:rsidR="004A6E7E" w:rsidRDefault="004A6E7E" w:rsidP="00DF1287">
      <w:pPr>
        <w:spacing w:line="360" w:lineRule="auto"/>
        <w:jc w:val="both"/>
        <w:rPr>
          <w:rFonts w:ascii="Arial" w:hAnsi="Arial" w:cs="Arial"/>
          <w:sz w:val="24"/>
          <w:szCs w:val="24"/>
        </w:rPr>
      </w:pPr>
    </w:p>
    <w:p w14:paraId="6147CD0E" w14:textId="77777777" w:rsidR="00E76057" w:rsidRDefault="00E76057" w:rsidP="00DF1287">
      <w:pPr>
        <w:spacing w:line="360" w:lineRule="auto"/>
        <w:jc w:val="both"/>
        <w:rPr>
          <w:rFonts w:ascii="Arial" w:hAnsi="Arial" w:cs="Arial"/>
          <w:sz w:val="24"/>
          <w:szCs w:val="24"/>
        </w:rPr>
      </w:pPr>
    </w:p>
    <w:p w14:paraId="7DEA18C6" w14:textId="77777777" w:rsidR="00E76057" w:rsidRDefault="00E76057" w:rsidP="00DF1287">
      <w:pPr>
        <w:spacing w:line="360" w:lineRule="auto"/>
        <w:jc w:val="both"/>
        <w:rPr>
          <w:rFonts w:ascii="Arial" w:hAnsi="Arial" w:cs="Arial"/>
          <w:sz w:val="24"/>
          <w:szCs w:val="24"/>
        </w:rPr>
      </w:pPr>
    </w:p>
    <w:p w14:paraId="6973C917" w14:textId="77777777" w:rsidR="00E76057" w:rsidRDefault="00E76057" w:rsidP="00DF1287">
      <w:pPr>
        <w:spacing w:line="360" w:lineRule="auto"/>
        <w:jc w:val="both"/>
        <w:rPr>
          <w:rFonts w:ascii="Arial" w:hAnsi="Arial" w:cs="Arial"/>
          <w:sz w:val="24"/>
          <w:szCs w:val="24"/>
        </w:rPr>
      </w:pPr>
    </w:p>
    <w:p w14:paraId="1E6CA519" w14:textId="77777777" w:rsidR="00E76057" w:rsidRDefault="00E76057" w:rsidP="00DF1287">
      <w:pPr>
        <w:spacing w:line="360" w:lineRule="auto"/>
        <w:jc w:val="both"/>
        <w:rPr>
          <w:rFonts w:ascii="Arial" w:hAnsi="Arial" w:cs="Arial"/>
          <w:sz w:val="24"/>
          <w:szCs w:val="24"/>
        </w:rPr>
      </w:pPr>
    </w:p>
    <w:p w14:paraId="191CE8F9" w14:textId="77777777" w:rsidR="00E76057" w:rsidRDefault="00E76057" w:rsidP="00DF1287">
      <w:pPr>
        <w:spacing w:line="360" w:lineRule="auto"/>
        <w:jc w:val="both"/>
        <w:rPr>
          <w:rFonts w:ascii="Arial" w:hAnsi="Arial" w:cs="Arial"/>
          <w:sz w:val="24"/>
          <w:szCs w:val="24"/>
        </w:rPr>
      </w:pPr>
    </w:p>
    <w:p w14:paraId="102C7CF9" w14:textId="77777777" w:rsidR="00E76057" w:rsidRDefault="00E76057" w:rsidP="00DF1287">
      <w:pPr>
        <w:spacing w:line="360" w:lineRule="auto"/>
        <w:jc w:val="both"/>
        <w:rPr>
          <w:rFonts w:ascii="Arial" w:hAnsi="Arial" w:cs="Arial"/>
          <w:sz w:val="24"/>
          <w:szCs w:val="24"/>
        </w:rPr>
      </w:pPr>
    </w:p>
    <w:p w14:paraId="7897665D" w14:textId="77777777" w:rsidR="00E76057" w:rsidRDefault="00E76057" w:rsidP="00DF1287">
      <w:pPr>
        <w:spacing w:line="360" w:lineRule="auto"/>
        <w:jc w:val="both"/>
        <w:rPr>
          <w:rFonts w:ascii="Arial" w:hAnsi="Arial" w:cs="Arial"/>
          <w:sz w:val="24"/>
          <w:szCs w:val="24"/>
        </w:rPr>
      </w:pPr>
    </w:p>
    <w:p w14:paraId="7F4CEB23" w14:textId="77777777" w:rsidR="00E76057" w:rsidRDefault="00E76057" w:rsidP="00DF1287">
      <w:pPr>
        <w:spacing w:line="360" w:lineRule="auto"/>
        <w:jc w:val="both"/>
        <w:rPr>
          <w:rFonts w:ascii="Arial" w:hAnsi="Arial" w:cs="Arial"/>
          <w:sz w:val="24"/>
          <w:szCs w:val="24"/>
        </w:rPr>
      </w:pPr>
    </w:p>
    <w:p w14:paraId="3960A140" w14:textId="77777777" w:rsidR="00E76057" w:rsidRDefault="00E76057" w:rsidP="00DF1287">
      <w:pPr>
        <w:spacing w:line="360" w:lineRule="auto"/>
        <w:jc w:val="both"/>
        <w:rPr>
          <w:rFonts w:ascii="Arial" w:hAnsi="Arial" w:cs="Arial"/>
          <w:sz w:val="24"/>
          <w:szCs w:val="24"/>
        </w:rPr>
      </w:pPr>
    </w:p>
    <w:p w14:paraId="4B53C789" w14:textId="77777777" w:rsidR="00E76057" w:rsidRDefault="00E76057" w:rsidP="00DF1287">
      <w:pPr>
        <w:spacing w:line="360" w:lineRule="auto"/>
        <w:jc w:val="both"/>
        <w:rPr>
          <w:rFonts w:ascii="Arial" w:hAnsi="Arial" w:cs="Arial"/>
          <w:sz w:val="24"/>
          <w:szCs w:val="24"/>
        </w:rPr>
      </w:pPr>
    </w:p>
    <w:p w14:paraId="6037A70B" w14:textId="77777777" w:rsidR="00E76057" w:rsidRDefault="00E76057" w:rsidP="00DF1287">
      <w:pPr>
        <w:spacing w:line="360" w:lineRule="auto"/>
        <w:jc w:val="both"/>
        <w:rPr>
          <w:rFonts w:ascii="Arial" w:hAnsi="Arial" w:cs="Arial"/>
          <w:sz w:val="24"/>
          <w:szCs w:val="24"/>
        </w:rPr>
      </w:pPr>
    </w:p>
    <w:p w14:paraId="5430A3EB" w14:textId="77777777" w:rsidR="00E76057" w:rsidRDefault="00E76057" w:rsidP="00DF1287">
      <w:pPr>
        <w:spacing w:line="360" w:lineRule="auto"/>
        <w:jc w:val="both"/>
        <w:rPr>
          <w:rFonts w:ascii="Arial" w:hAnsi="Arial" w:cs="Arial"/>
          <w:sz w:val="24"/>
          <w:szCs w:val="24"/>
        </w:rPr>
      </w:pPr>
    </w:p>
    <w:p w14:paraId="3E8C664C" w14:textId="77777777" w:rsidR="00E76057" w:rsidRDefault="00E76057" w:rsidP="00DF1287">
      <w:pPr>
        <w:spacing w:line="360" w:lineRule="auto"/>
        <w:jc w:val="both"/>
        <w:rPr>
          <w:rFonts w:ascii="Arial" w:hAnsi="Arial" w:cs="Arial"/>
          <w:sz w:val="24"/>
          <w:szCs w:val="24"/>
        </w:rPr>
      </w:pPr>
    </w:p>
    <w:p w14:paraId="68B275E3" w14:textId="77777777" w:rsidR="00E76057" w:rsidRDefault="00E76057" w:rsidP="00DF1287">
      <w:pPr>
        <w:spacing w:line="360" w:lineRule="auto"/>
        <w:jc w:val="both"/>
        <w:rPr>
          <w:rFonts w:ascii="Arial" w:hAnsi="Arial" w:cs="Arial"/>
          <w:sz w:val="24"/>
          <w:szCs w:val="24"/>
        </w:rPr>
      </w:pPr>
    </w:p>
    <w:p w14:paraId="3457AE0C" w14:textId="77777777" w:rsidR="00E76057" w:rsidRPr="00DF1287" w:rsidRDefault="00E76057" w:rsidP="00DF1287">
      <w:pPr>
        <w:spacing w:line="360" w:lineRule="auto"/>
        <w:jc w:val="both"/>
        <w:rPr>
          <w:rFonts w:ascii="Arial" w:hAnsi="Arial" w:cs="Arial"/>
          <w:sz w:val="24"/>
          <w:szCs w:val="24"/>
        </w:rPr>
      </w:pPr>
    </w:p>
    <w:p w14:paraId="1006C531" w14:textId="6C8FDA77" w:rsidR="00DF1287" w:rsidRPr="00E76057" w:rsidRDefault="00DF1287" w:rsidP="00E76057">
      <w:pPr>
        <w:pStyle w:val="Heading1"/>
        <w:rPr>
          <w:b/>
          <w:bCs/>
        </w:rPr>
      </w:pPr>
      <w:bookmarkStart w:id="8" w:name="_Toc225098721"/>
      <w:r w:rsidRPr="00E76057">
        <w:rPr>
          <w:b/>
          <w:bCs/>
        </w:rPr>
        <w:lastRenderedPageBreak/>
        <w:t>Behavioura</w:t>
      </w:r>
      <w:r w:rsidR="00AC6650">
        <w:rPr>
          <w:b/>
          <w:bCs/>
        </w:rPr>
        <w:t>l I</w:t>
      </w:r>
      <w:r w:rsidRPr="00E76057">
        <w:rPr>
          <w:b/>
          <w:bCs/>
        </w:rPr>
        <w:t xml:space="preserve">ssues </w:t>
      </w:r>
      <w:r w:rsidR="00E76057" w:rsidRPr="00E76057">
        <w:rPr>
          <w:b/>
          <w:bCs/>
        </w:rPr>
        <w:t xml:space="preserve">in </w:t>
      </w:r>
      <w:r w:rsidR="00AC6650">
        <w:rPr>
          <w:b/>
          <w:bCs/>
        </w:rPr>
        <w:t>B</w:t>
      </w:r>
      <w:r w:rsidR="00E76057" w:rsidRPr="00E76057">
        <w:rPr>
          <w:b/>
          <w:bCs/>
        </w:rPr>
        <w:t>udgeting</w:t>
      </w:r>
      <w:bookmarkEnd w:id="8"/>
      <w:r w:rsidR="00E76057" w:rsidRPr="00E76057">
        <w:rPr>
          <w:b/>
          <w:bCs/>
        </w:rPr>
        <w:t xml:space="preserve"> </w:t>
      </w:r>
    </w:p>
    <w:p w14:paraId="3F884303" w14:textId="77777777" w:rsidR="00E76057" w:rsidRPr="00E76057" w:rsidRDefault="00E76057" w:rsidP="00E76057"/>
    <w:p w14:paraId="6EC7A03F" w14:textId="02683ACE"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Budgeting is not only a technical process; it is also a behavioural one. This is a crucial point because even the most carefully prepared budget </w:t>
      </w:r>
      <w:r w:rsidR="00FE0D8F" w:rsidRPr="00DF1287">
        <w:rPr>
          <w:rFonts w:ascii="Arial" w:hAnsi="Arial" w:cs="Arial"/>
          <w:sz w:val="24"/>
          <w:szCs w:val="24"/>
        </w:rPr>
        <w:t>could</w:t>
      </w:r>
      <w:r w:rsidRPr="00DF1287">
        <w:rPr>
          <w:rFonts w:ascii="Arial" w:hAnsi="Arial" w:cs="Arial"/>
          <w:sz w:val="24"/>
          <w:szCs w:val="24"/>
        </w:rPr>
        <w:t xml:space="preserve"> fail if the people expected to use it see it as unfair, unrealistic or politically driven. Early work by Argyris (1952) showed that budgets can influence motivation, trust and workplace relationships, while later research confirmed that budgeting is shaped by power, incentives and organisational behaviour as much as by arithmetic (Otley, 1978; Covaleski et al., 2003). Silver Stitch’s case is likely to involve these pressures, especially where cash constraints, stock decisions and refurbishment choices affect different departments in different ways.</w:t>
      </w:r>
    </w:p>
    <w:p w14:paraId="7B5B7A9B" w14:textId="0DB38914"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One major behavioural risk is budgetary slack. Managers may deliberately underestimate revenue or overestimate costs </w:t>
      </w:r>
      <w:r w:rsidR="00FE0D8F" w:rsidRPr="00DF1287">
        <w:rPr>
          <w:rFonts w:ascii="Arial" w:hAnsi="Arial" w:cs="Arial"/>
          <w:sz w:val="24"/>
          <w:szCs w:val="24"/>
        </w:rPr>
        <w:t>to</w:t>
      </w:r>
      <w:r w:rsidRPr="00DF1287">
        <w:rPr>
          <w:rFonts w:ascii="Arial" w:hAnsi="Arial" w:cs="Arial"/>
          <w:sz w:val="24"/>
          <w:szCs w:val="24"/>
        </w:rPr>
        <w:t xml:space="preserve"> make targets easier to achieve. This can be individually rational, especially where appraisal or rewards depend on meeting budget, but it weakens the budget as a planning tool because the numbers become less informative (Merchant, 1985; Van der Stede, 2000). A second risk is short-termism. Managers under pressure to improve immediate results may delay maintenance, reduce staff development or avoid longer-term investment opportunities, even when those decisions weaken the business strategically (Hope and Fraser, 2003; Libby and Lindsay, 2010).</w:t>
      </w:r>
    </w:p>
    <w:p w14:paraId="7F7B97E5" w14:textId="77777777"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A third issue is demotivation. If budgets are seen as unrealistic or imposed without proper consultation, managers may disengage rather than commit to improvement. A fourth issue is interdepartmental conflict. Sales managers may want more stock, finance managers may want tighter liquidity, and operational managers may support refurbishment expenditure for commercial reasons. These tensions are common, but a poorly designed budgeting system can intensify them rather than coordinate them (Merchant and Van der Stede, 2017; Seal, Garrison and Noreen, 2018). For Silver Stitch, that means the budgeting process should be designed not just to set targets, but also to support communication, realism and cross-functional alignment.</w:t>
      </w:r>
    </w:p>
    <w:p w14:paraId="3CE0904B" w14:textId="77777777" w:rsidR="004E517E" w:rsidRDefault="004E517E" w:rsidP="00DF1287">
      <w:pPr>
        <w:spacing w:line="360" w:lineRule="auto"/>
        <w:jc w:val="both"/>
        <w:rPr>
          <w:rFonts w:ascii="Arial" w:hAnsi="Arial" w:cs="Arial"/>
          <w:sz w:val="24"/>
          <w:szCs w:val="24"/>
        </w:rPr>
      </w:pPr>
    </w:p>
    <w:p w14:paraId="3E842E4D" w14:textId="77777777" w:rsidR="00E76057" w:rsidRPr="00DF1287" w:rsidRDefault="00E76057" w:rsidP="00DF1287">
      <w:pPr>
        <w:spacing w:line="360" w:lineRule="auto"/>
        <w:jc w:val="both"/>
        <w:rPr>
          <w:rFonts w:ascii="Arial" w:hAnsi="Arial" w:cs="Arial"/>
          <w:sz w:val="24"/>
          <w:szCs w:val="24"/>
        </w:rPr>
      </w:pPr>
    </w:p>
    <w:p w14:paraId="437F3BAE" w14:textId="5D6582E7" w:rsidR="00DF1287" w:rsidRPr="00B756FA" w:rsidRDefault="00DF1287" w:rsidP="00B756FA">
      <w:pPr>
        <w:pStyle w:val="Heading1"/>
        <w:rPr>
          <w:b/>
          <w:bCs/>
        </w:rPr>
      </w:pPr>
      <w:bookmarkStart w:id="9" w:name="_Toc225098722"/>
      <w:r w:rsidRPr="00B756FA">
        <w:rPr>
          <w:b/>
          <w:bCs/>
        </w:rPr>
        <w:lastRenderedPageBreak/>
        <w:t xml:space="preserve">Critical </w:t>
      </w:r>
      <w:r w:rsidR="00CF3320">
        <w:rPr>
          <w:b/>
          <w:bCs/>
        </w:rPr>
        <w:t>E</w:t>
      </w:r>
      <w:r w:rsidRPr="00B756FA">
        <w:rPr>
          <w:b/>
          <w:bCs/>
        </w:rPr>
        <w:t xml:space="preserve">valuation of </w:t>
      </w:r>
      <w:r w:rsidR="00CF3320">
        <w:rPr>
          <w:b/>
          <w:bCs/>
        </w:rPr>
        <w:t>T</w:t>
      </w:r>
      <w:r w:rsidRPr="00B756FA">
        <w:rPr>
          <w:b/>
          <w:bCs/>
        </w:rPr>
        <w:t xml:space="preserve">raditional </w:t>
      </w:r>
      <w:r w:rsidR="00CF3320">
        <w:rPr>
          <w:b/>
          <w:bCs/>
        </w:rPr>
        <w:t>B</w:t>
      </w:r>
      <w:r w:rsidRPr="00B756FA">
        <w:rPr>
          <w:b/>
          <w:bCs/>
        </w:rPr>
        <w:t xml:space="preserve">udgeting in </w:t>
      </w:r>
      <w:r w:rsidR="00394323" w:rsidRPr="00B756FA">
        <w:rPr>
          <w:b/>
          <w:bCs/>
        </w:rPr>
        <w:t>a chan</w:t>
      </w:r>
      <w:r w:rsidR="00FB7C4D" w:rsidRPr="00B756FA">
        <w:rPr>
          <w:b/>
          <w:bCs/>
        </w:rPr>
        <w:t>g</w:t>
      </w:r>
      <w:r w:rsidR="00394323" w:rsidRPr="00B756FA">
        <w:rPr>
          <w:b/>
          <w:bCs/>
        </w:rPr>
        <w:t xml:space="preserve">ing </w:t>
      </w:r>
      <w:r w:rsidR="00CF3320">
        <w:rPr>
          <w:b/>
          <w:bCs/>
        </w:rPr>
        <w:t>B</w:t>
      </w:r>
      <w:r w:rsidR="00FB7C4D" w:rsidRPr="00B756FA">
        <w:rPr>
          <w:b/>
          <w:bCs/>
        </w:rPr>
        <w:t xml:space="preserve">usiness </w:t>
      </w:r>
      <w:r w:rsidR="00CF3320">
        <w:rPr>
          <w:b/>
          <w:bCs/>
        </w:rPr>
        <w:t>E</w:t>
      </w:r>
      <w:r w:rsidR="00FB7C4D" w:rsidRPr="00B756FA">
        <w:rPr>
          <w:b/>
          <w:bCs/>
        </w:rPr>
        <w:t>nvironment</w:t>
      </w:r>
      <w:bookmarkEnd w:id="9"/>
      <w:r w:rsidR="00FB7C4D" w:rsidRPr="00B756FA">
        <w:rPr>
          <w:b/>
          <w:bCs/>
        </w:rPr>
        <w:t xml:space="preserve"> </w:t>
      </w:r>
    </w:p>
    <w:p w14:paraId="09C22C5D" w14:textId="77777777" w:rsidR="004E517E" w:rsidRPr="00DF1287" w:rsidRDefault="004E517E" w:rsidP="00DF1287">
      <w:pPr>
        <w:spacing w:line="360" w:lineRule="auto"/>
        <w:jc w:val="both"/>
        <w:rPr>
          <w:rFonts w:ascii="Arial" w:hAnsi="Arial" w:cs="Arial"/>
          <w:sz w:val="24"/>
          <w:szCs w:val="24"/>
        </w:rPr>
      </w:pPr>
    </w:p>
    <w:p w14:paraId="0321560F"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Traditional budgeting, especially annual and incremental budgeting, remains common because it offers familiarity, discipline and a clear formal structure for planning and control (Garrison, Noreen and Brewer, 2021; Drury, 2021). In many organisations, it also provides reassurance to lenders and senior management because it creates defined financial targets and a visible system of accountability. This is relevant to Silver Stitch because the bank has imposed a specific liquidity requirement, and a formal budget is one way of demonstrating that management is responding to that pressure responsibly.</w:t>
      </w:r>
    </w:p>
    <w:p w14:paraId="30EF3ABE"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Even so, the limitations of traditional budgeting are well established. A major weakness is rigidity. Annual budgets are often fixed well in advance and then used as reference points even when trading conditions change. In volatile or fast-moving sectors, this can mean that budgets become outdated quickly and encourage managers to focus on stale assumptions rather than current realities (Ekholm and Wallin, 2000; Hansen, Otley and Van der Stede, 2003). In Silver Stitch’s case, this is particularly important because fashion retailing is affected by changes in customer demand, style preferences and seasonal sales patterns. A budget that is not updated regularly may therefore produce misleading signals.</w:t>
      </w:r>
    </w:p>
    <w:p w14:paraId="64AD54D4"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A second weakness is that traditional budgeting can become bureaucratic and time-consuming. Large amounts of managerial time may be spent negotiating numbers, defending departmental positions and preparing detailed plans that later need revising. Critics of traditional budgeting argue that this can reduce strategic agility and encourage internal politics rather than meaningful control (Hope and Fraser, 2003; Sivabalan et al., 2009). A third weakness is behavioural: when annual budgets are tightly linked to performance evaluation, they may encourage gaming, defensive reporting and an excessive focus on short-term target achievement (Covaleski et al., 2003; Libby and Lindsay, 2010).</w:t>
      </w:r>
    </w:p>
    <w:p w14:paraId="689C36A2"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That said, a fully critical discussion should not simply dismiss traditional budgeting. The more convincing argument is that annual budgets still have value, but they </w:t>
      </w:r>
      <w:r w:rsidRPr="00DF1287">
        <w:rPr>
          <w:rFonts w:ascii="Arial" w:hAnsi="Arial" w:cs="Arial"/>
          <w:sz w:val="24"/>
          <w:szCs w:val="24"/>
        </w:rPr>
        <w:lastRenderedPageBreak/>
        <w:t>should be supplemented by more adaptive approaches. Rolling forecasts, more frequent stock reviews and better use of management information can improve responsiveness without abandoning financial discipline altogether (Player, 2010; Hansen, Otley and Van der Stede, 2003). For Silver Stitch, the sensible conclusion is therefore not to reject budgeting, but to move beyond a purely static model toward a more dynamic planning system.</w:t>
      </w:r>
    </w:p>
    <w:p w14:paraId="398E6AFC" w14:textId="77777777" w:rsidR="00405C64" w:rsidRDefault="00405C64" w:rsidP="00DF1287">
      <w:pPr>
        <w:spacing w:line="360" w:lineRule="auto"/>
        <w:jc w:val="both"/>
        <w:rPr>
          <w:rFonts w:ascii="Arial" w:hAnsi="Arial" w:cs="Arial"/>
          <w:sz w:val="24"/>
          <w:szCs w:val="24"/>
        </w:rPr>
      </w:pPr>
    </w:p>
    <w:p w14:paraId="599B6131" w14:textId="77777777" w:rsidR="00B756FA" w:rsidRDefault="00B756FA" w:rsidP="00DF1287">
      <w:pPr>
        <w:spacing w:line="360" w:lineRule="auto"/>
        <w:jc w:val="both"/>
        <w:rPr>
          <w:rFonts w:ascii="Arial" w:hAnsi="Arial" w:cs="Arial"/>
          <w:sz w:val="24"/>
          <w:szCs w:val="24"/>
        </w:rPr>
      </w:pPr>
    </w:p>
    <w:p w14:paraId="6182B991" w14:textId="77777777" w:rsidR="00B756FA" w:rsidRDefault="00B756FA" w:rsidP="00DF1287">
      <w:pPr>
        <w:spacing w:line="360" w:lineRule="auto"/>
        <w:jc w:val="both"/>
        <w:rPr>
          <w:rFonts w:ascii="Arial" w:hAnsi="Arial" w:cs="Arial"/>
          <w:sz w:val="24"/>
          <w:szCs w:val="24"/>
        </w:rPr>
      </w:pPr>
    </w:p>
    <w:p w14:paraId="35479771" w14:textId="77777777" w:rsidR="00B756FA" w:rsidRDefault="00B756FA" w:rsidP="00DF1287">
      <w:pPr>
        <w:spacing w:line="360" w:lineRule="auto"/>
        <w:jc w:val="both"/>
        <w:rPr>
          <w:rFonts w:ascii="Arial" w:hAnsi="Arial" w:cs="Arial"/>
          <w:sz w:val="24"/>
          <w:szCs w:val="24"/>
        </w:rPr>
      </w:pPr>
    </w:p>
    <w:p w14:paraId="362B187D" w14:textId="77777777" w:rsidR="00B756FA" w:rsidRDefault="00B756FA" w:rsidP="00DF1287">
      <w:pPr>
        <w:spacing w:line="360" w:lineRule="auto"/>
        <w:jc w:val="both"/>
        <w:rPr>
          <w:rFonts w:ascii="Arial" w:hAnsi="Arial" w:cs="Arial"/>
          <w:sz w:val="24"/>
          <w:szCs w:val="24"/>
        </w:rPr>
      </w:pPr>
    </w:p>
    <w:p w14:paraId="6491F50F" w14:textId="77777777" w:rsidR="00B756FA" w:rsidRDefault="00B756FA" w:rsidP="00DF1287">
      <w:pPr>
        <w:spacing w:line="360" w:lineRule="auto"/>
        <w:jc w:val="both"/>
        <w:rPr>
          <w:rFonts w:ascii="Arial" w:hAnsi="Arial" w:cs="Arial"/>
          <w:sz w:val="24"/>
          <w:szCs w:val="24"/>
        </w:rPr>
      </w:pPr>
    </w:p>
    <w:p w14:paraId="35DD5FD7" w14:textId="77777777" w:rsidR="00B756FA" w:rsidRDefault="00B756FA" w:rsidP="00DF1287">
      <w:pPr>
        <w:spacing w:line="360" w:lineRule="auto"/>
        <w:jc w:val="both"/>
        <w:rPr>
          <w:rFonts w:ascii="Arial" w:hAnsi="Arial" w:cs="Arial"/>
          <w:sz w:val="24"/>
          <w:szCs w:val="24"/>
        </w:rPr>
      </w:pPr>
    </w:p>
    <w:p w14:paraId="474ACB1A" w14:textId="77777777" w:rsidR="00B756FA" w:rsidRDefault="00B756FA" w:rsidP="00DF1287">
      <w:pPr>
        <w:spacing w:line="360" w:lineRule="auto"/>
        <w:jc w:val="both"/>
        <w:rPr>
          <w:rFonts w:ascii="Arial" w:hAnsi="Arial" w:cs="Arial"/>
          <w:sz w:val="24"/>
          <w:szCs w:val="24"/>
        </w:rPr>
      </w:pPr>
    </w:p>
    <w:p w14:paraId="12E04B0A" w14:textId="77777777" w:rsidR="00B756FA" w:rsidRDefault="00B756FA" w:rsidP="00DF1287">
      <w:pPr>
        <w:spacing w:line="360" w:lineRule="auto"/>
        <w:jc w:val="both"/>
        <w:rPr>
          <w:rFonts w:ascii="Arial" w:hAnsi="Arial" w:cs="Arial"/>
          <w:sz w:val="24"/>
          <w:szCs w:val="24"/>
        </w:rPr>
      </w:pPr>
    </w:p>
    <w:p w14:paraId="6B4AD690" w14:textId="77777777" w:rsidR="00B756FA" w:rsidRDefault="00B756FA" w:rsidP="00DF1287">
      <w:pPr>
        <w:spacing w:line="360" w:lineRule="auto"/>
        <w:jc w:val="both"/>
        <w:rPr>
          <w:rFonts w:ascii="Arial" w:hAnsi="Arial" w:cs="Arial"/>
          <w:sz w:val="24"/>
          <w:szCs w:val="24"/>
        </w:rPr>
      </w:pPr>
    </w:p>
    <w:p w14:paraId="3E68BAB8" w14:textId="77777777" w:rsidR="00B756FA" w:rsidRDefault="00B756FA" w:rsidP="00DF1287">
      <w:pPr>
        <w:spacing w:line="360" w:lineRule="auto"/>
        <w:jc w:val="both"/>
        <w:rPr>
          <w:rFonts w:ascii="Arial" w:hAnsi="Arial" w:cs="Arial"/>
          <w:sz w:val="24"/>
          <w:szCs w:val="24"/>
        </w:rPr>
      </w:pPr>
    </w:p>
    <w:p w14:paraId="12169DFB" w14:textId="77777777" w:rsidR="00B756FA" w:rsidRDefault="00B756FA" w:rsidP="00DF1287">
      <w:pPr>
        <w:spacing w:line="360" w:lineRule="auto"/>
        <w:jc w:val="both"/>
        <w:rPr>
          <w:rFonts w:ascii="Arial" w:hAnsi="Arial" w:cs="Arial"/>
          <w:sz w:val="24"/>
          <w:szCs w:val="24"/>
        </w:rPr>
      </w:pPr>
    </w:p>
    <w:p w14:paraId="7CDD9B3A" w14:textId="77777777" w:rsidR="00B756FA" w:rsidRDefault="00B756FA" w:rsidP="00DF1287">
      <w:pPr>
        <w:spacing w:line="360" w:lineRule="auto"/>
        <w:jc w:val="both"/>
        <w:rPr>
          <w:rFonts w:ascii="Arial" w:hAnsi="Arial" w:cs="Arial"/>
          <w:sz w:val="24"/>
          <w:szCs w:val="24"/>
        </w:rPr>
      </w:pPr>
    </w:p>
    <w:p w14:paraId="746A3213" w14:textId="77777777" w:rsidR="00B756FA" w:rsidRDefault="00B756FA" w:rsidP="00DF1287">
      <w:pPr>
        <w:spacing w:line="360" w:lineRule="auto"/>
        <w:jc w:val="both"/>
        <w:rPr>
          <w:rFonts w:ascii="Arial" w:hAnsi="Arial" w:cs="Arial"/>
          <w:sz w:val="24"/>
          <w:szCs w:val="24"/>
        </w:rPr>
      </w:pPr>
    </w:p>
    <w:p w14:paraId="6337B874" w14:textId="77777777" w:rsidR="00B756FA" w:rsidRDefault="00B756FA" w:rsidP="00DF1287">
      <w:pPr>
        <w:spacing w:line="360" w:lineRule="auto"/>
        <w:jc w:val="both"/>
        <w:rPr>
          <w:rFonts w:ascii="Arial" w:hAnsi="Arial" w:cs="Arial"/>
          <w:sz w:val="24"/>
          <w:szCs w:val="24"/>
        </w:rPr>
      </w:pPr>
    </w:p>
    <w:p w14:paraId="44256EBE" w14:textId="77777777" w:rsidR="00B756FA" w:rsidRDefault="00B756FA" w:rsidP="00DF1287">
      <w:pPr>
        <w:spacing w:line="360" w:lineRule="auto"/>
        <w:jc w:val="both"/>
        <w:rPr>
          <w:rFonts w:ascii="Arial" w:hAnsi="Arial" w:cs="Arial"/>
          <w:sz w:val="24"/>
          <w:szCs w:val="24"/>
        </w:rPr>
      </w:pPr>
    </w:p>
    <w:p w14:paraId="516ED286" w14:textId="77777777" w:rsidR="00B756FA" w:rsidRDefault="00B756FA" w:rsidP="00DF1287">
      <w:pPr>
        <w:spacing w:line="360" w:lineRule="auto"/>
        <w:jc w:val="both"/>
        <w:rPr>
          <w:rFonts w:ascii="Arial" w:hAnsi="Arial" w:cs="Arial"/>
          <w:sz w:val="24"/>
          <w:szCs w:val="24"/>
        </w:rPr>
      </w:pPr>
    </w:p>
    <w:p w14:paraId="4B35786F" w14:textId="77777777" w:rsidR="00B756FA" w:rsidRDefault="00B756FA" w:rsidP="00DF1287">
      <w:pPr>
        <w:spacing w:line="360" w:lineRule="auto"/>
        <w:jc w:val="both"/>
        <w:rPr>
          <w:rFonts w:ascii="Arial" w:hAnsi="Arial" w:cs="Arial"/>
          <w:sz w:val="24"/>
          <w:szCs w:val="24"/>
        </w:rPr>
      </w:pPr>
    </w:p>
    <w:p w14:paraId="627CAFAC" w14:textId="77777777" w:rsidR="00B756FA" w:rsidRDefault="00B756FA" w:rsidP="00DF1287">
      <w:pPr>
        <w:spacing w:line="360" w:lineRule="auto"/>
        <w:jc w:val="both"/>
        <w:rPr>
          <w:rFonts w:ascii="Arial" w:hAnsi="Arial" w:cs="Arial"/>
          <w:sz w:val="24"/>
          <w:szCs w:val="24"/>
        </w:rPr>
      </w:pPr>
    </w:p>
    <w:p w14:paraId="2752B94F" w14:textId="77777777" w:rsidR="00B756FA" w:rsidRDefault="00B756FA" w:rsidP="00DF1287">
      <w:pPr>
        <w:spacing w:line="360" w:lineRule="auto"/>
        <w:jc w:val="both"/>
        <w:rPr>
          <w:rFonts w:ascii="Arial" w:hAnsi="Arial" w:cs="Arial"/>
          <w:sz w:val="24"/>
          <w:szCs w:val="24"/>
        </w:rPr>
      </w:pPr>
    </w:p>
    <w:p w14:paraId="4BE8DB17" w14:textId="649E7775" w:rsidR="00DF1287" w:rsidRPr="00F25449" w:rsidRDefault="0014114A" w:rsidP="00F25449">
      <w:pPr>
        <w:pStyle w:val="Heading1"/>
        <w:rPr>
          <w:b/>
          <w:bCs/>
        </w:rPr>
      </w:pPr>
      <w:bookmarkStart w:id="10" w:name="_Toc225098723"/>
      <w:r w:rsidRPr="00F25449">
        <w:rPr>
          <w:b/>
          <w:bCs/>
        </w:rPr>
        <w:lastRenderedPageBreak/>
        <w:t>Performance</w:t>
      </w:r>
      <w:r w:rsidR="00F25449" w:rsidRPr="00F25449">
        <w:rPr>
          <w:b/>
          <w:bCs/>
        </w:rPr>
        <w:t xml:space="preserve"> measurement, </w:t>
      </w:r>
      <w:r w:rsidR="00CF3320">
        <w:rPr>
          <w:b/>
          <w:bCs/>
        </w:rPr>
        <w:t>S</w:t>
      </w:r>
      <w:r w:rsidR="00F25449" w:rsidRPr="00F25449">
        <w:rPr>
          <w:b/>
          <w:bCs/>
        </w:rPr>
        <w:t xml:space="preserve">ustainability and </w:t>
      </w:r>
      <w:r w:rsidR="00CF3320">
        <w:rPr>
          <w:b/>
          <w:bCs/>
        </w:rPr>
        <w:t>S</w:t>
      </w:r>
      <w:r w:rsidR="00F25449" w:rsidRPr="00F25449">
        <w:rPr>
          <w:b/>
          <w:bCs/>
        </w:rPr>
        <w:t>trategic control</w:t>
      </w:r>
      <w:bookmarkEnd w:id="10"/>
    </w:p>
    <w:p w14:paraId="1191AC8E" w14:textId="77777777" w:rsidR="00B756FA" w:rsidRDefault="00B756FA" w:rsidP="00DF1287">
      <w:pPr>
        <w:spacing w:line="360" w:lineRule="auto"/>
        <w:jc w:val="both"/>
        <w:rPr>
          <w:rFonts w:ascii="Arial" w:hAnsi="Arial" w:cs="Arial"/>
          <w:sz w:val="24"/>
          <w:szCs w:val="24"/>
        </w:rPr>
      </w:pPr>
    </w:p>
    <w:p w14:paraId="6B9DA219" w14:textId="171EF1BC" w:rsidR="00405C64" w:rsidRPr="00DF1287" w:rsidRDefault="00405C64" w:rsidP="00DF1287">
      <w:pPr>
        <w:spacing w:line="360" w:lineRule="auto"/>
        <w:jc w:val="both"/>
        <w:rPr>
          <w:rFonts w:ascii="Arial" w:hAnsi="Arial" w:cs="Arial"/>
          <w:sz w:val="24"/>
          <w:szCs w:val="24"/>
        </w:rPr>
      </w:pPr>
      <w:r w:rsidRPr="00405C64">
        <w:rPr>
          <w:rFonts w:ascii="Arial" w:hAnsi="Arial" w:cs="Arial"/>
          <w:sz w:val="24"/>
          <w:szCs w:val="24"/>
        </w:rPr>
        <w:t>The forecast budgets demonstrate that effective managerial decision making depends on having timely and relevant information about revenues, costs, stock levels, liquidity and capital commitments, rather than relying on profit figures alone. In Silver Stitch’s case, the sales and gross profit forecasts suggest commercial viability, yet the stock and cash budgets reveal a more complex position in which inventory is rising sharply and liquidity remains fragile in the early months. This highlights an important management accounting issue: the usefulness of financial information depends not only on accuracy, but also on whether it helps managers evaluate the quality and timing of performance (Drury, 2021; Datar and Rajan, 2017). For this reason, financial monitoring should extend beyond the budget itself to include methods such as ratio analysis and KPI review. Indicators such as stock turnover, current ratio, gross margin and store productivity provide a more rounded basis for evaluating performance and allow management to judge whether financial targets are being achieved in a sustainable and operationally efficient way (Walsh, 2008; Kaplan and Norton, 1992; Otley, 1999).</w:t>
      </w:r>
    </w:p>
    <w:p w14:paraId="3F29CCF5" w14:textId="488A0F86"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A stronger budgeting system would also be supported by KPIs. Financial results remain important, but they do not give a complete picture of operational health. Performance measurement research has long argued that organisations need a wider mix of indicators covering customers, processes, people and longer-term value drivers (Kaplan and Norton, 1992; Otley, 1999). Your uploaded KPI slides reinforce this by explicitly stating that managers should not rely only on financial KPIs, but should also consider customer, operational, employee and CSR </w:t>
      </w:r>
      <w:r w:rsidR="00FE0D8F" w:rsidRPr="00DF1287">
        <w:rPr>
          <w:rFonts w:ascii="Arial" w:hAnsi="Arial" w:cs="Arial"/>
          <w:sz w:val="24"/>
          <w:szCs w:val="24"/>
        </w:rPr>
        <w:t>perspectives.</w:t>
      </w:r>
      <w:r w:rsidRPr="00DF1287">
        <w:rPr>
          <w:rFonts w:ascii="Arial" w:hAnsi="Arial" w:cs="Arial"/>
          <w:sz w:val="24"/>
          <w:szCs w:val="24"/>
        </w:rPr>
        <w:t xml:space="preserve"> For Silver Stitch, useful KPIs would include stock turnover, gross margin, current ratio, repeat customer rate, markdown rate, sales per store and staff turnover.</w:t>
      </w:r>
    </w:p>
    <w:p w14:paraId="41A8B768" w14:textId="6CC432E6"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 xml:space="preserve">The same broader perspective supports the inclusion of the 3Rs and sustainable finance. The sustainability slides link business decision making to reduce, reuse and recycle, as well as to the triple bottom line of profit, people and </w:t>
      </w:r>
      <w:r w:rsidR="00FE0D8F" w:rsidRPr="00DF1287">
        <w:rPr>
          <w:rFonts w:ascii="Arial" w:hAnsi="Arial" w:cs="Arial"/>
          <w:sz w:val="24"/>
          <w:szCs w:val="24"/>
        </w:rPr>
        <w:t>planet.</w:t>
      </w:r>
      <w:r w:rsidRPr="00DF1287">
        <w:rPr>
          <w:rFonts w:ascii="Arial" w:hAnsi="Arial" w:cs="Arial"/>
          <w:sz w:val="24"/>
          <w:szCs w:val="24"/>
        </w:rPr>
        <w:t xml:space="preserve"> In retail terms, reducing could involve lower over-ordering, less packaging and better energy use; reusing could include fixtures, packaging materials or repaired items; and recycling </w:t>
      </w:r>
      <w:r w:rsidRPr="00DF1287">
        <w:rPr>
          <w:rFonts w:ascii="Arial" w:hAnsi="Arial" w:cs="Arial"/>
          <w:sz w:val="24"/>
          <w:szCs w:val="24"/>
        </w:rPr>
        <w:lastRenderedPageBreak/>
        <w:t>could involve textile recovery or waste separation. These practices are not simply ethical gestures. They can improve resource efficiency and reduce avoidable cost (Elkington, 1997; Schaltegger and Burritt, 2018).</w:t>
      </w:r>
    </w:p>
    <w:p w14:paraId="0090F9E9" w14:textId="77777777"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Sustainable finance extends this argument by suggesting that investment decisions should be assessed not only in terms of short-term financial return, but also in terms of environmental and social impact, resilience and stakeholder value (Schoenmaker and Schramade, 2019; Bebbington and Larrinaga, 2014). For Silver Stitch, that means store refurbishment, sourcing and logistics choices could be evaluated on broader criteria such as energy efficiency, waste reduction and reputational impact. A critical limitation, however, is that sustainability indicators are often harder to quantify than traditional financial measures, so they should complement rather than replace core accounting controls (Gray, 2010; Unerman, Bebbington and O’Dwyer, 2018).</w:t>
      </w:r>
    </w:p>
    <w:p w14:paraId="3793E62F" w14:textId="77777777" w:rsidR="00576B61" w:rsidRDefault="00576B61" w:rsidP="00DF1287">
      <w:pPr>
        <w:spacing w:line="360" w:lineRule="auto"/>
        <w:jc w:val="both"/>
        <w:rPr>
          <w:rFonts w:ascii="Arial" w:hAnsi="Arial" w:cs="Arial"/>
          <w:sz w:val="24"/>
          <w:szCs w:val="24"/>
        </w:rPr>
      </w:pPr>
    </w:p>
    <w:p w14:paraId="52187939" w14:textId="77777777" w:rsidR="00576B61" w:rsidRDefault="00576B61" w:rsidP="00DF1287">
      <w:pPr>
        <w:spacing w:line="360" w:lineRule="auto"/>
        <w:jc w:val="both"/>
        <w:rPr>
          <w:rFonts w:ascii="Arial" w:hAnsi="Arial" w:cs="Arial"/>
          <w:sz w:val="24"/>
          <w:szCs w:val="24"/>
        </w:rPr>
      </w:pPr>
    </w:p>
    <w:p w14:paraId="0842B1D5" w14:textId="77777777" w:rsidR="00F25449" w:rsidRDefault="00F25449" w:rsidP="00DF1287">
      <w:pPr>
        <w:spacing w:line="360" w:lineRule="auto"/>
        <w:jc w:val="both"/>
        <w:rPr>
          <w:rFonts w:ascii="Arial" w:hAnsi="Arial" w:cs="Arial"/>
          <w:sz w:val="24"/>
          <w:szCs w:val="24"/>
        </w:rPr>
      </w:pPr>
    </w:p>
    <w:p w14:paraId="5FCA5A49" w14:textId="77777777" w:rsidR="00F25449" w:rsidRDefault="00F25449" w:rsidP="00DF1287">
      <w:pPr>
        <w:spacing w:line="360" w:lineRule="auto"/>
        <w:jc w:val="both"/>
        <w:rPr>
          <w:rFonts w:ascii="Arial" w:hAnsi="Arial" w:cs="Arial"/>
          <w:sz w:val="24"/>
          <w:szCs w:val="24"/>
        </w:rPr>
      </w:pPr>
    </w:p>
    <w:p w14:paraId="3ADFC02B" w14:textId="77777777" w:rsidR="00F25449" w:rsidRDefault="00F25449" w:rsidP="00DF1287">
      <w:pPr>
        <w:spacing w:line="360" w:lineRule="auto"/>
        <w:jc w:val="both"/>
        <w:rPr>
          <w:rFonts w:ascii="Arial" w:hAnsi="Arial" w:cs="Arial"/>
          <w:sz w:val="24"/>
          <w:szCs w:val="24"/>
        </w:rPr>
      </w:pPr>
    </w:p>
    <w:p w14:paraId="75A86274" w14:textId="77777777" w:rsidR="00F25449" w:rsidRDefault="00F25449" w:rsidP="00DF1287">
      <w:pPr>
        <w:spacing w:line="360" w:lineRule="auto"/>
        <w:jc w:val="both"/>
        <w:rPr>
          <w:rFonts w:ascii="Arial" w:hAnsi="Arial" w:cs="Arial"/>
          <w:sz w:val="24"/>
          <w:szCs w:val="24"/>
        </w:rPr>
      </w:pPr>
    </w:p>
    <w:p w14:paraId="47330E3C" w14:textId="77777777" w:rsidR="00F25449" w:rsidRDefault="00F25449" w:rsidP="00DF1287">
      <w:pPr>
        <w:spacing w:line="360" w:lineRule="auto"/>
        <w:jc w:val="both"/>
        <w:rPr>
          <w:rFonts w:ascii="Arial" w:hAnsi="Arial" w:cs="Arial"/>
          <w:sz w:val="24"/>
          <w:szCs w:val="24"/>
        </w:rPr>
      </w:pPr>
    </w:p>
    <w:p w14:paraId="381D1266" w14:textId="77777777" w:rsidR="00F25449" w:rsidRDefault="00F25449" w:rsidP="00DF1287">
      <w:pPr>
        <w:spacing w:line="360" w:lineRule="auto"/>
        <w:jc w:val="both"/>
        <w:rPr>
          <w:rFonts w:ascii="Arial" w:hAnsi="Arial" w:cs="Arial"/>
          <w:sz w:val="24"/>
          <w:szCs w:val="24"/>
        </w:rPr>
      </w:pPr>
    </w:p>
    <w:p w14:paraId="149EFE38" w14:textId="77777777" w:rsidR="00F25449" w:rsidRDefault="00F25449" w:rsidP="00DF1287">
      <w:pPr>
        <w:spacing w:line="360" w:lineRule="auto"/>
        <w:jc w:val="both"/>
        <w:rPr>
          <w:rFonts w:ascii="Arial" w:hAnsi="Arial" w:cs="Arial"/>
          <w:sz w:val="24"/>
          <w:szCs w:val="24"/>
        </w:rPr>
      </w:pPr>
    </w:p>
    <w:p w14:paraId="2A331517" w14:textId="77777777" w:rsidR="00F25449" w:rsidRDefault="00F25449" w:rsidP="00DF1287">
      <w:pPr>
        <w:spacing w:line="360" w:lineRule="auto"/>
        <w:jc w:val="both"/>
        <w:rPr>
          <w:rFonts w:ascii="Arial" w:hAnsi="Arial" w:cs="Arial"/>
          <w:sz w:val="24"/>
          <w:szCs w:val="24"/>
        </w:rPr>
      </w:pPr>
    </w:p>
    <w:p w14:paraId="5A247F8A" w14:textId="77777777" w:rsidR="00F25449" w:rsidRDefault="00F25449" w:rsidP="00DF1287">
      <w:pPr>
        <w:spacing w:line="360" w:lineRule="auto"/>
        <w:jc w:val="both"/>
        <w:rPr>
          <w:rFonts w:ascii="Arial" w:hAnsi="Arial" w:cs="Arial"/>
          <w:sz w:val="24"/>
          <w:szCs w:val="24"/>
        </w:rPr>
      </w:pPr>
    </w:p>
    <w:p w14:paraId="6C4A67CE" w14:textId="77777777" w:rsidR="00F25449" w:rsidRDefault="00F25449" w:rsidP="00DF1287">
      <w:pPr>
        <w:spacing w:line="360" w:lineRule="auto"/>
        <w:jc w:val="both"/>
        <w:rPr>
          <w:rFonts w:ascii="Arial" w:hAnsi="Arial" w:cs="Arial"/>
          <w:sz w:val="24"/>
          <w:szCs w:val="24"/>
        </w:rPr>
      </w:pPr>
    </w:p>
    <w:p w14:paraId="4777B6DF" w14:textId="77777777" w:rsidR="00F25449" w:rsidRDefault="00F25449" w:rsidP="00DF1287">
      <w:pPr>
        <w:spacing w:line="360" w:lineRule="auto"/>
        <w:jc w:val="both"/>
        <w:rPr>
          <w:rFonts w:ascii="Arial" w:hAnsi="Arial" w:cs="Arial"/>
          <w:sz w:val="24"/>
          <w:szCs w:val="24"/>
        </w:rPr>
      </w:pPr>
    </w:p>
    <w:p w14:paraId="1EBE35E8" w14:textId="77777777" w:rsidR="00F25449" w:rsidRDefault="00F25449" w:rsidP="00DF1287">
      <w:pPr>
        <w:spacing w:line="360" w:lineRule="auto"/>
        <w:jc w:val="both"/>
        <w:rPr>
          <w:rFonts w:ascii="Arial" w:hAnsi="Arial" w:cs="Arial"/>
          <w:sz w:val="24"/>
          <w:szCs w:val="24"/>
        </w:rPr>
      </w:pPr>
    </w:p>
    <w:p w14:paraId="26F74932" w14:textId="77777777" w:rsidR="00F25449" w:rsidRPr="00DF1287" w:rsidRDefault="00F25449" w:rsidP="00DF1287">
      <w:pPr>
        <w:spacing w:line="360" w:lineRule="auto"/>
        <w:jc w:val="both"/>
        <w:rPr>
          <w:rFonts w:ascii="Arial" w:hAnsi="Arial" w:cs="Arial"/>
          <w:sz w:val="24"/>
          <w:szCs w:val="24"/>
        </w:rPr>
      </w:pPr>
    </w:p>
    <w:p w14:paraId="54D00D0D" w14:textId="4287B8C2" w:rsidR="00DF1287" w:rsidRPr="00153157" w:rsidRDefault="00DF1287" w:rsidP="00153157">
      <w:pPr>
        <w:pStyle w:val="Heading1"/>
        <w:rPr>
          <w:b/>
          <w:bCs/>
        </w:rPr>
      </w:pPr>
      <w:bookmarkStart w:id="11" w:name="_Toc225098724"/>
      <w:r w:rsidRPr="00153157">
        <w:rPr>
          <w:b/>
          <w:bCs/>
        </w:rPr>
        <w:lastRenderedPageBreak/>
        <w:t>Friedman vs Freeman</w:t>
      </w:r>
      <w:r w:rsidR="0060102B" w:rsidRPr="00153157">
        <w:rPr>
          <w:b/>
          <w:bCs/>
        </w:rPr>
        <w:t xml:space="preserve">: </w:t>
      </w:r>
      <w:r w:rsidR="00153157" w:rsidRPr="00153157">
        <w:rPr>
          <w:b/>
          <w:bCs/>
        </w:rPr>
        <w:t>competing view of business purpose</w:t>
      </w:r>
      <w:bookmarkEnd w:id="11"/>
    </w:p>
    <w:p w14:paraId="02D9CEEB" w14:textId="77777777" w:rsidR="004E517E" w:rsidRPr="00DF1287" w:rsidRDefault="004E517E" w:rsidP="00DF1287">
      <w:pPr>
        <w:spacing w:line="360" w:lineRule="auto"/>
        <w:jc w:val="both"/>
        <w:rPr>
          <w:rFonts w:ascii="Arial" w:hAnsi="Arial" w:cs="Arial"/>
          <w:sz w:val="24"/>
          <w:szCs w:val="24"/>
        </w:rPr>
      </w:pPr>
    </w:p>
    <w:p w14:paraId="4C918869" w14:textId="598E876B"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The Friedman</w:t>
      </w:r>
      <w:r w:rsidR="00390C45">
        <w:rPr>
          <w:rFonts w:ascii="Arial" w:hAnsi="Arial" w:cs="Arial"/>
          <w:sz w:val="24"/>
          <w:szCs w:val="24"/>
        </w:rPr>
        <w:t xml:space="preserve"> vs </w:t>
      </w:r>
      <w:r w:rsidRPr="00DF1287">
        <w:rPr>
          <w:rFonts w:ascii="Arial" w:hAnsi="Arial" w:cs="Arial"/>
          <w:sz w:val="24"/>
          <w:szCs w:val="24"/>
        </w:rPr>
        <w:t>Freeman debate helps frame the wider meaning of budgeting in this case. Friedman (1970) argued that the social responsibility of business is to increase profits, provided it stays within the rules of the game. Applied to Silver Stitch, that perspective would place primary emphasis on removing the overdraft, protecting shareholder value and ensuring that resources are allocated efficiently. On this view, budgeting is mainly a financial control mechanism. Sustainability or stakeholder concerns would matter only to the extent that they support profitability and reduce risk (Brealey, Myers and Allen, 2020; Brigham and Ehrhardt, 2019).</w:t>
      </w:r>
    </w:p>
    <w:p w14:paraId="062AFD8A"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Freeman (1984), by contrast, argues that firms create value for a wider group of stakeholders, including employees, customers, suppliers and communities. From that perspective, budgeting should not be judged solely by whether it improves short-term cash balances. It should also be judged by whether it supports healthy supplier relationships, sensible stock decisions, employee stability, customer experience and longer-term resilience (Porter and Kramer, 2011; Hart and Milstein, 2003). This view fits more naturally with KPI-based control, the 3Rs and sustainable finance, because it broadens the basis on which performance is assessed.</w:t>
      </w:r>
    </w:p>
    <w:p w14:paraId="3A4D3EFF" w14:textId="77777777" w:rsidR="00DF1287" w:rsidRDefault="00DF1287" w:rsidP="00DF1287">
      <w:pPr>
        <w:spacing w:line="360" w:lineRule="auto"/>
        <w:jc w:val="both"/>
        <w:rPr>
          <w:rFonts w:ascii="Arial" w:hAnsi="Arial" w:cs="Arial"/>
          <w:sz w:val="24"/>
          <w:szCs w:val="24"/>
        </w:rPr>
      </w:pPr>
      <w:r w:rsidRPr="00DF1287">
        <w:rPr>
          <w:rFonts w:ascii="Arial" w:hAnsi="Arial" w:cs="Arial"/>
          <w:sz w:val="24"/>
          <w:szCs w:val="24"/>
        </w:rPr>
        <w:t>A critical reading suggests that neither perspective is sufficient on its own. Friedman’s view captures the importance of financial discipline, which is clearly relevant where a bank is imposing a deadline. However, taken alone, it risks encouraging a narrow focus on year-end numbers. Freeman’s stakeholder view is better suited to a modern performance framework, but it still depends on the business remaining financially viable. The strongest conclusion is therefore a balanced one: Silver Stitch needs the financial discipline associated with shareholder value, but it also needs the broader strategic perspective of stakeholder theory if budgeting is to support long-term value creation rather than short-term compliance alone (Friedman, 1970; Freeman, 1984; Schoenmaker and Schramade, 2019).</w:t>
      </w:r>
    </w:p>
    <w:p w14:paraId="0113EDE9" w14:textId="77777777" w:rsidR="00390C45" w:rsidRDefault="00390C45" w:rsidP="00DF1287">
      <w:pPr>
        <w:spacing w:line="360" w:lineRule="auto"/>
        <w:jc w:val="both"/>
        <w:rPr>
          <w:rFonts w:ascii="Arial" w:hAnsi="Arial" w:cs="Arial"/>
          <w:sz w:val="24"/>
          <w:szCs w:val="24"/>
        </w:rPr>
      </w:pPr>
    </w:p>
    <w:p w14:paraId="28067ACB" w14:textId="77777777" w:rsidR="00390C45" w:rsidRPr="00DF1287" w:rsidRDefault="00390C45" w:rsidP="00DF1287">
      <w:pPr>
        <w:spacing w:line="360" w:lineRule="auto"/>
        <w:jc w:val="both"/>
        <w:rPr>
          <w:rFonts w:ascii="Arial" w:hAnsi="Arial" w:cs="Arial"/>
          <w:sz w:val="24"/>
          <w:szCs w:val="24"/>
        </w:rPr>
      </w:pPr>
    </w:p>
    <w:p w14:paraId="40768864" w14:textId="1BA1957D" w:rsidR="00DF1287" w:rsidRPr="00153157" w:rsidRDefault="00DF1287" w:rsidP="00153157">
      <w:pPr>
        <w:pStyle w:val="Heading1"/>
        <w:rPr>
          <w:b/>
          <w:bCs/>
        </w:rPr>
      </w:pPr>
      <w:bookmarkStart w:id="12" w:name="_Toc225098725"/>
      <w:r w:rsidRPr="00153157">
        <w:rPr>
          <w:b/>
          <w:bCs/>
        </w:rPr>
        <w:lastRenderedPageBreak/>
        <w:t>Conclusion</w:t>
      </w:r>
      <w:bookmarkEnd w:id="12"/>
    </w:p>
    <w:p w14:paraId="7F212109" w14:textId="77777777" w:rsidR="00F25449" w:rsidRDefault="00F25449" w:rsidP="00F25449"/>
    <w:p w14:paraId="759AB552" w14:textId="77777777" w:rsidR="00F25449" w:rsidRPr="00F25449" w:rsidRDefault="00F25449" w:rsidP="00F25449"/>
    <w:p w14:paraId="1E5B304F"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Overall, the forecast budgets suggest that Silver Stitch should be able to remove its overdraft before the end of December, which means the immediate requirement of the bank is likely to be met. However, this is only one part of the picture. The wider analysis points to substantial growth in inventory, weak early-month liquidity and questionable timing of refurbishment expenditure. These issues suggest that the company’s planning is not failing outright, but it is not especially efficient either. In particular, the contrast between positive projected cash by December and large stock accumulation shows why managers should not rely on one headline number when evaluating business performance (Drury, 2021; Walsh, 2008).</w:t>
      </w:r>
    </w:p>
    <w:p w14:paraId="2B590138" w14:textId="77777777" w:rsidR="00DF1287" w:rsidRPr="00DF1287" w:rsidRDefault="00DF1287" w:rsidP="00DF1287">
      <w:pPr>
        <w:spacing w:line="360" w:lineRule="auto"/>
        <w:jc w:val="both"/>
        <w:rPr>
          <w:rFonts w:ascii="Arial" w:hAnsi="Arial" w:cs="Arial"/>
          <w:sz w:val="24"/>
          <w:szCs w:val="24"/>
        </w:rPr>
      </w:pPr>
      <w:r w:rsidRPr="00DF1287">
        <w:rPr>
          <w:rFonts w:ascii="Arial" w:hAnsi="Arial" w:cs="Arial"/>
          <w:sz w:val="24"/>
          <w:szCs w:val="24"/>
        </w:rPr>
        <w:t>The broader discussion also shows that budgeting is most effective when supported by clear objectives, timely information, participation, responsibility accounting and realistic behavioural expectations. Traditional budgeting still offers value in terms of coordination and control, but on its own it can be too rigid, too backward-looking and too vulnerable to dysfunctional behaviour in a fast-changing environment (Hansen, Otley and Van der Stede, 2003; Libby and Lindsay, 2010). Silver Stitch would therefore benefit from a more adaptive budgeting approach supported by KPIs, rolling review and sustainability-aware decision making. In that sense, the most effective budget is not simply the one that eliminates an overdraft, but the one that improves the quality of managerial decisions across the business.</w:t>
      </w:r>
    </w:p>
    <w:p w14:paraId="083B9FFB" w14:textId="77777777" w:rsidR="00A818DF" w:rsidRDefault="00A818DF" w:rsidP="009E3A29">
      <w:pPr>
        <w:spacing w:line="360" w:lineRule="auto"/>
        <w:jc w:val="both"/>
        <w:rPr>
          <w:rFonts w:ascii="Arial" w:hAnsi="Arial" w:cs="Arial"/>
          <w:b/>
          <w:bCs/>
          <w:sz w:val="24"/>
          <w:szCs w:val="24"/>
        </w:rPr>
      </w:pPr>
    </w:p>
    <w:p w14:paraId="0F5239A6" w14:textId="77777777" w:rsidR="00A818DF" w:rsidRDefault="00A818DF" w:rsidP="009E3A29">
      <w:pPr>
        <w:spacing w:line="360" w:lineRule="auto"/>
        <w:jc w:val="both"/>
        <w:rPr>
          <w:rFonts w:ascii="Arial" w:hAnsi="Arial" w:cs="Arial"/>
          <w:b/>
          <w:bCs/>
          <w:sz w:val="24"/>
          <w:szCs w:val="24"/>
        </w:rPr>
      </w:pPr>
    </w:p>
    <w:p w14:paraId="4FD3A07B" w14:textId="77777777" w:rsidR="00A818DF" w:rsidRDefault="00A818DF" w:rsidP="009E3A29">
      <w:pPr>
        <w:spacing w:line="360" w:lineRule="auto"/>
        <w:jc w:val="both"/>
        <w:rPr>
          <w:rFonts w:ascii="Arial" w:hAnsi="Arial" w:cs="Arial"/>
          <w:b/>
          <w:bCs/>
          <w:sz w:val="24"/>
          <w:szCs w:val="24"/>
        </w:rPr>
      </w:pPr>
    </w:p>
    <w:p w14:paraId="6568237C" w14:textId="77777777" w:rsidR="00A818DF" w:rsidRDefault="00A818DF" w:rsidP="009E3A29">
      <w:pPr>
        <w:spacing w:line="360" w:lineRule="auto"/>
        <w:jc w:val="both"/>
        <w:rPr>
          <w:rFonts w:ascii="Arial" w:hAnsi="Arial" w:cs="Arial"/>
          <w:b/>
          <w:bCs/>
          <w:sz w:val="24"/>
          <w:szCs w:val="24"/>
        </w:rPr>
      </w:pPr>
    </w:p>
    <w:p w14:paraId="43144740" w14:textId="77777777" w:rsidR="00A818DF" w:rsidRDefault="00A818DF" w:rsidP="009E3A29">
      <w:pPr>
        <w:spacing w:line="360" w:lineRule="auto"/>
        <w:jc w:val="both"/>
        <w:rPr>
          <w:rFonts w:ascii="Arial" w:hAnsi="Arial" w:cs="Arial"/>
          <w:b/>
          <w:bCs/>
          <w:sz w:val="24"/>
          <w:szCs w:val="24"/>
        </w:rPr>
      </w:pPr>
    </w:p>
    <w:p w14:paraId="3D2FCB74" w14:textId="77777777" w:rsidR="00770DA2" w:rsidRDefault="00770DA2" w:rsidP="009E3A29">
      <w:pPr>
        <w:spacing w:line="360" w:lineRule="auto"/>
        <w:jc w:val="both"/>
        <w:rPr>
          <w:rFonts w:ascii="Arial" w:hAnsi="Arial" w:cs="Arial"/>
          <w:b/>
          <w:bCs/>
          <w:sz w:val="24"/>
          <w:szCs w:val="24"/>
        </w:rPr>
      </w:pPr>
    </w:p>
    <w:p w14:paraId="7FC395D1" w14:textId="77777777" w:rsidR="00770DA2" w:rsidRDefault="00770DA2" w:rsidP="009E3A29">
      <w:pPr>
        <w:spacing w:line="360" w:lineRule="auto"/>
        <w:jc w:val="both"/>
        <w:rPr>
          <w:rFonts w:ascii="Arial" w:hAnsi="Arial" w:cs="Arial"/>
          <w:b/>
          <w:bCs/>
          <w:sz w:val="24"/>
          <w:szCs w:val="24"/>
        </w:rPr>
      </w:pPr>
    </w:p>
    <w:p w14:paraId="35D0081F" w14:textId="33A069E2" w:rsidR="009E3A29" w:rsidRDefault="00B17231" w:rsidP="00153157">
      <w:pPr>
        <w:pStyle w:val="Heading1"/>
        <w:rPr>
          <w:b/>
          <w:bCs/>
        </w:rPr>
      </w:pPr>
      <w:bookmarkStart w:id="13" w:name="_Toc225098726"/>
      <w:r w:rsidRPr="00153157">
        <w:rPr>
          <w:b/>
          <w:bCs/>
        </w:rPr>
        <w:lastRenderedPageBreak/>
        <w:t>Reference list</w:t>
      </w:r>
      <w:r w:rsidR="00770DA2" w:rsidRPr="00153157">
        <w:rPr>
          <w:b/>
          <w:bCs/>
        </w:rPr>
        <w:t>:</w:t>
      </w:r>
      <w:bookmarkEnd w:id="13"/>
    </w:p>
    <w:p w14:paraId="7B802911" w14:textId="77777777" w:rsidR="00153157" w:rsidRPr="00153157" w:rsidRDefault="00153157" w:rsidP="00153157"/>
    <w:p w14:paraId="02B951DF"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Anthony, R.N., Govindarajan, V., Hartmann, F.G.H., Kraus, K. and Nilsson, G. (2014) </w:t>
      </w:r>
      <w:r w:rsidRPr="00AB4738">
        <w:rPr>
          <w:rFonts w:ascii="Arial" w:hAnsi="Arial" w:cs="Arial"/>
          <w:i/>
          <w:iCs/>
          <w:sz w:val="24"/>
          <w:szCs w:val="24"/>
        </w:rPr>
        <w:t>Management Control Systems</w:t>
      </w:r>
      <w:r w:rsidRPr="00AB4738">
        <w:rPr>
          <w:rFonts w:ascii="Arial" w:hAnsi="Arial" w:cs="Arial"/>
          <w:sz w:val="24"/>
          <w:szCs w:val="24"/>
        </w:rPr>
        <w:t>. 1st European edn. Maidenhead: McGraw-Hill.</w:t>
      </w:r>
    </w:p>
    <w:p w14:paraId="1A868D83"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Argyris, C. (1952) </w:t>
      </w:r>
      <w:r w:rsidRPr="00AB4738">
        <w:rPr>
          <w:rFonts w:ascii="Arial" w:hAnsi="Arial" w:cs="Arial"/>
          <w:i/>
          <w:iCs/>
          <w:sz w:val="24"/>
          <w:szCs w:val="24"/>
        </w:rPr>
        <w:t>The Impact of Budgets on People</w:t>
      </w:r>
      <w:r w:rsidRPr="00AB4738">
        <w:rPr>
          <w:rFonts w:ascii="Arial" w:hAnsi="Arial" w:cs="Arial"/>
          <w:sz w:val="24"/>
          <w:szCs w:val="24"/>
        </w:rPr>
        <w:t>. New York: Controllership Foundation.</w:t>
      </w:r>
    </w:p>
    <w:p w14:paraId="36EFA89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Arnold, G. (2019) </w:t>
      </w:r>
      <w:r w:rsidRPr="00AB4738">
        <w:rPr>
          <w:rFonts w:ascii="Arial" w:hAnsi="Arial" w:cs="Arial"/>
          <w:i/>
          <w:iCs/>
          <w:sz w:val="24"/>
          <w:szCs w:val="24"/>
        </w:rPr>
        <w:t>Corporate Financial Management</w:t>
      </w:r>
      <w:r w:rsidRPr="00AB4738">
        <w:rPr>
          <w:rFonts w:ascii="Arial" w:hAnsi="Arial" w:cs="Arial"/>
          <w:sz w:val="24"/>
          <w:szCs w:val="24"/>
        </w:rPr>
        <w:t>. 6th edn. Harlow: Pearson.</w:t>
      </w:r>
    </w:p>
    <w:p w14:paraId="23239D1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Atrill, P. and McLaney, E. (2018) </w:t>
      </w:r>
      <w:r w:rsidRPr="00AB4738">
        <w:rPr>
          <w:rFonts w:ascii="Arial" w:hAnsi="Arial" w:cs="Arial"/>
          <w:i/>
          <w:iCs/>
          <w:sz w:val="24"/>
          <w:szCs w:val="24"/>
        </w:rPr>
        <w:t>Accounting and Finance for Non-Specialists</w:t>
      </w:r>
      <w:r w:rsidRPr="00AB4738">
        <w:rPr>
          <w:rFonts w:ascii="Arial" w:hAnsi="Arial" w:cs="Arial"/>
          <w:sz w:val="24"/>
          <w:szCs w:val="24"/>
        </w:rPr>
        <w:t>. 11th edn. Harlow: Pearson.</w:t>
      </w:r>
    </w:p>
    <w:p w14:paraId="284D8AD1"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Atrill, P. and McLaney, E. (2021) </w:t>
      </w:r>
      <w:r w:rsidRPr="00AB4738">
        <w:rPr>
          <w:rFonts w:ascii="Arial" w:hAnsi="Arial" w:cs="Arial"/>
          <w:i/>
          <w:iCs/>
          <w:sz w:val="24"/>
          <w:szCs w:val="24"/>
        </w:rPr>
        <w:t>Management Accounting for Decision Makers</w:t>
      </w:r>
      <w:r w:rsidRPr="00AB4738">
        <w:rPr>
          <w:rFonts w:ascii="Arial" w:hAnsi="Arial" w:cs="Arial"/>
          <w:sz w:val="24"/>
          <w:szCs w:val="24"/>
        </w:rPr>
        <w:t>. 10th edn. Harlow: Pearson.</w:t>
      </w:r>
    </w:p>
    <w:p w14:paraId="41D32E25"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Bebbington, J. and Larrinaga, C. (2014) ‘Accounting and sustainable development’, </w:t>
      </w:r>
      <w:r w:rsidRPr="00AB4738">
        <w:rPr>
          <w:rFonts w:ascii="Arial" w:hAnsi="Arial" w:cs="Arial"/>
          <w:i/>
          <w:iCs/>
          <w:sz w:val="24"/>
          <w:szCs w:val="24"/>
        </w:rPr>
        <w:t>Accounting, Organizations and Society</w:t>
      </w:r>
      <w:r w:rsidRPr="00AB4738">
        <w:rPr>
          <w:rFonts w:ascii="Arial" w:hAnsi="Arial" w:cs="Arial"/>
          <w:sz w:val="24"/>
          <w:szCs w:val="24"/>
        </w:rPr>
        <w:t>, 39(6), pp. 395–413.</w:t>
      </w:r>
    </w:p>
    <w:p w14:paraId="5D9E2073"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Becker, S.D., Mahlendorf, M.D., Schäffer, U. and Thaten, M. (2016) ‘Budgeting in times of economic crisis’, </w:t>
      </w:r>
      <w:r w:rsidRPr="00AB4738">
        <w:rPr>
          <w:rFonts w:ascii="Arial" w:hAnsi="Arial" w:cs="Arial"/>
          <w:i/>
          <w:iCs/>
          <w:sz w:val="24"/>
          <w:szCs w:val="24"/>
        </w:rPr>
        <w:t>Contemporary Accounting Research</w:t>
      </w:r>
      <w:r w:rsidRPr="00AB4738">
        <w:rPr>
          <w:rFonts w:ascii="Arial" w:hAnsi="Arial" w:cs="Arial"/>
          <w:sz w:val="24"/>
          <w:szCs w:val="24"/>
        </w:rPr>
        <w:t>, 33(4), pp. 1489–1517.</w:t>
      </w:r>
    </w:p>
    <w:p w14:paraId="164FC1E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Brealey, R.A., Myers, S.C. and Allen, F. (2020) </w:t>
      </w:r>
      <w:r w:rsidRPr="00AB4738">
        <w:rPr>
          <w:rFonts w:ascii="Arial" w:hAnsi="Arial" w:cs="Arial"/>
          <w:i/>
          <w:iCs/>
          <w:sz w:val="24"/>
          <w:szCs w:val="24"/>
        </w:rPr>
        <w:t>Principles of Corporate Finance</w:t>
      </w:r>
      <w:r w:rsidRPr="00AB4738">
        <w:rPr>
          <w:rFonts w:ascii="Arial" w:hAnsi="Arial" w:cs="Arial"/>
          <w:sz w:val="24"/>
          <w:szCs w:val="24"/>
        </w:rPr>
        <w:t>. 13th edn. New York: McGraw-Hill.</w:t>
      </w:r>
    </w:p>
    <w:p w14:paraId="0CCEAAD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Brigham, E.F. and Ehrhardt, M.C. (2019) </w:t>
      </w:r>
      <w:r w:rsidRPr="00AB4738">
        <w:rPr>
          <w:rFonts w:ascii="Arial" w:hAnsi="Arial" w:cs="Arial"/>
          <w:i/>
          <w:iCs/>
          <w:sz w:val="24"/>
          <w:szCs w:val="24"/>
        </w:rPr>
        <w:t>Financial Management: Theory &amp; Practice</w:t>
      </w:r>
      <w:r w:rsidRPr="00AB4738">
        <w:rPr>
          <w:rFonts w:ascii="Arial" w:hAnsi="Arial" w:cs="Arial"/>
          <w:sz w:val="24"/>
          <w:szCs w:val="24"/>
        </w:rPr>
        <w:t>. 16th edn. Boston: Cengage.</w:t>
      </w:r>
    </w:p>
    <w:p w14:paraId="6F7DA1FF"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Christopher, M. (2016) </w:t>
      </w:r>
      <w:r w:rsidRPr="00AB4738">
        <w:rPr>
          <w:rFonts w:ascii="Arial" w:hAnsi="Arial" w:cs="Arial"/>
          <w:i/>
          <w:iCs/>
          <w:sz w:val="24"/>
          <w:szCs w:val="24"/>
        </w:rPr>
        <w:t>Logistics &amp; Supply Chain Management</w:t>
      </w:r>
      <w:r w:rsidRPr="00AB4738">
        <w:rPr>
          <w:rFonts w:ascii="Arial" w:hAnsi="Arial" w:cs="Arial"/>
          <w:sz w:val="24"/>
          <w:szCs w:val="24"/>
        </w:rPr>
        <w:t>. 5th edn. Harlow: Pearson.</w:t>
      </w:r>
    </w:p>
    <w:p w14:paraId="41BC98F1"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Covaleski, M.A., Evans, J.H., Luft, J.L. and Shields, M.D. (2003) ‘Budgeting research: three theoretical perspectives and criteria for selective integration’, </w:t>
      </w:r>
      <w:r w:rsidRPr="00AB4738">
        <w:rPr>
          <w:rFonts w:ascii="Arial" w:hAnsi="Arial" w:cs="Arial"/>
          <w:i/>
          <w:iCs/>
          <w:sz w:val="24"/>
          <w:szCs w:val="24"/>
        </w:rPr>
        <w:t>Journal of Management Accounting Research</w:t>
      </w:r>
      <w:r w:rsidRPr="00AB4738">
        <w:rPr>
          <w:rFonts w:ascii="Arial" w:hAnsi="Arial" w:cs="Arial"/>
          <w:sz w:val="24"/>
          <w:szCs w:val="24"/>
        </w:rPr>
        <w:t>, 15(1), pp. 3–49.</w:t>
      </w:r>
    </w:p>
    <w:p w14:paraId="7B441F34"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Datar, S.M. and Rajan, M.V. (2017) </w:t>
      </w:r>
      <w:r w:rsidRPr="00AB4738">
        <w:rPr>
          <w:rFonts w:ascii="Arial" w:hAnsi="Arial" w:cs="Arial"/>
          <w:i/>
          <w:iCs/>
          <w:sz w:val="24"/>
          <w:szCs w:val="24"/>
        </w:rPr>
        <w:t>Horngren’s Cost Accounting: A Managerial Emphasis</w:t>
      </w:r>
      <w:r w:rsidRPr="00AB4738">
        <w:rPr>
          <w:rFonts w:ascii="Arial" w:hAnsi="Arial" w:cs="Arial"/>
          <w:sz w:val="24"/>
          <w:szCs w:val="24"/>
        </w:rPr>
        <w:t>. Global edn. London: Pearson.</w:t>
      </w:r>
    </w:p>
    <w:p w14:paraId="7F6DFCEE"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Drury, C. (2021) </w:t>
      </w:r>
      <w:r w:rsidRPr="00AB4738">
        <w:rPr>
          <w:rFonts w:ascii="Arial" w:hAnsi="Arial" w:cs="Arial"/>
          <w:i/>
          <w:iCs/>
          <w:sz w:val="24"/>
          <w:szCs w:val="24"/>
        </w:rPr>
        <w:t>Management and Cost Accounting</w:t>
      </w:r>
      <w:r w:rsidRPr="00AB4738">
        <w:rPr>
          <w:rFonts w:ascii="Arial" w:hAnsi="Arial" w:cs="Arial"/>
          <w:sz w:val="24"/>
          <w:szCs w:val="24"/>
        </w:rPr>
        <w:t>. 11th edn. Harlow: Pearson.</w:t>
      </w:r>
    </w:p>
    <w:p w14:paraId="398D3E2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lastRenderedPageBreak/>
        <w:t xml:space="preserve">Dyson, J.R. (2020) </w:t>
      </w:r>
      <w:r w:rsidRPr="00AB4738">
        <w:rPr>
          <w:rFonts w:ascii="Arial" w:hAnsi="Arial" w:cs="Arial"/>
          <w:i/>
          <w:iCs/>
          <w:sz w:val="24"/>
          <w:szCs w:val="24"/>
        </w:rPr>
        <w:t>Accounting for Non-Accounting Students</w:t>
      </w:r>
      <w:r w:rsidRPr="00AB4738">
        <w:rPr>
          <w:rFonts w:ascii="Arial" w:hAnsi="Arial" w:cs="Arial"/>
          <w:sz w:val="24"/>
          <w:szCs w:val="24"/>
        </w:rPr>
        <w:t>. 10th edn. Harlow: Pearson.</w:t>
      </w:r>
    </w:p>
    <w:p w14:paraId="7A965C9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Ekholm, B.-G. and Wallin, J. (2000) ‘Is the annual budget really dead?’, </w:t>
      </w:r>
      <w:r w:rsidRPr="00AB4738">
        <w:rPr>
          <w:rFonts w:ascii="Arial" w:hAnsi="Arial" w:cs="Arial"/>
          <w:i/>
          <w:iCs/>
          <w:sz w:val="24"/>
          <w:szCs w:val="24"/>
        </w:rPr>
        <w:t>European Accounting Review</w:t>
      </w:r>
      <w:r w:rsidRPr="00AB4738">
        <w:rPr>
          <w:rFonts w:ascii="Arial" w:hAnsi="Arial" w:cs="Arial"/>
          <w:sz w:val="24"/>
          <w:szCs w:val="24"/>
        </w:rPr>
        <w:t>, 9(4), pp. 519–539.</w:t>
      </w:r>
    </w:p>
    <w:p w14:paraId="756A3749"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Elkington, J. (1997) </w:t>
      </w:r>
      <w:r w:rsidRPr="00AB4738">
        <w:rPr>
          <w:rFonts w:ascii="Arial" w:hAnsi="Arial" w:cs="Arial"/>
          <w:i/>
          <w:iCs/>
          <w:sz w:val="24"/>
          <w:szCs w:val="24"/>
        </w:rPr>
        <w:t>Cannibals with Forks: The Triple Bottom Line of 21st Century Business</w:t>
      </w:r>
      <w:r w:rsidRPr="00AB4738">
        <w:rPr>
          <w:rFonts w:ascii="Arial" w:hAnsi="Arial" w:cs="Arial"/>
          <w:sz w:val="24"/>
          <w:szCs w:val="24"/>
        </w:rPr>
        <w:t>. Oxford: Capstone.</w:t>
      </w:r>
    </w:p>
    <w:p w14:paraId="06D7DB3E"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Freeman, R.E. (1984) </w:t>
      </w:r>
      <w:r w:rsidRPr="00AB4738">
        <w:rPr>
          <w:rFonts w:ascii="Arial" w:hAnsi="Arial" w:cs="Arial"/>
          <w:i/>
          <w:iCs/>
          <w:sz w:val="24"/>
          <w:szCs w:val="24"/>
        </w:rPr>
        <w:t>Strategic Management: A Stakeholder Approach</w:t>
      </w:r>
      <w:r w:rsidRPr="00AB4738">
        <w:rPr>
          <w:rFonts w:ascii="Arial" w:hAnsi="Arial" w:cs="Arial"/>
          <w:sz w:val="24"/>
          <w:szCs w:val="24"/>
        </w:rPr>
        <w:t>. Boston: Pitman.</w:t>
      </w:r>
    </w:p>
    <w:p w14:paraId="2202866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Friede, G., Busch, T. and Bassen, A. (2015) ‘ESG and financial performance: aggregated evidence from more than 2,000 empirical studies’, </w:t>
      </w:r>
      <w:r w:rsidRPr="00AB4738">
        <w:rPr>
          <w:rFonts w:ascii="Arial" w:hAnsi="Arial" w:cs="Arial"/>
          <w:i/>
          <w:iCs/>
          <w:sz w:val="24"/>
          <w:szCs w:val="24"/>
        </w:rPr>
        <w:t>Journal of Sustainable Finance &amp; Investment</w:t>
      </w:r>
      <w:r w:rsidRPr="00AB4738">
        <w:rPr>
          <w:rFonts w:ascii="Arial" w:hAnsi="Arial" w:cs="Arial"/>
          <w:sz w:val="24"/>
          <w:szCs w:val="24"/>
        </w:rPr>
        <w:t>, 5(4), pp. 210–233.</w:t>
      </w:r>
    </w:p>
    <w:p w14:paraId="55EB160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Friedman, M. (1970) ‘The social responsibility of business is to increase its profits’, </w:t>
      </w:r>
      <w:r w:rsidRPr="00AB4738">
        <w:rPr>
          <w:rFonts w:ascii="Arial" w:hAnsi="Arial" w:cs="Arial"/>
          <w:i/>
          <w:iCs/>
          <w:sz w:val="24"/>
          <w:szCs w:val="24"/>
        </w:rPr>
        <w:t>The New York Times Magazine</w:t>
      </w:r>
      <w:r w:rsidRPr="00AB4738">
        <w:rPr>
          <w:rFonts w:ascii="Arial" w:hAnsi="Arial" w:cs="Arial"/>
          <w:sz w:val="24"/>
          <w:szCs w:val="24"/>
        </w:rPr>
        <w:t>, 13 September, pp. 32–33, 122–126.</w:t>
      </w:r>
    </w:p>
    <w:p w14:paraId="36B9DB7F"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Garrison, R.H., Noreen, E.W. and Brewer, P.C. (2021) </w:t>
      </w:r>
      <w:r w:rsidRPr="00AB4738">
        <w:rPr>
          <w:rFonts w:ascii="Arial" w:hAnsi="Arial" w:cs="Arial"/>
          <w:i/>
          <w:iCs/>
          <w:sz w:val="24"/>
          <w:szCs w:val="24"/>
        </w:rPr>
        <w:t>Managerial Accounting</w:t>
      </w:r>
      <w:r w:rsidRPr="00AB4738">
        <w:rPr>
          <w:rFonts w:ascii="Arial" w:hAnsi="Arial" w:cs="Arial"/>
          <w:sz w:val="24"/>
          <w:szCs w:val="24"/>
        </w:rPr>
        <w:t>. 17th edn. New York: McGraw-Hill.</w:t>
      </w:r>
    </w:p>
    <w:p w14:paraId="13266AC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Gray, R. (2010) ‘Is accounting for sustainability actually accounting for sustainability?’, </w:t>
      </w:r>
      <w:r w:rsidRPr="00AB4738">
        <w:rPr>
          <w:rFonts w:ascii="Arial" w:hAnsi="Arial" w:cs="Arial"/>
          <w:i/>
          <w:iCs/>
          <w:sz w:val="24"/>
          <w:szCs w:val="24"/>
        </w:rPr>
        <w:t>Accounting and Business Research</w:t>
      </w:r>
      <w:r w:rsidRPr="00AB4738">
        <w:rPr>
          <w:rFonts w:ascii="Arial" w:hAnsi="Arial" w:cs="Arial"/>
          <w:sz w:val="24"/>
          <w:szCs w:val="24"/>
        </w:rPr>
        <w:t>, 40(1), pp. 47–62.</w:t>
      </w:r>
    </w:p>
    <w:p w14:paraId="43DA633A"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Hansen, S.C., Otley, D.T. and Van der Stede, W.A. (2003) ‘Practice developments in budgeting: an overview and research perspective’, </w:t>
      </w:r>
      <w:r w:rsidRPr="00AB4738">
        <w:rPr>
          <w:rFonts w:ascii="Arial" w:hAnsi="Arial" w:cs="Arial"/>
          <w:i/>
          <w:iCs/>
          <w:sz w:val="24"/>
          <w:szCs w:val="24"/>
        </w:rPr>
        <w:t>Journal of Management Accounting Research</w:t>
      </w:r>
      <w:r w:rsidRPr="00AB4738">
        <w:rPr>
          <w:rFonts w:ascii="Arial" w:hAnsi="Arial" w:cs="Arial"/>
          <w:sz w:val="24"/>
          <w:szCs w:val="24"/>
        </w:rPr>
        <w:t>, 15(1), pp. 95–116.</w:t>
      </w:r>
    </w:p>
    <w:p w14:paraId="2C1D7E3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Hart, S.L. and Milstein, M.B. (2003) ‘Creating sustainable value’, </w:t>
      </w:r>
      <w:r w:rsidRPr="00AB4738">
        <w:rPr>
          <w:rFonts w:ascii="Arial" w:hAnsi="Arial" w:cs="Arial"/>
          <w:i/>
          <w:iCs/>
          <w:sz w:val="24"/>
          <w:szCs w:val="24"/>
        </w:rPr>
        <w:t>Academy of Management Executive</w:t>
      </w:r>
      <w:r w:rsidRPr="00AB4738">
        <w:rPr>
          <w:rFonts w:ascii="Arial" w:hAnsi="Arial" w:cs="Arial"/>
          <w:sz w:val="24"/>
          <w:szCs w:val="24"/>
        </w:rPr>
        <w:t>, 17(2), pp. 56–67.</w:t>
      </w:r>
    </w:p>
    <w:p w14:paraId="0280BFA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Hillier, D., Ross, S., Westerfield, R., Jaffe, J. and Jordan, B. (2023) </w:t>
      </w:r>
      <w:r w:rsidRPr="00AB4738">
        <w:rPr>
          <w:rFonts w:ascii="Arial" w:hAnsi="Arial" w:cs="Arial"/>
          <w:i/>
          <w:iCs/>
          <w:sz w:val="24"/>
          <w:szCs w:val="24"/>
        </w:rPr>
        <w:t>Corporate Finance</w:t>
      </w:r>
      <w:r w:rsidRPr="00AB4738">
        <w:rPr>
          <w:rFonts w:ascii="Arial" w:hAnsi="Arial" w:cs="Arial"/>
          <w:sz w:val="24"/>
          <w:szCs w:val="24"/>
        </w:rPr>
        <w:t>. 5th European edn. London: McGraw-Hill.</w:t>
      </w:r>
    </w:p>
    <w:p w14:paraId="20454D2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Hope, J. and Fraser, R. (2003) </w:t>
      </w:r>
      <w:r w:rsidRPr="00AB4738">
        <w:rPr>
          <w:rFonts w:ascii="Arial" w:hAnsi="Arial" w:cs="Arial"/>
          <w:i/>
          <w:iCs/>
          <w:sz w:val="24"/>
          <w:szCs w:val="24"/>
        </w:rPr>
        <w:t>Beyond Budgeting: How Managers Can Break Free from the Annual Performance Trap</w:t>
      </w:r>
      <w:r w:rsidRPr="00AB4738">
        <w:rPr>
          <w:rFonts w:ascii="Arial" w:hAnsi="Arial" w:cs="Arial"/>
          <w:sz w:val="24"/>
          <w:szCs w:val="24"/>
        </w:rPr>
        <w:t>. Boston: Harvard Business School Press.</w:t>
      </w:r>
    </w:p>
    <w:p w14:paraId="1DAE733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Horner, D. (2020) </w:t>
      </w:r>
      <w:r w:rsidRPr="00AB4738">
        <w:rPr>
          <w:rFonts w:ascii="Arial" w:hAnsi="Arial" w:cs="Arial"/>
          <w:i/>
          <w:iCs/>
          <w:sz w:val="24"/>
          <w:szCs w:val="24"/>
        </w:rPr>
        <w:t>Accounting for Non Accountants</w:t>
      </w:r>
      <w:r w:rsidRPr="00AB4738">
        <w:rPr>
          <w:rFonts w:ascii="Arial" w:hAnsi="Arial" w:cs="Arial"/>
          <w:sz w:val="24"/>
          <w:szCs w:val="24"/>
        </w:rPr>
        <w:t>. 12th edn. London: Kogan Page.</w:t>
      </w:r>
    </w:p>
    <w:p w14:paraId="4886FAD8"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Jordan, S. and Messner, M. (2012) ‘Enabling control and the problem of incomplete performance indicators’, </w:t>
      </w:r>
      <w:r w:rsidRPr="00AB4738">
        <w:rPr>
          <w:rFonts w:ascii="Arial" w:hAnsi="Arial" w:cs="Arial"/>
          <w:i/>
          <w:iCs/>
          <w:sz w:val="24"/>
          <w:szCs w:val="24"/>
        </w:rPr>
        <w:t>Accounting, Organizations and Society</w:t>
      </w:r>
      <w:r w:rsidRPr="00AB4738">
        <w:rPr>
          <w:rFonts w:ascii="Arial" w:hAnsi="Arial" w:cs="Arial"/>
          <w:sz w:val="24"/>
          <w:szCs w:val="24"/>
        </w:rPr>
        <w:t>, 37(8), pp. 544–564.</w:t>
      </w:r>
    </w:p>
    <w:p w14:paraId="7D51FF97" w14:textId="3E022759"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lastRenderedPageBreak/>
        <w:t>Kaplan, R.S. and Norton, D.P. (1992) ‘The balanced scorecard</w:t>
      </w:r>
      <w:r w:rsidR="005D65C3">
        <w:rPr>
          <w:rFonts w:ascii="Arial" w:hAnsi="Arial" w:cs="Arial"/>
          <w:sz w:val="24"/>
          <w:szCs w:val="24"/>
        </w:rPr>
        <w:t xml:space="preserve"> </w:t>
      </w:r>
      <w:r w:rsidRPr="00AB4738">
        <w:rPr>
          <w:rFonts w:ascii="Arial" w:hAnsi="Arial" w:cs="Arial"/>
          <w:sz w:val="24"/>
          <w:szCs w:val="24"/>
        </w:rPr>
        <w:t xml:space="preserve">measures that drive performance’, </w:t>
      </w:r>
      <w:r w:rsidRPr="00AB4738">
        <w:rPr>
          <w:rFonts w:ascii="Arial" w:hAnsi="Arial" w:cs="Arial"/>
          <w:i/>
          <w:iCs/>
          <w:sz w:val="24"/>
          <w:szCs w:val="24"/>
        </w:rPr>
        <w:t>Harvard Business Review</w:t>
      </w:r>
      <w:r w:rsidRPr="00AB4738">
        <w:rPr>
          <w:rFonts w:ascii="Arial" w:hAnsi="Arial" w:cs="Arial"/>
          <w:sz w:val="24"/>
          <w:szCs w:val="24"/>
        </w:rPr>
        <w:t>, 70(1), pp. 71–79.</w:t>
      </w:r>
    </w:p>
    <w:p w14:paraId="4DC73CD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Kolitz, D. (2017) </w:t>
      </w:r>
      <w:r w:rsidRPr="00AB4738">
        <w:rPr>
          <w:rFonts w:ascii="Arial" w:hAnsi="Arial" w:cs="Arial"/>
          <w:i/>
          <w:iCs/>
          <w:sz w:val="24"/>
          <w:szCs w:val="24"/>
        </w:rPr>
        <w:t>Financial Accounting: A Concepts-Based Introduction</w:t>
      </w:r>
      <w:r w:rsidRPr="00AB4738">
        <w:rPr>
          <w:rFonts w:ascii="Arial" w:hAnsi="Arial" w:cs="Arial"/>
          <w:sz w:val="24"/>
          <w:szCs w:val="24"/>
        </w:rPr>
        <w:t>. Oxon: Routledge.</w:t>
      </w:r>
    </w:p>
    <w:p w14:paraId="6F76D19C"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Libby, T. and Lindsay, R.M. (2010) ‘Beyond budgeting or budgeting reconsidered?’, </w:t>
      </w:r>
      <w:r w:rsidRPr="00AB4738">
        <w:rPr>
          <w:rFonts w:ascii="Arial" w:hAnsi="Arial" w:cs="Arial"/>
          <w:i/>
          <w:iCs/>
          <w:sz w:val="24"/>
          <w:szCs w:val="24"/>
        </w:rPr>
        <w:t>Management Accounting Research</w:t>
      </w:r>
      <w:r w:rsidRPr="00AB4738">
        <w:rPr>
          <w:rFonts w:ascii="Arial" w:hAnsi="Arial" w:cs="Arial"/>
          <w:sz w:val="24"/>
          <w:szCs w:val="24"/>
        </w:rPr>
        <w:t>, 21(1), pp. 56–75.</w:t>
      </w:r>
    </w:p>
    <w:p w14:paraId="3C543A05"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Marr, B. (2013) </w:t>
      </w:r>
      <w:r w:rsidRPr="00AB4738">
        <w:rPr>
          <w:rFonts w:ascii="Arial" w:hAnsi="Arial" w:cs="Arial"/>
          <w:i/>
          <w:iCs/>
          <w:sz w:val="24"/>
          <w:szCs w:val="24"/>
        </w:rPr>
        <w:t>Key Performance Indicators: The 75 Measures Every Manager Needs to Know</w:t>
      </w:r>
      <w:r w:rsidRPr="00AB4738">
        <w:rPr>
          <w:rFonts w:ascii="Arial" w:hAnsi="Arial" w:cs="Arial"/>
          <w:sz w:val="24"/>
          <w:szCs w:val="24"/>
        </w:rPr>
        <w:t>. Harlow: Pearson.</w:t>
      </w:r>
    </w:p>
    <w:p w14:paraId="06429E79"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Merchant, K.A. (1985) </w:t>
      </w:r>
      <w:r w:rsidRPr="00AB4738">
        <w:rPr>
          <w:rFonts w:ascii="Arial" w:hAnsi="Arial" w:cs="Arial"/>
          <w:i/>
          <w:iCs/>
          <w:sz w:val="24"/>
          <w:szCs w:val="24"/>
        </w:rPr>
        <w:t>Control in Business Organizations</w:t>
      </w:r>
      <w:r w:rsidRPr="00AB4738">
        <w:rPr>
          <w:rFonts w:ascii="Arial" w:hAnsi="Arial" w:cs="Arial"/>
          <w:sz w:val="24"/>
          <w:szCs w:val="24"/>
        </w:rPr>
        <w:t>. Boston: Pitman.</w:t>
      </w:r>
    </w:p>
    <w:p w14:paraId="44C63477"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Merchant, K.A. and Van der Stede, W.A. (2017) </w:t>
      </w:r>
      <w:r w:rsidRPr="00AB4738">
        <w:rPr>
          <w:rFonts w:ascii="Arial" w:hAnsi="Arial" w:cs="Arial"/>
          <w:i/>
          <w:iCs/>
          <w:sz w:val="24"/>
          <w:szCs w:val="24"/>
        </w:rPr>
        <w:t>Management Control Systems: Performance Measurement, Evaluation and Incentives</w:t>
      </w:r>
      <w:r w:rsidRPr="00AB4738">
        <w:rPr>
          <w:rFonts w:ascii="Arial" w:hAnsi="Arial" w:cs="Arial"/>
          <w:sz w:val="24"/>
          <w:szCs w:val="24"/>
        </w:rPr>
        <w:t>. 4th edn. Harlow: Pearson.</w:t>
      </w:r>
    </w:p>
    <w:p w14:paraId="02D78F07"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Otley, D. (1978) ‘Budget use and managerial performance’, </w:t>
      </w:r>
      <w:r w:rsidRPr="00AB4738">
        <w:rPr>
          <w:rFonts w:ascii="Arial" w:hAnsi="Arial" w:cs="Arial"/>
          <w:i/>
          <w:iCs/>
          <w:sz w:val="24"/>
          <w:szCs w:val="24"/>
        </w:rPr>
        <w:t>Journal of Accounting Research</w:t>
      </w:r>
      <w:r w:rsidRPr="00AB4738">
        <w:rPr>
          <w:rFonts w:ascii="Arial" w:hAnsi="Arial" w:cs="Arial"/>
          <w:sz w:val="24"/>
          <w:szCs w:val="24"/>
        </w:rPr>
        <w:t>, 16(1), pp. 122–149.</w:t>
      </w:r>
    </w:p>
    <w:p w14:paraId="2296B23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Otley, D. (1999) ‘Performance management: a framework for management control systems research’, </w:t>
      </w:r>
      <w:r w:rsidRPr="00AB4738">
        <w:rPr>
          <w:rFonts w:ascii="Arial" w:hAnsi="Arial" w:cs="Arial"/>
          <w:i/>
          <w:iCs/>
          <w:sz w:val="24"/>
          <w:szCs w:val="24"/>
        </w:rPr>
        <w:t>Management Accounting Research</w:t>
      </w:r>
      <w:r w:rsidRPr="00AB4738">
        <w:rPr>
          <w:rFonts w:ascii="Arial" w:hAnsi="Arial" w:cs="Arial"/>
          <w:sz w:val="24"/>
          <w:szCs w:val="24"/>
        </w:rPr>
        <w:t>, 10(4), pp. 363–382.</w:t>
      </w:r>
    </w:p>
    <w:p w14:paraId="0A3EF9EB"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Parmenter, D. (2020) </w:t>
      </w:r>
      <w:r w:rsidRPr="00AB4738">
        <w:rPr>
          <w:rFonts w:ascii="Arial" w:hAnsi="Arial" w:cs="Arial"/>
          <w:i/>
          <w:iCs/>
          <w:sz w:val="24"/>
          <w:szCs w:val="24"/>
        </w:rPr>
        <w:t>Key Performance Indicators: Developing, Implementing, and Using Winning KPIs</w:t>
      </w:r>
      <w:r w:rsidRPr="00AB4738">
        <w:rPr>
          <w:rFonts w:ascii="Arial" w:hAnsi="Arial" w:cs="Arial"/>
          <w:sz w:val="24"/>
          <w:szCs w:val="24"/>
        </w:rPr>
        <w:t>. 4th edn. Hoboken, NJ: Wiley.</w:t>
      </w:r>
    </w:p>
    <w:p w14:paraId="2D06570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Pike, R., Neale, B. and Akbar, S. (2018) </w:t>
      </w:r>
      <w:r w:rsidRPr="00AB4738">
        <w:rPr>
          <w:rFonts w:ascii="Arial" w:hAnsi="Arial" w:cs="Arial"/>
          <w:i/>
          <w:iCs/>
          <w:sz w:val="24"/>
          <w:szCs w:val="24"/>
        </w:rPr>
        <w:t>Corporate Finance and Investment: Decisions and Strategies</w:t>
      </w:r>
      <w:r w:rsidRPr="00AB4738">
        <w:rPr>
          <w:rFonts w:ascii="Arial" w:hAnsi="Arial" w:cs="Arial"/>
          <w:sz w:val="24"/>
          <w:szCs w:val="24"/>
        </w:rPr>
        <w:t>. 9th edn. Harlow: Pearson.</w:t>
      </w:r>
    </w:p>
    <w:p w14:paraId="6744A8C3"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Player, S. (2010) </w:t>
      </w:r>
      <w:r w:rsidRPr="00AB4738">
        <w:rPr>
          <w:rFonts w:ascii="Arial" w:hAnsi="Arial" w:cs="Arial"/>
          <w:i/>
          <w:iCs/>
          <w:sz w:val="24"/>
          <w:szCs w:val="24"/>
        </w:rPr>
        <w:t>Future Ready: How to Master Business Forecasting</w:t>
      </w:r>
      <w:r w:rsidRPr="00AB4738">
        <w:rPr>
          <w:rFonts w:ascii="Arial" w:hAnsi="Arial" w:cs="Arial"/>
          <w:sz w:val="24"/>
          <w:szCs w:val="24"/>
        </w:rPr>
        <w:t>. Hoboken, NJ: Wiley.</w:t>
      </w:r>
    </w:p>
    <w:p w14:paraId="500B3427"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Porter, M.E. and Kramer, M.R. (2011) ‘Creating shared value’, </w:t>
      </w:r>
      <w:r w:rsidRPr="00AB4738">
        <w:rPr>
          <w:rFonts w:ascii="Arial" w:hAnsi="Arial" w:cs="Arial"/>
          <w:i/>
          <w:iCs/>
          <w:sz w:val="24"/>
          <w:szCs w:val="24"/>
        </w:rPr>
        <w:t>Harvard Business Review</w:t>
      </w:r>
      <w:r w:rsidRPr="00AB4738">
        <w:rPr>
          <w:rFonts w:ascii="Arial" w:hAnsi="Arial" w:cs="Arial"/>
          <w:sz w:val="24"/>
          <w:szCs w:val="24"/>
        </w:rPr>
        <w:t>, 89(1/2), pp. 62–77.</w:t>
      </w:r>
    </w:p>
    <w:p w14:paraId="58DCAAE9"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Schaltegger, S. and Burritt, R. (2018) </w:t>
      </w:r>
      <w:r w:rsidRPr="00AB4738">
        <w:rPr>
          <w:rFonts w:ascii="Arial" w:hAnsi="Arial" w:cs="Arial"/>
          <w:i/>
          <w:iCs/>
          <w:sz w:val="24"/>
          <w:szCs w:val="24"/>
        </w:rPr>
        <w:t>Contemporary Environmental Accounting</w:t>
      </w:r>
      <w:r w:rsidRPr="00AB4738">
        <w:rPr>
          <w:rFonts w:ascii="Arial" w:hAnsi="Arial" w:cs="Arial"/>
          <w:sz w:val="24"/>
          <w:szCs w:val="24"/>
        </w:rPr>
        <w:t>. London: Routledge.</w:t>
      </w:r>
    </w:p>
    <w:p w14:paraId="24959852"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Schoenmaker, D. and Schramade, W. (2019) </w:t>
      </w:r>
      <w:r w:rsidRPr="00AB4738">
        <w:rPr>
          <w:rFonts w:ascii="Arial" w:hAnsi="Arial" w:cs="Arial"/>
          <w:i/>
          <w:iCs/>
          <w:sz w:val="24"/>
          <w:szCs w:val="24"/>
        </w:rPr>
        <w:t>Principles of Sustainable Finance</w:t>
      </w:r>
      <w:r w:rsidRPr="00AB4738">
        <w:rPr>
          <w:rFonts w:ascii="Arial" w:hAnsi="Arial" w:cs="Arial"/>
          <w:sz w:val="24"/>
          <w:szCs w:val="24"/>
        </w:rPr>
        <w:t>. Oxford: Oxford University Press.</w:t>
      </w:r>
    </w:p>
    <w:p w14:paraId="1A0135F1"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lastRenderedPageBreak/>
        <w:t xml:space="preserve">Seal, W., Garrison, R.H. and Noreen, E. (2018) </w:t>
      </w:r>
      <w:r w:rsidRPr="00AB4738">
        <w:rPr>
          <w:rFonts w:ascii="Arial" w:hAnsi="Arial" w:cs="Arial"/>
          <w:i/>
          <w:iCs/>
          <w:sz w:val="24"/>
          <w:szCs w:val="24"/>
        </w:rPr>
        <w:t>Management Accounting</w:t>
      </w:r>
      <w:r w:rsidRPr="00AB4738">
        <w:rPr>
          <w:rFonts w:ascii="Arial" w:hAnsi="Arial" w:cs="Arial"/>
          <w:sz w:val="24"/>
          <w:szCs w:val="24"/>
        </w:rPr>
        <w:t>. 6th edn. London: McGraw-Hill.</w:t>
      </w:r>
    </w:p>
    <w:p w14:paraId="3B7F2236"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Shields, J.F. and Shields, M.D. (1998) ‘Antecedents of participative budgeting’, </w:t>
      </w:r>
      <w:r w:rsidRPr="00AB4738">
        <w:rPr>
          <w:rFonts w:ascii="Arial" w:hAnsi="Arial" w:cs="Arial"/>
          <w:i/>
          <w:iCs/>
          <w:sz w:val="24"/>
          <w:szCs w:val="24"/>
        </w:rPr>
        <w:t>Accounting, Organizations and Society</w:t>
      </w:r>
      <w:r w:rsidRPr="00AB4738">
        <w:rPr>
          <w:rFonts w:ascii="Arial" w:hAnsi="Arial" w:cs="Arial"/>
          <w:sz w:val="24"/>
          <w:szCs w:val="24"/>
        </w:rPr>
        <w:t>, 23(1), pp. 49–76.</w:t>
      </w:r>
    </w:p>
    <w:p w14:paraId="17504C49"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Sivabalan, P., Booth, P., Malmi, T. and Brown, D.A. (2009) ‘An exploratory study of operational reasons to budget’, </w:t>
      </w:r>
      <w:r w:rsidRPr="00AB4738">
        <w:rPr>
          <w:rFonts w:ascii="Arial" w:hAnsi="Arial" w:cs="Arial"/>
          <w:i/>
          <w:iCs/>
          <w:sz w:val="24"/>
          <w:szCs w:val="24"/>
        </w:rPr>
        <w:t>Accounting and Finance</w:t>
      </w:r>
      <w:r w:rsidRPr="00AB4738">
        <w:rPr>
          <w:rFonts w:ascii="Arial" w:hAnsi="Arial" w:cs="Arial"/>
          <w:sz w:val="24"/>
          <w:szCs w:val="24"/>
        </w:rPr>
        <w:t>, 49(4), pp. 849–871.</w:t>
      </w:r>
    </w:p>
    <w:p w14:paraId="7E8B37C0"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Slack, N. and Brandon-Jones, A. (2019) </w:t>
      </w:r>
      <w:r w:rsidRPr="00AB4738">
        <w:rPr>
          <w:rFonts w:ascii="Arial" w:hAnsi="Arial" w:cs="Arial"/>
          <w:i/>
          <w:iCs/>
          <w:sz w:val="24"/>
          <w:szCs w:val="24"/>
        </w:rPr>
        <w:t>Operations Management</w:t>
      </w:r>
      <w:r w:rsidRPr="00AB4738">
        <w:rPr>
          <w:rFonts w:ascii="Arial" w:hAnsi="Arial" w:cs="Arial"/>
          <w:sz w:val="24"/>
          <w:szCs w:val="24"/>
        </w:rPr>
        <w:t>. 9th edn. Harlow: Pearson.</w:t>
      </w:r>
    </w:p>
    <w:p w14:paraId="3DE6B989"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Unerman, J., Bebbington, J. and O’Dwyer, B. (eds.) (2018) </w:t>
      </w:r>
      <w:r w:rsidRPr="00AB4738">
        <w:rPr>
          <w:rFonts w:ascii="Arial" w:hAnsi="Arial" w:cs="Arial"/>
          <w:i/>
          <w:iCs/>
          <w:sz w:val="24"/>
          <w:szCs w:val="24"/>
        </w:rPr>
        <w:t>Sustainability Accounting and Accountability</w:t>
      </w:r>
      <w:r w:rsidRPr="00AB4738">
        <w:rPr>
          <w:rFonts w:ascii="Arial" w:hAnsi="Arial" w:cs="Arial"/>
          <w:sz w:val="24"/>
          <w:szCs w:val="24"/>
        </w:rPr>
        <w:t>. 2nd edn. London: Routledge.</w:t>
      </w:r>
    </w:p>
    <w:p w14:paraId="57688F1D" w14:textId="77777777" w:rsidR="00AB4738" w:rsidRP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Walsh, C. (2008) </w:t>
      </w:r>
      <w:r w:rsidRPr="00AB4738">
        <w:rPr>
          <w:rFonts w:ascii="Arial" w:hAnsi="Arial" w:cs="Arial"/>
          <w:i/>
          <w:iCs/>
          <w:sz w:val="24"/>
          <w:szCs w:val="24"/>
        </w:rPr>
        <w:t>Key Management Ratios</w:t>
      </w:r>
      <w:r w:rsidRPr="00AB4738">
        <w:rPr>
          <w:rFonts w:ascii="Arial" w:hAnsi="Arial" w:cs="Arial"/>
          <w:sz w:val="24"/>
          <w:szCs w:val="24"/>
        </w:rPr>
        <w:t>. 4th edn. Harlow: Pearson.</w:t>
      </w:r>
    </w:p>
    <w:p w14:paraId="61473D46" w14:textId="77777777" w:rsidR="00AB4738" w:rsidRDefault="00AB4738" w:rsidP="00AB4738">
      <w:pPr>
        <w:spacing w:line="360" w:lineRule="auto"/>
        <w:jc w:val="both"/>
        <w:rPr>
          <w:rFonts w:ascii="Arial" w:hAnsi="Arial" w:cs="Arial"/>
          <w:sz w:val="24"/>
          <w:szCs w:val="24"/>
        </w:rPr>
      </w:pPr>
      <w:r w:rsidRPr="00AB4738">
        <w:rPr>
          <w:rFonts w:ascii="Arial" w:hAnsi="Arial" w:cs="Arial"/>
          <w:sz w:val="24"/>
          <w:szCs w:val="24"/>
        </w:rPr>
        <w:t xml:space="preserve">WCED (1987) </w:t>
      </w:r>
      <w:r w:rsidRPr="00AB4738">
        <w:rPr>
          <w:rFonts w:ascii="Arial" w:hAnsi="Arial" w:cs="Arial"/>
          <w:i/>
          <w:iCs/>
          <w:sz w:val="24"/>
          <w:szCs w:val="24"/>
        </w:rPr>
        <w:t>Our Common Future</w:t>
      </w:r>
      <w:r w:rsidRPr="00AB4738">
        <w:rPr>
          <w:rFonts w:ascii="Arial" w:hAnsi="Arial" w:cs="Arial"/>
          <w:sz w:val="24"/>
          <w:szCs w:val="24"/>
        </w:rPr>
        <w:t>. Oxford: Oxford University Press.</w:t>
      </w:r>
    </w:p>
    <w:p w14:paraId="2A85C14C" w14:textId="77777777" w:rsidR="00AD172B" w:rsidRDefault="00AD172B" w:rsidP="00AB4738">
      <w:pPr>
        <w:spacing w:line="360" w:lineRule="auto"/>
        <w:jc w:val="both"/>
        <w:rPr>
          <w:rFonts w:ascii="Arial" w:hAnsi="Arial" w:cs="Arial"/>
          <w:sz w:val="24"/>
          <w:szCs w:val="24"/>
        </w:rPr>
      </w:pPr>
    </w:p>
    <w:p w14:paraId="297C6D7E" w14:textId="77777777" w:rsidR="00AD172B" w:rsidRDefault="00AD172B" w:rsidP="00AB4738">
      <w:pPr>
        <w:spacing w:line="360" w:lineRule="auto"/>
        <w:jc w:val="both"/>
        <w:rPr>
          <w:rFonts w:ascii="Arial" w:hAnsi="Arial" w:cs="Arial"/>
          <w:sz w:val="24"/>
          <w:szCs w:val="24"/>
        </w:rPr>
      </w:pPr>
    </w:p>
    <w:p w14:paraId="692B4FA9" w14:textId="77777777" w:rsidR="00AD172B" w:rsidRDefault="00AD172B" w:rsidP="00AB4738">
      <w:pPr>
        <w:spacing w:line="360" w:lineRule="auto"/>
        <w:jc w:val="both"/>
        <w:rPr>
          <w:rFonts w:ascii="Arial" w:hAnsi="Arial" w:cs="Arial"/>
          <w:sz w:val="24"/>
          <w:szCs w:val="24"/>
        </w:rPr>
      </w:pPr>
    </w:p>
    <w:p w14:paraId="21C21AC7" w14:textId="77777777" w:rsidR="00AD172B" w:rsidRDefault="00AD172B" w:rsidP="00AB4738">
      <w:pPr>
        <w:spacing w:line="360" w:lineRule="auto"/>
        <w:jc w:val="both"/>
        <w:rPr>
          <w:rFonts w:ascii="Arial" w:hAnsi="Arial" w:cs="Arial"/>
          <w:sz w:val="24"/>
          <w:szCs w:val="24"/>
        </w:rPr>
      </w:pPr>
    </w:p>
    <w:p w14:paraId="028D9D38" w14:textId="77777777" w:rsidR="00AD172B" w:rsidRDefault="00AD172B" w:rsidP="00AB4738">
      <w:pPr>
        <w:spacing w:line="360" w:lineRule="auto"/>
        <w:jc w:val="both"/>
        <w:rPr>
          <w:rFonts w:ascii="Arial" w:hAnsi="Arial" w:cs="Arial"/>
          <w:sz w:val="24"/>
          <w:szCs w:val="24"/>
        </w:rPr>
      </w:pPr>
    </w:p>
    <w:p w14:paraId="44086D96" w14:textId="77777777" w:rsidR="00AD172B" w:rsidRDefault="00AD172B" w:rsidP="00AB4738">
      <w:pPr>
        <w:spacing w:line="360" w:lineRule="auto"/>
        <w:jc w:val="both"/>
        <w:rPr>
          <w:rFonts w:ascii="Arial" w:hAnsi="Arial" w:cs="Arial"/>
          <w:sz w:val="24"/>
          <w:szCs w:val="24"/>
        </w:rPr>
      </w:pPr>
    </w:p>
    <w:p w14:paraId="292AA253" w14:textId="77777777" w:rsidR="00AD172B" w:rsidRDefault="00AD172B" w:rsidP="00AB4738">
      <w:pPr>
        <w:spacing w:line="360" w:lineRule="auto"/>
        <w:jc w:val="both"/>
        <w:rPr>
          <w:rFonts w:ascii="Arial" w:hAnsi="Arial" w:cs="Arial"/>
          <w:sz w:val="24"/>
          <w:szCs w:val="24"/>
        </w:rPr>
      </w:pPr>
    </w:p>
    <w:p w14:paraId="59D66C49" w14:textId="77777777" w:rsidR="00AD172B" w:rsidRDefault="00AD172B" w:rsidP="00AB4738">
      <w:pPr>
        <w:spacing w:line="360" w:lineRule="auto"/>
        <w:jc w:val="both"/>
        <w:rPr>
          <w:rFonts w:ascii="Arial" w:hAnsi="Arial" w:cs="Arial"/>
          <w:sz w:val="24"/>
          <w:szCs w:val="24"/>
        </w:rPr>
      </w:pPr>
    </w:p>
    <w:p w14:paraId="6977FF10" w14:textId="77777777" w:rsidR="00AD172B" w:rsidRDefault="00AD172B" w:rsidP="00AB4738">
      <w:pPr>
        <w:spacing w:line="360" w:lineRule="auto"/>
        <w:jc w:val="both"/>
        <w:rPr>
          <w:rFonts w:ascii="Arial" w:hAnsi="Arial" w:cs="Arial"/>
          <w:sz w:val="24"/>
          <w:szCs w:val="24"/>
        </w:rPr>
      </w:pPr>
    </w:p>
    <w:p w14:paraId="5AF40D4B" w14:textId="77777777" w:rsidR="00AD172B" w:rsidRDefault="00AD172B" w:rsidP="00AB4738">
      <w:pPr>
        <w:spacing w:line="360" w:lineRule="auto"/>
        <w:jc w:val="both"/>
        <w:rPr>
          <w:rFonts w:ascii="Arial" w:hAnsi="Arial" w:cs="Arial"/>
          <w:sz w:val="24"/>
          <w:szCs w:val="24"/>
        </w:rPr>
      </w:pPr>
    </w:p>
    <w:p w14:paraId="550958C5" w14:textId="77777777" w:rsidR="00AD172B" w:rsidRDefault="00AD172B" w:rsidP="00AB4738">
      <w:pPr>
        <w:spacing w:line="360" w:lineRule="auto"/>
        <w:jc w:val="both"/>
        <w:rPr>
          <w:rFonts w:ascii="Arial" w:hAnsi="Arial" w:cs="Arial"/>
          <w:sz w:val="24"/>
          <w:szCs w:val="24"/>
        </w:rPr>
      </w:pPr>
    </w:p>
    <w:p w14:paraId="2A1066C7" w14:textId="5103C1DA" w:rsidR="006C2E38" w:rsidRPr="00105BD1" w:rsidRDefault="006C2E38" w:rsidP="00105BD1">
      <w:pPr>
        <w:spacing w:line="360" w:lineRule="auto"/>
        <w:jc w:val="both"/>
        <w:rPr>
          <w:rFonts w:ascii="Arial" w:hAnsi="Arial" w:cs="Arial"/>
          <w:sz w:val="24"/>
          <w:szCs w:val="24"/>
        </w:rPr>
      </w:pPr>
    </w:p>
    <w:sectPr w:rsidR="006C2E38" w:rsidRPr="00105BD1" w:rsidSect="00A3226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5AEB61" w14:textId="77777777" w:rsidR="00FF14B8" w:rsidRDefault="00FF14B8" w:rsidP="00153157">
      <w:pPr>
        <w:spacing w:after="0" w:line="240" w:lineRule="auto"/>
      </w:pPr>
      <w:r>
        <w:separator/>
      </w:r>
    </w:p>
  </w:endnote>
  <w:endnote w:type="continuationSeparator" w:id="0">
    <w:p w14:paraId="354E6E2C" w14:textId="77777777" w:rsidR="00FF14B8" w:rsidRDefault="00FF14B8" w:rsidP="00153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8387596"/>
      <w:docPartObj>
        <w:docPartGallery w:val="Page Numbers (Bottom of Page)"/>
        <w:docPartUnique/>
      </w:docPartObj>
    </w:sdtPr>
    <w:sdtEndPr>
      <w:rPr>
        <w:noProof/>
      </w:rPr>
    </w:sdtEndPr>
    <w:sdtContent>
      <w:p w14:paraId="0A1E0EF1" w14:textId="4F00E63D" w:rsidR="00296B8F" w:rsidRDefault="00296B8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FFF693" w14:textId="77777777" w:rsidR="00296B8F" w:rsidRDefault="00296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214AE" w14:textId="77777777" w:rsidR="00FF14B8" w:rsidRDefault="00FF14B8" w:rsidP="00153157">
      <w:pPr>
        <w:spacing w:after="0" w:line="240" w:lineRule="auto"/>
      </w:pPr>
      <w:r>
        <w:separator/>
      </w:r>
    </w:p>
  </w:footnote>
  <w:footnote w:type="continuationSeparator" w:id="0">
    <w:p w14:paraId="20496D04" w14:textId="77777777" w:rsidR="00FF14B8" w:rsidRDefault="00FF14B8" w:rsidP="001531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05BD1"/>
    <w:rsid w:val="00031161"/>
    <w:rsid w:val="000C3A6C"/>
    <w:rsid w:val="00105BD1"/>
    <w:rsid w:val="00111E4C"/>
    <w:rsid w:val="0014114A"/>
    <w:rsid w:val="00153157"/>
    <w:rsid w:val="001F6863"/>
    <w:rsid w:val="00224A10"/>
    <w:rsid w:val="0024519D"/>
    <w:rsid w:val="00250A49"/>
    <w:rsid w:val="00261374"/>
    <w:rsid w:val="002945E2"/>
    <w:rsid w:val="00296358"/>
    <w:rsid w:val="00296B8F"/>
    <w:rsid w:val="002F121D"/>
    <w:rsid w:val="00343793"/>
    <w:rsid w:val="00344471"/>
    <w:rsid w:val="00390C45"/>
    <w:rsid w:val="00394323"/>
    <w:rsid w:val="003B20B8"/>
    <w:rsid w:val="00405C64"/>
    <w:rsid w:val="00416853"/>
    <w:rsid w:val="00430624"/>
    <w:rsid w:val="004406A7"/>
    <w:rsid w:val="004829F5"/>
    <w:rsid w:val="004A6E7E"/>
    <w:rsid w:val="004E517E"/>
    <w:rsid w:val="005324E3"/>
    <w:rsid w:val="005534BA"/>
    <w:rsid w:val="00557829"/>
    <w:rsid w:val="00563748"/>
    <w:rsid w:val="00576B61"/>
    <w:rsid w:val="005D5B1F"/>
    <w:rsid w:val="005D65C3"/>
    <w:rsid w:val="005F1783"/>
    <w:rsid w:val="0060102B"/>
    <w:rsid w:val="0061326D"/>
    <w:rsid w:val="00614052"/>
    <w:rsid w:val="006430C6"/>
    <w:rsid w:val="00646448"/>
    <w:rsid w:val="00672F43"/>
    <w:rsid w:val="006C2E38"/>
    <w:rsid w:val="006D641B"/>
    <w:rsid w:val="00733CC1"/>
    <w:rsid w:val="007419E7"/>
    <w:rsid w:val="00742056"/>
    <w:rsid w:val="00770DA2"/>
    <w:rsid w:val="0077696B"/>
    <w:rsid w:val="007B0ED3"/>
    <w:rsid w:val="007D4C8E"/>
    <w:rsid w:val="007F2C5F"/>
    <w:rsid w:val="00897A01"/>
    <w:rsid w:val="008B5940"/>
    <w:rsid w:val="00925B36"/>
    <w:rsid w:val="00966A2A"/>
    <w:rsid w:val="009A34F2"/>
    <w:rsid w:val="009D08DA"/>
    <w:rsid w:val="009E3A29"/>
    <w:rsid w:val="00A15B06"/>
    <w:rsid w:val="00A32263"/>
    <w:rsid w:val="00A3274F"/>
    <w:rsid w:val="00A45139"/>
    <w:rsid w:val="00A818DF"/>
    <w:rsid w:val="00AB4738"/>
    <w:rsid w:val="00AB7A86"/>
    <w:rsid w:val="00AC6650"/>
    <w:rsid w:val="00AD172B"/>
    <w:rsid w:val="00B17231"/>
    <w:rsid w:val="00B756FA"/>
    <w:rsid w:val="00B77A5C"/>
    <w:rsid w:val="00B909B9"/>
    <w:rsid w:val="00BA74C3"/>
    <w:rsid w:val="00BB1D2D"/>
    <w:rsid w:val="00BC1AFC"/>
    <w:rsid w:val="00BC2F94"/>
    <w:rsid w:val="00BD4FA7"/>
    <w:rsid w:val="00BE2648"/>
    <w:rsid w:val="00C37FE1"/>
    <w:rsid w:val="00C7589C"/>
    <w:rsid w:val="00CB00CB"/>
    <w:rsid w:val="00CD14DB"/>
    <w:rsid w:val="00CE34BC"/>
    <w:rsid w:val="00CE72E6"/>
    <w:rsid w:val="00CF3320"/>
    <w:rsid w:val="00D412F1"/>
    <w:rsid w:val="00DF1287"/>
    <w:rsid w:val="00DF6FFF"/>
    <w:rsid w:val="00E74338"/>
    <w:rsid w:val="00E76057"/>
    <w:rsid w:val="00E86B74"/>
    <w:rsid w:val="00EF59DA"/>
    <w:rsid w:val="00F2213C"/>
    <w:rsid w:val="00F25449"/>
    <w:rsid w:val="00F470AD"/>
    <w:rsid w:val="00F76E7D"/>
    <w:rsid w:val="00F873CB"/>
    <w:rsid w:val="00FB34B6"/>
    <w:rsid w:val="00FB7C4D"/>
    <w:rsid w:val="00FE0D8F"/>
    <w:rsid w:val="00FE5075"/>
    <w:rsid w:val="00FF14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20F87AF6"/>
  <w15:chartTrackingRefBased/>
  <w15:docId w15:val="{EBB9E365-073B-4EDD-955C-9071AD8C6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BD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05BD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05BD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5B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5B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5B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B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B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B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BD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05BD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05BD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5BD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5BD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5B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B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B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BD1"/>
    <w:rPr>
      <w:rFonts w:eastAsiaTheme="majorEastAsia" w:cstheme="majorBidi"/>
      <w:color w:val="272727" w:themeColor="text1" w:themeTint="D8"/>
    </w:rPr>
  </w:style>
  <w:style w:type="paragraph" w:styleId="Title">
    <w:name w:val="Title"/>
    <w:basedOn w:val="Normal"/>
    <w:next w:val="Normal"/>
    <w:link w:val="TitleChar"/>
    <w:uiPriority w:val="10"/>
    <w:qFormat/>
    <w:rsid w:val="00105B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B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B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B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BD1"/>
    <w:pPr>
      <w:spacing w:before="160"/>
      <w:jc w:val="center"/>
    </w:pPr>
    <w:rPr>
      <w:i/>
      <w:iCs/>
      <w:color w:val="404040" w:themeColor="text1" w:themeTint="BF"/>
    </w:rPr>
  </w:style>
  <w:style w:type="character" w:customStyle="1" w:styleId="QuoteChar">
    <w:name w:val="Quote Char"/>
    <w:basedOn w:val="DefaultParagraphFont"/>
    <w:link w:val="Quote"/>
    <w:uiPriority w:val="29"/>
    <w:rsid w:val="00105BD1"/>
    <w:rPr>
      <w:i/>
      <w:iCs/>
      <w:color w:val="404040" w:themeColor="text1" w:themeTint="BF"/>
    </w:rPr>
  </w:style>
  <w:style w:type="paragraph" w:styleId="ListParagraph">
    <w:name w:val="List Paragraph"/>
    <w:basedOn w:val="Normal"/>
    <w:uiPriority w:val="34"/>
    <w:qFormat/>
    <w:rsid w:val="00105BD1"/>
    <w:pPr>
      <w:ind w:left="720"/>
      <w:contextualSpacing/>
    </w:pPr>
  </w:style>
  <w:style w:type="character" w:styleId="IntenseEmphasis">
    <w:name w:val="Intense Emphasis"/>
    <w:basedOn w:val="DefaultParagraphFont"/>
    <w:uiPriority w:val="21"/>
    <w:qFormat/>
    <w:rsid w:val="00105BD1"/>
    <w:rPr>
      <w:i/>
      <w:iCs/>
      <w:color w:val="2F5496" w:themeColor="accent1" w:themeShade="BF"/>
    </w:rPr>
  </w:style>
  <w:style w:type="paragraph" w:styleId="IntenseQuote">
    <w:name w:val="Intense Quote"/>
    <w:basedOn w:val="Normal"/>
    <w:next w:val="Normal"/>
    <w:link w:val="IntenseQuoteChar"/>
    <w:uiPriority w:val="30"/>
    <w:qFormat/>
    <w:rsid w:val="00105B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5BD1"/>
    <w:rPr>
      <w:i/>
      <w:iCs/>
      <w:color w:val="2F5496" w:themeColor="accent1" w:themeShade="BF"/>
    </w:rPr>
  </w:style>
  <w:style w:type="character" w:styleId="IntenseReference">
    <w:name w:val="Intense Reference"/>
    <w:basedOn w:val="DefaultParagraphFont"/>
    <w:uiPriority w:val="32"/>
    <w:qFormat/>
    <w:rsid w:val="00105BD1"/>
    <w:rPr>
      <w:b/>
      <w:bCs/>
      <w:smallCaps/>
      <w:color w:val="2F5496" w:themeColor="accent1" w:themeShade="BF"/>
      <w:spacing w:val="5"/>
    </w:rPr>
  </w:style>
  <w:style w:type="character" w:styleId="Hyperlink">
    <w:name w:val="Hyperlink"/>
    <w:basedOn w:val="DefaultParagraphFont"/>
    <w:uiPriority w:val="99"/>
    <w:unhideWhenUsed/>
    <w:rsid w:val="009E3A29"/>
    <w:rPr>
      <w:color w:val="0563C1" w:themeColor="hyperlink"/>
      <w:u w:val="single"/>
    </w:rPr>
  </w:style>
  <w:style w:type="character" w:styleId="UnresolvedMention">
    <w:name w:val="Unresolved Mention"/>
    <w:basedOn w:val="DefaultParagraphFont"/>
    <w:uiPriority w:val="99"/>
    <w:semiHidden/>
    <w:unhideWhenUsed/>
    <w:rsid w:val="009E3A29"/>
    <w:rPr>
      <w:color w:val="605E5C"/>
      <w:shd w:val="clear" w:color="auto" w:fill="E1DFDD"/>
    </w:rPr>
  </w:style>
  <w:style w:type="paragraph" w:styleId="Caption">
    <w:name w:val="caption"/>
    <w:basedOn w:val="Normal"/>
    <w:next w:val="Normal"/>
    <w:uiPriority w:val="35"/>
    <w:unhideWhenUsed/>
    <w:qFormat/>
    <w:rsid w:val="00F470A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53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157"/>
  </w:style>
  <w:style w:type="paragraph" w:styleId="Footer">
    <w:name w:val="footer"/>
    <w:basedOn w:val="Normal"/>
    <w:link w:val="FooterChar"/>
    <w:uiPriority w:val="99"/>
    <w:unhideWhenUsed/>
    <w:rsid w:val="00153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157"/>
  </w:style>
  <w:style w:type="paragraph" w:styleId="TOCHeading">
    <w:name w:val="TOC Heading"/>
    <w:basedOn w:val="Heading1"/>
    <w:next w:val="Normal"/>
    <w:uiPriority w:val="39"/>
    <w:unhideWhenUsed/>
    <w:qFormat/>
    <w:rsid w:val="00897A01"/>
    <w:pPr>
      <w:spacing w:before="240" w:after="0"/>
      <w:outlineLvl w:val="9"/>
    </w:pPr>
    <w:rPr>
      <w:kern w:val="0"/>
      <w:sz w:val="32"/>
      <w:szCs w:val="32"/>
      <w:lang w:val="en-US"/>
    </w:rPr>
  </w:style>
  <w:style w:type="paragraph" w:styleId="TOC1">
    <w:name w:val="toc 1"/>
    <w:basedOn w:val="Normal"/>
    <w:next w:val="Normal"/>
    <w:autoRedefine/>
    <w:uiPriority w:val="39"/>
    <w:unhideWhenUsed/>
    <w:rsid w:val="00897A01"/>
    <w:pPr>
      <w:spacing w:after="100"/>
    </w:pPr>
  </w:style>
  <w:style w:type="paragraph" w:styleId="TOC2">
    <w:name w:val="toc 2"/>
    <w:basedOn w:val="Normal"/>
    <w:next w:val="Normal"/>
    <w:autoRedefine/>
    <w:uiPriority w:val="39"/>
    <w:unhideWhenUsed/>
    <w:rsid w:val="00897A01"/>
    <w:pPr>
      <w:spacing w:after="100"/>
      <w:ind w:left="220"/>
    </w:pPr>
  </w:style>
  <w:style w:type="paragraph" w:styleId="NoSpacing">
    <w:name w:val="No Spacing"/>
    <w:link w:val="NoSpacingChar"/>
    <w:uiPriority w:val="1"/>
    <w:qFormat/>
    <w:rsid w:val="00BC2F94"/>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BC2F94"/>
    <w:rPr>
      <w:rFonts w:eastAsiaTheme="minorEastAsia"/>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Deadline submission: 23rd of March 2026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6" ma:contentTypeDescription="Create a new document." ma:contentTypeScope="" ma:versionID="27ead7b6b1d8621871394782403d7c07">
  <xsd:schema xmlns:xsd="http://www.w3.org/2001/XMLSchema" xmlns:xs="http://www.w3.org/2001/XMLSchema" xmlns:p="http://schemas.microsoft.com/office/2006/metadata/properties" xmlns:ns3="d97129d6-5105-44aa-8953-de11b416c376" targetNamespace="http://schemas.microsoft.com/office/2006/metadata/properties" ma:root="true" ma:fieldsID="1700c9ac91d8bb6b43fe89be42abf0da"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40DF41-1244-4F99-AA4F-B79161DD975E}">
  <ds:schemaRefs>
    <ds:schemaRef ds:uri="http://schemas.openxmlformats.org/officeDocument/2006/bibliography"/>
  </ds:schemaRefs>
</ds:datastoreItem>
</file>

<file path=customXml/itemProps3.xml><?xml version="1.0" encoding="utf-8"?>
<ds:datastoreItem xmlns:ds="http://schemas.openxmlformats.org/officeDocument/2006/customXml" ds:itemID="{FF6A409B-9064-4903-93B5-7D3DCA8FF0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9FB105-F17F-4DED-91FC-AF897D0F6906}">
  <ds:schemaRefs>
    <ds:schemaRef ds:uri="http://schemas.microsoft.com/sharepoint/v3/contenttype/forms"/>
  </ds:schemaRefs>
</ds:datastoreItem>
</file>

<file path=customXml/itemProps5.xml><?xml version="1.0" encoding="utf-8"?>
<ds:datastoreItem xmlns:ds="http://schemas.openxmlformats.org/officeDocument/2006/customXml" ds:itemID="{9D9C75DE-2630-46B7-B8EC-45DC238BD636}">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Properties xmlns="http://schemas.openxmlformats.org/officeDocument/2006/extended-properties" xmlns:vt="http://schemas.openxmlformats.org/officeDocument/2006/docPropsVTypes">
  <Template>Normal</Template>
  <TotalTime>707</TotalTime>
  <Pages>24</Pages>
  <Words>5552</Words>
  <Characters>31650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and concepts of finance (BMSW5012)</dc:title>
  <dc:subject>Budgeting Principles and Approaches at Silver Stitch Ltd</dc:subject>
  <dc:creator>Iustina Rusei (1905309)</dc:creator>
  <cp:keywords/>
  <dc:description/>
  <cp:lastModifiedBy>Iustina Mirela Rusei</cp:lastModifiedBy>
  <cp:revision>89</cp:revision>
  <dcterms:created xsi:type="dcterms:W3CDTF">2026-03-21T12:00:00Z</dcterms:created>
  <dcterms:modified xsi:type="dcterms:W3CDTF">2026-03-23T17:14:00Z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