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4F3FF8" w14:textId="77777777" w:rsidR="00CF5FE2" w:rsidRDefault="00BF3FFA">
      <w:r>
        <w:rPr>
          <w:noProof/>
        </w:rPr>
        <w:drawing>
          <wp:inline distT="114300" distB="114300" distL="114300" distR="114300" wp14:anchorId="470CC7EB" wp14:editId="505E6234">
            <wp:extent cx="1645912" cy="659473"/>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1645912" cy="659473"/>
                    </a:xfrm>
                    <a:prstGeom prst="rect">
                      <a:avLst/>
                    </a:prstGeom>
                    <a:ln/>
                  </pic:spPr>
                </pic:pic>
              </a:graphicData>
            </a:graphic>
          </wp:inline>
        </w:drawing>
      </w:r>
      <w:r>
        <w:t xml:space="preserve"> </w:t>
      </w:r>
    </w:p>
    <w:p w14:paraId="2F55E164" w14:textId="77777777" w:rsidR="00CF5FE2" w:rsidRDefault="00BF3FFA">
      <w:pPr>
        <w:jc w:val="right"/>
        <w:rPr>
          <w:b/>
          <w:bCs/>
        </w:rPr>
      </w:pPr>
      <w:r>
        <w:rPr>
          <w:b/>
          <w:bCs/>
        </w:rPr>
        <w:t>APPENDIX GA36d</w:t>
      </w:r>
    </w:p>
    <w:tbl>
      <w:tblPr>
        <w:tblStyle w:val="a3"/>
        <w:tblW w:w="9013" w:type="dxa"/>
        <w:jc w:val="center"/>
        <w:tblBorders>
          <w:top w:val="nil"/>
          <w:left w:val="nil"/>
          <w:bottom w:val="nil"/>
          <w:right w:val="nil"/>
          <w:insideH w:val="nil"/>
          <w:insideV w:val="nil"/>
        </w:tblBorders>
        <w:tblLayout w:type="fixed"/>
        <w:tblLook w:val="0600" w:firstRow="0" w:lastRow="0" w:firstColumn="0" w:lastColumn="0" w:noHBand="1" w:noVBand="1"/>
      </w:tblPr>
      <w:tblGrid>
        <w:gridCol w:w="9013"/>
      </w:tblGrid>
      <w:tr w:rsidR="00CF5FE2" w14:paraId="02BBB59F" w14:textId="77777777">
        <w:trPr>
          <w:trHeight w:val="372"/>
          <w:jc w:val="center"/>
        </w:trPr>
        <w:tc>
          <w:tcPr>
            <w:tcW w:w="9013"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0CB47A12" w14:textId="77777777" w:rsidR="00CF5FE2" w:rsidRDefault="00BF3FFA">
            <w:pPr>
              <w:ind w:left="400"/>
              <w:jc w:val="center"/>
              <w:rPr>
                <w:b/>
                <w:bCs/>
              </w:rPr>
            </w:pPr>
            <w:r>
              <w:rPr>
                <w:b/>
                <w:bCs/>
              </w:rPr>
              <w:t>LEVEL 7 ASSESSMENT SPECIFICATION</w:t>
            </w:r>
          </w:p>
        </w:tc>
      </w:tr>
    </w:tbl>
    <w:p w14:paraId="76334743" w14:textId="77777777" w:rsidR="00CF5FE2" w:rsidRDefault="00CF5FE2"/>
    <w:tbl>
      <w:tblPr>
        <w:tblStyle w:val="a4"/>
        <w:tblW w:w="9009" w:type="dxa"/>
        <w:jc w:val="center"/>
        <w:tblBorders>
          <w:top w:val="nil"/>
          <w:left w:val="nil"/>
          <w:bottom w:val="nil"/>
          <w:right w:val="nil"/>
          <w:insideH w:val="nil"/>
          <w:insideV w:val="nil"/>
        </w:tblBorders>
        <w:tblLayout w:type="fixed"/>
        <w:tblLook w:val="0600" w:firstRow="0" w:lastRow="0" w:firstColumn="0" w:lastColumn="0" w:noHBand="1" w:noVBand="1"/>
      </w:tblPr>
      <w:tblGrid>
        <w:gridCol w:w="2048"/>
        <w:gridCol w:w="2593"/>
        <w:gridCol w:w="2337"/>
        <w:gridCol w:w="2031"/>
      </w:tblGrid>
      <w:tr w:rsidR="00CF5FE2" w14:paraId="51B129C2" w14:textId="77777777">
        <w:trPr>
          <w:trHeight w:val="750"/>
          <w:jc w:val="center"/>
        </w:trPr>
        <w:tc>
          <w:tcPr>
            <w:tcW w:w="2048"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2841BF84" w14:textId="77777777" w:rsidR="00CF5FE2" w:rsidRDefault="00BF3FFA">
            <w:pPr>
              <w:ind w:left="400"/>
              <w:rPr>
                <w:b/>
                <w:bCs/>
                <w:sz w:val="22"/>
                <w:szCs w:val="22"/>
              </w:rPr>
            </w:pPr>
            <w:r>
              <w:rPr>
                <w:b/>
                <w:bCs/>
                <w:sz w:val="22"/>
                <w:szCs w:val="22"/>
              </w:rPr>
              <w:t>Student name:</w:t>
            </w:r>
          </w:p>
        </w:tc>
        <w:tc>
          <w:tcPr>
            <w:tcW w:w="2593"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14:paraId="7D5D0430" w14:textId="6D7F0BAB" w:rsidR="00CF5FE2" w:rsidRDefault="000A6AC8">
            <w:pPr>
              <w:ind w:left="400"/>
              <w:rPr>
                <w:b/>
                <w:bCs/>
                <w:sz w:val="22"/>
                <w:szCs w:val="22"/>
              </w:rPr>
            </w:pPr>
            <w:r>
              <w:rPr>
                <w:b/>
                <w:bCs/>
                <w:sz w:val="22"/>
                <w:szCs w:val="22"/>
              </w:rPr>
              <w:t>Vaibhavikumari Solanki</w:t>
            </w:r>
            <w:r w:rsidR="00BF3FFA">
              <w:rPr>
                <w:b/>
                <w:bCs/>
                <w:sz w:val="22"/>
                <w:szCs w:val="22"/>
              </w:rPr>
              <w:t xml:space="preserve">     </w:t>
            </w:r>
          </w:p>
        </w:tc>
        <w:tc>
          <w:tcPr>
            <w:tcW w:w="2337" w:type="dxa"/>
            <w:tcBorders>
              <w:top w:val="single" w:sz="8" w:space="0" w:color="000000"/>
              <w:left w:val="nil"/>
              <w:bottom w:val="single" w:sz="8" w:space="0" w:color="000000"/>
              <w:right w:val="single" w:sz="8" w:space="0" w:color="000000"/>
            </w:tcBorders>
            <w:shd w:val="clear" w:color="auto" w:fill="D9D9D9"/>
            <w:tcMar>
              <w:top w:w="0" w:type="dxa"/>
              <w:left w:w="100" w:type="dxa"/>
              <w:bottom w:w="0" w:type="dxa"/>
              <w:right w:w="100" w:type="dxa"/>
            </w:tcMar>
          </w:tcPr>
          <w:p w14:paraId="7476B273" w14:textId="77777777" w:rsidR="00CF5FE2" w:rsidRDefault="00BF3FFA">
            <w:pPr>
              <w:ind w:left="400"/>
              <w:rPr>
                <w:b/>
                <w:bCs/>
                <w:sz w:val="22"/>
                <w:szCs w:val="22"/>
              </w:rPr>
            </w:pPr>
            <w:r>
              <w:rPr>
                <w:b/>
                <w:bCs/>
                <w:sz w:val="22"/>
                <w:szCs w:val="22"/>
              </w:rPr>
              <w:t>Student ID number:</w:t>
            </w:r>
          </w:p>
        </w:tc>
        <w:tc>
          <w:tcPr>
            <w:tcW w:w="2031"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14:paraId="08A8E04A" w14:textId="1BDFBE4A" w:rsidR="00CF5FE2" w:rsidRDefault="00BF3FFA">
            <w:pPr>
              <w:ind w:left="400"/>
              <w:rPr>
                <w:b/>
                <w:bCs/>
                <w:sz w:val="22"/>
                <w:szCs w:val="22"/>
              </w:rPr>
            </w:pPr>
            <w:r>
              <w:rPr>
                <w:b/>
                <w:bCs/>
                <w:sz w:val="22"/>
                <w:szCs w:val="22"/>
              </w:rPr>
              <w:t xml:space="preserve"> </w:t>
            </w:r>
            <w:r w:rsidR="000A6AC8">
              <w:rPr>
                <w:b/>
                <w:bCs/>
                <w:sz w:val="22"/>
                <w:szCs w:val="22"/>
              </w:rPr>
              <w:t>2511313</w:t>
            </w:r>
          </w:p>
        </w:tc>
      </w:tr>
      <w:tr w:rsidR="00CF5FE2" w14:paraId="772C6DC6" w14:textId="77777777">
        <w:trPr>
          <w:trHeight w:val="495"/>
          <w:jc w:val="center"/>
        </w:trPr>
        <w:tc>
          <w:tcPr>
            <w:tcW w:w="2048"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149BDE22" w14:textId="77777777" w:rsidR="00CF5FE2" w:rsidRDefault="00BF3FFA">
            <w:pPr>
              <w:ind w:left="400"/>
              <w:rPr>
                <w:b/>
                <w:bCs/>
                <w:sz w:val="22"/>
                <w:szCs w:val="22"/>
              </w:rPr>
            </w:pPr>
            <w:r>
              <w:rPr>
                <w:b/>
                <w:bCs/>
                <w:sz w:val="22"/>
                <w:szCs w:val="22"/>
              </w:rPr>
              <w:t>Programme:</w:t>
            </w:r>
          </w:p>
        </w:tc>
        <w:tc>
          <w:tcPr>
            <w:tcW w:w="6961" w:type="dxa"/>
            <w:gridSpan w:val="3"/>
            <w:tcBorders>
              <w:top w:val="nil"/>
              <w:left w:val="nil"/>
              <w:bottom w:val="single" w:sz="8" w:space="0" w:color="000000"/>
              <w:right w:val="single" w:sz="8" w:space="0" w:color="000000"/>
            </w:tcBorders>
            <w:tcMar>
              <w:top w:w="0" w:type="dxa"/>
              <w:left w:w="100" w:type="dxa"/>
              <w:bottom w:w="0" w:type="dxa"/>
              <w:right w:w="100" w:type="dxa"/>
            </w:tcMar>
          </w:tcPr>
          <w:p w14:paraId="3AA56BFC" w14:textId="77777777" w:rsidR="00CF5FE2" w:rsidRDefault="00BF3FFA">
            <w:pPr>
              <w:ind w:left="400"/>
              <w:rPr>
                <w:b/>
                <w:bCs/>
                <w:sz w:val="22"/>
                <w:szCs w:val="22"/>
              </w:rPr>
            </w:pPr>
            <w:r>
              <w:rPr>
                <w:b/>
                <w:bCs/>
                <w:sz w:val="22"/>
                <w:szCs w:val="22"/>
              </w:rPr>
              <w:t>MSc Data and Artificial Intelligence</w:t>
            </w:r>
          </w:p>
        </w:tc>
      </w:tr>
      <w:tr w:rsidR="00CF5FE2" w14:paraId="11B3C9F1" w14:textId="77777777">
        <w:trPr>
          <w:trHeight w:val="495"/>
          <w:jc w:val="center"/>
        </w:trPr>
        <w:tc>
          <w:tcPr>
            <w:tcW w:w="2048"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7E7C2CDA" w14:textId="77777777" w:rsidR="00CF5FE2" w:rsidRDefault="00BF3FFA">
            <w:pPr>
              <w:ind w:left="400"/>
              <w:rPr>
                <w:b/>
                <w:bCs/>
                <w:sz w:val="22"/>
                <w:szCs w:val="22"/>
              </w:rPr>
            </w:pPr>
            <w:r>
              <w:rPr>
                <w:b/>
                <w:bCs/>
                <w:sz w:val="22"/>
                <w:szCs w:val="22"/>
              </w:rPr>
              <w:t>Module:</w:t>
            </w:r>
          </w:p>
        </w:tc>
        <w:tc>
          <w:tcPr>
            <w:tcW w:w="6961" w:type="dxa"/>
            <w:gridSpan w:val="3"/>
            <w:tcBorders>
              <w:top w:val="nil"/>
              <w:left w:val="nil"/>
              <w:bottom w:val="single" w:sz="8" w:space="0" w:color="000000"/>
              <w:right w:val="single" w:sz="8" w:space="0" w:color="000000"/>
            </w:tcBorders>
            <w:tcMar>
              <w:top w:w="0" w:type="dxa"/>
              <w:left w:w="100" w:type="dxa"/>
              <w:bottom w:w="0" w:type="dxa"/>
              <w:right w:w="100" w:type="dxa"/>
            </w:tcMar>
          </w:tcPr>
          <w:p w14:paraId="7CD1A4FF" w14:textId="77777777" w:rsidR="00CF5FE2" w:rsidRDefault="00BF3FFA">
            <w:pPr>
              <w:ind w:left="400"/>
              <w:rPr>
                <w:b/>
                <w:bCs/>
                <w:sz w:val="22"/>
                <w:szCs w:val="22"/>
              </w:rPr>
            </w:pPr>
            <w:r>
              <w:rPr>
                <w:b/>
                <w:bCs/>
                <w:sz w:val="22"/>
                <w:szCs w:val="22"/>
              </w:rPr>
              <w:t>Data Security, Governance and Compliance</w:t>
            </w:r>
          </w:p>
        </w:tc>
      </w:tr>
      <w:tr w:rsidR="00CF5FE2" w14:paraId="60BC568A" w14:textId="77777777">
        <w:trPr>
          <w:trHeight w:val="1050"/>
          <w:jc w:val="center"/>
        </w:trPr>
        <w:tc>
          <w:tcPr>
            <w:tcW w:w="2048"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3956ED68" w14:textId="77777777" w:rsidR="00CF5FE2" w:rsidRDefault="00BF3FFA">
            <w:pPr>
              <w:ind w:left="400"/>
              <w:rPr>
                <w:b/>
                <w:bCs/>
                <w:sz w:val="22"/>
                <w:szCs w:val="22"/>
              </w:rPr>
            </w:pPr>
            <w:r>
              <w:rPr>
                <w:b/>
                <w:bCs/>
                <w:sz w:val="22"/>
                <w:szCs w:val="22"/>
              </w:rPr>
              <w:t>Module code:</w:t>
            </w:r>
          </w:p>
        </w:tc>
        <w:tc>
          <w:tcPr>
            <w:tcW w:w="2593" w:type="dxa"/>
            <w:tcBorders>
              <w:top w:val="nil"/>
              <w:left w:val="nil"/>
              <w:bottom w:val="single" w:sz="8" w:space="0" w:color="000000"/>
              <w:right w:val="single" w:sz="8" w:space="0" w:color="000000"/>
            </w:tcBorders>
            <w:tcMar>
              <w:top w:w="0" w:type="dxa"/>
              <w:left w:w="100" w:type="dxa"/>
              <w:bottom w:w="0" w:type="dxa"/>
              <w:right w:w="100" w:type="dxa"/>
            </w:tcMar>
          </w:tcPr>
          <w:p w14:paraId="56DE73DD" w14:textId="77777777" w:rsidR="00CF5FE2" w:rsidRDefault="00BF3FFA">
            <w:pPr>
              <w:ind w:left="400"/>
              <w:rPr>
                <w:b/>
                <w:bCs/>
                <w:sz w:val="22"/>
                <w:szCs w:val="22"/>
              </w:rPr>
            </w:pPr>
            <w:r>
              <w:rPr>
                <w:b/>
                <w:bCs/>
                <w:sz w:val="22"/>
                <w:szCs w:val="22"/>
              </w:rPr>
              <w:t>ACCA7028</w:t>
            </w:r>
          </w:p>
        </w:tc>
        <w:tc>
          <w:tcPr>
            <w:tcW w:w="2337" w:type="dxa"/>
            <w:tcBorders>
              <w:top w:val="nil"/>
              <w:left w:val="nil"/>
              <w:bottom w:val="single" w:sz="8" w:space="0" w:color="000000"/>
              <w:right w:val="single" w:sz="8" w:space="0" w:color="000000"/>
            </w:tcBorders>
            <w:shd w:val="clear" w:color="auto" w:fill="D9D9D9"/>
            <w:tcMar>
              <w:top w:w="0" w:type="dxa"/>
              <w:left w:w="100" w:type="dxa"/>
              <w:bottom w:w="0" w:type="dxa"/>
              <w:right w:w="100" w:type="dxa"/>
            </w:tcMar>
          </w:tcPr>
          <w:p w14:paraId="2F0FD142" w14:textId="77777777" w:rsidR="00CF5FE2" w:rsidRDefault="00BF3FFA">
            <w:pPr>
              <w:ind w:left="400"/>
              <w:rPr>
                <w:b/>
                <w:bCs/>
              </w:rPr>
            </w:pPr>
            <w:r>
              <w:rPr>
                <w:b/>
                <w:bCs/>
              </w:rPr>
              <w:t>Contribution to Overall Module Assessment (%):</w:t>
            </w:r>
          </w:p>
        </w:tc>
        <w:tc>
          <w:tcPr>
            <w:tcW w:w="2031" w:type="dxa"/>
            <w:tcBorders>
              <w:top w:val="nil"/>
              <w:left w:val="nil"/>
              <w:bottom w:val="single" w:sz="8" w:space="0" w:color="000000"/>
              <w:right w:val="single" w:sz="8" w:space="0" w:color="000000"/>
            </w:tcBorders>
            <w:tcMar>
              <w:top w:w="0" w:type="dxa"/>
              <w:left w:w="100" w:type="dxa"/>
              <w:bottom w:w="0" w:type="dxa"/>
              <w:right w:w="100" w:type="dxa"/>
            </w:tcMar>
          </w:tcPr>
          <w:p w14:paraId="0CDBA101" w14:textId="77777777" w:rsidR="00CF5FE2" w:rsidRDefault="00BF3FFA">
            <w:pPr>
              <w:ind w:left="400"/>
              <w:rPr>
                <w:b/>
                <w:bCs/>
                <w:sz w:val="22"/>
                <w:szCs w:val="22"/>
              </w:rPr>
            </w:pPr>
            <w:r>
              <w:rPr>
                <w:b/>
                <w:bCs/>
                <w:sz w:val="22"/>
                <w:szCs w:val="22"/>
              </w:rPr>
              <w:t>50%</w:t>
            </w:r>
          </w:p>
        </w:tc>
      </w:tr>
      <w:tr w:rsidR="00CF5FE2" w14:paraId="3707327F" w14:textId="77777777">
        <w:trPr>
          <w:trHeight w:val="750"/>
          <w:jc w:val="center"/>
        </w:trPr>
        <w:tc>
          <w:tcPr>
            <w:tcW w:w="2048"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3450C84C" w14:textId="77777777" w:rsidR="00CF5FE2" w:rsidRDefault="00BF3FFA">
            <w:pPr>
              <w:ind w:left="400"/>
              <w:rPr>
                <w:b/>
                <w:bCs/>
                <w:sz w:val="22"/>
                <w:szCs w:val="22"/>
              </w:rPr>
            </w:pPr>
            <w:r>
              <w:rPr>
                <w:b/>
                <w:bCs/>
                <w:sz w:val="22"/>
                <w:szCs w:val="22"/>
              </w:rPr>
              <w:t>Lecturer:</w:t>
            </w:r>
          </w:p>
        </w:tc>
        <w:tc>
          <w:tcPr>
            <w:tcW w:w="2593" w:type="dxa"/>
            <w:tcBorders>
              <w:top w:val="nil"/>
              <w:left w:val="nil"/>
              <w:bottom w:val="single" w:sz="8" w:space="0" w:color="000000"/>
              <w:right w:val="single" w:sz="8" w:space="0" w:color="000000"/>
            </w:tcBorders>
            <w:tcMar>
              <w:top w:w="0" w:type="dxa"/>
              <w:left w:w="100" w:type="dxa"/>
              <w:bottom w:w="0" w:type="dxa"/>
              <w:right w:w="100" w:type="dxa"/>
            </w:tcMar>
          </w:tcPr>
          <w:p w14:paraId="1A20CF1F" w14:textId="77777777" w:rsidR="00CF5FE2" w:rsidRDefault="00BF3FFA">
            <w:pPr>
              <w:ind w:left="400"/>
              <w:rPr>
                <w:b/>
                <w:bCs/>
                <w:sz w:val="22"/>
                <w:szCs w:val="22"/>
              </w:rPr>
            </w:pPr>
            <w:r>
              <w:rPr>
                <w:b/>
                <w:bCs/>
                <w:sz w:val="22"/>
                <w:szCs w:val="22"/>
              </w:rPr>
              <w:t>Dr Vijeyananthan Thayananthan</w:t>
            </w:r>
          </w:p>
        </w:tc>
        <w:tc>
          <w:tcPr>
            <w:tcW w:w="2337" w:type="dxa"/>
            <w:tcBorders>
              <w:top w:val="nil"/>
              <w:left w:val="nil"/>
              <w:bottom w:val="single" w:sz="8" w:space="0" w:color="000000"/>
              <w:right w:val="single" w:sz="8" w:space="0" w:color="000000"/>
            </w:tcBorders>
            <w:shd w:val="clear" w:color="auto" w:fill="D9D9D9"/>
            <w:tcMar>
              <w:top w:w="0" w:type="dxa"/>
              <w:left w:w="100" w:type="dxa"/>
              <w:bottom w:w="0" w:type="dxa"/>
              <w:right w:w="100" w:type="dxa"/>
            </w:tcMar>
          </w:tcPr>
          <w:p w14:paraId="77B6A4FC" w14:textId="77777777" w:rsidR="00CF5FE2" w:rsidRDefault="00BF3FFA">
            <w:pPr>
              <w:ind w:left="400"/>
              <w:rPr>
                <w:b/>
                <w:bCs/>
                <w:sz w:val="22"/>
                <w:szCs w:val="22"/>
              </w:rPr>
            </w:pPr>
            <w:r>
              <w:rPr>
                <w:b/>
                <w:bCs/>
                <w:sz w:val="22"/>
                <w:szCs w:val="22"/>
              </w:rPr>
              <w:t>Internal Verifier:</w:t>
            </w:r>
          </w:p>
        </w:tc>
        <w:tc>
          <w:tcPr>
            <w:tcW w:w="2031" w:type="dxa"/>
            <w:tcBorders>
              <w:top w:val="nil"/>
              <w:left w:val="nil"/>
              <w:bottom w:val="single" w:sz="8" w:space="0" w:color="000000"/>
              <w:right w:val="single" w:sz="8" w:space="0" w:color="000000"/>
            </w:tcBorders>
            <w:tcMar>
              <w:top w:w="0" w:type="dxa"/>
              <w:left w:w="100" w:type="dxa"/>
              <w:bottom w:w="0" w:type="dxa"/>
              <w:right w:w="100" w:type="dxa"/>
            </w:tcMar>
          </w:tcPr>
          <w:p w14:paraId="34E457C0" w14:textId="77777777" w:rsidR="00CF5FE2" w:rsidRDefault="00BF3FFA">
            <w:pPr>
              <w:ind w:left="400"/>
              <w:rPr>
                <w:b/>
                <w:bCs/>
                <w:sz w:val="22"/>
                <w:szCs w:val="22"/>
              </w:rPr>
            </w:pPr>
            <w:r>
              <w:rPr>
                <w:b/>
                <w:bCs/>
                <w:sz w:val="22"/>
                <w:szCs w:val="22"/>
              </w:rPr>
              <w:t>Prof. Nik Whitehead</w:t>
            </w:r>
          </w:p>
        </w:tc>
      </w:tr>
      <w:tr w:rsidR="00CF5FE2" w14:paraId="3C91DCE7" w14:textId="77777777">
        <w:trPr>
          <w:trHeight w:val="1725"/>
          <w:jc w:val="center"/>
        </w:trPr>
        <w:tc>
          <w:tcPr>
            <w:tcW w:w="2048"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2A29127F" w14:textId="77777777" w:rsidR="00CF5FE2" w:rsidRDefault="00BF3FFA">
            <w:pPr>
              <w:ind w:left="400"/>
              <w:rPr>
                <w:b/>
                <w:bCs/>
                <w:sz w:val="22"/>
                <w:szCs w:val="22"/>
              </w:rPr>
            </w:pPr>
            <w:r>
              <w:rPr>
                <w:b/>
                <w:bCs/>
                <w:sz w:val="22"/>
                <w:szCs w:val="22"/>
              </w:rPr>
              <w:t>Assignment Title:</w:t>
            </w:r>
          </w:p>
        </w:tc>
        <w:tc>
          <w:tcPr>
            <w:tcW w:w="2593" w:type="dxa"/>
            <w:tcBorders>
              <w:top w:val="nil"/>
              <w:left w:val="nil"/>
              <w:bottom w:val="single" w:sz="8" w:space="0" w:color="000000"/>
              <w:right w:val="single" w:sz="8" w:space="0" w:color="000000"/>
            </w:tcBorders>
            <w:tcMar>
              <w:top w:w="0" w:type="dxa"/>
              <w:left w:w="100" w:type="dxa"/>
              <w:bottom w:w="0" w:type="dxa"/>
              <w:right w:w="100" w:type="dxa"/>
            </w:tcMar>
          </w:tcPr>
          <w:p w14:paraId="04B75C3F" w14:textId="77777777" w:rsidR="00CF5FE2" w:rsidRDefault="00BF3FFA">
            <w:pPr>
              <w:ind w:left="400"/>
            </w:pPr>
            <w:r>
              <w:t>Apply the principles and practices of Data security, Governance and Compliance based on a given scenario.</w:t>
            </w:r>
          </w:p>
        </w:tc>
        <w:tc>
          <w:tcPr>
            <w:tcW w:w="2337" w:type="dxa"/>
            <w:tcBorders>
              <w:top w:val="nil"/>
              <w:left w:val="nil"/>
              <w:bottom w:val="single" w:sz="8" w:space="0" w:color="000000"/>
              <w:right w:val="single" w:sz="8" w:space="0" w:color="000000"/>
            </w:tcBorders>
            <w:tcMar>
              <w:top w:w="0" w:type="dxa"/>
              <w:left w:w="100" w:type="dxa"/>
              <w:bottom w:w="0" w:type="dxa"/>
              <w:right w:w="100" w:type="dxa"/>
            </w:tcMar>
          </w:tcPr>
          <w:p w14:paraId="095A82A7" w14:textId="77777777" w:rsidR="00CF5FE2" w:rsidRDefault="00BF3FFA">
            <w:pPr>
              <w:ind w:left="400"/>
              <w:rPr>
                <w:b/>
                <w:bCs/>
                <w:sz w:val="22"/>
                <w:szCs w:val="22"/>
              </w:rPr>
            </w:pPr>
            <w:r>
              <w:rPr>
                <w:b/>
                <w:bCs/>
                <w:sz w:val="22"/>
                <w:szCs w:val="22"/>
              </w:rPr>
              <w:t>Word count (or equivalent):</w:t>
            </w:r>
          </w:p>
        </w:tc>
        <w:tc>
          <w:tcPr>
            <w:tcW w:w="2031" w:type="dxa"/>
            <w:tcBorders>
              <w:top w:val="nil"/>
              <w:left w:val="nil"/>
              <w:bottom w:val="single" w:sz="8" w:space="0" w:color="000000"/>
              <w:right w:val="single" w:sz="8" w:space="0" w:color="000000"/>
            </w:tcBorders>
            <w:tcMar>
              <w:top w:w="0" w:type="dxa"/>
              <w:left w:w="100" w:type="dxa"/>
              <w:bottom w:w="0" w:type="dxa"/>
              <w:right w:w="100" w:type="dxa"/>
            </w:tcMar>
          </w:tcPr>
          <w:p w14:paraId="7053091F" w14:textId="77777777" w:rsidR="00CF5FE2" w:rsidRDefault="00BF3FFA">
            <w:pPr>
              <w:ind w:left="400"/>
              <w:rPr>
                <w:b/>
                <w:bCs/>
                <w:sz w:val="22"/>
                <w:szCs w:val="22"/>
              </w:rPr>
            </w:pPr>
            <w:r>
              <w:rPr>
                <w:b/>
                <w:bCs/>
                <w:sz w:val="22"/>
                <w:szCs w:val="22"/>
              </w:rPr>
              <w:t>3000</w:t>
            </w:r>
          </w:p>
        </w:tc>
      </w:tr>
      <w:tr w:rsidR="00CF5FE2" w14:paraId="07D75F66" w14:textId="77777777">
        <w:trPr>
          <w:trHeight w:val="1230"/>
          <w:jc w:val="center"/>
        </w:trPr>
        <w:tc>
          <w:tcPr>
            <w:tcW w:w="2048"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42D46076" w14:textId="77777777" w:rsidR="00CF5FE2" w:rsidRDefault="00BF3FFA">
            <w:pPr>
              <w:ind w:left="400"/>
              <w:rPr>
                <w:b/>
                <w:bCs/>
                <w:sz w:val="22"/>
                <w:szCs w:val="22"/>
              </w:rPr>
            </w:pPr>
            <w:r>
              <w:rPr>
                <w:b/>
                <w:bCs/>
                <w:sz w:val="22"/>
                <w:szCs w:val="22"/>
              </w:rPr>
              <w:t>Submission deadline:</w:t>
            </w:r>
          </w:p>
        </w:tc>
        <w:tc>
          <w:tcPr>
            <w:tcW w:w="2593" w:type="dxa"/>
            <w:tcBorders>
              <w:top w:val="nil"/>
              <w:left w:val="nil"/>
              <w:bottom w:val="single" w:sz="8" w:space="0" w:color="000000"/>
              <w:right w:val="single" w:sz="8" w:space="0" w:color="000000"/>
            </w:tcBorders>
            <w:tcMar>
              <w:top w:w="0" w:type="dxa"/>
              <w:left w:w="100" w:type="dxa"/>
              <w:bottom w:w="0" w:type="dxa"/>
              <w:right w:w="100" w:type="dxa"/>
            </w:tcMar>
          </w:tcPr>
          <w:p w14:paraId="688560D6" w14:textId="77777777" w:rsidR="00CF5FE2" w:rsidRDefault="00BF3FFA">
            <w:pPr>
              <w:ind w:left="400"/>
              <w:rPr>
                <w:b/>
                <w:bCs/>
                <w:sz w:val="22"/>
                <w:szCs w:val="22"/>
              </w:rPr>
            </w:pPr>
            <w:r>
              <w:rPr>
                <w:b/>
                <w:bCs/>
                <w:sz w:val="22"/>
                <w:szCs w:val="22"/>
              </w:rPr>
              <w:t xml:space="preserve"> </w:t>
            </w:r>
          </w:p>
          <w:p w14:paraId="5FE0E701" w14:textId="77777777" w:rsidR="00CF5FE2" w:rsidRDefault="00BF3FFA">
            <w:pPr>
              <w:ind w:left="400"/>
              <w:rPr>
                <w:b/>
                <w:bCs/>
                <w:sz w:val="22"/>
                <w:szCs w:val="22"/>
              </w:rPr>
            </w:pPr>
            <w:r>
              <w:rPr>
                <w:b/>
                <w:bCs/>
                <w:sz w:val="22"/>
                <w:szCs w:val="22"/>
              </w:rPr>
              <w:t>Thursday, 2 April 2026</w:t>
            </w:r>
          </w:p>
        </w:tc>
        <w:tc>
          <w:tcPr>
            <w:tcW w:w="2337" w:type="dxa"/>
            <w:tcBorders>
              <w:top w:val="nil"/>
              <w:left w:val="nil"/>
              <w:bottom w:val="single" w:sz="8" w:space="0" w:color="000000"/>
              <w:right w:val="single" w:sz="8" w:space="0" w:color="000000"/>
            </w:tcBorders>
            <w:tcMar>
              <w:top w:w="0" w:type="dxa"/>
              <w:left w:w="100" w:type="dxa"/>
              <w:bottom w:w="0" w:type="dxa"/>
              <w:right w:w="100" w:type="dxa"/>
            </w:tcMar>
          </w:tcPr>
          <w:p w14:paraId="520AF577" w14:textId="77777777" w:rsidR="00CF5FE2" w:rsidRDefault="00BF3FFA">
            <w:pPr>
              <w:ind w:left="400"/>
              <w:rPr>
                <w:b/>
                <w:bCs/>
                <w:sz w:val="22"/>
                <w:szCs w:val="22"/>
              </w:rPr>
            </w:pPr>
            <w:r>
              <w:rPr>
                <w:b/>
                <w:bCs/>
                <w:sz w:val="22"/>
                <w:szCs w:val="22"/>
              </w:rPr>
              <w:t>Return date of provisional marks &amp; written feedback:</w:t>
            </w:r>
          </w:p>
        </w:tc>
        <w:tc>
          <w:tcPr>
            <w:tcW w:w="2031" w:type="dxa"/>
            <w:tcBorders>
              <w:top w:val="nil"/>
              <w:left w:val="nil"/>
              <w:bottom w:val="single" w:sz="8" w:space="0" w:color="000000"/>
              <w:right w:val="single" w:sz="8" w:space="0" w:color="000000"/>
            </w:tcBorders>
            <w:tcMar>
              <w:top w:w="0" w:type="dxa"/>
              <w:left w:w="100" w:type="dxa"/>
              <w:bottom w:w="0" w:type="dxa"/>
              <w:right w:w="100" w:type="dxa"/>
            </w:tcMar>
          </w:tcPr>
          <w:p w14:paraId="0977C9D9" w14:textId="77777777" w:rsidR="00CF5FE2" w:rsidRDefault="00BF3FFA">
            <w:pPr>
              <w:ind w:left="400"/>
              <w:rPr>
                <w:b/>
                <w:bCs/>
                <w:sz w:val="22"/>
                <w:szCs w:val="22"/>
              </w:rPr>
            </w:pPr>
            <w:r>
              <w:rPr>
                <w:b/>
                <w:bCs/>
                <w:sz w:val="22"/>
                <w:szCs w:val="22"/>
              </w:rPr>
              <w:t xml:space="preserve"> </w:t>
            </w:r>
          </w:p>
          <w:p w14:paraId="538747B9" w14:textId="77777777" w:rsidR="00CF5FE2" w:rsidRDefault="00BF3FFA">
            <w:pPr>
              <w:ind w:left="400"/>
              <w:rPr>
                <w:b/>
                <w:bCs/>
                <w:sz w:val="22"/>
                <w:szCs w:val="22"/>
              </w:rPr>
            </w:pPr>
            <w:r>
              <w:rPr>
                <w:b/>
                <w:bCs/>
                <w:sz w:val="22"/>
                <w:szCs w:val="22"/>
              </w:rPr>
              <w:t>Friday, 1 May 2026</w:t>
            </w:r>
          </w:p>
        </w:tc>
      </w:tr>
    </w:tbl>
    <w:p w14:paraId="6C7381B3" w14:textId="77777777" w:rsidR="00CF5FE2" w:rsidRDefault="00BF3FFA">
      <w:r>
        <w:br w:type="page"/>
      </w:r>
    </w:p>
    <w:p w14:paraId="2643B254" w14:textId="77777777" w:rsidR="00CF5FE2" w:rsidRDefault="00BF3FFA">
      <w:pPr>
        <w:keepNext/>
        <w:keepLines/>
        <w:pBdr>
          <w:top w:val="nil"/>
          <w:left w:val="nil"/>
          <w:bottom w:val="nil"/>
          <w:right w:val="nil"/>
          <w:between w:val="nil"/>
        </w:pBdr>
        <w:spacing w:before="240"/>
        <w:jc w:val="center"/>
        <w:rPr>
          <w:b/>
          <w:bCs/>
          <w:sz w:val="28"/>
          <w:szCs w:val="28"/>
        </w:rPr>
      </w:pPr>
      <w:r>
        <w:rPr>
          <w:b/>
          <w:bCs/>
          <w:sz w:val="28"/>
          <w:szCs w:val="28"/>
        </w:rPr>
        <w:lastRenderedPageBreak/>
        <w:t>Abstract</w:t>
      </w:r>
    </w:p>
    <w:p w14:paraId="0E1D1590" w14:textId="77777777" w:rsidR="00CF5FE2" w:rsidRDefault="00BF3FFA">
      <w:r>
        <w:t>FinSure Bank (FSB) is a rapidly emerging digital-native financial organisation, the infrastructure of which is hosted in the cloud. Such dependence on online-based services, mobile bank services and cross-border business increases the risks of cybersecurity, complexity of regulation and operational risks. It possesses a clear security, governance, and compliance system in order to secure sensitive financial data and business continuity and trustworthiness among the stakeholders.</w:t>
      </w:r>
    </w:p>
    <w:p w14:paraId="0CD0EF03" w14:textId="77777777" w:rsidR="00CF5FE2" w:rsidRDefault="00BF3FFA">
      <w:r>
        <w:t>Established guidelines such as ITIL, ISO/IEC 27000 Series, NIST Cybersecurity Framework, and COBIT offer supplementary principles towards establishing a formal Information Security Management System, enhanced governance regulation, and risk-reflexive protection means. The suggested solution incorporates strategic security management, layered protection measures, zero-trust design, constant monitoring, and incident response design. Regulatory compliance and especially ensuring alignment with the data protection and financial compliance regulations, are key to accountability and audit preparations.</w:t>
      </w:r>
      <w:r>
        <w:br w:type="page"/>
      </w:r>
    </w:p>
    <w:p w14:paraId="466DF452" w14:textId="77777777" w:rsidR="00CF5FE2" w:rsidRDefault="00BF3FFA">
      <w:pPr>
        <w:keepNext/>
        <w:keepLines/>
        <w:pBdr>
          <w:top w:val="nil"/>
          <w:left w:val="nil"/>
          <w:bottom w:val="nil"/>
          <w:right w:val="nil"/>
          <w:between w:val="nil"/>
        </w:pBdr>
        <w:jc w:val="center"/>
        <w:rPr>
          <w:b/>
          <w:bCs/>
          <w:color w:val="000000"/>
          <w:sz w:val="32"/>
          <w:szCs w:val="32"/>
        </w:rPr>
      </w:pPr>
      <w:r>
        <w:rPr>
          <w:b/>
          <w:bCs/>
          <w:color w:val="000000"/>
          <w:sz w:val="28"/>
          <w:szCs w:val="28"/>
        </w:rPr>
        <w:lastRenderedPageBreak/>
        <w:t>Table of Contents</w:t>
      </w:r>
    </w:p>
    <w:sdt>
      <w:sdtPr>
        <w:id w:val="-1177602391"/>
        <w:docPartObj>
          <w:docPartGallery w:val="Table of Contents"/>
          <w:docPartUnique/>
        </w:docPartObj>
      </w:sdtPr>
      <w:sdtContent>
        <w:p w14:paraId="0342CA68" w14:textId="77777777" w:rsidR="00B91EB6" w:rsidRDefault="00BF3FFA">
          <w:pPr>
            <w:pStyle w:val="TOC1"/>
            <w:tabs>
              <w:tab w:val="right" w:leader="dot" w:pos="9019"/>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23370810" w:history="1">
            <w:r w:rsidR="00B91EB6" w:rsidRPr="00212549">
              <w:rPr>
                <w:rStyle w:val="Hyperlink"/>
                <w:noProof/>
              </w:rPr>
              <w:t>Introduction</w:t>
            </w:r>
            <w:r w:rsidR="00B91EB6">
              <w:rPr>
                <w:noProof/>
                <w:webHidden/>
              </w:rPr>
              <w:tab/>
            </w:r>
            <w:r w:rsidR="00B91EB6">
              <w:rPr>
                <w:noProof/>
                <w:webHidden/>
              </w:rPr>
              <w:fldChar w:fldCharType="begin"/>
            </w:r>
            <w:r w:rsidR="00B91EB6">
              <w:rPr>
                <w:noProof/>
                <w:webHidden/>
              </w:rPr>
              <w:instrText xml:space="preserve"> PAGEREF _Toc223370810 \h </w:instrText>
            </w:r>
            <w:r w:rsidR="00B91EB6">
              <w:rPr>
                <w:noProof/>
                <w:webHidden/>
              </w:rPr>
            </w:r>
            <w:r w:rsidR="00B91EB6">
              <w:rPr>
                <w:noProof/>
                <w:webHidden/>
              </w:rPr>
              <w:fldChar w:fldCharType="separate"/>
            </w:r>
            <w:r w:rsidR="00B91EB6">
              <w:rPr>
                <w:noProof/>
                <w:webHidden/>
              </w:rPr>
              <w:t>4</w:t>
            </w:r>
            <w:r w:rsidR="00B91EB6">
              <w:rPr>
                <w:noProof/>
                <w:webHidden/>
              </w:rPr>
              <w:fldChar w:fldCharType="end"/>
            </w:r>
          </w:hyperlink>
        </w:p>
        <w:p w14:paraId="345B9860" w14:textId="77777777" w:rsidR="00B91EB6" w:rsidRDefault="00B91EB6">
          <w:pPr>
            <w:pStyle w:val="TOC1"/>
            <w:tabs>
              <w:tab w:val="right" w:leader="dot" w:pos="9019"/>
            </w:tabs>
            <w:rPr>
              <w:rFonts w:asciiTheme="minorHAnsi" w:eastAsiaTheme="minorEastAsia" w:hAnsiTheme="minorHAnsi" w:cstheme="minorBidi"/>
              <w:noProof/>
              <w:sz w:val="22"/>
              <w:szCs w:val="22"/>
            </w:rPr>
          </w:pPr>
          <w:hyperlink w:anchor="_Toc223370811" w:history="1">
            <w:r w:rsidRPr="00212549">
              <w:rPr>
                <w:rStyle w:val="Hyperlink"/>
                <w:noProof/>
              </w:rPr>
              <w:t>Case Scenario Overview and Problem Definition</w:t>
            </w:r>
            <w:r>
              <w:rPr>
                <w:noProof/>
                <w:webHidden/>
              </w:rPr>
              <w:tab/>
            </w:r>
            <w:r>
              <w:rPr>
                <w:noProof/>
                <w:webHidden/>
              </w:rPr>
              <w:fldChar w:fldCharType="begin"/>
            </w:r>
            <w:r>
              <w:rPr>
                <w:noProof/>
                <w:webHidden/>
              </w:rPr>
              <w:instrText xml:space="preserve"> PAGEREF _Toc223370811 \h </w:instrText>
            </w:r>
            <w:r>
              <w:rPr>
                <w:noProof/>
                <w:webHidden/>
              </w:rPr>
            </w:r>
            <w:r>
              <w:rPr>
                <w:noProof/>
                <w:webHidden/>
              </w:rPr>
              <w:fldChar w:fldCharType="separate"/>
            </w:r>
            <w:r>
              <w:rPr>
                <w:noProof/>
                <w:webHidden/>
              </w:rPr>
              <w:t>4</w:t>
            </w:r>
            <w:r>
              <w:rPr>
                <w:noProof/>
                <w:webHidden/>
              </w:rPr>
              <w:fldChar w:fldCharType="end"/>
            </w:r>
          </w:hyperlink>
        </w:p>
        <w:p w14:paraId="38F1753E" w14:textId="77777777" w:rsidR="00B91EB6" w:rsidRDefault="00B91EB6">
          <w:pPr>
            <w:pStyle w:val="TOC1"/>
            <w:tabs>
              <w:tab w:val="right" w:leader="dot" w:pos="9019"/>
            </w:tabs>
            <w:rPr>
              <w:rFonts w:asciiTheme="minorHAnsi" w:eastAsiaTheme="minorEastAsia" w:hAnsiTheme="minorHAnsi" w:cstheme="minorBidi"/>
              <w:noProof/>
              <w:sz w:val="22"/>
              <w:szCs w:val="22"/>
            </w:rPr>
          </w:pPr>
          <w:hyperlink w:anchor="_Toc223370812" w:history="1">
            <w:r w:rsidRPr="00212549">
              <w:rPr>
                <w:rStyle w:val="Hyperlink"/>
                <w:noProof/>
              </w:rPr>
              <w:t>Review of Security Frameworks and Models</w:t>
            </w:r>
            <w:r>
              <w:rPr>
                <w:noProof/>
                <w:webHidden/>
              </w:rPr>
              <w:tab/>
            </w:r>
            <w:r>
              <w:rPr>
                <w:noProof/>
                <w:webHidden/>
              </w:rPr>
              <w:fldChar w:fldCharType="begin"/>
            </w:r>
            <w:r>
              <w:rPr>
                <w:noProof/>
                <w:webHidden/>
              </w:rPr>
              <w:instrText xml:space="preserve"> PAGEREF _Toc223370812 \h </w:instrText>
            </w:r>
            <w:r>
              <w:rPr>
                <w:noProof/>
                <w:webHidden/>
              </w:rPr>
            </w:r>
            <w:r>
              <w:rPr>
                <w:noProof/>
                <w:webHidden/>
              </w:rPr>
              <w:fldChar w:fldCharType="separate"/>
            </w:r>
            <w:r>
              <w:rPr>
                <w:noProof/>
                <w:webHidden/>
              </w:rPr>
              <w:t>5</w:t>
            </w:r>
            <w:r>
              <w:rPr>
                <w:noProof/>
                <w:webHidden/>
              </w:rPr>
              <w:fldChar w:fldCharType="end"/>
            </w:r>
          </w:hyperlink>
        </w:p>
        <w:p w14:paraId="222B9841" w14:textId="77777777" w:rsidR="00B91EB6" w:rsidRDefault="00B91EB6">
          <w:pPr>
            <w:pStyle w:val="TOC2"/>
            <w:tabs>
              <w:tab w:val="right" w:leader="dot" w:pos="9019"/>
            </w:tabs>
            <w:rPr>
              <w:rFonts w:asciiTheme="minorHAnsi" w:eastAsiaTheme="minorEastAsia" w:hAnsiTheme="minorHAnsi" w:cstheme="minorBidi"/>
              <w:noProof/>
              <w:sz w:val="22"/>
              <w:szCs w:val="22"/>
            </w:rPr>
          </w:pPr>
          <w:hyperlink w:anchor="_Toc223370813" w:history="1">
            <w:r w:rsidRPr="00212549">
              <w:rPr>
                <w:rStyle w:val="Hyperlink"/>
                <w:noProof/>
              </w:rPr>
              <w:t>Information Technology Infrastructure Library (ITIL)</w:t>
            </w:r>
            <w:r>
              <w:rPr>
                <w:noProof/>
                <w:webHidden/>
              </w:rPr>
              <w:tab/>
            </w:r>
            <w:r>
              <w:rPr>
                <w:noProof/>
                <w:webHidden/>
              </w:rPr>
              <w:fldChar w:fldCharType="begin"/>
            </w:r>
            <w:r>
              <w:rPr>
                <w:noProof/>
                <w:webHidden/>
              </w:rPr>
              <w:instrText xml:space="preserve"> PAGEREF _Toc223370813 \h </w:instrText>
            </w:r>
            <w:r>
              <w:rPr>
                <w:noProof/>
                <w:webHidden/>
              </w:rPr>
            </w:r>
            <w:r>
              <w:rPr>
                <w:noProof/>
                <w:webHidden/>
              </w:rPr>
              <w:fldChar w:fldCharType="separate"/>
            </w:r>
            <w:r>
              <w:rPr>
                <w:noProof/>
                <w:webHidden/>
              </w:rPr>
              <w:t>5</w:t>
            </w:r>
            <w:r>
              <w:rPr>
                <w:noProof/>
                <w:webHidden/>
              </w:rPr>
              <w:fldChar w:fldCharType="end"/>
            </w:r>
          </w:hyperlink>
        </w:p>
        <w:p w14:paraId="7D7CA916" w14:textId="77777777" w:rsidR="00B91EB6" w:rsidRDefault="00B91EB6">
          <w:pPr>
            <w:pStyle w:val="TOC2"/>
            <w:tabs>
              <w:tab w:val="right" w:leader="dot" w:pos="9019"/>
            </w:tabs>
            <w:rPr>
              <w:rFonts w:asciiTheme="minorHAnsi" w:eastAsiaTheme="minorEastAsia" w:hAnsiTheme="minorHAnsi" w:cstheme="minorBidi"/>
              <w:noProof/>
              <w:sz w:val="22"/>
              <w:szCs w:val="22"/>
            </w:rPr>
          </w:pPr>
          <w:hyperlink w:anchor="_Toc223370814" w:history="1">
            <w:r w:rsidRPr="00212549">
              <w:rPr>
                <w:rStyle w:val="Hyperlink"/>
                <w:noProof/>
              </w:rPr>
              <w:t>ISO/IEC 27000 Series</w:t>
            </w:r>
            <w:r>
              <w:rPr>
                <w:noProof/>
                <w:webHidden/>
              </w:rPr>
              <w:tab/>
            </w:r>
            <w:r>
              <w:rPr>
                <w:noProof/>
                <w:webHidden/>
              </w:rPr>
              <w:fldChar w:fldCharType="begin"/>
            </w:r>
            <w:r>
              <w:rPr>
                <w:noProof/>
                <w:webHidden/>
              </w:rPr>
              <w:instrText xml:space="preserve"> PAGEREF _Toc223370814 \h </w:instrText>
            </w:r>
            <w:r>
              <w:rPr>
                <w:noProof/>
                <w:webHidden/>
              </w:rPr>
            </w:r>
            <w:r>
              <w:rPr>
                <w:noProof/>
                <w:webHidden/>
              </w:rPr>
              <w:fldChar w:fldCharType="separate"/>
            </w:r>
            <w:r>
              <w:rPr>
                <w:noProof/>
                <w:webHidden/>
              </w:rPr>
              <w:t>6</w:t>
            </w:r>
            <w:r>
              <w:rPr>
                <w:noProof/>
                <w:webHidden/>
              </w:rPr>
              <w:fldChar w:fldCharType="end"/>
            </w:r>
          </w:hyperlink>
        </w:p>
        <w:p w14:paraId="326FA907" w14:textId="77777777" w:rsidR="00B91EB6" w:rsidRDefault="00B91EB6">
          <w:pPr>
            <w:pStyle w:val="TOC2"/>
            <w:tabs>
              <w:tab w:val="right" w:leader="dot" w:pos="9019"/>
            </w:tabs>
            <w:rPr>
              <w:rFonts w:asciiTheme="minorHAnsi" w:eastAsiaTheme="minorEastAsia" w:hAnsiTheme="minorHAnsi" w:cstheme="minorBidi"/>
              <w:noProof/>
              <w:sz w:val="22"/>
              <w:szCs w:val="22"/>
            </w:rPr>
          </w:pPr>
          <w:hyperlink w:anchor="_Toc223370815" w:history="1">
            <w:r w:rsidRPr="00212549">
              <w:rPr>
                <w:rStyle w:val="Hyperlink"/>
                <w:noProof/>
              </w:rPr>
              <w:t>Additional Supporting Frameworks (NIST CSF, COBIT)</w:t>
            </w:r>
            <w:r>
              <w:rPr>
                <w:noProof/>
                <w:webHidden/>
              </w:rPr>
              <w:tab/>
            </w:r>
            <w:r>
              <w:rPr>
                <w:noProof/>
                <w:webHidden/>
              </w:rPr>
              <w:fldChar w:fldCharType="begin"/>
            </w:r>
            <w:r>
              <w:rPr>
                <w:noProof/>
                <w:webHidden/>
              </w:rPr>
              <w:instrText xml:space="preserve"> PAGEREF _Toc223370815 \h </w:instrText>
            </w:r>
            <w:r>
              <w:rPr>
                <w:noProof/>
                <w:webHidden/>
              </w:rPr>
            </w:r>
            <w:r>
              <w:rPr>
                <w:noProof/>
                <w:webHidden/>
              </w:rPr>
              <w:fldChar w:fldCharType="separate"/>
            </w:r>
            <w:r>
              <w:rPr>
                <w:noProof/>
                <w:webHidden/>
              </w:rPr>
              <w:t>6</w:t>
            </w:r>
            <w:r>
              <w:rPr>
                <w:noProof/>
                <w:webHidden/>
              </w:rPr>
              <w:fldChar w:fldCharType="end"/>
            </w:r>
          </w:hyperlink>
        </w:p>
        <w:p w14:paraId="00B44B16" w14:textId="77777777" w:rsidR="00B91EB6" w:rsidRDefault="00B91EB6">
          <w:pPr>
            <w:pStyle w:val="TOC1"/>
            <w:tabs>
              <w:tab w:val="right" w:leader="dot" w:pos="9019"/>
            </w:tabs>
            <w:rPr>
              <w:rFonts w:asciiTheme="minorHAnsi" w:eastAsiaTheme="minorEastAsia" w:hAnsiTheme="minorHAnsi" w:cstheme="minorBidi"/>
              <w:noProof/>
              <w:sz w:val="22"/>
              <w:szCs w:val="22"/>
            </w:rPr>
          </w:pPr>
          <w:hyperlink w:anchor="_Toc223370816" w:history="1">
            <w:r w:rsidRPr="00212549">
              <w:rPr>
                <w:rStyle w:val="Hyperlink"/>
                <w:noProof/>
              </w:rPr>
              <w:t>Design of a Security, Governance and Compliance Approach for FinSure</w:t>
            </w:r>
            <w:r>
              <w:rPr>
                <w:noProof/>
                <w:webHidden/>
              </w:rPr>
              <w:tab/>
            </w:r>
            <w:r>
              <w:rPr>
                <w:noProof/>
                <w:webHidden/>
              </w:rPr>
              <w:fldChar w:fldCharType="begin"/>
            </w:r>
            <w:r>
              <w:rPr>
                <w:noProof/>
                <w:webHidden/>
              </w:rPr>
              <w:instrText xml:space="preserve"> PAGEREF _Toc223370816 \h </w:instrText>
            </w:r>
            <w:r>
              <w:rPr>
                <w:noProof/>
                <w:webHidden/>
              </w:rPr>
            </w:r>
            <w:r>
              <w:rPr>
                <w:noProof/>
                <w:webHidden/>
              </w:rPr>
              <w:fldChar w:fldCharType="separate"/>
            </w:r>
            <w:r>
              <w:rPr>
                <w:noProof/>
                <w:webHidden/>
              </w:rPr>
              <w:t>7</w:t>
            </w:r>
            <w:r>
              <w:rPr>
                <w:noProof/>
                <w:webHidden/>
              </w:rPr>
              <w:fldChar w:fldCharType="end"/>
            </w:r>
          </w:hyperlink>
        </w:p>
        <w:p w14:paraId="1FB140CB" w14:textId="77777777" w:rsidR="00B91EB6" w:rsidRDefault="00B91EB6">
          <w:pPr>
            <w:pStyle w:val="TOC2"/>
            <w:tabs>
              <w:tab w:val="right" w:leader="dot" w:pos="9019"/>
            </w:tabs>
            <w:rPr>
              <w:rFonts w:asciiTheme="minorHAnsi" w:eastAsiaTheme="minorEastAsia" w:hAnsiTheme="minorHAnsi" w:cstheme="minorBidi"/>
              <w:noProof/>
              <w:sz w:val="22"/>
              <w:szCs w:val="22"/>
            </w:rPr>
          </w:pPr>
          <w:hyperlink w:anchor="_Toc223370817" w:history="1">
            <w:r w:rsidRPr="00212549">
              <w:rPr>
                <w:rStyle w:val="Hyperlink"/>
                <w:noProof/>
              </w:rPr>
              <w:t>Design Principles and Assumptions</w:t>
            </w:r>
            <w:r>
              <w:rPr>
                <w:noProof/>
                <w:webHidden/>
              </w:rPr>
              <w:tab/>
            </w:r>
            <w:r>
              <w:rPr>
                <w:noProof/>
                <w:webHidden/>
              </w:rPr>
              <w:fldChar w:fldCharType="begin"/>
            </w:r>
            <w:r>
              <w:rPr>
                <w:noProof/>
                <w:webHidden/>
              </w:rPr>
              <w:instrText xml:space="preserve"> PAGEREF _Toc223370817 \h </w:instrText>
            </w:r>
            <w:r>
              <w:rPr>
                <w:noProof/>
                <w:webHidden/>
              </w:rPr>
            </w:r>
            <w:r>
              <w:rPr>
                <w:noProof/>
                <w:webHidden/>
              </w:rPr>
              <w:fldChar w:fldCharType="separate"/>
            </w:r>
            <w:r>
              <w:rPr>
                <w:noProof/>
                <w:webHidden/>
              </w:rPr>
              <w:t>7</w:t>
            </w:r>
            <w:r>
              <w:rPr>
                <w:noProof/>
                <w:webHidden/>
              </w:rPr>
              <w:fldChar w:fldCharType="end"/>
            </w:r>
          </w:hyperlink>
        </w:p>
        <w:p w14:paraId="6E0F6F41" w14:textId="77777777" w:rsidR="00B91EB6" w:rsidRDefault="00B91EB6">
          <w:pPr>
            <w:pStyle w:val="TOC3"/>
            <w:tabs>
              <w:tab w:val="right" w:leader="dot" w:pos="9019"/>
            </w:tabs>
            <w:rPr>
              <w:rFonts w:asciiTheme="minorHAnsi" w:eastAsiaTheme="minorEastAsia" w:hAnsiTheme="minorHAnsi" w:cstheme="minorBidi"/>
              <w:noProof/>
              <w:sz w:val="22"/>
              <w:szCs w:val="22"/>
            </w:rPr>
          </w:pPr>
          <w:hyperlink w:anchor="_Toc223370818" w:history="1">
            <w:r w:rsidRPr="00212549">
              <w:rPr>
                <w:rStyle w:val="Hyperlink"/>
                <w:noProof/>
              </w:rPr>
              <w:t>Design Principles</w:t>
            </w:r>
            <w:r>
              <w:rPr>
                <w:noProof/>
                <w:webHidden/>
              </w:rPr>
              <w:tab/>
            </w:r>
            <w:r>
              <w:rPr>
                <w:noProof/>
                <w:webHidden/>
              </w:rPr>
              <w:fldChar w:fldCharType="begin"/>
            </w:r>
            <w:r>
              <w:rPr>
                <w:noProof/>
                <w:webHidden/>
              </w:rPr>
              <w:instrText xml:space="preserve"> PAGEREF _Toc223370818 \h </w:instrText>
            </w:r>
            <w:r>
              <w:rPr>
                <w:noProof/>
                <w:webHidden/>
              </w:rPr>
            </w:r>
            <w:r>
              <w:rPr>
                <w:noProof/>
                <w:webHidden/>
              </w:rPr>
              <w:fldChar w:fldCharType="separate"/>
            </w:r>
            <w:r>
              <w:rPr>
                <w:noProof/>
                <w:webHidden/>
              </w:rPr>
              <w:t>7</w:t>
            </w:r>
            <w:r>
              <w:rPr>
                <w:noProof/>
                <w:webHidden/>
              </w:rPr>
              <w:fldChar w:fldCharType="end"/>
            </w:r>
          </w:hyperlink>
        </w:p>
        <w:p w14:paraId="612C0F34" w14:textId="77777777" w:rsidR="00B91EB6" w:rsidRDefault="00B91EB6">
          <w:pPr>
            <w:pStyle w:val="TOC3"/>
            <w:tabs>
              <w:tab w:val="right" w:leader="dot" w:pos="9019"/>
            </w:tabs>
            <w:rPr>
              <w:rFonts w:asciiTheme="minorHAnsi" w:eastAsiaTheme="minorEastAsia" w:hAnsiTheme="minorHAnsi" w:cstheme="minorBidi"/>
              <w:noProof/>
              <w:sz w:val="22"/>
              <w:szCs w:val="22"/>
            </w:rPr>
          </w:pPr>
          <w:hyperlink w:anchor="_Toc223370819" w:history="1">
            <w:r w:rsidRPr="00212549">
              <w:rPr>
                <w:rStyle w:val="Hyperlink"/>
                <w:noProof/>
              </w:rPr>
              <w:t>Assumptions</w:t>
            </w:r>
            <w:r>
              <w:rPr>
                <w:noProof/>
                <w:webHidden/>
              </w:rPr>
              <w:tab/>
            </w:r>
            <w:r>
              <w:rPr>
                <w:noProof/>
                <w:webHidden/>
              </w:rPr>
              <w:fldChar w:fldCharType="begin"/>
            </w:r>
            <w:r>
              <w:rPr>
                <w:noProof/>
                <w:webHidden/>
              </w:rPr>
              <w:instrText xml:space="preserve"> PAGEREF _Toc223370819 \h </w:instrText>
            </w:r>
            <w:r>
              <w:rPr>
                <w:noProof/>
                <w:webHidden/>
              </w:rPr>
            </w:r>
            <w:r>
              <w:rPr>
                <w:noProof/>
                <w:webHidden/>
              </w:rPr>
              <w:fldChar w:fldCharType="separate"/>
            </w:r>
            <w:r>
              <w:rPr>
                <w:noProof/>
                <w:webHidden/>
              </w:rPr>
              <w:t>7</w:t>
            </w:r>
            <w:r>
              <w:rPr>
                <w:noProof/>
                <w:webHidden/>
              </w:rPr>
              <w:fldChar w:fldCharType="end"/>
            </w:r>
          </w:hyperlink>
        </w:p>
        <w:p w14:paraId="7250266A" w14:textId="77777777" w:rsidR="00B91EB6" w:rsidRDefault="00B91EB6">
          <w:pPr>
            <w:pStyle w:val="TOC2"/>
            <w:tabs>
              <w:tab w:val="right" w:leader="dot" w:pos="9019"/>
            </w:tabs>
            <w:rPr>
              <w:rFonts w:asciiTheme="minorHAnsi" w:eastAsiaTheme="minorEastAsia" w:hAnsiTheme="minorHAnsi" w:cstheme="minorBidi"/>
              <w:noProof/>
              <w:sz w:val="22"/>
              <w:szCs w:val="22"/>
            </w:rPr>
          </w:pPr>
          <w:hyperlink w:anchor="_Toc223370820" w:history="1">
            <w:r w:rsidRPr="00212549">
              <w:rPr>
                <w:rStyle w:val="Hyperlink"/>
                <w:noProof/>
              </w:rPr>
              <w:t>Governance and Strategic Security Management</w:t>
            </w:r>
            <w:r>
              <w:rPr>
                <w:noProof/>
                <w:webHidden/>
              </w:rPr>
              <w:tab/>
            </w:r>
            <w:r>
              <w:rPr>
                <w:noProof/>
                <w:webHidden/>
              </w:rPr>
              <w:fldChar w:fldCharType="begin"/>
            </w:r>
            <w:r>
              <w:rPr>
                <w:noProof/>
                <w:webHidden/>
              </w:rPr>
              <w:instrText xml:space="preserve"> PAGEREF _Toc223370820 \h </w:instrText>
            </w:r>
            <w:r>
              <w:rPr>
                <w:noProof/>
                <w:webHidden/>
              </w:rPr>
            </w:r>
            <w:r>
              <w:rPr>
                <w:noProof/>
                <w:webHidden/>
              </w:rPr>
              <w:fldChar w:fldCharType="separate"/>
            </w:r>
            <w:r>
              <w:rPr>
                <w:noProof/>
                <w:webHidden/>
              </w:rPr>
              <w:t>8</w:t>
            </w:r>
            <w:r>
              <w:rPr>
                <w:noProof/>
                <w:webHidden/>
              </w:rPr>
              <w:fldChar w:fldCharType="end"/>
            </w:r>
          </w:hyperlink>
        </w:p>
        <w:p w14:paraId="07DE9943" w14:textId="77777777" w:rsidR="00B91EB6" w:rsidRDefault="00B91EB6">
          <w:pPr>
            <w:pStyle w:val="TOC2"/>
            <w:tabs>
              <w:tab w:val="right" w:leader="dot" w:pos="9019"/>
            </w:tabs>
            <w:rPr>
              <w:rFonts w:asciiTheme="minorHAnsi" w:eastAsiaTheme="minorEastAsia" w:hAnsiTheme="minorHAnsi" w:cstheme="minorBidi"/>
              <w:noProof/>
              <w:sz w:val="22"/>
              <w:szCs w:val="22"/>
            </w:rPr>
          </w:pPr>
          <w:hyperlink w:anchor="_Toc223370821" w:history="1">
            <w:r w:rsidRPr="00212549">
              <w:rPr>
                <w:rStyle w:val="Hyperlink"/>
                <w:noProof/>
              </w:rPr>
              <w:t>Risk Management Approach</w:t>
            </w:r>
            <w:r>
              <w:rPr>
                <w:noProof/>
                <w:webHidden/>
              </w:rPr>
              <w:tab/>
            </w:r>
            <w:r>
              <w:rPr>
                <w:noProof/>
                <w:webHidden/>
              </w:rPr>
              <w:fldChar w:fldCharType="begin"/>
            </w:r>
            <w:r>
              <w:rPr>
                <w:noProof/>
                <w:webHidden/>
              </w:rPr>
              <w:instrText xml:space="preserve"> PAGEREF _Toc223370821 \h </w:instrText>
            </w:r>
            <w:r>
              <w:rPr>
                <w:noProof/>
                <w:webHidden/>
              </w:rPr>
            </w:r>
            <w:r>
              <w:rPr>
                <w:noProof/>
                <w:webHidden/>
              </w:rPr>
              <w:fldChar w:fldCharType="separate"/>
            </w:r>
            <w:r>
              <w:rPr>
                <w:noProof/>
                <w:webHidden/>
              </w:rPr>
              <w:t>8</w:t>
            </w:r>
            <w:r>
              <w:rPr>
                <w:noProof/>
                <w:webHidden/>
              </w:rPr>
              <w:fldChar w:fldCharType="end"/>
            </w:r>
          </w:hyperlink>
        </w:p>
        <w:p w14:paraId="01AA506C" w14:textId="77777777" w:rsidR="00B91EB6" w:rsidRDefault="00B91EB6">
          <w:pPr>
            <w:pStyle w:val="TOC2"/>
            <w:tabs>
              <w:tab w:val="right" w:leader="dot" w:pos="9019"/>
            </w:tabs>
            <w:rPr>
              <w:rFonts w:asciiTheme="minorHAnsi" w:eastAsiaTheme="minorEastAsia" w:hAnsiTheme="minorHAnsi" w:cstheme="minorBidi"/>
              <w:noProof/>
              <w:sz w:val="22"/>
              <w:szCs w:val="22"/>
            </w:rPr>
          </w:pPr>
          <w:hyperlink w:anchor="_Toc223370822" w:history="1">
            <w:r w:rsidRPr="00212549">
              <w:rPr>
                <w:rStyle w:val="Hyperlink"/>
                <w:noProof/>
              </w:rPr>
              <w:t>Security Policies and Protection Mechanisms</w:t>
            </w:r>
            <w:r>
              <w:rPr>
                <w:noProof/>
                <w:webHidden/>
              </w:rPr>
              <w:tab/>
            </w:r>
            <w:r>
              <w:rPr>
                <w:noProof/>
                <w:webHidden/>
              </w:rPr>
              <w:fldChar w:fldCharType="begin"/>
            </w:r>
            <w:r>
              <w:rPr>
                <w:noProof/>
                <w:webHidden/>
              </w:rPr>
              <w:instrText xml:space="preserve"> PAGEREF _Toc223370822 \h </w:instrText>
            </w:r>
            <w:r>
              <w:rPr>
                <w:noProof/>
                <w:webHidden/>
              </w:rPr>
            </w:r>
            <w:r>
              <w:rPr>
                <w:noProof/>
                <w:webHidden/>
              </w:rPr>
              <w:fldChar w:fldCharType="separate"/>
            </w:r>
            <w:r>
              <w:rPr>
                <w:noProof/>
                <w:webHidden/>
              </w:rPr>
              <w:t>9</w:t>
            </w:r>
            <w:r>
              <w:rPr>
                <w:noProof/>
                <w:webHidden/>
              </w:rPr>
              <w:fldChar w:fldCharType="end"/>
            </w:r>
          </w:hyperlink>
        </w:p>
        <w:p w14:paraId="7DDBF1BC" w14:textId="77777777" w:rsidR="00B91EB6" w:rsidRDefault="00B91EB6">
          <w:pPr>
            <w:pStyle w:val="TOC2"/>
            <w:tabs>
              <w:tab w:val="right" w:leader="dot" w:pos="9019"/>
            </w:tabs>
            <w:rPr>
              <w:rFonts w:asciiTheme="minorHAnsi" w:eastAsiaTheme="minorEastAsia" w:hAnsiTheme="minorHAnsi" w:cstheme="minorBidi"/>
              <w:noProof/>
              <w:sz w:val="22"/>
              <w:szCs w:val="22"/>
            </w:rPr>
          </w:pPr>
          <w:hyperlink w:anchor="_Toc223370823" w:history="1">
            <w:r w:rsidRPr="00212549">
              <w:rPr>
                <w:rStyle w:val="Hyperlink"/>
                <w:noProof/>
              </w:rPr>
              <w:t>Compliance and Regulatory Alignment</w:t>
            </w:r>
            <w:r>
              <w:rPr>
                <w:noProof/>
                <w:webHidden/>
              </w:rPr>
              <w:tab/>
            </w:r>
            <w:r>
              <w:rPr>
                <w:noProof/>
                <w:webHidden/>
              </w:rPr>
              <w:fldChar w:fldCharType="begin"/>
            </w:r>
            <w:r>
              <w:rPr>
                <w:noProof/>
                <w:webHidden/>
              </w:rPr>
              <w:instrText xml:space="preserve"> PAGEREF _Toc223370823 \h </w:instrText>
            </w:r>
            <w:r>
              <w:rPr>
                <w:noProof/>
                <w:webHidden/>
              </w:rPr>
            </w:r>
            <w:r>
              <w:rPr>
                <w:noProof/>
                <w:webHidden/>
              </w:rPr>
              <w:fldChar w:fldCharType="separate"/>
            </w:r>
            <w:r>
              <w:rPr>
                <w:noProof/>
                <w:webHidden/>
              </w:rPr>
              <w:t>10</w:t>
            </w:r>
            <w:r>
              <w:rPr>
                <w:noProof/>
                <w:webHidden/>
              </w:rPr>
              <w:fldChar w:fldCharType="end"/>
            </w:r>
          </w:hyperlink>
        </w:p>
        <w:p w14:paraId="79D5A378" w14:textId="77777777" w:rsidR="00B91EB6" w:rsidRDefault="00B91EB6">
          <w:pPr>
            <w:pStyle w:val="TOC2"/>
            <w:tabs>
              <w:tab w:val="right" w:leader="dot" w:pos="9019"/>
            </w:tabs>
            <w:rPr>
              <w:rFonts w:asciiTheme="minorHAnsi" w:eastAsiaTheme="minorEastAsia" w:hAnsiTheme="minorHAnsi" w:cstheme="minorBidi"/>
              <w:noProof/>
              <w:sz w:val="22"/>
              <w:szCs w:val="22"/>
            </w:rPr>
          </w:pPr>
          <w:hyperlink w:anchor="_Toc223370824" w:history="1">
            <w:r w:rsidRPr="00212549">
              <w:rPr>
                <w:rStyle w:val="Hyperlink"/>
                <w:noProof/>
              </w:rPr>
              <w:t>Contingency and Incident Response Planning</w:t>
            </w:r>
            <w:r>
              <w:rPr>
                <w:noProof/>
                <w:webHidden/>
              </w:rPr>
              <w:tab/>
            </w:r>
            <w:r>
              <w:rPr>
                <w:noProof/>
                <w:webHidden/>
              </w:rPr>
              <w:fldChar w:fldCharType="begin"/>
            </w:r>
            <w:r>
              <w:rPr>
                <w:noProof/>
                <w:webHidden/>
              </w:rPr>
              <w:instrText xml:space="preserve"> PAGEREF _Toc223370824 \h </w:instrText>
            </w:r>
            <w:r>
              <w:rPr>
                <w:noProof/>
                <w:webHidden/>
              </w:rPr>
            </w:r>
            <w:r>
              <w:rPr>
                <w:noProof/>
                <w:webHidden/>
              </w:rPr>
              <w:fldChar w:fldCharType="separate"/>
            </w:r>
            <w:r>
              <w:rPr>
                <w:noProof/>
                <w:webHidden/>
              </w:rPr>
              <w:t>10</w:t>
            </w:r>
            <w:r>
              <w:rPr>
                <w:noProof/>
                <w:webHidden/>
              </w:rPr>
              <w:fldChar w:fldCharType="end"/>
            </w:r>
          </w:hyperlink>
        </w:p>
        <w:p w14:paraId="13ED26D0" w14:textId="77777777" w:rsidR="00B91EB6" w:rsidRDefault="00B91EB6">
          <w:pPr>
            <w:pStyle w:val="TOC1"/>
            <w:tabs>
              <w:tab w:val="right" w:leader="dot" w:pos="9019"/>
            </w:tabs>
            <w:rPr>
              <w:rFonts w:asciiTheme="minorHAnsi" w:eastAsiaTheme="minorEastAsia" w:hAnsiTheme="minorHAnsi" w:cstheme="minorBidi"/>
              <w:noProof/>
              <w:sz w:val="22"/>
              <w:szCs w:val="22"/>
            </w:rPr>
          </w:pPr>
          <w:hyperlink w:anchor="_Toc223370825" w:history="1">
            <w:r w:rsidRPr="00212549">
              <w:rPr>
                <w:rStyle w:val="Hyperlink"/>
                <w:noProof/>
              </w:rPr>
              <w:t>Importance of Evolving Regulations and Standards</w:t>
            </w:r>
            <w:r>
              <w:rPr>
                <w:noProof/>
                <w:webHidden/>
              </w:rPr>
              <w:tab/>
            </w:r>
            <w:r>
              <w:rPr>
                <w:noProof/>
                <w:webHidden/>
              </w:rPr>
              <w:fldChar w:fldCharType="begin"/>
            </w:r>
            <w:r>
              <w:rPr>
                <w:noProof/>
                <w:webHidden/>
              </w:rPr>
              <w:instrText xml:space="preserve"> PAGEREF _Toc223370825 \h </w:instrText>
            </w:r>
            <w:r>
              <w:rPr>
                <w:noProof/>
                <w:webHidden/>
              </w:rPr>
            </w:r>
            <w:r>
              <w:rPr>
                <w:noProof/>
                <w:webHidden/>
              </w:rPr>
              <w:fldChar w:fldCharType="separate"/>
            </w:r>
            <w:r>
              <w:rPr>
                <w:noProof/>
                <w:webHidden/>
              </w:rPr>
              <w:t>11</w:t>
            </w:r>
            <w:r>
              <w:rPr>
                <w:noProof/>
                <w:webHidden/>
              </w:rPr>
              <w:fldChar w:fldCharType="end"/>
            </w:r>
          </w:hyperlink>
        </w:p>
        <w:p w14:paraId="0BF6A28D" w14:textId="77777777" w:rsidR="00B91EB6" w:rsidRDefault="00B91EB6">
          <w:pPr>
            <w:pStyle w:val="TOC1"/>
            <w:tabs>
              <w:tab w:val="right" w:leader="dot" w:pos="9019"/>
            </w:tabs>
            <w:rPr>
              <w:rFonts w:asciiTheme="minorHAnsi" w:eastAsiaTheme="minorEastAsia" w:hAnsiTheme="minorHAnsi" w:cstheme="minorBidi"/>
              <w:noProof/>
              <w:sz w:val="22"/>
              <w:szCs w:val="22"/>
            </w:rPr>
          </w:pPr>
          <w:hyperlink w:anchor="_Toc223370826" w:history="1">
            <w:r w:rsidRPr="00212549">
              <w:rPr>
                <w:rStyle w:val="Hyperlink"/>
                <w:noProof/>
              </w:rPr>
              <w:t>Evaluation of the Proposed Approach</w:t>
            </w:r>
            <w:r>
              <w:rPr>
                <w:noProof/>
                <w:webHidden/>
              </w:rPr>
              <w:tab/>
            </w:r>
            <w:r>
              <w:rPr>
                <w:noProof/>
                <w:webHidden/>
              </w:rPr>
              <w:fldChar w:fldCharType="begin"/>
            </w:r>
            <w:r>
              <w:rPr>
                <w:noProof/>
                <w:webHidden/>
              </w:rPr>
              <w:instrText xml:space="preserve"> PAGEREF _Toc223370826 \h </w:instrText>
            </w:r>
            <w:r>
              <w:rPr>
                <w:noProof/>
                <w:webHidden/>
              </w:rPr>
            </w:r>
            <w:r>
              <w:rPr>
                <w:noProof/>
                <w:webHidden/>
              </w:rPr>
              <w:fldChar w:fldCharType="separate"/>
            </w:r>
            <w:r>
              <w:rPr>
                <w:noProof/>
                <w:webHidden/>
              </w:rPr>
              <w:t>11</w:t>
            </w:r>
            <w:r>
              <w:rPr>
                <w:noProof/>
                <w:webHidden/>
              </w:rPr>
              <w:fldChar w:fldCharType="end"/>
            </w:r>
          </w:hyperlink>
        </w:p>
        <w:p w14:paraId="0FC6BC6A" w14:textId="77777777" w:rsidR="00B91EB6" w:rsidRDefault="00B91EB6">
          <w:pPr>
            <w:pStyle w:val="TOC1"/>
            <w:tabs>
              <w:tab w:val="right" w:leader="dot" w:pos="9019"/>
            </w:tabs>
            <w:rPr>
              <w:rFonts w:asciiTheme="minorHAnsi" w:eastAsiaTheme="minorEastAsia" w:hAnsiTheme="minorHAnsi" w:cstheme="minorBidi"/>
              <w:noProof/>
              <w:sz w:val="22"/>
              <w:szCs w:val="22"/>
            </w:rPr>
          </w:pPr>
          <w:hyperlink w:anchor="_Toc223370827" w:history="1">
            <w:r w:rsidRPr="00212549">
              <w:rPr>
                <w:rStyle w:val="Hyperlink"/>
                <w:noProof/>
              </w:rPr>
              <w:t>Conclusion</w:t>
            </w:r>
            <w:r>
              <w:rPr>
                <w:noProof/>
                <w:webHidden/>
              </w:rPr>
              <w:tab/>
            </w:r>
            <w:r>
              <w:rPr>
                <w:noProof/>
                <w:webHidden/>
              </w:rPr>
              <w:fldChar w:fldCharType="begin"/>
            </w:r>
            <w:r>
              <w:rPr>
                <w:noProof/>
                <w:webHidden/>
              </w:rPr>
              <w:instrText xml:space="preserve"> PAGEREF _Toc223370827 \h </w:instrText>
            </w:r>
            <w:r>
              <w:rPr>
                <w:noProof/>
                <w:webHidden/>
              </w:rPr>
            </w:r>
            <w:r>
              <w:rPr>
                <w:noProof/>
                <w:webHidden/>
              </w:rPr>
              <w:fldChar w:fldCharType="separate"/>
            </w:r>
            <w:r>
              <w:rPr>
                <w:noProof/>
                <w:webHidden/>
              </w:rPr>
              <w:t>12</w:t>
            </w:r>
            <w:r>
              <w:rPr>
                <w:noProof/>
                <w:webHidden/>
              </w:rPr>
              <w:fldChar w:fldCharType="end"/>
            </w:r>
          </w:hyperlink>
        </w:p>
        <w:p w14:paraId="5636E308" w14:textId="77777777" w:rsidR="00B91EB6" w:rsidRDefault="00B91EB6">
          <w:pPr>
            <w:pStyle w:val="TOC1"/>
            <w:tabs>
              <w:tab w:val="right" w:leader="dot" w:pos="9019"/>
            </w:tabs>
            <w:rPr>
              <w:rFonts w:asciiTheme="minorHAnsi" w:eastAsiaTheme="minorEastAsia" w:hAnsiTheme="minorHAnsi" w:cstheme="minorBidi"/>
              <w:noProof/>
              <w:sz w:val="22"/>
              <w:szCs w:val="22"/>
            </w:rPr>
          </w:pPr>
          <w:hyperlink w:anchor="_Toc223370828" w:history="1">
            <w:r w:rsidRPr="00212549">
              <w:rPr>
                <w:rStyle w:val="Hyperlink"/>
                <w:noProof/>
              </w:rPr>
              <w:t>References</w:t>
            </w:r>
            <w:r>
              <w:rPr>
                <w:noProof/>
                <w:webHidden/>
              </w:rPr>
              <w:tab/>
            </w:r>
            <w:r>
              <w:rPr>
                <w:noProof/>
                <w:webHidden/>
              </w:rPr>
              <w:fldChar w:fldCharType="begin"/>
            </w:r>
            <w:r>
              <w:rPr>
                <w:noProof/>
                <w:webHidden/>
              </w:rPr>
              <w:instrText xml:space="preserve"> PAGEREF _Toc223370828 \h </w:instrText>
            </w:r>
            <w:r>
              <w:rPr>
                <w:noProof/>
                <w:webHidden/>
              </w:rPr>
            </w:r>
            <w:r>
              <w:rPr>
                <w:noProof/>
                <w:webHidden/>
              </w:rPr>
              <w:fldChar w:fldCharType="separate"/>
            </w:r>
            <w:r>
              <w:rPr>
                <w:noProof/>
                <w:webHidden/>
              </w:rPr>
              <w:t>14</w:t>
            </w:r>
            <w:r>
              <w:rPr>
                <w:noProof/>
                <w:webHidden/>
              </w:rPr>
              <w:fldChar w:fldCharType="end"/>
            </w:r>
          </w:hyperlink>
        </w:p>
        <w:p w14:paraId="12B09069" w14:textId="77777777" w:rsidR="00CF5FE2" w:rsidRDefault="00BF3FFA">
          <w:pPr>
            <w:rPr>
              <w:b/>
              <w:bCs/>
            </w:rPr>
          </w:pPr>
          <w:r>
            <w:fldChar w:fldCharType="end"/>
          </w:r>
        </w:p>
      </w:sdtContent>
    </w:sdt>
    <w:p w14:paraId="1AA0D235" w14:textId="77777777" w:rsidR="00CF5FE2" w:rsidRDefault="00CF5FE2">
      <w:pPr>
        <w:jc w:val="left"/>
        <w:rPr>
          <w:b/>
          <w:bCs/>
          <w:sz w:val="28"/>
          <w:szCs w:val="28"/>
          <w:highlight w:val="yellow"/>
        </w:rPr>
      </w:pPr>
    </w:p>
    <w:p w14:paraId="26ACE85D" w14:textId="77777777" w:rsidR="00CF5FE2" w:rsidRDefault="00BF3FFA">
      <w:r>
        <w:br w:type="page"/>
      </w:r>
    </w:p>
    <w:p w14:paraId="525AF899" w14:textId="77777777" w:rsidR="00CF5FE2" w:rsidRDefault="00BF3FFA">
      <w:pPr>
        <w:pStyle w:val="Heading1"/>
        <w:rPr>
          <w:highlight w:val="yellow"/>
        </w:rPr>
      </w:pPr>
      <w:bookmarkStart w:id="0" w:name="_Toc223370810"/>
      <w:r>
        <w:lastRenderedPageBreak/>
        <w:t>Introduction</w:t>
      </w:r>
      <w:bookmarkEnd w:id="0"/>
    </w:p>
    <w:p w14:paraId="06FFE3FF" w14:textId="77777777" w:rsidR="00CF5FE2" w:rsidRDefault="00BF3FFA">
      <w:r>
        <w:t>“FinSure Bank (FSB)” is a rapidly growing digital-first financial services provider, offering online banking, savings, loans and investment services to clients across multiple countries. 90% of its infrastructure is operated using cloud-based platforms in FSB. Businesses are hopeful about the internet, creating an increasing threat of attacks on information assets, which requires a greater number of capable professionals to protect those assets. IT professionals have the skills and experience to secure the information and computing environment.</w:t>
      </w:r>
    </w:p>
    <w:p w14:paraId="21DA5C05" w14:textId="77777777" w:rsidR="00CF5FE2" w:rsidRDefault="00BF3FFA">
      <w:r>
        <w:t>Information is considered an asset like other important business assets and “Information Security (IS)” is a way of protecting information from a wide range of threats in order to ensure business continuity, minimise risk, and maximise return on investments and business opportunities. Information security is dependent on three main pillars: people, processes, and technology, according to a study on cybersecurity through employee hacking (</w:t>
      </w:r>
      <w:r>
        <w:rPr>
          <w:color w:val="000000"/>
        </w:rPr>
        <w:t>Johri and Kumar, 2023</w:t>
      </w:r>
      <w:r>
        <w:t xml:space="preserve">). </w:t>
      </w:r>
    </w:p>
    <w:p w14:paraId="5108F000" w14:textId="77777777" w:rsidR="00CF5FE2" w:rsidRDefault="00BF3FFA">
      <w:pPr>
        <w:pStyle w:val="Heading1"/>
        <w:rPr>
          <w:highlight w:val="yellow"/>
        </w:rPr>
      </w:pPr>
      <w:bookmarkStart w:id="1" w:name="_Toc223370811"/>
      <w:r>
        <w:t>Case Scenario Overview and Problem Definition</w:t>
      </w:r>
      <w:bookmarkEnd w:id="1"/>
    </w:p>
    <w:p w14:paraId="5EEC1514" w14:textId="77777777" w:rsidR="00CF5FE2" w:rsidRDefault="00BF3FFA">
      <w:pPr>
        <w:rPr>
          <w:b/>
          <w:bCs/>
          <w:i/>
          <w:iCs/>
        </w:rPr>
      </w:pPr>
      <w:r>
        <w:rPr>
          <w:b/>
          <w:bCs/>
          <w:i/>
          <w:iCs/>
        </w:rPr>
        <w:t>Purpose</w:t>
      </w:r>
    </w:p>
    <w:p w14:paraId="21F17B61" w14:textId="77777777" w:rsidR="00CF5FE2" w:rsidRDefault="00BF3FFA">
      <w:r>
        <w:t xml:space="preserve">The purpose is to conduct research in different frameworks or models that can be used to reduce the growing concerns about data protection, fraud management and protection of financial records that are present in FS Bank. The primary purpose of addressing security problems is to safeguard data privacy, identity theft, online fraud and </w:t>
      </w:r>
      <w:r w:rsidR="0013323F">
        <w:t>cyber-attacks</w:t>
      </w:r>
      <w:r>
        <w:t>.</w:t>
      </w:r>
    </w:p>
    <w:p w14:paraId="48170D48" w14:textId="77777777" w:rsidR="00CF5FE2" w:rsidRDefault="00BF3FFA">
      <w:pPr>
        <w:rPr>
          <w:b/>
          <w:bCs/>
          <w:i/>
          <w:iCs/>
        </w:rPr>
      </w:pPr>
      <w:r>
        <w:rPr>
          <w:b/>
          <w:bCs/>
          <w:i/>
          <w:iCs/>
        </w:rPr>
        <w:t>Key issues to identify</w:t>
      </w:r>
    </w:p>
    <w:p w14:paraId="37656337" w14:textId="77777777" w:rsidR="00CF5FE2" w:rsidRDefault="00BF3FFA">
      <w:r>
        <w:t xml:space="preserve">Banking sectors should have multi-factor authentication, which adds an extra layer of security beyond passwords. AI utilisation and “Machine learning” will identify unusual behaviour and reduce fraud activities in real-time. The introduction of “Data Leak Prevention (DLP)” controls in ISO 27001:2022 is important for organisations because it emphasises the importance of protecting sensitive information and helps organisations identify, assess and prevent unauthorised disclosure of sensitive information. (Ryanto and Tundjungsari, 2024). Two suggested solutions are “ISO/IEC 27001” for establishing a formal “ISMS and the NIST Cybersecurity Framework” for risk-based cybersecurity controls. “ISO 27001” is the standardisation of information system security that can be used by the company in the implementation of information system security (SKMI) (Fares </w:t>
      </w:r>
      <w:r>
        <w:rPr>
          <w:i/>
          <w:iCs/>
        </w:rPr>
        <w:t>et al</w:t>
      </w:r>
      <w:r>
        <w:t xml:space="preserve">. 2022). The “NIST Framework” begins with a three-step process: determining whether an enterprise has a formal security program and assessing its defensive capabilities; and ensuring that these measures are </w:t>
      </w:r>
      <w:r>
        <w:lastRenderedPageBreak/>
        <w:t>flexible, repeatable, and aligned with the organisation’s business objectives or mission requirements (Said, 2022).</w:t>
      </w:r>
    </w:p>
    <w:p w14:paraId="479C0993" w14:textId="77777777" w:rsidR="00CF5FE2" w:rsidRDefault="00BF3FFA">
      <w:pPr>
        <w:pStyle w:val="Heading1"/>
        <w:rPr>
          <w:highlight w:val="yellow"/>
        </w:rPr>
      </w:pPr>
      <w:bookmarkStart w:id="2" w:name="_Toc223370812"/>
      <w:r>
        <w:t>Review of Security Frameworks and Models</w:t>
      </w:r>
      <w:bookmarkEnd w:id="2"/>
    </w:p>
    <w:p w14:paraId="48282903" w14:textId="77777777" w:rsidR="00CF5FE2" w:rsidRDefault="00BF3FFA">
      <w:pPr>
        <w:pStyle w:val="Heading2"/>
      </w:pPr>
      <w:bookmarkStart w:id="3" w:name="_Toc223370813"/>
      <w:r>
        <w:t>Information Technology Infrastructure Library (ITIL)</w:t>
      </w:r>
      <w:bookmarkEnd w:id="3"/>
    </w:p>
    <w:p w14:paraId="47BA4569" w14:textId="77777777" w:rsidR="00CF5FE2" w:rsidRDefault="00BF3FFA">
      <w:r>
        <w:t>“Information Technology Infrastructure Library (ITIL)” is an internationally acclaimed IT “Service Management (ITSM) framework” developed by “AXELOS” and it is designed to help to match IT services and business goals (Schenk, 2025). “ITIL” provides a structured framework for designing, delivering, managing, and continuously improving IT services. “ITIL” is not a security framework, but it is very important in enhancing information security governance via formalised processes, accountability and continuous service improvement.</w:t>
      </w:r>
    </w:p>
    <w:p w14:paraId="5005A782" w14:textId="77777777" w:rsidR="00CF5FE2" w:rsidRDefault="00BF3FFA">
      <w:pPr>
        <w:jc w:val="center"/>
      </w:pPr>
      <w:r>
        <w:rPr>
          <w:noProof/>
        </w:rPr>
        <w:drawing>
          <wp:inline distT="114300" distB="114300" distL="114300" distR="114300" wp14:anchorId="4FEA4AF1" wp14:editId="6A49E886">
            <wp:extent cx="5731200" cy="2806700"/>
            <wp:effectExtent l="12700" t="12700" r="12700" b="1270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731200" cy="2806700"/>
                    </a:xfrm>
                    <a:prstGeom prst="rect">
                      <a:avLst/>
                    </a:prstGeom>
                    <a:ln w="12700">
                      <a:solidFill>
                        <a:srgbClr val="000000"/>
                      </a:solidFill>
                      <a:prstDash val="solid"/>
                    </a:ln>
                  </pic:spPr>
                </pic:pic>
              </a:graphicData>
            </a:graphic>
          </wp:inline>
        </w:drawing>
      </w:r>
    </w:p>
    <w:p w14:paraId="03F80251" w14:textId="77777777" w:rsidR="00CF5FE2" w:rsidRDefault="00BF3FFA">
      <w:pPr>
        <w:jc w:val="center"/>
        <w:rPr>
          <w:b/>
          <w:bCs/>
        </w:rPr>
      </w:pPr>
      <w:r>
        <w:rPr>
          <w:b/>
          <w:bCs/>
        </w:rPr>
        <w:t>Figure 1: Information Technology Infrastructure</w:t>
      </w:r>
    </w:p>
    <w:p w14:paraId="5C7D99F7" w14:textId="77777777" w:rsidR="00CF5FE2" w:rsidRDefault="00BF3FFA">
      <w:pPr>
        <w:jc w:val="center"/>
      </w:pPr>
      <w:r>
        <w:t>(Source: Self-Created using Draw.io)</w:t>
      </w:r>
    </w:p>
    <w:p w14:paraId="59888FF1" w14:textId="77777777" w:rsidR="00CF5FE2" w:rsidRDefault="00BF3FFA">
      <w:r>
        <w:t xml:space="preserve">“ITIL” assists in supporting security through the addition of controls into some of the important lifecycle phases, such as Service Strategy, Service Design, Service Transition, Service Operation and Continual Service Improvement, in a digital-first organisation such as FinSure Bank. Security requirements can be defined (Service Design) and tested (Service Transition) and monitored (Service Operation) and improved through continuous improvement cycles (Akpe </w:t>
      </w:r>
      <w:r>
        <w:rPr>
          <w:i/>
          <w:iCs/>
        </w:rPr>
        <w:t>et al</w:t>
      </w:r>
      <w:r>
        <w:t>. 2022). ITIL reduces operational risks and enhances accountability and compliance readiness by standardising incident management, change management, access control, and service level agreements (SLAs). In the case of FinSure Bank, the implementation of ITIL would establish a formal foundation of governance enabling the cloud security, BYOD management and regulatory compliance at scales that are both scalable and auditable.</w:t>
      </w:r>
    </w:p>
    <w:p w14:paraId="6706EA03" w14:textId="77777777" w:rsidR="00CF5FE2" w:rsidRDefault="00BF3FFA">
      <w:pPr>
        <w:pStyle w:val="Heading2"/>
      </w:pPr>
      <w:bookmarkStart w:id="4" w:name="_Toc223370814"/>
      <w:r>
        <w:lastRenderedPageBreak/>
        <w:t>ISO/IEC 27000 Series</w:t>
      </w:r>
      <w:bookmarkEnd w:id="4"/>
    </w:p>
    <w:p w14:paraId="0F4C70A6" w14:textId="77777777" w:rsidR="00CF5FE2" w:rsidRDefault="00BF3FFA">
      <w:r>
        <w:t>The “ISO/IEC 27000” Series, a set of standards for information security management, is developed by the “International Organisation for Standardisation (ISO)” and the “International Electrotechnical Commission (IEC)”. The series provides a structured framework for establishing, implementing, maintaining, and continuously improving an “Information Security Management System (ISMS)” (Plate, 2025). “ISO/IEC 27001” sets mandatory requirements for risk assessment, implementation of security controls, leadership commitment, and ongoing monitoring, while “ISO/IEC 27002” offers detailed guidance on establishing and managing those security controls.</w:t>
      </w:r>
    </w:p>
    <w:p w14:paraId="028A57F1" w14:textId="77777777" w:rsidR="00CF5FE2" w:rsidRDefault="00BF3FFA">
      <w:pPr>
        <w:jc w:val="center"/>
      </w:pPr>
      <w:r>
        <w:rPr>
          <w:noProof/>
        </w:rPr>
        <w:drawing>
          <wp:inline distT="114300" distB="114300" distL="114300" distR="114300" wp14:anchorId="306A48E1" wp14:editId="787A9E4D">
            <wp:extent cx="5731200" cy="3238500"/>
            <wp:effectExtent l="12700" t="12700" r="12700" b="1270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1200" cy="3238500"/>
                    </a:xfrm>
                    <a:prstGeom prst="rect">
                      <a:avLst/>
                    </a:prstGeom>
                    <a:ln w="12700">
                      <a:solidFill>
                        <a:srgbClr val="000000"/>
                      </a:solidFill>
                      <a:prstDash val="solid"/>
                    </a:ln>
                  </pic:spPr>
                </pic:pic>
              </a:graphicData>
            </a:graphic>
          </wp:inline>
        </w:drawing>
      </w:r>
    </w:p>
    <w:p w14:paraId="105C5E8B" w14:textId="77777777" w:rsidR="00CF5FE2" w:rsidRDefault="00BF3FFA">
      <w:pPr>
        <w:jc w:val="center"/>
        <w:rPr>
          <w:b/>
          <w:bCs/>
        </w:rPr>
      </w:pPr>
      <w:r>
        <w:rPr>
          <w:b/>
          <w:bCs/>
        </w:rPr>
        <w:t>Figure 2: ISO/IEC 27000 Framework</w:t>
      </w:r>
    </w:p>
    <w:p w14:paraId="42A3B17F" w14:textId="77777777" w:rsidR="00CF5FE2" w:rsidRDefault="00BF3FFA">
      <w:pPr>
        <w:jc w:val="center"/>
      </w:pPr>
      <w:r>
        <w:t>(Source: Self-Created using Draw.io)</w:t>
      </w:r>
    </w:p>
    <w:p w14:paraId="1CDD2C0E" w14:textId="77777777" w:rsidR="00CF5FE2" w:rsidRDefault="00BF3FFA">
      <w:r>
        <w:t xml:space="preserve">The standard, “ISO/IEC 27001”, specifies compulsory requirements for risk assessment, security controls, and commitment of leadership and constant monitoring, whereas “ISO/IEC 27002” provides in-depth advice on instituting security controls (Kitsios </w:t>
      </w:r>
      <w:r>
        <w:rPr>
          <w:i/>
          <w:iCs/>
        </w:rPr>
        <w:t>et al</w:t>
      </w:r>
      <w:r>
        <w:t>. 2023). In the case of a cloud-based financial institution such as FinSure Bank, the “ISO/IEC 27000” offers a systematic risk-based protection of sensitive financial and personal information. It emphasises the confidentiality, integrity, and availability (CIA triad) of information resources, while ensuring that security operations comply with regulatory requirements, including GDPR.</w:t>
      </w:r>
    </w:p>
    <w:p w14:paraId="6BEFE389" w14:textId="77777777" w:rsidR="00CF5FE2" w:rsidRDefault="00BF3FFA">
      <w:pPr>
        <w:pStyle w:val="Heading2"/>
      </w:pPr>
      <w:bookmarkStart w:id="5" w:name="_Toc223370815"/>
      <w:r>
        <w:t>Additional Supporting Frameworks (NIST CSF, COBIT)</w:t>
      </w:r>
      <w:bookmarkEnd w:id="5"/>
    </w:p>
    <w:p w14:paraId="6CF8DF6D" w14:textId="77777777" w:rsidR="00CF5FE2" w:rsidRDefault="00BF3FFA">
      <w:r>
        <w:t xml:space="preserve">The “NIST Cybersecurity Framework” was created by the “National Institute of Standards and Technology” and is a risk-based framework that incorporates five core functions, such as </w:t>
      </w:r>
      <w:r>
        <w:lastRenderedPageBreak/>
        <w:t xml:space="preserve">Identify, Protect, Detect, Respond and Recover. This framework can be used to improve cyber resilience through the integration of technical security provisions with business risk management. The “COBIT”, which has been created by “ISACA”, is about IT governance, performance management and regulatory compliance (AL-Qatanani, 2025). The framework is used to ensure that the IT processes have strategic support and a sense of accountability and control. </w:t>
      </w:r>
    </w:p>
    <w:p w14:paraId="22A03EBA" w14:textId="77777777" w:rsidR="00CF5FE2" w:rsidRDefault="00BF3FFA">
      <w:pPr>
        <w:pStyle w:val="Heading1"/>
        <w:rPr>
          <w:highlight w:val="yellow"/>
        </w:rPr>
      </w:pPr>
      <w:bookmarkStart w:id="6" w:name="_Toc223370816"/>
      <w:r>
        <w:t>Design of a Security, Governance and Compliance Approach for FinSure</w:t>
      </w:r>
      <w:bookmarkEnd w:id="6"/>
    </w:p>
    <w:p w14:paraId="78932F39" w14:textId="77777777" w:rsidR="00CF5FE2" w:rsidRDefault="00BF3FFA">
      <w:pPr>
        <w:pStyle w:val="Heading2"/>
      </w:pPr>
      <w:bookmarkStart w:id="7" w:name="_Toc223370817"/>
      <w:r>
        <w:t>Design Principles and Assumptions</w:t>
      </w:r>
      <w:bookmarkEnd w:id="7"/>
    </w:p>
    <w:p w14:paraId="41878CC0" w14:textId="77777777" w:rsidR="00CF5FE2" w:rsidRDefault="00BF3FFA">
      <w:r>
        <w:t>The security, governance, and compliance plan for FinSure Bank (FSB) is built upon established principles of “risk-based security”, “zero-trust access”, and “privacy-by-design”, while considering contextual assumptions such as multi-jurisdictional operations, cloud-based infrastructure, and “BYOD” requirements.</w:t>
      </w:r>
    </w:p>
    <w:p w14:paraId="082F8316" w14:textId="77777777" w:rsidR="00CF5FE2" w:rsidRDefault="00BF3FFA">
      <w:pPr>
        <w:pStyle w:val="Heading3"/>
      </w:pPr>
      <w:bookmarkStart w:id="8" w:name="_Toc223370818"/>
      <w:r>
        <w:t>Design Principles</w:t>
      </w:r>
      <w:bookmarkEnd w:id="8"/>
    </w:p>
    <w:p w14:paraId="21C49499" w14:textId="77777777" w:rsidR="00CF5FE2" w:rsidRDefault="00BF3FFA">
      <w:r>
        <w:t>All security decisions can be based on a risk-based approach in compliance with “ISO/IEC 27001” and the “NIST Cybersecurity Framework”, so that the controls can be proportionate to the risks and impact estimated to the business. The concepts of security-by-design and privacy-by-design can be incorporated throughout the process of system development, the configuration of the cloud and the deployment of services (Jain, 2024). The verification of identities and access control is handled by a zero-trust architecture that deals with the security needs of BYODs and third-party access. The governance model is based on the principles of the COBIT governance framework, which imposes clear control, roles and duties of it and performance management as a method to preserve accountability, transparency and direction towards strategic business goals.</w:t>
      </w:r>
    </w:p>
    <w:p w14:paraId="0D856E81" w14:textId="77777777" w:rsidR="00CF5FE2" w:rsidRDefault="00BF3FFA">
      <w:pPr>
        <w:pStyle w:val="Heading3"/>
      </w:pPr>
      <w:bookmarkStart w:id="9" w:name="_Toc223370819"/>
      <w:r>
        <w:t>Assumptions</w:t>
      </w:r>
      <w:bookmarkEnd w:id="9"/>
    </w:p>
    <w:p w14:paraId="52ECF1D3" w14:textId="77777777" w:rsidR="00CF5FE2" w:rsidRDefault="00BF3FFA">
      <w:r>
        <w:t>It is presumed that FSB performs its operations in several different countries, which means that it has to comply with GDPR and other applicable financial regulations applied to its jurisdictions. It can also be assumed that the organisation has low levels of maturity with reduced formalised governance and security management processes, and strong, limited technical infrastructure. The allocated budgetary resources should help in the phased implementation. Most of the infrastructure is clouds-based which needs intense vendor management and close monitoring of service-level agreements (SLAs) (Samha, 2024). The needs of identity checking, endpoint security, and data protection are upsurged by the utilisation of remote access and mobile workforces.</w:t>
      </w:r>
    </w:p>
    <w:p w14:paraId="670616DF" w14:textId="77777777" w:rsidR="00CF5FE2" w:rsidRDefault="00BF3FFA">
      <w:pPr>
        <w:pStyle w:val="Heading2"/>
      </w:pPr>
      <w:bookmarkStart w:id="10" w:name="_Toc223370820"/>
      <w:r>
        <w:lastRenderedPageBreak/>
        <w:t>Governance and Strategic Security Management</w:t>
      </w:r>
      <w:bookmarkEnd w:id="10"/>
    </w:p>
    <w:p w14:paraId="6FA86670" w14:textId="77777777" w:rsidR="00CF5FE2" w:rsidRDefault="00BF3FFA">
      <w:r>
        <w:t xml:space="preserve">FinSure Bank (FSB) needs effective governance and strategic management of security in order to keep its information security levels relevant to the business goals, regulatory management requirements and consumer expectations. Governance helps to establish clear decision-making models, authority, and accountability lines. Strategic security management establishes the provision of the capacity to secure the inputs in the projects of security to sustain long-term organisational goals, regardless of being solitary technical projects. A Formal “Information Security Management System (ISMS)” to be aligned with “ISO/IEC 27001” can be set to clarify policies, roles, responsibilities and performance indicators (Haghighat </w:t>
      </w:r>
      <w:r>
        <w:rPr>
          <w:i/>
          <w:iCs/>
        </w:rPr>
        <w:t>et al</w:t>
      </w:r>
      <w:r>
        <w:t>. 2025). The principles of COBIT can also be applied to governance practices to achieve clarity in accountability, risk ownership and alignment of the IT strategy and corporate goals.</w:t>
      </w:r>
    </w:p>
    <w:p w14:paraId="2A6ED970" w14:textId="77777777" w:rsidR="00CF5FE2" w:rsidRDefault="00BF3FFA">
      <w:r>
        <w:t xml:space="preserve">The risk assessment, business impact analysis, regulatory compliance monitoring and resource planning should be involved in the process of enterprise decision-making. This encompasses the alignment of the cybersecurity investment with the threat intelligence, digital transformation programs and cloud adoption plans. Security objectives should be quantifiable, monitored regularly, and tracked using “key performance indicators (KPIs)” and “key risk indicators (KRIs)” to ensure effective risk management, measure progress, and demonstrate alignment with organisational goals (Mishra </w:t>
      </w:r>
      <w:r>
        <w:rPr>
          <w:i/>
          <w:iCs/>
        </w:rPr>
        <w:t>et al</w:t>
      </w:r>
      <w:r>
        <w:t>. 2023). Implementing the concept of governance within executive oversight and operational management will enable FSB to shift towards an integrated, risk-focused and strategically based security model that facilitates sustainable development and regulatory assurance.</w:t>
      </w:r>
    </w:p>
    <w:p w14:paraId="7998762D" w14:textId="77777777" w:rsidR="00CF5FE2" w:rsidRDefault="00BF3FFA">
      <w:pPr>
        <w:pStyle w:val="Heading2"/>
      </w:pPr>
      <w:bookmarkStart w:id="11" w:name="_Toc223370821"/>
      <w:r>
        <w:t>Risk Management Approach</w:t>
      </w:r>
      <w:bookmarkEnd w:id="11"/>
    </w:p>
    <w:p w14:paraId="68FA8A0A" w14:textId="77777777" w:rsidR="00CF5FE2" w:rsidRDefault="00BF3FFA">
      <w:r>
        <w:t>Risk management is a structured practice that Finsure Bank (FSB) needs to adopt in order to safeguard confidential financial information, comply with any regulatory stipulations and stay resilient in its operations. The presented strategy is based on a continuous and systematic process that is in compliance with “ISO/IEC 27005” and backed by the principles provided in the “NIST Cybersecurity Framework” (Koza, 2022). Identifying risk starts with the identification of risky assets, including essential resources such as customer financial information, cloud-based solutions, mobile banking networks and intellectual property. Cyberattacks, insider abuse, third-party susceptibility and regulatory non-compliance are some of the threats that need to be evaluated in terms of system weaknesses.</w:t>
      </w:r>
    </w:p>
    <w:p w14:paraId="6E8E9ED6" w14:textId="77777777" w:rsidR="00CF5FE2" w:rsidRDefault="00BF3FFA">
      <w:pPr>
        <w:jc w:val="center"/>
      </w:pPr>
      <w:r>
        <w:rPr>
          <w:noProof/>
        </w:rPr>
        <w:lastRenderedPageBreak/>
        <w:drawing>
          <wp:inline distT="114300" distB="114300" distL="114300" distR="114300" wp14:anchorId="1317E384" wp14:editId="167FF607">
            <wp:extent cx="5810250" cy="3112545"/>
            <wp:effectExtent l="12700" t="12700" r="12700" b="1270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810250" cy="3112545"/>
                    </a:xfrm>
                    <a:prstGeom prst="rect">
                      <a:avLst/>
                    </a:prstGeom>
                    <a:ln w="12700">
                      <a:solidFill>
                        <a:srgbClr val="000000"/>
                      </a:solidFill>
                      <a:prstDash val="solid"/>
                    </a:ln>
                  </pic:spPr>
                </pic:pic>
              </a:graphicData>
            </a:graphic>
          </wp:inline>
        </w:drawing>
      </w:r>
    </w:p>
    <w:p w14:paraId="70706596" w14:textId="77777777" w:rsidR="00CF5FE2" w:rsidRDefault="00BF3FFA">
      <w:pPr>
        <w:jc w:val="center"/>
        <w:rPr>
          <w:b/>
          <w:bCs/>
        </w:rPr>
      </w:pPr>
      <w:r>
        <w:rPr>
          <w:b/>
          <w:bCs/>
        </w:rPr>
        <w:t>Figure 3: Risk Management Approach</w:t>
      </w:r>
    </w:p>
    <w:p w14:paraId="22F6106C" w14:textId="77777777" w:rsidR="00CF5FE2" w:rsidRDefault="00BF3FFA">
      <w:pPr>
        <w:jc w:val="center"/>
        <w:rPr>
          <w:b/>
          <w:bCs/>
        </w:rPr>
      </w:pPr>
      <w:r>
        <w:t>(Source: Self-Created using Draw.io)</w:t>
      </w:r>
    </w:p>
    <w:p w14:paraId="54E0CC7C" w14:textId="77777777" w:rsidR="00CF5FE2" w:rsidRDefault="00BF3FFA">
      <w:r>
        <w:t>The risk treatment strategies consider mitigation as a technical constraint (encryption, multi-factor authentication, network segmentation), transfer through contractual protections and cyber insurance, avoidance where appropriate and acceptance when risks are within acceptable tolerance levels (Adeniyan, 2025). Dynamic risk reassessment can be supported with frequent risk assessment, in-house audit, penetration testing and threat intelligence updates. Integrity with business continuity and incident response planning ensures disruption preparedness.</w:t>
      </w:r>
    </w:p>
    <w:p w14:paraId="4F11954D" w14:textId="77777777" w:rsidR="00CF5FE2" w:rsidRDefault="00BF3FFA">
      <w:pPr>
        <w:pStyle w:val="Heading2"/>
      </w:pPr>
      <w:bookmarkStart w:id="12" w:name="_Toc223370822"/>
      <w:r>
        <w:t>Security Policies and Protection Mechanisms</w:t>
      </w:r>
      <w:bookmarkEnd w:id="12"/>
    </w:p>
    <w:p w14:paraId="70998628" w14:textId="77777777" w:rsidR="00CF5FE2" w:rsidRDefault="00BF3FFA">
      <w:r>
        <w:t xml:space="preserve">Strong security policies and protection systems are the main elements in protecting the information assets of “FinSure Bank (FSB)” and regulatory compliance. Security policies offer formalised rules, standards and procedures that specify acceptable use, access, data management, </w:t>
      </w:r>
      <w:r w:rsidR="00BF4ECA">
        <w:t>and incident</w:t>
      </w:r>
      <w:r>
        <w:t xml:space="preserve"> response and third-party involvement. Those policies are to be designed as a part of the “Information Security Management System” with references to ISO/IEC 27001 and backed by operational service controls based on the “AXELOS ITIL” recommendations (Aflakhah and Soewito, 2023). There should be an Information Security Policy, Acceptable Use Policy, BYOD Policy, Data Classification Policy, Access Control Policy and Incident Response Policy. Compliance should be effectively implemented through well-defined enforcement mechanisms, employee training programs, and regular audits.</w:t>
      </w:r>
    </w:p>
    <w:p w14:paraId="4CBCAEE8" w14:textId="77777777" w:rsidR="00CF5FE2" w:rsidRDefault="00BF3FFA">
      <w:r>
        <w:t xml:space="preserve">Defence mechanisms should have an integrated administrative, technical and physical control. The technical protection measures consist of “multi-factor authentication”, “role-based access </w:t>
      </w:r>
      <w:r>
        <w:lastRenderedPageBreak/>
        <w:t>controls”, “end to end encryptions”, “secure cloud design”, “intrusion detection and prevention system” and “continuous monitoring solutions”. BYOD environments need to be secured using “mobile device management (MDM)” and “endpoint detection and response (EDR)” (Lekkala and Gurijala, 2024). The sensitive financial records should be protected against unauthorised disclosure by “data loss prevention (DLP)” tools. With layered defence mechanisms coupled with comprehensive policies, FSB can be able to minimise vulnerability, enhance regulatory compliance and build a resilient security framework that helps mitigate external cyber threats and internal abuse.</w:t>
      </w:r>
    </w:p>
    <w:p w14:paraId="7D8ED637" w14:textId="77777777" w:rsidR="00CF5FE2" w:rsidRDefault="00BF3FFA">
      <w:pPr>
        <w:pStyle w:val="Heading2"/>
      </w:pPr>
      <w:bookmarkStart w:id="13" w:name="_Toc223370823"/>
      <w:r>
        <w:t>Compliance and Regulatory Alignment</w:t>
      </w:r>
      <w:bookmarkEnd w:id="13"/>
    </w:p>
    <w:p w14:paraId="6BBCF74F" w14:textId="77777777" w:rsidR="00CF5FE2" w:rsidRDefault="00BF3FFA">
      <w:r>
        <w:t>The banking sector presents both legal and regulatory imperatives since the “FinSure Bank (FSB)” operates across various countries and deals with highly sensitive financial information. The organisation should follow the “General Data Protection Regulation”, “Financial Conduct Regulations”, “anti-money laundering (AML)” regulations, and “data localisation legislation”, where possible, to ensure compliance and protect sensitive data (Quintel, 2022). Compliance with “ISO/IEC 27001” facilitates well-documented, audit and responsibility. Internal audits, third-party assessments and compliance reporting mechanisms should be used continuously to enforce compliance.</w:t>
      </w:r>
    </w:p>
    <w:p w14:paraId="4B68914D" w14:textId="77777777" w:rsidR="00CF5FE2" w:rsidRDefault="00BF3FFA">
      <w:pPr>
        <w:pStyle w:val="Heading2"/>
      </w:pPr>
      <w:bookmarkStart w:id="14" w:name="_Toc223370824"/>
      <w:r>
        <w:t>Contingency and Incident Response Planning</w:t>
      </w:r>
      <w:bookmarkEnd w:id="14"/>
    </w:p>
    <w:p w14:paraId="059B1DB4" w14:textId="77777777" w:rsidR="00CF5FE2" w:rsidRDefault="00BF3FFA">
      <w:r>
        <w:t>Contingency and incident response planning is necessary in order to make sure that “FinSure Bank (FSB)” can respond to security threats, operational disturbances and cyberattacks without incurring major losses in finances and reputation. Since FSB has a cloud-based infrastructure and digital-first service framework, it must develop procedural response plans in line with “ISO/IEC 27035” and business continuity guidance in “ISO 22301” (Ngamlertprasert and Wuttidittachotti, 2025). “Incident Response Plan (IRP)” must explicitly outline roles, escalation plans, communication plans and make decisions. Response lifecycle should comprise preparation, detection and analysis, containment, eradication, recovery and post incident review. The incident response team must work with the IT, legal, compliance, and executive management to make sure that the necessary action is taken in time.</w:t>
      </w:r>
    </w:p>
    <w:p w14:paraId="2ACF36FE" w14:textId="77777777" w:rsidR="00CF5FE2" w:rsidRDefault="00BF3FFA">
      <w:r>
        <w:t xml:space="preserve">A “Business Continuity Plan (BCP)” and “Disaster Recovery Plan (DRP)” should be included in contingency planning to protect vital services such as online banking, payment processing, and customer authentication. Periodic testing via simulations, tabletop exercises and penetration testing can confirm preparedness and promote the effectiveness of response (Angafor </w:t>
      </w:r>
      <w:r>
        <w:rPr>
          <w:i/>
          <w:iCs/>
        </w:rPr>
        <w:t>et al</w:t>
      </w:r>
      <w:r>
        <w:t xml:space="preserve">. 2023). Constant vigilance, threat intelligence and lessons-learned review can </w:t>
      </w:r>
      <w:r>
        <w:lastRenderedPageBreak/>
        <w:t>help to improve resilience. A dynamic contingency plan helps to bring stability to the operations, adhere to regulations and maintain consumer confidence even in the case of a system failure or a high-impact cyber incident.</w:t>
      </w:r>
    </w:p>
    <w:p w14:paraId="6A7D7561" w14:textId="77777777" w:rsidR="00CF5FE2" w:rsidRDefault="00BF3FFA">
      <w:pPr>
        <w:pStyle w:val="Heading1"/>
        <w:rPr>
          <w:highlight w:val="yellow"/>
        </w:rPr>
      </w:pPr>
      <w:bookmarkStart w:id="15" w:name="_Toc223370825"/>
      <w:r>
        <w:t>Importance of Evolving Regulations and Standards</w:t>
      </w:r>
      <w:bookmarkEnd w:id="15"/>
    </w:p>
    <w:p w14:paraId="6A0CF289" w14:textId="77777777" w:rsidR="00CF5FE2" w:rsidRDefault="00BF3FFA">
      <w:r>
        <w:t>The regulations and the security levels should continue to be enhanced because of the rapid evolution of web-based financial services. Permanent regulatory structures are incapable of reacting properly to emerging technological dangers, particularly in traditional business settings led by the “cloud of computing”, “mobile banking” and “artificial intelligence”. Cloud computing has transformed the control of the infrastructure, the model of data storage and the degree of jurisdiction. The use of third-party cloud vendors by “FinSure Bank” offers complex structures of shared responsibility and the risk of having cross-border data transfers. The protection and data security rules should be revised to define accountability and make vendors more controlled, as well as to have similar regulations applied uniformly, such as the General Data Protection Regulation (Labadie and Legner, 2023).</w:t>
      </w:r>
    </w:p>
    <w:p w14:paraId="0DC16BFB" w14:textId="77777777" w:rsidR="00CF5FE2" w:rsidRDefault="00BF3FFA">
      <w:r>
        <w:t>Mobile banking increases the possible points of cyberattack, since the customer will be using a personal smartphone and unsecured Wi-Fi networks to access banking apps, making them more vulnerable to phishing attacks, malware infection, and identity theft. Application of the outdated standards where a perimeter-based security model is emphasized address is not capable of meeting the needs of a zero-trust architecture and endpoint security. The frequent updates are also what keep the regulatory frameworks in line with the current authentication practices, encryption protocols, and mobile security practices (Gilbert and Gilbert, 2025). The application of AI in fraud detection and possible automated decision-making brings up new ethical, operational, and transparency-related challenges that should be tackled. As much as AI improves fraud detection technology, it also attracts the attention of bias on the side of algorithms, data privacy, and transparency of decision-making.</w:t>
      </w:r>
    </w:p>
    <w:p w14:paraId="50583979" w14:textId="77777777" w:rsidR="00CF5FE2" w:rsidRDefault="00BF3FFA">
      <w:pPr>
        <w:pStyle w:val="Heading1"/>
      </w:pPr>
      <w:bookmarkStart w:id="16" w:name="_Toc223370826"/>
      <w:r>
        <w:t>Evaluation of the Proposed Approach</w:t>
      </w:r>
      <w:bookmarkEnd w:id="16"/>
    </w:p>
    <w:p w14:paraId="63A1C71F" w14:textId="77777777" w:rsidR="00CF5FE2" w:rsidRDefault="00BF3FFA">
      <w:r>
        <w:t xml:space="preserve">The security, governance and compliance model proposed to “FinSure Bank (FSB)” complies with the international standards and industry best practices of ensuring financial data integrity and addressing cyber risks. The model incorporates the “ISO/IEC 27001”, “27005”, and the “NIST Cybersecurity Framework” principles, forming a risk-related structure according to which ongoing auditing and compliance are provided. This improves accountability, regulatory compliance and ensures that the security controls are in the correct position against the threats that are identified. The system of governance and management offers executives control and </w:t>
      </w:r>
      <w:r>
        <w:lastRenderedPageBreak/>
        <w:t xml:space="preserve">strategic direction, minimising gaps or the lack of alignment in the decision-making process (Yi </w:t>
      </w:r>
      <w:r>
        <w:rPr>
          <w:i/>
          <w:iCs/>
        </w:rPr>
        <w:t>et al</w:t>
      </w:r>
      <w:r>
        <w:t>. 2022). The policy of “zero-trust”, “cloud management”, “BYOD” control and a continuous monitoring system, strengthens the flexibility of the highly dynamic digital banking landscape. Integrated risk management, including business continuity and incident response planning process, increases organisational stability and business continuity.</w:t>
      </w:r>
    </w:p>
    <w:p w14:paraId="5060ED3E" w14:textId="77777777" w:rsidR="00CF5FE2" w:rsidRDefault="00BF3FFA">
      <w:r>
        <w:t>The plan does not include investing in culture, long-term corporate commitment, investing in education, observation equipment and compliance audit. The super dependence on formal processes can result in bureaucratic complexity uncoordinated without appropriate coordination (Maspul and Ardhin, 2025). The nature of cyber threats keeps changing and hence, controls must be re-evaluated on a regular basis to avoid instability. The proposed plan is comprehensive, expandable, and aligned with the strategic goals of FSB to provide it with one framework of governance that will be able to support the safe growth, compliance with regulations and financial digital sustainability.</w:t>
      </w:r>
    </w:p>
    <w:p w14:paraId="317A3C77" w14:textId="77777777" w:rsidR="00CF5FE2" w:rsidRDefault="00BF3FFA">
      <w:pPr>
        <w:pStyle w:val="Heading1"/>
      </w:pPr>
      <w:bookmarkStart w:id="17" w:name="_Toc223370827"/>
      <w:r>
        <w:t>Conclusion</w:t>
      </w:r>
      <w:bookmarkEnd w:id="17"/>
    </w:p>
    <w:p w14:paraId="396E6C02" w14:textId="77777777" w:rsidR="00CF5FE2" w:rsidRDefault="00BF3FFA">
      <w:r>
        <w:t>FinSure Bank (FSB) is a digital-first financial institution with a highly dynamic and risky technological environment because it is a fast-growing organisation. Increasing use of the cloud infrastructure, cross-border activities and mobile banking services present the organisation with high levels of cybersecurity and regulatory and operational risks. The proven model of security and governance frameworks, such as the “ITIL”, “ISO/IEC 27000 Series”, “NIST Cybersecurity Framework” and “COBIT” have structured and risk-wise prudent foundation. The combination of these models refuses the security situation of “FinSure Bank (FSB)” and assists in exercising control over its information resources in an orderly manner.</w:t>
      </w:r>
    </w:p>
    <w:p w14:paraId="5C326D34" w14:textId="77777777" w:rsidR="00CF5FE2" w:rsidRDefault="00BF3FFA">
      <w:r>
        <w:t>The proposed security, governance and compliance framework provides an integrated “Governance System of Information Security” management supported by formal governance controls, strategic risk management and layer protection controls. The approach aligns the business strategy with the security goals by having risk-based decision making, “zero-trust principles”, “continuous monitoring” and “incident response procedures” that are pre-defined. Incorporation of system compliance needs, especially those of data protection and financial regulations, enhances responsibility, audit preparedness, and trust of stakeholders.</w:t>
      </w:r>
    </w:p>
    <w:p w14:paraId="159453FC" w14:textId="77777777" w:rsidR="00CF5FE2" w:rsidRDefault="00BF3FFA">
      <w:r>
        <w:t xml:space="preserve">Continuous improvement and perpetual governance make up adaptive governance as the pivot point in securing the constantly evolving threats encountered in the field of digital banking. The rigid systems are unable to absorb the new risks that have arisen, such as advanced cyberattacks, artificial intelligence fraud and vulnerabilities introduced by cloud and mobile </w:t>
      </w:r>
      <w:r>
        <w:lastRenderedPageBreak/>
        <w:t>banking services. Adaptive governance will facilitate the fact that “FinSure Bank” can be proactive in anticipating and assessing these risks and responding to them via the continuous monitoring of such risks, risk reassessment and potential future enhancement of security controls. In order to implement this framework successfully, there has to be excellent organisational buy-in, a sufficient amount of investment in the investment and a sense of the culture of the organisation’s compliance, and employees at all levels have to be engaged and a culture of security consciousness. Although such a requirement is evident, the given framework is scalable by nature and resilient, as it can undergo further development with the evolving operations of FinSure Bank. This standards-based approach will fully equip the bank in the efficiency of reducing the impact of threats by incorporating risk-based decision-making, zero-trust principles, and structured incident response, and also keep the bank in compliance with regulations and operationally resilient.</w:t>
      </w:r>
      <w:r>
        <w:br w:type="page"/>
      </w:r>
    </w:p>
    <w:p w14:paraId="7666BA31" w14:textId="77777777" w:rsidR="00CF5FE2" w:rsidRDefault="00BF3FFA">
      <w:pPr>
        <w:pStyle w:val="Heading1"/>
      </w:pPr>
      <w:bookmarkStart w:id="18" w:name="_Toc223370828"/>
      <w:r>
        <w:lastRenderedPageBreak/>
        <w:t>References</w:t>
      </w:r>
      <w:bookmarkEnd w:id="18"/>
    </w:p>
    <w:p w14:paraId="5E01ED39" w14:textId="77777777" w:rsidR="00CF5FE2" w:rsidRDefault="00BF3FFA">
      <w:pPr>
        <w:spacing w:after="240"/>
      </w:pPr>
      <w:r>
        <w:t xml:space="preserve">Adeniyan, T., 2025. Comprehensive Approaches to Mitigate Cyber Threats Across Global Enterprise Networks and Infrastructures. </w:t>
      </w:r>
      <w:r>
        <w:rPr>
          <w:i/>
          <w:iCs/>
        </w:rPr>
        <w:t>INTERNATIONAL JOURNAL OF RESEARCH</w:t>
      </w:r>
      <w:r>
        <w:t xml:space="preserve">, </w:t>
      </w:r>
      <w:r>
        <w:rPr>
          <w:i/>
          <w:iCs/>
        </w:rPr>
        <w:t>6</w:t>
      </w:r>
      <w:r>
        <w:t>(1), pp.1272-1288.</w:t>
      </w:r>
    </w:p>
    <w:p w14:paraId="0AF694A1" w14:textId="77777777" w:rsidR="00CF5FE2" w:rsidRDefault="00BF3FFA">
      <w:pPr>
        <w:spacing w:after="240"/>
      </w:pPr>
      <w:r>
        <w:t xml:space="preserve">Aflakhah, E. and Soewito, B., 2023. Assessing information security using cobit 2019 and iso 27001: 2013 for developing a mitigation plan. </w:t>
      </w:r>
      <w:r>
        <w:rPr>
          <w:i/>
          <w:iCs/>
        </w:rPr>
        <w:t>International Journal of Engineering Trends and Technology</w:t>
      </w:r>
      <w:r>
        <w:t xml:space="preserve">, </w:t>
      </w:r>
      <w:r>
        <w:rPr>
          <w:i/>
          <w:iCs/>
        </w:rPr>
        <w:t>71</w:t>
      </w:r>
      <w:r>
        <w:t>(10), pp.223-237.</w:t>
      </w:r>
    </w:p>
    <w:p w14:paraId="30B08DB3" w14:textId="77777777" w:rsidR="00CF5FE2" w:rsidRDefault="00BF3FFA">
      <w:pPr>
        <w:spacing w:after="240"/>
      </w:pPr>
      <w:r>
        <w:t xml:space="preserve">Akpe, O.E.E., Kisina, D., Owoade, S., Uzoka, A.C., Ubanadu, B.C. and Daraojimba, A.I., 2022. Systematic review of application modernization strategies using modular and serviceoriented design principles. </w:t>
      </w:r>
      <w:r>
        <w:rPr>
          <w:i/>
          <w:iCs/>
        </w:rPr>
        <w:t>International Journal of Multidisciplinary Research and Growth Evaluation</w:t>
      </w:r>
      <w:r>
        <w:t xml:space="preserve">, </w:t>
      </w:r>
      <w:r>
        <w:rPr>
          <w:i/>
          <w:iCs/>
        </w:rPr>
        <w:t>2</w:t>
      </w:r>
      <w:r>
        <w:t>(1), pp.995-1001.</w:t>
      </w:r>
    </w:p>
    <w:p w14:paraId="0038E220" w14:textId="77777777" w:rsidR="00CF5FE2" w:rsidRDefault="00BF3FFA">
      <w:pPr>
        <w:spacing w:after="240"/>
      </w:pPr>
      <w:bookmarkStart w:id="19" w:name="_heading=h.xzr7rmsxslpt" w:colFirst="0" w:colLast="0"/>
      <w:bookmarkEnd w:id="19"/>
      <w:r>
        <w:t xml:space="preserve">AL-Qatanani, K.M., 2025. The impact of implementing information technology governance based on the COBIT-2019 framework on institutional performance. </w:t>
      </w:r>
      <w:r>
        <w:rPr>
          <w:i/>
          <w:iCs/>
        </w:rPr>
        <w:t>Edelweiss Applied Science and Technology</w:t>
      </w:r>
      <w:r>
        <w:t xml:space="preserve">, </w:t>
      </w:r>
      <w:r>
        <w:rPr>
          <w:i/>
          <w:iCs/>
        </w:rPr>
        <w:t>9</w:t>
      </w:r>
      <w:r>
        <w:t>(3), pp.84-95.</w:t>
      </w:r>
    </w:p>
    <w:p w14:paraId="21478DCA" w14:textId="77777777" w:rsidR="00CF5FE2" w:rsidRDefault="00BF3FFA">
      <w:pPr>
        <w:spacing w:after="240"/>
      </w:pPr>
      <w:bookmarkStart w:id="20" w:name="_heading=h.m91ny4h41z3i" w:colFirst="0" w:colLast="0"/>
      <w:bookmarkEnd w:id="20"/>
      <w:r>
        <w:t xml:space="preserve">Angafor, G.N., Yevseyeva, I. and Maglaras, L., 2023. Scenario-based incident response training: lessons learnt from conducting an experiential learning virtual incident response tabletop exercise. </w:t>
      </w:r>
      <w:r>
        <w:rPr>
          <w:i/>
          <w:iCs/>
        </w:rPr>
        <w:t>Information &amp; Computer Security</w:t>
      </w:r>
      <w:r>
        <w:t xml:space="preserve">, </w:t>
      </w:r>
      <w:r>
        <w:rPr>
          <w:i/>
          <w:iCs/>
        </w:rPr>
        <w:t>31</w:t>
      </w:r>
      <w:r>
        <w:t>(4), pp.404-426.</w:t>
      </w:r>
    </w:p>
    <w:p w14:paraId="51173FA5" w14:textId="77777777" w:rsidR="00CF5FE2" w:rsidRDefault="00BF3FFA">
      <w:pPr>
        <w:spacing w:after="240"/>
      </w:pPr>
      <w:bookmarkStart w:id="21" w:name="_heading=h.d33s0w350e3b" w:colFirst="0" w:colLast="0"/>
      <w:bookmarkEnd w:id="21"/>
      <w:r>
        <w:t>Fares, O.H., Butt, I. and Lee, S.H.M., 2022. Utilization of artificial intelligence in the banking sector: a systematic literature review. </w:t>
      </w:r>
      <w:r>
        <w:rPr>
          <w:i/>
          <w:iCs/>
        </w:rPr>
        <w:t>Journal of Financial Services Marketing</w:t>
      </w:r>
      <w:r>
        <w:t>, p.1.</w:t>
      </w:r>
    </w:p>
    <w:p w14:paraId="03F18D30" w14:textId="77777777" w:rsidR="00CF5FE2" w:rsidRDefault="00BF3FFA">
      <w:pPr>
        <w:spacing w:after="240"/>
      </w:pPr>
      <w:bookmarkStart w:id="22" w:name="_heading=h.vcjl9z56pj8z" w:colFirst="0" w:colLast="0"/>
      <w:bookmarkEnd w:id="22"/>
      <w:r>
        <w:t xml:space="preserve">Gilbert, C. and Gilbert, M.A., 2025. Continuous user authentication on mobile devices. </w:t>
      </w:r>
      <w:r>
        <w:rPr>
          <w:i/>
          <w:iCs/>
        </w:rPr>
        <w:t>International Research Journal of Advanced Engineering and Science</w:t>
      </w:r>
      <w:r>
        <w:t xml:space="preserve">, </w:t>
      </w:r>
      <w:r>
        <w:rPr>
          <w:i/>
          <w:iCs/>
        </w:rPr>
        <w:t>10</w:t>
      </w:r>
      <w:r>
        <w:t>(1), pp.158-173.</w:t>
      </w:r>
    </w:p>
    <w:p w14:paraId="64C221A8" w14:textId="77777777" w:rsidR="00CF5FE2" w:rsidRDefault="00BF3FFA">
      <w:pPr>
        <w:spacing w:after="240"/>
      </w:pPr>
      <w:bookmarkStart w:id="23" w:name="_heading=h.wu1t87o291s5" w:colFirst="0" w:colLast="0"/>
      <w:bookmarkEnd w:id="23"/>
      <w:r>
        <w:t xml:space="preserve">Haghighat, A., Kalantari, M. and Kolahdoozi, M., 2025. Providing a Framework to Support the Analysis and Implementation of Information Security Management Systems Based on the ISO/IEC 27001 ISMS Standard in Several Subsidiary Companies of the Ministry of Roads and Urban Development. </w:t>
      </w:r>
      <w:r>
        <w:rPr>
          <w:i/>
          <w:iCs/>
        </w:rPr>
        <w:t>Management Strategies and Engineering Sciences</w:t>
      </w:r>
      <w:r>
        <w:t xml:space="preserve">, </w:t>
      </w:r>
      <w:r>
        <w:rPr>
          <w:i/>
          <w:iCs/>
        </w:rPr>
        <w:t>7</w:t>
      </w:r>
      <w:r>
        <w:t>(4), pp.23-32.</w:t>
      </w:r>
    </w:p>
    <w:p w14:paraId="06922538" w14:textId="77777777" w:rsidR="00CF5FE2" w:rsidRDefault="00BF3FFA">
      <w:pPr>
        <w:spacing w:after="240"/>
      </w:pPr>
      <w:bookmarkStart w:id="24" w:name="_heading=h.8lizkz5ffhla" w:colFirst="0" w:colLast="0"/>
      <w:bookmarkEnd w:id="24"/>
      <w:r>
        <w:t xml:space="preserve">Jain, S., 2024. Integrating Privacy by Design Enhancing Cyber Security Practices in Software Development. </w:t>
      </w:r>
      <w:r>
        <w:rPr>
          <w:i/>
          <w:iCs/>
        </w:rPr>
        <w:t>Journal Of Multidisciplinary</w:t>
      </w:r>
      <w:r>
        <w:t xml:space="preserve">, </w:t>
      </w:r>
      <w:r>
        <w:rPr>
          <w:i/>
          <w:iCs/>
        </w:rPr>
        <w:t>4</w:t>
      </w:r>
      <w:r>
        <w:t>(11), pp.1-11.</w:t>
      </w:r>
    </w:p>
    <w:p w14:paraId="2FAA7A23" w14:textId="77777777" w:rsidR="00CF5FE2" w:rsidRDefault="00BF3FFA">
      <w:pPr>
        <w:spacing w:after="240"/>
      </w:pPr>
      <w:bookmarkStart w:id="25" w:name="_heading=h.srvsdf4mt179" w:colFirst="0" w:colLast="0"/>
      <w:bookmarkEnd w:id="25"/>
      <w:r>
        <w:lastRenderedPageBreak/>
        <w:t>Johri, A. and Kumar, S., 2023. Exploring customer awareness towards their cyber security in the Kingdom of Saudi Arabia: A study in the era of banking digital transformation. </w:t>
      </w:r>
      <w:r>
        <w:rPr>
          <w:i/>
          <w:iCs/>
        </w:rPr>
        <w:t>Human Behavior and Emerging Technologies</w:t>
      </w:r>
      <w:r>
        <w:t>, </w:t>
      </w:r>
      <w:r>
        <w:rPr>
          <w:i/>
          <w:iCs/>
        </w:rPr>
        <w:t>2023</w:t>
      </w:r>
      <w:r>
        <w:t>(1), p.2103442.</w:t>
      </w:r>
    </w:p>
    <w:p w14:paraId="3A1C4B4F" w14:textId="77777777" w:rsidR="00CF5FE2" w:rsidRDefault="00BF3FFA">
      <w:pPr>
        <w:spacing w:after="240"/>
      </w:pPr>
      <w:bookmarkStart w:id="26" w:name="_heading=h.rsuaz260a198" w:colFirst="0" w:colLast="0"/>
      <w:bookmarkEnd w:id="26"/>
      <w:r>
        <w:t xml:space="preserve">Kitsios, F., Chatzidimitriou, E. and Kamariotou, M., 2023. The ISO/IEC 27001 information security management standard: how to extract value from data in the IT sector. </w:t>
      </w:r>
      <w:r>
        <w:rPr>
          <w:i/>
          <w:iCs/>
        </w:rPr>
        <w:t>Sustainability</w:t>
      </w:r>
      <w:r>
        <w:t xml:space="preserve">, </w:t>
      </w:r>
      <w:r>
        <w:rPr>
          <w:i/>
          <w:iCs/>
        </w:rPr>
        <w:t>15</w:t>
      </w:r>
      <w:r>
        <w:t>(7), p.5828.</w:t>
      </w:r>
    </w:p>
    <w:p w14:paraId="6A81F12F" w14:textId="77777777" w:rsidR="00CF5FE2" w:rsidRDefault="00BF3FFA">
      <w:pPr>
        <w:spacing w:after="240"/>
      </w:pPr>
      <w:bookmarkStart w:id="27" w:name="_heading=h.tqt64na3xmsk" w:colFirst="0" w:colLast="0"/>
      <w:bookmarkEnd w:id="27"/>
      <w:r>
        <w:t xml:space="preserve">Koza, E., 2022. Semantic analysis of ISO/IEC 27000 standard series and NIST cybersecurity framework to outline differences and consistencies in the context of operational and strategic information security. </w:t>
      </w:r>
      <w:r>
        <w:rPr>
          <w:i/>
          <w:iCs/>
        </w:rPr>
        <w:t>Med. Eng. Themes</w:t>
      </w:r>
      <w:r>
        <w:t xml:space="preserve">, </w:t>
      </w:r>
      <w:r>
        <w:rPr>
          <w:i/>
          <w:iCs/>
        </w:rPr>
        <w:t>2</w:t>
      </w:r>
      <w:r>
        <w:t>(3), pp.26-39.</w:t>
      </w:r>
    </w:p>
    <w:p w14:paraId="160E8FF6" w14:textId="77777777" w:rsidR="00CF5FE2" w:rsidRDefault="00BF3FFA">
      <w:pPr>
        <w:spacing w:after="240"/>
      </w:pPr>
      <w:bookmarkStart w:id="28" w:name="_heading=h.1h69ijehfqg7" w:colFirst="0" w:colLast="0"/>
      <w:bookmarkEnd w:id="28"/>
      <w:r>
        <w:t xml:space="preserve">Labadie, C. and Legner, C., 2023. Building data management capabilities to address data protection regulations: Learnings from EU-GDPR. </w:t>
      </w:r>
      <w:r>
        <w:rPr>
          <w:i/>
          <w:iCs/>
        </w:rPr>
        <w:t>Journal of Information Technology</w:t>
      </w:r>
      <w:r>
        <w:t xml:space="preserve">, </w:t>
      </w:r>
      <w:r>
        <w:rPr>
          <w:i/>
          <w:iCs/>
        </w:rPr>
        <w:t>38</w:t>
      </w:r>
      <w:r>
        <w:t>(1), pp.16-44.</w:t>
      </w:r>
    </w:p>
    <w:p w14:paraId="47B59BD2" w14:textId="77777777" w:rsidR="00CF5FE2" w:rsidRDefault="00BF3FFA">
      <w:pPr>
        <w:spacing w:after="240"/>
      </w:pPr>
      <w:bookmarkStart w:id="29" w:name="_heading=h.r0lcuganulg9" w:colFirst="0" w:colLast="0"/>
      <w:bookmarkEnd w:id="29"/>
      <w:r>
        <w:t xml:space="preserve">Lekkala, S. and Gurijala, P., 2024. Endpoint and mobile security imperatives. In </w:t>
      </w:r>
      <w:r>
        <w:rPr>
          <w:i/>
          <w:iCs/>
        </w:rPr>
        <w:t>Security and Privacy for Modern Networks: Strategies and Insights for Safeguarding Digital Infrastructures</w:t>
      </w:r>
      <w:r>
        <w:t xml:space="preserve"> (pp. 155-165). Berkeley, CA: Apress.</w:t>
      </w:r>
    </w:p>
    <w:p w14:paraId="1D279DC2" w14:textId="77777777" w:rsidR="00CF5FE2" w:rsidRDefault="00BF3FFA">
      <w:pPr>
        <w:spacing w:after="240"/>
        <w:rPr>
          <w:sz w:val="28"/>
          <w:szCs w:val="28"/>
        </w:rPr>
      </w:pPr>
      <w:bookmarkStart w:id="30" w:name="_heading=h.heo6xepr5j9" w:colFirst="0" w:colLast="0"/>
      <w:bookmarkEnd w:id="30"/>
      <w:r>
        <w:t xml:space="preserve">Maspul, K.A. and Ardhin, M., 2025. ASEAN unbound: Igniting the digital renaissance. </w:t>
      </w:r>
      <w:r>
        <w:rPr>
          <w:i/>
          <w:iCs/>
        </w:rPr>
        <w:t>Journal of Regional Economics and Development</w:t>
      </w:r>
      <w:r>
        <w:t xml:space="preserve">, </w:t>
      </w:r>
      <w:r>
        <w:rPr>
          <w:i/>
          <w:iCs/>
        </w:rPr>
        <w:t>2</w:t>
      </w:r>
      <w:r>
        <w:t>(3), pp.22-22.</w:t>
      </w:r>
    </w:p>
    <w:p w14:paraId="13DBE67C" w14:textId="77777777" w:rsidR="00CF5FE2" w:rsidRDefault="00BF3FFA">
      <w:pPr>
        <w:spacing w:after="240"/>
      </w:pPr>
      <w:bookmarkStart w:id="31" w:name="_heading=h.76mecr6k30zu" w:colFirst="0" w:colLast="0"/>
      <w:bookmarkEnd w:id="31"/>
      <w:r>
        <w:t xml:space="preserve">Mishra, S., Vi, P.T., Phuc, V.M., Oni, D. and Tanh, N.V., 2023. Using security metrics to determine security program effectiveness. </w:t>
      </w:r>
      <w:r>
        <w:rPr>
          <w:i/>
          <w:iCs/>
        </w:rPr>
        <w:t>Human Factors in Cybersecurity</w:t>
      </w:r>
      <w:r>
        <w:t xml:space="preserve">, </w:t>
      </w:r>
      <w:r>
        <w:rPr>
          <w:i/>
          <w:iCs/>
        </w:rPr>
        <w:t>91</w:t>
      </w:r>
      <w:r>
        <w:t>, p.91.</w:t>
      </w:r>
    </w:p>
    <w:p w14:paraId="7625CFB3" w14:textId="77777777" w:rsidR="00CF5FE2" w:rsidRDefault="00BF3FFA">
      <w:pPr>
        <w:spacing w:after="240"/>
      </w:pPr>
      <w:bookmarkStart w:id="32" w:name="_heading=h.55m9sjygpcz" w:colFirst="0" w:colLast="0"/>
      <w:bookmarkEnd w:id="32"/>
      <w:r>
        <w:t xml:space="preserve">Ngamlertprasert, C. and Wuttidittachotti, P., 2025, August. A study of international standards in Information technology Business continuity management. In </w:t>
      </w:r>
      <w:r>
        <w:rPr>
          <w:i/>
          <w:iCs/>
        </w:rPr>
        <w:t>2025 Research, Invention, and Innovation Congress: Innovative Electricals and Electronics (RI2C)</w:t>
      </w:r>
      <w:r>
        <w:t xml:space="preserve"> (pp. 69-75). IEEE.</w:t>
      </w:r>
    </w:p>
    <w:p w14:paraId="239E101F" w14:textId="77777777" w:rsidR="00CF5FE2" w:rsidRDefault="00BF3FFA">
      <w:pPr>
        <w:spacing w:after="240"/>
      </w:pPr>
      <w:bookmarkStart w:id="33" w:name="_heading=h.tch61o3sfptt" w:colFirst="0" w:colLast="0"/>
      <w:bookmarkEnd w:id="33"/>
      <w:r>
        <w:t xml:space="preserve">Plate, A., 2025. ISMS: A Management Framework for Information Security. In </w:t>
      </w:r>
      <w:r>
        <w:rPr>
          <w:i/>
          <w:iCs/>
        </w:rPr>
        <w:t>Encyclopedia of Cryptography, Security and Privacy</w:t>
      </w:r>
      <w:r>
        <w:t xml:space="preserve"> (pp. 1305-1307). Cham: Springer Nature Switzerland.</w:t>
      </w:r>
    </w:p>
    <w:p w14:paraId="01DD461D" w14:textId="77777777" w:rsidR="00CF5FE2" w:rsidRDefault="00BF3FFA">
      <w:pPr>
        <w:spacing w:after="240"/>
      </w:pPr>
      <w:bookmarkStart w:id="34" w:name="_heading=h.yjuxirjeog5z" w:colFirst="0" w:colLast="0"/>
      <w:bookmarkEnd w:id="34"/>
      <w:r>
        <w:t xml:space="preserve">Quintel, T., 2022, May. Data protection rules applicable to financial intelligence units: still no clarity in sight. In </w:t>
      </w:r>
      <w:r>
        <w:rPr>
          <w:i/>
          <w:iCs/>
        </w:rPr>
        <w:t>ERA Forum</w:t>
      </w:r>
      <w:r>
        <w:t xml:space="preserve"> (Vol. 23, No. 1, pp. 53-74). Berlin/Heidelberg: Springer Berlin Heidelberg.</w:t>
      </w:r>
    </w:p>
    <w:p w14:paraId="20D779A3" w14:textId="77777777" w:rsidR="00CF5FE2" w:rsidRDefault="00BF3FFA">
      <w:pPr>
        <w:spacing w:after="240"/>
      </w:pPr>
      <w:bookmarkStart w:id="35" w:name="_heading=h.v662pqwo1xhs" w:colFirst="0" w:colLast="0"/>
      <w:bookmarkEnd w:id="35"/>
      <w:r>
        <w:lastRenderedPageBreak/>
        <w:t>Ryanto, K. and Tundjungsari, V., 2024. Standardization of information security management in the banking sector using the iso 27001: 2022 framework. </w:t>
      </w:r>
      <w:r>
        <w:rPr>
          <w:i/>
          <w:iCs/>
        </w:rPr>
        <w:t>Journal La Multiapp</w:t>
      </w:r>
      <w:r>
        <w:t>, </w:t>
      </w:r>
      <w:r>
        <w:rPr>
          <w:i/>
          <w:iCs/>
        </w:rPr>
        <w:t>5</w:t>
      </w:r>
      <w:r>
        <w:t>(4), pp.361-379.</w:t>
      </w:r>
    </w:p>
    <w:p w14:paraId="0562376A" w14:textId="77777777" w:rsidR="00CF5FE2" w:rsidRDefault="00BF3FFA">
      <w:pPr>
        <w:spacing w:after="240"/>
      </w:pPr>
      <w:bookmarkStart w:id="36" w:name="_heading=h.de95w5d0qmuo" w:colFirst="0" w:colLast="0"/>
      <w:bookmarkEnd w:id="36"/>
      <w:r>
        <w:t xml:space="preserve">Said, D., 2022. A survey on information communication technologies in modern demand-side management for smart grids: Challenges, solutions, and opportunities. </w:t>
      </w:r>
      <w:r>
        <w:rPr>
          <w:i/>
          <w:iCs/>
        </w:rPr>
        <w:t>IEEE engineering management review</w:t>
      </w:r>
      <w:r>
        <w:t xml:space="preserve">, </w:t>
      </w:r>
      <w:r>
        <w:rPr>
          <w:i/>
          <w:iCs/>
        </w:rPr>
        <w:t>51</w:t>
      </w:r>
      <w:r>
        <w:t>(1), pp.76-107.</w:t>
      </w:r>
    </w:p>
    <w:p w14:paraId="23F495C8" w14:textId="77777777" w:rsidR="00CF5FE2" w:rsidRDefault="00BF3FFA">
      <w:pPr>
        <w:spacing w:after="240"/>
      </w:pPr>
      <w:bookmarkStart w:id="37" w:name="_heading=h.rn9jexdl8s71" w:colFirst="0" w:colLast="0"/>
      <w:bookmarkEnd w:id="37"/>
      <w:r>
        <w:t xml:space="preserve">Samha, A.K., 2024. Strategies for efficient resource management in federated cloud environments supporting Infrastructure as a Service (IaaS). </w:t>
      </w:r>
      <w:r>
        <w:rPr>
          <w:i/>
          <w:iCs/>
        </w:rPr>
        <w:t>Journal of Engineering Research</w:t>
      </w:r>
      <w:r>
        <w:t xml:space="preserve">, </w:t>
      </w:r>
      <w:r>
        <w:rPr>
          <w:i/>
          <w:iCs/>
        </w:rPr>
        <w:t>12</w:t>
      </w:r>
      <w:r>
        <w:t>(2), pp.101-114.</w:t>
      </w:r>
    </w:p>
    <w:p w14:paraId="7922DCF0" w14:textId="77777777" w:rsidR="00CF5FE2" w:rsidRDefault="00BF3FFA">
      <w:pPr>
        <w:spacing w:after="240"/>
      </w:pPr>
      <w:bookmarkStart w:id="38" w:name="_heading=h.xc3lvzlvu5hz" w:colFirst="0" w:colLast="0"/>
      <w:bookmarkEnd w:id="38"/>
      <w:r>
        <w:t xml:space="preserve">Schenk, B., 2025. Enterprise Architecture and IT Infrastructure. In </w:t>
      </w:r>
      <w:r>
        <w:rPr>
          <w:i/>
          <w:iCs/>
        </w:rPr>
        <w:t>Advanced Management Information Systems: Models, Concepts and Cases</w:t>
      </w:r>
      <w:r>
        <w:t xml:space="preserve"> (pp. 141-167). Cham: Springer Nature Switzerland.</w:t>
      </w:r>
    </w:p>
    <w:p w14:paraId="4982E7BC" w14:textId="77777777" w:rsidR="00CF5FE2" w:rsidRDefault="00BF3FFA">
      <w:pPr>
        <w:spacing w:after="240"/>
      </w:pPr>
      <w:bookmarkStart w:id="39" w:name="_heading=h.luqbeo9hu4za" w:colFirst="0" w:colLast="0"/>
      <w:bookmarkEnd w:id="39"/>
      <w:r>
        <w:t xml:space="preserve">Yi, Y., Chen, Y. and He, X., 2022. CEO leadership, strategic decision comprehensiveness, and firm performance: the moderating role of TMT cognitive conflict. </w:t>
      </w:r>
      <w:r>
        <w:rPr>
          <w:i/>
          <w:iCs/>
        </w:rPr>
        <w:t>Management and Organization Review</w:t>
      </w:r>
      <w:r>
        <w:t xml:space="preserve">, </w:t>
      </w:r>
      <w:r>
        <w:rPr>
          <w:i/>
          <w:iCs/>
        </w:rPr>
        <w:t>18</w:t>
      </w:r>
      <w:r>
        <w:t>(1), pp.131-166.</w:t>
      </w:r>
    </w:p>
    <w:p w14:paraId="3E00FD93" w14:textId="77777777" w:rsidR="00CF5FE2" w:rsidRDefault="00CF5FE2">
      <w:pPr>
        <w:spacing w:after="240"/>
      </w:pPr>
      <w:bookmarkStart w:id="40" w:name="_heading=h.aj5khx8o34g5" w:colFirst="0" w:colLast="0"/>
      <w:bookmarkEnd w:id="40"/>
    </w:p>
    <w:sectPr w:rsidR="00CF5FE2" w:rsidSect="00FD6B42">
      <w:footerReference w:type="default" r:id="rId1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76C5AD" w14:textId="77777777" w:rsidR="00C73CAC" w:rsidRDefault="00C73CAC">
      <w:pPr>
        <w:spacing w:line="240" w:lineRule="auto"/>
      </w:pPr>
      <w:r>
        <w:separator/>
      </w:r>
    </w:p>
  </w:endnote>
  <w:endnote w:type="continuationSeparator" w:id="0">
    <w:p w14:paraId="5AFF9BDE" w14:textId="77777777" w:rsidR="00C73CAC" w:rsidRDefault="00C73CA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5C2B5C8C-B6B3-4363-B2BF-EF1D88AB4FDA}"/>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F0632747-4C40-4F8E-AE13-941F358658E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EB9CBF" w14:textId="77777777" w:rsidR="00CF5FE2" w:rsidRDefault="00BF3FFA">
    <w:pPr>
      <w:pBdr>
        <w:top w:val="nil"/>
        <w:left w:val="nil"/>
        <w:bottom w:val="nil"/>
        <w:right w:val="nil"/>
        <w:between w:val="nil"/>
      </w:pBdr>
      <w:tabs>
        <w:tab w:val="center" w:pos="4680"/>
        <w:tab w:val="right" w:pos="9360"/>
      </w:tabs>
      <w:jc w:val="right"/>
      <w:rPr>
        <w:color w:val="000000"/>
      </w:rPr>
    </w:pPr>
    <w:r>
      <w:rPr>
        <w:color w:val="000000"/>
        <w:sz w:val="20"/>
        <w:szCs w:val="20"/>
      </w:rPr>
      <w:fldChar w:fldCharType="begin"/>
    </w:r>
    <w:r>
      <w:rPr>
        <w:color w:val="000000"/>
        <w:sz w:val="20"/>
        <w:szCs w:val="20"/>
      </w:rPr>
      <w:instrText>PAGE</w:instrText>
    </w:r>
    <w:r>
      <w:rPr>
        <w:color w:val="000000"/>
        <w:sz w:val="20"/>
        <w:szCs w:val="20"/>
      </w:rPr>
      <w:fldChar w:fldCharType="separate"/>
    </w:r>
    <w:r w:rsidR="00BF4ECA">
      <w:rPr>
        <w:noProof/>
        <w:color w:val="000000"/>
        <w:sz w:val="20"/>
        <w:szCs w:val="20"/>
      </w:rPr>
      <w:t>10</w:t>
    </w:r>
    <w:r>
      <w:rPr>
        <w:color w:val="000000"/>
        <w:sz w:val="20"/>
        <w:szCs w:val="20"/>
      </w:rPr>
      <w:fldChar w:fldCharType="end"/>
    </w:r>
  </w:p>
  <w:p w14:paraId="52E93A48" w14:textId="77777777" w:rsidR="00CF5FE2" w:rsidRDefault="00CF5FE2">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CDCEF9" w14:textId="77777777" w:rsidR="00C73CAC" w:rsidRDefault="00C73CAC">
      <w:pPr>
        <w:spacing w:line="240" w:lineRule="auto"/>
      </w:pPr>
      <w:r>
        <w:separator/>
      </w:r>
    </w:p>
  </w:footnote>
  <w:footnote w:type="continuationSeparator" w:id="0">
    <w:p w14:paraId="043F46FD" w14:textId="77777777" w:rsidR="00C73CAC" w:rsidRDefault="00C73CA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5FE2"/>
    <w:rsid w:val="00087F58"/>
    <w:rsid w:val="000A6AC8"/>
    <w:rsid w:val="000E180D"/>
    <w:rsid w:val="0013323F"/>
    <w:rsid w:val="004D17AA"/>
    <w:rsid w:val="008F6B93"/>
    <w:rsid w:val="00B91EB6"/>
    <w:rsid w:val="00BF3FFA"/>
    <w:rsid w:val="00BF4ECA"/>
    <w:rsid w:val="00C73CAC"/>
    <w:rsid w:val="00CF5FE2"/>
    <w:rsid w:val="00E63FD1"/>
    <w:rsid w:val="00FD6B4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26FBE"/>
  <w15:docId w15:val="{3CED9A3F-209B-4FCA-856F-735FBBACFD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outlineLvl w:val="1"/>
    </w:pPr>
    <w:rPr>
      <w:b/>
      <w:bCs/>
      <w:sz w:val="26"/>
      <w:szCs w:val="26"/>
    </w:rPr>
  </w:style>
  <w:style w:type="paragraph" w:styleId="Heading3">
    <w:name w:val="heading 3"/>
    <w:basedOn w:val="Normal"/>
    <w:next w:val="Normal"/>
    <w:pPr>
      <w:keepNext/>
      <w:keepLines/>
      <w:outlineLvl w:val="2"/>
    </w:pPr>
    <w:rPr>
      <w:b/>
      <w:bCs/>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a">
    <w:basedOn w:val="TableNormal2"/>
    <w:tblPr>
      <w:tblStyleRowBandSize w:val="1"/>
      <w:tblStyleColBandSize w:val="1"/>
    </w:tblPr>
    <w:tcPr>
      <w:shd w:val="clear" w:color="auto" w:fill="C0C0C0"/>
    </w:tcPr>
  </w:style>
  <w:style w:type="table" w:customStyle="1" w:styleId="a0">
    <w:basedOn w:val="TableNormal2"/>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DF1C83"/>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rPr>
  </w:style>
  <w:style w:type="paragraph" w:styleId="TOC1">
    <w:name w:val="toc 1"/>
    <w:basedOn w:val="Normal"/>
    <w:next w:val="Normal"/>
    <w:autoRedefine/>
    <w:uiPriority w:val="39"/>
    <w:unhideWhenUsed/>
    <w:rsid w:val="00DF1C83"/>
    <w:pPr>
      <w:spacing w:after="100"/>
    </w:pPr>
  </w:style>
  <w:style w:type="paragraph" w:styleId="TOC2">
    <w:name w:val="toc 2"/>
    <w:basedOn w:val="Normal"/>
    <w:next w:val="Normal"/>
    <w:autoRedefine/>
    <w:uiPriority w:val="39"/>
    <w:unhideWhenUsed/>
    <w:rsid w:val="00DF1C83"/>
    <w:pPr>
      <w:spacing w:after="100"/>
      <w:ind w:left="240"/>
    </w:pPr>
  </w:style>
  <w:style w:type="character" w:styleId="Hyperlink">
    <w:name w:val="Hyperlink"/>
    <w:basedOn w:val="DefaultParagraphFont"/>
    <w:uiPriority w:val="99"/>
    <w:unhideWhenUsed/>
    <w:rsid w:val="00DF1C83"/>
    <w:rPr>
      <w:color w:val="0000FF" w:themeColor="hyperlink"/>
      <w:u w:val="single"/>
    </w:rPr>
  </w:style>
  <w:style w:type="paragraph" w:styleId="Header">
    <w:name w:val="header"/>
    <w:basedOn w:val="Normal"/>
    <w:link w:val="HeaderChar"/>
    <w:uiPriority w:val="99"/>
    <w:unhideWhenUsed/>
    <w:rsid w:val="005B64D7"/>
    <w:pPr>
      <w:tabs>
        <w:tab w:val="center" w:pos="4680"/>
        <w:tab w:val="right" w:pos="9360"/>
      </w:tabs>
      <w:spacing w:line="240" w:lineRule="auto"/>
    </w:pPr>
  </w:style>
  <w:style w:type="character" w:customStyle="1" w:styleId="HeaderChar">
    <w:name w:val="Header Char"/>
    <w:basedOn w:val="DefaultParagraphFont"/>
    <w:link w:val="Header"/>
    <w:uiPriority w:val="99"/>
    <w:rsid w:val="005B64D7"/>
  </w:style>
  <w:style w:type="paragraph" w:styleId="Footer">
    <w:name w:val="footer"/>
    <w:basedOn w:val="Normal"/>
    <w:link w:val="FooterChar"/>
    <w:uiPriority w:val="99"/>
    <w:unhideWhenUsed/>
    <w:rsid w:val="005B64D7"/>
    <w:pPr>
      <w:tabs>
        <w:tab w:val="center" w:pos="4680"/>
        <w:tab w:val="right" w:pos="9360"/>
      </w:tabs>
      <w:spacing w:line="240" w:lineRule="auto"/>
    </w:pPr>
  </w:style>
  <w:style w:type="character" w:customStyle="1" w:styleId="FooterChar">
    <w:name w:val="Footer Char"/>
    <w:basedOn w:val="DefaultParagraphFont"/>
    <w:link w:val="Footer"/>
    <w:uiPriority w:val="99"/>
    <w:rsid w:val="005B64D7"/>
  </w:style>
  <w:style w:type="table" w:customStyle="1" w:styleId="a1">
    <w:basedOn w:val="TableNormal"/>
    <w:tblPr>
      <w:tblStyleRowBandSize w:val="1"/>
      <w:tblStyleColBandSize w:val="1"/>
      <w:tblCellMar>
        <w:left w:w="115" w:type="dxa"/>
        <w:right w:w="115" w:type="dxa"/>
      </w:tblCellMar>
    </w:tblPr>
    <w:tcPr>
      <w:shd w:val="clear" w:color="auto" w:fill="C0C0C0"/>
    </w:tc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TOC3">
    <w:name w:val="toc 3"/>
    <w:basedOn w:val="Normal"/>
    <w:next w:val="Normal"/>
    <w:autoRedefine/>
    <w:uiPriority w:val="39"/>
    <w:unhideWhenUsed/>
    <w:rsid w:val="00373C07"/>
    <w:pPr>
      <w:spacing w:after="100"/>
      <w:ind w:left="480"/>
    </w:p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3">
    <w:basedOn w:val="TableNormal"/>
    <w:tblPr>
      <w:tblStyleRowBandSize w:val="1"/>
      <w:tblStyleColBandSize w:val="1"/>
      <w:tblCellMar>
        <w:left w:w="115" w:type="dxa"/>
        <w:right w:w="115" w:type="dxa"/>
      </w:tblCellMar>
    </w:tblPr>
    <w:tcPr>
      <w:shd w:val="clear" w:color="auto" w:fill="C0C0C0"/>
    </w:tcPr>
  </w:style>
  <w:style w:type="table" w:customStyle="1" w:styleId="a4">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9PEKvsU33AhmB/CbHQRIs5pogWw==">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</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4632</Words>
  <Characters>26405</Characters>
  <Application>Microsoft Office Word</Application>
  <DocSecurity>0</DocSecurity>
  <Lines>220</Lines>
  <Paragraphs>61</Paragraphs>
  <ScaleCrop>false</ScaleCrop>
  <Company/>
  <LinksUpToDate>false</LinksUpToDate>
  <CharactersWithSpaces>30976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vaibhavi1609@outlook.com</cp:lastModifiedBy>
  <cp:revision>14</cp:revision>
  <dcterms:created xsi:type="dcterms:W3CDTF">2026-02-27T00:08:00Z</dcterms:created>
  <dcterms:modified xsi:type="dcterms:W3CDTF">2026-04-02T09:10:00Z</dcterms:modified>
</cp:coreProperties>
</file>