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AD14D" w14:textId="77777777" w:rsidR="00FF2DF2" w:rsidRPr="004D491B" w:rsidRDefault="00FF2DF2" w:rsidP="004D491B">
      <w:pPr>
        <w:spacing w:line="360" w:lineRule="auto"/>
        <w:rPr>
          <w:rFonts w:ascii="Arial" w:hAnsi="Arial" w:cs="Arial"/>
        </w:rPr>
      </w:pPr>
    </w:p>
    <w:p w14:paraId="53CC5EE6" w14:textId="77777777" w:rsidR="00FF2DF2" w:rsidRPr="004D491B" w:rsidRDefault="00FF2DF2" w:rsidP="004D491B">
      <w:pPr>
        <w:spacing w:line="360" w:lineRule="auto"/>
        <w:rPr>
          <w:rFonts w:ascii="Arial" w:hAnsi="Arial" w:cs="Arial"/>
        </w:rPr>
      </w:pPr>
    </w:p>
    <w:p w14:paraId="626174EB" w14:textId="77777777" w:rsidR="00FF2DF2" w:rsidRPr="004D491B" w:rsidRDefault="00FF2DF2" w:rsidP="004D491B">
      <w:pPr>
        <w:spacing w:line="360" w:lineRule="auto"/>
        <w:rPr>
          <w:rFonts w:ascii="Arial" w:hAnsi="Arial" w:cs="Arial"/>
        </w:rPr>
      </w:pPr>
      <w:r w:rsidRPr="004D491B">
        <w:rPr>
          <w:rFonts w:ascii="Arial" w:hAnsi="Arial" w:cs="Arial"/>
          <w:noProof/>
        </w:rPr>
        <w:drawing>
          <wp:anchor distT="0" distB="0" distL="114300" distR="114300" simplePos="0" relativeHeight="251714560" behindDoc="0" locked="0" layoutInCell="1" allowOverlap="1" wp14:anchorId="35173E6D" wp14:editId="715E7271">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4FCF53A1" w14:textId="77777777" w:rsidR="00FF2DF2" w:rsidRPr="004D491B" w:rsidRDefault="00FF2DF2" w:rsidP="004D491B">
      <w:pPr>
        <w:spacing w:line="360" w:lineRule="auto"/>
        <w:rPr>
          <w:rFonts w:ascii="Arial" w:hAnsi="Arial" w:cs="Arial"/>
        </w:rPr>
      </w:pPr>
    </w:p>
    <w:p w14:paraId="2337739E" w14:textId="77777777" w:rsidR="00FF2DF2" w:rsidRPr="004D491B" w:rsidRDefault="00FF2DF2" w:rsidP="004D491B">
      <w:pPr>
        <w:spacing w:line="360" w:lineRule="auto"/>
        <w:rPr>
          <w:rFonts w:ascii="Arial" w:hAnsi="Arial" w:cs="Arial"/>
        </w:rPr>
      </w:pPr>
    </w:p>
    <w:p w14:paraId="215B3D4E" w14:textId="77777777" w:rsidR="00FF2DF2" w:rsidRPr="004D491B" w:rsidRDefault="00FF2DF2" w:rsidP="004D491B">
      <w:pPr>
        <w:spacing w:line="360" w:lineRule="auto"/>
        <w:rPr>
          <w:rFonts w:ascii="Arial" w:hAnsi="Arial" w:cs="Arial"/>
        </w:rPr>
      </w:pPr>
      <w:r w:rsidRPr="004D491B">
        <w:rPr>
          <w:rFonts w:ascii="Arial" w:hAnsi="Arial" w:cs="Arial"/>
          <w:noProof/>
        </w:rPr>
        <mc:AlternateContent>
          <mc:Choice Requires="wps">
            <w:drawing>
              <wp:anchor distT="0" distB="0" distL="114300" distR="114300" simplePos="0" relativeHeight="251663360" behindDoc="0" locked="0" layoutInCell="1" allowOverlap="1" wp14:anchorId="63F0D8C5" wp14:editId="29B8F7A0">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3100E52"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62336" behindDoc="0" locked="0" layoutInCell="1" allowOverlap="1" wp14:anchorId="38008AD8" wp14:editId="07DB5285">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ED596EE"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65408" behindDoc="0" locked="0" layoutInCell="1" allowOverlap="1" wp14:anchorId="03F967D3" wp14:editId="1210C346">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4B7F41A"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64384" behindDoc="0" locked="0" layoutInCell="1" allowOverlap="1" wp14:anchorId="2820220F" wp14:editId="73C753D1">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901E4EF"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444BA90F" w14:textId="77777777" w:rsidR="00FF2DF2" w:rsidRPr="004D491B" w:rsidRDefault="00FF2DF2" w:rsidP="004D491B">
      <w:pPr>
        <w:spacing w:after="77" w:line="360" w:lineRule="auto"/>
        <w:rPr>
          <w:rFonts w:ascii="Arial" w:hAnsi="Arial" w:cs="Arial"/>
        </w:rPr>
      </w:pPr>
      <w:r w:rsidRPr="004D491B">
        <w:rPr>
          <w:rFonts w:ascii="Arial" w:hAnsi="Arial" w:cs="Arial"/>
          <w:noProof/>
        </w:rPr>
        <mc:AlternateContent>
          <mc:Choice Requires="wps">
            <w:drawing>
              <wp:anchor distT="0" distB="0" distL="114300" distR="114300" simplePos="0" relativeHeight="251667456" behindDoc="0" locked="0" layoutInCell="1" allowOverlap="1" wp14:anchorId="40E765DF" wp14:editId="083BFA0D">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BA6467E"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66432" behindDoc="0" locked="0" layoutInCell="1" allowOverlap="1" wp14:anchorId="7FF4769F" wp14:editId="6077B0EA">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6381BDA"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69504" behindDoc="0" locked="0" layoutInCell="1" allowOverlap="1" wp14:anchorId="6ACAE449" wp14:editId="04A4B836">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7201F87"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68480" behindDoc="0" locked="0" layoutInCell="1" allowOverlap="1" wp14:anchorId="3E3BB47A" wp14:editId="13878364">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B1514F2"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25A1887B" w14:textId="77777777" w:rsidR="00FF2DF2" w:rsidRPr="004D491B" w:rsidRDefault="00FF2DF2" w:rsidP="004D491B">
      <w:pPr>
        <w:spacing w:after="91" w:line="360" w:lineRule="auto"/>
        <w:rPr>
          <w:rFonts w:ascii="Arial" w:hAnsi="Arial" w:cs="Arial"/>
        </w:rPr>
      </w:pPr>
    </w:p>
    <w:tbl>
      <w:tblPr>
        <w:tblStyle w:val="TableGrid"/>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4D491B" w:rsidRPr="004D491B" w14:paraId="257C3D05" w14:textId="77777777" w:rsidTr="00FF2DF2">
        <w:trPr>
          <w:trHeight w:hRule="exact" w:val="474"/>
        </w:trPr>
        <w:tc>
          <w:tcPr>
            <w:tcW w:w="2080" w:type="dxa"/>
          </w:tcPr>
          <w:p w14:paraId="40FD9CF7" w14:textId="77777777" w:rsidR="00FF2DF2" w:rsidRPr="004D491B" w:rsidRDefault="00FF2DF2" w:rsidP="004D491B">
            <w:pPr>
              <w:spacing w:before="73" w:line="360" w:lineRule="auto"/>
              <w:ind w:left="84"/>
              <w:rPr>
                <w:rFonts w:ascii="Arial" w:hAnsi="Arial" w:cs="Arial"/>
              </w:rPr>
            </w:pPr>
            <w:r w:rsidRPr="004D491B">
              <w:rPr>
                <w:rFonts w:ascii="Arial" w:hAnsi="Arial" w:cs="Arial"/>
                <w:noProof/>
              </w:rPr>
              <mc:AlternateContent>
                <mc:Choice Requires="wps">
                  <w:drawing>
                    <wp:anchor distT="0" distB="0" distL="114300" distR="114300" simplePos="0" relativeHeight="251671552" behindDoc="0" locked="0" layoutInCell="1" allowOverlap="1" wp14:anchorId="50C8495A" wp14:editId="2EB2DA1D">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5674750"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4D491B">
              <w:rPr>
                <w:rFonts w:ascii="Arial" w:hAnsi="Arial" w:cs="Arial"/>
                <w:noProof/>
              </w:rPr>
              <mc:AlternateContent>
                <mc:Choice Requires="wps">
                  <w:drawing>
                    <wp:anchor distT="0" distB="0" distL="114300" distR="114300" simplePos="0" relativeHeight="251670528" behindDoc="0" locked="0" layoutInCell="1" allowOverlap="1" wp14:anchorId="1E664AE7" wp14:editId="55543484">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5BCBB65"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4D491B">
              <w:rPr>
                <w:rFonts w:ascii="Arial" w:hAnsi="Arial" w:cs="Arial"/>
              </w:rPr>
              <w:t xml:space="preserve">Student name:  </w:t>
            </w:r>
          </w:p>
        </w:tc>
        <w:tc>
          <w:tcPr>
            <w:tcW w:w="3286" w:type="dxa"/>
          </w:tcPr>
          <w:p w14:paraId="47B43853" w14:textId="24114D5D" w:rsidR="00FF2DF2" w:rsidRPr="004D491B" w:rsidRDefault="00FF2DF2" w:rsidP="004D491B">
            <w:pPr>
              <w:spacing w:before="73" w:line="360" w:lineRule="auto"/>
              <w:ind w:left="84"/>
              <w:rPr>
                <w:rFonts w:ascii="Arial" w:hAnsi="Arial" w:cs="Arial"/>
                <w:lang w:val="en-GB"/>
              </w:rPr>
            </w:pPr>
            <w:r w:rsidRPr="004D491B">
              <w:rPr>
                <w:rFonts w:ascii="Arial" w:hAnsi="Arial" w:cs="Arial"/>
                <w:lang w:val="en-GB"/>
              </w:rPr>
              <w:t xml:space="preserve">Andreea Beatrice Constantin </w:t>
            </w:r>
          </w:p>
          <w:p w14:paraId="5C7B981B" w14:textId="77777777" w:rsidR="00FF2DF2" w:rsidRPr="004D491B" w:rsidRDefault="00FF2DF2" w:rsidP="004D491B">
            <w:pPr>
              <w:spacing w:line="360" w:lineRule="auto"/>
              <w:rPr>
                <w:rFonts w:ascii="Arial" w:hAnsi="Arial" w:cs="Arial"/>
              </w:rPr>
            </w:pPr>
            <w:r w:rsidRPr="004D491B">
              <w:rPr>
                <w:rFonts w:ascii="Arial" w:hAnsi="Arial" w:cs="Arial"/>
                <w:noProof/>
              </w:rPr>
              <mc:AlternateContent>
                <mc:Choice Requires="wps">
                  <w:drawing>
                    <wp:anchor distT="0" distB="0" distL="114300" distR="114300" simplePos="0" relativeHeight="251672576" behindDoc="0" locked="0" layoutInCell="1" allowOverlap="1" wp14:anchorId="1A6F996D" wp14:editId="465DAC89">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F347E3B"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73600" behindDoc="0" locked="0" layoutInCell="1" allowOverlap="1" wp14:anchorId="12B0D79E" wp14:editId="254C85B1">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452F4E8"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0C871EA0" w14:textId="77777777" w:rsidR="00FF2DF2" w:rsidRPr="004D491B" w:rsidRDefault="00FF2DF2" w:rsidP="004D491B">
            <w:pPr>
              <w:spacing w:line="360" w:lineRule="auto"/>
              <w:rPr>
                <w:rFonts w:ascii="Arial" w:hAnsi="Arial" w:cs="Arial"/>
              </w:rPr>
            </w:pPr>
          </w:p>
        </w:tc>
        <w:tc>
          <w:tcPr>
            <w:tcW w:w="2049" w:type="dxa"/>
            <w:tcBorders>
              <w:left w:val="nil"/>
              <w:right w:val="nil"/>
            </w:tcBorders>
            <w:shd w:val="clear" w:color="auto" w:fill="DADADA"/>
          </w:tcPr>
          <w:p w14:paraId="36AE994C" w14:textId="77777777" w:rsidR="00FF2DF2" w:rsidRPr="004D491B" w:rsidRDefault="00FF2DF2" w:rsidP="004D491B">
            <w:pPr>
              <w:spacing w:before="73" w:line="360" w:lineRule="auto"/>
              <w:ind w:right="-8"/>
              <w:rPr>
                <w:rFonts w:ascii="Arial" w:hAnsi="Arial" w:cs="Arial"/>
              </w:rPr>
            </w:pPr>
            <w:r w:rsidRPr="004D491B">
              <w:rPr>
                <w:rFonts w:ascii="Arial" w:hAnsi="Arial" w:cs="Arial"/>
              </w:rPr>
              <w:t xml:space="preserve">Student ID number: </w:t>
            </w:r>
          </w:p>
        </w:tc>
        <w:tc>
          <w:tcPr>
            <w:tcW w:w="103" w:type="dxa"/>
            <w:tcBorders>
              <w:left w:val="nil"/>
            </w:tcBorders>
            <w:shd w:val="clear" w:color="auto" w:fill="DADADA"/>
          </w:tcPr>
          <w:p w14:paraId="633BC2C9" w14:textId="77777777" w:rsidR="00FF2DF2" w:rsidRPr="004D491B" w:rsidRDefault="00FF2DF2" w:rsidP="004D491B">
            <w:pPr>
              <w:spacing w:line="360" w:lineRule="auto"/>
              <w:rPr>
                <w:rFonts w:ascii="Arial" w:hAnsi="Arial" w:cs="Arial"/>
              </w:rPr>
            </w:pPr>
          </w:p>
        </w:tc>
        <w:tc>
          <w:tcPr>
            <w:tcW w:w="2264" w:type="dxa"/>
          </w:tcPr>
          <w:p w14:paraId="06AC927B" w14:textId="46D1B67C" w:rsidR="00FF2DF2" w:rsidRPr="004D491B" w:rsidRDefault="00FF2DF2" w:rsidP="004D491B">
            <w:pPr>
              <w:spacing w:line="360" w:lineRule="auto"/>
              <w:rPr>
                <w:rFonts w:ascii="Arial" w:hAnsi="Arial" w:cs="Arial"/>
              </w:rPr>
            </w:pPr>
            <w:r w:rsidRPr="004D491B">
              <w:rPr>
                <w:rFonts w:ascii="Arial" w:hAnsi="Arial" w:cs="Arial"/>
                <w:lang w:val="en-GB"/>
              </w:rPr>
              <w:t>2423132</w:t>
            </w:r>
            <w:r w:rsidRPr="004D491B">
              <w:rPr>
                <w:rFonts w:ascii="Arial" w:hAnsi="Arial" w:cs="Arial"/>
                <w:noProof/>
              </w:rPr>
              <mc:AlternateContent>
                <mc:Choice Requires="wps">
                  <w:drawing>
                    <wp:anchor distT="0" distB="0" distL="114300" distR="114300" simplePos="0" relativeHeight="251674624" behindDoc="0" locked="0" layoutInCell="1" allowOverlap="1" wp14:anchorId="03B1A11C" wp14:editId="507E5F6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54CC304"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76672" behindDoc="0" locked="0" layoutInCell="1" allowOverlap="1" wp14:anchorId="1B1FB18A" wp14:editId="29EAC5EA">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35B70FA"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75648" behindDoc="0" locked="0" layoutInCell="1" allowOverlap="1" wp14:anchorId="2EB76020" wp14:editId="4BEF755B">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76251D7"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4D491B" w:rsidRPr="004D491B" w14:paraId="75762531" w14:textId="77777777" w:rsidTr="00FF2DF2">
        <w:trPr>
          <w:trHeight w:hRule="exact" w:val="481"/>
        </w:trPr>
        <w:tc>
          <w:tcPr>
            <w:tcW w:w="2080" w:type="dxa"/>
          </w:tcPr>
          <w:p w14:paraId="2A3DB578" w14:textId="77777777" w:rsidR="00FF2DF2" w:rsidRPr="004D491B" w:rsidRDefault="00FF2DF2" w:rsidP="004D491B">
            <w:pPr>
              <w:spacing w:before="81" w:line="360" w:lineRule="auto"/>
              <w:ind w:left="84"/>
              <w:rPr>
                <w:rFonts w:ascii="Arial" w:hAnsi="Arial" w:cs="Arial"/>
              </w:rPr>
            </w:pPr>
            <w:r w:rsidRPr="004D491B">
              <w:rPr>
                <w:rFonts w:ascii="Arial" w:hAnsi="Arial" w:cs="Arial"/>
                <w:noProof/>
              </w:rPr>
              <mc:AlternateContent>
                <mc:Choice Requires="wps">
                  <w:drawing>
                    <wp:anchor distT="0" distB="0" distL="114300" distR="114300" simplePos="0" relativeHeight="251677696" behindDoc="0" locked="0" layoutInCell="1" allowOverlap="1" wp14:anchorId="3C75F3B5" wp14:editId="141343D1">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CA49571"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4D491B">
              <w:rPr>
                <w:rFonts w:ascii="Arial" w:hAnsi="Arial" w:cs="Arial"/>
              </w:rPr>
              <w:t>Programme</w:t>
            </w:r>
            <w:proofErr w:type="spellEnd"/>
            <w:r w:rsidRPr="004D491B">
              <w:rPr>
                <w:rFonts w:ascii="Arial" w:hAnsi="Arial" w:cs="Arial"/>
              </w:rPr>
              <w:t xml:space="preserve">:  </w:t>
            </w:r>
          </w:p>
        </w:tc>
        <w:tc>
          <w:tcPr>
            <w:tcW w:w="5447" w:type="dxa"/>
            <w:gridSpan w:val="3"/>
            <w:tcBorders>
              <w:right w:val="nil"/>
            </w:tcBorders>
          </w:tcPr>
          <w:p w14:paraId="1C678F78" w14:textId="1EA0A895" w:rsidR="00FF2DF2" w:rsidRPr="004D491B" w:rsidRDefault="00FF2DF2" w:rsidP="004D491B">
            <w:pPr>
              <w:spacing w:before="81" w:line="360" w:lineRule="auto"/>
              <w:ind w:left="110" w:right="-18"/>
              <w:rPr>
                <w:rFonts w:ascii="Arial" w:hAnsi="Arial" w:cs="Arial"/>
              </w:rPr>
            </w:pPr>
            <w:r w:rsidRPr="004D491B">
              <w:rPr>
                <w:rFonts w:ascii="Arial" w:hAnsi="Arial" w:cs="Arial"/>
                <w:noProof/>
              </w:rPr>
              <mc:AlternateContent>
                <mc:Choice Requires="wps">
                  <w:drawing>
                    <wp:anchor distT="0" distB="0" distL="114300" distR="114300" simplePos="0" relativeHeight="251678720" behindDoc="0" locked="0" layoutInCell="1" allowOverlap="1" wp14:anchorId="421D7354" wp14:editId="7EDE4583">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03C1CB70"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4D491B">
              <w:rPr>
                <w:rFonts w:ascii="Arial" w:hAnsi="Arial" w:cs="Arial"/>
                <w:noProof/>
              </w:rPr>
              <mc:AlternateContent>
                <mc:Choice Requires="wps">
                  <w:drawing>
                    <wp:anchor distT="0" distB="0" distL="114300" distR="114300" simplePos="0" relativeHeight="251679744" behindDoc="0" locked="0" layoutInCell="1" allowOverlap="1" wp14:anchorId="301DB74A" wp14:editId="7F0D5FBB">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8B0094B"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4D491B">
              <w:rPr>
                <w:rFonts w:ascii="Arial" w:hAnsi="Arial" w:cs="Arial"/>
                <w:spacing w:val="-2"/>
              </w:rPr>
              <w:t>CertHE</w:t>
            </w:r>
            <w:proofErr w:type="spellEnd"/>
            <w:r w:rsidRPr="004D491B">
              <w:rPr>
                <w:rFonts w:ascii="Arial" w:hAnsi="Arial" w:cs="Arial"/>
                <w:spacing w:val="-2"/>
              </w:rPr>
              <w:t xml:space="preserve"> Skills for the Workplace Health and Social </w:t>
            </w:r>
          </w:p>
        </w:tc>
        <w:tc>
          <w:tcPr>
            <w:tcW w:w="2367" w:type="dxa"/>
            <w:gridSpan w:val="2"/>
            <w:tcBorders>
              <w:left w:val="nil"/>
            </w:tcBorders>
          </w:tcPr>
          <w:p w14:paraId="4BF79E06" w14:textId="1C4936BD" w:rsidR="00FF2DF2" w:rsidRPr="004D491B" w:rsidRDefault="00FF2DF2" w:rsidP="004D491B">
            <w:pPr>
              <w:spacing w:before="81" w:line="360" w:lineRule="auto"/>
              <w:ind w:right="-18"/>
              <w:rPr>
                <w:rFonts w:ascii="Arial" w:hAnsi="Arial" w:cs="Arial"/>
              </w:rPr>
            </w:pPr>
            <w:r w:rsidRPr="004D491B">
              <w:rPr>
                <w:rFonts w:ascii="Arial" w:hAnsi="Arial" w:cs="Arial"/>
                <w:noProof/>
              </w:rPr>
              <mc:AlternateContent>
                <mc:Choice Requires="wps">
                  <w:drawing>
                    <wp:anchor distT="0" distB="0" distL="114300" distR="114300" simplePos="0" relativeHeight="251680768" behindDoc="0" locked="0" layoutInCell="1" allowOverlap="1" wp14:anchorId="3F1E7E92" wp14:editId="0FEA87C6">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DE965EE"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4D491B">
              <w:rPr>
                <w:rFonts w:ascii="Arial" w:hAnsi="Arial" w:cs="Arial"/>
                <w:noProof/>
              </w:rPr>
              <mc:AlternateContent>
                <mc:Choice Requires="wps">
                  <w:drawing>
                    <wp:anchor distT="0" distB="0" distL="114300" distR="114300" simplePos="0" relativeHeight="251681792" behindDoc="0" locked="0" layoutInCell="1" allowOverlap="1" wp14:anchorId="33677D83" wp14:editId="2446E87A">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26D67780"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4D491B" w:rsidRPr="004D491B" w14:paraId="62F643DD" w14:textId="77777777" w:rsidTr="00FF2DF2">
        <w:trPr>
          <w:trHeight w:hRule="exact" w:val="484"/>
        </w:trPr>
        <w:tc>
          <w:tcPr>
            <w:tcW w:w="2080" w:type="dxa"/>
          </w:tcPr>
          <w:p w14:paraId="507DC0E9" w14:textId="77777777" w:rsidR="00FF2DF2" w:rsidRPr="004D491B" w:rsidRDefault="00FF2DF2" w:rsidP="004D491B">
            <w:pPr>
              <w:spacing w:before="83" w:line="360" w:lineRule="auto"/>
              <w:ind w:left="84"/>
              <w:rPr>
                <w:rFonts w:ascii="Arial" w:hAnsi="Arial" w:cs="Arial"/>
              </w:rPr>
            </w:pPr>
            <w:r w:rsidRPr="004D491B">
              <w:rPr>
                <w:rFonts w:ascii="Arial" w:hAnsi="Arial" w:cs="Arial"/>
                <w:noProof/>
              </w:rPr>
              <mc:AlternateContent>
                <mc:Choice Requires="wps">
                  <w:drawing>
                    <wp:anchor distT="0" distB="0" distL="114300" distR="114300" simplePos="0" relativeHeight="251682816" behindDoc="0" locked="0" layoutInCell="1" allowOverlap="1" wp14:anchorId="4F515AA6" wp14:editId="7F0F7355">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2AA31669"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4D491B">
              <w:rPr>
                <w:rFonts w:ascii="Arial" w:hAnsi="Arial" w:cs="Arial"/>
              </w:rPr>
              <w:t xml:space="preserve">Module:  </w:t>
            </w:r>
          </w:p>
        </w:tc>
        <w:tc>
          <w:tcPr>
            <w:tcW w:w="5447" w:type="dxa"/>
            <w:gridSpan w:val="3"/>
            <w:tcBorders>
              <w:right w:val="nil"/>
            </w:tcBorders>
          </w:tcPr>
          <w:p w14:paraId="77E36A08" w14:textId="77777777" w:rsidR="00790814" w:rsidRPr="004D491B" w:rsidRDefault="00790814" w:rsidP="004D491B">
            <w:pPr>
              <w:autoSpaceDE w:val="0"/>
              <w:autoSpaceDN w:val="0"/>
              <w:adjustRightInd w:val="0"/>
              <w:spacing w:before="190" w:line="360" w:lineRule="auto"/>
              <w:rPr>
                <w:rFonts w:ascii="Arial" w:hAnsi="Arial" w:cs="Arial"/>
              </w:rPr>
            </w:pPr>
            <w:r w:rsidRPr="004D491B">
              <w:rPr>
                <w:rFonts w:ascii="Arial" w:hAnsi="Arial" w:cs="Arial"/>
              </w:rPr>
              <w:t xml:space="preserve">Changemakers: Creativity and Value Creation </w:t>
            </w:r>
          </w:p>
          <w:p w14:paraId="3E17D056" w14:textId="79106450" w:rsidR="00A1358C" w:rsidRPr="004D491B" w:rsidRDefault="00A1358C" w:rsidP="004D491B">
            <w:pPr>
              <w:autoSpaceDE w:val="0"/>
              <w:autoSpaceDN w:val="0"/>
              <w:adjustRightInd w:val="0"/>
              <w:spacing w:before="192" w:line="360" w:lineRule="auto"/>
              <w:rPr>
                <w:rFonts w:ascii="Arial" w:hAnsi="Arial" w:cs="Arial"/>
                <w:lang w:val="en-GB"/>
                <w14:ligatures w14:val="standardContextual"/>
              </w:rPr>
            </w:pPr>
          </w:p>
          <w:p w14:paraId="5F0CB996" w14:textId="4F5199F8" w:rsidR="00D939B8" w:rsidRPr="004D491B" w:rsidRDefault="00D939B8" w:rsidP="004D491B">
            <w:pPr>
              <w:spacing w:before="83" w:line="360" w:lineRule="auto"/>
              <w:ind w:left="84"/>
              <w:rPr>
                <w:rFonts w:ascii="Arial" w:hAnsi="Arial" w:cs="Arial"/>
                <w:noProof/>
                <w:lang w:val="en-GB"/>
              </w:rPr>
            </w:pPr>
            <w:r w:rsidRPr="004D491B">
              <w:rPr>
                <w:rFonts w:ascii="Arial" w:hAnsi="Arial" w:cs="Arial"/>
                <w:noProof/>
                <w:lang w:val="en-GB"/>
              </w:rPr>
              <w:t xml:space="preserve">Care </w:t>
            </w:r>
          </w:p>
          <w:p w14:paraId="035E8B15" w14:textId="3E29A787" w:rsidR="00FF2DF2" w:rsidRPr="004D491B" w:rsidRDefault="00FF2DF2" w:rsidP="004D491B">
            <w:pPr>
              <w:spacing w:before="83" w:line="360" w:lineRule="auto"/>
              <w:ind w:left="110"/>
              <w:rPr>
                <w:rFonts w:ascii="Arial" w:hAnsi="Arial" w:cs="Arial"/>
              </w:rPr>
            </w:pPr>
          </w:p>
        </w:tc>
        <w:tc>
          <w:tcPr>
            <w:tcW w:w="103" w:type="dxa"/>
            <w:tcBorders>
              <w:left w:val="nil"/>
              <w:right w:val="nil"/>
            </w:tcBorders>
          </w:tcPr>
          <w:p w14:paraId="5D0A4F56" w14:textId="77777777" w:rsidR="00FF2DF2" w:rsidRPr="004D491B" w:rsidRDefault="00FF2DF2" w:rsidP="004D491B">
            <w:pPr>
              <w:spacing w:line="360" w:lineRule="auto"/>
              <w:rPr>
                <w:rFonts w:ascii="Arial" w:hAnsi="Arial" w:cs="Arial"/>
              </w:rPr>
            </w:pPr>
          </w:p>
        </w:tc>
        <w:tc>
          <w:tcPr>
            <w:tcW w:w="2264" w:type="dxa"/>
            <w:tcBorders>
              <w:left w:val="nil"/>
            </w:tcBorders>
          </w:tcPr>
          <w:p w14:paraId="6F92849C" w14:textId="77777777" w:rsidR="00FF2DF2" w:rsidRPr="004D491B" w:rsidRDefault="00FF2DF2" w:rsidP="004D491B">
            <w:pPr>
              <w:spacing w:line="360" w:lineRule="auto"/>
              <w:rPr>
                <w:rFonts w:ascii="Arial" w:hAnsi="Arial" w:cs="Arial"/>
              </w:rPr>
            </w:pPr>
            <w:r w:rsidRPr="004D491B">
              <w:rPr>
                <w:rFonts w:ascii="Arial" w:hAnsi="Arial" w:cs="Arial"/>
                <w:noProof/>
              </w:rPr>
              <mc:AlternateContent>
                <mc:Choice Requires="wps">
                  <w:drawing>
                    <wp:anchor distT="0" distB="0" distL="114300" distR="114300" simplePos="0" relativeHeight="251684864" behindDoc="0" locked="0" layoutInCell="1" allowOverlap="1" wp14:anchorId="791A1387" wp14:editId="786C131B">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3F602C8"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4D491B" w:rsidRPr="004D491B" w14:paraId="3D6FEE3D" w14:textId="77777777" w:rsidTr="00FF2DF2">
        <w:trPr>
          <w:trHeight w:hRule="exact" w:val="254"/>
        </w:trPr>
        <w:tc>
          <w:tcPr>
            <w:tcW w:w="2080" w:type="dxa"/>
            <w:vMerge w:val="restart"/>
            <w:tcBorders>
              <w:bottom w:val="nil"/>
            </w:tcBorders>
          </w:tcPr>
          <w:p w14:paraId="1C966468" w14:textId="77777777" w:rsidR="00FF2DF2" w:rsidRPr="004D491B" w:rsidRDefault="00FF2DF2" w:rsidP="004D491B">
            <w:pPr>
              <w:spacing w:after="349" w:line="360" w:lineRule="auto"/>
              <w:ind w:left="84"/>
              <w:rPr>
                <w:rFonts w:ascii="Arial" w:hAnsi="Arial" w:cs="Arial"/>
              </w:rPr>
            </w:pPr>
            <w:r w:rsidRPr="004D491B">
              <w:rPr>
                <w:rFonts w:ascii="Arial" w:hAnsi="Arial" w:cs="Arial"/>
                <w:noProof/>
              </w:rPr>
              <mc:AlternateContent>
                <mc:Choice Requires="wps">
                  <w:drawing>
                    <wp:anchor distT="0" distB="0" distL="114300" distR="114300" simplePos="0" relativeHeight="251685888" behindDoc="0" locked="0" layoutInCell="1" allowOverlap="1" wp14:anchorId="6525F6C1" wp14:editId="7C78455E">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36A32FD"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4D491B">
              <w:rPr>
                <w:rFonts w:ascii="Arial" w:hAnsi="Arial" w:cs="Arial"/>
              </w:rPr>
              <w:t xml:space="preserve">Module code:  </w:t>
            </w:r>
          </w:p>
        </w:tc>
        <w:tc>
          <w:tcPr>
            <w:tcW w:w="3286" w:type="dxa"/>
            <w:vMerge w:val="restart"/>
            <w:tcBorders>
              <w:bottom w:val="nil"/>
            </w:tcBorders>
          </w:tcPr>
          <w:p w14:paraId="470CC304" w14:textId="494BB173" w:rsidR="00B22DCD" w:rsidRPr="004D491B" w:rsidRDefault="00B22DCD" w:rsidP="004D491B">
            <w:pPr>
              <w:autoSpaceDE w:val="0"/>
              <w:autoSpaceDN w:val="0"/>
              <w:adjustRightInd w:val="0"/>
              <w:spacing w:line="360" w:lineRule="auto"/>
              <w:rPr>
                <w:rFonts w:ascii="Arial" w:hAnsi="Arial" w:cs="Arial"/>
                <w:lang w:val="en-GB"/>
                <w14:ligatures w14:val="standardContextual"/>
              </w:rPr>
            </w:pPr>
            <w:r w:rsidRPr="004D491B">
              <w:rPr>
                <w:rFonts w:ascii="Arial" w:hAnsi="Arial" w:cs="Arial"/>
                <w:lang w:val="en-GB"/>
                <w14:ligatures w14:val="standardContextual"/>
              </w:rPr>
              <w:t>BMHP501</w:t>
            </w:r>
            <w:r w:rsidR="00790814" w:rsidRPr="004D491B">
              <w:rPr>
                <w:rFonts w:ascii="Arial" w:hAnsi="Arial" w:cs="Arial"/>
                <w:lang w:val="en-GB"/>
                <w14:ligatures w14:val="standardContextual"/>
              </w:rPr>
              <w:t>4</w:t>
            </w:r>
          </w:p>
          <w:p w14:paraId="5096AB91" w14:textId="5D1FAF86" w:rsidR="00FF2DF2" w:rsidRPr="004D491B" w:rsidRDefault="00FF2DF2" w:rsidP="004D491B">
            <w:pPr>
              <w:spacing w:after="349" w:line="360" w:lineRule="auto"/>
              <w:ind w:left="110"/>
              <w:rPr>
                <w:rFonts w:ascii="Arial" w:hAnsi="Arial" w:cs="Arial"/>
              </w:rPr>
            </w:pPr>
          </w:p>
        </w:tc>
        <w:tc>
          <w:tcPr>
            <w:tcW w:w="112" w:type="dxa"/>
            <w:vMerge w:val="restart"/>
            <w:tcBorders>
              <w:bottom w:val="nil"/>
              <w:right w:val="nil"/>
            </w:tcBorders>
            <w:shd w:val="clear" w:color="auto" w:fill="DADADA"/>
          </w:tcPr>
          <w:p w14:paraId="3F40C5F3" w14:textId="77777777" w:rsidR="00FF2DF2" w:rsidRPr="004D491B" w:rsidRDefault="00FF2DF2" w:rsidP="004D491B">
            <w:pPr>
              <w:spacing w:line="360" w:lineRule="auto"/>
              <w:rPr>
                <w:rFonts w:ascii="Arial" w:hAnsi="Arial" w:cs="Arial"/>
              </w:rPr>
            </w:pPr>
          </w:p>
        </w:tc>
        <w:tc>
          <w:tcPr>
            <w:tcW w:w="2049" w:type="dxa"/>
            <w:tcBorders>
              <w:left w:val="nil"/>
              <w:bottom w:val="nil"/>
              <w:right w:val="nil"/>
            </w:tcBorders>
            <w:shd w:val="clear" w:color="auto" w:fill="DADADA"/>
          </w:tcPr>
          <w:p w14:paraId="32F6C0D0" w14:textId="77777777" w:rsidR="00FF2DF2" w:rsidRPr="004D491B" w:rsidRDefault="00FF2DF2" w:rsidP="004D491B">
            <w:pPr>
              <w:tabs>
                <w:tab w:val="left" w:pos="1847"/>
              </w:tabs>
              <w:spacing w:line="360" w:lineRule="auto"/>
              <w:ind w:right="-18"/>
              <w:rPr>
                <w:rFonts w:ascii="Arial" w:hAnsi="Arial" w:cs="Arial"/>
              </w:rPr>
            </w:pPr>
            <w:r w:rsidRPr="004D491B">
              <w:rPr>
                <w:rFonts w:ascii="Arial" w:hAnsi="Arial" w:cs="Arial"/>
              </w:rPr>
              <w:t xml:space="preserve">Contribution </w:t>
            </w:r>
            <w:r w:rsidRPr="004D491B">
              <w:rPr>
                <w:rFonts w:ascii="Arial" w:hAnsi="Arial" w:cs="Arial"/>
              </w:rPr>
              <w:tab/>
            </w:r>
            <w:r w:rsidRPr="004D491B">
              <w:rPr>
                <w:rFonts w:ascii="Arial" w:hAnsi="Arial" w:cs="Arial"/>
                <w:spacing w:val="-2"/>
              </w:rPr>
              <w:t>to</w:t>
            </w:r>
            <w:r w:rsidRPr="004D491B">
              <w:rPr>
                <w:rFonts w:ascii="Arial" w:hAnsi="Arial" w:cs="Arial"/>
              </w:rPr>
              <w:t xml:space="preserve"> </w:t>
            </w:r>
          </w:p>
        </w:tc>
        <w:tc>
          <w:tcPr>
            <w:tcW w:w="103" w:type="dxa"/>
            <w:vMerge w:val="restart"/>
            <w:tcBorders>
              <w:left w:val="nil"/>
              <w:bottom w:val="nil"/>
            </w:tcBorders>
            <w:shd w:val="clear" w:color="auto" w:fill="DADADA"/>
          </w:tcPr>
          <w:p w14:paraId="3F4FB49E" w14:textId="77777777" w:rsidR="00FF2DF2" w:rsidRPr="004D491B" w:rsidRDefault="00FF2DF2" w:rsidP="004D491B">
            <w:pPr>
              <w:spacing w:line="360" w:lineRule="auto"/>
              <w:rPr>
                <w:rFonts w:ascii="Arial" w:hAnsi="Arial" w:cs="Arial"/>
              </w:rPr>
            </w:pPr>
          </w:p>
        </w:tc>
        <w:tc>
          <w:tcPr>
            <w:tcW w:w="2264" w:type="dxa"/>
            <w:vMerge w:val="restart"/>
            <w:tcBorders>
              <w:bottom w:val="nil"/>
            </w:tcBorders>
          </w:tcPr>
          <w:p w14:paraId="6FD0EF0E" w14:textId="77777777" w:rsidR="00FF2DF2" w:rsidRPr="004D491B" w:rsidRDefault="00FF2DF2" w:rsidP="004D491B">
            <w:pPr>
              <w:spacing w:line="360" w:lineRule="auto"/>
              <w:rPr>
                <w:rFonts w:ascii="Arial" w:hAnsi="Arial" w:cs="Arial"/>
              </w:rPr>
            </w:pPr>
            <w:r w:rsidRPr="004D491B">
              <w:rPr>
                <w:rFonts w:ascii="Arial" w:hAnsi="Arial" w:cs="Arial"/>
                <w:noProof/>
              </w:rPr>
              <mc:AlternateContent>
                <mc:Choice Requires="wps">
                  <w:drawing>
                    <wp:anchor distT="0" distB="0" distL="114300" distR="114300" simplePos="0" relativeHeight="251688960" behindDoc="0" locked="0" layoutInCell="1" allowOverlap="1" wp14:anchorId="5902BDFC" wp14:editId="593F43B0">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4CAB59E"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89984" behindDoc="0" locked="0" layoutInCell="1" allowOverlap="1" wp14:anchorId="6B149A4A" wp14:editId="1070038B">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1BB7108"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59264" behindDoc="0" locked="0" layoutInCell="1" allowOverlap="1" wp14:anchorId="3444AC4F" wp14:editId="4993311C">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1ABF0969" w14:textId="0A299D85" w:rsidR="00FF2DF2" w:rsidRDefault="00575821" w:rsidP="00FF2DF2">
                                  <w:pPr>
                                    <w:spacing w:line="316" w:lineRule="exact"/>
                                    <w:rPr>
                                      <w:rFonts w:ascii="Times New Roman" w:hAnsi="Times New Roman" w:cs="Times New Roman"/>
                                      <w:color w:val="010302"/>
                                    </w:rPr>
                                  </w:pPr>
                                  <w:r>
                                    <w:rPr>
                                      <w:rFonts w:ascii="Arial" w:hAnsi="Arial" w:cs="Arial"/>
                                      <w:b/>
                                      <w:bCs/>
                                      <w:color w:val="000000"/>
                                    </w:rPr>
                                    <w:t>5</w:t>
                                  </w:r>
                                  <w:r w:rsidR="00FF2DF2">
                                    <w:rPr>
                                      <w:rFonts w:ascii="Arial" w:hAnsi="Arial" w:cs="Arial"/>
                                      <w:b/>
                                      <w:bCs/>
                                      <w:color w:val="000000"/>
                                    </w:rPr>
                                    <w:t xml:space="preserve">0%  </w:t>
                                  </w:r>
                                </w:p>
                              </w:txbxContent>
                            </wps:txbx>
                            <wps:bodyPr wrap="square" lIns="0" tIns="0" rIns="0" bIns="0"/>
                          </wps:wsp>
                        </a:graphicData>
                      </a:graphic>
                    </wp:anchor>
                  </w:drawing>
                </mc:Choice>
                <mc:Fallback>
                  <w:pict>
                    <v:shape w14:anchorId="3444AC4F"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1ABF0969" w14:textId="0A299D85" w:rsidR="00FF2DF2" w:rsidRDefault="00575821" w:rsidP="00FF2DF2">
                            <w:pPr>
                              <w:spacing w:line="316" w:lineRule="exact"/>
                              <w:rPr>
                                <w:rFonts w:ascii="Times New Roman" w:hAnsi="Times New Roman" w:cs="Times New Roman"/>
                                <w:color w:val="010302"/>
                              </w:rPr>
                            </w:pPr>
                            <w:r>
                              <w:rPr>
                                <w:rFonts w:ascii="Arial" w:hAnsi="Arial" w:cs="Arial"/>
                                <w:b/>
                                <w:bCs/>
                                <w:color w:val="000000"/>
                              </w:rPr>
                              <w:t>5</w:t>
                            </w:r>
                            <w:r w:rsidR="00FF2DF2">
                              <w:rPr>
                                <w:rFonts w:ascii="Arial" w:hAnsi="Arial" w:cs="Arial"/>
                                <w:b/>
                                <w:bCs/>
                                <w:color w:val="000000"/>
                              </w:rPr>
                              <w:t xml:space="preserve">0%  </w:t>
                            </w:r>
                          </w:p>
                        </w:txbxContent>
                      </v:textbox>
                      <w10:wrap anchorx="page"/>
                    </v:shape>
                  </w:pict>
                </mc:Fallback>
              </mc:AlternateContent>
            </w:r>
          </w:p>
        </w:tc>
      </w:tr>
      <w:tr w:rsidR="004D491B" w:rsidRPr="004D491B" w14:paraId="64428969" w14:textId="77777777" w:rsidTr="00FF2DF2">
        <w:trPr>
          <w:trHeight w:hRule="exact" w:val="251"/>
        </w:trPr>
        <w:tc>
          <w:tcPr>
            <w:tcW w:w="2080" w:type="dxa"/>
            <w:vMerge/>
            <w:tcBorders>
              <w:top w:val="nil"/>
              <w:bottom w:val="nil"/>
            </w:tcBorders>
          </w:tcPr>
          <w:p w14:paraId="0A136145" w14:textId="77777777" w:rsidR="00FF2DF2" w:rsidRPr="004D491B" w:rsidRDefault="00FF2DF2" w:rsidP="004D491B">
            <w:pPr>
              <w:spacing w:line="360" w:lineRule="auto"/>
              <w:rPr>
                <w:rFonts w:ascii="Arial" w:hAnsi="Arial" w:cs="Arial"/>
              </w:rPr>
            </w:pPr>
          </w:p>
        </w:tc>
        <w:tc>
          <w:tcPr>
            <w:tcW w:w="3286" w:type="dxa"/>
            <w:vMerge/>
            <w:tcBorders>
              <w:top w:val="nil"/>
              <w:bottom w:val="nil"/>
            </w:tcBorders>
          </w:tcPr>
          <w:p w14:paraId="24875601" w14:textId="77777777" w:rsidR="00FF2DF2" w:rsidRPr="004D491B" w:rsidRDefault="00FF2DF2" w:rsidP="004D491B">
            <w:pPr>
              <w:spacing w:line="360" w:lineRule="auto"/>
              <w:rPr>
                <w:rFonts w:ascii="Arial" w:hAnsi="Arial" w:cs="Arial"/>
              </w:rPr>
            </w:pPr>
          </w:p>
        </w:tc>
        <w:tc>
          <w:tcPr>
            <w:tcW w:w="112" w:type="dxa"/>
            <w:vMerge/>
            <w:tcBorders>
              <w:top w:val="nil"/>
              <w:bottom w:val="nil"/>
              <w:right w:val="nil"/>
            </w:tcBorders>
            <w:shd w:val="clear" w:color="auto" w:fill="DADADA"/>
          </w:tcPr>
          <w:p w14:paraId="76FB3834" w14:textId="77777777" w:rsidR="00FF2DF2" w:rsidRPr="004D491B" w:rsidRDefault="00FF2DF2" w:rsidP="004D491B">
            <w:pPr>
              <w:spacing w:line="360" w:lineRule="auto"/>
              <w:rPr>
                <w:rFonts w:ascii="Arial" w:hAnsi="Arial" w:cs="Arial"/>
              </w:rPr>
            </w:pPr>
          </w:p>
        </w:tc>
        <w:tc>
          <w:tcPr>
            <w:tcW w:w="2049" w:type="dxa"/>
            <w:tcBorders>
              <w:top w:val="nil"/>
              <w:left w:val="nil"/>
              <w:bottom w:val="nil"/>
              <w:right w:val="nil"/>
            </w:tcBorders>
            <w:shd w:val="clear" w:color="auto" w:fill="DADADA"/>
          </w:tcPr>
          <w:p w14:paraId="1EA82CE9" w14:textId="77777777" w:rsidR="00FF2DF2" w:rsidRPr="004D491B" w:rsidRDefault="00FF2DF2" w:rsidP="004D491B">
            <w:pPr>
              <w:spacing w:line="360" w:lineRule="auto"/>
              <w:rPr>
                <w:rFonts w:ascii="Arial" w:hAnsi="Arial" w:cs="Arial"/>
              </w:rPr>
            </w:pPr>
            <w:r w:rsidRPr="004D491B">
              <w:rPr>
                <w:rFonts w:ascii="Arial" w:hAnsi="Arial" w:cs="Arial"/>
                <w:noProof/>
              </w:rPr>
              <mc:AlternateContent>
                <mc:Choice Requires="wps">
                  <w:drawing>
                    <wp:anchor distT="0" distB="0" distL="114300" distR="114300" simplePos="0" relativeHeight="251660288" behindDoc="0" locked="0" layoutInCell="1" allowOverlap="1" wp14:anchorId="2ECFD3EB" wp14:editId="7601A28E">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0AC85DE" w14:textId="77777777" w:rsidR="00FF2DF2" w:rsidRDefault="00FF2DF2" w:rsidP="00FF2D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259880A6" w14:textId="77777777" w:rsidR="00FF2DF2" w:rsidRDefault="00FF2DF2" w:rsidP="00FF2DF2">
                                  <w:pPr>
                                    <w:spacing w:line="251" w:lineRule="exact"/>
                                    <w:rPr>
                                      <w:rFonts w:ascii="Times New Roman" w:hAnsi="Times New Roman" w:cs="Times New Roman"/>
                                      <w:color w:val="010302"/>
                                    </w:rPr>
                                  </w:pPr>
                                  <w:r>
                                    <w:rPr>
                                      <w:rFonts w:ascii="Arial" w:hAnsi="Arial" w:cs="Arial"/>
                                      <w:b/>
                                      <w:bCs/>
                                      <w:color w:val="000000"/>
                                    </w:rPr>
                                    <w:t xml:space="preserve">Assessment (%):  </w:t>
                                  </w:r>
                                </w:p>
                              </w:txbxContent>
                            </wps:txbx>
                            <wps:bodyPr wrap="square" lIns="0" tIns="0" rIns="0" bIns="0"/>
                          </wps:wsp>
                        </a:graphicData>
                      </a:graphic>
                    </wp:anchor>
                  </w:drawing>
                </mc:Choice>
                <mc:Fallback>
                  <w:pict>
                    <v:shape w14:anchorId="2ECFD3EB"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70AC85DE" w14:textId="77777777" w:rsidR="00FF2DF2" w:rsidRDefault="00FF2DF2" w:rsidP="00FF2D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259880A6" w14:textId="77777777" w:rsidR="00FF2DF2" w:rsidRDefault="00FF2DF2" w:rsidP="00FF2DF2">
                            <w:pPr>
                              <w:spacing w:line="251" w:lineRule="exact"/>
                              <w:rPr>
                                <w:rFonts w:ascii="Times New Roman" w:hAnsi="Times New Roman" w:cs="Times New Roman"/>
                                <w:color w:val="010302"/>
                              </w:rPr>
                            </w:pPr>
                            <w:r>
                              <w:rPr>
                                <w:rFonts w:ascii="Arial" w:hAnsi="Arial" w:cs="Arial"/>
                                <w:b/>
                                <w:bCs/>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34CFB09A" w14:textId="77777777" w:rsidR="00FF2DF2" w:rsidRPr="004D491B" w:rsidRDefault="00FF2DF2" w:rsidP="004D491B">
            <w:pPr>
              <w:spacing w:line="360" w:lineRule="auto"/>
              <w:rPr>
                <w:rFonts w:ascii="Arial" w:hAnsi="Arial" w:cs="Arial"/>
              </w:rPr>
            </w:pPr>
          </w:p>
        </w:tc>
        <w:tc>
          <w:tcPr>
            <w:tcW w:w="2264" w:type="dxa"/>
            <w:vMerge/>
            <w:tcBorders>
              <w:top w:val="nil"/>
              <w:bottom w:val="nil"/>
            </w:tcBorders>
          </w:tcPr>
          <w:p w14:paraId="1EB6C223" w14:textId="77777777" w:rsidR="00FF2DF2" w:rsidRPr="004D491B" w:rsidRDefault="00FF2DF2" w:rsidP="004D491B">
            <w:pPr>
              <w:spacing w:line="360" w:lineRule="auto"/>
              <w:rPr>
                <w:rFonts w:ascii="Arial" w:hAnsi="Arial" w:cs="Arial"/>
              </w:rPr>
            </w:pPr>
          </w:p>
        </w:tc>
      </w:tr>
      <w:tr w:rsidR="004D491B" w:rsidRPr="004D491B" w14:paraId="5E279C6F" w14:textId="77777777" w:rsidTr="00D939B8">
        <w:trPr>
          <w:trHeight w:hRule="exact" w:val="322"/>
        </w:trPr>
        <w:tc>
          <w:tcPr>
            <w:tcW w:w="2080" w:type="dxa"/>
            <w:vMerge/>
            <w:tcBorders>
              <w:top w:val="nil"/>
            </w:tcBorders>
          </w:tcPr>
          <w:p w14:paraId="679E7309" w14:textId="77777777" w:rsidR="00FF2DF2" w:rsidRPr="004D491B" w:rsidRDefault="00FF2DF2" w:rsidP="004D491B">
            <w:pPr>
              <w:spacing w:line="360" w:lineRule="auto"/>
              <w:rPr>
                <w:rFonts w:ascii="Arial" w:hAnsi="Arial" w:cs="Arial"/>
              </w:rPr>
            </w:pPr>
          </w:p>
        </w:tc>
        <w:tc>
          <w:tcPr>
            <w:tcW w:w="3286" w:type="dxa"/>
            <w:vMerge/>
            <w:tcBorders>
              <w:top w:val="nil"/>
            </w:tcBorders>
          </w:tcPr>
          <w:p w14:paraId="44AFFDB5" w14:textId="77777777" w:rsidR="00FF2DF2" w:rsidRPr="004D491B" w:rsidRDefault="00FF2DF2" w:rsidP="004D491B">
            <w:pPr>
              <w:spacing w:line="360" w:lineRule="auto"/>
              <w:rPr>
                <w:rFonts w:ascii="Arial" w:hAnsi="Arial" w:cs="Arial"/>
              </w:rPr>
            </w:pPr>
          </w:p>
        </w:tc>
        <w:tc>
          <w:tcPr>
            <w:tcW w:w="112" w:type="dxa"/>
            <w:vMerge/>
            <w:tcBorders>
              <w:top w:val="nil"/>
              <w:right w:val="nil"/>
            </w:tcBorders>
            <w:shd w:val="clear" w:color="auto" w:fill="DADADA"/>
          </w:tcPr>
          <w:p w14:paraId="2EA4CFA3" w14:textId="77777777" w:rsidR="00FF2DF2" w:rsidRPr="004D491B" w:rsidRDefault="00FF2DF2" w:rsidP="004D491B">
            <w:pPr>
              <w:spacing w:line="360" w:lineRule="auto"/>
              <w:rPr>
                <w:rFonts w:ascii="Arial" w:hAnsi="Arial" w:cs="Arial"/>
              </w:rPr>
            </w:pPr>
          </w:p>
        </w:tc>
        <w:tc>
          <w:tcPr>
            <w:tcW w:w="2049" w:type="dxa"/>
            <w:tcBorders>
              <w:top w:val="nil"/>
              <w:left w:val="nil"/>
              <w:right w:val="nil"/>
            </w:tcBorders>
            <w:shd w:val="clear" w:color="auto" w:fill="DADADA"/>
          </w:tcPr>
          <w:p w14:paraId="03BE739D" w14:textId="77777777" w:rsidR="00FF2DF2" w:rsidRPr="004D491B" w:rsidRDefault="00FF2DF2" w:rsidP="004D491B">
            <w:pPr>
              <w:spacing w:line="360" w:lineRule="auto"/>
              <w:rPr>
                <w:rFonts w:ascii="Arial" w:hAnsi="Arial" w:cs="Arial"/>
              </w:rPr>
            </w:pPr>
          </w:p>
        </w:tc>
        <w:tc>
          <w:tcPr>
            <w:tcW w:w="103" w:type="dxa"/>
            <w:vMerge/>
            <w:tcBorders>
              <w:top w:val="nil"/>
              <w:left w:val="nil"/>
            </w:tcBorders>
            <w:shd w:val="clear" w:color="auto" w:fill="DADADA"/>
          </w:tcPr>
          <w:p w14:paraId="3C6607E1" w14:textId="77777777" w:rsidR="00FF2DF2" w:rsidRPr="004D491B" w:rsidRDefault="00FF2DF2" w:rsidP="004D491B">
            <w:pPr>
              <w:spacing w:line="360" w:lineRule="auto"/>
              <w:rPr>
                <w:rFonts w:ascii="Arial" w:hAnsi="Arial" w:cs="Arial"/>
              </w:rPr>
            </w:pPr>
          </w:p>
        </w:tc>
        <w:tc>
          <w:tcPr>
            <w:tcW w:w="2264" w:type="dxa"/>
            <w:vMerge/>
            <w:tcBorders>
              <w:top w:val="nil"/>
            </w:tcBorders>
          </w:tcPr>
          <w:p w14:paraId="31492545" w14:textId="77777777" w:rsidR="00FF2DF2" w:rsidRPr="004D491B" w:rsidRDefault="00FF2DF2" w:rsidP="004D491B">
            <w:pPr>
              <w:spacing w:line="360" w:lineRule="auto"/>
              <w:rPr>
                <w:rFonts w:ascii="Arial" w:hAnsi="Arial" w:cs="Arial"/>
              </w:rPr>
            </w:pPr>
          </w:p>
        </w:tc>
      </w:tr>
      <w:tr w:rsidR="004D491B" w:rsidRPr="004D491B" w14:paraId="7FEB53AD" w14:textId="77777777" w:rsidTr="00006C5C">
        <w:trPr>
          <w:trHeight w:hRule="exact" w:val="1995"/>
        </w:trPr>
        <w:tc>
          <w:tcPr>
            <w:tcW w:w="2080" w:type="dxa"/>
          </w:tcPr>
          <w:p w14:paraId="730719EC" w14:textId="77777777" w:rsidR="00FF2DF2" w:rsidRPr="004D491B" w:rsidRDefault="00FF2DF2" w:rsidP="004D491B">
            <w:pPr>
              <w:spacing w:before="103" w:line="360" w:lineRule="auto"/>
              <w:ind w:left="84"/>
              <w:rPr>
                <w:rFonts w:ascii="Arial" w:hAnsi="Arial" w:cs="Arial"/>
              </w:rPr>
            </w:pPr>
            <w:r w:rsidRPr="004D491B">
              <w:rPr>
                <w:rFonts w:ascii="Arial" w:hAnsi="Arial" w:cs="Arial"/>
                <w:noProof/>
              </w:rPr>
              <mc:AlternateContent>
                <mc:Choice Requires="wps">
                  <w:drawing>
                    <wp:anchor distT="0" distB="0" distL="114300" distR="114300" simplePos="0" relativeHeight="251696128" behindDoc="0" locked="0" layoutInCell="1" allowOverlap="1" wp14:anchorId="7A29D4F0" wp14:editId="31DAEFB4">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CCC02B1" id="Freeform 136" o:spid="_x0000_s1026" style="position:absolute;margin-left:-.5pt;margin-top:0;width:.5pt;height:.5pt;z-index:25169612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4D491B">
              <w:rPr>
                <w:rFonts w:ascii="Arial" w:hAnsi="Arial" w:cs="Arial"/>
              </w:rPr>
              <w:t xml:space="preserve">Assignment Title:  </w:t>
            </w:r>
          </w:p>
        </w:tc>
        <w:tc>
          <w:tcPr>
            <w:tcW w:w="3286" w:type="dxa"/>
          </w:tcPr>
          <w:p w14:paraId="4781E87A" w14:textId="35BEFF2E" w:rsidR="00790814" w:rsidRPr="004D491B" w:rsidRDefault="00790814" w:rsidP="004D491B">
            <w:pPr>
              <w:autoSpaceDE w:val="0"/>
              <w:autoSpaceDN w:val="0"/>
              <w:adjustRightInd w:val="0"/>
              <w:spacing w:line="360" w:lineRule="auto"/>
              <w:rPr>
                <w:rFonts w:ascii="Arial" w:hAnsi="Arial" w:cs="Arial"/>
              </w:rPr>
            </w:pPr>
            <w:r w:rsidRPr="004D491B">
              <w:rPr>
                <w:rFonts w:ascii="Arial" w:hAnsi="Arial" w:cs="Arial"/>
              </w:rPr>
              <w:t xml:space="preserve">  Portfolio </w:t>
            </w:r>
            <w:proofErr w:type="gramStart"/>
            <w:r w:rsidRPr="004D491B">
              <w:rPr>
                <w:rFonts w:ascii="Arial" w:hAnsi="Arial" w:cs="Arial"/>
              </w:rPr>
              <w:t>of  exercises</w:t>
            </w:r>
            <w:proofErr w:type="gramEnd"/>
          </w:p>
          <w:p w14:paraId="727A6E37" w14:textId="7F867937" w:rsidR="00FF2DF2" w:rsidRPr="004D491B" w:rsidRDefault="00FF2DF2" w:rsidP="004D491B">
            <w:pPr>
              <w:spacing w:before="103" w:line="360" w:lineRule="auto"/>
              <w:ind w:left="84"/>
              <w:rPr>
                <w:rFonts w:ascii="Arial" w:hAnsi="Arial" w:cs="Arial"/>
                <w:noProof/>
              </w:rPr>
            </w:pPr>
          </w:p>
        </w:tc>
        <w:tc>
          <w:tcPr>
            <w:tcW w:w="2161" w:type="dxa"/>
            <w:gridSpan w:val="2"/>
            <w:tcBorders>
              <w:right w:val="nil"/>
            </w:tcBorders>
          </w:tcPr>
          <w:p w14:paraId="5DE33215" w14:textId="77777777" w:rsidR="00FF2DF2" w:rsidRPr="004D491B" w:rsidRDefault="00FF2DF2" w:rsidP="004D491B">
            <w:pPr>
              <w:tabs>
                <w:tab w:val="left" w:pos="977"/>
                <w:tab w:val="left" w:pos="1872"/>
              </w:tabs>
              <w:spacing w:before="103" w:line="360" w:lineRule="auto"/>
              <w:ind w:left="112" w:right="-18"/>
              <w:rPr>
                <w:rFonts w:ascii="Arial" w:hAnsi="Arial" w:cs="Arial"/>
              </w:rPr>
            </w:pPr>
            <w:r w:rsidRPr="004D491B">
              <w:rPr>
                <w:rFonts w:ascii="Arial" w:hAnsi="Arial" w:cs="Arial"/>
              </w:rPr>
              <w:t xml:space="preserve">Word </w:t>
            </w:r>
            <w:r w:rsidRPr="004D491B">
              <w:rPr>
                <w:rFonts w:ascii="Arial" w:hAnsi="Arial" w:cs="Arial"/>
              </w:rPr>
              <w:tab/>
              <w:t xml:space="preserve">count </w:t>
            </w:r>
            <w:r w:rsidRPr="004D491B">
              <w:rPr>
                <w:rFonts w:ascii="Arial" w:hAnsi="Arial" w:cs="Arial"/>
              </w:rPr>
              <w:tab/>
              <w:t xml:space="preserve">(or </w:t>
            </w:r>
          </w:p>
          <w:p w14:paraId="70054471" w14:textId="77777777" w:rsidR="00FF2DF2" w:rsidRPr="004D491B" w:rsidRDefault="00FF2DF2" w:rsidP="004D491B">
            <w:pPr>
              <w:spacing w:after="83" w:line="360" w:lineRule="auto"/>
              <w:ind w:left="32" w:right="739"/>
              <w:jc w:val="right"/>
              <w:rPr>
                <w:rFonts w:ascii="Arial" w:hAnsi="Arial" w:cs="Arial"/>
              </w:rPr>
            </w:pPr>
            <w:r w:rsidRPr="004D491B">
              <w:rPr>
                <w:rFonts w:ascii="Arial" w:hAnsi="Arial" w:cs="Arial"/>
              </w:rPr>
              <w:t xml:space="preserve">equivalent):  </w:t>
            </w:r>
          </w:p>
        </w:tc>
        <w:tc>
          <w:tcPr>
            <w:tcW w:w="103" w:type="dxa"/>
            <w:tcBorders>
              <w:left w:val="nil"/>
            </w:tcBorders>
          </w:tcPr>
          <w:p w14:paraId="151F83B6" w14:textId="77777777" w:rsidR="00FF2DF2" w:rsidRPr="004D491B" w:rsidRDefault="00FF2DF2" w:rsidP="004D491B">
            <w:pPr>
              <w:spacing w:line="360" w:lineRule="auto"/>
              <w:rPr>
                <w:rFonts w:ascii="Arial" w:hAnsi="Arial" w:cs="Arial"/>
              </w:rPr>
            </w:pPr>
          </w:p>
        </w:tc>
        <w:tc>
          <w:tcPr>
            <w:tcW w:w="2264" w:type="dxa"/>
          </w:tcPr>
          <w:p w14:paraId="750C9CE1" w14:textId="77777777" w:rsidR="00FF2DF2" w:rsidRPr="004D491B" w:rsidRDefault="00FF2DF2" w:rsidP="004D491B">
            <w:pPr>
              <w:spacing w:line="360" w:lineRule="auto"/>
              <w:rPr>
                <w:rFonts w:ascii="Arial" w:hAnsi="Arial" w:cs="Arial"/>
              </w:rPr>
            </w:pPr>
            <w:r w:rsidRPr="004D491B">
              <w:rPr>
                <w:rFonts w:ascii="Arial" w:hAnsi="Arial" w:cs="Arial"/>
                <w:noProof/>
              </w:rPr>
              <mc:AlternateContent>
                <mc:Choice Requires="wps">
                  <w:drawing>
                    <wp:anchor distT="0" distB="0" distL="114300" distR="114300" simplePos="0" relativeHeight="251699200" behindDoc="0" locked="0" layoutInCell="1" allowOverlap="1" wp14:anchorId="7FFF126A" wp14:editId="777269B6">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E707285" id="Freeform 139" o:spid="_x0000_s1026" style="position:absolute;margin-left:0;margin-top:0;width:.5pt;height:.5pt;z-index:25169920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700224" behindDoc="0" locked="0" layoutInCell="1" allowOverlap="1" wp14:anchorId="7B4E5909" wp14:editId="07BA9A18">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2069B0EB" id="Freeform 140" o:spid="_x0000_s1026" style="position:absolute;margin-left:113.4pt;margin-top:0;width:.5pt;height:.5pt;z-index:251700224;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4D491B">
              <w:rPr>
                <w:rFonts w:ascii="Arial" w:hAnsi="Arial" w:cs="Arial"/>
                <w:noProof/>
              </w:rPr>
              <mc:AlternateContent>
                <mc:Choice Requires="wps">
                  <w:drawing>
                    <wp:anchor distT="0" distB="0" distL="114300" distR="114300" simplePos="0" relativeHeight="251661312" behindDoc="0" locked="0" layoutInCell="1" allowOverlap="1" wp14:anchorId="1CB64CE2" wp14:editId="18B03C7E">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291317FB" w14:textId="41C180CB" w:rsidR="00FF2DF2" w:rsidRDefault="00FF2DF2" w:rsidP="00FF2DF2">
                                  <w:pPr>
                                    <w:tabs>
                                      <w:tab w:val="left" w:pos="1403"/>
                                    </w:tabs>
                                    <w:spacing w:line="316" w:lineRule="exact"/>
                                    <w:rPr>
                                      <w:rFonts w:ascii="Arial" w:hAnsi="Arial" w:cs="Arial"/>
                                      <w:b/>
                                      <w:bCs/>
                                      <w:color w:val="000000"/>
                                    </w:rPr>
                                  </w:pPr>
                                </w:p>
                                <w:p w14:paraId="5C8BCF79" w14:textId="146E03B6" w:rsidR="00FF2DF2" w:rsidRDefault="00FF2DF2" w:rsidP="00FF2DF2">
                                  <w:pPr>
                                    <w:spacing w:line="254" w:lineRule="exact"/>
                                    <w:rPr>
                                      <w:rFonts w:ascii="Times New Roman" w:hAnsi="Times New Roman" w:cs="Times New Roman"/>
                                      <w:color w:val="010302"/>
                                    </w:rPr>
                                  </w:pPr>
                                  <w:r>
                                    <w:rPr>
                                      <w:rFonts w:ascii="Arial" w:hAnsi="Arial" w:cs="Arial"/>
                                      <w:b/>
                                      <w:bCs/>
                                      <w:color w:val="000000"/>
                                    </w:rPr>
                                    <w:t xml:space="preserve"> </w:t>
                                  </w:r>
                                  <w:r w:rsidR="00B22DCD">
                                    <w:rPr>
                                      <w:rFonts w:ascii="Arial" w:hAnsi="Arial" w:cs="Arial"/>
                                      <w:b/>
                                      <w:bCs/>
                                      <w:color w:val="000000"/>
                                    </w:rPr>
                                    <w:t>2</w:t>
                                  </w:r>
                                  <w:r w:rsidR="00620D9D">
                                    <w:rPr>
                                      <w:rFonts w:ascii="Arial" w:hAnsi="Arial" w:cs="Arial"/>
                                      <w:b/>
                                      <w:bCs/>
                                      <w:color w:val="000000"/>
                                    </w:rPr>
                                    <w:t>1</w:t>
                                  </w:r>
                                  <w:r w:rsidR="00D25B76">
                                    <w:rPr>
                                      <w:rFonts w:ascii="Arial" w:hAnsi="Arial" w:cs="Arial"/>
                                      <w:b/>
                                      <w:bCs/>
                                      <w:color w:val="000000"/>
                                    </w:rPr>
                                    <w:t xml:space="preserve">49 </w:t>
                                  </w:r>
                                  <w:r w:rsidR="003671BB">
                                    <w:rPr>
                                      <w:rFonts w:ascii="Arial" w:hAnsi="Arial" w:cs="Arial"/>
                                      <w:b/>
                                      <w:bCs/>
                                      <w:color w:val="000000"/>
                                    </w:rPr>
                                    <w:t>words</w:t>
                                  </w:r>
                                </w:p>
                              </w:txbxContent>
                            </wps:txbx>
                            <wps:bodyPr wrap="square" lIns="0" tIns="0" rIns="0" bIns="0"/>
                          </wps:wsp>
                        </a:graphicData>
                      </a:graphic>
                    </wp:anchor>
                  </w:drawing>
                </mc:Choice>
                <mc:Fallback>
                  <w:pict>
                    <v:shape w14:anchorId="1CB64CE2" id="Freeform 141" o:spid="_x0000_s1028" style="position:absolute;margin-left:5.65pt;margin-top:5.15pt;width:114.65pt;height:37.55pt;z-index:251661312;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291317FB" w14:textId="41C180CB" w:rsidR="00FF2DF2" w:rsidRDefault="00FF2DF2" w:rsidP="00FF2DF2">
                            <w:pPr>
                              <w:tabs>
                                <w:tab w:val="left" w:pos="1403"/>
                              </w:tabs>
                              <w:spacing w:line="316" w:lineRule="exact"/>
                              <w:rPr>
                                <w:rFonts w:ascii="Arial" w:hAnsi="Arial" w:cs="Arial"/>
                                <w:b/>
                                <w:bCs/>
                                <w:color w:val="000000"/>
                              </w:rPr>
                            </w:pPr>
                          </w:p>
                          <w:p w14:paraId="5C8BCF79" w14:textId="146E03B6" w:rsidR="00FF2DF2" w:rsidRDefault="00FF2DF2" w:rsidP="00FF2DF2">
                            <w:pPr>
                              <w:spacing w:line="254" w:lineRule="exact"/>
                              <w:rPr>
                                <w:rFonts w:ascii="Times New Roman" w:hAnsi="Times New Roman" w:cs="Times New Roman"/>
                                <w:color w:val="010302"/>
                              </w:rPr>
                            </w:pPr>
                            <w:r>
                              <w:rPr>
                                <w:rFonts w:ascii="Arial" w:hAnsi="Arial" w:cs="Arial"/>
                                <w:b/>
                                <w:bCs/>
                                <w:color w:val="000000"/>
                              </w:rPr>
                              <w:t xml:space="preserve"> </w:t>
                            </w:r>
                            <w:r w:rsidR="00B22DCD">
                              <w:rPr>
                                <w:rFonts w:ascii="Arial" w:hAnsi="Arial" w:cs="Arial"/>
                                <w:b/>
                                <w:bCs/>
                                <w:color w:val="000000"/>
                              </w:rPr>
                              <w:t>2</w:t>
                            </w:r>
                            <w:r w:rsidR="00620D9D">
                              <w:rPr>
                                <w:rFonts w:ascii="Arial" w:hAnsi="Arial" w:cs="Arial"/>
                                <w:b/>
                                <w:bCs/>
                                <w:color w:val="000000"/>
                              </w:rPr>
                              <w:t>1</w:t>
                            </w:r>
                            <w:r w:rsidR="00D25B76">
                              <w:rPr>
                                <w:rFonts w:ascii="Arial" w:hAnsi="Arial" w:cs="Arial"/>
                                <w:b/>
                                <w:bCs/>
                                <w:color w:val="000000"/>
                              </w:rPr>
                              <w:t xml:space="preserve">49 </w:t>
                            </w:r>
                            <w:r w:rsidR="003671BB">
                              <w:rPr>
                                <w:rFonts w:ascii="Arial" w:hAnsi="Arial" w:cs="Arial"/>
                                <w:b/>
                                <w:bCs/>
                                <w:color w:val="000000"/>
                              </w:rPr>
                              <w:t>words</w:t>
                            </w:r>
                          </w:p>
                        </w:txbxContent>
                      </v:textbox>
                      <w10:wrap anchorx="page"/>
                    </v:shape>
                  </w:pict>
                </mc:Fallback>
              </mc:AlternateContent>
            </w:r>
          </w:p>
        </w:tc>
      </w:tr>
      <w:tr w:rsidR="004D491B" w:rsidRPr="004D491B" w14:paraId="282E27ED" w14:textId="77777777" w:rsidTr="00FF2DF2">
        <w:trPr>
          <w:trHeight w:hRule="exact" w:val="2480"/>
        </w:trPr>
        <w:tc>
          <w:tcPr>
            <w:tcW w:w="2080" w:type="dxa"/>
          </w:tcPr>
          <w:p w14:paraId="01F62271" w14:textId="77777777" w:rsidR="00FF2DF2" w:rsidRPr="004D491B" w:rsidRDefault="00FF2DF2" w:rsidP="004D491B">
            <w:pPr>
              <w:spacing w:before="103" w:after="1828" w:line="360" w:lineRule="auto"/>
              <w:ind w:left="84" w:right="634"/>
              <w:rPr>
                <w:rFonts w:ascii="Arial" w:hAnsi="Arial" w:cs="Arial"/>
              </w:rPr>
            </w:pPr>
            <w:r w:rsidRPr="004D491B">
              <w:rPr>
                <w:rFonts w:ascii="Arial" w:hAnsi="Arial" w:cs="Arial"/>
                <w:noProof/>
              </w:rPr>
              <mc:AlternateContent>
                <mc:Choice Requires="wps">
                  <w:drawing>
                    <wp:anchor distT="0" distB="0" distL="114300" distR="114300" simplePos="0" relativeHeight="251701248" behindDoc="0" locked="0" layoutInCell="1" allowOverlap="1" wp14:anchorId="3C0D5EB4" wp14:editId="67F6EA51">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0F842BBD" id="Freeform 142" o:spid="_x0000_s1026" style="position:absolute;margin-left:-.5pt;margin-top:.45pt;width:.5pt;height:.5pt;z-index:25170124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4D491B">
              <w:rPr>
                <w:rFonts w:ascii="Arial" w:hAnsi="Arial" w:cs="Arial"/>
              </w:rPr>
              <w:t xml:space="preserve">Submission deadline:  </w:t>
            </w:r>
          </w:p>
        </w:tc>
        <w:tc>
          <w:tcPr>
            <w:tcW w:w="3286" w:type="dxa"/>
          </w:tcPr>
          <w:p w14:paraId="29DF6FAE" w14:textId="3FE551E3" w:rsidR="00FF2DF2" w:rsidRPr="004D491B" w:rsidRDefault="00FF2DF2" w:rsidP="004D491B">
            <w:pPr>
              <w:spacing w:before="430" w:line="360" w:lineRule="auto"/>
              <w:rPr>
                <w:rFonts w:ascii="Arial" w:hAnsi="Arial" w:cs="Arial"/>
              </w:rPr>
            </w:pPr>
            <w:r w:rsidRPr="004D491B">
              <w:rPr>
                <w:rFonts w:ascii="Arial" w:hAnsi="Arial" w:cs="Arial"/>
              </w:rPr>
              <w:t xml:space="preserve"> </w:t>
            </w:r>
          </w:p>
          <w:p w14:paraId="2D0A052C" w14:textId="38278B3C" w:rsidR="004C0439" w:rsidRPr="004D491B" w:rsidRDefault="004C0439" w:rsidP="004D491B">
            <w:pPr>
              <w:autoSpaceDE w:val="0"/>
              <w:autoSpaceDN w:val="0"/>
              <w:adjustRightInd w:val="0"/>
              <w:spacing w:line="360" w:lineRule="auto"/>
              <w:rPr>
                <w:rFonts w:ascii="Arial" w:hAnsi="Arial" w:cs="Arial"/>
              </w:rPr>
            </w:pPr>
            <w:r w:rsidRPr="004D491B">
              <w:rPr>
                <w:rFonts w:ascii="Arial" w:hAnsi="Arial" w:cs="Arial"/>
              </w:rPr>
              <w:t xml:space="preserve">Friday 31st </w:t>
            </w:r>
            <w:proofErr w:type="gramStart"/>
            <w:r w:rsidRPr="004D491B">
              <w:rPr>
                <w:rFonts w:ascii="Arial" w:hAnsi="Arial" w:cs="Arial"/>
              </w:rPr>
              <w:t>July  2026</w:t>
            </w:r>
            <w:proofErr w:type="gramEnd"/>
            <w:r w:rsidRPr="004D491B">
              <w:rPr>
                <w:rFonts w:ascii="Arial" w:hAnsi="Arial" w:cs="Arial"/>
              </w:rPr>
              <w:t xml:space="preserve"> </w:t>
            </w:r>
          </w:p>
          <w:p w14:paraId="7BCC37A8" w14:textId="7E30D36F" w:rsidR="00FF2DF2" w:rsidRPr="004D491B" w:rsidRDefault="00FF2DF2" w:rsidP="004D491B">
            <w:pPr>
              <w:spacing w:before="40" w:after="83" w:line="360" w:lineRule="auto"/>
              <w:ind w:left="90" w:right="-18"/>
              <w:rPr>
                <w:rFonts w:ascii="Arial" w:hAnsi="Arial" w:cs="Arial"/>
              </w:rPr>
            </w:pPr>
          </w:p>
        </w:tc>
        <w:tc>
          <w:tcPr>
            <w:tcW w:w="112" w:type="dxa"/>
            <w:tcBorders>
              <w:right w:val="nil"/>
            </w:tcBorders>
          </w:tcPr>
          <w:p w14:paraId="648012E1" w14:textId="77777777" w:rsidR="00FF2DF2" w:rsidRPr="004D491B" w:rsidRDefault="00FF2DF2" w:rsidP="004D491B">
            <w:pPr>
              <w:spacing w:line="360" w:lineRule="auto"/>
              <w:rPr>
                <w:rFonts w:ascii="Arial" w:hAnsi="Arial" w:cs="Arial"/>
              </w:rPr>
            </w:pPr>
          </w:p>
        </w:tc>
        <w:tc>
          <w:tcPr>
            <w:tcW w:w="2049" w:type="dxa"/>
            <w:tcBorders>
              <w:left w:val="nil"/>
              <w:right w:val="nil"/>
            </w:tcBorders>
          </w:tcPr>
          <w:p w14:paraId="20611C7B" w14:textId="77777777" w:rsidR="00FF2DF2" w:rsidRPr="004D491B" w:rsidRDefault="00FF2DF2" w:rsidP="004D491B">
            <w:pPr>
              <w:tabs>
                <w:tab w:val="left" w:pos="1053"/>
                <w:tab w:val="left" w:pos="1848"/>
              </w:tabs>
              <w:spacing w:before="103" w:after="1576" w:line="360" w:lineRule="auto"/>
              <w:ind w:right="-98"/>
              <w:jc w:val="both"/>
              <w:rPr>
                <w:rFonts w:ascii="Arial" w:hAnsi="Arial" w:cs="Arial"/>
              </w:rPr>
            </w:pPr>
            <w:r w:rsidRPr="004D491B">
              <w:rPr>
                <w:rFonts w:ascii="Arial" w:hAnsi="Arial" w:cs="Arial"/>
              </w:rPr>
              <w:t xml:space="preserve">Return </w:t>
            </w:r>
            <w:r w:rsidRPr="004D491B">
              <w:rPr>
                <w:rFonts w:ascii="Arial" w:hAnsi="Arial" w:cs="Arial"/>
              </w:rPr>
              <w:tab/>
              <w:t xml:space="preserve">date </w:t>
            </w:r>
            <w:r w:rsidRPr="004D491B">
              <w:rPr>
                <w:rFonts w:ascii="Arial" w:hAnsi="Arial" w:cs="Arial"/>
              </w:rPr>
              <w:tab/>
            </w:r>
            <w:r w:rsidRPr="004D491B">
              <w:rPr>
                <w:rFonts w:ascii="Arial" w:hAnsi="Arial" w:cs="Arial"/>
                <w:spacing w:val="-3"/>
              </w:rPr>
              <w:t>of</w:t>
            </w:r>
            <w:r w:rsidRPr="004D491B">
              <w:rPr>
                <w:rFonts w:ascii="Arial" w:hAnsi="Arial" w:cs="Arial"/>
              </w:rPr>
              <w:t xml:space="preserve"> provisional</w:t>
            </w:r>
            <w:r w:rsidRPr="004D491B">
              <w:rPr>
                <w:rFonts w:ascii="Arial" w:hAnsi="Arial" w:cs="Arial"/>
                <w:spacing w:val="14"/>
              </w:rPr>
              <w:t xml:space="preserve">   </w:t>
            </w:r>
            <w:r w:rsidRPr="004D491B">
              <w:rPr>
                <w:rFonts w:ascii="Arial" w:hAnsi="Arial" w:cs="Arial"/>
                <w:spacing w:val="-1"/>
              </w:rPr>
              <w:t>marks</w:t>
            </w:r>
            <w:r w:rsidRPr="004D491B">
              <w:rPr>
                <w:rFonts w:ascii="Arial" w:hAnsi="Arial" w:cs="Arial"/>
              </w:rPr>
              <w:t xml:space="preserve"> &amp; written feedback: </w:t>
            </w:r>
          </w:p>
        </w:tc>
        <w:tc>
          <w:tcPr>
            <w:tcW w:w="103" w:type="dxa"/>
            <w:tcBorders>
              <w:left w:val="nil"/>
            </w:tcBorders>
          </w:tcPr>
          <w:p w14:paraId="488E4CE3" w14:textId="77777777" w:rsidR="00FF2DF2" w:rsidRPr="004D491B" w:rsidRDefault="00FF2DF2" w:rsidP="004D491B">
            <w:pPr>
              <w:spacing w:line="360" w:lineRule="auto"/>
              <w:rPr>
                <w:rFonts w:ascii="Arial" w:hAnsi="Arial" w:cs="Arial"/>
              </w:rPr>
            </w:pPr>
          </w:p>
        </w:tc>
        <w:tc>
          <w:tcPr>
            <w:tcW w:w="2264" w:type="dxa"/>
          </w:tcPr>
          <w:p w14:paraId="2A176604" w14:textId="77777777" w:rsidR="004C0439" w:rsidRPr="004D491B" w:rsidRDefault="004C0439" w:rsidP="004D491B">
            <w:pPr>
              <w:autoSpaceDE w:val="0"/>
              <w:autoSpaceDN w:val="0"/>
              <w:adjustRightInd w:val="0"/>
              <w:spacing w:line="360" w:lineRule="auto"/>
              <w:rPr>
                <w:rFonts w:ascii="Arial" w:hAnsi="Arial" w:cs="Arial"/>
              </w:rPr>
            </w:pPr>
            <w:r w:rsidRPr="004D491B">
              <w:rPr>
                <w:rFonts w:ascii="Arial" w:hAnsi="Arial" w:cs="Arial"/>
              </w:rPr>
              <w:t>28-Aug-26</w:t>
            </w:r>
          </w:p>
          <w:p w14:paraId="16286EC5" w14:textId="41C92C8E" w:rsidR="00FF2DF2" w:rsidRPr="004D491B" w:rsidRDefault="00FF2DF2" w:rsidP="004D491B">
            <w:pPr>
              <w:spacing w:before="103" w:after="2082" w:line="360" w:lineRule="auto"/>
              <w:ind w:left="93" w:right="-18"/>
              <w:rPr>
                <w:rFonts w:ascii="Arial" w:hAnsi="Arial" w:cs="Arial"/>
              </w:rPr>
            </w:pPr>
          </w:p>
        </w:tc>
      </w:tr>
    </w:tbl>
    <w:p w14:paraId="7456D722" w14:textId="77777777" w:rsidR="00FF2DF2" w:rsidRPr="004D491B" w:rsidRDefault="00FF2DF2" w:rsidP="004D491B">
      <w:pPr>
        <w:spacing w:line="360" w:lineRule="auto"/>
        <w:rPr>
          <w:rFonts w:ascii="Arial" w:hAnsi="Arial" w:cs="Arial"/>
        </w:rPr>
      </w:pPr>
    </w:p>
    <w:p w14:paraId="57C3EB8A" w14:textId="77777777" w:rsidR="00FF2DF2" w:rsidRPr="004D491B" w:rsidRDefault="00FF2DF2" w:rsidP="004D491B">
      <w:pPr>
        <w:spacing w:line="360" w:lineRule="auto"/>
        <w:rPr>
          <w:rFonts w:ascii="Arial" w:hAnsi="Arial" w:cs="Arial"/>
        </w:rPr>
      </w:pPr>
    </w:p>
    <w:p w14:paraId="54661CFD" w14:textId="77777777" w:rsidR="00FF2DF2" w:rsidRPr="004D491B" w:rsidRDefault="00FF2DF2" w:rsidP="004D491B">
      <w:pPr>
        <w:spacing w:line="360" w:lineRule="auto"/>
        <w:rPr>
          <w:rFonts w:ascii="Arial" w:hAnsi="Arial" w:cs="Arial"/>
        </w:rPr>
      </w:pPr>
    </w:p>
    <w:p w14:paraId="10E8A47A" w14:textId="77777777" w:rsidR="00FF2DF2" w:rsidRPr="004D491B" w:rsidRDefault="00FF2DF2" w:rsidP="004D491B">
      <w:pPr>
        <w:spacing w:line="360" w:lineRule="auto"/>
        <w:rPr>
          <w:rFonts w:ascii="Arial" w:hAnsi="Arial" w:cs="Arial"/>
        </w:rPr>
      </w:pPr>
    </w:p>
    <w:p w14:paraId="72B053AD" w14:textId="77777777" w:rsidR="00FF2DF2" w:rsidRPr="004D491B" w:rsidRDefault="00FF2DF2" w:rsidP="004D491B">
      <w:pPr>
        <w:spacing w:line="360" w:lineRule="auto"/>
        <w:rPr>
          <w:rFonts w:ascii="Arial" w:hAnsi="Arial" w:cs="Arial"/>
        </w:rPr>
      </w:pPr>
    </w:p>
    <w:p w14:paraId="62B4EF86" w14:textId="4D4E4E5A" w:rsidR="00FF2DF2" w:rsidRPr="004D491B" w:rsidRDefault="00FF2DF2" w:rsidP="004D491B">
      <w:pPr>
        <w:spacing w:line="360" w:lineRule="auto"/>
        <w:rPr>
          <w:rFonts w:ascii="Arial" w:hAnsi="Arial" w:cs="Arial"/>
        </w:rPr>
      </w:pPr>
    </w:p>
    <w:p w14:paraId="5020BFF1" w14:textId="137053F3" w:rsidR="00D30537" w:rsidRPr="004D491B" w:rsidRDefault="00D30537" w:rsidP="004D491B">
      <w:pPr>
        <w:spacing w:line="360" w:lineRule="auto"/>
        <w:rPr>
          <w:rFonts w:ascii="Arial" w:hAnsi="Arial" w:cs="Arial"/>
        </w:rPr>
      </w:pPr>
    </w:p>
    <w:p w14:paraId="57514B1F" w14:textId="64BBC6CA" w:rsidR="00D30537" w:rsidRPr="004D491B" w:rsidRDefault="00D30537" w:rsidP="004D491B">
      <w:pPr>
        <w:spacing w:line="360" w:lineRule="auto"/>
        <w:rPr>
          <w:rFonts w:ascii="Arial" w:hAnsi="Arial" w:cs="Arial"/>
        </w:rPr>
      </w:pPr>
    </w:p>
    <w:p w14:paraId="12C62E1E" w14:textId="57E3FC9B" w:rsidR="00D30537" w:rsidRPr="004D491B" w:rsidRDefault="00D30537" w:rsidP="004D491B">
      <w:pPr>
        <w:spacing w:line="360" w:lineRule="auto"/>
        <w:rPr>
          <w:rFonts w:ascii="Arial" w:hAnsi="Arial" w:cs="Arial"/>
        </w:rPr>
      </w:pPr>
    </w:p>
    <w:p w14:paraId="605E99A1" w14:textId="28388EBB" w:rsidR="00D30537" w:rsidRPr="004D491B" w:rsidRDefault="00D30537" w:rsidP="004D491B">
      <w:pPr>
        <w:spacing w:line="360" w:lineRule="auto"/>
        <w:rPr>
          <w:rFonts w:ascii="Arial" w:hAnsi="Arial" w:cs="Arial"/>
        </w:rPr>
      </w:pPr>
    </w:p>
    <w:p w14:paraId="1CC85C39" w14:textId="4D86CAB3" w:rsidR="00D30537" w:rsidRPr="004D491B" w:rsidRDefault="00D30537" w:rsidP="004D491B">
      <w:pPr>
        <w:spacing w:line="360" w:lineRule="auto"/>
        <w:rPr>
          <w:rFonts w:ascii="Arial" w:hAnsi="Arial" w:cs="Arial"/>
        </w:rPr>
      </w:pPr>
    </w:p>
    <w:p w14:paraId="471B269E" w14:textId="77A56352" w:rsidR="00D30537" w:rsidRPr="004D491B" w:rsidRDefault="00D30537" w:rsidP="004D491B">
      <w:pPr>
        <w:spacing w:line="360" w:lineRule="auto"/>
        <w:rPr>
          <w:rFonts w:ascii="Arial" w:hAnsi="Arial" w:cs="Arial"/>
        </w:rPr>
      </w:pPr>
    </w:p>
    <w:p w14:paraId="1EE03E85" w14:textId="77777777" w:rsidR="00D30537" w:rsidRPr="004D491B" w:rsidRDefault="00D30537" w:rsidP="004D491B">
      <w:pPr>
        <w:spacing w:line="360" w:lineRule="auto"/>
        <w:rPr>
          <w:rFonts w:ascii="Arial" w:hAnsi="Arial" w:cs="Arial"/>
        </w:rPr>
      </w:pPr>
    </w:p>
    <w:p w14:paraId="42747461" w14:textId="77777777" w:rsidR="00FF2DF2" w:rsidRPr="004D491B" w:rsidRDefault="00FF2DF2" w:rsidP="004D491B">
      <w:pPr>
        <w:spacing w:line="360" w:lineRule="auto"/>
        <w:rPr>
          <w:rFonts w:ascii="Arial" w:hAnsi="Arial" w:cs="Arial"/>
        </w:rPr>
      </w:pPr>
    </w:p>
    <w:p w14:paraId="39434ADE" w14:textId="77777777" w:rsidR="00FF2DF2" w:rsidRPr="004D491B" w:rsidRDefault="00FF2DF2" w:rsidP="004D491B">
      <w:pPr>
        <w:spacing w:line="360" w:lineRule="auto"/>
        <w:rPr>
          <w:rFonts w:ascii="Arial" w:hAnsi="Arial" w:cs="Arial"/>
        </w:rPr>
      </w:pPr>
    </w:p>
    <w:p w14:paraId="32997389" w14:textId="75BCAC8E" w:rsidR="00604F0D" w:rsidRPr="004D491B" w:rsidRDefault="00604F0D" w:rsidP="004D491B">
      <w:pPr>
        <w:spacing w:line="360" w:lineRule="auto"/>
        <w:rPr>
          <w:rFonts w:ascii="Arial" w:hAnsi="Arial" w:cs="Arial"/>
        </w:rPr>
      </w:pPr>
    </w:p>
    <w:p w14:paraId="14D3529B" w14:textId="77777777" w:rsidR="00A13610" w:rsidRPr="004D491B" w:rsidRDefault="00A13610" w:rsidP="004D491B">
      <w:pPr>
        <w:pStyle w:val="Heading2"/>
        <w:spacing w:line="360" w:lineRule="auto"/>
        <w:rPr>
          <w:rFonts w:ascii="Arial" w:hAnsi="Arial" w:cs="Arial"/>
          <w:b/>
          <w:bCs/>
          <w:color w:val="auto"/>
          <w:sz w:val="22"/>
          <w:szCs w:val="22"/>
          <w:lang w:val="en-GB"/>
        </w:rPr>
      </w:pPr>
      <w:r w:rsidRPr="004D491B">
        <w:rPr>
          <w:rFonts w:ascii="Arial" w:hAnsi="Arial" w:cs="Arial"/>
          <w:b/>
          <w:bCs/>
          <w:color w:val="auto"/>
          <w:sz w:val="22"/>
          <w:szCs w:val="22"/>
        </w:rPr>
        <w:t>Table of Contents</w:t>
      </w:r>
    </w:p>
    <w:p w14:paraId="0A14C114" w14:textId="77777777" w:rsidR="00A13610" w:rsidRPr="004D491B" w:rsidRDefault="00A13610" w:rsidP="004D491B">
      <w:pPr>
        <w:pStyle w:val="NormalWeb"/>
        <w:spacing w:line="360" w:lineRule="auto"/>
        <w:rPr>
          <w:rFonts w:ascii="Arial" w:hAnsi="Arial" w:cs="Arial"/>
          <w:sz w:val="22"/>
          <w:szCs w:val="22"/>
        </w:rPr>
      </w:pPr>
      <w:r w:rsidRPr="004D491B">
        <w:rPr>
          <w:rFonts w:ascii="Arial" w:hAnsi="Arial" w:cs="Arial"/>
          <w:sz w:val="22"/>
          <w:szCs w:val="22"/>
        </w:rPr>
        <w:t>Introduction</w:t>
      </w:r>
      <w:r w:rsidRPr="004D491B">
        <w:rPr>
          <w:rFonts w:ascii="Arial" w:hAnsi="Arial" w:cs="Arial"/>
          <w:sz w:val="22"/>
          <w:szCs w:val="22"/>
        </w:rPr>
        <w:br/>
        <w:t>Task 1</w:t>
      </w:r>
      <w:r w:rsidRPr="004D491B">
        <w:rPr>
          <w:rFonts w:ascii="Arial" w:hAnsi="Arial" w:cs="Arial"/>
          <w:sz w:val="22"/>
          <w:szCs w:val="22"/>
        </w:rPr>
        <w:br/>
        <w:t>Task 2</w:t>
      </w:r>
      <w:r w:rsidRPr="004D491B">
        <w:rPr>
          <w:rFonts w:ascii="Arial" w:hAnsi="Arial" w:cs="Arial"/>
          <w:sz w:val="22"/>
          <w:szCs w:val="22"/>
        </w:rPr>
        <w:br/>
        <w:t>Task 3</w:t>
      </w:r>
      <w:r w:rsidRPr="004D491B">
        <w:rPr>
          <w:rFonts w:ascii="Arial" w:hAnsi="Arial" w:cs="Arial"/>
          <w:sz w:val="22"/>
          <w:szCs w:val="22"/>
        </w:rPr>
        <w:br/>
        <w:t>Task 4</w:t>
      </w:r>
      <w:r w:rsidRPr="004D491B">
        <w:rPr>
          <w:rFonts w:ascii="Arial" w:hAnsi="Arial" w:cs="Arial"/>
          <w:sz w:val="22"/>
          <w:szCs w:val="22"/>
        </w:rPr>
        <w:br/>
        <w:t>Task 5</w:t>
      </w:r>
      <w:r w:rsidRPr="004D491B">
        <w:rPr>
          <w:rFonts w:ascii="Arial" w:hAnsi="Arial" w:cs="Arial"/>
          <w:sz w:val="22"/>
          <w:szCs w:val="22"/>
        </w:rPr>
        <w:br/>
        <w:t>Task 6</w:t>
      </w:r>
      <w:r w:rsidRPr="004D491B">
        <w:rPr>
          <w:rFonts w:ascii="Arial" w:hAnsi="Arial" w:cs="Arial"/>
          <w:sz w:val="22"/>
          <w:szCs w:val="22"/>
        </w:rPr>
        <w:br/>
        <w:t>Task 7</w:t>
      </w:r>
      <w:r w:rsidRPr="004D491B">
        <w:rPr>
          <w:rFonts w:ascii="Arial" w:hAnsi="Arial" w:cs="Arial"/>
          <w:sz w:val="22"/>
          <w:szCs w:val="22"/>
        </w:rPr>
        <w:br/>
        <w:t>Task 8</w:t>
      </w:r>
      <w:r w:rsidRPr="004D491B">
        <w:rPr>
          <w:rFonts w:ascii="Arial" w:hAnsi="Arial" w:cs="Arial"/>
          <w:sz w:val="22"/>
          <w:szCs w:val="22"/>
        </w:rPr>
        <w:br/>
        <w:t>Reference List</w:t>
      </w:r>
    </w:p>
    <w:p w14:paraId="593FDBA7" w14:textId="77777777" w:rsidR="00A13610" w:rsidRPr="004D491B" w:rsidRDefault="00A13610" w:rsidP="004D491B">
      <w:pPr>
        <w:pStyle w:val="Heading2"/>
        <w:spacing w:line="360" w:lineRule="auto"/>
        <w:rPr>
          <w:rFonts w:ascii="Arial" w:hAnsi="Arial" w:cs="Arial"/>
          <w:b/>
          <w:bCs/>
          <w:color w:val="auto"/>
          <w:sz w:val="22"/>
          <w:szCs w:val="22"/>
        </w:rPr>
      </w:pPr>
      <w:r w:rsidRPr="004D491B">
        <w:rPr>
          <w:rFonts w:ascii="Arial" w:hAnsi="Arial" w:cs="Arial"/>
          <w:b/>
          <w:bCs/>
          <w:color w:val="auto"/>
          <w:sz w:val="22"/>
          <w:szCs w:val="22"/>
        </w:rPr>
        <w:lastRenderedPageBreak/>
        <w:t>Introduction</w:t>
      </w:r>
    </w:p>
    <w:p w14:paraId="2E6B6E61" w14:textId="77777777" w:rsidR="004D491B" w:rsidRPr="004D491B" w:rsidRDefault="004D491B" w:rsidP="004D491B">
      <w:pPr>
        <w:pStyle w:val="Heading2"/>
        <w:spacing w:line="360" w:lineRule="auto"/>
        <w:rPr>
          <w:rFonts w:ascii="Arial" w:hAnsi="Arial" w:cs="Arial"/>
          <w:color w:val="auto"/>
          <w:sz w:val="22"/>
          <w:szCs w:val="22"/>
          <w:shd w:val="clear" w:color="auto" w:fill="FFFFFF"/>
        </w:rPr>
      </w:pPr>
      <w:r w:rsidRPr="004D491B">
        <w:rPr>
          <w:rFonts w:ascii="Arial" w:hAnsi="Arial" w:cs="Arial"/>
          <w:color w:val="auto"/>
          <w:sz w:val="22"/>
          <w:szCs w:val="22"/>
          <w:shd w:val="clear" w:color="auto" w:fill="FFFFFF"/>
        </w:rPr>
        <w:t>This portfolio provides an important exploration of how creativity, innovation, technology and leadership can enable change in health and social care. It looks at whether the proposal is unique, but also whether it meets an identified need, can be delivered safely and offers meaningful value for service consumers. The benefits, constraints and ethical implications of transformation across complex care environments are considered using academic evidence, practical examples and reflective models.</w:t>
      </w:r>
    </w:p>
    <w:p w14:paraId="5824B2DE" w14:textId="77777777" w:rsidR="004D491B" w:rsidRPr="004D491B" w:rsidRDefault="004D491B" w:rsidP="004D491B">
      <w:pPr>
        <w:pStyle w:val="Heading2"/>
        <w:spacing w:line="360" w:lineRule="auto"/>
        <w:rPr>
          <w:rFonts w:ascii="Arial" w:hAnsi="Arial" w:cs="Arial"/>
          <w:color w:val="auto"/>
          <w:sz w:val="22"/>
          <w:szCs w:val="22"/>
          <w:shd w:val="clear" w:color="auto" w:fill="FFFFFF"/>
        </w:rPr>
      </w:pPr>
    </w:p>
    <w:p w14:paraId="37CBB3AB" w14:textId="6A765195" w:rsidR="00A13610" w:rsidRPr="004D491B" w:rsidRDefault="00A13610" w:rsidP="004D491B">
      <w:pPr>
        <w:pStyle w:val="Heading2"/>
        <w:spacing w:line="360" w:lineRule="auto"/>
        <w:rPr>
          <w:rFonts w:ascii="Arial" w:hAnsi="Arial" w:cs="Arial"/>
          <w:b/>
          <w:bCs/>
          <w:color w:val="auto"/>
          <w:sz w:val="22"/>
          <w:szCs w:val="22"/>
        </w:rPr>
      </w:pPr>
      <w:r w:rsidRPr="004D491B">
        <w:rPr>
          <w:rFonts w:ascii="Arial" w:hAnsi="Arial" w:cs="Arial"/>
          <w:b/>
          <w:bCs/>
          <w:color w:val="auto"/>
          <w:sz w:val="22"/>
          <w:szCs w:val="22"/>
        </w:rPr>
        <w:t>Task 1: Key Concepts in Health and Social Care</w:t>
      </w:r>
    </w:p>
    <w:p w14:paraId="1CB88A8E" w14:textId="77777777" w:rsidR="00A13610" w:rsidRPr="004D491B" w:rsidRDefault="00A13610" w:rsidP="004D491B">
      <w:pPr>
        <w:pStyle w:val="Heading3"/>
        <w:spacing w:line="360" w:lineRule="auto"/>
        <w:rPr>
          <w:rFonts w:ascii="Arial" w:hAnsi="Arial" w:cs="Arial"/>
          <w:color w:val="auto"/>
          <w:sz w:val="22"/>
          <w:szCs w:val="22"/>
        </w:rPr>
      </w:pPr>
      <w:r w:rsidRPr="004D491B">
        <w:rPr>
          <w:rFonts w:ascii="Arial" w:hAnsi="Arial" w:cs="Arial"/>
          <w:color w:val="auto"/>
          <w:sz w:val="22"/>
          <w:szCs w:val="22"/>
        </w:rPr>
        <w:t>Innovation</w:t>
      </w:r>
    </w:p>
    <w:p w14:paraId="3E2DE254" w14:textId="77777777" w:rsidR="004D491B" w:rsidRPr="004D491B" w:rsidRDefault="004D491B" w:rsidP="004D491B">
      <w:pPr>
        <w:pStyle w:val="Heading3"/>
        <w:spacing w:line="360" w:lineRule="auto"/>
        <w:rPr>
          <w:rFonts w:ascii="Arial" w:hAnsi="Arial" w:cs="Arial"/>
          <w:color w:val="auto"/>
          <w:sz w:val="22"/>
          <w:szCs w:val="22"/>
          <w:shd w:val="clear" w:color="auto" w:fill="FFFFFF"/>
        </w:rPr>
      </w:pPr>
      <w:r w:rsidRPr="004D491B">
        <w:rPr>
          <w:rFonts w:ascii="Arial" w:hAnsi="Arial" w:cs="Arial"/>
          <w:color w:val="auto"/>
          <w:sz w:val="22"/>
          <w:szCs w:val="22"/>
          <w:shd w:val="clear" w:color="auto" w:fill="FFFFFF"/>
        </w:rPr>
        <w:t xml:space="preserve">Innovation is the deliberate introduction and continuous use of an idea, activity or service which is judged to be innovative in a certain context. An innovation is not an </w:t>
      </w:r>
      <w:proofErr w:type="gramStart"/>
      <w:r w:rsidRPr="004D491B">
        <w:rPr>
          <w:rFonts w:ascii="Arial" w:hAnsi="Arial" w:cs="Arial"/>
          <w:color w:val="auto"/>
          <w:sz w:val="22"/>
          <w:szCs w:val="22"/>
          <w:shd w:val="clear" w:color="auto" w:fill="FFFFFF"/>
        </w:rPr>
        <w:t>invention .</w:t>
      </w:r>
      <w:proofErr w:type="gramEnd"/>
      <w:r w:rsidRPr="004D491B">
        <w:rPr>
          <w:rFonts w:ascii="Arial" w:hAnsi="Arial" w:cs="Arial"/>
          <w:color w:val="auto"/>
          <w:sz w:val="22"/>
          <w:szCs w:val="22"/>
          <w:shd w:val="clear" w:color="auto" w:fill="FFFFFF"/>
        </w:rPr>
        <w:t xml:space="preserve"> It is a concept that has been taken and put to </w:t>
      </w:r>
      <w:proofErr w:type="gramStart"/>
      <w:r w:rsidRPr="004D491B">
        <w:rPr>
          <w:rFonts w:ascii="Arial" w:hAnsi="Arial" w:cs="Arial"/>
          <w:color w:val="auto"/>
          <w:sz w:val="22"/>
          <w:szCs w:val="22"/>
          <w:shd w:val="clear" w:color="auto" w:fill="FFFFFF"/>
        </w:rPr>
        <w:t>use .</w:t>
      </w:r>
      <w:proofErr w:type="gramEnd"/>
      <w:r w:rsidRPr="004D491B">
        <w:rPr>
          <w:rFonts w:ascii="Arial" w:hAnsi="Arial" w:cs="Arial"/>
          <w:color w:val="auto"/>
          <w:sz w:val="22"/>
          <w:szCs w:val="22"/>
          <w:shd w:val="clear" w:color="auto" w:fill="FFFFFF"/>
        </w:rPr>
        <w:t xml:space="preserve"> Greenhalgh et al. (2004) find that adoption is influenced by relative advantage, compatibility, complexity, adaptability and </w:t>
      </w:r>
      <w:proofErr w:type="spellStart"/>
      <w:r w:rsidRPr="004D491B">
        <w:rPr>
          <w:rFonts w:ascii="Arial" w:hAnsi="Arial" w:cs="Arial"/>
          <w:color w:val="auto"/>
          <w:sz w:val="22"/>
          <w:szCs w:val="22"/>
          <w:shd w:val="clear" w:color="auto" w:fill="FFFFFF"/>
        </w:rPr>
        <w:t>organisational</w:t>
      </w:r>
      <w:proofErr w:type="spellEnd"/>
      <w:r w:rsidRPr="004D491B">
        <w:rPr>
          <w:rFonts w:ascii="Arial" w:hAnsi="Arial" w:cs="Arial"/>
          <w:color w:val="auto"/>
          <w:sz w:val="22"/>
          <w:szCs w:val="22"/>
          <w:shd w:val="clear" w:color="auto" w:fill="FFFFFF"/>
        </w:rPr>
        <w:t xml:space="preserve"> </w:t>
      </w:r>
      <w:proofErr w:type="gramStart"/>
      <w:r w:rsidRPr="004D491B">
        <w:rPr>
          <w:rFonts w:ascii="Arial" w:hAnsi="Arial" w:cs="Arial"/>
          <w:color w:val="auto"/>
          <w:sz w:val="22"/>
          <w:szCs w:val="22"/>
          <w:shd w:val="clear" w:color="auto" w:fill="FFFFFF"/>
        </w:rPr>
        <w:t>readiness .</w:t>
      </w:r>
      <w:proofErr w:type="gramEnd"/>
      <w:r w:rsidRPr="004D491B">
        <w:rPr>
          <w:rFonts w:ascii="Arial" w:hAnsi="Arial" w:cs="Arial"/>
          <w:color w:val="auto"/>
          <w:sz w:val="22"/>
          <w:szCs w:val="22"/>
          <w:shd w:val="clear" w:color="auto" w:fill="FFFFFF"/>
        </w:rPr>
        <w:t xml:space="preserve"> A community paramedic service providing frailty assessments in the home could avoid unnecessary attendance at hospital. However, its adoption would depend on, professional acceptability, referral mechanisms, training and integration with primary and social care.</w:t>
      </w:r>
    </w:p>
    <w:p w14:paraId="4618D653" w14:textId="6210EBAB" w:rsidR="00A13610" w:rsidRPr="004D491B" w:rsidRDefault="00A13610" w:rsidP="004D491B">
      <w:pPr>
        <w:pStyle w:val="Heading3"/>
        <w:spacing w:line="360" w:lineRule="auto"/>
        <w:rPr>
          <w:rFonts w:ascii="Arial" w:hAnsi="Arial" w:cs="Arial"/>
          <w:color w:val="auto"/>
          <w:sz w:val="22"/>
          <w:szCs w:val="22"/>
        </w:rPr>
      </w:pPr>
      <w:r w:rsidRPr="004D491B">
        <w:rPr>
          <w:rFonts w:ascii="Arial" w:hAnsi="Arial" w:cs="Arial"/>
          <w:color w:val="auto"/>
          <w:sz w:val="22"/>
          <w:szCs w:val="22"/>
        </w:rPr>
        <w:t>Creativity</w:t>
      </w:r>
    </w:p>
    <w:p w14:paraId="413DD542" w14:textId="77777777" w:rsidR="004D491B" w:rsidRPr="004D491B" w:rsidRDefault="004D491B" w:rsidP="004D491B">
      <w:pPr>
        <w:pStyle w:val="Heading3"/>
        <w:spacing w:line="360" w:lineRule="auto"/>
        <w:rPr>
          <w:rFonts w:ascii="Arial" w:hAnsi="Arial" w:cs="Arial"/>
          <w:color w:val="auto"/>
          <w:sz w:val="22"/>
          <w:szCs w:val="22"/>
          <w:shd w:val="clear" w:color="auto" w:fill="FFFFFF"/>
        </w:rPr>
      </w:pPr>
      <w:r w:rsidRPr="004D491B">
        <w:rPr>
          <w:rFonts w:ascii="Arial" w:hAnsi="Arial" w:cs="Arial"/>
          <w:color w:val="auto"/>
          <w:sz w:val="22"/>
          <w:szCs w:val="22"/>
          <w:shd w:val="clear" w:color="auto" w:fill="FFFFFF"/>
        </w:rPr>
        <w:t xml:space="preserve">Creativity is the generation of ideas that are novel to the relevant environment, and potentially valuable for solving a problem. Boden (2004) identifies combinational, exploratory and transformative creativity. This concept is relevant as health practitioners are more likely to modify an existing expertise than create a new service from scratch. Staff can use pictures, </w:t>
      </w:r>
      <w:proofErr w:type="spellStart"/>
      <w:r w:rsidRPr="004D491B">
        <w:rPr>
          <w:rFonts w:ascii="Arial" w:hAnsi="Arial" w:cs="Arial"/>
          <w:color w:val="auto"/>
          <w:sz w:val="22"/>
          <w:szCs w:val="22"/>
          <w:shd w:val="clear" w:color="auto" w:fill="FFFFFF"/>
        </w:rPr>
        <w:t>colour</w:t>
      </w:r>
      <w:proofErr w:type="spellEnd"/>
      <w:r w:rsidRPr="004D491B">
        <w:rPr>
          <w:rFonts w:ascii="Arial" w:hAnsi="Arial" w:cs="Arial"/>
          <w:color w:val="auto"/>
          <w:sz w:val="22"/>
          <w:szCs w:val="22"/>
          <w:shd w:val="clear" w:color="auto" w:fill="FFFFFF"/>
        </w:rPr>
        <w:t xml:space="preserve"> coding and simplified pain scales to aid adults with learning difficulties to communicate pain. However, a creative proposal should be checked out with service users as professional ideas regarding accessibility may not reflect actual experience.</w:t>
      </w:r>
    </w:p>
    <w:p w14:paraId="40FF7A39" w14:textId="77777777" w:rsidR="004D491B" w:rsidRDefault="00A13610" w:rsidP="004D491B">
      <w:pPr>
        <w:pStyle w:val="Heading3"/>
        <w:spacing w:line="360" w:lineRule="auto"/>
        <w:rPr>
          <w:rFonts w:ascii="Arial" w:hAnsi="Arial" w:cs="Arial"/>
          <w:color w:val="auto"/>
          <w:sz w:val="22"/>
          <w:szCs w:val="22"/>
        </w:rPr>
      </w:pPr>
      <w:r w:rsidRPr="004D491B">
        <w:rPr>
          <w:rFonts w:ascii="Arial" w:hAnsi="Arial" w:cs="Arial"/>
          <w:color w:val="auto"/>
          <w:sz w:val="22"/>
          <w:szCs w:val="22"/>
        </w:rPr>
        <w:t xml:space="preserve">Value </w:t>
      </w:r>
      <w:proofErr w:type="spellStart"/>
      <w:r w:rsidRPr="004D491B">
        <w:rPr>
          <w:rFonts w:ascii="Arial" w:hAnsi="Arial" w:cs="Arial"/>
          <w:color w:val="auto"/>
          <w:sz w:val="22"/>
          <w:szCs w:val="22"/>
        </w:rPr>
        <w:t>Creation</w:t>
      </w:r>
      <w:proofErr w:type="spellEnd"/>
    </w:p>
    <w:p w14:paraId="4C565449" w14:textId="77777777" w:rsidR="004D491B" w:rsidRDefault="004D491B" w:rsidP="004D491B">
      <w:pPr>
        <w:pStyle w:val="Heading3"/>
        <w:spacing w:line="360" w:lineRule="auto"/>
        <w:rPr>
          <w:rFonts w:ascii="Arial" w:hAnsi="Arial" w:cs="Arial"/>
          <w:color w:val="auto"/>
          <w:sz w:val="22"/>
          <w:szCs w:val="22"/>
          <w:shd w:val="clear" w:color="auto" w:fill="FFFFFF"/>
        </w:rPr>
      </w:pPr>
      <w:r w:rsidRPr="004D491B">
        <w:rPr>
          <w:rFonts w:ascii="Arial" w:hAnsi="Arial" w:cs="Arial"/>
          <w:color w:val="auto"/>
          <w:sz w:val="22"/>
          <w:szCs w:val="22"/>
          <w:shd w:val="clear" w:color="auto" w:fill="FFFFFF"/>
        </w:rPr>
        <w:t>Value creation is the value created for patients compared to the resources necessary to create the value. Porter (2010) defines healthcare value in terms of outcomes accomplished across the full treatment pathway relative to cost.</w:t>
      </w:r>
    </w:p>
    <w:p w14:paraId="41FD4CFC" w14:textId="2400C370" w:rsidR="004D491B" w:rsidRPr="004D491B" w:rsidRDefault="004D491B" w:rsidP="004D491B">
      <w:pPr>
        <w:pStyle w:val="Heading3"/>
        <w:spacing w:line="360" w:lineRule="auto"/>
        <w:rPr>
          <w:rFonts w:ascii="Arial" w:hAnsi="Arial" w:cs="Arial"/>
          <w:color w:val="auto"/>
          <w:sz w:val="22"/>
          <w:szCs w:val="22"/>
        </w:rPr>
      </w:pPr>
      <w:r w:rsidRPr="004D491B">
        <w:rPr>
          <w:rFonts w:ascii="Arial" w:hAnsi="Arial" w:cs="Arial"/>
          <w:color w:val="auto"/>
          <w:sz w:val="22"/>
          <w:szCs w:val="22"/>
          <w:shd w:val="clear" w:color="auto" w:fill="FFFFFF"/>
        </w:rPr>
        <w:lastRenderedPageBreak/>
        <w:t xml:space="preserve"> A one-stop cataract assessment service could provide value by minimizing individual appointments, travel and administrative duplication, while maintaining therapeutic outcomes. But efficiency should not be the exclusive measure of worth. Service users may value dignity, independence, reassurance and equitable access but they are difficult to evaluate in financial terms.</w:t>
      </w:r>
    </w:p>
    <w:p w14:paraId="476FD051" w14:textId="0C916C88" w:rsidR="00A13610" w:rsidRPr="004D491B" w:rsidRDefault="00A13610" w:rsidP="004D491B">
      <w:pPr>
        <w:pStyle w:val="Heading3"/>
        <w:spacing w:line="360" w:lineRule="auto"/>
        <w:rPr>
          <w:rFonts w:ascii="Arial" w:hAnsi="Arial" w:cs="Arial"/>
          <w:color w:val="auto"/>
          <w:sz w:val="22"/>
          <w:szCs w:val="22"/>
        </w:rPr>
      </w:pPr>
      <w:r w:rsidRPr="004D491B">
        <w:rPr>
          <w:rFonts w:ascii="Arial" w:hAnsi="Arial" w:cs="Arial"/>
          <w:color w:val="auto"/>
          <w:sz w:val="22"/>
          <w:szCs w:val="22"/>
        </w:rPr>
        <w:t>Change</w:t>
      </w:r>
    </w:p>
    <w:p w14:paraId="6234B759" w14:textId="537E6DF1" w:rsidR="00A13610" w:rsidRPr="004D491B" w:rsidRDefault="004D491B" w:rsidP="004D491B">
      <w:pPr>
        <w:spacing w:line="360" w:lineRule="auto"/>
        <w:rPr>
          <w:rFonts w:ascii="Arial" w:hAnsi="Arial" w:cs="Arial"/>
        </w:rPr>
      </w:pPr>
      <w:r w:rsidRPr="004D491B">
        <w:rPr>
          <w:rFonts w:ascii="Arial" w:hAnsi="Arial" w:cs="Arial"/>
          <w:shd w:val="clear" w:color="auto" w:fill="FFFFFF"/>
        </w:rPr>
        <w:t xml:space="preserve">Change is the process of modifying existing </w:t>
      </w:r>
      <w:proofErr w:type="spellStart"/>
      <w:r w:rsidRPr="004D491B">
        <w:rPr>
          <w:rFonts w:ascii="Arial" w:hAnsi="Arial" w:cs="Arial"/>
          <w:shd w:val="clear" w:color="auto" w:fill="FFFFFF"/>
        </w:rPr>
        <w:t>behaviours</w:t>
      </w:r>
      <w:proofErr w:type="spellEnd"/>
      <w:r w:rsidRPr="004D491B">
        <w:rPr>
          <w:rFonts w:ascii="Arial" w:hAnsi="Arial" w:cs="Arial"/>
          <w:shd w:val="clear" w:color="auto" w:fill="FFFFFF"/>
        </w:rPr>
        <w:t>, structures or routines. Lewin (1947) described change as the disturbance of an existing equilibrium, movement towards new practice and the establishment of the new way of doing things. For example, a care facility offering protected mealtimes could initially illustrate nutritional hazards, sample uninterrupted meals and then embed the practice through policy and monitoring. While the model provides clarity, its tiered interpretation may be too simplistic for healthcare systems where goals, personnel and evidence are always changing. Therefore, change must be based on continuous feedback, not on the assumption that practice can be permanently “refrozen”.</w:t>
      </w:r>
    </w:p>
    <w:p w14:paraId="56E5A679" w14:textId="433043BA" w:rsidR="00A13610" w:rsidRPr="004D491B" w:rsidRDefault="00A13610" w:rsidP="004D491B">
      <w:pPr>
        <w:spacing w:line="360" w:lineRule="auto"/>
        <w:rPr>
          <w:rFonts w:ascii="Arial" w:hAnsi="Arial" w:cs="Arial"/>
        </w:rPr>
      </w:pPr>
    </w:p>
    <w:p w14:paraId="15B6785F" w14:textId="667EDEAC" w:rsidR="00A13610" w:rsidRPr="004D491B" w:rsidRDefault="00A13610" w:rsidP="004D491B">
      <w:pPr>
        <w:pStyle w:val="Heading2"/>
        <w:spacing w:line="360" w:lineRule="auto"/>
        <w:rPr>
          <w:rFonts w:ascii="Arial" w:hAnsi="Arial" w:cs="Arial"/>
          <w:b/>
          <w:bCs/>
          <w:color w:val="auto"/>
          <w:sz w:val="22"/>
          <w:szCs w:val="22"/>
        </w:rPr>
      </w:pPr>
      <w:r w:rsidRPr="004D491B">
        <w:rPr>
          <w:rFonts w:ascii="Arial" w:hAnsi="Arial" w:cs="Arial"/>
          <w:b/>
          <w:bCs/>
          <w:color w:val="auto"/>
          <w:sz w:val="22"/>
          <w:szCs w:val="22"/>
        </w:rPr>
        <w:t>Task 2: Mind Map – Social Isolation Among Older Adults</w:t>
      </w:r>
    </w:p>
    <w:p w14:paraId="2C316891" w14:textId="004DE4F8" w:rsidR="00A13610" w:rsidRPr="004D491B" w:rsidRDefault="00A13610" w:rsidP="004D491B">
      <w:pPr>
        <w:spacing w:line="360" w:lineRule="auto"/>
        <w:rPr>
          <w:rFonts w:ascii="Arial" w:hAnsi="Arial" w:cs="Arial"/>
        </w:rPr>
      </w:pPr>
      <w:r w:rsidRPr="004D491B">
        <w:rPr>
          <w:rFonts w:ascii="Arial" w:hAnsi="Arial" w:cs="Arial"/>
        </w:rPr>
        <w:drawing>
          <wp:inline distT="0" distB="0" distL="0" distR="0" wp14:anchorId="4755B2C5" wp14:editId="21D8E5CE">
            <wp:extent cx="5731510" cy="38011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01110"/>
                    </a:xfrm>
                    <a:prstGeom prst="rect">
                      <a:avLst/>
                    </a:prstGeom>
                  </pic:spPr>
                </pic:pic>
              </a:graphicData>
            </a:graphic>
          </wp:inline>
        </w:drawing>
      </w:r>
    </w:p>
    <w:p w14:paraId="19EDC0D6" w14:textId="2C4134DE" w:rsidR="004D491B" w:rsidRPr="004D491B" w:rsidRDefault="004D491B" w:rsidP="004D491B">
      <w:pPr>
        <w:pStyle w:val="Heading2"/>
        <w:spacing w:line="360" w:lineRule="auto"/>
        <w:rPr>
          <w:rFonts w:ascii="Arial" w:hAnsi="Arial" w:cs="Arial"/>
          <w:color w:val="auto"/>
          <w:sz w:val="22"/>
          <w:szCs w:val="22"/>
          <w:shd w:val="clear" w:color="auto" w:fill="FFFFFF"/>
        </w:rPr>
      </w:pPr>
      <w:r w:rsidRPr="004D491B">
        <w:rPr>
          <w:rFonts w:ascii="Arial" w:hAnsi="Arial" w:cs="Arial"/>
          <w:color w:val="auto"/>
          <w:sz w:val="22"/>
          <w:szCs w:val="22"/>
          <w:shd w:val="clear" w:color="auto" w:fill="FFFFFF"/>
        </w:rPr>
        <w:lastRenderedPageBreak/>
        <w:t xml:space="preserve">“Older adults’ social isolation is not just a matter of individual choices. The Social Ecological Model (McLeroy et al., 1988) demonstrates the influence of multiple levels of influence on health including individual, interpersonal, </w:t>
      </w:r>
      <w:proofErr w:type="spellStart"/>
      <w:r w:rsidRPr="004D491B">
        <w:rPr>
          <w:rFonts w:ascii="Arial" w:hAnsi="Arial" w:cs="Arial"/>
          <w:color w:val="auto"/>
          <w:sz w:val="22"/>
          <w:szCs w:val="22"/>
          <w:shd w:val="clear" w:color="auto" w:fill="FFFFFF"/>
        </w:rPr>
        <w:t>organisational</w:t>
      </w:r>
      <w:proofErr w:type="spellEnd"/>
      <w:r w:rsidRPr="004D491B">
        <w:rPr>
          <w:rFonts w:ascii="Arial" w:hAnsi="Arial" w:cs="Arial"/>
          <w:color w:val="auto"/>
          <w:sz w:val="22"/>
          <w:szCs w:val="22"/>
          <w:shd w:val="clear" w:color="auto" w:fill="FFFFFF"/>
        </w:rPr>
        <w:t xml:space="preserve">, community and policy. For </w:t>
      </w:r>
      <w:proofErr w:type="gramStart"/>
      <w:r w:rsidRPr="004D491B">
        <w:rPr>
          <w:rFonts w:ascii="Arial" w:hAnsi="Arial" w:cs="Arial"/>
          <w:color w:val="auto"/>
          <w:sz w:val="22"/>
          <w:szCs w:val="22"/>
          <w:shd w:val="clear" w:color="auto" w:fill="FFFFFF"/>
        </w:rPr>
        <w:t>example</w:t>
      </w:r>
      <w:proofErr w:type="gramEnd"/>
      <w:r w:rsidRPr="004D491B">
        <w:rPr>
          <w:rFonts w:ascii="Arial" w:hAnsi="Arial" w:cs="Arial"/>
          <w:color w:val="auto"/>
          <w:sz w:val="22"/>
          <w:szCs w:val="22"/>
          <w:shd w:val="clear" w:color="auto" w:fill="FFFFFF"/>
        </w:rPr>
        <w:t xml:space="preserve"> an older person may want to join a community organization but be isolated due to mobility problems, lack of transport and inaccessible amenities. Isolation can cause depression reducing levels of physical activity and poorer management of long-term diseases. It is also linked to a higher risk of mortality, although observational evidence cannot indicate that isolation alone causes every unfavorable result (Holt-</w:t>
      </w:r>
      <w:proofErr w:type="spellStart"/>
      <w:r w:rsidRPr="004D491B">
        <w:rPr>
          <w:rFonts w:ascii="Arial" w:hAnsi="Arial" w:cs="Arial"/>
          <w:color w:val="auto"/>
          <w:sz w:val="22"/>
          <w:szCs w:val="22"/>
          <w:shd w:val="clear" w:color="auto" w:fill="FFFFFF"/>
        </w:rPr>
        <w:t>Lunstad</w:t>
      </w:r>
      <w:proofErr w:type="spellEnd"/>
      <w:r w:rsidRPr="004D491B">
        <w:rPr>
          <w:rFonts w:ascii="Arial" w:hAnsi="Arial" w:cs="Arial"/>
          <w:color w:val="auto"/>
          <w:sz w:val="22"/>
          <w:szCs w:val="22"/>
          <w:shd w:val="clear" w:color="auto" w:fill="FFFFFF"/>
        </w:rPr>
        <w:t xml:space="preserve"> et al., 2015). </w:t>
      </w:r>
      <w:proofErr w:type="gramStart"/>
      <w:r w:rsidRPr="004D491B">
        <w:rPr>
          <w:rFonts w:ascii="Arial" w:hAnsi="Arial" w:cs="Arial"/>
          <w:color w:val="auto"/>
          <w:sz w:val="22"/>
          <w:szCs w:val="22"/>
          <w:shd w:val="clear" w:color="auto" w:fill="FFFFFF"/>
        </w:rPr>
        <w:t>Thus</w:t>
      </w:r>
      <w:proofErr w:type="gramEnd"/>
      <w:r w:rsidRPr="004D491B">
        <w:rPr>
          <w:rFonts w:ascii="Arial" w:hAnsi="Arial" w:cs="Arial"/>
          <w:color w:val="auto"/>
          <w:sz w:val="22"/>
          <w:szCs w:val="22"/>
          <w:shd w:val="clear" w:color="auto" w:fill="FFFFFF"/>
        </w:rPr>
        <w:t xml:space="preserve"> effective intervention involves more than buddy </w:t>
      </w:r>
      <w:proofErr w:type="spellStart"/>
      <w:r w:rsidRPr="004D491B">
        <w:rPr>
          <w:rFonts w:ascii="Arial" w:hAnsi="Arial" w:cs="Arial"/>
          <w:color w:val="auto"/>
          <w:sz w:val="22"/>
          <w:szCs w:val="22"/>
          <w:shd w:val="clear" w:color="auto" w:fill="FFFFFF"/>
        </w:rPr>
        <w:t>programmes</w:t>
      </w:r>
      <w:proofErr w:type="spellEnd"/>
      <w:r w:rsidRPr="004D491B">
        <w:rPr>
          <w:rFonts w:ascii="Arial" w:hAnsi="Arial" w:cs="Arial"/>
          <w:color w:val="auto"/>
          <w:sz w:val="22"/>
          <w:szCs w:val="22"/>
          <w:shd w:val="clear" w:color="auto" w:fill="FFFFFF"/>
        </w:rPr>
        <w:t xml:space="preserve">. Practitioners should identify individual </w:t>
      </w:r>
      <w:proofErr w:type="gramStart"/>
      <w:r w:rsidRPr="004D491B">
        <w:rPr>
          <w:rFonts w:ascii="Arial" w:hAnsi="Arial" w:cs="Arial"/>
          <w:color w:val="auto"/>
          <w:sz w:val="22"/>
          <w:szCs w:val="22"/>
          <w:shd w:val="clear" w:color="auto" w:fill="FFFFFF"/>
        </w:rPr>
        <w:t>needs,</w:t>
      </w:r>
      <w:proofErr w:type="gramEnd"/>
      <w:r w:rsidRPr="004D491B">
        <w:rPr>
          <w:rFonts w:ascii="Arial" w:hAnsi="Arial" w:cs="Arial"/>
          <w:color w:val="auto"/>
          <w:sz w:val="22"/>
          <w:szCs w:val="22"/>
          <w:shd w:val="clear" w:color="auto" w:fill="FFFFFF"/>
        </w:rPr>
        <w:t xml:space="preserve"> </w:t>
      </w:r>
      <w:proofErr w:type="spellStart"/>
      <w:r w:rsidRPr="004D491B">
        <w:rPr>
          <w:rFonts w:ascii="Arial" w:hAnsi="Arial" w:cs="Arial"/>
          <w:color w:val="auto"/>
          <w:sz w:val="22"/>
          <w:szCs w:val="22"/>
          <w:shd w:val="clear" w:color="auto" w:fill="FFFFFF"/>
        </w:rPr>
        <w:t>organisations</w:t>
      </w:r>
      <w:proofErr w:type="spellEnd"/>
      <w:r w:rsidRPr="004D491B">
        <w:rPr>
          <w:rFonts w:ascii="Arial" w:hAnsi="Arial" w:cs="Arial"/>
          <w:color w:val="auto"/>
          <w:sz w:val="22"/>
          <w:szCs w:val="22"/>
          <w:shd w:val="clear" w:color="auto" w:fill="FFFFFF"/>
        </w:rPr>
        <w:t xml:space="preserve"> could increase referrals and communities should provide accessible transit and inclusive activities. Outcomes should assess relationship quality and continued participation, not just attendance.</w:t>
      </w:r>
    </w:p>
    <w:p w14:paraId="79EC5E75" w14:textId="7BF0B885" w:rsidR="004D491B" w:rsidRPr="004D491B" w:rsidRDefault="00A8215F" w:rsidP="004D491B">
      <w:pPr>
        <w:pStyle w:val="Heading2"/>
        <w:spacing w:line="360" w:lineRule="auto"/>
        <w:rPr>
          <w:rFonts w:ascii="Arial" w:hAnsi="Arial" w:cs="Arial"/>
          <w:b/>
          <w:bCs/>
          <w:color w:val="auto"/>
          <w:sz w:val="22"/>
          <w:szCs w:val="22"/>
        </w:rPr>
      </w:pPr>
      <w:r w:rsidRPr="004D491B">
        <w:rPr>
          <w:rFonts w:ascii="Arial" w:hAnsi="Arial" w:cs="Arial"/>
          <w:b/>
          <w:bCs/>
          <w:color w:val="auto"/>
          <w:sz w:val="22"/>
          <w:szCs w:val="22"/>
        </w:rPr>
        <w:t>Task 3: Reflection on the Group Activity</w:t>
      </w:r>
    </w:p>
    <w:p w14:paraId="56772532" w14:textId="5C95F7EC" w:rsidR="004D491B" w:rsidRDefault="004D491B" w:rsidP="004D491B">
      <w:pPr>
        <w:pStyle w:val="Heading2"/>
        <w:spacing w:line="360" w:lineRule="auto"/>
        <w:rPr>
          <w:rFonts w:ascii="Arial" w:hAnsi="Arial" w:cs="Arial"/>
          <w:color w:val="auto"/>
          <w:sz w:val="22"/>
          <w:szCs w:val="22"/>
          <w:shd w:val="clear" w:color="auto" w:fill="FFFFFF"/>
        </w:rPr>
      </w:pPr>
      <w:r w:rsidRPr="004D491B">
        <w:rPr>
          <w:rFonts w:ascii="Arial" w:hAnsi="Arial" w:cs="Arial"/>
          <w:color w:val="auto"/>
          <w:sz w:val="22"/>
          <w:szCs w:val="22"/>
          <w:shd w:val="clear" w:color="auto" w:fill="FFFFFF"/>
        </w:rPr>
        <w:t xml:space="preserve">In a </w:t>
      </w:r>
      <w:proofErr w:type="gramStart"/>
      <w:r w:rsidRPr="004D491B">
        <w:rPr>
          <w:rFonts w:ascii="Arial" w:hAnsi="Arial" w:cs="Arial"/>
          <w:color w:val="auto"/>
          <w:sz w:val="22"/>
          <w:szCs w:val="22"/>
          <w:shd w:val="clear" w:color="auto" w:fill="FFFFFF"/>
        </w:rPr>
        <w:t>15 minute</w:t>
      </w:r>
      <w:proofErr w:type="gramEnd"/>
      <w:r w:rsidRPr="004D491B">
        <w:rPr>
          <w:rFonts w:ascii="Arial" w:hAnsi="Arial" w:cs="Arial"/>
          <w:color w:val="auto"/>
          <w:sz w:val="22"/>
          <w:szCs w:val="22"/>
          <w:shd w:val="clear" w:color="auto" w:fill="FFFFFF"/>
        </w:rPr>
        <w:t xml:space="preserve"> classroom debate the group examined the question of whether innovation always improves health and social care. My early contribution was on the potential of innovation to promote freedom, notably through assistive technology and redesign of community services. But other students say badly handled innovation could lose human interaction, increase prices or exclude people that are not digitally skilled. The conversation thus was one of divergent thinking (where ideas are formed) to convergent thinking (where the group judged which arguments were most compelling).</w:t>
      </w:r>
      <w:r w:rsidRPr="004D491B">
        <w:rPr>
          <w:rFonts w:ascii="Arial" w:hAnsi="Arial" w:cs="Arial"/>
          <w:color w:val="auto"/>
          <w:sz w:val="22"/>
          <w:szCs w:val="22"/>
          <w:shd w:val="clear" w:color="auto" w:fill="FFFFFF"/>
        </w:rPr>
        <w:br/>
        <w:t xml:space="preserve">A valuable structure for </w:t>
      </w:r>
      <w:proofErr w:type="spellStart"/>
      <w:r w:rsidRPr="004D491B">
        <w:rPr>
          <w:rFonts w:ascii="Arial" w:hAnsi="Arial" w:cs="Arial"/>
          <w:color w:val="auto"/>
          <w:sz w:val="22"/>
          <w:szCs w:val="22"/>
          <w:shd w:val="clear" w:color="auto" w:fill="FFFFFF"/>
        </w:rPr>
        <w:t>analysing</w:t>
      </w:r>
      <w:proofErr w:type="spellEnd"/>
      <w:r w:rsidRPr="004D491B">
        <w:rPr>
          <w:rFonts w:ascii="Arial" w:hAnsi="Arial" w:cs="Arial"/>
          <w:color w:val="auto"/>
          <w:sz w:val="22"/>
          <w:szCs w:val="22"/>
          <w:shd w:val="clear" w:color="auto" w:fill="FFFFFF"/>
        </w:rPr>
        <w:t xml:space="preserve"> this activity can be provided by Kolb’s Experiential Learning Cycle (Kolb, 1984). The dispute was the concreteness. During the reflective observation I found that my initial preconception was that innovation was always a good thing. Abstract </w:t>
      </w:r>
      <w:proofErr w:type="spellStart"/>
      <w:r w:rsidRPr="004D491B">
        <w:rPr>
          <w:rFonts w:ascii="Arial" w:hAnsi="Arial" w:cs="Arial"/>
          <w:color w:val="auto"/>
          <w:sz w:val="22"/>
          <w:szCs w:val="22"/>
          <w:shd w:val="clear" w:color="auto" w:fill="FFFFFF"/>
        </w:rPr>
        <w:t>conceptualisation</w:t>
      </w:r>
      <w:proofErr w:type="spellEnd"/>
      <w:r w:rsidRPr="004D491B">
        <w:rPr>
          <w:rFonts w:ascii="Arial" w:hAnsi="Arial" w:cs="Arial"/>
          <w:color w:val="auto"/>
          <w:sz w:val="22"/>
          <w:szCs w:val="22"/>
          <w:shd w:val="clear" w:color="auto" w:fill="FFFFFF"/>
        </w:rPr>
        <w:t xml:space="preserve"> helped me to grasp that innovation is only an improvement if it answers to user demands and is supported by suitable evidence, training and resources. Active experimentation is about how this learning will influence my future </w:t>
      </w:r>
      <w:proofErr w:type="spellStart"/>
      <w:r w:rsidRPr="004D491B">
        <w:rPr>
          <w:rFonts w:ascii="Arial" w:hAnsi="Arial" w:cs="Arial"/>
          <w:color w:val="auto"/>
          <w:sz w:val="22"/>
          <w:szCs w:val="22"/>
          <w:shd w:val="clear" w:color="auto" w:fill="FFFFFF"/>
        </w:rPr>
        <w:t>behaviour</w:t>
      </w:r>
      <w:proofErr w:type="spellEnd"/>
      <w:r w:rsidRPr="004D491B">
        <w:rPr>
          <w:rFonts w:ascii="Arial" w:hAnsi="Arial" w:cs="Arial"/>
          <w:color w:val="auto"/>
          <w:sz w:val="22"/>
          <w:szCs w:val="22"/>
          <w:shd w:val="clear" w:color="auto" w:fill="FFFFFF"/>
        </w:rPr>
        <w:t>.</w:t>
      </w:r>
      <w:r w:rsidRPr="004D491B">
        <w:rPr>
          <w:rFonts w:ascii="Arial" w:hAnsi="Arial" w:cs="Arial"/>
          <w:color w:val="auto"/>
          <w:sz w:val="22"/>
          <w:szCs w:val="22"/>
          <w:shd w:val="clear" w:color="auto" w:fill="FFFFFF"/>
        </w:rPr>
        <w:br/>
        <w:t xml:space="preserve">In my work I wouldn't want to change something just because it looks modern. I would ask about the impact on safety, equity, workload and service-user choice. If I were to do the activity </w:t>
      </w:r>
      <w:proofErr w:type="gramStart"/>
      <w:r w:rsidRPr="004D491B">
        <w:rPr>
          <w:rFonts w:ascii="Arial" w:hAnsi="Arial" w:cs="Arial"/>
          <w:color w:val="auto"/>
          <w:sz w:val="22"/>
          <w:szCs w:val="22"/>
          <w:shd w:val="clear" w:color="auto" w:fill="FFFFFF"/>
        </w:rPr>
        <w:t>again</w:t>
      </w:r>
      <w:proofErr w:type="gramEnd"/>
      <w:r w:rsidRPr="004D491B">
        <w:rPr>
          <w:rFonts w:ascii="Arial" w:hAnsi="Arial" w:cs="Arial"/>
          <w:color w:val="auto"/>
          <w:sz w:val="22"/>
          <w:szCs w:val="22"/>
          <w:shd w:val="clear" w:color="auto" w:fill="FFFFFF"/>
        </w:rPr>
        <w:t xml:space="preserve"> I would let each participant to speak before having open discussion and separate idea generation and evaluation. </w:t>
      </w:r>
    </w:p>
    <w:p w14:paraId="2C62DA42" w14:textId="77777777" w:rsidR="004D491B" w:rsidRPr="004D491B" w:rsidRDefault="004D491B" w:rsidP="004D491B"/>
    <w:p w14:paraId="2BF78247" w14:textId="3898BC28" w:rsidR="00A8215F" w:rsidRPr="004D491B" w:rsidRDefault="00A8215F" w:rsidP="004D491B">
      <w:pPr>
        <w:pStyle w:val="Heading2"/>
        <w:spacing w:line="360" w:lineRule="auto"/>
        <w:rPr>
          <w:rFonts w:ascii="Arial" w:hAnsi="Arial" w:cs="Arial"/>
          <w:b/>
          <w:bCs/>
          <w:color w:val="auto"/>
          <w:sz w:val="22"/>
          <w:szCs w:val="22"/>
        </w:rPr>
      </w:pPr>
      <w:r w:rsidRPr="004D491B">
        <w:rPr>
          <w:rFonts w:ascii="Arial" w:hAnsi="Arial" w:cs="Arial"/>
          <w:b/>
          <w:bCs/>
          <w:color w:val="auto"/>
          <w:sz w:val="22"/>
          <w:szCs w:val="22"/>
        </w:rPr>
        <w:t>Task 4: NHS Innovation – Social Prescribing</w:t>
      </w:r>
    </w:p>
    <w:p w14:paraId="6591E64B" w14:textId="3156111C" w:rsidR="004D491B" w:rsidRDefault="004D491B" w:rsidP="004D491B">
      <w:pPr>
        <w:spacing w:line="360" w:lineRule="auto"/>
        <w:rPr>
          <w:rFonts w:ascii="Arial" w:hAnsi="Arial" w:cs="Arial"/>
          <w:shd w:val="clear" w:color="auto" w:fill="FFFFFF"/>
        </w:rPr>
      </w:pPr>
      <w:r w:rsidRPr="004D491B">
        <w:rPr>
          <w:rFonts w:ascii="Arial" w:hAnsi="Arial" w:cs="Arial"/>
          <w:shd w:val="clear" w:color="auto" w:fill="FFFFFF"/>
        </w:rPr>
        <w:t xml:space="preserve">Social prescribing is an innovation in NHS services which allows healthcare professionals to refer people to non-clinical support in the community. A link worker finds out about the individual’s priorities and links them with services such as fitness groups, welfare assistance, </w:t>
      </w:r>
      <w:r w:rsidRPr="004D491B">
        <w:rPr>
          <w:rFonts w:ascii="Arial" w:hAnsi="Arial" w:cs="Arial"/>
          <w:shd w:val="clear" w:color="auto" w:fill="FFFFFF"/>
        </w:rPr>
        <w:lastRenderedPageBreak/>
        <w:t>volunteering, artistic activities or grief support. It is a response to the understanding that loneliness, financial insecurity and inadequate housing can impair health, but cannot always be remedied by medication or regular consultations.</w:t>
      </w:r>
      <w:r w:rsidRPr="004D491B">
        <w:rPr>
          <w:rFonts w:ascii="Arial" w:hAnsi="Arial" w:cs="Arial"/>
          <w:shd w:val="clear" w:color="auto" w:fill="FFFFFF"/>
        </w:rPr>
        <w:br/>
        <w:t xml:space="preserve">Its originality is in broadening the notion of care beyond clinical treatment and in </w:t>
      </w:r>
      <w:proofErr w:type="spellStart"/>
      <w:r w:rsidRPr="004D491B">
        <w:rPr>
          <w:rFonts w:ascii="Arial" w:hAnsi="Arial" w:cs="Arial"/>
          <w:shd w:val="clear" w:color="auto" w:fill="FFFFFF"/>
        </w:rPr>
        <w:t>utilising</w:t>
      </w:r>
      <w:proofErr w:type="spellEnd"/>
      <w:r w:rsidRPr="004D491B">
        <w:rPr>
          <w:rFonts w:ascii="Arial" w:hAnsi="Arial" w:cs="Arial"/>
          <w:shd w:val="clear" w:color="auto" w:fill="FFFFFF"/>
        </w:rPr>
        <w:t xml:space="preserve"> existing community assets as part of a tailored support pathway. Potential benefits included enhanced wellness, more confidence and reduced dependence on the general practice. But the data isn’t as clear-cut as the policy enthusiasm would suggest. </w:t>
      </w:r>
      <w:proofErr w:type="spellStart"/>
      <w:r w:rsidRPr="004D491B">
        <w:rPr>
          <w:rFonts w:ascii="Arial" w:hAnsi="Arial" w:cs="Arial"/>
          <w:shd w:val="clear" w:color="auto" w:fill="FFFFFF"/>
        </w:rPr>
        <w:t>Bickerdike</w:t>
      </w:r>
      <w:proofErr w:type="spellEnd"/>
      <w:r w:rsidRPr="004D491B">
        <w:rPr>
          <w:rFonts w:ascii="Arial" w:hAnsi="Arial" w:cs="Arial"/>
          <w:shd w:val="clear" w:color="auto" w:fill="FFFFFF"/>
        </w:rPr>
        <w:t xml:space="preserve"> and colleagues (2017) reported positive findings but noted that many of the studies were small, uncontrolled and inconsistently reported, making it difficult to draw clear conclusions about effectiveness and cost reduction.</w:t>
      </w:r>
      <w:r w:rsidRPr="004D491B">
        <w:rPr>
          <w:rFonts w:ascii="Arial" w:hAnsi="Arial" w:cs="Arial"/>
          <w:shd w:val="clear" w:color="auto" w:fill="FFFFFF"/>
        </w:rPr>
        <w:br/>
        <w:t xml:space="preserve">A comprehensive evaluation indicated that outcomes are dependent upon whether patients understand and trust the referral, and receive practical help to attend and discover activities relevant to their requirements (Husk et al., 2020). A reference alone is therefore useless. Social prescribing can also pass pressure on voluntary </w:t>
      </w:r>
      <w:proofErr w:type="spellStart"/>
      <w:r w:rsidRPr="004D491B">
        <w:rPr>
          <w:rFonts w:ascii="Arial" w:hAnsi="Arial" w:cs="Arial"/>
          <w:shd w:val="clear" w:color="auto" w:fill="FFFFFF"/>
        </w:rPr>
        <w:t>organisations</w:t>
      </w:r>
      <w:proofErr w:type="spellEnd"/>
      <w:r w:rsidRPr="004D491B">
        <w:rPr>
          <w:rFonts w:ascii="Arial" w:hAnsi="Arial" w:cs="Arial"/>
          <w:shd w:val="clear" w:color="auto" w:fill="FFFFFF"/>
        </w:rPr>
        <w:t xml:space="preserve"> without sustainable funding.</w:t>
      </w:r>
      <w:r w:rsidRPr="004D491B">
        <w:rPr>
          <w:rFonts w:ascii="Arial" w:hAnsi="Arial" w:cs="Arial"/>
          <w:shd w:val="clear" w:color="auto" w:fill="FFFFFF"/>
        </w:rPr>
        <w:br/>
        <w:t xml:space="preserve">So why do the same techniques have different </w:t>
      </w:r>
      <w:proofErr w:type="gramStart"/>
      <w:r w:rsidRPr="004D491B">
        <w:rPr>
          <w:rFonts w:ascii="Arial" w:hAnsi="Arial" w:cs="Arial"/>
          <w:shd w:val="clear" w:color="auto" w:fill="FFFFFF"/>
        </w:rPr>
        <w:t>results ?</w:t>
      </w:r>
      <w:proofErr w:type="gramEnd"/>
      <w:r w:rsidRPr="004D491B">
        <w:rPr>
          <w:rFonts w:ascii="Arial" w:hAnsi="Arial" w:cs="Arial"/>
          <w:shd w:val="clear" w:color="auto" w:fill="FFFFFF"/>
        </w:rPr>
        <w:t xml:space="preserve"> Complexity </w:t>
      </w:r>
      <w:proofErr w:type="gramStart"/>
      <w:r w:rsidRPr="004D491B">
        <w:rPr>
          <w:rFonts w:ascii="Arial" w:hAnsi="Arial" w:cs="Arial"/>
          <w:shd w:val="clear" w:color="auto" w:fill="FFFFFF"/>
        </w:rPr>
        <w:t>theory .</w:t>
      </w:r>
      <w:proofErr w:type="gramEnd"/>
      <w:r w:rsidRPr="004D491B">
        <w:rPr>
          <w:rFonts w:ascii="Arial" w:hAnsi="Arial" w:cs="Arial"/>
          <w:shd w:val="clear" w:color="auto" w:fill="FFFFFF"/>
        </w:rPr>
        <w:t xml:space="preserve"> Health outcomes are produced through interactions involving patients, link workers, primary care and community </w:t>
      </w:r>
      <w:proofErr w:type="spellStart"/>
      <w:r w:rsidRPr="004D491B">
        <w:rPr>
          <w:rFonts w:ascii="Arial" w:hAnsi="Arial" w:cs="Arial"/>
          <w:shd w:val="clear" w:color="auto" w:fill="FFFFFF"/>
        </w:rPr>
        <w:t>organisations</w:t>
      </w:r>
      <w:proofErr w:type="spellEnd"/>
      <w:r w:rsidRPr="004D491B">
        <w:rPr>
          <w:rFonts w:ascii="Arial" w:hAnsi="Arial" w:cs="Arial"/>
          <w:shd w:val="clear" w:color="auto" w:fill="FFFFFF"/>
        </w:rPr>
        <w:t>, not by a predetermined linear approach (</w:t>
      </w:r>
      <w:proofErr w:type="spellStart"/>
      <w:r w:rsidRPr="004D491B">
        <w:rPr>
          <w:rFonts w:ascii="Arial" w:hAnsi="Arial" w:cs="Arial"/>
          <w:shd w:val="clear" w:color="auto" w:fill="FFFFFF"/>
        </w:rPr>
        <w:t>Plsek</w:t>
      </w:r>
      <w:proofErr w:type="spellEnd"/>
      <w:r w:rsidRPr="004D491B">
        <w:rPr>
          <w:rFonts w:ascii="Arial" w:hAnsi="Arial" w:cs="Arial"/>
          <w:shd w:val="clear" w:color="auto" w:fill="FFFFFF"/>
        </w:rPr>
        <w:t xml:space="preserve"> and Greenhalgh, 2001).</w:t>
      </w:r>
    </w:p>
    <w:p w14:paraId="1728A812" w14:textId="77777777" w:rsidR="004D491B" w:rsidRDefault="004D491B" w:rsidP="004D491B">
      <w:pPr>
        <w:spacing w:line="360" w:lineRule="auto"/>
        <w:rPr>
          <w:rFonts w:ascii="Arial" w:hAnsi="Arial" w:cs="Arial"/>
          <w:shd w:val="clear" w:color="auto" w:fill="FFFFFF"/>
        </w:rPr>
      </w:pPr>
    </w:p>
    <w:p w14:paraId="410DD77A" w14:textId="77FAF549" w:rsidR="004D491B" w:rsidRDefault="00A8215F" w:rsidP="004D491B">
      <w:pPr>
        <w:spacing w:line="360" w:lineRule="auto"/>
        <w:rPr>
          <w:rFonts w:ascii="Arial" w:hAnsi="Arial" w:cs="Arial"/>
          <w:b/>
          <w:bCs/>
        </w:rPr>
      </w:pPr>
      <w:r w:rsidRPr="004D491B">
        <w:rPr>
          <w:rFonts w:ascii="Arial" w:hAnsi="Arial" w:cs="Arial"/>
          <w:b/>
          <w:bCs/>
        </w:rPr>
        <w:t>Task 5 – Medication Administration Errors</w:t>
      </w:r>
    </w:p>
    <w:p w14:paraId="71A0EEF2" w14:textId="77777777" w:rsidR="004D491B" w:rsidRPr="004D491B" w:rsidRDefault="004D491B" w:rsidP="004D491B">
      <w:pPr>
        <w:spacing w:line="360" w:lineRule="auto"/>
        <w:rPr>
          <w:rFonts w:ascii="Arial" w:hAnsi="Arial" w:cs="Arial"/>
          <w:b/>
          <w:bCs/>
        </w:rPr>
      </w:pPr>
    </w:p>
    <w:p w14:paraId="628DB2FE" w14:textId="4B10469A" w:rsidR="004D491B" w:rsidRPr="004D491B" w:rsidRDefault="004D491B" w:rsidP="004D491B">
      <w:pPr>
        <w:spacing w:line="360" w:lineRule="auto"/>
        <w:rPr>
          <w:rFonts w:ascii="Arial" w:hAnsi="Arial" w:cs="Arial"/>
        </w:rPr>
      </w:pPr>
      <w:r w:rsidRPr="004D491B">
        <w:rPr>
          <w:rFonts w:ascii="Arial" w:hAnsi="Arial" w:cs="Arial"/>
        </w:rPr>
        <w:t xml:space="preserve">Medication administration errors continue to be a major patient-safety problem because they can cause preventable injury, extend hospital stays and erode trust in healthcare services. In a systematic review </w:t>
      </w:r>
      <w:proofErr w:type="spellStart"/>
      <w:r w:rsidRPr="004D491B">
        <w:rPr>
          <w:rFonts w:ascii="Arial" w:hAnsi="Arial" w:cs="Arial"/>
        </w:rPr>
        <w:t>Keers</w:t>
      </w:r>
      <w:proofErr w:type="spellEnd"/>
      <w:r w:rsidRPr="004D491B">
        <w:rPr>
          <w:rFonts w:ascii="Arial" w:hAnsi="Arial" w:cs="Arial"/>
        </w:rPr>
        <w:t xml:space="preserve"> et al. (2013) discovered that errors rarely were the consequence of one individual activity. They were not related with interacting variables such as interruptions, high workload, poor communication, insufficient knowledge and inadequacies of pharmaceutical systems. This places the onus for pharmaceutical error on the </w:t>
      </w:r>
      <w:proofErr w:type="spellStart"/>
      <w:r w:rsidRPr="004D491B">
        <w:rPr>
          <w:rFonts w:ascii="Arial" w:hAnsi="Arial" w:cs="Arial"/>
        </w:rPr>
        <w:t>organisation</w:t>
      </w:r>
      <w:proofErr w:type="spellEnd"/>
      <w:r w:rsidRPr="004D491B">
        <w:rPr>
          <w:rFonts w:ascii="Arial" w:hAnsi="Arial" w:cs="Arial"/>
        </w:rPr>
        <w:t xml:space="preserve">, rather than the individual practitioner. </w:t>
      </w:r>
    </w:p>
    <w:p w14:paraId="5B665B1F" w14:textId="77777777" w:rsidR="004D491B" w:rsidRPr="004D491B" w:rsidRDefault="004D491B" w:rsidP="004D491B">
      <w:pPr>
        <w:pStyle w:val="Heading2"/>
        <w:spacing w:line="360" w:lineRule="auto"/>
        <w:rPr>
          <w:rFonts w:ascii="Arial" w:eastAsiaTheme="minorHAnsi" w:hAnsi="Arial" w:cs="Arial"/>
          <w:color w:val="auto"/>
          <w:sz w:val="22"/>
          <w:szCs w:val="22"/>
        </w:rPr>
      </w:pPr>
      <w:proofErr w:type="spellStart"/>
      <w:r w:rsidRPr="004D491B">
        <w:rPr>
          <w:rFonts w:ascii="Arial" w:eastAsiaTheme="minorHAnsi" w:hAnsi="Arial" w:cs="Arial"/>
          <w:color w:val="auto"/>
          <w:sz w:val="22"/>
          <w:szCs w:val="22"/>
        </w:rPr>
        <w:lastRenderedPageBreak/>
        <w:t>Härkänen</w:t>
      </w:r>
      <w:proofErr w:type="spellEnd"/>
      <w:r w:rsidRPr="004D491B">
        <w:rPr>
          <w:rFonts w:ascii="Arial" w:eastAsiaTheme="minorHAnsi" w:hAnsi="Arial" w:cs="Arial"/>
          <w:color w:val="auto"/>
          <w:sz w:val="22"/>
          <w:szCs w:val="22"/>
        </w:rPr>
        <w:t xml:space="preserve"> et al. (2015) also employed direct observation and medication-record reviews in four Finnish hospital wards. 22.2% of observed medicine administrations had at least one mistake. Their findings linked errors to medication-related, patient-related and working-environment characteristics, showing how risks grow throughout routine clinical practice. The two studies complement each other. Broader evidence across diverse settings is given by </w:t>
      </w:r>
      <w:proofErr w:type="spellStart"/>
      <w:r w:rsidRPr="004D491B">
        <w:rPr>
          <w:rFonts w:ascii="Arial" w:eastAsiaTheme="minorHAnsi" w:hAnsi="Arial" w:cs="Arial"/>
          <w:color w:val="auto"/>
          <w:sz w:val="22"/>
          <w:szCs w:val="22"/>
        </w:rPr>
        <w:t>Keers</w:t>
      </w:r>
      <w:proofErr w:type="spellEnd"/>
      <w:r w:rsidRPr="004D491B">
        <w:rPr>
          <w:rFonts w:ascii="Arial" w:eastAsiaTheme="minorHAnsi" w:hAnsi="Arial" w:cs="Arial"/>
          <w:color w:val="auto"/>
          <w:sz w:val="22"/>
          <w:szCs w:val="22"/>
        </w:rPr>
        <w:t xml:space="preserve"> et al. (2013), albeit variance between the included research precludes direct comparison. </w:t>
      </w:r>
    </w:p>
    <w:p w14:paraId="46086821" w14:textId="77777777" w:rsidR="004D491B" w:rsidRPr="004D491B" w:rsidRDefault="004D491B" w:rsidP="004D491B">
      <w:pPr>
        <w:pStyle w:val="Heading2"/>
        <w:spacing w:line="360" w:lineRule="auto"/>
        <w:rPr>
          <w:rFonts w:ascii="Arial" w:eastAsiaTheme="minorHAnsi" w:hAnsi="Arial" w:cs="Arial"/>
          <w:color w:val="auto"/>
          <w:sz w:val="22"/>
          <w:szCs w:val="22"/>
        </w:rPr>
      </w:pPr>
      <w:r w:rsidRPr="004D491B">
        <w:rPr>
          <w:rFonts w:ascii="Arial" w:eastAsiaTheme="minorHAnsi" w:hAnsi="Arial" w:cs="Arial"/>
          <w:color w:val="auto"/>
          <w:sz w:val="22"/>
          <w:szCs w:val="22"/>
        </w:rPr>
        <w:t xml:space="preserve">More thorough observational evidence is provided by </w:t>
      </w:r>
      <w:proofErr w:type="spellStart"/>
      <w:r w:rsidRPr="004D491B">
        <w:rPr>
          <w:rFonts w:ascii="Arial" w:eastAsiaTheme="minorHAnsi" w:hAnsi="Arial" w:cs="Arial"/>
          <w:color w:val="auto"/>
          <w:sz w:val="22"/>
          <w:szCs w:val="22"/>
        </w:rPr>
        <w:t>Härkänen</w:t>
      </w:r>
      <w:proofErr w:type="spellEnd"/>
      <w:r w:rsidRPr="004D491B">
        <w:rPr>
          <w:rFonts w:ascii="Arial" w:eastAsiaTheme="minorHAnsi" w:hAnsi="Arial" w:cs="Arial"/>
          <w:color w:val="auto"/>
          <w:sz w:val="22"/>
          <w:szCs w:val="22"/>
        </w:rPr>
        <w:t xml:space="preserve"> et al. (2015), which may detect errors that incident-reporting systems overlook, although their sample of a single hospital limits </w:t>
      </w:r>
      <w:proofErr w:type="spellStart"/>
      <w:r w:rsidRPr="004D491B">
        <w:rPr>
          <w:rFonts w:ascii="Arial" w:eastAsiaTheme="minorHAnsi" w:hAnsi="Arial" w:cs="Arial"/>
          <w:color w:val="auto"/>
          <w:sz w:val="22"/>
          <w:szCs w:val="22"/>
        </w:rPr>
        <w:t>generalisability</w:t>
      </w:r>
      <w:proofErr w:type="spellEnd"/>
      <w:r w:rsidRPr="004D491B">
        <w:rPr>
          <w:rFonts w:ascii="Arial" w:eastAsiaTheme="minorHAnsi" w:hAnsi="Arial" w:cs="Arial"/>
          <w:color w:val="auto"/>
          <w:sz w:val="22"/>
          <w:szCs w:val="22"/>
        </w:rPr>
        <w:t xml:space="preserve"> and observation may have impacted staff </w:t>
      </w:r>
      <w:proofErr w:type="spellStart"/>
      <w:r w:rsidRPr="004D491B">
        <w:rPr>
          <w:rFonts w:ascii="Arial" w:eastAsiaTheme="minorHAnsi" w:hAnsi="Arial" w:cs="Arial"/>
          <w:color w:val="auto"/>
          <w:sz w:val="22"/>
          <w:szCs w:val="22"/>
        </w:rPr>
        <w:t>behaviour</w:t>
      </w:r>
      <w:proofErr w:type="spellEnd"/>
      <w:r w:rsidRPr="004D491B">
        <w:rPr>
          <w:rFonts w:ascii="Arial" w:eastAsiaTheme="minorHAnsi" w:hAnsi="Arial" w:cs="Arial"/>
          <w:color w:val="auto"/>
          <w:sz w:val="22"/>
          <w:szCs w:val="22"/>
        </w:rPr>
        <w:t>. Overall, both articles show that punishment-based reactions are ineffective. More relevant interventions include safer staffing, protected medication rounds, better communication, staff education and dependable checking mechanisms.</w:t>
      </w:r>
    </w:p>
    <w:p w14:paraId="4355E09A" w14:textId="00C2A389" w:rsidR="00A8215F" w:rsidRPr="004D491B" w:rsidRDefault="00A8215F" w:rsidP="004D491B">
      <w:pPr>
        <w:pStyle w:val="Heading2"/>
        <w:spacing w:line="360" w:lineRule="auto"/>
        <w:rPr>
          <w:rFonts w:ascii="Arial" w:hAnsi="Arial" w:cs="Arial"/>
          <w:b/>
          <w:bCs/>
          <w:color w:val="auto"/>
          <w:sz w:val="22"/>
          <w:szCs w:val="22"/>
        </w:rPr>
      </w:pPr>
      <w:r w:rsidRPr="004D491B">
        <w:rPr>
          <w:rFonts w:ascii="Arial" w:hAnsi="Arial" w:cs="Arial"/>
          <w:b/>
          <w:bCs/>
          <w:color w:val="auto"/>
          <w:sz w:val="22"/>
          <w:szCs w:val="22"/>
        </w:rPr>
        <w:t>Task 6 – Digital Technologies in Health and Social Care</w:t>
      </w:r>
    </w:p>
    <w:p w14:paraId="50965A4C" w14:textId="77777777" w:rsidR="00A8215F" w:rsidRPr="004D491B" w:rsidRDefault="00A8215F" w:rsidP="004D491B">
      <w:pPr>
        <w:pStyle w:val="Heading3"/>
        <w:spacing w:line="360" w:lineRule="auto"/>
        <w:rPr>
          <w:rFonts w:ascii="Arial" w:hAnsi="Arial" w:cs="Arial"/>
          <w:color w:val="auto"/>
          <w:sz w:val="22"/>
          <w:szCs w:val="22"/>
        </w:rPr>
      </w:pPr>
      <w:r w:rsidRPr="004D491B">
        <w:rPr>
          <w:rFonts w:ascii="Arial" w:hAnsi="Arial" w:cs="Arial"/>
          <w:color w:val="auto"/>
          <w:sz w:val="22"/>
          <w:szCs w:val="22"/>
        </w:rPr>
        <w:t>6.1 Wearable technology and chronic health conditions</w:t>
      </w:r>
    </w:p>
    <w:p w14:paraId="3DF646D8" w14:textId="4DDB1C3D" w:rsidR="004D491B" w:rsidRDefault="004D491B" w:rsidP="004D491B">
      <w:pPr>
        <w:pStyle w:val="Heading3"/>
        <w:spacing w:line="360" w:lineRule="auto"/>
        <w:rPr>
          <w:rFonts w:ascii="Arial" w:hAnsi="Arial" w:cs="Arial"/>
          <w:color w:val="auto"/>
          <w:sz w:val="22"/>
          <w:szCs w:val="22"/>
          <w:shd w:val="clear" w:color="auto" w:fill="FFFFFF"/>
        </w:rPr>
      </w:pPr>
      <w:r w:rsidRPr="004D491B">
        <w:rPr>
          <w:rFonts w:ascii="Arial" w:hAnsi="Arial" w:cs="Arial"/>
          <w:color w:val="auto"/>
          <w:sz w:val="22"/>
          <w:szCs w:val="22"/>
          <w:shd w:val="clear" w:color="auto" w:fill="FFFFFF"/>
        </w:rPr>
        <w:t xml:space="preserve">A wearable seizure-detection system could help a person living with epilepsy by continuously monitoring physical signs such as movement, heart rate or electrodermal activity. If the system </w:t>
      </w:r>
      <w:proofErr w:type="spellStart"/>
      <w:r w:rsidRPr="004D491B">
        <w:rPr>
          <w:rFonts w:ascii="Arial" w:hAnsi="Arial" w:cs="Arial"/>
          <w:color w:val="auto"/>
          <w:sz w:val="22"/>
          <w:szCs w:val="22"/>
          <w:shd w:val="clear" w:color="auto" w:fill="FFFFFF"/>
        </w:rPr>
        <w:t>recognises</w:t>
      </w:r>
      <w:proofErr w:type="spellEnd"/>
      <w:r w:rsidRPr="004D491B">
        <w:rPr>
          <w:rFonts w:ascii="Arial" w:hAnsi="Arial" w:cs="Arial"/>
          <w:color w:val="auto"/>
          <w:sz w:val="22"/>
          <w:szCs w:val="22"/>
          <w:shd w:val="clear" w:color="auto" w:fill="FFFFFF"/>
        </w:rPr>
        <w:t xml:space="preserve"> patterns associated with a tonic–</w:t>
      </w:r>
      <w:proofErr w:type="spellStart"/>
      <w:r w:rsidRPr="004D491B">
        <w:rPr>
          <w:rFonts w:ascii="Arial" w:hAnsi="Arial" w:cs="Arial"/>
          <w:color w:val="auto"/>
          <w:sz w:val="22"/>
          <w:szCs w:val="22"/>
          <w:shd w:val="clear" w:color="auto" w:fill="FFFFFF"/>
        </w:rPr>
        <w:t>clonic</w:t>
      </w:r>
      <w:proofErr w:type="spellEnd"/>
      <w:r w:rsidRPr="004D491B">
        <w:rPr>
          <w:rFonts w:ascii="Arial" w:hAnsi="Arial" w:cs="Arial"/>
          <w:color w:val="auto"/>
          <w:sz w:val="22"/>
          <w:szCs w:val="22"/>
          <w:shd w:val="clear" w:color="auto" w:fill="FFFFFF"/>
        </w:rPr>
        <w:t xml:space="preserve"> seizure, it can warn a relative or caretaker, which may lead to faster intervention and lower the hazards associated with unwitnessed seizures. Recorded information may also provide a more accurate seizure diary, helping professionals evaluate treatment and boosting the individual’s independence. </w:t>
      </w:r>
      <w:r w:rsidRPr="004D491B">
        <w:rPr>
          <w:rFonts w:ascii="Arial" w:hAnsi="Arial" w:cs="Arial"/>
          <w:color w:val="auto"/>
          <w:sz w:val="22"/>
          <w:szCs w:val="22"/>
          <w:shd w:val="clear" w:color="auto" w:fill="FFFFFF"/>
        </w:rPr>
        <w:br/>
        <w:t>But it is useful only for some types of seizure. A systematic evaluation concluded that non-invasive wearables showed good sensitivity for tonic–</w:t>
      </w:r>
      <w:proofErr w:type="spellStart"/>
      <w:r w:rsidRPr="004D491B">
        <w:rPr>
          <w:rFonts w:ascii="Arial" w:hAnsi="Arial" w:cs="Arial"/>
          <w:color w:val="auto"/>
          <w:sz w:val="22"/>
          <w:szCs w:val="22"/>
          <w:shd w:val="clear" w:color="auto" w:fill="FFFFFF"/>
        </w:rPr>
        <w:t>clonic</w:t>
      </w:r>
      <w:proofErr w:type="spellEnd"/>
      <w:r w:rsidRPr="004D491B">
        <w:rPr>
          <w:rFonts w:ascii="Arial" w:hAnsi="Arial" w:cs="Arial"/>
          <w:color w:val="auto"/>
          <w:sz w:val="22"/>
          <w:szCs w:val="22"/>
          <w:shd w:val="clear" w:color="auto" w:fill="FFFFFF"/>
        </w:rPr>
        <w:t xml:space="preserve"> seizures but had relatively high false-alarm rates; evidence for detecting focal seizures was less consistent (</w:t>
      </w:r>
      <w:proofErr w:type="spellStart"/>
      <w:r w:rsidRPr="004D491B">
        <w:rPr>
          <w:rFonts w:ascii="Arial" w:hAnsi="Arial" w:cs="Arial"/>
          <w:color w:val="auto"/>
          <w:sz w:val="22"/>
          <w:szCs w:val="22"/>
          <w:shd w:val="clear" w:color="auto" w:fill="FFFFFF"/>
        </w:rPr>
        <w:t>Naganur</w:t>
      </w:r>
      <w:proofErr w:type="spellEnd"/>
      <w:r w:rsidRPr="004D491B">
        <w:rPr>
          <w:rFonts w:ascii="Arial" w:hAnsi="Arial" w:cs="Arial"/>
          <w:color w:val="auto"/>
          <w:sz w:val="22"/>
          <w:szCs w:val="22"/>
          <w:shd w:val="clear" w:color="auto" w:fill="FFFFFF"/>
        </w:rPr>
        <w:t xml:space="preserve"> et al., 2022). As such, the gadget should not be a replacement for clinical assessment, prescribed medication or an emergency care plan. False warnings may increase anxiety and caregiver strain while cost, battery life, data privacy and comfort might decrease continued use. </w:t>
      </w:r>
    </w:p>
    <w:p w14:paraId="65875DFD" w14:textId="77777777" w:rsidR="004D491B" w:rsidRPr="004D491B" w:rsidRDefault="004D491B" w:rsidP="004D491B"/>
    <w:p w14:paraId="05551A64" w14:textId="38F22EB2" w:rsidR="00A8215F" w:rsidRPr="004D491B" w:rsidRDefault="00A8215F" w:rsidP="004D491B">
      <w:pPr>
        <w:pStyle w:val="Heading3"/>
        <w:spacing w:line="360" w:lineRule="auto"/>
        <w:rPr>
          <w:rFonts w:ascii="Arial" w:hAnsi="Arial" w:cs="Arial"/>
          <w:color w:val="auto"/>
          <w:sz w:val="22"/>
          <w:szCs w:val="22"/>
        </w:rPr>
      </w:pPr>
      <w:r w:rsidRPr="004D491B">
        <w:rPr>
          <w:rFonts w:ascii="Arial" w:hAnsi="Arial" w:cs="Arial"/>
          <w:color w:val="auto"/>
          <w:sz w:val="22"/>
          <w:szCs w:val="22"/>
        </w:rPr>
        <w:lastRenderedPageBreak/>
        <w:t>6.2 Electronic health records and professional collaboration</w:t>
      </w:r>
    </w:p>
    <w:p w14:paraId="648D2204" w14:textId="4F0062CC" w:rsidR="004D491B" w:rsidRPr="004D491B" w:rsidRDefault="004D491B" w:rsidP="004D491B">
      <w:pPr>
        <w:pStyle w:val="Heading3"/>
        <w:spacing w:line="360" w:lineRule="auto"/>
        <w:rPr>
          <w:rFonts w:ascii="Arial" w:hAnsi="Arial" w:cs="Arial"/>
          <w:color w:val="auto"/>
          <w:sz w:val="22"/>
          <w:szCs w:val="22"/>
          <w:shd w:val="clear" w:color="auto" w:fill="FFFFFF"/>
        </w:rPr>
      </w:pPr>
      <w:r w:rsidRPr="004D491B">
        <w:rPr>
          <w:rFonts w:ascii="Arial" w:hAnsi="Arial" w:cs="Arial"/>
          <w:color w:val="auto"/>
          <w:sz w:val="22"/>
          <w:szCs w:val="22"/>
          <w:shd w:val="clear" w:color="auto" w:fill="FFFFFF"/>
        </w:rPr>
        <w:t xml:space="preserve">Electronic health record is useful for cancer multidisciplinary </w:t>
      </w:r>
      <w:proofErr w:type="gramStart"/>
      <w:r w:rsidRPr="004D491B">
        <w:rPr>
          <w:rFonts w:ascii="Arial" w:hAnsi="Arial" w:cs="Arial"/>
          <w:color w:val="auto"/>
          <w:sz w:val="22"/>
          <w:szCs w:val="22"/>
          <w:shd w:val="clear" w:color="auto" w:fill="FFFFFF"/>
        </w:rPr>
        <w:t>team .</w:t>
      </w:r>
      <w:proofErr w:type="gramEnd"/>
      <w:r w:rsidRPr="004D491B">
        <w:rPr>
          <w:rFonts w:ascii="Arial" w:hAnsi="Arial" w:cs="Arial"/>
          <w:color w:val="auto"/>
          <w:sz w:val="22"/>
          <w:szCs w:val="22"/>
          <w:shd w:val="clear" w:color="auto" w:fill="FFFFFF"/>
        </w:rPr>
        <w:t xml:space="preserve"> For example, oncologists, surgeons, radiologists, pharmacists and expert nurses can view the same pathology results, diagnostic pictures, drugs and treatment plan. Shared information lowers the need for repetitive questioning and duplication investigations, and enables specialists to spot interactions between chemotherapy and other medicines. </w:t>
      </w:r>
      <w:r w:rsidRPr="004D491B">
        <w:rPr>
          <w:rFonts w:ascii="Arial" w:hAnsi="Arial" w:cs="Arial"/>
          <w:color w:val="auto"/>
          <w:sz w:val="22"/>
          <w:szCs w:val="22"/>
          <w:shd w:val="clear" w:color="auto" w:fill="FFFFFF"/>
        </w:rPr>
        <w:br/>
        <w:t xml:space="preserve">But an electronic record doesn’t equal coordinated care. Research indicated that electronic medical records were helpful in supporting collaboration inside practices but less effective when information had to transfer between companies using incompatible systems (O’Malley et al., 2010). New hazards may be created by poorly formatted entries, delayed updates, excessive notifications and unclear accountability. Hence the need for interoperable technologies, established documentation standards and </w:t>
      </w:r>
      <w:proofErr w:type="gramStart"/>
      <w:r w:rsidRPr="004D491B">
        <w:rPr>
          <w:rFonts w:ascii="Arial" w:hAnsi="Arial" w:cs="Arial"/>
          <w:color w:val="auto"/>
          <w:sz w:val="22"/>
          <w:szCs w:val="22"/>
          <w:shd w:val="clear" w:color="auto" w:fill="FFFFFF"/>
        </w:rPr>
        <w:t>role based</w:t>
      </w:r>
      <w:proofErr w:type="gramEnd"/>
      <w:r w:rsidRPr="004D491B">
        <w:rPr>
          <w:rFonts w:ascii="Arial" w:hAnsi="Arial" w:cs="Arial"/>
          <w:color w:val="auto"/>
          <w:sz w:val="22"/>
          <w:szCs w:val="22"/>
          <w:shd w:val="clear" w:color="auto" w:fill="FFFFFF"/>
        </w:rPr>
        <w:t xml:space="preserve"> access for effective collaboration. However, important issues should still be considered in multidisciplinary meetings as written data may not reflect the uncertainty or the preference of the patient. This technology is most valuable when coupled with professional communications and clear information governance.</w:t>
      </w:r>
    </w:p>
    <w:p w14:paraId="77F0B48E" w14:textId="4AA2D9DF" w:rsidR="00A8215F" w:rsidRPr="004D491B" w:rsidRDefault="00A8215F" w:rsidP="004D491B">
      <w:pPr>
        <w:pStyle w:val="Heading3"/>
        <w:spacing w:line="360" w:lineRule="auto"/>
        <w:rPr>
          <w:rFonts w:ascii="Arial" w:hAnsi="Arial" w:cs="Arial"/>
          <w:color w:val="auto"/>
          <w:sz w:val="22"/>
          <w:szCs w:val="22"/>
        </w:rPr>
      </w:pPr>
      <w:r w:rsidRPr="004D491B">
        <w:rPr>
          <w:rFonts w:ascii="Arial" w:hAnsi="Arial" w:cs="Arial"/>
          <w:color w:val="auto"/>
          <w:sz w:val="22"/>
          <w:szCs w:val="22"/>
        </w:rPr>
        <w:t>6.3 Digital technology and preventive care</w:t>
      </w:r>
    </w:p>
    <w:p w14:paraId="62DB7A04" w14:textId="62BCED00" w:rsidR="00A8215F" w:rsidRPr="004D491B" w:rsidRDefault="004D491B" w:rsidP="004D491B">
      <w:pPr>
        <w:spacing w:line="360" w:lineRule="auto"/>
        <w:rPr>
          <w:rFonts w:ascii="Arial" w:hAnsi="Arial" w:cs="Arial"/>
        </w:rPr>
      </w:pPr>
      <w:r w:rsidRPr="004D491B">
        <w:rPr>
          <w:rFonts w:ascii="Arial" w:hAnsi="Arial" w:cs="Arial"/>
          <w:shd w:val="clear" w:color="auto" w:fill="FFFFFF"/>
        </w:rPr>
        <w:t xml:space="preserve">Preventive care SMS reminders can help remind those who are eligible to go to their cervical screening appointments. Messages can act as a timely reminder, clarify how to organize an appointment and make it less likely an invitation is forgotten. Two pragmatic randomized controlled trials of women in Northwest London indicated that text reminders with a </w:t>
      </w:r>
      <w:proofErr w:type="spellStart"/>
      <w:r w:rsidRPr="004D491B">
        <w:rPr>
          <w:rFonts w:ascii="Arial" w:hAnsi="Arial" w:cs="Arial"/>
          <w:shd w:val="clear" w:color="auto" w:fill="FFFFFF"/>
        </w:rPr>
        <w:t>behavioural</w:t>
      </w:r>
      <w:proofErr w:type="spellEnd"/>
      <w:r w:rsidRPr="004D491B">
        <w:rPr>
          <w:rFonts w:ascii="Arial" w:hAnsi="Arial" w:cs="Arial"/>
          <w:shd w:val="clear" w:color="auto" w:fill="FFFFFF"/>
        </w:rPr>
        <w:t xml:space="preserve"> focus, especially those endorsed by a primary-care physician, resulted in small gains in screening participation (</w:t>
      </w:r>
      <w:proofErr w:type="spellStart"/>
      <w:r w:rsidRPr="004D491B">
        <w:rPr>
          <w:rFonts w:ascii="Arial" w:hAnsi="Arial" w:cs="Arial"/>
          <w:shd w:val="clear" w:color="auto" w:fill="FFFFFF"/>
        </w:rPr>
        <w:t>Huf</w:t>
      </w:r>
      <w:proofErr w:type="spellEnd"/>
      <w:r w:rsidRPr="004D491B">
        <w:rPr>
          <w:rFonts w:ascii="Arial" w:hAnsi="Arial" w:cs="Arial"/>
          <w:shd w:val="clear" w:color="auto" w:fill="FFFFFF"/>
        </w:rPr>
        <w:t xml:space="preserve"> et al., 2020).</w:t>
      </w:r>
      <w:r w:rsidRPr="004D491B">
        <w:rPr>
          <w:rFonts w:ascii="Arial" w:hAnsi="Arial" w:cs="Arial"/>
          <w:shd w:val="clear" w:color="auto" w:fill="FFFFFF"/>
        </w:rPr>
        <w:br/>
        <w:t>This intervention is viewed through the Health Belief Model. The reminder works as a “cue to action”, while brief information about the benefits of early detection may influence the recipient’s perceived value of screening (Rosenstock, 1974). Reminders, however, largely address forgetfulness and motivation; they do not remove structural hurdles such as inconvenient appointments, handicap access, language issues, fear or previous traumatic experiences. Messages may be sent to the wrong telephone number or include critical information. Therefore, permission, safe data handling and neutral wording are necessary. SMS communication should be used in addition to accessible appointments, translated information, telephone support and targeted community engagement.</w:t>
      </w:r>
    </w:p>
    <w:p w14:paraId="0E35FB77" w14:textId="77777777" w:rsidR="00A8215F" w:rsidRPr="004D491B" w:rsidRDefault="00A8215F" w:rsidP="004D491B">
      <w:pPr>
        <w:pStyle w:val="Heading2"/>
        <w:spacing w:line="360" w:lineRule="auto"/>
        <w:rPr>
          <w:rFonts w:ascii="Arial" w:hAnsi="Arial" w:cs="Arial"/>
          <w:b/>
          <w:bCs/>
          <w:color w:val="auto"/>
          <w:sz w:val="22"/>
          <w:szCs w:val="22"/>
          <w:lang w:val="en-GB"/>
        </w:rPr>
      </w:pPr>
      <w:r w:rsidRPr="004D491B">
        <w:rPr>
          <w:rFonts w:ascii="Arial" w:hAnsi="Arial" w:cs="Arial"/>
          <w:b/>
          <w:bCs/>
          <w:color w:val="auto"/>
          <w:sz w:val="22"/>
          <w:szCs w:val="22"/>
        </w:rPr>
        <w:lastRenderedPageBreak/>
        <w:t>Task 7 – Understanding the NHS Leadership Framework</w:t>
      </w:r>
    </w:p>
    <w:p w14:paraId="32D746A7" w14:textId="58D394B5" w:rsidR="004D491B" w:rsidRPr="004D491B" w:rsidRDefault="004D491B" w:rsidP="004D491B">
      <w:pPr>
        <w:pStyle w:val="Heading2"/>
        <w:spacing w:line="360" w:lineRule="auto"/>
        <w:rPr>
          <w:rFonts w:ascii="Arial" w:hAnsi="Arial" w:cs="Arial"/>
          <w:color w:val="auto"/>
          <w:sz w:val="22"/>
          <w:szCs w:val="22"/>
          <w:shd w:val="clear" w:color="auto" w:fill="FFFFFF"/>
        </w:rPr>
      </w:pPr>
      <w:r w:rsidRPr="004D491B">
        <w:rPr>
          <w:rFonts w:ascii="Arial" w:hAnsi="Arial" w:cs="Arial"/>
          <w:color w:val="auto"/>
          <w:sz w:val="22"/>
          <w:szCs w:val="22"/>
          <w:shd w:val="clear" w:color="auto" w:fill="FFFFFF"/>
        </w:rPr>
        <w:t xml:space="preserve">The NHS Healthcare Leadership Model is a </w:t>
      </w:r>
      <w:proofErr w:type="spellStart"/>
      <w:r w:rsidRPr="004D491B">
        <w:rPr>
          <w:rFonts w:ascii="Arial" w:hAnsi="Arial" w:cs="Arial"/>
          <w:color w:val="auto"/>
          <w:sz w:val="22"/>
          <w:szCs w:val="22"/>
          <w:shd w:val="clear" w:color="auto" w:fill="FFFFFF"/>
        </w:rPr>
        <w:t>behaviour</w:t>
      </w:r>
      <w:proofErr w:type="spellEnd"/>
      <w:r w:rsidRPr="004D491B">
        <w:rPr>
          <w:rFonts w:ascii="Arial" w:hAnsi="Arial" w:cs="Arial"/>
          <w:color w:val="auto"/>
          <w:sz w:val="22"/>
          <w:szCs w:val="22"/>
          <w:shd w:val="clear" w:color="auto" w:fill="FFFFFF"/>
        </w:rPr>
        <w:t xml:space="preserve">-based framework developed for those working at every level of health and social care, not only those holding official management posts. It has nine dimensions: inspiring shared purpose, leading with care, analyzing information, connecting our service, sharing the vision, engaging the team, holding to account, developing competence and influencing for results (NHS Leadership Academy, 2013). With </w:t>
      </w:r>
      <w:proofErr w:type="spellStart"/>
      <w:r w:rsidRPr="004D491B">
        <w:rPr>
          <w:rFonts w:ascii="Arial" w:hAnsi="Arial" w:cs="Arial"/>
          <w:color w:val="auto"/>
          <w:sz w:val="22"/>
          <w:szCs w:val="22"/>
          <w:shd w:val="clear" w:color="auto" w:fill="FFFFFF"/>
        </w:rPr>
        <w:t>behaviours</w:t>
      </w:r>
      <w:proofErr w:type="spellEnd"/>
      <w:r w:rsidRPr="004D491B">
        <w:rPr>
          <w:rFonts w:ascii="Arial" w:hAnsi="Arial" w:cs="Arial"/>
          <w:color w:val="auto"/>
          <w:sz w:val="22"/>
          <w:szCs w:val="22"/>
          <w:shd w:val="clear" w:color="auto" w:fill="FFFFFF"/>
        </w:rPr>
        <w:t xml:space="preserve"> from necessary to exemplary within each dimension, practitioners can assess their strengths and areas for progress.</w:t>
      </w:r>
      <w:r w:rsidRPr="004D491B">
        <w:rPr>
          <w:rFonts w:ascii="Arial" w:hAnsi="Arial" w:cs="Arial"/>
          <w:color w:val="auto"/>
          <w:sz w:val="22"/>
          <w:szCs w:val="22"/>
          <w:shd w:val="clear" w:color="auto" w:fill="FFFFFF"/>
        </w:rPr>
        <w:br/>
        <w:t xml:space="preserve">Connecting services and engaging teams are particularly critical where care is offered across </w:t>
      </w:r>
      <w:proofErr w:type="spellStart"/>
      <w:r w:rsidRPr="004D491B">
        <w:rPr>
          <w:rFonts w:ascii="Arial" w:hAnsi="Arial" w:cs="Arial"/>
          <w:color w:val="auto"/>
          <w:sz w:val="22"/>
          <w:szCs w:val="22"/>
          <w:shd w:val="clear" w:color="auto" w:fill="FFFFFF"/>
        </w:rPr>
        <w:t>organisational</w:t>
      </w:r>
      <w:proofErr w:type="spellEnd"/>
      <w:r w:rsidRPr="004D491B">
        <w:rPr>
          <w:rFonts w:ascii="Arial" w:hAnsi="Arial" w:cs="Arial"/>
          <w:color w:val="auto"/>
          <w:sz w:val="22"/>
          <w:szCs w:val="22"/>
          <w:shd w:val="clear" w:color="auto" w:fill="FFFFFF"/>
        </w:rPr>
        <w:t xml:space="preserve"> boundaries. Evidence demonstrates that leadership impacts workplace culture, workforce engagement and the capacity to provide continuously improved care (West et al., 2015). Nevertheless, the framework should not be taken as a general checklist. Appropriate </w:t>
      </w:r>
      <w:proofErr w:type="spellStart"/>
      <w:r w:rsidRPr="004D491B">
        <w:rPr>
          <w:rFonts w:ascii="Arial" w:hAnsi="Arial" w:cs="Arial"/>
          <w:color w:val="auto"/>
          <w:sz w:val="22"/>
          <w:szCs w:val="22"/>
          <w:shd w:val="clear" w:color="auto" w:fill="FFFFFF"/>
        </w:rPr>
        <w:t>behaviours</w:t>
      </w:r>
      <w:proofErr w:type="spellEnd"/>
      <w:r w:rsidRPr="004D491B">
        <w:rPr>
          <w:rFonts w:ascii="Arial" w:hAnsi="Arial" w:cs="Arial"/>
          <w:color w:val="auto"/>
          <w:sz w:val="22"/>
          <w:szCs w:val="22"/>
          <w:shd w:val="clear" w:color="auto" w:fill="FFFFFF"/>
        </w:rPr>
        <w:t xml:space="preserve"> depend on the professional function, </w:t>
      </w:r>
      <w:proofErr w:type="spellStart"/>
      <w:r w:rsidRPr="004D491B">
        <w:rPr>
          <w:rFonts w:ascii="Arial" w:hAnsi="Arial" w:cs="Arial"/>
          <w:color w:val="auto"/>
          <w:sz w:val="22"/>
          <w:szCs w:val="22"/>
          <w:shd w:val="clear" w:color="auto" w:fill="FFFFFF"/>
        </w:rPr>
        <w:t>organisational</w:t>
      </w:r>
      <w:proofErr w:type="spellEnd"/>
      <w:r w:rsidRPr="004D491B">
        <w:rPr>
          <w:rFonts w:ascii="Arial" w:hAnsi="Arial" w:cs="Arial"/>
          <w:color w:val="auto"/>
          <w:sz w:val="22"/>
          <w:szCs w:val="22"/>
          <w:shd w:val="clear" w:color="auto" w:fill="FFFFFF"/>
        </w:rPr>
        <w:t xml:space="preserve"> setting and demands of service customers. Its effectiveness consequently relies on introspective application, feedback and visible action rather than completing a self-assessment alone. </w:t>
      </w:r>
      <w:r w:rsidRPr="004D491B">
        <w:rPr>
          <w:rFonts w:ascii="Arial" w:hAnsi="Arial" w:cs="Arial"/>
          <w:color w:val="auto"/>
          <w:sz w:val="22"/>
          <w:szCs w:val="22"/>
          <w:shd w:val="clear" w:color="auto" w:fill="FFFFFF"/>
        </w:rPr>
        <w:br/>
        <w:t xml:space="preserve">A leader could use “Connecting Our Service” to improve hospital discharge for older patients. </w:t>
      </w:r>
      <w:proofErr w:type="gramStart"/>
      <w:r w:rsidRPr="004D491B">
        <w:rPr>
          <w:rFonts w:ascii="Arial" w:hAnsi="Arial" w:cs="Arial"/>
          <w:color w:val="auto"/>
          <w:sz w:val="22"/>
          <w:szCs w:val="22"/>
          <w:shd w:val="clear" w:color="auto" w:fill="FFFFFF"/>
        </w:rPr>
        <w:t>Instead</w:t>
      </w:r>
      <w:proofErr w:type="gramEnd"/>
      <w:r w:rsidRPr="004D491B">
        <w:rPr>
          <w:rFonts w:ascii="Arial" w:hAnsi="Arial" w:cs="Arial"/>
          <w:color w:val="auto"/>
          <w:sz w:val="22"/>
          <w:szCs w:val="22"/>
          <w:shd w:val="clear" w:color="auto" w:fill="FFFFFF"/>
        </w:rPr>
        <w:t xml:space="preserve"> than viewing discharge as the responsibility of one ward, the leader would assess the full pathway and involve nurses, doctors, pharmacists, therapists, social workers, community services, patients and </w:t>
      </w:r>
      <w:proofErr w:type="spellStart"/>
      <w:r w:rsidRPr="004D491B">
        <w:rPr>
          <w:rFonts w:ascii="Arial" w:hAnsi="Arial" w:cs="Arial"/>
          <w:color w:val="auto"/>
          <w:sz w:val="22"/>
          <w:szCs w:val="22"/>
          <w:shd w:val="clear" w:color="auto" w:fill="FFFFFF"/>
        </w:rPr>
        <w:t>carers</w:t>
      </w:r>
      <w:proofErr w:type="spellEnd"/>
      <w:r w:rsidRPr="004D491B">
        <w:rPr>
          <w:rFonts w:ascii="Arial" w:hAnsi="Arial" w:cs="Arial"/>
          <w:color w:val="auto"/>
          <w:sz w:val="22"/>
          <w:szCs w:val="22"/>
          <w:shd w:val="clear" w:color="auto" w:fill="FFFFFF"/>
        </w:rPr>
        <w:t xml:space="preserve">. The team may map delays and creatively rethink the process through early drug preparation, shared discharge criteria and a pre-discharge call with community physicians. </w:t>
      </w:r>
      <w:r w:rsidRPr="004D491B">
        <w:rPr>
          <w:rFonts w:ascii="Arial" w:hAnsi="Arial" w:cs="Arial"/>
          <w:color w:val="auto"/>
          <w:sz w:val="22"/>
          <w:szCs w:val="22"/>
          <w:shd w:val="clear" w:color="auto" w:fill="FFFFFF"/>
        </w:rPr>
        <w:br/>
        <w:t xml:space="preserve">This practice stimulates innovation by bringing together knowledge that is generally segregated across professional and </w:t>
      </w:r>
      <w:proofErr w:type="spellStart"/>
      <w:r w:rsidRPr="004D491B">
        <w:rPr>
          <w:rFonts w:ascii="Arial" w:hAnsi="Arial" w:cs="Arial"/>
          <w:color w:val="auto"/>
          <w:sz w:val="22"/>
          <w:szCs w:val="22"/>
          <w:shd w:val="clear" w:color="auto" w:fill="FFFFFF"/>
        </w:rPr>
        <w:t>organisational</w:t>
      </w:r>
      <w:proofErr w:type="spellEnd"/>
      <w:r w:rsidRPr="004D491B">
        <w:rPr>
          <w:rFonts w:ascii="Arial" w:hAnsi="Arial" w:cs="Arial"/>
          <w:color w:val="auto"/>
          <w:sz w:val="22"/>
          <w:szCs w:val="22"/>
          <w:shd w:val="clear" w:color="auto" w:fill="FFFFFF"/>
        </w:rPr>
        <w:t xml:space="preserve"> barriers. It can also produce value by minimizing repeated assessments, needless delays and risky transfers.  </w:t>
      </w:r>
    </w:p>
    <w:p w14:paraId="2BAE3933" w14:textId="77777777" w:rsidR="004D491B" w:rsidRPr="004D491B" w:rsidRDefault="004D491B" w:rsidP="004D491B">
      <w:pPr>
        <w:pStyle w:val="Heading2"/>
        <w:spacing w:line="360" w:lineRule="auto"/>
        <w:rPr>
          <w:rFonts w:ascii="Arial" w:hAnsi="Arial" w:cs="Arial"/>
          <w:color w:val="auto"/>
          <w:sz w:val="22"/>
          <w:szCs w:val="22"/>
          <w:shd w:val="clear" w:color="auto" w:fill="FFFFFF"/>
        </w:rPr>
      </w:pPr>
    </w:p>
    <w:p w14:paraId="3FF614A9" w14:textId="07BE5421" w:rsidR="00A8215F" w:rsidRPr="004D491B" w:rsidRDefault="004D491B" w:rsidP="004D491B">
      <w:pPr>
        <w:pStyle w:val="Heading2"/>
        <w:spacing w:line="360" w:lineRule="auto"/>
        <w:rPr>
          <w:rFonts w:ascii="Arial" w:hAnsi="Arial" w:cs="Arial"/>
          <w:b/>
          <w:bCs/>
          <w:color w:val="auto"/>
          <w:sz w:val="22"/>
          <w:szCs w:val="22"/>
        </w:rPr>
      </w:pPr>
      <w:r w:rsidRPr="004D491B">
        <w:rPr>
          <w:rFonts w:ascii="Arial" w:hAnsi="Arial" w:cs="Arial"/>
          <w:b/>
          <w:bCs/>
          <w:color w:val="auto"/>
          <w:sz w:val="22"/>
          <w:szCs w:val="22"/>
          <w:shd w:val="clear" w:color="auto" w:fill="FFFFFF"/>
        </w:rPr>
        <w:t xml:space="preserve"> </w:t>
      </w:r>
      <w:r w:rsidR="00A8215F" w:rsidRPr="004D491B">
        <w:rPr>
          <w:rFonts w:ascii="Arial" w:hAnsi="Arial" w:cs="Arial"/>
          <w:b/>
          <w:bCs/>
          <w:color w:val="auto"/>
          <w:sz w:val="22"/>
          <w:szCs w:val="22"/>
        </w:rPr>
        <w:t>Task 8 – Self-Reflection Journal Entry</w:t>
      </w:r>
    </w:p>
    <w:p w14:paraId="37C5AFB0" w14:textId="47FCCE3A" w:rsidR="00A8215F" w:rsidRPr="004D491B" w:rsidRDefault="004D491B" w:rsidP="004D491B">
      <w:pPr>
        <w:spacing w:line="360" w:lineRule="auto"/>
        <w:rPr>
          <w:rFonts w:ascii="Arial" w:hAnsi="Arial" w:cs="Arial"/>
        </w:rPr>
      </w:pPr>
      <w:r w:rsidRPr="004D491B">
        <w:rPr>
          <w:rFonts w:ascii="Arial" w:hAnsi="Arial" w:cs="Arial"/>
          <w:shd w:val="clear" w:color="auto" w:fill="FFFFFF"/>
        </w:rPr>
        <w:t xml:space="preserve">At the beginning of this module, I linked creativity mostly with developing an original concept and innovation with introducing new technologies. My perspective shifted when I built the mind map about social isolation among older folks. I understood that innovation may require reconnecting existing community resources, transit, digital support and social-prescribing services rather than designing a completely new intervention. </w:t>
      </w:r>
      <w:r w:rsidRPr="004D491B">
        <w:rPr>
          <w:rFonts w:ascii="Arial" w:hAnsi="Arial" w:cs="Arial"/>
          <w:shd w:val="clear" w:color="auto" w:fill="FFFFFF"/>
        </w:rPr>
        <w:br/>
        <w:t xml:space="preserve">The class debate also challenged my idea that innovation inherently enhances care. Discussion revealed that an idea develops value only when benefits outweigh costs, risks and disparities. This development mirrors Transformative Learning Theory, which explains how critical reflection and discussion can modify an individual’s existing frame of reference </w:t>
      </w:r>
      <w:r w:rsidRPr="004D491B">
        <w:rPr>
          <w:rFonts w:ascii="Arial" w:hAnsi="Arial" w:cs="Arial"/>
          <w:shd w:val="clear" w:color="auto" w:fill="FFFFFF"/>
        </w:rPr>
        <w:lastRenderedPageBreak/>
        <w:t xml:space="preserve">(Mezirow, 1997). </w:t>
      </w:r>
      <w:r w:rsidRPr="004D491B">
        <w:rPr>
          <w:rFonts w:ascii="Arial" w:hAnsi="Arial" w:cs="Arial"/>
          <w:shd w:val="clear" w:color="auto" w:fill="FFFFFF"/>
        </w:rPr>
        <w:br/>
        <w:t xml:space="preserve">In my future professional practice, I will involve service users when identifying problems, examine both good and unintentional repercussions, and test modifications on a modest scale. </w:t>
      </w:r>
    </w:p>
    <w:p w14:paraId="16427CC7" w14:textId="77777777" w:rsidR="00A8215F" w:rsidRPr="004D491B" w:rsidRDefault="00A8215F" w:rsidP="004D491B">
      <w:pPr>
        <w:pStyle w:val="Heading2"/>
        <w:spacing w:line="360" w:lineRule="auto"/>
        <w:rPr>
          <w:rFonts w:ascii="Arial" w:hAnsi="Arial" w:cs="Arial"/>
          <w:b/>
          <w:bCs/>
          <w:color w:val="auto"/>
          <w:sz w:val="22"/>
          <w:szCs w:val="22"/>
          <w:lang w:val="en-GB"/>
        </w:rPr>
      </w:pPr>
      <w:r w:rsidRPr="004D491B">
        <w:rPr>
          <w:rFonts w:ascii="Arial" w:hAnsi="Arial" w:cs="Arial"/>
          <w:b/>
          <w:bCs/>
          <w:color w:val="auto"/>
          <w:sz w:val="22"/>
          <w:szCs w:val="22"/>
        </w:rPr>
        <w:t>Reference List</w:t>
      </w:r>
    </w:p>
    <w:p w14:paraId="0FB9A70D" w14:textId="77777777" w:rsidR="00A8215F" w:rsidRPr="004D491B" w:rsidRDefault="00A8215F" w:rsidP="004D491B">
      <w:pPr>
        <w:pStyle w:val="NormalWeb"/>
        <w:spacing w:line="360" w:lineRule="auto"/>
        <w:rPr>
          <w:rFonts w:ascii="Arial" w:hAnsi="Arial" w:cs="Arial"/>
          <w:sz w:val="22"/>
          <w:szCs w:val="22"/>
        </w:rPr>
      </w:pPr>
      <w:proofErr w:type="spellStart"/>
      <w:r w:rsidRPr="004D491B">
        <w:rPr>
          <w:rFonts w:ascii="Arial" w:hAnsi="Arial" w:cs="Arial"/>
          <w:sz w:val="22"/>
          <w:szCs w:val="22"/>
        </w:rPr>
        <w:t>Bickerdike</w:t>
      </w:r>
      <w:proofErr w:type="spellEnd"/>
      <w:r w:rsidRPr="004D491B">
        <w:rPr>
          <w:rFonts w:ascii="Arial" w:hAnsi="Arial" w:cs="Arial"/>
          <w:sz w:val="22"/>
          <w:szCs w:val="22"/>
        </w:rPr>
        <w:t xml:space="preserve">, L., Booth, A., Wilson, P.M., Farley, K. and Wright, K. (2017) ‘Social prescribing: Less rhetoric and more reality. A systematic review of the evidence’, </w:t>
      </w:r>
      <w:r w:rsidRPr="004D491B">
        <w:rPr>
          <w:rStyle w:val="Emphasis"/>
          <w:rFonts w:ascii="Arial" w:hAnsi="Arial" w:cs="Arial"/>
          <w:sz w:val="22"/>
          <w:szCs w:val="22"/>
        </w:rPr>
        <w:t>BMJ Open</w:t>
      </w:r>
      <w:r w:rsidRPr="004D491B">
        <w:rPr>
          <w:rFonts w:ascii="Arial" w:hAnsi="Arial" w:cs="Arial"/>
          <w:sz w:val="22"/>
          <w:szCs w:val="22"/>
        </w:rPr>
        <w:t xml:space="preserve">, 7(4), e013384. Available at: </w:t>
      </w:r>
      <w:hyperlink r:id="rId9" w:tgtFrame="_new" w:history="1">
        <w:r w:rsidRPr="004D491B">
          <w:rPr>
            <w:rStyle w:val="Hyperlink"/>
            <w:rFonts w:ascii="Arial" w:hAnsi="Arial" w:cs="Arial"/>
            <w:color w:val="auto"/>
            <w:sz w:val="22"/>
            <w:szCs w:val="22"/>
          </w:rPr>
          <w:t>https://doi.org/10.1136/bmjopen-2016-013384</w:t>
        </w:r>
      </w:hyperlink>
      <w:r w:rsidRPr="004D491B">
        <w:rPr>
          <w:rFonts w:ascii="Arial" w:hAnsi="Arial" w:cs="Arial"/>
          <w:sz w:val="22"/>
          <w:szCs w:val="22"/>
        </w:rPr>
        <w:t>.</w:t>
      </w:r>
    </w:p>
    <w:p w14:paraId="604A5F82"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Boden, M.A. (2004) </w:t>
      </w:r>
      <w:r w:rsidRPr="004D491B">
        <w:rPr>
          <w:rStyle w:val="Emphasis"/>
          <w:rFonts w:ascii="Arial" w:hAnsi="Arial" w:cs="Arial"/>
          <w:sz w:val="22"/>
          <w:szCs w:val="22"/>
        </w:rPr>
        <w:t>The Creative Mind: Myths and Mechanisms</w:t>
      </w:r>
      <w:r w:rsidRPr="004D491B">
        <w:rPr>
          <w:rFonts w:ascii="Arial" w:hAnsi="Arial" w:cs="Arial"/>
          <w:sz w:val="22"/>
          <w:szCs w:val="22"/>
        </w:rPr>
        <w:t xml:space="preserve">. 2nd </w:t>
      </w:r>
      <w:proofErr w:type="spellStart"/>
      <w:r w:rsidRPr="004D491B">
        <w:rPr>
          <w:rFonts w:ascii="Arial" w:hAnsi="Arial" w:cs="Arial"/>
          <w:sz w:val="22"/>
          <w:szCs w:val="22"/>
        </w:rPr>
        <w:t>edn</w:t>
      </w:r>
      <w:proofErr w:type="spellEnd"/>
      <w:r w:rsidRPr="004D491B">
        <w:rPr>
          <w:rFonts w:ascii="Arial" w:hAnsi="Arial" w:cs="Arial"/>
          <w:sz w:val="22"/>
          <w:szCs w:val="22"/>
        </w:rPr>
        <w:t>. London: Routledge. Available at: https://doi.org/10.4324/9780203508527.</w:t>
      </w:r>
    </w:p>
    <w:p w14:paraId="203EEA80"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Greenhalgh, T., Robert, G., Macfarlane, F., Bate, P. and </w:t>
      </w:r>
      <w:proofErr w:type="spellStart"/>
      <w:r w:rsidRPr="004D491B">
        <w:rPr>
          <w:rFonts w:ascii="Arial" w:hAnsi="Arial" w:cs="Arial"/>
          <w:sz w:val="22"/>
          <w:szCs w:val="22"/>
        </w:rPr>
        <w:t>Kyriakidou</w:t>
      </w:r>
      <w:proofErr w:type="spellEnd"/>
      <w:r w:rsidRPr="004D491B">
        <w:rPr>
          <w:rFonts w:ascii="Arial" w:hAnsi="Arial" w:cs="Arial"/>
          <w:sz w:val="22"/>
          <w:szCs w:val="22"/>
        </w:rPr>
        <w:t xml:space="preserve">, O. (2004) ‘Diffusion of innovations in service organizations: Systematic review and recommendations’, </w:t>
      </w:r>
      <w:r w:rsidRPr="004D491B">
        <w:rPr>
          <w:rStyle w:val="Emphasis"/>
          <w:rFonts w:ascii="Arial" w:hAnsi="Arial" w:cs="Arial"/>
          <w:sz w:val="22"/>
          <w:szCs w:val="22"/>
        </w:rPr>
        <w:t>The Milbank Quarterly</w:t>
      </w:r>
      <w:r w:rsidRPr="004D491B">
        <w:rPr>
          <w:rFonts w:ascii="Arial" w:hAnsi="Arial" w:cs="Arial"/>
          <w:sz w:val="22"/>
          <w:szCs w:val="22"/>
        </w:rPr>
        <w:t xml:space="preserve">, 82(4), pp. 581–629. Available at: </w:t>
      </w:r>
      <w:hyperlink r:id="rId10" w:tgtFrame="_new" w:history="1">
        <w:r w:rsidRPr="004D491B">
          <w:rPr>
            <w:rStyle w:val="Hyperlink"/>
            <w:rFonts w:ascii="Arial" w:hAnsi="Arial" w:cs="Arial"/>
            <w:color w:val="auto"/>
            <w:sz w:val="22"/>
            <w:szCs w:val="22"/>
          </w:rPr>
          <w:t>https://doi.org/10.1111/j.0887-378X.2004.00325.x</w:t>
        </w:r>
      </w:hyperlink>
      <w:r w:rsidRPr="004D491B">
        <w:rPr>
          <w:rFonts w:ascii="Arial" w:hAnsi="Arial" w:cs="Arial"/>
          <w:sz w:val="22"/>
          <w:szCs w:val="22"/>
        </w:rPr>
        <w:t>.</w:t>
      </w:r>
    </w:p>
    <w:p w14:paraId="28B6F609" w14:textId="77777777" w:rsidR="00A8215F" w:rsidRPr="004D491B" w:rsidRDefault="00A8215F" w:rsidP="004D491B">
      <w:pPr>
        <w:pStyle w:val="NormalWeb"/>
        <w:spacing w:line="360" w:lineRule="auto"/>
        <w:rPr>
          <w:rFonts w:ascii="Arial" w:hAnsi="Arial" w:cs="Arial"/>
          <w:sz w:val="22"/>
          <w:szCs w:val="22"/>
        </w:rPr>
      </w:pPr>
      <w:proofErr w:type="spellStart"/>
      <w:r w:rsidRPr="004D491B">
        <w:rPr>
          <w:rFonts w:ascii="Arial" w:hAnsi="Arial" w:cs="Arial"/>
          <w:sz w:val="22"/>
          <w:szCs w:val="22"/>
        </w:rPr>
        <w:t>Härkänen</w:t>
      </w:r>
      <w:proofErr w:type="spellEnd"/>
      <w:r w:rsidRPr="004D491B">
        <w:rPr>
          <w:rFonts w:ascii="Arial" w:hAnsi="Arial" w:cs="Arial"/>
          <w:sz w:val="22"/>
          <w:szCs w:val="22"/>
        </w:rPr>
        <w:t xml:space="preserve">, M., </w:t>
      </w:r>
      <w:proofErr w:type="spellStart"/>
      <w:r w:rsidRPr="004D491B">
        <w:rPr>
          <w:rFonts w:ascii="Arial" w:hAnsi="Arial" w:cs="Arial"/>
          <w:sz w:val="22"/>
          <w:szCs w:val="22"/>
        </w:rPr>
        <w:t>Ahonen</w:t>
      </w:r>
      <w:proofErr w:type="spellEnd"/>
      <w:r w:rsidRPr="004D491B">
        <w:rPr>
          <w:rFonts w:ascii="Arial" w:hAnsi="Arial" w:cs="Arial"/>
          <w:sz w:val="22"/>
          <w:szCs w:val="22"/>
        </w:rPr>
        <w:t xml:space="preserve">, J., </w:t>
      </w:r>
      <w:proofErr w:type="spellStart"/>
      <w:r w:rsidRPr="004D491B">
        <w:rPr>
          <w:rFonts w:ascii="Arial" w:hAnsi="Arial" w:cs="Arial"/>
          <w:sz w:val="22"/>
          <w:szCs w:val="22"/>
        </w:rPr>
        <w:t>Kervinen</w:t>
      </w:r>
      <w:proofErr w:type="spellEnd"/>
      <w:r w:rsidRPr="004D491B">
        <w:rPr>
          <w:rFonts w:ascii="Arial" w:hAnsi="Arial" w:cs="Arial"/>
          <w:sz w:val="22"/>
          <w:szCs w:val="22"/>
        </w:rPr>
        <w:t xml:space="preserve">, M., Turunen, H. and </w:t>
      </w:r>
      <w:proofErr w:type="spellStart"/>
      <w:r w:rsidRPr="004D491B">
        <w:rPr>
          <w:rFonts w:ascii="Arial" w:hAnsi="Arial" w:cs="Arial"/>
          <w:sz w:val="22"/>
          <w:szCs w:val="22"/>
        </w:rPr>
        <w:t>Vehviläinen-Julkunen</w:t>
      </w:r>
      <w:proofErr w:type="spellEnd"/>
      <w:r w:rsidRPr="004D491B">
        <w:rPr>
          <w:rFonts w:ascii="Arial" w:hAnsi="Arial" w:cs="Arial"/>
          <w:sz w:val="22"/>
          <w:szCs w:val="22"/>
        </w:rPr>
        <w:t xml:space="preserve">, K. (2015) ‘The factors associated with medication errors in adult medical and surgical inpatients: A direct observation approach with medication record reviews’, </w:t>
      </w:r>
      <w:r w:rsidRPr="004D491B">
        <w:rPr>
          <w:rStyle w:val="Emphasis"/>
          <w:rFonts w:ascii="Arial" w:hAnsi="Arial" w:cs="Arial"/>
          <w:sz w:val="22"/>
          <w:szCs w:val="22"/>
        </w:rPr>
        <w:t>Scandinavian Journal of Caring Sciences</w:t>
      </w:r>
      <w:r w:rsidRPr="004D491B">
        <w:rPr>
          <w:rFonts w:ascii="Arial" w:hAnsi="Arial" w:cs="Arial"/>
          <w:sz w:val="22"/>
          <w:szCs w:val="22"/>
        </w:rPr>
        <w:t>, 29(2), pp. 297–306. Available at: https://doi.org/10.1111/scs.12163.</w:t>
      </w:r>
    </w:p>
    <w:p w14:paraId="0E098054"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Holt-</w:t>
      </w:r>
      <w:proofErr w:type="spellStart"/>
      <w:r w:rsidRPr="004D491B">
        <w:rPr>
          <w:rFonts w:ascii="Arial" w:hAnsi="Arial" w:cs="Arial"/>
          <w:sz w:val="22"/>
          <w:szCs w:val="22"/>
        </w:rPr>
        <w:t>Lunstad</w:t>
      </w:r>
      <w:proofErr w:type="spellEnd"/>
      <w:r w:rsidRPr="004D491B">
        <w:rPr>
          <w:rFonts w:ascii="Arial" w:hAnsi="Arial" w:cs="Arial"/>
          <w:sz w:val="22"/>
          <w:szCs w:val="22"/>
        </w:rPr>
        <w:t xml:space="preserve">, J., Smith, T.B., Baker, M., Harris, T. and Stephenson, D. (2015) ‘Loneliness and social isolation as risk factors for mortality: A meta-analytic review’, </w:t>
      </w:r>
      <w:r w:rsidRPr="004D491B">
        <w:rPr>
          <w:rStyle w:val="Emphasis"/>
          <w:rFonts w:ascii="Arial" w:hAnsi="Arial" w:cs="Arial"/>
          <w:sz w:val="22"/>
          <w:szCs w:val="22"/>
        </w:rPr>
        <w:t>Perspectives on Psychological Science</w:t>
      </w:r>
      <w:r w:rsidRPr="004D491B">
        <w:rPr>
          <w:rFonts w:ascii="Arial" w:hAnsi="Arial" w:cs="Arial"/>
          <w:sz w:val="22"/>
          <w:szCs w:val="22"/>
        </w:rPr>
        <w:t xml:space="preserve">, 10(2), pp. 227–237. Available at: </w:t>
      </w:r>
      <w:hyperlink r:id="rId11" w:tgtFrame="_new" w:history="1">
        <w:r w:rsidRPr="004D491B">
          <w:rPr>
            <w:rStyle w:val="Hyperlink"/>
            <w:rFonts w:ascii="Arial" w:hAnsi="Arial" w:cs="Arial"/>
            <w:color w:val="auto"/>
            <w:sz w:val="22"/>
            <w:szCs w:val="22"/>
          </w:rPr>
          <w:t>https://doi.org/10.1177/1745691614568352</w:t>
        </w:r>
      </w:hyperlink>
      <w:r w:rsidRPr="004D491B">
        <w:rPr>
          <w:rFonts w:ascii="Arial" w:hAnsi="Arial" w:cs="Arial"/>
          <w:sz w:val="22"/>
          <w:szCs w:val="22"/>
        </w:rPr>
        <w:t>.</w:t>
      </w:r>
    </w:p>
    <w:p w14:paraId="1D8CCDD1" w14:textId="77777777" w:rsidR="00A8215F" w:rsidRPr="004D491B" w:rsidRDefault="00A8215F" w:rsidP="004D491B">
      <w:pPr>
        <w:pStyle w:val="NormalWeb"/>
        <w:spacing w:line="360" w:lineRule="auto"/>
        <w:rPr>
          <w:rFonts w:ascii="Arial" w:hAnsi="Arial" w:cs="Arial"/>
          <w:sz w:val="22"/>
          <w:szCs w:val="22"/>
        </w:rPr>
      </w:pPr>
      <w:proofErr w:type="spellStart"/>
      <w:r w:rsidRPr="004D491B">
        <w:rPr>
          <w:rFonts w:ascii="Arial" w:hAnsi="Arial" w:cs="Arial"/>
          <w:sz w:val="22"/>
          <w:szCs w:val="22"/>
        </w:rPr>
        <w:t>Huf</w:t>
      </w:r>
      <w:proofErr w:type="spellEnd"/>
      <w:r w:rsidRPr="004D491B">
        <w:rPr>
          <w:rFonts w:ascii="Arial" w:hAnsi="Arial" w:cs="Arial"/>
          <w:sz w:val="22"/>
          <w:szCs w:val="22"/>
        </w:rPr>
        <w:t xml:space="preserve">, S., Kerrison, R.S., King, D., </w:t>
      </w:r>
      <w:proofErr w:type="spellStart"/>
      <w:r w:rsidRPr="004D491B">
        <w:rPr>
          <w:rFonts w:ascii="Arial" w:hAnsi="Arial" w:cs="Arial"/>
          <w:sz w:val="22"/>
          <w:szCs w:val="22"/>
        </w:rPr>
        <w:t>Chadborn</w:t>
      </w:r>
      <w:proofErr w:type="spellEnd"/>
      <w:r w:rsidRPr="004D491B">
        <w:rPr>
          <w:rFonts w:ascii="Arial" w:hAnsi="Arial" w:cs="Arial"/>
          <w:sz w:val="22"/>
          <w:szCs w:val="22"/>
        </w:rPr>
        <w:t xml:space="preserve">, T., Richmond, A., Cunningham, D., Friedman, E., Shukla, H., Tseng, F.M., Judah, G., Darzi, A. and </w:t>
      </w:r>
      <w:proofErr w:type="spellStart"/>
      <w:r w:rsidRPr="004D491B">
        <w:rPr>
          <w:rFonts w:ascii="Arial" w:hAnsi="Arial" w:cs="Arial"/>
          <w:sz w:val="22"/>
          <w:szCs w:val="22"/>
        </w:rPr>
        <w:t>Vlaev</w:t>
      </w:r>
      <w:proofErr w:type="spellEnd"/>
      <w:r w:rsidRPr="004D491B">
        <w:rPr>
          <w:rFonts w:ascii="Arial" w:hAnsi="Arial" w:cs="Arial"/>
          <w:sz w:val="22"/>
          <w:szCs w:val="22"/>
        </w:rPr>
        <w:t xml:space="preserve">, I. (2020) ‘Behavioral economics informed message content in text message reminders to improve cervical screening participation: Two pragmatic randomized controlled trials’, </w:t>
      </w:r>
      <w:r w:rsidRPr="004D491B">
        <w:rPr>
          <w:rStyle w:val="Emphasis"/>
          <w:rFonts w:ascii="Arial" w:hAnsi="Arial" w:cs="Arial"/>
          <w:sz w:val="22"/>
          <w:szCs w:val="22"/>
        </w:rPr>
        <w:t>Preventive Medicine</w:t>
      </w:r>
      <w:r w:rsidRPr="004D491B">
        <w:rPr>
          <w:rFonts w:ascii="Arial" w:hAnsi="Arial" w:cs="Arial"/>
          <w:sz w:val="22"/>
          <w:szCs w:val="22"/>
        </w:rPr>
        <w:t>, 139, 106170. Available at: https://doi.org/10.1016/j.ypmed.2020.106170.</w:t>
      </w:r>
    </w:p>
    <w:p w14:paraId="3DC0805A"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Husk, K., </w:t>
      </w:r>
      <w:proofErr w:type="spellStart"/>
      <w:r w:rsidRPr="004D491B">
        <w:rPr>
          <w:rFonts w:ascii="Arial" w:hAnsi="Arial" w:cs="Arial"/>
          <w:sz w:val="22"/>
          <w:szCs w:val="22"/>
        </w:rPr>
        <w:t>Blockley</w:t>
      </w:r>
      <w:proofErr w:type="spellEnd"/>
      <w:r w:rsidRPr="004D491B">
        <w:rPr>
          <w:rFonts w:ascii="Arial" w:hAnsi="Arial" w:cs="Arial"/>
          <w:sz w:val="22"/>
          <w:szCs w:val="22"/>
        </w:rPr>
        <w:t xml:space="preserve">, K., Lovell, R., Bethel, A., Lang, I., Byng, R. and Garside, R. (2020) ‘What approaches to social prescribing work, for whom, and in what circumstances? A realist review’, </w:t>
      </w:r>
      <w:r w:rsidRPr="004D491B">
        <w:rPr>
          <w:rStyle w:val="Emphasis"/>
          <w:rFonts w:ascii="Arial" w:hAnsi="Arial" w:cs="Arial"/>
          <w:sz w:val="22"/>
          <w:szCs w:val="22"/>
        </w:rPr>
        <w:t>Health and Social Care in the Community</w:t>
      </w:r>
      <w:r w:rsidRPr="004D491B">
        <w:rPr>
          <w:rFonts w:ascii="Arial" w:hAnsi="Arial" w:cs="Arial"/>
          <w:sz w:val="22"/>
          <w:szCs w:val="22"/>
        </w:rPr>
        <w:t xml:space="preserve">, 28(2), pp. 309–324. Available at: </w:t>
      </w:r>
      <w:hyperlink r:id="rId12" w:tgtFrame="_new" w:history="1">
        <w:r w:rsidRPr="004D491B">
          <w:rPr>
            <w:rStyle w:val="Hyperlink"/>
            <w:rFonts w:ascii="Arial" w:hAnsi="Arial" w:cs="Arial"/>
            <w:color w:val="auto"/>
            <w:sz w:val="22"/>
            <w:szCs w:val="22"/>
          </w:rPr>
          <w:t>https://doi.org/10.1111/hsc.12839</w:t>
        </w:r>
      </w:hyperlink>
      <w:r w:rsidRPr="004D491B">
        <w:rPr>
          <w:rFonts w:ascii="Arial" w:hAnsi="Arial" w:cs="Arial"/>
          <w:sz w:val="22"/>
          <w:szCs w:val="22"/>
        </w:rPr>
        <w:t>.</w:t>
      </w:r>
    </w:p>
    <w:p w14:paraId="1D08C3BB" w14:textId="77777777" w:rsidR="00A8215F" w:rsidRPr="004D491B" w:rsidRDefault="00A8215F" w:rsidP="004D491B">
      <w:pPr>
        <w:pStyle w:val="NormalWeb"/>
        <w:spacing w:line="360" w:lineRule="auto"/>
        <w:rPr>
          <w:rFonts w:ascii="Arial" w:hAnsi="Arial" w:cs="Arial"/>
          <w:sz w:val="22"/>
          <w:szCs w:val="22"/>
        </w:rPr>
      </w:pPr>
      <w:proofErr w:type="spellStart"/>
      <w:r w:rsidRPr="004D491B">
        <w:rPr>
          <w:rFonts w:ascii="Arial" w:hAnsi="Arial" w:cs="Arial"/>
          <w:sz w:val="22"/>
          <w:szCs w:val="22"/>
        </w:rPr>
        <w:t>Keers</w:t>
      </w:r>
      <w:proofErr w:type="spellEnd"/>
      <w:r w:rsidRPr="004D491B">
        <w:rPr>
          <w:rFonts w:ascii="Arial" w:hAnsi="Arial" w:cs="Arial"/>
          <w:sz w:val="22"/>
          <w:szCs w:val="22"/>
        </w:rPr>
        <w:t xml:space="preserve">, R.N., Williams, S.D., Cooke, J. and Ashcroft, D.M. (2013) ‘Causes of medication administration errors in hospitals: A systematic review of quantitative and qualitative evidence’, </w:t>
      </w:r>
      <w:r w:rsidRPr="004D491B">
        <w:rPr>
          <w:rStyle w:val="Emphasis"/>
          <w:rFonts w:ascii="Arial" w:hAnsi="Arial" w:cs="Arial"/>
          <w:sz w:val="22"/>
          <w:szCs w:val="22"/>
        </w:rPr>
        <w:t>Drug Safety</w:t>
      </w:r>
      <w:r w:rsidRPr="004D491B">
        <w:rPr>
          <w:rFonts w:ascii="Arial" w:hAnsi="Arial" w:cs="Arial"/>
          <w:sz w:val="22"/>
          <w:szCs w:val="22"/>
        </w:rPr>
        <w:t xml:space="preserve">, 36(11), pp. 1045–1067. Available at: </w:t>
      </w:r>
      <w:hyperlink r:id="rId13" w:tgtFrame="_new" w:history="1">
        <w:r w:rsidRPr="004D491B">
          <w:rPr>
            <w:rStyle w:val="Hyperlink"/>
            <w:rFonts w:ascii="Arial" w:hAnsi="Arial" w:cs="Arial"/>
            <w:color w:val="auto"/>
            <w:sz w:val="22"/>
            <w:szCs w:val="22"/>
          </w:rPr>
          <w:t>https://doi.org/10.1007/s40264-013-0090-2</w:t>
        </w:r>
      </w:hyperlink>
      <w:r w:rsidRPr="004D491B">
        <w:rPr>
          <w:rFonts w:ascii="Arial" w:hAnsi="Arial" w:cs="Arial"/>
          <w:sz w:val="22"/>
          <w:szCs w:val="22"/>
        </w:rPr>
        <w:t>.</w:t>
      </w:r>
    </w:p>
    <w:p w14:paraId="744997E6"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Kolb, D.A. (1984) </w:t>
      </w:r>
      <w:r w:rsidRPr="004D491B">
        <w:rPr>
          <w:rStyle w:val="Emphasis"/>
          <w:rFonts w:ascii="Arial" w:hAnsi="Arial" w:cs="Arial"/>
          <w:sz w:val="22"/>
          <w:szCs w:val="22"/>
        </w:rPr>
        <w:t xml:space="preserve">Experiential Learning: Experience as the Source of Learning and </w:t>
      </w:r>
      <w:r w:rsidRPr="004D491B">
        <w:rPr>
          <w:rStyle w:val="Emphasis"/>
          <w:rFonts w:ascii="Arial" w:hAnsi="Arial" w:cs="Arial"/>
          <w:sz w:val="22"/>
          <w:szCs w:val="22"/>
        </w:rPr>
        <w:lastRenderedPageBreak/>
        <w:t>Development</w:t>
      </w:r>
      <w:r w:rsidRPr="004D491B">
        <w:rPr>
          <w:rFonts w:ascii="Arial" w:hAnsi="Arial" w:cs="Arial"/>
          <w:sz w:val="22"/>
          <w:szCs w:val="22"/>
        </w:rPr>
        <w:t>. Englewood Cliffs, NJ: Prentice-Hall.</w:t>
      </w:r>
    </w:p>
    <w:p w14:paraId="465550E2"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Lewin, K. (1947) ‘Frontiers in group dynamics: Concept, method and reality in social science; social equilibria and social change’, </w:t>
      </w:r>
      <w:r w:rsidRPr="004D491B">
        <w:rPr>
          <w:rStyle w:val="Emphasis"/>
          <w:rFonts w:ascii="Arial" w:hAnsi="Arial" w:cs="Arial"/>
          <w:sz w:val="22"/>
          <w:szCs w:val="22"/>
        </w:rPr>
        <w:t>Human Relations</w:t>
      </w:r>
      <w:r w:rsidRPr="004D491B">
        <w:rPr>
          <w:rFonts w:ascii="Arial" w:hAnsi="Arial" w:cs="Arial"/>
          <w:sz w:val="22"/>
          <w:szCs w:val="22"/>
        </w:rPr>
        <w:t xml:space="preserve">, 1(1), pp. 5–41. Available at: </w:t>
      </w:r>
      <w:hyperlink r:id="rId14" w:tgtFrame="_new" w:history="1">
        <w:r w:rsidRPr="004D491B">
          <w:rPr>
            <w:rStyle w:val="Hyperlink"/>
            <w:rFonts w:ascii="Arial" w:hAnsi="Arial" w:cs="Arial"/>
            <w:color w:val="auto"/>
            <w:sz w:val="22"/>
            <w:szCs w:val="22"/>
          </w:rPr>
          <w:t>https://doi.org/10.1177/001872674700100103</w:t>
        </w:r>
      </w:hyperlink>
      <w:r w:rsidRPr="004D491B">
        <w:rPr>
          <w:rFonts w:ascii="Arial" w:hAnsi="Arial" w:cs="Arial"/>
          <w:sz w:val="22"/>
          <w:szCs w:val="22"/>
        </w:rPr>
        <w:t>.</w:t>
      </w:r>
    </w:p>
    <w:p w14:paraId="520CD188"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McLeroy, K.R., Bibeau, D., </w:t>
      </w:r>
      <w:proofErr w:type="spellStart"/>
      <w:r w:rsidRPr="004D491B">
        <w:rPr>
          <w:rFonts w:ascii="Arial" w:hAnsi="Arial" w:cs="Arial"/>
          <w:sz w:val="22"/>
          <w:szCs w:val="22"/>
        </w:rPr>
        <w:t>Steckler</w:t>
      </w:r>
      <w:proofErr w:type="spellEnd"/>
      <w:r w:rsidRPr="004D491B">
        <w:rPr>
          <w:rFonts w:ascii="Arial" w:hAnsi="Arial" w:cs="Arial"/>
          <w:sz w:val="22"/>
          <w:szCs w:val="22"/>
        </w:rPr>
        <w:t xml:space="preserve">, A. and Glanz, K. (1988) ‘An ecological perspective on health promotion programs’, </w:t>
      </w:r>
      <w:r w:rsidRPr="004D491B">
        <w:rPr>
          <w:rStyle w:val="Emphasis"/>
          <w:rFonts w:ascii="Arial" w:hAnsi="Arial" w:cs="Arial"/>
          <w:sz w:val="22"/>
          <w:szCs w:val="22"/>
        </w:rPr>
        <w:t>Health Education Quarterly</w:t>
      </w:r>
      <w:r w:rsidRPr="004D491B">
        <w:rPr>
          <w:rFonts w:ascii="Arial" w:hAnsi="Arial" w:cs="Arial"/>
          <w:sz w:val="22"/>
          <w:szCs w:val="22"/>
        </w:rPr>
        <w:t xml:space="preserve">, 15(4), pp. 351–377. Available at: </w:t>
      </w:r>
      <w:hyperlink r:id="rId15" w:tgtFrame="_new" w:history="1">
        <w:r w:rsidRPr="004D491B">
          <w:rPr>
            <w:rStyle w:val="Hyperlink"/>
            <w:rFonts w:ascii="Arial" w:hAnsi="Arial" w:cs="Arial"/>
            <w:color w:val="auto"/>
            <w:sz w:val="22"/>
            <w:szCs w:val="22"/>
          </w:rPr>
          <w:t>https://doi.org/10.1177/109019818801500401</w:t>
        </w:r>
      </w:hyperlink>
      <w:r w:rsidRPr="004D491B">
        <w:rPr>
          <w:rFonts w:ascii="Arial" w:hAnsi="Arial" w:cs="Arial"/>
          <w:sz w:val="22"/>
          <w:szCs w:val="22"/>
        </w:rPr>
        <w:t>.</w:t>
      </w:r>
    </w:p>
    <w:p w14:paraId="50CF29AB"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Mezirow, J. (1997) ‘Transformative learning: Theory to practice’, </w:t>
      </w:r>
      <w:r w:rsidRPr="004D491B">
        <w:rPr>
          <w:rStyle w:val="Emphasis"/>
          <w:rFonts w:ascii="Arial" w:hAnsi="Arial" w:cs="Arial"/>
          <w:sz w:val="22"/>
          <w:szCs w:val="22"/>
        </w:rPr>
        <w:t>New Directions for Adult and Continuing Education</w:t>
      </w:r>
      <w:r w:rsidRPr="004D491B">
        <w:rPr>
          <w:rFonts w:ascii="Arial" w:hAnsi="Arial" w:cs="Arial"/>
          <w:sz w:val="22"/>
          <w:szCs w:val="22"/>
        </w:rPr>
        <w:t xml:space="preserve">, 1997(74), pp. 5–12. Available at: </w:t>
      </w:r>
      <w:hyperlink r:id="rId16" w:tgtFrame="_new" w:history="1">
        <w:r w:rsidRPr="004D491B">
          <w:rPr>
            <w:rStyle w:val="Hyperlink"/>
            <w:rFonts w:ascii="Arial" w:hAnsi="Arial" w:cs="Arial"/>
            <w:color w:val="auto"/>
            <w:sz w:val="22"/>
            <w:szCs w:val="22"/>
          </w:rPr>
          <w:t>https://doi.org/10.1002/ace.7401</w:t>
        </w:r>
      </w:hyperlink>
      <w:r w:rsidRPr="004D491B">
        <w:rPr>
          <w:rFonts w:ascii="Arial" w:hAnsi="Arial" w:cs="Arial"/>
          <w:sz w:val="22"/>
          <w:szCs w:val="22"/>
        </w:rPr>
        <w:t>.</w:t>
      </w:r>
    </w:p>
    <w:p w14:paraId="367E681A" w14:textId="77777777" w:rsidR="00A8215F" w:rsidRPr="004D491B" w:rsidRDefault="00A8215F" w:rsidP="004D491B">
      <w:pPr>
        <w:pStyle w:val="NormalWeb"/>
        <w:spacing w:line="360" w:lineRule="auto"/>
        <w:rPr>
          <w:rFonts w:ascii="Arial" w:hAnsi="Arial" w:cs="Arial"/>
          <w:sz w:val="22"/>
          <w:szCs w:val="22"/>
        </w:rPr>
      </w:pPr>
      <w:proofErr w:type="spellStart"/>
      <w:r w:rsidRPr="004D491B">
        <w:rPr>
          <w:rFonts w:ascii="Arial" w:hAnsi="Arial" w:cs="Arial"/>
          <w:sz w:val="22"/>
          <w:szCs w:val="22"/>
        </w:rPr>
        <w:t>Naganur</w:t>
      </w:r>
      <w:proofErr w:type="spellEnd"/>
      <w:r w:rsidRPr="004D491B">
        <w:rPr>
          <w:rFonts w:ascii="Arial" w:hAnsi="Arial" w:cs="Arial"/>
          <w:sz w:val="22"/>
          <w:szCs w:val="22"/>
        </w:rPr>
        <w:t xml:space="preserve">, V., </w:t>
      </w:r>
      <w:proofErr w:type="spellStart"/>
      <w:r w:rsidRPr="004D491B">
        <w:rPr>
          <w:rFonts w:ascii="Arial" w:hAnsi="Arial" w:cs="Arial"/>
          <w:sz w:val="22"/>
          <w:szCs w:val="22"/>
        </w:rPr>
        <w:t>Sivathamboo</w:t>
      </w:r>
      <w:proofErr w:type="spellEnd"/>
      <w:r w:rsidRPr="004D491B">
        <w:rPr>
          <w:rFonts w:ascii="Arial" w:hAnsi="Arial" w:cs="Arial"/>
          <w:sz w:val="22"/>
          <w:szCs w:val="22"/>
        </w:rPr>
        <w:t xml:space="preserve">, S., Chen, Z., </w:t>
      </w:r>
      <w:proofErr w:type="spellStart"/>
      <w:r w:rsidRPr="004D491B">
        <w:rPr>
          <w:rFonts w:ascii="Arial" w:hAnsi="Arial" w:cs="Arial"/>
          <w:sz w:val="22"/>
          <w:szCs w:val="22"/>
        </w:rPr>
        <w:t>Kusmakar</w:t>
      </w:r>
      <w:proofErr w:type="spellEnd"/>
      <w:r w:rsidRPr="004D491B">
        <w:rPr>
          <w:rFonts w:ascii="Arial" w:hAnsi="Arial" w:cs="Arial"/>
          <w:sz w:val="22"/>
          <w:szCs w:val="22"/>
        </w:rPr>
        <w:t xml:space="preserve">, S., </w:t>
      </w:r>
      <w:proofErr w:type="spellStart"/>
      <w:r w:rsidRPr="004D491B">
        <w:rPr>
          <w:rFonts w:ascii="Arial" w:hAnsi="Arial" w:cs="Arial"/>
          <w:sz w:val="22"/>
          <w:szCs w:val="22"/>
        </w:rPr>
        <w:t>Antonic</w:t>
      </w:r>
      <w:proofErr w:type="spellEnd"/>
      <w:r w:rsidRPr="004D491B">
        <w:rPr>
          <w:rFonts w:ascii="Arial" w:hAnsi="Arial" w:cs="Arial"/>
          <w:sz w:val="22"/>
          <w:szCs w:val="22"/>
        </w:rPr>
        <w:t xml:space="preserve">-Baker, A., O’Brien, T.J. and Kwan, P. (2022) ‘Automated seizure detection with noninvasive wearable devices: A systematic review and meta-analysis’, </w:t>
      </w:r>
      <w:proofErr w:type="spellStart"/>
      <w:r w:rsidRPr="004D491B">
        <w:rPr>
          <w:rStyle w:val="Emphasis"/>
          <w:rFonts w:ascii="Arial" w:hAnsi="Arial" w:cs="Arial"/>
          <w:sz w:val="22"/>
          <w:szCs w:val="22"/>
        </w:rPr>
        <w:t>Epilepsia</w:t>
      </w:r>
      <w:proofErr w:type="spellEnd"/>
      <w:r w:rsidRPr="004D491B">
        <w:rPr>
          <w:rFonts w:ascii="Arial" w:hAnsi="Arial" w:cs="Arial"/>
          <w:sz w:val="22"/>
          <w:szCs w:val="22"/>
        </w:rPr>
        <w:t>, 63(8), pp. 1930–1941. Available at: https://doi.org/10.1111/epi.17297.</w:t>
      </w:r>
    </w:p>
    <w:p w14:paraId="2A6C8543"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NHS Leadership Academy (2013) </w:t>
      </w:r>
      <w:r w:rsidRPr="004D491B">
        <w:rPr>
          <w:rStyle w:val="Emphasis"/>
          <w:rFonts w:ascii="Arial" w:hAnsi="Arial" w:cs="Arial"/>
          <w:sz w:val="22"/>
          <w:szCs w:val="22"/>
        </w:rPr>
        <w:t xml:space="preserve">Healthcare Leadership Model: The Nine Dimensions of Leadership </w:t>
      </w:r>
      <w:proofErr w:type="spellStart"/>
      <w:r w:rsidRPr="004D491B">
        <w:rPr>
          <w:rStyle w:val="Emphasis"/>
          <w:rFonts w:ascii="Arial" w:hAnsi="Arial" w:cs="Arial"/>
          <w:sz w:val="22"/>
          <w:szCs w:val="22"/>
        </w:rPr>
        <w:t>Behaviour</w:t>
      </w:r>
      <w:proofErr w:type="spellEnd"/>
      <w:r w:rsidRPr="004D491B">
        <w:rPr>
          <w:rFonts w:ascii="Arial" w:hAnsi="Arial" w:cs="Arial"/>
          <w:sz w:val="22"/>
          <w:szCs w:val="22"/>
        </w:rPr>
        <w:t xml:space="preserve">. Version 1.0. Leeds: NHS Leadership Academy. Available at: </w:t>
      </w:r>
      <w:hyperlink r:id="rId17" w:tgtFrame="_new" w:history="1">
        <w:r w:rsidRPr="004D491B">
          <w:rPr>
            <w:rStyle w:val="Hyperlink"/>
            <w:rFonts w:ascii="Arial" w:hAnsi="Arial" w:cs="Arial"/>
            <w:color w:val="auto"/>
            <w:sz w:val="22"/>
            <w:szCs w:val="22"/>
          </w:rPr>
          <w:t>NHS Healthcare Leadership Model</w:t>
        </w:r>
      </w:hyperlink>
      <w:r w:rsidRPr="004D491B">
        <w:rPr>
          <w:rFonts w:ascii="Arial" w:hAnsi="Arial" w:cs="Arial"/>
          <w:sz w:val="22"/>
          <w:szCs w:val="22"/>
        </w:rPr>
        <w:t xml:space="preserve"> (Accessed: 27 July 2026).</w:t>
      </w:r>
    </w:p>
    <w:p w14:paraId="204130AF"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O’Malley, A.S., Grossman, J.M., Cohen, G.R., Kemper, N.M. and Pham, H.H. (2010) ‘Are electronic medical records helpful for care coordination? Experiences of physician practices’, </w:t>
      </w:r>
      <w:r w:rsidRPr="004D491B">
        <w:rPr>
          <w:rStyle w:val="Emphasis"/>
          <w:rFonts w:ascii="Arial" w:hAnsi="Arial" w:cs="Arial"/>
          <w:sz w:val="22"/>
          <w:szCs w:val="22"/>
        </w:rPr>
        <w:t>Journal of General Internal Medicine</w:t>
      </w:r>
      <w:r w:rsidRPr="004D491B">
        <w:rPr>
          <w:rFonts w:ascii="Arial" w:hAnsi="Arial" w:cs="Arial"/>
          <w:sz w:val="22"/>
          <w:szCs w:val="22"/>
        </w:rPr>
        <w:t>, 25(3), pp. 177–185. Available at: https://doi.org/10.1007/s11606-009-1195-2.</w:t>
      </w:r>
    </w:p>
    <w:p w14:paraId="7FF57F24" w14:textId="77777777" w:rsidR="00A8215F" w:rsidRPr="004D491B" w:rsidRDefault="00A8215F" w:rsidP="004D491B">
      <w:pPr>
        <w:pStyle w:val="NormalWeb"/>
        <w:spacing w:line="360" w:lineRule="auto"/>
        <w:rPr>
          <w:rFonts w:ascii="Arial" w:hAnsi="Arial" w:cs="Arial"/>
          <w:sz w:val="22"/>
          <w:szCs w:val="22"/>
        </w:rPr>
      </w:pPr>
      <w:proofErr w:type="spellStart"/>
      <w:r w:rsidRPr="004D491B">
        <w:rPr>
          <w:rFonts w:ascii="Arial" w:hAnsi="Arial" w:cs="Arial"/>
          <w:sz w:val="22"/>
          <w:szCs w:val="22"/>
        </w:rPr>
        <w:t>Plsek</w:t>
      </w:r>
      <w:proofErr w:type="spellEnd"/>
      <w:r w:rsidRPr="004D491B">
        <w:rPr>
          <w:rFonts w:ascii="Arial" w:hAnsi="Arial" w:cs="Arial"/>
          <w:sz w:val="22"/>
          <w:szCs w:val="22"/>
        </w:rPr>
        <w:t xml:space="preserve">, P.E. and Greenhalgh, T. (2001) ‘The challenge of complexity in health care’, </w:t>
      </w:r>
      <w:r w:rsidRPr="004D491B">
        <w:rPr>
          <w:rStyle w:val="Emphasis"/>
          <w:rFonts w:ascii="Arial" w:hAnsi="Arial" w:cs="Arial"/>
          <w:sz w:val="22"/>
          <w:szCs w:val="22"/>
        </w:rPr>
        <w:t>BMJ</w:t>
      </w:r>
      <w:r w:rsidRPr="004D491B">
        <w:rPr>
          <w:rFonts w:ascii="Arial" w:hAnsi="Arial" w:cs="Arial"/>
          <w:sz w:val="22"/>
          <w:szCs w:val="22"/>
        </w:rPr>
        <w:t>, 323(7313), pp. 625–628. Available at: https://doi.org/10.1136/bmj.323.7313.625.</w:t>
      </w:r>
    </w:p>
    <w:p w14:paraId="081B728E"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Porter, M.E. (2010) ‘What is value in health care?’, </w:t>
      </w:r>
      <w:r w:rsidRPr="004D491B">
        <w:rPr>
          <w:rStyle w:val="Emphasis"/>
          <w:rFonts w:ascii="Arial" w:hAnsi="Arial" w:cs="Arial"/>
          <w:sz w:val="22"/>
          <w:szCs w:val="22"/>
        </w:rPr>
        <w:t>New England Journal of Medicine</w:t>
      </w:r>
      <w:r w:rsidRPr="004D491B">
        <w:rPr>
          <w:rFonts w:ascii="Arial" w:hAnsi="Arial" w:cs="Arial"/>
          <w:sz w:val="22"/>
          <w:szCs w:val="22"/>
        </w:rPr>
        <w:t xml:space="preserve">, 363(26), pp. 2477–2481. Available at: </w:t>
      </w:r>
      <w:hyperlink r:id="rId18" w:tgtFrame="_new" w:history="1">
        <w:r w:rsidRPr="004D491B">
          <w:rPr>
            <w:rStyle w:val="Hyperlink"/>
            <w:rFonts w:ascii="Arial" w:hAnsi="Arial" w:cs="Arial"/>
            <w:color w:val="auto"/>
            <w:sz w:val="22"/>
            <w:szCs w:val="22"/>
          </w:rPr>
          <w:t>https://doi.org/10.1056/NEJMp1011024</w:t>
        </w:r>
      </w:hyperlink>
      <w:r w:rsidRPr="004D491B">
        <w:rPr>
          <w:rFonts w:ascii="Arial" w:hAnsi="Arial" w:cs="Arial"/>
          <w:sz w:val="22"/>
          <w:szCs w:val="22"/>
        </w:rPr>
        <w:t>.</w:t>
      </w:r>
    </w:p>
    <w:p w14:paraId="20066969" w14:textId="77777777"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Rosenstock, I.M. (1974) ‘The Health Belief Model and preventive health behavior’, </w:t>
      </w:r>
      <w:r w:rsidRPr="004D491B">
        <w:rPr>
          <w:rStyle w:val="Emphasis"/>
          <w:rFonts w:ascii="Arial" w:hAnsi="Arial" w:cs="Arial"/>
          <w:sz w:val="22"/>
          <w:szCs w:val="22"/>
        </w:rPr>
        <w:t>Health Education Monographs</w:t>
      </w:r>
      <w:r w:rsidRPr="004D491B">
        <w:rPr>
          <w:rFonts w:ascii="Arial" w:hAnsi="Arial" w:cs="Arial"/>
          <w:sz w:val="22"/>
          <w:szCs w:val="22"/>
        </w:rPr>
        <w:t xml:space="preserve">, 2(4), pp. 354–386. Available at: </w:t>
      </w:r>
      <w:hyperlink r:id="rId19" w:tgtFrame="_new" w:history="1">
        <w:r w:rsidRPr="004D491B">
          <w:rPr>
            <w:rStyle w:val="Hyperlink"/>
            <w:rFonts w:ascii="Arial" w:hAnsi="Arial" w:cs="Arial"/>
            <w:color w:val="auto"/>
            <w:sz w:val="22"/>
            <w:szCs w:val="22"/>
          </w:rPr>
          <w:t>https://doi.org/10.1177/109019817400200405</w:t>
        </w:r>
      </w:hyperlink>
      <w:r w:rsidRPr="004D491B">
        <w:rPr>
          <w:rFonts w:ascii="Arial" w:hAnsi="Arial" w:cs="Arial"/>
          <w:sz w:val="22"/>
          <w:szCs w:val="22"/>
        </w:rPr>
        <w:t>.</w:t>
      </w:r>
    </w:p>
    <w:p w14:paraId="3106A0FC" w14:textId="1581EB6C" w:rsidR="00A8215F" w:rsidRPr="004D491B" w:rsidRDefault="00A8215F" w:rsidP="004D491B">
      <w:pPr>
        <w:pStyle w:val="NormalWeb"/>
        <w:spacing w:line="360" w:lineRule="auto"/>
        <w:rPr>
          <w:rFonts w:ascii="Arial" w:hAnsi="Arial" w:cs="Arial"/>
          <w:sz w:val="22"/>
          <w:szCs w:val="22"/>
        </w:rPr>
      </w:pPr>
      <w:r w:rsidRPr="004D491B">
        <w:rPr>
          <w:rFonts w:ascii="Arial" w:hAnsi="Arial" w:cs="Arial"/>
          <w:sz w:val="22"/>
          <w:szCs w:val="22"/>
        </w:rPr>
        <w:t xml:space="preserve">West, M., </w:t>
      </w:r>
      <w:proofErr w:type="spellStart"/>
      <w:r w:rsidRPr="004D491B">
        <w:rPr>
          <w:rFonts w:ascii="Arial" w:hAnsi="Arial" w:cs="Arial"/>
          <w:sz w:val="22"/>
          <w:szCs w:val="22"/>
        </w:rPr>
        <w:t>Armit</w:t>
      </w:r>
      <w:proofErr w:type="spellEnd"/>
      <w:r w:rsidRPr="004D491B">
        <w:rPr>
          <w:rFonts w:ascii="Arial" w:hAnsi="Arial" w:cs="Arial"/>
          <w:sz w:val="22"/>
          <w:szCs w:val="22"/>
        </w:rPr>
        <w:t xml:space="preserve">, K., </w:t>
      </w:r>
      <w:proofErr w:type="spellStart"/>
      <w:r w:rsidRPr="004D491B">
        <w:rPr>
          <w:rFonts w:ascii="Arial" w:hAnsi="Arial" w:cs="Arial"/>
          <w:sz w:val="22"/>
          <w:szCs w:val="22"/>
        </w:rPr>
        <w:t>Loewenthal</w:t>
      </w:r>
      <w:proofErr w:type="spellEnd"/>
      <w:r w:rsidRPr="004D491B">
        <w:rPr>
          <w:rFonts w:ascii="Arial" w:hAnsi="Arial" w:cs="Arial"/>
          <w:sz w:val="22"/>
          <w:szCs w:val="22"/>
        </w:rPr>
        <w:t xml:space="preserve">, L., Eckert, R., West, T. and Lee, A. (2015) </w:t>
      </w:r>
      <w:r w:rsidRPr="004D491B">
        <w:rPr>
          <w:rStyle w:val="Emphasis"/>
          <w:rFonts w:ascii="Arial" w:hAnsi="Arial" w:cs="Arial"/>
          <w:sz w:val="22"/>
          <w:szCs w:val="22"/>
        </w:rPr>
        <w:t>Leadership and Leadership Development in Health Care: The Evidence Base</w:t>
      </w:r>
      <w:r w:rsidRPr="004D491B">
        <w:rPr>
          <w:rFonts w:ascii="Arial" w:hAnsi="Arial" w:cs="Arial"/>
          <w:sz w:val="22"/>
          <w:szCs w:val="22"/>
        </w:rPr>
        <w:t xml:space="preserve">. London: Faculty of Medical Leadership and Management. Available at: </w:t>
      </w:r>
      <w:hyperlink r:id="rId20" w:tgtFrame="_new" w:history="1">
        <w:r w:rsidRPr="004D491B">
          <w:rPr>
            <w:rStyle w:val="Hyperlink"/>
            <w:rFonts w:ascii="Arial" w:hAnsi="Arial" w:cs="Arial"/>
            <w:color w:val="auto"/>
            <w:sz w:val="22"/>
            <w:szCs w:val="22"/>
          </w:rPr>
          <w:t>The King’s Fund</w:t>
        </w:r>
      </w:hyperlink>
      <w:r w:rsidRPr="004D491B">
        <w:rPr>
          <w:rFonts w:ascii="Arial" w:hAnsi="Arial" w:cs="Arial"/>
          <w:sz w:val="22"/>
          <w:szCs w:val="22"/>
        </w:rPr>
        <w:t xml:space="preserve"> (Accessed: 2</w:t>
      </w:r>
      <w:r w:rsidRPr="004D491B">
        <w:rPr>
          <w:rFonts w:ascii="Arial" w:hAnsi="Arial" w:cs="Arial"/>
          <w:sz w:val="22"/>
          <w:szCs w:val="22"/>
        </w:rPr>
        <w:t>0</w:t>
      </w:r>
      <w:r w:rsidRPr="004D491B">
        <w:rPr>
          <w:rFonts w:ascii="Arial" w:hAnsi="Arial" w:cs="Arial"/>
          <w:sz w:val="22"/>
          <w:szCs w:val="22"/>
        </w:rPr>
        <w:t xml:space="preserve"> July 2026).</w:t>
      </w:r>
    </w:p>
    <w:p w14:paraId="3D801C8B" w14:textId="77777777" w:rsidR="00A8215F" w:rsidRPr="004D491B" w:rsidRDefault="00A8215F" w:rsidP="004D491B">
      <w:pPr>
        <w:spacing w:line="360" w:lineRule="auto"/>
        <w:rPr>
          <w:rFonts w:ascii="Arial" w:hAnsi="Arial" w:cs="Arial"/>
        </w:rPr>
      </w:pPr>
    </w:p>
    <w:sectPr w:rsidR="00A8215F" w:rsidRPr="004D491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83851" w14:textId="77777777" w:rsidR="00A1483B" w:rsidRDefault="00A1483B" w:rsidP="00516F97">
      <w:r>
        <w:separator/>
      </w:r>
    </w:p>
  </w:endnote>
  <w:endnote w:type="continuationSeparator" w:id="0">
    <w:p w14:paraId="53EE0584" w14:textId="77777777" w:rsidR="00A1483B" w:rsidRDefault="00A1483B" w:rsidP="00516F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BAEE5" w14:textId="77777777" w:rsidR="00A1483B" w:rsidRDefault="00A1483B" w:rsidP="00516F97">
      <w:r>
        <w:separator/>
      </w:r>
    </w:p>
  </w:footnote>
  <w:footnote w:type="continuationSeparator" w:id="0">
    <w:p w14:paraId="2227DE25" w14:textId="77777777" w:rsidR="00A1483B" w:rsidRDefault="00A1483B" w:rsidP="00516F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194694"/>
      <w:docPartObj>
        <w:docPartGallery w:val="Page Numbers (Margins)"/>
        <w:docPartUnique/>
      </w:docPartObj>
    </w:sdtPr>
    <w:sdtEndPr/>
    <w:sdtContent>
      <w:p w14:paraId="56A7F1BD" w14:textId="7BFBC226" w:rsidR="00516F97" w:rsidRDefault="00516F97">
        <w:pPr>
          <w:pStyle w:val="Header"/>
        </w:pPr>
        <w:r>
          <w:rPr>
            <w:noProof/>
          </w:rPr>
          <mc:AlternateContent>
            <mc:Choice Requires="wps">
              <w:drawing>
                <wp:anchor distT="0" distB="0" distL="114300" distR="114300" simplePos="0" relativeHeight="251659264" behindDoc="0" locked="0" layoutInCell="0" allowOverlap="1" wp14:anchorId="52453962" wp14:editId="68D5878E">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0" b="4445"/>
                  <wp:wrapNone/>
                  <wp:docPr id="35785086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4B743B0" w14:textId="77777777" w:rsidR="00516F97" w:rsidRDefault="00516F97">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52453962" id="Rectangle 1" o:spid="_x0000_s1029" style="position:absolute;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" o:allowincell="f" stroked="f">
                  <v:textbox style="mso-fit-shape-to-text:t" inset="0,,0">
                    <w:txbxContent>
                      <w:p w14:paraId="44B743B0" w14:textId="77777777" w:rsidR="00516F97" w:rsidRDefault="00516F97">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7170E"/>
    <w:multiLevelType w:val="multilevel"/>
    <w:tmpl w:val="49083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042154"/>
    <w:multiLevelType w:val="multilevel"/>
    <w:tmpl w:val="7B3E9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782D25"/>
    <w:multiLevelType w:val="hybridMultilevel"/>
    <w:tmpl w:val="538C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3369A7"/>
    <w:multiLevelType w:val="multilevel"/>
    <w:tmpl w:val="E2C2C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849"/>
    <w:rsid w:val="00006C5C"/>
    <w:rsid w:val="001A39B4"/>
    <w:rsid w:val="001F1445"/>
    <w:rsid w:val="00257042"/>
    <w:rsid w:val="002B658F"/>
    <w:rsid w:val="002E616F"/>
    <w:rsid w:val="00335D68"/>
    <w:rsid w:val="00365C3C"/>
    <w:rsid w:val="003671BB"/>
    <w:rsid w:val="00396F93"/>
    <w:rsid w:val="003A4184"/>
    <w:rsid w:val="003F1D51"/>
    <w:rsid w:val="00420849"/>
    <w:rsid w:val="00427D60"/>
    <w:rsid w:val="004C0439"/>
    <w:rsid w:val="004D491B"/>
    <w:rsid w:val="00516F97"/>
    <w:rsid w:val="005574D9"/>
    <w:rsid w:val="00575821"/>
    <w:rsid w:val="00604F0D"/>
    <w:rsid w:val="00615279"/>
    <w:rsid w:val="00620D9D"/>
    <w:rsid w:val="006D0568"/>
    <w:rsid w:val="006F6F9B"/>
    <w:rsid w:val="00790814"/>
    <w:rsid w:val="008050A8"/>
    <w:rsid w:val="00951524"/>
    <w:rsid w:val="0098662C"/>
    <w:rsid w:val="009C2BE8"/>
    <w:rsid w:val="009C6164"/>
    <w:rsid w:val="00A1358C"/>
    <w:rsid w:val="00A13610"/>
    <w:rsid w:val="00A1483B"/>
    <w:rsid w:val="00A40376"/>
    <w:rsid w:val="00A73725"/>
    <w:rsid w:val="00A8215F"/>
    <w:rsid w:val="00B22DCD"/>
    <w:rsid w:val="00B257A5"/>
    <w:rsid w:val="00B405D5"/>
    <w:rsid w:val="00BB0CF6"/>
    <w:rsid w:val="00C172BC"/>
    <w:rsid w:val="00CA6E93"/>
    <w:rsid w:val="00D10454"/>
    <w:rsid w:val="00D25B76"/>
    <w:rsid w:val="00D30537"/>
    <w:rsid w:val="00D43732"/>
    <w:rsid w:val="00D864A3"/>
    <w:rsid w:val="00D939B8"/>
    <w:rsid w:val="00DC045B"/>
    <w:rsid w:val="00E402F3"/>
    <w:rsid w:val="00E558EB"/>
    <w:rsid w:val="00EA47DC"/>
    <w:rsid w:val="00F535B8"/>
    <w:rsid w:val="00FA759D"/>
    <w:rsid w:val="00FF2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59452C"/>
  <w15:chartTrackingRefBased/>
  <w15:docId w15:val="{89EB44E8-8DC4-4A8D-90E9-B02E5423F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DF2"/>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420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0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84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84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84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84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0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849"/>
    <w:rPr>
      <w:rFonts w:eastAsiaTheme="majorEastAsia" w:cstheme="majorBidi"/>
      <w:color w:val="272727" w:themeColor="text1" w:themeTint="D8"/>
    </w:rPr>
  </w:style>
  <w:style w:type="paragraph" w:styleId="Title">
    <w:name w:val="Title"/>
    <w:basedOn w:val="Normal"/>
    <w:next w:val="Normal"/>
    <w:link w:val="TitleChar"/>
    <w:uiPriority w:val="10"/>
    <w:qFormat/>
    <w:rsid w:val="0042084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849"/>
    <w:pPr>
      <w:spacing w:before="160"/>
      <w:jc w:val="center"/>
    </w:pPr>
    <w:rPr>
      <w:i/>
      <w:iCs/>
      <w:color w:val="404040" w:themeColor="text1" w:themeTint="BF"/>
    </w:rPr>
  </w:style>
  <w:style w:type="character" w:customStyle="1" w:styleId="QuoteChar">
    <w:name w:val="Quote Char"/>
    <w:basedOn w:val="DefaultParagraphFont"/>
    <w:link w:val="Quote"/>
    <w:uiPriority w:val="29"/>
    <w:rsid w:val="00420849"/>
    <w:rPr>
      <w:i/>
      <w:iCs/>
      <w:color w:val="404040" w:themeColor="text1" w:themeTint="BF"/>
    </w:rPr>
  </w:style>
  <w:style w:type="paragraph" w:styleId="ListParagraph">
    <w:name w:val="List Paragraph"/>
    <w:basedOn w:val="Normal"/>
    <w:uiPriority w:val="34"/>
    <w:qFormat/>
    <w:rsid w:val="00420849"/>
    <w:pPr>
      <w:ind w:left="720"/>
      <w:contextualSpacing/>
    </w:pPr>
  </w:style>
  <w:style w:type="character" w:styleId="IntenseEmphasis">
    <w:name w:val="Intense Emphasis"/>
    <w:basedOn w:val="DefaultParagraphFont"/>
    <w:uiPriority w:val="21"/>
    <w:qFormat/>
    <w:rsid w:val="00420849"/>
    <w:rPr>
      <w:i/>
      <w:iCs/>
      <w:color w:val="0F4761" w:themeColor="accent1" w:themeShade="BF"/>
    </w:rPr>
  </w:style>
  <w:style w:type="paragraph" w:styleId="IntenseQuote">
    <w:name w:val="Intense Quote"/>
    <w:basedOn w:val="Normal"/>
    <w:next w:val="Normal"/>
    <w:link w:val="IntenseQuoteChar"/>
    <w:uiPriority w:val="30"/>
    <w:qFormat/>
    <w:rsid w:val="00420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849"/>
    <w:rPr>
      <w:i/>
      <w:iCs/>
      <w:color w:val="0F4761" w:themeColor="accent1" w:themeShade="BF"/>
    </w:rPr>
  </w:style>
  <w:style w:type="character" w:styleId="IntenseReference">
    <w:name w:val="Intense Reference"/>
    <w:basedOn w:val="DefaultParagraphFont"/>
    <w:uiPriority w:val="32"/>
    <w:qFormat/>
    <w:rsid w:val="00420849"/>
    <w:rPr>
      <w:b/>
      <w:bCs/>
      <w:smallCaps/>
      <w:color w:val="0F4761" w:themeColor="accent1" w:themeShade="BF"/>
      <w:spacing w:val="5"/>
    </w:rPr>
  </w:style>
  <w:style w:type="table" w:styleId="TableGrid">
    <w:name w:val="Table Grid"/>
    <w:basedOn w:val="TableNormal"/>
    <w:uiPriority w:val="59"/>
    <w:rsid w:val="00FF2D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516F97"/>
    <w:pPr>
      <w:tabs>
        <w:tab w:val="center" w:pos="4513"/>
        <w:tab w:val="right" w:pos="9026"/>
      </w:tabs>
    </w:pPr>
  </w:style>
  <w:style w:type="character" w:customStyle="1" w:styleId="HeaderChar">
    <w:name w:val="Header Char"/>
    <w:basedOn w:val="DefaultParagraphFont"/>
    <w:link w:val="Header"/>
    <w:uiPriority w:val="99"/>
    <w:rsid w:val="00516F97"/>
    <w:rPr>
      <w:kern w:val="0"/>
      <w:lang w:val="en-US"/>
      <w14:ligatures w14:val="none"/>
    </w:rPr>
  </w:style>
  <w:style w:type="paragraph" w:styleId="Footer">
    <w:name w:val="footer"/>
    <w:basedOn w:val="Normal"/>
    <w:link w:val="FooterChar"/>
    <w:uiPriority w:val="99"/>
    <w:unhideWhenUsed/>
    <w:rsid w:val="00516F97"/>
    <w:pPr>
      <w:tabs>
        <w:tab w:val="center" w:pos="4513"/>
        <w:tab w:val="right" w:pos="9026"/>
      </w:tabs>
    </w:pPr>
  </w:style>
  <w:style w:type="character" w:customStyle="1" w:styleId="FooterChar">
    <w:name w:val="Footer Char"/>
    <w:basedOn w:val="DefaultParagraphFont"/>
    <w:link w:val="Footer"/>
    <w:uiPriority w:val="99"/>
    <w:rsid w:val="00516F97"/>
    <w:rPr>
      <w:kern w:val="0"/>
      <w:lang w:val="en-US"/>
      <w14:ligatures w14:val="none"/>
    </w:rPr>
  </w:style>
  <w:style w:type="character" w:styleId="Strong">
    <w:name w:val="Strong"/>
    <w:basedOn w:val="DefaultParagraphFont"/>
    <w:uiPriority w:val="22"/>
    <w:qFormat/>
    <w:rsid w:val="00D939B8"/>
    <w:rPr>
      <w:b/>
      <w:bCs/>
    </w:rPr>
  </w:style>
  <w:style w:type="paragraph" w:styleId="NormalWeb">
    <w:name w:val="Normal (Web)"/>
    <w:basedOn w:val="Normal"/>
    <w:uiPriority w:val="99"/>
    <w:unhideWhenUsed/>
    <w:rsid w:val="005574D9"/>
    <w:rPr>
      <w:rFonts w:ascii="Times New Roman" w:hAnsi="Times New Roman" w:cs="Times New Roman"/>
      <w:sz w:val="24"/>
      <w:szCs w:val="24"/>
    </w:rPr>
  </w:style>
  <w:style w:type="character" w:styleId="Hyperlink">
    <w:name w:val="Hyperlink"/>
    <w:basedOn w:val="DefaultParagraphFont"/>
    <w:uiPriority w:val="99"/>
    <w:unhideWhenUsed/>
    <w:rsid w:val="005574D9"/>
    <w:rPr>
      <w:color w:val="467886" w:themeColor="hyperlink"/>
      <w:u w:val="single"/>
    </w:rPr>
  </w:style>
  <w:style w:type="character" w:styleId="UnresolvedMention">
    <w:name w:val="Unresolved Mention"/>
    <w:basedOn w:val="DefaultParagraphFont"/>
    <w:uiPriority w:val="99"/>
    <w:semiHidden/>
    <w:unhideWhenUsed/>
    <w:rsid w:val="005574D9"/>
    <w:rPr>
      <w:color w:val="605E5C"/>
      <w:shd w:val="clear" w:color="auto" w:fill="E1DFDD"/>
    </w:rPr>
  </w:style>
  <w:style w:type="character" w:styleId="Emphasis">
    <w:name w:val="Emphasis"/>
    <w:basedOn w:val="DefaultParagraphFont"/>
    <w:uiPriority w:val="20"/>
    <w:qFormat/>
    <w:rsid w:val="00A135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54766">
      <w:bodyDiv w:val="1"/>
      <w:marLeft w:val="0"/>
      <w:marRight w:val="0"/>
      <w:marTop w:val="0"/>
      <w:marBottom w:val="0"/>
      <w:divBdr>
        <w:top w:val="none" w:sz="0" w:space="0" w:color="auto"/>
        <w:left w:val="none" w:sz="0" w:space="0" w:color="auto"/>
        <w:bottom w:val="none" w:sz="0" w:space="0" w:color="auto"/>
        <w:right w:val="none" w:sz="0" w:space="0" w:color="auto"/>
      </w:divBdr>
    </w:div>
    <w:div w:id="127826518">
      <w:bodyDiv w:val="1"/>
      <w:marLeft w:val="0"/>
      <w:marRight w:val="0"/>
      <w:marTop w:val="0"/>
      <w:marBottom w:val="0"/>
      <w:divBdr>
        <w:top w:val="none" w:sz="0" w:space="0" w:color="auto"/>
        <w:left w:val="none" w:sz="0" w:space="0" w:color="auto"/>
        <w:bottom w:val="none" w:sz="0" w:space="0" w:color="auto"/>
        <w:right w:val="none" w:sz="0" w:space="0" w:color="auto"/>
      </w:divBdr>
    </w:div>
    <w:div w:id="219442484">
      <w:bodyDiv w:val="1"/>
      <w:marLeft w:val="0"/>
      <w:marRight w:val="0"/>
      <w:marTop w:val="0"/>
      <w:marBottom w:val="0"/>
      <w:divBdr>
        <w:top w:val="none" w:sz="0" w:space="0" w:color="auto"/>
        <w:left w:val="none" w:sz="0" w:space="0" w:color="auto"/>
        <w:bottom w:val="none" w:sz="0" w:space="0" w:color="auto"/>
        <w:right w:val="none" w:sz="0" w:space="0" w:color="auto"/>
      </w:divBdr>
      <w:divsChild>
        <w:div w:id="793017940">
          <w:marLeft w:val="0"/>
          <w:marRight w:val="0"/>
          <w:marTop w:val="0"/>
          <w:marBottom w:val="0"/>
          <w:divBdr>
            <w:top w:val="none" w:sz="0" w:space="0" w:color="auto"/>
            <w:left w:val="none" w:sz="0" w:space="0" w:color="auto"/>
            <w:bottom w:val="none" w:sz="0" w:space="0" w:color="auto"/>
            <w:right w:val="none" w:sz="0" w:space="0" w:color="auto"/>
          </w:divBdr>
          <w:divsChild>
            <w:div w:id="927497816">
              <w:marLeft w:val="0"/>
              <w:marRight w:val="0"/>
              <w:marTop w:val="0"/>
              <w:marBottom w:val="0"/>
              <w:divBdr>
                <w:top w:val="none" w:sz="0" w:space="0" w:color="auto"/>
                <w:left w:val="none" w:sz="0" w:space="0" w:color="auto"/>
                <w:bottom w:val="none" w:sz="0" w:space="0" w:color="auto"/>
                <w:right w:val="none" w:sz="0" w:space="0" w:color="auto"/>
              </w:divBdr>
              <w:divsChild>
                <w:div w:id="2128429976">
                  <w:marLeft w:val="0"/>
                  <w:marRight w:val="0"/>
                  <w:marTop w:val="0"/>
                  <w:marBottom w:val="0"/>
                  <w:divBdr>
                    <w:top w:val="none" w:sz="0" w:space="0" w:color="auto"/>
                    <w:left w:val="none" w:sz="0" w:space="0" w:color="auto"/>
                    <w:bottom w:val="none" w:sz="0" w:space="0" w:color="auto"/>
                    <w:right w:val="none" w:sz="0" w:space="0" w:color="auto"/>
                  </w:divBdr>
                  <w:divsChild>
                    <w:div w:id="52247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515215">
      <w:bodyDiv w:val="1"/>
      <w:marLeft w:val="0"/>
      <w:marRight w:val="0"/>
      <w:marTop w:val="0"/>
      <w:marBottom w:val="0"/>
      <w:divBdr>
        <w:top w:val="none" w:sz="0" w:space="0" w:color="auto"/>
        <w:left w:val="none" w:sz="0" w:space="0" w:color="auto"/>
        <w:bottom w:val="none" w:sz="0" w:space="0" w:color="auto"/>
        <w:right w:val="none" w:sz="0" w:space="0" w:color="auto"/>
      </w:divBdr>
    </w:div>
    <w:div w:id="517231805">
      <w:bodyDiv w:val="1"/>
      <w:marLeft w:val="0"/>
      <w:marRight w:val="0"/>
      <w:marTop w:val="0"/>
      <w:marBottom w:val="0"/>
      <w:divBdr>
        <w:top w:val="none" w:sz="0" w:space="0" w:color="auto"/>
        <w:left w:val="none" w:sz="0" w:space="0" w:color="auto"/>
        <w:bottom w:val="none" w:sz="0" w:space="0" w:color="auto"/>
        <w:right w:val="none" w:sz="0" w:space="0" w:color="auto"/>
      </w:divBdr>
    </w:div>
    <w:div w:id="581333021">
      <w:bodyDiv w:val="1"/>
      <w:marLeft w:val="0"/>
      <w:marRight w:val="0"/>
      <w:marTop w:val="0"/>
      <w:marBottom w:val="0"/>
      <w:divBdr>
        <w:top w:val="none" w:sz="0" w:space="0" w:color="auto"/>
        <w:left w:val="none" w:sz="0" w:space="0" w:color="auto"/>
        <w:bottom w:val="none" w:sz="0" w:space="0" w:color="auto"/>
        <w:right w:val="none" w:sz="0" w:space="0" w:color="auto"/>
      </w:divBdr>
    </w:div>
    <w:div w:id="870337099">
      <w:bodyDiv w:val="1"/>
      <w:marLeft w:val="0"/>
      <w:marRight w:val="0"/>
      <w:marTop w:val="0"/>
      <w:marBottom w:val="0"/>
      <w:divBdr>
        <w:top w:val="none" w:sz="0" w:space="0" w:color="auto"/>
        <w:left w:val="none" w:sz="0" w:space="0" w:color="auto"/>
        <w:bottom w:val="none" w:sz="0" w:space="0" w:color="auto"/>
        <w:right w:val="none" w:sz="0" w:space="0" w:color="auto"/>
      </w:divBdr>
    </w:div>
    <w:div w:id="888297298">
      <w:bodyDiv w:val="1"/>
      <w:marLeft w:val="0"/>
      <w:marRight w:val="0"/>
      <w:marTop w:val="0"/>
      <w:marBottom w:val="0"/>
      <w:divBdr>
        <w:top w:val="none" w:sz="0" w:space="0" w:color="auto"/>
        <w:left w:val="none" w:sz="0" w:space="0" w:color="auto"/>
        <w:bottom w:val="none" w:sz="0" w:space="0" w:color="auto"/>
        <w:right w:val="none" w:sz="0" w:space="0" w:color="auto"/>
      </w:divBdr>
    </w:div>
    <w:div w:id="951207962">
      <w:bodyDiv w:val="1"/>
      <w:marLeft w:val="0"/>
      <w:marRight w:val="0"/>
      <w:marTop w:val="0"/>
      <w:marBottom w:val="0"/>
      <w:divBdr>
        <w:top w:val="none" w:sz="0" w:space="0" w:color="auto"/>
        <w:left w:val="none" w:sz="0" w:space="0" w:color="auto"/>
        <w:bottom w:val="none" w:sz="0" w:space="0" w:color="auto"/>
        <w:right w:val="none" w:sz="0" w:space="0" w:color="auto"/>
      </w:divBdr>
    </w:div>
    <w:div w:id="1136722022">
      <w:bodyDiv w:val="1"/>
      <w:marLeft w:val="0"/>
      <w:marRight w:val="0"/>
      <w:marTop w:val="0"/>
      <w:marBottom w:val="0"/>
      <w:divBdr>
        <w:top w:val="none" w:sz="0" w:space="0" w:color="auto"/>
        <w:left w:val="none" w:sz="0" w:space="0" w:color="auto"/>
        <w:bottom w:val="none" w:sz="0" w:space="0" w:color="auto"/>
        <w:right w:val="none" w:sz="0" w:space="0" w:color="auto"/>
      </w:divBdr>
    </w:div>
    <w:div w:id="1178235414">
      <w:bodyDiv w:val="1"/>
      <w:marLeft w:val="0"/>
      <w:marRight w:val="0"/>
      <w:marTop w:val="0"/>
      <w:marBottom w:val="0"/>
      <w:divBdr>
        <w:top w:val="none" w:sz="0" w:space="0" w:color="auto"/>
        <w:left w:val="none" w:sz="0" w:space="0" w:color="auto"/>
        <w:bottom w:val="none" w:sz="0" w:space="0" w:color="auto"/>
        <w:right w:val="none" w:sz="0" w:space="0" w:color="auto"/>
      </w:divBdr>
    </w:div>
    <w:div w:id="1350377026">
      <w:bodyDiv w:val="1"/>
      <w:marLeft w:val="0"/>
      <w:marRight w:val="0"/>
      <w:marTop w:val="0"/>
      <w:marBottom w:val="0"/>
      <w:divBdr>
        <w:top w:val="none" w:sz="0" w:space="0" w:color="auto"/>
        <w:left w:val="none" w:sz="0" w:space="0" w:color="auto"/>
        <w:bottom w:val="none" w:sz="0" w:space="0" w:color="auto"/>
        <w:right w:val="none" w:sz="0" w:space="0" w:color="auto"/>
      </w:divBdr>
    </w:div>
    <w:div w:id="1562903917">
      <w:bodyDiv w:val="1"/>
      <w:marLeft w:val="0"/>
      <w:marRight w:val="0"/>
      <w:marTop w:val="0"/>
      <w:marBottom w:val="0"/>
      <w:divBdr>
        <w:top w:val="none" w:sz="0" w:space="0" w:color="auto"/>
        <w:left w:val="none" w:sz="0" w:space="0" w:color="auto"/>
        <w:bottom w:val="none" w:sz="0" w:space="0" w:color="auto"/>
        <w:right w:val="none" w:sz="0" w:space="0" w:color="auto"/>
      </w:divBdr>
    </w:div>
    <w:div w:id="1593469171">
      <w:bodyDiv w:val="1"/>
      <w:marLeft w:val="0"/>
      <w:marRight w:val="0"/>
      <w:marTop w:val="0"/>
      <w:marBottom w:val="0"/>
      <w:divBdr>
        <w:top w:val="none" w:sz="0" w:space="0" w:color="auto"/>
        <w:left w:val="none" w:sz="0" w:space="0" w:color="auto"/>
        <w:bottom w:val="none" w:sz="0" w:space="0" w:color="auto"/>
        <w:right w:val="none" w:sz="0" w:space="0" w:color="auto"/>
      </w:divBdr>
    </w:div>
    <w:div w:id="1645231430">
      <w:bodyDiv w:val="1"/>
      <w:marLeft w:val="0"/>
      <w:marRight w:val="0"/>
      <w:marTop w:val="0"/>
      <w:marBottom w:val="0"/>
      <w:divBdr>
        <w:top w:val="none" w:sz="0" w:space="0" w:color="auto"/>
        <w:left w:val="none" w:sz="0" w:space="0" w:color="auto"/>
        <w:bottom w:val="none" w:sz="0" w:space="0" w:color="auto"/>
        <w:right w:val="none" w:sz="0" w:space="0" w:color="auto"/>
      </w:divBdr>
    </w:div>
    <w:div w:id="1685013753">
      <w:bodyDiv w:val="1"/>
      <w:marLeft w:val="0"/>
      <w:marRight w:val="0"/>
      <w:marTop w:val="0"/>
      <w:marBottom w:val="0"/>
      <w:divBdr>
        <w:top w:val="none" w:sz="0" w:space="0" w:color="auto"/>
        <w:left w:val="none" w:sz="0" w:space="0" w:color="auto"/>
        <w:bottom w:val="none" w:sz="0" w:space="0" w:color="auto"/>
        <w:right w:val="none" w:sz="0" w:space="0" w:color="auto"/>
      </w:divBdr>
    </w:div>
    <w:div w:id="1703361616">
      <w:bodyDiv w:val="1"/>
      <w:marLeft w:val="0"/>
      <w:marRight w:val="0"/>
      <w:marTop w:val="0"/>
      <w:marBottom w:val="0"/>
      <w:divBdr>
        <w:top w:val="none" w:sz="0" w:space="0" w:color="auto"/>
        <w:left w:val="none" w:sz="0" w:space="0" w:color="auto"/>
        <w:bottom w:val="none" w:sz="0" w:space="0" w:color="auto"/>
        <w:right w:val="none" w:sz="0" w:space="0" w:color="auto"/>
      </w:divBdr>
    </w:div>
    <w:div w:id="1719546405">
      <w:bodyDiv w:val="1"/>
      <w:marLeft w:val="0"/>
      <w:marRight w:val="0"/>
      <w:marTop w:val="0"/>
      <w:marBottom w:val="0"/>
      <w:divBdr>
        <w:top w:val="none" w:sz="0" w:space="0" w:color="auto"/>
        <w:left w:val="none" w:sz="0" w:space="0" w:color="auto"/>
        <w:bottom w:val="none" w:sz="0" w:space="0" w:color="auto"/>
        <w:right w:val="none" w:sz="0" w:space="0" w:color="auto"/>
      </w:divBdr>
    </w:div>
    <w:div w:id="2026056777">
      <w:bodyDiv w:val="1"/>
      <w:marLeft w:val="0"/>
      <w:marRight w:val="0"/>
      <w:marTop w:val="0"/>
      <w:marBottom w:val="0"/>
      <w:divBdr>
        <w:top w:val="none" w:sz="0" w:space="0" w:color="auto"/>
        <w:left w:val="none" w:sz="0" w:space="0" w:color="auto"/>
        <w:bottom w:val="none" w:sz="0" w:space="0" w:color="auto"/>
        <w:right w:val="none" w:sz="0" w:space="0" w:color="auto"/>
      </w:divBdr>
    </w:div>
    <w:div w:id="2036927208">
      <w:bodyDiv w:val="1"/>
      <w:marLeft w:val="0"/>
      <w:marRight w:val="0"/>
      <w:marTop w:val="0"/>
      <w:marBottom w:val="0"/>
      <w:divBdr>
        <w:top w:val="none" w:sz="0" w:space="0" w:color="auto"/>
        <w:left w:val="none" w:sz="0" w:space="0" w:color="auto"/>
        <w:bottom w:val="none" w:sz="0" w:space="0" w:color="auto"/>
        <w:right w:val="none" w:sz="0" w:space="0" w:color="auto"/>
      </w:divBdr>
    </w:div>
    <w:div w:id="2040154866">
      <w:bodyDiv w:val="1"/>
      <w:marLeft w:val="0"/>
      <w:marRight w:val="0"/>
      <w:marTop w:val="0"/>
      <w:marBottom w:val="0"/>
      <w:divBdr>
        <w:top w:val="none" w:sz="0" w:space="0" w:color="auto"/>
        <w:left w:val="none" w:sz="0" w:space="0" w:color="auto"/>
        <w:bottom w:val="none" w:sz="0" w:space="0" w:color="auto"/>
        <w:right w:val="none" w:sz="0" w:space="0" w:color="auto"/>
      </w:divBdr>
    </w:div>
    <w:div w:id="209316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7/s40264-013-0090-2" TargetMode="External"/><Relationship Id="rId18" Type="http://schemas.openxmlformats.org/officeDocument/2006/relationships/hyperlink" Target="https://doi.org/10.1056/NEJMp1011024"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doi.org/10.1111/hsc.12839" TargetMode="External"/><Relationship Id="rId17" Type="http://schemas.openxmlformats.org/officeDocument/2006/relationships/hyperlink" Target="https://www.leadershipacademy.nhs.uk/wp-content/uploads/dlm_uploads/2014/10/NHSLeadership-LeadershipModel-colour.pdf?utm_source=chatgpt.com" TargetMode="External"/><Relationship Id="rId2" Type="http://schemas.openxmlformats.org/officeDocument/2006/relationships/styles" Target="styles.xml"/><Relationship Id="rId16" Type="http://schemas.openxmlformats.org/officeDocument/2006/relationships/hyperlink" Target="https://doi.org/10.1002/ace.7401" TargetMode="External"/><Relationship Id="rId20" Type="http://schemas.openxmlformats.org/officeDocument/2006/relationships/hyperlink" Target="https://www.kingsfund.org.uk/insight-and-analysis/reports/leadership-development-health-care?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745691614568352" TargetMode="External"/><Relationship Id="rId5" Type="http://schemas.openxmlformats.org/officeDocument/2006/relationships/footnotes" Target="footnotes.xml"/><Relationship Id="rId15" Type="http://schemas.openxmlformats.org/officeDocument/2006/relationships/hyperlink" Target="https://doi.org/10.1177/109019818801500401" TargetMode="External"/><Relationship Id="rId23" Type="http://schemas.openxmlformats.org/officeDocument/2006/relationships/theme" Target="theme/theme1.xml"/><Relationship Id="rId10" Type="http://schemas.openxmlformats.org/officeDocument/2006/relationships/hyperlink" Target="https://doi.org/10.1111/j.0887-378X.2004.00325.x" TargetMode="External"/><Relationship Id="rId19" Type="http://schemas.openxmlformats.org/officeDocument/2006/relationships/hyperlink" Target="https://doi.org/10.1177/109019817400200405" TargetMode="External"/><Relationship Id="rId4" Type="http://schemas.openxmlformats.org/officeDocument/2006/relationships/webSettings" Target="webSettings.xml"/><Relationship Id="rId9" Type="http://schemas.openxmlformats.org/officeDocument/2006/relationships/hyperlink" Target="https://doi.org/10.1136/bmjopen-2016-013384" TargetMode="External"/><Relationship Id="rId14" Type="http://schemas.openxmlformats.org/officeDocument/2006/relationships/hyperlink" Target="https://doi.org/10.1177/00187267470010010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11</Pages>
  <Words>3331</Words>
  <Characters>18989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22</cp:revision>
  <cp:lastPrinted>2025-04-11T12:21:00Z</cp:lastPrinted>
  <dcterms:created xsi:type="dcterms:W3CDTF">2025-04-11T11:14:00Z</dcterms:created>
  <dcterms:modified xsi:type="dcterms:W3CDTF">2026-07-27T10:05:00Z</dcterms:modified>
</cp:coreProperties>
</file>