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74F1E" w14:textId="77777777" w:rsidR="006F6FB1" w:rsidRDefault="006F6FB1" w:rsidP="006F6FB1">
      <w:pPr>
        <w:jc w:val="center"/>
      </w:pPr>
    </w:p>
    <w:p w14:paraId="4BD69629" w14:textId="77777777" w:rsidR="006F6FB1" w:rsidRPr="006F6FB1" w:rsidRDefault="006F6FB1" w:rsidP="002F17A4">
      <w:pPr>
        <w:rPr>
          <w:rFonts w:asciiTheme="majorHAnsi" w:hAnsiTheme="majorHAnsi"/>
          <w:b/>
          <w:bCs/>
          <w:sz w:val="36"/>
          <w:szCs w:val="36"/>
        </w:rPr>
      </w:pPr>
    </w:p>
    <w:p w14:paraId="3B26D18C" w14:textId="68ACE4E8" w:rsidR="00F568F1" w:rsidRPr="006F6FB1" w:rsidRDefault="00F568F1" w:rsidP="006F6FB1">
      <w:pPr>
        <w:jc w:val="center"/>
        <w:rPr>
          <w:rFonts w:asciiTheme="majorHAnsi" w:hAnsiTheme="majorHAnsi"/>
          <w:b/>
          <w:bCs/>
          <w:sz w:val="48"/>
          <w:szCs w:val="48"/>
          <w:u w:val="single"/>
        </w:rPr>
      </w:pPr>
      <w:r w:rsidRPr="006F6FB1">
        <w:rPr>
          <w:rFonts w:asciiTheme="majorHAnsi" w:hAnsiTheme="majorHAnsi"/>
          <w:b/>
          <w:bCs/>
          <w:sz w:val="48"/>
          <w:szCs w:val="48"/>
          <w:u w:val="single"/>
        </w:rPr>
        <w:t>House of Menander</w:t>
      </w:r>
    </w:p>
    <w:p w14:paraId="02C75814" w14:textId="7361C4AA" w:rsidR="00F568F1" w:rsidRPr="006F6FB1" w:rsidRDefault="00F568F1" w:rsidP="006F6FB1">
      <w:pPr>
        <w:jc w:val="center"/>
        <w:rPr>
          <w:rFonts w:asciiTheme="majorHAnsi" w:hAnsiTheme="majorHAnsi"/>
          <w:b/>
          <w:bCs/>
          <w:sz w:val="36"/>
          <w:szCs w:val="36"/>
        </w:rPr>
      </w:pPr>
      <w:r w:rsidRPr="006F6FB1">
        <w:rPr>
          <w:rFonts w:asciiTheme="majorHAnsi" w:hAnsiTheme="majorHAnsi"/>
          <w:b/>
          <w:bCs/>
          <w:sz w:val="36"/>
          <w:szCs w:val="36"/>
        </w:rPr>
        <w:t xml:space="preserve">(Casa del </w:t>
      </w:r>
      <w:proofErr w:type="spellStart"/>
      <w:r w:rsidRPr="006F6FB1">
        <w:rPr>
          <w:rFonts w:asciiTheme="majorHAnsi" w:hAnsiTheme="majorHAnsi"/>
          <w:b/>
          <w:bCs/>
          <w:sz w:val="36"/>
          <w:szCs w:val="36"/>
        </w:rPr>
        <w:t>Menandro</w:t>
      </w:r>
      <w:proofErr w:type="spellEnd"/>
      <w:r w:rsidRPr="006F6FB1">
        <w:rPr>
          <w:rFonts w:asciiTheme="majorHAnsi" w:hAnsiTheme="majorHAnsi"/>
          <w:b/>
          <w:bCs/>
          <w:sz w:val="36"/>
          <w:szCs w:val="36"/>
        </w:rPr>
        <w:t>)</w:t>
      </w:r>
    </w:p>
    <w:p w14:paraId="5DCF75CF" w14:textId="57D08867" w:rsidR="00F568F1" w:rsidRDefault="006F6FB1">
      <w:r>
        <w:rPr>
          <w:noProof/>
        </w:rPr>
        <w:drawing>
          <wp:inline distT="0" distB="0" distL="0" distR="0" wp14:anchorId="760DB932" wp14:editId="618839CD">
            <wp:extent cx="5731510" cy="3800475"/>
            <wp:effectExtent l="0" t="0" r="2540" b="9525"/>
            <wp:docPr id="1998004699" name="Picture 1" descr="A stone building with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04699" name="Picture 1" descr="A stone building with columns&#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800475"/>
                    </a:xfrm>
                    <a:prstGeom prst="rect">
                      <a:avLst/>
                    </a:prstGeom>
                  </pic:spPr>
                </pic:pic>
              </a:graphicData>
            </a:graphic>
          </wp:inline>
        </w:drawing>
      </w:r>
    </w:p>
    <w:p w14:paraId="01146E52" w14:textId="1925C88F" w:rsidR="002F17A4" w:rsidRPr="00152611" w:rsidRDefault="002F17A4" w:rsidP="00152611">
      <w:pPr>
        <w:jc w:val="center"/>
        <w:rPr>
          <w:sz w:val="22"/>
          <w:szCs w:val="22"/>
        </w:rPr>
      </w:pPr>
      <w:r w:rsidRPr="00152611">
        <w:rPr>
          <w:i/>
          <w:iCs/>
          <w:sz w:val="22"/>
          <w:szCs w:val="22"/>
        </w:rPr>
        <w:t>The tablinum of the House of Menander</w:t>
      </w:r>
      <w:r w:rsidRPr="00152611">
        <w:rPr>
          <w:i/>
          <w:iCs/>
          <w:sz w:val="22"/>
          <w:szCs w:val="22"/>
        </w:rPr>
        <w:t xml:space="preserve">, taken from </w:t>
      </w:r>
      <w:r w:rsidR="00152611" w:rsidRPr="00152611">
        <w:rPr>
          <w:i/>
          <w:iCs/>
          <w:sz w:val="22"/>
          <w:szCs w:val="22"/>
        </w:rPr>
        <w:t>GreekReporter.com, image c</w:t>
      </w:r>
      <w:r w:rsidRPr="00152611">
        <w:rPr>
          <w:i/>
          <w:iCs/>
          <w:sz w:val="22"/>
          <w:szCs w:val="22"/>
        </w:rPr>
        <w:t>redit: </w:t>
      </w:r>
      <w:hyperlink r:id="rId5" w:history="1">
        <w:r w:rsidRPr="00152611">
          <w:rPr>
            <w:rStyle w:val="Hyperlink"/>
            <w:i/>
            <w:iCs/>
            <w:sz w:val="22"/>
            <w:szCs w:val="22"/>
          </w:rPr>
          <w:t>Carole Raddato</w:t>
        </w:r>
      </w:hyperlink>
    </w:p>
    <w:p w14:paraId="7C4F4062" w14:textId="77777777" w:rsidR="00550C91" w:rsidRDefault="00550C91">
      <w:r>
        <w:br w:type="page"/>
      </w:r>
    </w:p>
    <w:p w14:paraId="6796F28A" w14:textId="6B913967" w:rsidR="00D55CA4" w:rsidRDefault="0039336D">
      <w:r>
        <w:lastRenderedPageBreak/>
        <w:t xml:space="preserve">Situated in the </w:t>
      </w:r>
      <w:r w:rsidR="00D55CA4">
        <w:t xml:space="preserve">i.10 insula of Pompeii, </w:t>
      </w:r>
      <w:r w:rsidR="00B0000B">
        <w:t>t</w:t>
      </w:r>
      <w:r w:rsidR="00D55CA4">
        <w:t xml:space="preserve">he House of Menander </w:t>
      </w:r>
      <w:r w:rsidR="0051714B">
        <w:t>is a</w:t>
      </w:r>
      <w:r w:rsidR="008F647B">
        <w:t xml:space="preserve"> vast </w:t>
      </w:r>
      <w:r w:rsidR="0051714B">
        <w:t>villa that dominates the insula</w:t>
      </w:r>
      <w:r w:rsidR="00B0000B">
        <w:t xml:space="preserve">. </w:t>
      </w:r>
      <w:r w:rsidR="006974A0">
        <w:t xml:space="preserve">It encompasses an area of </w:t>
      </w:r>
      <w:r w:rsidR="0020152C">
        <w:t>roughly 1,800</w:t>
      </w:r>
      <w:r w:rsidR="00EA5C96">
        <w:t xml:space="preserve"> sq</w:t>
      </w:r>
      <w:r w:rsidR="00B241F1">
        <w:t xml:space="preserve">uare </w:t>
      </w:r>
      <w:r w:rsidR="00EA5C96">
        <w:t xml:space="preserve">metres (19,000 square feet), </w:t>
      </w:r>
      <w:r w:rsidR="008A1ADF">
        <w:t xml:space="preserve">and as a result it comprises </w:t>
      </w:r>
      <w:proofErr w:type="gramStart"/>
      <w:r w:rsidR="008A1ADF">
        <w:t>the vast majority of</w:t>
      </w:r>
      <w:proofErr w:type="gramEnd"/>
      <w:r w:rsidR="008A1ADF">
        <w:t xml:space="preserve"> the insula it sits within </w:t>
      </w:r>
      <w:r w:rsidR="00B241F1">
        <w:t>(</w:t>
      </w:r>
      <w:proofErr w:type="spellStart"/>
      <w:r w:rsidR="00B241F1">
        <w:t>Raddato</w:t>
      </w:r>
      <w:proofErr w:type="spellEnd"/>
      <w:r w:rsidR="00B241F1">
        <w:t xml:space="preserve">, 2019). </w:t>
      </w:r>
      <w:r w:rsidR="00B0000B">
        <w:t xml:space="preserve">The </w:t>
      </w:r>
      <w:r w:rsidR="003D2B15">
        <w:t xml:space="preserve">landscape of the villa contains </w:t>
      </w:r>
      <w:proofErr w:type="gramStart"/>
      <w:r w:rsidR="003D2B15">
        <w:t>a number of</w:t>
      </w:r>
      <w:proofErr w:type="gramEnd"/>
      <w:r w:rsidR="003D2B15">
        <w:t xml:space="preserve"> different developments, such as newer-styled peristyle gardens, and elegant gateways and columns </w:t>
      </w:r>
      <w:r w:rsidR="00EA7037">
        <w:t xml:space="preserve">throughout the rooms. </w:t>
      </w:r>
      <w:r w:rsidR="00BF0F79">
        <w:t xml:space="preserve">Finds in the house of a large silver horde suggest that the owner of the house may have been incredibly wealthy, given the sheer scale of </w:t>
      </w:r>
      <w:r w:rsidR="009D79EA">
        <w:t xml:space="preserve">both the finds, and the house itself. </w:t>
      </w:r>
      <w:r w:rsidR="00C639D5">
        <w:t>Though the owner of the house is uncertain, it can definitively be said that it was not the Greek playwright Menander who lived here</w:t>
      </w:r>
      <w:r w:rsidR="00CF367D">
        <w:t xml:space="preserve"> at the time of Vesuvius’ eruption</w:t>
      </w:r>
      <w:r w:rsidR="00C639D5">
        <w:t xml:space="preserve">, given that his </w:t>
      </w:r>
      <w:r w:rsidR="00CF367D">
        <w:t xml:space="preserve">writings predate the villa by several hundred years. </w:t>
      </w:r>
    </w:p>
    <w:p w14:paraId="2B765A89" w14:textId="5618DDD8" w:rsidR="00765FD5" w:rsidRDefault="00ED24A6">
      <w:r>
        <w:t xml:space="preserve">While the complex itself is </w:t>
      </w:r>
      <w:r w:rsidR="00B16F53">
        <w:t>na</w:t>
      </w:r>
      <w:r>
        <w:t>med the House of Menander as a broad term,</w:t>
      </w:r>
      <w:r w:rsidR="002C0591">
        <w:t xml:space="preserve"> ‘house’ as a modern concept may be the incorrect categorisation</w:t>
      </w:r>
      <w:r w:rsidR="00C1736D">
        <w:t>, given that</w:t>
      </w:r>
      <w:r>
        <w:t xml:space="preserve"> it is </w:t>
      </w:r>
      <w:r w:rsidR="00B16F53">
        <w:t>comprised</w:t>
      </w:r>
      <w:r>
        <w:t xml:space="preserve"> of </w:t>
      </w:r>
      <w:r w:rsidR="00765FD5">
        <w:t>several</w:t>
      </w:r>
      <w:r>
        <w:t xml:space="preserve"> different structure and </w:t>
      </w:r>
      <w:r w:rsidR="00B16F53">
        <w:t xml:space="preserve">buildings, each with an individual </w:t>
      </w:r>
      <w:r w:rsidR="00765FD5">
        <w:t>function</w:t>
      </w:r>
      <w:r w:rsidR="00B36003">
        <w:t>, such as the</w:t>
      </w:r>
      <w:r w:rsidR="00B36003" w:rsidRPr="00B36003">
        <w:rPr>
          <w:i/>
          <w:iCs/>
        </w:rPr>
        <w:t xml:space="preserve"> atrium</w:t>
      </w:r>
      <w:r w:rsidR="00B36003">
        <w:t xml:space="preserve"> and </w:t>
      </w:r>
      <w:r w:rsidR="00B36003" w:rsidRPr="00B36003">
        <w:rPr>
          <w:i/>
          <w:iCs/>
        </w:rPr>
        <w:t>tablinum</w:t>
      </w:r>
      <w:r w:rsidR="00B36003">
        <w:t xml:space="preserve">. </w:t>
      </w:r>
      <w:r w:rsidR="00A651EE">
        <w:t xml:space="preserve">Atriums functioned as what the modern audience would call an </w:t>
      </w:r>
      <w:r w:rsidR="009568AD">
        <w:t>ancestral space, dedicated to the maternal leader of the house. Typically, it would be lavishly decorated, with a symbolic bed standing in the middle of the room as an offering to the household</w:t>
      </w:r>
      <w:r w:rsidR="00B166DD">
        <w:t xml:space="preserve"> (</w:t>
      </w:r>
      <w:proofErr w:type="spellStart"/>
      <w:r w:rsidR="00B166DD">
        <w:t>Cavazzi</w:t>
      </w:r>
      <w:proofErr w:type="spellEnd"/>
      <w:r w:rsidR="006279EB">
        <w:t xml:space="preserve">, 2024). </w:t>
      </w:r>
      <w:r w:rsidR="009568AD">
        <w:t xml:space="preserve"> Separated by a </w:t>
      </w:r>
      <w:r w:rsidR="00A640EC">
        <w:t xml:space="preserve">curtain rather than a solid wall, the tablinum acted as a reception hall into the house, wherein </w:t>
      </w:r>
      <w:r w:rsidR="00B166DD">
        <w:t xml:space="preserve">guests could be received before progressing further into the complex. </w:t>
      </w:r>
    </w:p>
    <w:p w14:paraId="3A15AD7E" w14:textId="660B98B5" w:rsidR="005C7852" w:rsidRDefault="00E608E1" w:rsidP="00E608E1">
      <w:pPr>
        <w:jc w:val="center"/>
      </w:pPr>
      <w:r>
        <w:rPr>
          <w:noProof/>
        </w:rPr>
        <w:drawing>
          <wp:inline distT="0" distB="0" distL="0" distR="0" wp14:anchorId="65EE56D5" wp14:editId="7127212C">
            <wp:extent cx="2164080" cy="3244458"/>
            <wp:effectExtent l="0" t="0" r="7620" b="0"/>
            <wp:docPr id="1180148237" name="Picture 2" descr="A stone room with a sky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48237" name="Picture 2" descr="A stone room with a skyligh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68222" cy="3250668"/>
                    </a:xfrm>
                    <a:prstGeom prst="rect">
                      <a:avLst/>
                    </a:prstGeom>
                  </pic:spPr>
                </pic:pic>
              </a:graphicData>
            </a:graphic>
          </wp:inline>
        </w:drawing>
      </w:r>
    </w:p>
    <w:p w14:paraId="6B5459B7" w14:textId="737650B5" w:rsidR="00E608E1" w:rsidRPr="00F214B1" w:rsidRDefault="00E608E1" w:rsidP="00E608E1">
      <w:pPr>
        <w:jc w:val="center"/>
        <w:rPr>
          <w:sz w:val="18"/>
          <w:szCs w:val="18"/>
        </w:rPr>
      </w:pPr>
      <w:r w:rsidRPr="00F214B1">
        <w:rPr>
          <w:sz w:val="18"/>
          <w:szCs w:val="18"/>
        </w:rPr>
        <w:t xml:space="preserve">Atrium of the House of Menander, photographed leading to the </w:t>
      </w:r>
      <w:r w:rsidR="00F214B1" w:rsidRPr="00F214B1">
        <w:rPr>
          <w:sz w:val="18"/>
          <w:szCs w:val="18"/>
        </w:rPr>
        <w:t>tablinum and peristyle, image courtesy of Johannes Eber, 2022</w:t>
      </w:r>
    </w:p>
    <w:p w14:paraId="693B7E2E" w14:textId="57E29F6D" w:rsidR="0097653E" w:rsidRDefault="0097653E">
      <w:r>
        <w:t xml:space="preserve">Excavations began in November </w:t>
      </w:r>
      <w:r w:rsidR="00A65C69">
        <w:t>of 1926 – June 193</w:t>
      </w:r>
      <w:r w:rsidR="00A34565">
        <w:t xml:space="preserve">2, using many standard forms of excavation and research of the time; </w:t>
      </w:r>
      <w:r w:rsidR="00551EF6">
        <w:t xml:space="preserve">study of the building materials and techniques, </w:t>
      </w:r>
      <w:r w:rsidR="00D31559">
        <w:lastRenderedPageBreak/>
        <w:t>alongside the study of wall-abutments and anomalies (</w:t>
      </w:r>
      <w:r w:rsidR="005F156E">
        <w:t xml:space="preserve">Ling et.al, 1983). </w:t>
      </w:r>
      <w:r w:rsidR="00E92A8D">
        <w:t xml:space="preserve">Five different stages of </w:t>
      </w:r>
      <w:r w:rsidR="008F215D">
        <w:t>development</w:t>
      </w:r>
      <w:r w:rsidR="00E92A8D">
        <w:t xml:space="preserve"> (or </w:t>
      </w:r>
      <w:r w:rsidR="00D77D78">
        <w:t>phases</w:t>
      </w:r>
      <w:r w:rsidR="00E92A8D">
        <w:t xml:space="preserve">) of the house have been </w:t>
      </w:r>
      <w:r w:rsidR="001B61AC">
        <w:t>recognised</w:t>
      </w:r>
      <w:r w:rsidR="00E92A8D">
        <w:t xml:space="preserve"> through the </w:t>
      </w:r>
      <w:r w:rsidR="00D115DA">
        <w:t xml:space="preserve">excavations of the house, with </w:t>
      </w:r>
      <w:proofErr w:type="gramStart"/>
      <w:r w:rsidR="00D115DA">
        <w:t>the majority of</w:t>
      </w:r>
      <w:proofErr w:type="gramEnd"/>
      <w:r w:rsidR="00D115DA">
        <w:t xml:space="preserve"> the surviving decorations of the house surviving from the 5</w:t>
      </w:r>
      <w:r w:rsidR="00D115DA" w:rsidRPr="00D115DA">
        <w:rPr>
          <w:vertAlign w:val="superscript"/>
        </w:rPr>
        <w:t>th</w:t>
      </w:r>
      <w:r w:rsidR="00D115DA">
        <w:t xml:space="preserve"> of these iterations (Ling et.al, 19</w:t>
      </w:r>
      <w:r w:rsidR="008F215D">
        <w:t xml:space="preserve">83). By the time excavations had truly been underway, the damage to the later developments of the house were made clear; extensions to the upper-floors of the house had collapsed as a consequence of the earthquakes surrounding the eruption of Vesuvius in 79A.D, </w:t>
      </w:r>
      <w:r w:rsidR="008E7F25">
        <w:t xml:space="preserve">however the collapse of some walls and the subsequent reveal of previously closed off areas offered an insight to the extents to which modifications were made to the structure of the house. Notably, areas such as the peristyle and atrium were altered </w:t>
      </w:r>
      <w:proofErr w:type="gramStart"/>
      <w:r w:rsidR="008E7F25">
        <w:t>in order to</w:t>
      </w:r>
      <w:proofErr w:type="gramEnd"/>
      <w:r w:rsidR="008E7F25">
        <w:t xml:space="preserve"> change the layout of the buildings and separate them, while </w:t>
      </w:r>
      <w:r w:rsidR="005142B2">
        <w:t xml:space="preserve">inconsistencies in some walls allude to demolition of these walls </w:t>
      </w:r>
      <w:proofErr w:type="gramStart"/>
      <w:r w:rsidR="005142B2">
        <w:t>in order to</w:t>
      </w:r>
      <w:proofErr w:type="gramEnd"/>
      <w:r w:rsidR="005142B2">
        <w:t xml:space="preserve"> </w:t>
      </w:r>
      <w:r w:rsidR="000B4830">
        <w:t>connect</w:t>
      </w:r>
      <w:r w:rsidR="005142B2">
        <w:t xml:space="preserve"> previously separated rooms, such as the </w:t>
      </w:r>
      <w:r w:rsidR="00765117">
        <w:t>south</w:t>
      </w:r>
      <w:r w:rsidR="000B4830">
        <w:t xml:space="preserve">-west side of the bath-suite. </w:t>
      </w:r>
      <w:r w:rsidR="001B61AC">
        <w:t xml:space="preserve">A constant number of changes structurally made to the house imply an abundance of wealth by the family (or families) who owned it, </w:t>
      </w:r>
      <w:r w:rsidR="0004444F">
        <w:t>suggesting they were of great wealth. The seal found within the servant’s quarters of the house engraved with the initials QPS suggest it could have been occupied at a point by Quintus Pontius Sabinus, the cousin of Emperor Nero’s second wife Poppaea Sabina</w:t>
      </w:r>
      <w:r w:rsidR="004B6363">
        <w:t xml:space="preserve"> (Sheldon, 2022)</w:t>
      </w:r>
      <w:r w:rsidR="0004444F">
        <w:t xml:space="preserve">. </w:t>
      </w:r>
      <w:r w:rsidR="00782EA3">
        <w:t xml:space="preserve">Evidence of carts and agricultural tools found within the stable yard of the complex imply there may have been connections to the agricultural industry of Pompeii, </w:t>
      </w:r>
      <w:r w:rsidR="00F837B7">
        <w:t xml:space="preserve">which would suggest where some of the wealth of the household came from. </w:t>
      </w:r>
      <w:r w:rsidR="008B64AB">
        <w:t xml:space="preserve">Pompeii was an area rich in </w:t>
      </w:r>
      <w:r w:rsidR="00BB0455">
        <w:t xml:space="preserve">fertile soils, </w:t>
      </w:r>
      <w:r w:rsidR="006507C3">
        <w:t xml:space="preserve">making it an ideal location to cultivate three crop </w:t>
      </w:r>
      <w:proofErr w:type="gramStart"/>
      <w:r w:rsidR="006507C3">
        <w:t>types;</w:t>
      </w:r>
      <w:proofErr w:type="gramEnd"/>
      <w:r w:rsidR="006507C3">
        <w:t xml:space="preserve"> cereal grains, olive trees, and </w:t>
      </w:r>
      <w:r w:rsidR="00902455">
        <w:t>grape vines (</w:t>
      </w:r>
      <w:proofErr w:type="spellStart"/>
      <w:r w:rsidR="003A1A3B">
        <w:t>Gracco</w:t>
      </w:r>
      <w:proofErr w:type="spellEnd"/>
      <w:r w:rsidR="00902455">
        <w:t>, 2025)</w:t>
      </w:r>
      <w:r w:rsidR="00922831">
        <w:t xml:space="preserve">. </w:t>
      </w:r>
      <w:r w:rsidR="001963F1">
        <w:t xml:space="preserve">The presence of agricultural items within the House suggests there may have been some form of connection to the industry, and as a result it would have </w:t>
      </w:r>
      <w:r w:rsidR="0012774D">
        <w:t xml:space="preserve">both </w:t>
      </w:r>
      <w:r w:rsidR="008B1F0E">
        <w:t xml:space="preserve">financially benefitted the </w:t>
      </w:r>
      <w:proofErr w:type="gramStart"/>
      <w:r w:rsidR="008B1F0E">
        <w:t>homeowners, but</w:t>
      </w:r>
      <w:proofErr w:type="gramEnd"/>
      <w:r w:rsidR="008B1F0E">
        <w:t xml:space="preserve"> also allowed them to contribute material goods to the local economy by producing tradeable goods. </w:t>
      </w:r>
    </w:p>
    <w:p w14:paraId="57932E76" w14:textId="258F25FA" w:rsidR="0085117B" w:rsidRDefault="0085117B">
      <w:r>
        <w:t xml:space="preserve">Material culture of the house creates our greatest impression of the building and its occupants, </w:t>
      </w:r>
      <w:proofErr w:type="gramStart"/>
      <w:r>
        <w:t>in particular through</w:t>
      </w:r>
      <w:proofErr w:type="gramEnd"/>
      <w:r>
        <w:t xml:space="preserve"> the impressions created by the choice of frescoes and mosaics within the rooms. </w:t>
      </w:r>
      <w:r w:rsidR="004A7521">
        <w:t xml:space="preserve">Given that the namesake of the building derives from the frescoes of the Greek playwright Menander, it is unsurprising that the </w:t>
      </w:r>
      <w:r w:rsidR="0083147E">
        <w:t xml:space="preserve">entire house contains images of Greek plays and myths, such as the frescoes of the </w:t>
      </w:r>
      <w:r w:rsidR="00AB0288">
        <w:t xml:space="preserve">theatrical masks, found </w:t>
      </w:r>
      <w:r w:rsidR="00E93146">
        <w:t xml:space="preserve">on the west wall of the atrium. </w:t>
      </w:r>
      <w:r w:rsidR="004B6363">
        <w:t>Them</w:t>
      </w:r>
      <w:r w:rsidR="001A56AC">
        <w:t xml:space="preserve">es such as poetry and plays decorate </w:t>
      </w:r>
      <w:proofErr w:type="gramStart"/>
      <w:r w:rsidR="001A56AC">
        <w:t>the majority of</w:t>
      </w:r>
      <w:proofErr w:type="gramEnd"/>
      <w:r w:rsidR="001A56AC">
        <w:t xml:space="preserve"> the house, with the occasional mythical creature, however a clear focal point of myths can be seen in the mosaics within</w:t>
      </w:r>
      <w:r w:rsidR="00A42D83">
        <w:t xml:space="preserve"> the bath-suite of the house. Each side of the bath itself is lined with scenes of dolphins bearing tridents, seahorses, and elegant pottery with vines and plants. These decorations may act as an allusion </w:t>
      </w:r>
      <w:r w:rsidR="00BA383A">
        <w:t>to t</w:t>
      </w:r>
      <w:r w:rsidR="00A42D83">
        <w:t xml:space="preserve">he God Neptune, </w:t>
      </w:r>
      <w:r w:rsidR="00BA383A">
        <w:t xml:space="preserve">or at the least to show to any visitors an association to the water deity, once again as a method to </w:t>
      </w:r>
      <w:r w:rsidR="004504F2">
        <w:t xml:space="preserve">highlight the knowledge of the homeowner. </w:t>
      </w:r>
    </w:p>
    <w:p w14:paraId="35D23DD1" w14:textId="69771E60" w:rsidR="004504F2" w:rsidRDefault="00433B83">
      <w:r>
        <w:t xml:space="preserve">Architecture of the house offers a further insight to the life of those who lived there, including their piety as Roman citizens, demonstrated by the surviving lararium, or </w:t>
      </w:r>
      <w:r>
        <w:lastRenderedPageBreak/>
        <w:t xml:space="preserve">household shrine. </w:t>
      </w:r>
      <w:r w:rsidR="00152E87">
        <w:t xml:space="preserve">This lararium ‘bound the family to its past and </w:t>
      </w:r>
      <w:r w:rsidR="003F0EE1">
        <w:t xml:space="preserve">encouraged its present success’ (Davies, 1978), and the complexity of the House of Menander’s </w:t>
      </w:r>
      <w:r w:rsidR="009545F5">
        <w:t xml:space="preserve">shrine suggests the residents sought to achieve two things. Firstly, that the homeowners wished to </w:t>
      </w:r>
      <w:r w:rsidR="00573B76">
        <w:t>dedicate</w:t>
      </w:r>
      <w:r w:rsidR="009545F5">
        <w:t xml:space="preserve"> themselves to their household religion</w:t>
      </w:r>
      <w:r w:rsidR="00573B76">
        <w:t xml:space="preserve"> through the construction of the shrine; and secondly, that they may have wished to flaunt their wealth to those who visited the </w:t>
      </w:r>
      <w:r w:rsidR="008905BF">
        <w:t xml:space="preserve">house, as this would have been a dramatic sight for those who saw it. </w:t>
      </w:r>
      <w:r w:rsidR="009E6693">
        <w:t xml:space="preserve">Household religious, and worship of the household gods, were common aspects of the Roman life, however being able to dedicate such an elaborately decorated lararium would have been more unusual at this time. </w:t>
      </w:r>
    </w:p>
    <w:p w14:paraId="77A3D1B7" w14:textId="6B23DADF" w:rsidR="009D66DB" w:rsidRDefault="00BA5C95">
      <w:r>
        <w:t xml:space="preserve">Silver items dominated </w:t>
      </w:r>
      <w:proofErr w:type="gramStart"/>
      <w:r>
        <w:t>the large majority of</w:t>
      </w:r>
      <w:proofErr w:type="gramEnd"/>
      <w:r>
        <w:t xml:space="preserve"> items found within the house, and of these they were extremely well preserved given the secure storage of them</w:t>
      </w:r>
      <w:r w:rsidR="00587EA3">
        <w:t xml:space="preserve"> </w:t>
      </w:r>
      <w:proofErr w:type="gramStart"/>
      <w:r w:rsidR="00587EA3">
        <w:t>previous to</w:t>
      </w:r>
      <w:proofErr w:type="gramEnd"/>
      <w:r w:rsidR="00587EA3">
        <w:t xml:space="preserve"> the eruption of Vesuvius</w:t>
      </w:r>
      <w:r>
        <w:t xml:space="preserve">. The </w:t>
      </w:r>
      <w:r w:rsidR="00600733">
        <w:t xml:space="preserve">unfinished building works inadvertently helped to preserve the material culture of the </w:t>
      </w:r>
      <w:r w:rsidR="00866FD3">
        <w:t>house;</w:t>
      </w:r>
      <w:r w:rsidR="00600733">
        <w:t xml:space="preserve"> by ensuring it was stored in a way that minimised damage to the pieces. Of the </w:t>
      </w:r>
      <w:r w:rsidR="00E50567">
        <w:t xml:space="preserve">items, </w:t>
      </w:r>
      <w:r w:rsidR="00866FD3">
        <w:t>eating ware</w:t>
      </w:r>
      <w:r w:rsidR="00E50567">
        <w:t xml:space="preserve"> made up a vast majority of the</w:t>
      </w:r>
      <w:r w:rsidR="00F37D63">
        <w:t>m</w:t>
      </w:r>
      <w:r w:rsidR="00E50567">
        <w:t xml:space="preserve">, including a </w:t>
      </w:r>
      <w:r w:rsidR="00866FD3">
        <w:t xml:space="preserve">skyphos (two-handed drinking cup), depicting the trials of Hercules. By combining both </w:t>
      </w:r>
      <w:r w:rsidR="00887EC6">
        <w:t xml:space="preserve">expensive materials such as silver, and the iconography of the 12 labours, even cups within the house demonstrated the wealth and sophistication of the </w:t>
      </w:r>
      <w:r w:rsidR="000B4830">
        <w:t>homeowner</w:t>
      </w:r>
      <w:r w:rsidR="00887EC6">
        <w:t xml:space="preserve">. </w:t>
      </w:r>
      <w:r w:rsidR="00D16438">
        <w:t xml:space="preserve">A grand sum of 118 items </w:t>
      </w:r>
      <w:proofErr w:type="gramStart"/>
      <w:r w:rsidR="00D16438">
        <w:t>were</w:t>
      </w:r>
      <w:proofErr w:type="gramEnd"/>
      <w:r w:rsidR="00D16438">
        <w:t xml:space="preserve"> recovered, a vast majority of these stored saf</w:t>
      </w:r>
      <w:r w:rsidR="00CC5684">
        <w:t xml:space="preserve">ely in chests with layers of blankets for an additional layer of protection while they were stored. </w:t>
      </w:r>
      <w:r w:rsidR="00A64EB7">
        <w:t xml:space="preserve">Jewellery was also found amongst these items, consisting </w:t>
      </w:r>
      <w:r w:rsidR="00C67ADF">
        <w:t xml:space="preserve">of </w:t>
      </w:r>
      <w:r w:rsidR="002F1921" w:rsidRPr="002F1921">
        <w:t xml:space="preserve">three pairs of earrings, two small necklaces, two </w:t>
      </w:r>
      <w:r w:rsidR="002F1921" w:rsidRPr="002F1921">
        <w:t>arm rings</w:t>
      </w:r>
      <w:r w:rsidR="002F1921" w:rsidRPr="002F1921">
        <w:t>, two hairpins, a bulla, eleven rings, and a small ball of fine gold wire</w:t>
      </w:r>
      <w:r w:rsidR="002F1921">
        <w:t>, the latter of which may have been intended for repairing the other items, though this is uncertain (</w:t>
      </w:r>
      <w:r w:rsidR="003A54F9">
        <w:t>Painter, 2001).</w:t>
      </w:r>
      <w:r w:rsidR="00F37D63">
        <w:t xml:space="preserve"> </w:t>
      </w:r>
      <w:r w:rsidR="00BD44E7">
        <w:t xml:space="preserve">Items such as these continue to show the wealth of the occupants, as they were </w:t>
      </w:r>
      <w:r w:rsidR="00C17725">
        <w:t xml:space="preserve">able to own not only silver items, but gold jewellery, which would have had the sole function of </w:t>
      </w:r>
      <w:r w:rsidR="00DB7827">
        <w:t xml:space="preserve">elevating the image of the wearer. </w:t>
      </w:r>
    </w:p>
    <w:p w14:paraId="54F19665" w14:textId="22340761" w:rsidR="00CF3C64" w:rsidRDefault="00E0356F">
      <w:r>
        <w:t xml:space="preserve">Fractures across the frescoes and mosaics are one of the greatest forms of damage to the house, </w:t>
      </w:r>
      <w:proofErr w:type="gramStart"/>
      <w:r>
        <w:t>in particular to</w:t>
      </w:r>
      <w:proofErr w:type="gramEnd"/>
      <w:r>
        <w:t xml:space="preserve"> the walls of the house, both externally and internally. </w:t>
      </w:r>
      <w:r w:rsidR="00A54F07">
        <w:t xml:space="preserve">There </w:t>
      </w:r>
      <w:proofErr w:type="gramStart"/>
      <w:r w:rsidR="00A54F07">
        <w:t>are</w:t>
      </w:r>
      <w:proofErr w:type="gramEnd"/>
      <w:r w:rsidR="00A54F07">
        <w:t xml:space="preserve"> however, some indi</w:t>
      </w:r>
      <w:r w:rsidR="00272A21">
        <w:t>cations</w:t>
      </w:r>
      <w:r w:rsidR="00A54F07">
        <w:t xml:space="preserve"> of damage by potential looters, indicated by small holes created within the walls and layers of volcanic rock (Ling, 1997), however there appears </w:t>
      </w:r>
      <w:proofErr w:type="gramStart"/>
      <w:r w:rsidR="00A54F07">
        <w:t xml:space="preserve">to </w:t>
      </w:r>
      <w:r w:rsidR="008E273D">
        <w:t xml:space="preserve"> have</w:t>
      </w:r>
      <w:proofErr w:type="gramEnd"/>
      <w:r w:rsidR="008E273D">
        <w:t xml:space="preserve"> been very little success </w:t>
      </w:r>
      <w:proofErr w:type="gramStart"/>
      <w:r w:rsidR="008E273D">
        <w:t>in regards to</w:t>
      </w:r>
      <w:proofErr w:type="gramEnd"/>
      <w:r w:rsidR="008E273D">
        <w:t xml:space="preserve"> the looting aspect of this venture. Whether those who attempted to </w:t>
      </w:r>
      <w:r w:rsidR="001B6339">
        <w:t>pillage were killed in the resulting fallout of the eruption, or were already kille</w:t>
      </w:r>
      <w:r w:rsidR="00272A21">
        <w:t xml:space="preserve">d </w:t>
      </w:r>
      <w:r w:rsidR="001B6339">
        <w:t xml:space="preserve">is uncertain, however there were </w:t>
      </w:r>
      <w:r w:rsidR="005A7C66">
        <w:t>18</w:t>
      </w:r>
      <w:r w:rsidR="001B6339">
        <w:t xml:space="preserve"> bodies found within the house, including those of at least one child, and women</w:t>
      </w:r>
      <w:r w:rsidR="005A7C66">
        <w:t xml:space="preserve"> (</w:t>
      </w:r>
      <w:proofErr w:type="spellStart"/>
      <w:r w:rsidR="005C645D">
        <w:t>Madain</w:t>
      </w:r>
      <w:proofErr w:type="spellEnd"/>
      <w:r w:rsidR="005C645D">
        <w:t xml:space="preserve"> Project, </w:t>
      </w:r>
      <w:proofErr w:type="spellStart"/>
      <w:r w:rsidR="005C645D">
        <w:t>n.d</w:t>
      </w:r>
      <w:proofErr w:type="spellEnd"/>
      <w:r w:rsidR="005C645D">
        <w:t>)</w:t>
      </w:r>
      <w:r w:rsidR="001B6339">
        <w:t xml:space="preserve">. </w:t>
      </w:r>
      <w:r w:rsidR="00CF3C64">
        <w:t xml:space="preserve">Images of the site within the modern day show very little changes to the structural aspects of the building, showing the </w:t>
      </w:r>
      <w:r w:rsidR="007E65E7">
        <w:t>strength</w:t>
      </w:r>
      <w:r w:rsidR="00CF3C64">
        <w:t xml:space="preserve"> of the building materials used by the Romans throughout the centuries. When visited by a modern audience, the largest difference that can be observed is the addition of metal doors which have been </w:t>
      </w:r>
      <w:r w:rsidR="006E0962">
        <w:t xml:space="preserve">added </w:t>
      </w:r>
      <w:proofErr w:type="gramStart"/>
      <w:r w:rsidR="006E0962">
        <w:t>in order to</w:t>
      </w:r>
      <w:proofErr w:type="gramEnd"/>
      <w:r w:rsidR="006E0962">
        <w:t xml:space="preserve"> cordon off the site outside of the vising </w:t>
      </w:r>
      <w:r w:rsidR="007E65E7">
        <w:t>hours</w:t>
      </w:r>
      <w:r w:rsidR="006E0962">
        <w:t xml:space="preserve"> for tourists. It could be argued that the largest changes made to the </w:t>
      </w:r>
      <w:r w:rsidR="007E65E7">
        <w:t xml:space="preserve">perception of the house for an audience, occurred within the years of the Covid-19 pandemic – temporary signage was added </w:t>
      </w:r>
      <w:proofErr w:type="gramStart"/>
      <w:r w:rsidR="007E65E7">
        <w:t>in order to</w:t>
      </w:r>
      <w:proofErr w:type="gramEnd"/>
      <w:r w:rsidR="007E65E7">
        <w:t xml:space="preserve"> create a one-way </w:t>
      </w:r>
      <w:r w:rsidR="007E65E7">
        <w:lastRenderedPageBreak/>
        <w:t xml:space="preserve">system for tourists to safely walk around the house with minimal risk of cross-contamination between people. This may not have made a structural difference to the </w:t>
      </w:r>
      <w:r>
        <w:t>villa but</w:t>
      </w:r>
      <w:r w:rsidR="000F3816">
        <w:t xml:space="preserve"> would have altered the way in which an audience would be able to engage with the sit</w:t>
      </w:r>
      <w:r w:rsidR="00445026">
        <w:t xml:space="preserve">e, in the interest of public safety. </w:t>
      </w:r>
      <w:r w:rsidR="00272A21">
        <w:t xml:space="preserve">For a modern audience, this would not be something of great note, however it </w:t>
      </w:r>
      <w:r w:rsidR="001117D2">
        <w:t xml:space="preserve">is nonetheless a stage in the life of the site, and the wider city of Pompeii. </w:t>
      </w:r>
    </w:p>
    <w:p w14:paraId="34F85D7E" w14:textId="1D940CF8" w:rsidR="007B5C38" w:rsidRDefault="00256A47">
      <w:r>
        <w:t xml:space="preserve">In 1978, the British Pompeii Project </w:t>
      </w:r>
      <w:r w:rsidR="006A6C72">
        <w:t>embarked</w:t>
      </w:r>
      <w:r>
        <w:t xml:space="preserve"> on further documentation works </w:t>
      </w:r>
      <w:r w:rsidR="006A6C72">
        <w:t xml:space="preserve">within the city, including the House of Menander, </w:t>
      </w:r>
      <w:proofErr w:type="gramStart"/>
      <w:r w:rsidR="006A6C72">
        <w:t>in order to</w:t>
      </w:r>
      <w:proofErr w:type="gramEnd"/>
      <w:r w:rsidR="006A6C72">
        <w:t xml:space="preserve"> gain a more thorough understanding of the city </w:t>
      </w:r>
      <w:proofErr w:type="gramStart"/>
      <w:r w:rsidR="006A6C72">
        <w:t>previous to</w:t>
      </w:r>
      <w:proofErr w:type="gramEnd"/>
      <w:r w:rsidR="006A6C72">
        <w:t xml:space="preserve"> its destruction in the volcanic eruption. </w:t>
      </w:r>
      <w:r w:rsidR="00F14045">
        <w:t xml:space="preserve">The house had remained untouched by archaeologists following the excavations in 1932, and therefore this project sought to create a picture of the lives of those within Insula i.10, with the findings compiled into </w:t>
      </w:r>
      <w:r w:rsidR="0097568E">
        <w:t xml:space="preserve">four volumes, tackling the architecture, the silver findings, the decorations, and the finds within the </w:t>
      </w:r>
      <w:r w:rsidR="00D16438">
        <w:t xml:space="preserve">insula. </w:t>
      </w:r>
      <w:r w:rsidR="00EC0AF9">
        <w:t xml:space="preserve">By tackling </w:t>
      </w:r>
      <w:r w:rsidR="00AD104D">
        <w:t>t</w:t>
      </w:r>
      <w:r w:rsidR="00EC0AF9">
        <w:t>he house within the wider scope of its insula</w:t>
      </w:r>
      <w:r w:rsidR="00AD104D">
        <w:t xml:space="preserve"> </w:t>
      </w:r>
      <w:r w:rsidR="00EC0AF9">
        <w:t>and location in the city of Pompeii,</w:t>
      </w:r>
      <w:r w:rsidR="00AD104D">
        <w:t xml:space="preserve"> rather than just as a standalone structure,</w:t>
      </w:r>
      <w:r w:rsidR="00EC0AF9">
        <w:t xml:space="preserve"> the British Pompeii Project were able to </w:t>
      </w:r>
      <w:r w:rsidR="00AD104D">
        <w:t>gather a far</w:t>
      </w:r>
      <w:r w:rsidR="007B5C38">
        <w:t xml:space="preserve"> broader image of how the occupants may have lived within their contemporary society. There have been no architectural changes made to the buildings however, aside from the doors added </w:t>
      </w:r>
      <w:proofErr w:type="gramStart"/>
      <w:r w:rsidR="007B5C38">
        <w:t>in order to</w:t>
      </w:r>
      <w:proofErr w:type="gramEnd"/>
      <w:r w:rsidR="007B5C38">
        <w:t xml:space="preserve"> control the flow of people throughout the buildings. No effort has been made to restore the rooms, but there has also been no call from the public for such conservation efforts to be made. </w:t>
      </w:r>
    </w:p>
    <w:p w14:paraId="35879CCF" w14:textId="6D46A900" w:rsidR="00A61D55" w:rsidRDefault="0045042C">
      <w:r>
        <w:t xml:space="preserve">Much of what makes this house an impressive sight even after the destruction caused by the </w:t>
      </w:r>
      <w:r w:rsidR="006507DD">
        <w:t xml:space="preserve">volcano is the sheer scale of the buildings, spanning the majority of Insula i.10, which in turn showcased the status of those who lived in it, and their subsequent wealth in order to have </w:t>
      </w:r>
      <w:r w:rsidR="0021318C">
        <w:t xml:space="preserve">funded the numerous modifications made to the buildings. </w:t>
      </w:r>
    </w:p>
    <w:p w14:paraId="554650E5" w14:textId="77777777" w:rsidR="00D16438" w:rsidRDefault="00D16438"/>
    <w:p w14:paraId="230D00A6" w14:textId="026282C5" w:rsidR="00362B65" w:rsidRDefault="009D66DB">
      <w:pPr>
        <w:rPr>
          <w:b/>
          <w:bCs/>
          <w:u w:val="single"/>
        </w:rPr>
      </w:pPr>
      <w:r w:rsidRPr="00F17E25">
        <w:rPr>
          <w:b/>
          <w:bCs/>
          <w:u w:val="single"/>
        </w:rPr>
        <w:t>Bibliography</w:t>
      </w:r>
    </w:p>
    <w:p w14:paraId="2ED67E34" w14:textId="2070DA97" w:rsidR="00F214B1" w:rsidRPr="00F214B1" w:rsidRDefault="00F214B1">
      <w:r>
        <w:t xml:space="preserve">Atrium of the house, photographed by Johannes Eber, April 2022, for </w:t>
      </w:r>
      <w:proofErr w:type="spellStart"/>
      <w:r>
        <w:t>Pompeiiinpictures</w:t>
      </w:r>
      <w:proofErr w:type="spellEnd"/>
      <w:r w:rsidR="00483919">
        <w:t xml:space="preserve">, </w:t>
      </w:r>
      <w:hyperlink r:id="rId7" w:history="1">
        <w:r w:rsidR="00483919" w:rsidRPr="00483919">
          <w:rPr>
            <w:rStyle w:val="Hyperlink"/>
          </w:rPr>
          <w:t>pompeiiinpictures.com/</w:t>
        </w:r>
        <w:proofErr w:type="spellStart"/>
        <w:r w:rsidR="00483919" w:rsidRPr="00483919">
          <w:rPr>
            <w:rStyle w:val="Hyperlink"/>
          </w:rPr>
          <w:t>pompeiiinpictures</w:t>
        </w:r>
        <w:proofErr w:type="spellEnd"/>
        <w:r w:rsidR="00483919" w:rsidRPr="00483919">
          <w:rPr>
            <w:rStyle w:val="Hyperlink"/>
          </w:rPr>
          <w:t>/R1/1 10 04 main p1.htm</w:t>
        </w:r>
      </w:hyperlink>
    </w:p>
    <w:p w14:paraId="3BAAAFED" w14:textId="72B2D7ED" w:rsidR="00B166DD" w:rsidRDefault="00B166DD">
      <w:r w:rsidRPr="00B166DD">
        <w:t xml:space="preserve">Cavazzi, F. (2024, January 12). The Roman House discover an amazing social life in Rome 101. </w:t>
      </w:r>
      <w:r w:rsidRPr="00B166DD">
        <w:rPr>
          <w:i/>
          <w:iCs/>
        </w:rPr>
        <w:t>The Roman Empire</w:t>
      </w:r>
      <w:r w:rsidRPr="00B166DD">
        <w:t xml:space="preserve">. </w:t>
      </w:r>
      <w:hyperlink r:id="rId8" w:history="1">
        <w:r w:rsidRPr="00B5377E">
          <w:rPr>
            <w:rStyle w:val="Hyperlink"/>
          </w:rPr>
          <w:t>https://roman-empire.net/society/the-roman-house</w:t>
        </w:r>
      </w:hyperlink>
    </w:p>
    <w:p w14:paraId="6336C6B5" w14:textId="77492A25" w:rsidR="00152611" w:rsidRDefault="00152611">
      <w:r w:rsidRPr="00152611">
        <w:t xml:space="preserve">Claus, P., &amp; Claus, P. (2023, October 6). </w:t>
      </w:r>
      <w:r w:rsidRPr="00152611">
        <w:rPr>
          <w:i/>
          <w:iCs/>
        </w:rPr>
        <w:t>“House of Menander” in Pompeii showcases ancient Greece</w:t>
      </w:r>
      <w:r w:rsidRPr="00152611">
        <w:t xml:space="preserve">. GreekReporter.com. </w:t>
      </w:r>
      <w:hyperlink r:id="rId9" w:history="1">
        <w:r w:rsidRPr="00152611">
          <w:rPr>
            <w:rStyle w:val="Hyperlink"/>
            <w:u w:val="none"/>
          </w:rPr>
          <w:t>https://greekreporter.com/2023/10/06/house-menander-pompeii-ancient-greek-themes/</w:t>
        </w:r>
      </w:hyperlink>
    </w:p>
    <w:p w14:paraId="3C3A6E50" w14:textId="78949463" w:rsidR="00C21EAF" w:rsidRDefault="00C21EAF">
      <w:r>
        <w:t xml:space="preserve">Davies, G. </w:t>
      </w:r>
      <w:r w:rsidRPr="00C21EAF">
        <w:rPr>
          <w:i/>
          <w:iCs/>
        </w:rPr>
        <w:t>Roman Domestic Religion: The Evidence of the Household Shrines</w:t>
      </w:r>
      <w:r w:rsidRPr="00C21EAF">
        <w:t>.</w:t>
      </w:r>
      <w:r>
        <w:t xml:space="preserve"> (</w:t>
      </w:r>
      <w:r w:rsidR="008E4670">
        <w:t>1978)</w:t>
      </w:r>
      <w:r w:rsidRPr="00C21EAF">
        <w:t xml:space="preserve"> Available at: </w:t>
      </w:r>
      <w:hyperlink r:id="rId10" w:history="1">
        <w:r w:rsidRPr="00B5377E">
          <w:rPr>
            <w:rStyle w:val="Hyperlink"/>
          </w:rPr>
          <w:t>https://classics.domains.skidmore.edu/lit-campus-only/secondary/Orr%201978.pdf</w:t>
        </w:r>
      </w:hyperlink>
      <w:r w:rsidRPr="00C21EAF">
        <w:t xml:space="preserve">  </w:t>
      </w:r>
    </w:p>
    <w:p w14:paraId="26D2BA14" w14:textId="6C03CEF3" w:rsidR="003A1A3B" w:rsidRDefault="003A1A3B">
      <w:proofErr w:type="spellStart"/>
      <w:r w:rsidRPr="003A1A3B">
        <w:lastRenderedPageBreak/>
        <w:t>Gracco</w:t>
      </w:r>
      <w:proofErr w:type="spellEnd"/>
      <w:r w:rsidRPr="003A1A3B">
        <w:t xml:space="preserve">, T. (2025, February 19). </w:t>
      </w:r>
      <w:r w:rsidRPr="003A1A3B">
        <w:rPr>
          <w:i/>
          <w:iCs/>
        </w:rPr>
        <w:t>Pompeian Agriculture: A pillar of the local economy</w:t>
      </w:r>
      <w:r w:rsidRPr="003A1A3B">
        <w:t xml:space="preserve">. Pompeii Online. </w:t>
      </w:r>
      <w:hyperlink r:id="rId11" w:history="1">
        <w:r w:rsidRPr="00B5377E">
          <w:rPr>
            <w:rStyle w:val="Hyperlink"/>
          </w:rPr>
          <w:t>https://www.pompeionline.net/en/archaeological-park-of-pompeii/pompeian-curiosities/pompeian-agriculture</w:t>
        </w:r>
      </w:hyperlink>
    </w:p>
    <w:p w14:paraId="004A47EC" w14:textId="6548DDD2" w:rsidR="005C645D" w:rsidRDefault="005C645D">
      <w:r w:rsidRPr="005C645D">
        <w:rPr>
          <w:i/>
          <w:iCs/>
        </w:rPr>
        <w:t xml:space="preserve">House of </w:t>
      </w:r>
      <w:proofErr w:type="gramStart"/>
      <w:r w:rsidRPr="005C645D">
        <w:rPr>
          <w:i/>
          <w:iCs/>
        </w:rPr>
        <w:t>Menander  -</w:t>
      </w:r>
      <w:proofErr w:type="gramEnd"/>
      <w:r w:rsidRPr="005C645D">
        <w:rPr>
          <w:i/>
          <w:iCs/>
        </w:rPr>
        <w:t xml:space="preserve"> </w:t>
      </w:r>
      <w:proofErr w:type="spellStart"/>
      <w:r w:rsidRPr="005C645D">
        <w:rPr>
          <w:i/>
          <w:iCs/>
        </w:rPr>
        <w:t>Madain</w:t>
      </w:r>
      <w:proofErr w:type="spellEnd"/>
      <w:r w:rsidRPr="005C645D">
        <w:rPr>
          <w:i/>
          <w:iCs/>
        </w:rPr>
        <w:t xml:space="preserve"> Project (</w:t>
      </w:r>
      <w:proofErr w:type="spellStart"/>
      <w:r w:rsidRPr="005C645D">
        <w:rPr>
          <w:i/>
          <w:iCs/>
        </w:rPr>
        <w:t>en</w:t>
      </w:r>
      <w:proofErr w:type="spellEnd"/>
      <w:r w:rsidRPr="005C645D">
        <w:rPr>
          <w:i/>
          <w:iCs/>
        </w:rPr>
        <w:t>)</w:t>
      </w:r>
      <w:r w:rsidRPr="005C645D">
        <w:t xml:space="preserve">. (n.d.). </w:t>
      </w:r>
      <w:hyperlink r:id="rId12" w:history="1">
        <w:r w:rsidRPr="00B5377E">
          <w:rPr>
            <w:rStyle w:val="Hyperlink"/>
          </w:rPr>
          <w:t>https://madainproject.com/house_of_menander</w:t>
        </w:r>
      </w:hyperlink>
    </w:p>
    <w:p w14:paraId="04EA728D" w14:textId="6F2003CA" w:rsidR="005F156E" w:rsidRDefault="005F156E">
      <w:r w:rsidRPr="005F156E">
        <w:t xml:space="preserve">Ling, R., Imperial Tobacco Ltd., Royal Academy of Arts, &amp; Gibson, S. (1983). THE INSULA OF THE MENANDER AT POMPEII: INTERIM REPORT. In The Antiquaries Journal, </w:t>
      </w:r>
      <w:r w:rsidRPr="005F156E">
        <w:rPr>
          <w:i/>
          <w:iCs/>
        </w:rPr>
        <w:t>THE ANTIQUARIES JOURNAL</w:t>
      </w:r>
      <w:r w:rsidRPr="005F156E">
        <w:t xml:space="preserve"> (p. 36) [Journal-article]. </w:t>
      </w:r>
      <w:hyperlink r:id="rId13" w:history="1">
        <w:r w:rsidRPr="00B5377E">
          <w:rPr>
            <w:rStyle w:val="Hyperlink"/>
          </w:rPr>
          <w:t>https://scispace.com/pdf/the-insula-of-the-menander-at-pompeii-interim-report-wbfeqqgrln.pdf</w:t>
        </w:r>
      </w:hyperlink>
    </w:p>
    <w:p w14:paraId="73A46A6E" w14:textId="345D2740" w:rsidR="00E429F0" w:rsidRDefault="00E429F0" w:rsidP="00E429F0">
      <w:r w:rsidRPr="00E429F0">
        <w:t>Ling</w:t>
      </w:r>
      <w:r w:rsidR="00A54F07">
        <w:t xml:space="preserve">, R. </w:t>
      </w:r>
      <w:r w:rsidRPr="00E429F0">
        <w:rPr>
          <w:i/>
          <w:iCs/>
        </w:rPr>
        <w:t xml:space="preserve">I 10, 4: Casa del </w:t>
      </w:r>
      <w:proofErr w:type="spellStart"/>
      <w:r w:rsidRPr="00E429F0">
        <w:rPr>
          <w:i/>
          <w:iCs/>
        </w:rPr>
        <w:t>Menandro</w:t>
      </w:r>
      <w:proofErr w:type="spellEnd"/>
      <w:r w:rsidRPr="00E429F0">
        <w:rPr>
          <w:i/>
          <w:iCs/>
        </w:rPr>
        <w:t xml:space="preserve"> | the insula of the </w:t>
      </w:r>
      <w:proofErr w:type="spellStart"/>
      <w:r w:rsidRPr="00E429F0">
        <w:rPr>
          <w:i/>
          <w:iCs/>
        </w:rPr>
        <w:t>menander</w:t>
      </w:r>
      <w:proofErr w:type="spellEnd"/>
      <w:r w:rsidRPr="00E429F0">
        <w:rPr>
          <w:i/>
          <w:iCs/>
        </w:rPr>
        <w:t xml:space="preserve"> at </w:t>
      </w:r>
      <w:proofErr w:type="spellStart"/>
      <w:r w:rsidRPr="00E429F0">
        <w:rPr>
          <w:i/>
          <w:iCs/>
        </w:rPr>
        <w:t>pompeii</w:t>
      </w:r>
      <w:proofErr w:type="spellEnd"/>
      <w:r w:rsidRPr="00E429F0">
        <w:rPr>
          <w:i/>
          <w:iCs/>
        </w:rPr>
        <w:t>: Volume 1: The Structures | Oxford academic</w:t>
      </w:r>
      <w:r w:rsidRPr="00E429F0">
        <w:t>.</w:t>
      </w:r>
      <w:r w:rsidR="00A54F07">
        <w:t xml:space="preserve"> (1997)</w:t>
      </w:r>
      <w:r w:rsidRPr="00E429F0">
        <w:t xml:space="preserve"> Available at: </w:t>
      </w:r>
      <w:hyperlink r:id="rId14" w:history="1">
        <w:r w:rsidR="001117D2" w:rsidRPr="00B5377E">
          <w:rPr>
            <w:rStyle w:val="Hyperlink"/>
          </w:rPr>
          <w:t>https://academic.oup.com/book/40328/chapter-abstract/346899127?redirectedFrom=fulltext</w:t>
        </w:r>
      </w:hyperlink>
      <w:r w:rsidRPr="00E429F0">
        <w:t xml:space="preserve">  </w:t>
      </w:r>
    </w:p>
    <w:p w14:paraId="66B4BE36" w14:textId="760896E9" w:rsidR="00902455" w:rsidRDefault="003A54F9" w:rsidP="00E429F0">
      <w:r w:rsidRPr="003A54F9">
        <w:t xml:space="preserve">Painter (2001) </w:t>
      </w:r>
      <w:r w:rsidRPr="003A54F9">
        <w:rPr>
          <w:i/>
          <w:iCs/>
        </w:rPr>
        <w:t xml:space="preserve">The plate and its composition | the insula of the </w:t>
      </w:r>
      <w:proofErr w:type="spellStart"/>
      <w:r w:rsidRPr="003A54F9">
        <w:rPr>
          <w:i/>
          <w:iCs/>
        </w:rPr>
        <w:t>menander</w:t>
      </w:r>
      <w:proofErr w:type="spellEnd"/>
      <w:r w:rsidRPr="003A54F9">
        <w:rPr>
          <w:i/>
          <w:iCs/>
        </w:rPr>
        <w:t xml:space="preserve"> at </w:t>
      </w:r>
      <w:proofErr w:type="spellStart"/>
      <w:r w:rsidRPr="003A54F9">
        <w:rPr>
          <w:i/>
          <w:iCs/>
        </w:rPr>
        <w:t>pompeii</w:t>
      </w:r>
      <w:proofErr w:type="spellEnd"/>
      <w:r w:rsidRPr="003A54F9">
        <w:rPr>
          <w:i/>
          <w:iCs/>
        </w:rPr>
        <w:t>: Volume IV: The silver treasure | oxford academic</w:t>
      </w:r>
      <w:r w:rsidRPr="003A54F9">
        <w:t xml:space="preserve">. Available at: </w:t>
      </w:r>
      <w:hyperlink r:id="rId15" w:history="1">
        <w:r w:rsidRPr="00B5377E">
          <w:rPr>
            <w:rStyle w:val="Hyperlink"/>
          </w:rPr>
          <w:t>https://academic.oup.com/book/46922/chapter-abstract/422645758?redirectedFrom=fulltext</w:t>
        </w:r>
      </w:hyperlink>
    </w:p>
    <w:p w14:paraId="08FF6873" w14:textId="5E0850C9" w:rsidR="00B241F1" w:rsidRDefault="00B241F1" w:rsidP="00E429F0">
      <w:proofErr w:type="spellStart"/>
      <w:r w:rsidRPr="00B241F1">
        <w:t>Raddato</w:t>
      </w:r>
      <w:proofErr w:type="spellEnd"/>
      <w:r w:rsidRPr="00B241F1">
        <w:t xml:space="preserve">, C., &amp; </w:t>
      </w:r>
      <w:proofErr w:type="spellStart"/>
      <w:r w:rsidRPr="00B241F1">
        <w:t>Raddato</w:t>
      </w:r>
      <w:proofErr w:type="spellEnd"/>
      <w:r w:rsidRPr="00B241F1">
        <w:t>, C. (20</w:t>
      </w:r>
      <w:r>
        <w:t>19</w:t>
      </w:r>
      <w:r w:rsidRPr="00B241F1">
        <w:t xml:space="preserve">). </w:t>
      </w:r>
      <w:r w:rsidRPr="00B241F1">
        <w:rPr>
          <w:i/>
          <w:iCs/>
        </w:rPr>
        <w:t>The House of Menander in Pompeii</w:t>
      </w:r>
      <w:r w:rsidRPr="00B241F1">
        <w:t xml:space="preserve">. World History </w:t>
      </w:r>
      <w:proofErr w:type="spellStart"/>
      <w:r w:rsidRPr="00B241F1">
        <w:t>Encyclopedia</w:t>
      </w:r>
      <w:proofErr w:type="spellEnd"/>
      <w:r w:rsidRPr="00B241F1">
        <w:t xml:space="preserve">. </w:t>
      </w:r>
      <w:hyperlink r:id="rId16" w:history="1">
        <w:r w:rsidRPr="00B5377E">
          <w:rPr>
            <w:rStyle w:val="Hyperlink"/>
          </w:rPr>
          <w:t>https://www.worldhistory.org/image/11293/the--house-of-menander-in-pompeii/</w:t>
        </w:r>
      </w:hyperlink>
    </w:p>
    <w:p w14:paraId="597EB50B" w14:textId="31AF215F" w:rsidR="00EF4889" w:rsidRDefault="00B241F1" w:rsidP="00E429F0">
      <w:r>
        <w:t>S</w:t>
      </w:r>
      <w:r w:rsidR="00EF4889" w:rsidRPr="00EF4889">
        <w:t xml:space="preserve">heldon, N. (2022c, July 1). </w:t>
      </w:r>
      <w:r w:rsidR="00EF4889" w:rsidRPr="00EF4889">
        <w:rPr>
          <w:i/>
          <w:iCs/>
        </w:rPr>
        <w:t>The House of Menander</w:t>
      </w:r>
      <w:r w:rsidR="00EF4889" w:rsidRPr="00EF4889">
        <w:t xml:space="preserve">. History and Archaeology Online. </w:t>
      </w:r>
      <w:hyperlink r:id="rId17" w:history="1">
        <w:r w:rsidR="00EF4889" w:rsidRPr="00B5377E">
          <w:rPr>
            <w:rStyle w:val="Hyperlink"/>
          </w:rPr>
          <w:t>https://historyandarchaeologyonline.com/the-house-of-menander/</w:t>
        </w:r>
      </w:hyperlink>
    </w:p>
    <w:p w14:paraId="5F20F2CD" w14:textId="77777777" w:rsidR="00EF4889" w:rsidRPr="00E429F0" w:rsidRDefault="00EF4889" w:rsidP="00E429F0"/>
    <w:p w14:paraId="30DED351" w14:textId="77777777" w:rsidR="005F156E" w:rsidRPr="00152611" w:rsidRDefault="005F156E"/>
    <w:p w14:paraId="07711440" w14:textId="77777777" w:rsidR="00152611" w:rsidRPr="00B166DD" w:rsidRDefault="00152611"/>
    <w:sectPr w:rsidR="00152611" w:rsidRPr="00B166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116"/>
    <w:rsid w:val="0004444F"/>
    <w:rsid w:val="000B4830"/>
    <w:rsid w:val="000F3816"/>
    <w:rsid w:val="001117D2"/>
    <w:rsid w:val="0012774D"/>
    <w:rsid w:val="00152611"/>
    <w:rsid w:val="00152E87"/>
    <w:rsid w:val="001963F1"/>
    <w:rsid w:val="001A56AC"/>
    <w:rsid w:val="001B61AC"/>
    <w:rsid w:val="001B6339"/>
    <w:rsid w:val="001D38AB"/>
    <w:rsid w:val="0020152C"/>
    <w:rsid w:val="0021318C"/>
    <w:rsid w:val="00256A47"/>
    <w:rsid w:val="00272A21"/>
    <w:rsid w:val="002A2A85"/>
    <w:rsid w:val="002C0591"/>
    <w:rsid w:val="002F17A4"/>
    <w:rsid w:val="002F1921"/>
    <w:rsid w:val="00362B65"/>
    <w:rsid w:val="0039336D"/>
    <w:rsid w:val="003A1A3B"/>
    <w:rsid w:val="003A54F9"/>
    <w:rsid w:val="003D2B15"/>
    <w:rsid w:val="003F0EE1"/>
    <w:rsid w:val="00433B83"/>
    <w:rsid w:val="00445026"/>
    <w:rsid w:val="0045042C"/>
    <w:rsid w:val="004504F2"/>
    <w:rsid w:val="00483919"/>
    <w:rsid w:val="004A7521"/>
    <w:rsid w:val="004B6363"/>
    <w:rsid w:val="005004E8"/>
    <w:rsid w:val="005142B2"/>
    <w:rsid w:val="0051714B"/>
    <w:rsid w:val="00550C91"/>
    <w:rsid w:val="00551EF6"/>
    <w:rsid w:val="00573B76"/>
    <w:rsid w:val="00587EA3"/>
    <w:rsid w:val="005A7C66"/>
    <w:rsid w:val="005C645D"/>
    <w:rsid w:val="005C7852"/>
    <w:rsid w:val="005F156E"/>
    <w:rsid w:val="00600733"/>
    <w:rsid w:val="0060305F"/>
    <w:rsid w:val="00612FCD"/>
    <w:rsid w:val="006279EB"/>
    <w:rsid w:val="006507C3"/>
    <w:rsid w:val="006507DD"/>
    <w:rsid w:val="006974A0"/>
    <w:rsid w:val="006A6C72"/>
    <w:rsid w:val="006E0962"/>
    <w:rsid w:val="006F6FB1"/>
    <w:rsid w:val="00765117"/>
    <w:rsid w:val="00765FD5"/>
    <w:rsid w:val="00782EA3"/>
    <w:rsid w:val="007B5C38"/>
    <w:rsid w:val="007E3B80"/>
    <w:rsid w:val="007E65E7"/>
    <w:rsid w:val="007F3116"/>
    <w:rsid w:val="0083147E"/>
    <w:rsid w:val="0085117B"/>
    <w:rsid w:val="00866FD3"/>
    <w:rsid w:val="00887EC6"/>
    <w:rsid w:val="008905BF"/>
    <w:rsid w:val="00891AE2"/>
    <w:rsid w:val="008A1ADF"/>
    <w:rsid w:val="008B1F0E"/>
    <w:rsid w:val="008B64AB"/>
    <w:rsid w:val="008E273D"/>
    <w:rsid w:val="008E4670"/>
    <w:rsid w:val="008E7F25"/>
    <w:rsid w:val="008F215D"/>
    <w:rsid w:val="008F647B"/>
    <w:rsid w:val="00902455"/>
    <w:rsid w:val="00922831"/>
    <w:rsid w:val="009545F5"/>
    <w:rsid w:val="009568AD"/>
    <w:rsid w:val="0097568E"/>
    <w:rsid w:val="0097653E"/>
    <w:rsid w:val="009C329B"/>
    <w:rsid w:val="009D66DB"/>
    <w:rsid w:val="009D79EA"/>
    <w:rsid w:val="009E6693"/>
    <w:rsid w:val="00A34565"/>
    <w:rsid w:val="00A42D83"/>
    <w:rsid w:val="00A54F07"/>
    <w:rsid w:val="00A61D55"/>
    <w:rsid w:val="00A640EC"/>
    <w:rsid w:val="00A64EB7"/>
    <w:rsid w:val="00A651EE"/>
    <w:rsid w:val="00A65C69"/>
    <w:rsid w:val="00AB0288"/>
    <w:rsid w:val="00AD104D"/>
    <w:rsid w:val="00B0000B"/>
    <w:rsid w:val="00B166DD"/>
    <w:rsid w:val="00B16F53"/>
    <w:rsid w:val="00B241F1"/>
    <w:rsid w:val="00B36003"/>
    <w:rsid w:val="00BA383A"/>
    <w:rsid w:val="00BA5C95"/>
    <w:rsid w:val="00BB0455"/>
    <w:rsid w:val="00BB124D"/>
    <w:rsid w:val="00BD44E7"/>
    <w:rsid w:val="00BF0F79"/>
    <w:rsid w:val="00C1736D"/>
    <w:rsid w:val="00C17725"/>
    <w:rsid w:val="00C21EAF"/>
    <w:rsid w:val="00C639D5"/>
    <w:rsid w:val="00C67ADF"/>
    <w:rsid w:val="00CC5684"/>
    <w:rsid w:val="00CF367D"/>
    <w:rsid w:val="00CF3C64"/>
    <w:rsid w:val="00D115DA"/>
    <w:rsid w:val="00D14788"/>
    <w:rsid w:val="00D15738"/>
    <w:rsid w:val="00D16438"/>
    <w:rsid w:val="00D31559"/>
    <w:rsid w:val="00D55CA4"/>
    <w:rsid w:val="00D77D78"/>
    <w:rsid w:val="00DB7827"/>
    <w:rsid w:val="00E0356F"/>
    <w:rsid w:val="00E429F0"/>
    <w:rsid w:val="00E50567"/>
    <w:rsid w:val="00E51349"/>
    <w:rsid w:val="00E608E1"/>
    <w:rsid w:val="00E92A8D"/>
    <w:rsid w:val="00E93146"/>
    <w:rsid w:val="00EA5C96"/>
    <w:rsid w:val="00EA7037"/>
    <w:rsid w:val="00EC0AF9"/>
    <w:rsid w:val="00ED24A6"/>
    <w:rsid w:val="00EF4889"/>
    <w:rsid w:val="00F10191"/>
    <w:rsid w:val="00F14045"/>
    <w:rsid w:val="00F17E25"/>
    <w:rsid w:val="00F20B4F"/>
    <w:rsid w:val="00F214B1"/>
    <w:rsid w:val="00F37D63"/>
    <w:rsid w:val="00F568F1"/>
    <w:rsid w:val="00F76AF3"/>
    <w:rsid w:val="00F83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3EAB"/>
  <w15:chartTrackingRefBased/>
  <w15:docId w15:val="{8A77F780-04F6-4912-8C04-E096A1C00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116"/>
    <w:rPr>
      <w:rFonts w:eastAsiaTheme="majorEastAsia" w:cstheme="majorBidi"/>
      <w:color w:val="272727" w:themeColor="text1" w:themeTint="D8"/>
    </w:rPr>
  </w:style>
  <w:style w:type="paragraph" w:styleId="Title">
    <w:name w:val="Title"/>
    <w:basedOn w:val="Normal"/>
    <w:next w:val="Normal"/>
    <w:link w:val="TitleChar"/>
    <w:uiPriority w:val="10"/>
    <w:qFormat/>
    <w:rsid w:val="007F3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116"/>
    <w:pPr>
      <w:spacing w:before="160"/>
      <w:jc w:val="center"/>
    </w:pPr>
    <w:rPr>
      <w:i/>
      <w:iCs/>
      <w:color w:val="404040" w:themeColor="text1" w:themeTint="BF"/>
    </w:rPr>
  </w:style>
  <w:style w:type="character" w:customStyle="1" w:styleId="QuoteChar">
    <w:name w:val="Quote Char"/>
    <w:basedOn w:val="DefaultParagraphFont"/>
    <w:link w:val="Quote"/>
    <w:uiPriority w:val="29"/>
    <w:rsid w:val="007F3116"/>
    <w:rPr>
      <w:i/>
      <w:iCs/>
      <w:color w:val="404040" w:themeColor="text1" w:themeTint="BF"/>
    </w:rPr>
  </w:style>
  <w:style w:type="paragraph" w:styleId="ListParagraph">
    <w:name w:val="List Paragraph"/>
    <w:basedOn w:val="Normal"/>
    <w:uiPriority w:val="34"/>
    <w:qFormat/>
    <w:rsid w:val="007F3116"/>
    <w:pPr>
      <w:ind w:left="720"/>
      <w:contextualSpacing/>
    </w:pPr>
  </w:style>
  <w:style w:type="character" w:styleId="IntenseEmphasis">
    <w:name w:val="Intense Emphasis"/>
    <w:basedOn w:val="DefaultParagraphFont"/>
    <w:uiPriority w:val="21"/>
    <w:qFormat/>
    <w:rsid w:val="007F3116"/>
    <w:rPr>
      <w:i/>
      <w:iCs/>
      <w:color w:val="0F4761" w:themeColor="accent1" w:themeShade="BF"/>
    </w:rPr>
  </w:style>
  <w:style w:type="paragraph" w:styleId="IntenseQuote">
    <w:name w:val="Intense Quote"/>
    <w:basedOn w:val="Normal"/>
    <w:next w:val="Normal"/>
    <w:link w:val="IntenseQuoteChar"/>
    <w:uiPriority w:val="30"/>
    <w:qFormat/>
    <w:rsid w:val="007F3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116"/>
    <w:rPr>
      <w:i/>
      <w:iCs/>
      <w:color w:val="0F4761" w:themeColor="accent1" w:themeShade="BF"/>
    </w:rPr>
  </w:style>
  <w:style w:type="character" w:styleId="IntenseReference">
    <w:name w:val="Intense Reference"/>
    <w:basedOn w:val="DefaultParagraphFont"/>
    <w:uiPriority w:val="32"/>
    <w:qFormat/>
    <w:rsid w:val="007F3116"/>
    <w:rPr>
      <w:b/>
      <w:bCs/>
      <w:smallCaps/>
      <w:color w:val="0F4761" w:themeColor="accent1" w:themeShade="BF"/>
      <w:spacing w:val="5"/>
    </w:rPr>
  </w:style>
  <w:style w:type="character" w:styleId="Hyperlink">
    <w:name w:val="Hyperlink"/>
    <w:basedOn w:val="DefaultParagraphFont"/>
    <w:uiPriority w:val="99"/>
    <w:unhideWhenUsed/>
    <w:rsid w:val="002F17A4"/>
    <w:rPr>
      <w:color w:val="467886" w:themeColor="hyperlink"/>
      <w:u w:val="single"/>
    </w:rPr>
  </w:style>
  <w:style w:type="character" w:styleId="UnresolvedMention">
    <w:name w:val="Unresolved Mention"/>
    <w:basedOn w:val="DefaultParagraphFont"/>
    <w:uiPriority w:val="99"/>
    <w:semiHidden/>
    <w:unhideWhenUsed/>
    <w:rsid w:val="002F17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man-empire.net/society/the-roman-house" TargetMode="External"/><Relationship Id="rId13" Type="http://schemas.openxmlformats.org/officeDocument/2006/relationships/hyperlink" Target="https://scispace.com/pdf/the-insula-of-the-menander-at-pompeii-interim-report-wbfeqqgrln.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ompeiiinpictures.com/pompeiiinpictures/R1/1%2010%2004%20main%20p1.htm" TargetMode="External"/><Relationship Id="rId12" Type="http://schemas.openxmlformats.org/officeDocument/2006/relationships/hyperlink" Target="https://madainproject.com/house_of_menander" TargetMode="External"/><Relationship Id="rId17" Type="http://schemas.openxmlformats.org/officeDocument/2006/relationships/hyperlink" Target="https://historyandarchaeologyonline.com/the-house-of-menander/" TargetMode="External"/><Relationship Id="rId2" Type="http://schemas.openxmlformats.org/officeDocument/2006/relationships/settings" Target="settings.xml"/><Relationship Id="rId16" Type="http://schemas.openxmlformats.org/officeDocument/2006/relationships/hyperlink" Target="https://www.worldhistory.org/image/11293/the--house-of-menander-in-pompeii/" TargetMode="Externa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hyperlink" Target="https://www.pompeionline.net/en/archaeological-park-of-pompeii/pompeian-curiosities/pompeian-agriculture" TargetMode="External"/><Relationship Id="rId5" Type="http://schemas.openxmlformats.org/officeDocument/2006/relationships/hyperlink" Target="https://www.flickr.com/people/41523983@N08" TargetMode="External"/><Relationship Id="rId15" Type="http://schemas.openxmlformats.org/officeDocument/2006/relationships/hyperlink" Target="https://academic.oup.com/book/46922/chapter-abstract/422645758?redirectedFrom=fulltext" TargetMode="External"/><Relationship Id="rId10" Type="http://schemas.openxmlformats.org/officeDocument/2006/relationships/hyperlink" Target="https://classics.domains.skidmore.edu/lit-campus-only/secondary/Orr%201978.pdf"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greekreporter.com/2023/10/06/house-menander-pompeii-ancient-greek-themes/" TargetMode="External"/><Relationship Id="rId14" Type="http://schemas.openxmlformats.org/officeDocument/2006/relationships/hyperlink" Target="https://academic.oup.com/book/40328/chapter-abstract/346899127?redirectedFrom=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429</TotalTime>
  <Pages>6</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Atlas Jessopp (2400788)</dc:creator>
  <cp:keywords/>
  <dc:description/>
  <cp:lastModifiedBy>Lexin Atlas Jessopp (2400788)</cp:lastModifiedBy>
  <cp:revision>140</cp:revision>
  <dcterms:created xsi:type="dcterms:W3CDTF">2026-01-31T12:04:00Z</dcterms:created>
  <dcterms:modified xsi:type="dcterms:W3CDTF">2026-02-01T22:26:00Z</dcterms:modified>
</cp:coreProperties>
</file>