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EDA33" w14:textId="77777777" w:rsidR="00F33B88" w:rsidRDefault="00F33B88" w:rsidP="00F33B88">
      <w:pPr>
        <w:jc w:val="center"/>
        <w:rPr>
          <w:rFonts w:cs="Times New Roman"/>
          <w:b/>
          <w:szCs w:val="24"/>
        </w:rPr>
      </w:pPr>
    </w:p>
    <w:p w14:paraId="407698C9" w14:textId="77777777" w:rsidR="00F33B88" w:rsidRDefault="00F33B88" w:rsidP="00F33B88">
      <w:pPr>
        <w:jc w:val="center"/>
        <w:rPr>
          <w:rFonts w:cs="Times New Roman"/>
          <w:b/>
          <w:szCs w:val="24"/>
        </w:rPr>
      </w:pPr>
    </w:p>
    <w:p w14:paraId="6C7C6A46" w14:textId="77777777" w:rsidR="00F33B88" w:rsidRDefault="00F33B88" w:rsidP="00F33B88">
      <w:pPr>
        <w:jc w:val="center"/>
        <w:rPr>
          <w:rFonts w:cs="Times New Roman"/>
          <w:b/>
          <w:szCs w:val="24"/>
        </w:rPr>
      </w:pPr>
    </w:p>
    <w:p w14:paraId="00682FC9" w14:textId="77777777" w:rsidR="00F33B88" w:rsidRDefault="004B4B10" w:rsidP="00F33B88">
      <w:pPr>
        <w:jc w:val="center"/>
        <w:rPr>
          <w:rFonts w:cs="Times New Roman"/>
          <w:b/>
          <w:szCs w:val="24"/>
        </w:rPr>
      </w:pPr>
      <w:r w:rsidRPr="000B50E3">
        <w:rPr>
          <w:rFonts w:cs="Times New Roman"/>
          <w:b/>
          <w:szCs w:val="24"/>
        </w:rPr>
        <w:t>Report Case Study: Urban Heights Hotel</w:t>
      </w:r>
    </w:p>
    <w:p w14:paraId="49371DD4" w14:textId="0C49A5BE" w:rsidR="005341BA" w:rsidRPr="000B50E3" w:rsidRDefault="004B4B10" w:rsidP="00F33B88">
      <w:pPr>
        <w:jc w:val="center"/>
        <w:rPr>
          <w:rFonts w:cs="Times New Roman"/>
          <w:b/>
          <w:szCs w:val="24"/>
        </w:rPr>
      </w:pPr>
      <w:r w:rsidRPr="000B50E3">
        <w:rPr>
          <w:rFonts w:cs="Times New Roman"/>
          <w:b/>
          <w:szCs w:val="24"/>
        </w:rPr>
        <w:t>Module: Financial Management for the Hotel Industry</w:t>
      </w:r>
    </w:p>
    <w:p w14:paraId="62802A40" w14:textId="77777777" w:rsidR="005341BA" w:rsidRDefault="004B4B10" w:rsidP="005341BA">
      <w:pPr>
        <w:jc w:val="center"/>
        <w:rPr>
          <w:rFonts w:cs="Times New Roman"/>
          <w:b/>
          <w:szCs w:val="24"/>
        </w:rPr>
      </w:pPr>
      <w:r w:rsidRPr="000B50E3">
        <w:rPr>
          <w:rFonts w:cs="Times New Roman"/>
          <w:b/>
          <w:szCs w:val="24"/>
        </w:rPr>
        <w:t>Module code: BMIH5007</w:t>
      </w:r>
    </w:p>
    <w:p w14:paraId="22F823B3" w14:textId="67FA2BE1" w:rsidR="00F33B88" w:rsidRDefault="00F33B88" w:rsidP="005341BA">
      <w:pPr>
        <w:jc w:val="center"/>
        <w:rPr>
          <w:rFonts w:cs="Times New Roman"/>
          <w:b/>
          <w:szCs w:val="24"/>
        </w:rPr>
      </w:pPr>
      <w:r>
        <w:rPr>
          <w:rFonts w:cs="Times New Roman"/>
          <w:b/>
          <w:szCs w:val="24"/>
        </w:rPr>
        <w:t xml:space="preserve">Student name: Iulia </w:t>
      </w:r>
      <w:proofErr w:type="spellStart"/>
      <w:r>
        <w:rPr>
          <w:rFonts w:cs="Times New Roman"/>
          <w:b/>
          <w:szCs w:val="24"/>
        </w:rPr>
        <w:t>Petronela</w:t>
      </w:r>
      <w:proofErr w:type="spellEnd"/>
      <w:r>
        <w:rPr>
          <w:rFonts w:cs="Times New Roman"/>
          <w:b/>
          <w:szCs w:val="24"/>
        </w:rPr>
        <w:t xml:space="preserve"> </w:t>
      </w:r>
      <w:proofErr w:type="spellStart"/>
      <w:r>
        <w:rPr>
          <w:rFonts w:cs="Times New Roman"/>
          <w:b/>
          <w:szCs w:val="24"/>
        </w:rPr>
        <w:t>Ferent</w:t>
      </w:r>
      <w:proofErr w:type="spellEnd"/>
    </w:p>
    <w:p w14:paraId="529B42F3" w14:textId="4BE5B99E" w:rsidR="00F33B88" w:rsidRPr="000B50E3" w:rsidRDefault="00F33B88" w:rsidP="005341BA">
      <w:pPr>
        <w:jc w:val="center"/>
        <w:rPr>
          <w:rFonts w:cs="Times New Roman"/>
          <w:b/>
          <w:szCs w:val="24"/>
        </w:rPr>
      </w:pPr>
      <w:r>
        <w:rPr>
          <w:rFonts w:cs="Times New Roman"/>
          <w:b/>
          <w:szCs w:val="24"/>
        </w:rPr>
        <w:t>Student ID:2225255</w:t>
      </w:r>
    </w:p>
    <w:p w14:paraId="69E1CA17" w14:textId="2E7BF6B1" w:rsidR="005341BA" w:rsidRPr="000B50E3" w:rsidRDefault="004B4B10" w:rsidP="005341BA">
      <w:pPr>
        <w:jc w:val="center"/>
        <w:rPr>
          <w:rFonts w:cs="Times New Roman"/>
          <w:b/>
          <w:szCs w:val="24"/>
        </w:rPr>
      </w:pPr>
      <w:r w:rsidRPr="000B50E3">
        <w:rPr>
          <w:rFonts w:cs="Times New Roman"/>
          <w:b/>
          <w:szCs w:val="24"/>
        </w:rPr>
        <w:t>Lecturer: Tristan Hawkins</w:t>
      </w:r>
    </w:p>
    <w:p w14:paraId="1612C354" w14:textId="77777777" w:rsidR="005341BA" w:rsidRPr="000B50E3" w:rsidRDefault="005341BA" w:rsidP="005341BA">
      <w:pPr>
        <w:jc w:val="center"/>
        <w:rPr>
          <w:rFonts w:cs="Times New Roman"/>
          <w:b/>
          <w:szCs w:val="24"/>
        </w:rPr>
      </w:pPr>
    </w:p>
    <w:p w14:paraId="68DC215D" w14:textId="77777777" w:rsidR="005341BA" w:rsidRPr="000B50E3" w:rsidRDefault="005341BA">
      <w:pPr>
        <w:rPr>
          <w:rFonts w:cs="Times New Roman"/>
          <w:szCs w:val="24"/>
        </w:rPr>
      </w:pPr>
    </w:p>
    <w:p w14:paraId="5FF8E14C" w14:textId="77777777" w:rsidR="005341BA" w:rsidRPr="000B50E3" w:rsidRDefault="005341BA">
      <w:pPr>
        <w:rPr>
          <w:rFonts w:cs="Times New Roman"/>
          <w:szCs w:val="24"/>
        </w:rPr>
      </w:pPr>
    </w:p>
    <w:p w14:paraId="69E80BC1" w14:textId="77777777" w:rsidR="005341BA" w:rsidRPr="000B50E3" w:rsidRDefault="005341BA">
      <w:pPr>
        <w:rPr>
          <w:rFonts w:cs="Times New Roman"/>
          <w:szCs w:val="24"/>
        </w:rPr>
      </w:pPr>
    </w:p>
    <w:p w14:paraId="0617E194" w14:textId="77777777" w:rsidR="005341BA" w:rsidRPr="000B50E3" w:rsidRDefault="005341BA">
      <w:pPr>
        <w:rPr>
          <w:rFonts w:cs="Times New Roman"/>
          <w:szCs w:val="24"/>
        </w:rPr>
      </w:pPr>
    </w:p>
    <w:p w14:paraId="5D35A4E9" w14:textId="77777777" w:rsidR="005341BA" w:rsidRPr="000B50E3" w:rsidRDefault="005341BA">
      <w:pPr>
        <w:rPr>
          <w:rFonts w:cs="Times New Roman"/>
          <w:szCs w:val="24"/>
        </w:rPr>
      </w:pPr>
    </w:p>
    <w:p w14:paraId="6E0456AF" w14:textId="77777777" w:rsidR="005341BA" w:rsidRPr="000B50E3" w:rsidRDefault="005341BA">
      <w:pPr>
        <w:rPr>
          <w:rFonts w:cs="Times New Roman"/>
          <w:szCs w:val="24"/>
        </w:rPr>
      </w:pPr>
    </w:p>
    <w:p w14:paraId="377E61D3" w14:textId="77777777" w:rsidR="005341BA" w:rsidRPr="000B50E3" w:rsidRDefault="005341BA">
      <w:pPr>
        <w:rPr>
          <w:rFonts w:cs="Times New Roman"/>
          <w:szCs w:val="24"/>
        </w:rPr>
      </w:pPr>
    </w:p>
    <w:p w14:paraId="067BA503" w14:textId="77777777" w:rsidR="005341BA" w:rsidRPr="000B50E3" w:rsidRDefault="005341BA">
      <w:pPr>
        <w:rPr>
          <w:rFonts w:cs="Times New Roman"/>
          <w:szCs w:val="24"/>
        </w:rPr>
      </w:pPr>
    </w:p>
    <w:p w14:paraId="507610E5" w14:textId="77777777" w:rsidR="005341BA" w:rsidRPr="000B50E3" w:rsidRDefault="005341BA">
      <w:pPr>
        <w:rPr>
          <w:rFonts w:cs="Times New Roman"/>
          <w:szCs w:val="24"/>
        </w:rPr>
      </w:pPr>
    </w:p>
    <w:p w14:paraId="5C7312DB" w14:textId="77777777" w:rsidR="005341BA" w:rsidRPr="000B50E3" w:rsidRDefault="005341BA">
      <w:pPr>
        <w:rPr>
          <w:rFonts w:cs="Times New Roman"/>
          <w:szCs w:val="24"/>
        </w:rPr>
      </w:pPr>
    </w:p>
    <w:p w14:paraId="45A74A74" w14:textId="77777777" w:rsidR="005341BA" w:rsidRPr="000B50E3" w:rsidRDefault="005341BA">
      <w:pPr>
        <w:rPr>
          <w:rFonts w:cs="Times New Roman"/>
          <w:szCs w:val="24"/>
        </w:rPr>
      </w:pPr>
    </w:p>
    <w:p w14:paraId="3DE01763" w14:textId="77777777" w:rsidR="005341BA" w:rsidRPr="000B50E3" w:rsidRDefault="005341BA">
      <w:pPr>
        <w:rPr>
          <w:rFonts w:cs="Times New Roman"/>
          <w:szCs w:val="24"/>
        </w:rPr>
      </w:pPr>
    </w:p>
    <w:p w14:paraId="58EE033C" w14:textId="77777777" w:rsidR="005341BA" w:rsidRPr="000B50E3" w:rsidRDefault="005341BA">
      <w:pPr>
        <w:rPr>
          <w:rFonts w:cs="Times New Roman"/>
          <w:szCs w:val="24"/>
        </w:rPr>
      </w:pPr>
    </w:p>
    <w:p w14:paraId="3DFEFF92" w14:textId="77777777" w:rsidR="005341BA" w:rsidRPr="000B50E3" w:rsidRDefault="005341BA">
      <w:pPr>
        <w:rPr>
          <w:rFonts w:cs="Times New Roman"/>
          <w:szCs w:val="24"/>
        </w:rPr>
      </w:pPr>
    </w:p>
    <w:p w14:paraId="7A9F57A8" w14:textId="77777777" w:rsidR="005341BA" w:rsidRPr="000B50E3" w:rsidRDefault="005341BA">
      <w:pPr>
        <w:rPr>
          <w:rFonts w:cs="Times New Roman"/>
          <w:szCs w:val="24"/>
        </w:rPr>
      </w:pPr>
    </w:p>
    <w:p w14:paraId="4DF2BD25" w14:textId="77777777" w:rsidR="005341BA" w:rsidRPr="000B50E3" w:rsidRDefault="005341BA">
      <w:pPr>
        <w:rPr>
          <w:rFonts w:cs="Times New Roman"/>
          <w:szCs w:val="24"/>
        </w:rPr>
      </w:pPr>
    </w:p>
    <w:p w14:paraId="744F0AAE" w14:textId="77777777" w:rsidR="005341BA" w:rsidRPr="000B50E3" w:rsidRDefault="005341BA">
      <w:pPr>
        <w:rPr>
          <w:rFonts w:cs="Times New Roman"/>
          <w:szCs w:val="24"/>
        </w:rPr>
      </w:pPr>
    </w:p>
    <w:p w14:paraId="1759B80A" w14:textId="77777777" w:rsidR="005341BA" w:rsidRPr="000B50E3" w:rsidRDefault="005341BA">
      <w:pPr>
        <w:rPr>
          <w:rFonts w:cs="Times New Roman"/>
          <w:szCs w:val="24"/>
        </w:rPr>
      </w:pPr>
    </w:p>
    <w:sdt>
      <w:sdtPr>
        <w:rPr>
          <w:rFonts w:ascii="Times New Roman" w:eastAsiaTheme="minorHAnsi" w:hAnsi="Times New Roman" w:cs="Times New Roman"/>
          <w:color w:val="auto"/>
          <w:sz w:val="24"/>
          <w:szCs w:val="24"/>
        </w:rPr>
        <w:id w:val="1570383780"/>
        <w:docPartObj>
          <w:docPartGallery w:val="Table of Contents"/>
          <w:docPartUnique/>
        </w:docPartObj>
      </w:sdtPr>
      <w:sdtEndPr>
        <w:rPr>
          <w:b/>
          <w:bCs/>
          <w:noProof/>
        </w:rPr>
      </w:sdtEndPr>
      <w:sdtContent>
        <w:p w14:paraId="67F610CD" w14:textId="77777777" w:rsidR="00C1755F" w:rsidRPr="00BC5E15" w:rsidRDefault="00C1755F" w:rsidP="00C1755F">
          <w:pPr>
            <w:pStyle w:val="TOCHeading"/>
            <w:jc w:val="center"/>
            <w:rPr>
              <w:rFonts w:ascii="Times New Roman" w:hAnsi="Times New Roman" w:cs="Times New Roman"/>
              <w:color w:val="000000" w:themeColor="text1"/>
              <w:sz w:val="24"/>
              <w:szCs w:val="24"/>
            </w:rPr>
          </w:pPr>
          <w:r w:rsidRPr="00BC5E15">
            <w:rPr>
              <w:rFonts w:ascii="Times New Roman" w:hAnsi="Times New Roman" w:cs="Times New Roman"/>
              <w:color w:val="000000" w:themeColor="text1"/>
              <w:sz w:val="24"/>
              <w:szCs w:val="24"/>
            </w:rPr>
            <w:t>Contents</w:t>
          </w:r>
        </w:p>
        <w:p w14:paraId="65EF7903" w14:textId="77777777" w:rsidR="00BC5E15" w:rsidRPr="00BC5E15" w:rsidRDefault="00C1755F">
          <w:pPr>
            <w:pStyle w:val="TOC1"/>
            <w:rPr>
              <w:rFonts w:ascii="Times New Roman" w:hAnsi="Times New Roman"/>
              <w:noProof/>
              <w:color w:val="000000" w:themeColor="text1"/>
              <w:sz w:val="24"/>
              <w:szCs w:val="24"/>
            </w:rPr>
          </w:pPr>
          <w:r w:rsidRPr="00BC5E15">
            <w:rPr>
              <w:rFonts w:ascii="Times New Roman" w:hAnsi="Times New Roman"/>
              <w:color w:val="000000" w:themeColor="text1"/>
              <w:sz w:val="24"/>
              <w:szCs w:val="24"/>
            </w:rPr>
            <w:fldChar w:fldCharType="begin"/>
          </w:r>
          <w:r w:rsidRPr="00BC5E15">
            <w:rPr>
              <w:rFonts w:ascii="Times New Roman" w:hAnsi="Times New Roman"/>
              <w:color w:val="000000" w:themeColor="text1"/>
              <w:sz w:val="24"/>
              <w:szCs w:val="24"/>
            </w:rPr>
            <w:instrText xml:space="preserve"> TOC \o "1-3" \h \z \u </w:instrText>
          </w:r>
          <w:r w:rsidRPr="00BC5E15">
            <w:rPr>
              <w:rFonts w:ascii="Times New Roman" w:hAnsi="Times New Roman"/>
              <w:color w:val="000000" w:themeColor="text1"/>
              <w:sz w:val="24"/>
              <w:szCs w:val="24"/>
            </w:rPr>
            <w:fldChar w:fldCharType="separate"/>
          </w:r>
          <w:hyperlink w:anchor="_Toc168080401" w:history="1">
            <w:r w:rsidR="00BC5E15" w:rsidRPr="00BC5E15">
              <w:rPr>
                <w:rStyle w:val="Hyperlink"/>
                <w:rFonts w:ascii="Times New Roman" w:hAnsi="Times New Roman"/>
                <w:noProof/>
                <w:color w:val="000000" w:themeColor="text1"/>
                <w:sz w:val="24"/>
                <w:szCs w:val="24"/>
              </w:rPr>
              <w:t>1</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Introduction</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_Toc168080401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3</w:t>
            </w:r>
            <w:r w:rsidR="00BC5E15" w:rsidRPr="00BC5E15">
              <w:rPr>
                <w:rFonts w:ascii="Times New Roman" w:hAnsi="Times New Roman"/>
                <w:noProof/>
                <w:webHidden/>
                <w:color w:val="000000" w:themeColor="text1"/>
                <w:sz w:val="24"/>
                <w:szCs w:val="24"/>
              </w:rPr>
              <w:fldChar w:fldCharType="end"/>
            </w:r>
          </w:hyperlink>
        </w:p>
        <w:p w14:paraId="2F02618D" w14:textId="77777777" w:rsidR="00BC5E15" w:rsidRPr="00BC5E15" w:rsidRDefault="00000000">
          <w:pPr>
            <w:pStyle w:val="TOC1"/>
            <w:rPr>
              <w:rFonts w:ascii="Times New Roman" w:hAnsi="Times New Roman"/>
              <w:noProof/>
              <w:color w:val="000000" w:themeColor="text1"/>
              <w:sz w:val="24"/>
              <w:szCs w:val="24"/>
            </w:rPr>
          </w:pPr>
          <w:hyperlink w:anchor="_Toc168080402" w:history="1">
            <w:r w:rsidR="00BC5E15" w:rsidRPr="00BC5E15">
              <w:rPr>
                <w:rStyle w:val="Hyperlink"/>
                <w:rFonts w:ascii="Times New Roman" w:hAnsi="Times New Roman"/>
                <w:noProof/>
                <w:color w:val="000000" w:themeColor="text1"/>
                <w:sz w:val="24"/>
                <w:szCs w:val="24"/>
              </w:rPr>
              <w:t>2</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Scope of the objectives</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_Toc168080402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3</w:t>
            </w:r>
            <w:r w:rsidR="00BC5E15" w:rsidRPr="00BC5E15">
              <w:rPr>
                <w:rFonts w:ascii="Times New Roman" w:hAnsi="Times New Roman"/>
                <w:noProof/>
                <w:webHidden/>
                <w:color w:val="000000" w:themeColor="text1"/>
                <w:sz w:val="24"/>
                <w:szCs w:val="24"/>
              </w:rPr>
              <w:fldChar w:fldCharType="end"/>
            </w:r>
          </w:hyperlink>
        </w:p>
        <w:p w14:paraId="09652290" w14:textId="77777777" w:rsidR="00BC5E15" w:rsidRPr="00BC5E15" w:rsidRDefault="00000000">
          <w:pPr>
            <w:pStyle w:val="TOC2"/>
            <w:tabs>
              <w:tab w:val="right" w:leader="dot" w:pos="9350"/>
            </w:tabs>
            <w:rPr>
              <w:b w:val="0"/>
              <w:noProof/>
              <w:color w:val="000000" w:themeColor="text1"/>
              <w:sz w:val="24"/>
              <w:szCs w:val="24"/>
            </w:rPr>
          </w:pPr>
          <w:hyperlink w:anchor="_Toc168080403" w:history="1">
            <w:r w:rsidR="00BC5E15" w:rsidRPr="00BC5E15">
              <w:rPr>
                <w:rStyle w:val="Hyperlink"/>
                <w:b w:val="0"/>
                <w:noProof/>
                <w:color w:val="000000" w:themeColor="text1"/>
                <w:sz w:val="24"/>
                <w:szCs w:val="24"/>
              </w:rPr>
              <w:t>2.1 Trends and Patterns of Urban Height Hotel</w:t>
            </w:r>
            <w:r w:rsidR="00BC5E15" w:rsidRPr="00BC5E15">
              <w:rPr>
                <w:b w:val="0"/>
                <w:noProof/>
                <w:webHidden/>
                <w:color w:val="000000" w:themeColor="text1"/>
                <w:sz w:val="24"/>
                <w:szCs w:val="24"/>
              </w:rPr>
              <w:tab/>
            </w:r>
            <w:r w:rsidR="00BC5E15" w:rsidRPr="00BC5E15">
              <w:rPr>
                <w:b w:val="0"/>
                <w:noProof/>
                <w:webHidden/>
                <w:color w:val="000000" w:themeColor="text1"/>
                <w:sz w:val="24"/>
                <w:szCs w:val="24"/>
              </w:rPr>
              <w:fldChar w:fldCharType="begin"/>
            </w:r>
            <w:r w:rsidR="00BC5E15" w:rsidRPr="00BC5E15">
              <w:rPr>
                <w:b w:val="0"/>
                <w:noProof/>
                <w:webHidden/>
                <w:color w:val="000000" w:themeColor="text1"/>
                <w:sz w:val="24"/>
                <w:szCs w:val="24"/>
              </w:rPr>
              <w:instrText xml:space="preserve"> PAGEREF _Toc168080403 \h </w:instrText>
            </w:r>
            <w:r w:rsidR="00BC5E15" w:rsidRPr="00BC5E15">
              <w:rPr>
                <w:b w:val="0"/>
                <w:noProof/>
                <w:webHidden/>
                <w:color w:val="000000" w:themeColor="text1"/>
                <w:sz w:val="24"/>
                <w:szCs w:val="24"/>
              </w:rPr>
            </w:r>
            <w:r w:rsidR="00BC5E15" w:rsidRPr="00BC5E15">
              <w:rPr>
                <w:b w:val="0"/>
                <w:noProof/>
                <w:webHidden/>
                <w:color w:val="000000" w:themeColor="text1"/>
                <w:sz w:val="24"/>
                <w:szCs w:val="24"/>
              </w:rPr>
              <w:fldChar w:fldCharType="separate"/>
            </w:r>
            <w:r w:rsidR="0067458C">
              <w:rPr>
                <w:b w:val="0"/>
                <w:noProof/>
                <w:webHidden/>
                <w:color w:val="000000" w:themeColor="text1"/>
                <w:sz w:val="24"/>
                <w:szCs w:val="24"/>
              </w:rPr>
              <w:t>3</w:t>
            </w:r>
            <w:r w:rsidR="00BC5E15" w:rsidRPr="00BC5E15">
              <w:rPr>
                <w:b w:val="0"/>
                <w:noProof/>
                <w:webHidden/>
                <w:color w:val="000000" w:themeColor="text1"/>
                <w:sz w:val="24"/>
                <w:szCs w:val="24"/>
              </w:rPr>
              <w:fldChar w:fldCharType="end"/>
            </w:r>
          </w:hyperlink>
        </w:p>
        <w:p w14:paraId="07EB949B" w14:textId="77777777" w:rsidR="00BC5E15" w:rsidRPr="00BC5E15" w:rsidRDefault="00000000">
          <w:pPr>
            <w:pStyle w:val="TOC2"/>
            <w:tabs>
              <w:tab w:val="right" w:leader="dot" w:pos="9350"/>
            </w:tabs>
            <w:rPr>
              <w:b w:val="0"/>
              <w:noProof/>
              <w:color w:val="000000" w:themeColor="text1"/>
              <w:sz w:val="24"/>
              <w:szCs w:val="24"/>
            </w:rPr>
          </w:pPr>
          <w:hyperlink w:anchor="_Toc168080404" w:history="1">
            <w:r w:rsidR="00BC5E15" w:rsidRPr="00BC5E15">
              <w:rPr>
                <w:rStyle w:val="Hyperlink"/>
                <w:b w:val="0"/>
                <w:noProof/>
                <w:color w:val="000000" w:themeColor="text1"/>
                <w:sz w:val="24"/>
                <w:szCs w:val="24"/>
              </w:rPr>
              <w:t>2.2. Financial performance over the past three years</w:t>
            </w:r>
            <w:r w:rsidR="00BC5E15" w:rsidRPr="00BC5E15">
              <w:rPr>
                <w:b w:val="0"/>
                <w:noProof/>
                <w:webHidden/>
                <w:color w:val="000000" w:themeColor="text1"/>
                <w:sz w:val="24"/>
                <w:szCs w:val="24"/>
              </w:rPr>
              <w:tab/>
            </w:r>
            <w:r w:rsidR="00BC5E15" w:rsidRPr="00BC5E15">
              <w:rPr>
                <w:b w:val="0"/>
                <w:noProof/>
                <w:webHidden/>
                <w:color w:val="000000" w:themeColor="text1"/>
                <w:sz w:val="24"/>
                <w:szCs w:val="24"/>
              </w:rPr>
              <w:fldChar w:fldCharType="begin"/>
            </w:r>
            <w:r w:rsidR="00BC5E15" w:rsidRPr="00BC5E15">
              <w:rPr>
                <w:b w:val="0"/>
                <w:noProof/>
                <w:webHidden/>
                <w:color w:val="000000" w:themeColor="text1"/>
                <w:sz w:val="24"/>
                <w:szCs w:val="24"/>
              </w:rPr>
              <w:instrText xml:space="preserve"> PAGEREF _Toc168080404 \h </w:instrText>
            </w:r>
            <w:r w:rsidR="00BC5E15" w:rsidRPr="00BC5E15">
              <w:rPr>
                <w:b w:val="0"/>
                <w:noProof/>
                <w:webHidden/>
                <w:color w:val="000000" w:themeColor="text1"/>
                <w:sz w:val="24"/>
                <w:szCs w:val="24"/>
              </w:rPr>
            </w:r>
            <w:r w:rsidR="00BC5E15" w:rsidRPr="00BC5E15">
              <w:rPr>
                <w:b w:val="0"/>
                <w:noProof/>
                <w:webHidden/>
                <w:color w:val="000000" w:themeColor="text1"/>
                <w:sz w:val="24"/>
                <w:szCs w:val="24"/>
              </w:rPr>
              <w:fldChar w:fldCharType="separate"/>
            </w:r>
            <w:r w:rsidR="0067458C">
              <w:rPr>
                <w:b w:val="0"/>
                <w:noProof/>
                <w:webHidden/>
                <w:color w:val="000000" w:themeColor="text1"/>
                <w:sz w:val="24"/>
                <w:szCs w:val="24"/>
              </w:rPr>
              <w:t>4</w:t>
            </w:r>
            <w:r w:rsidR="00BC5E15" w:rsidRPr="00BC5E15">
              <w:rPr>
                <w:b w:val="0"/>
                <w:noProof/>
                <w:webHidden/>
                <w:color w:val="000000" w:themeColor="text1"/>
                <w:sz w:val="24"/>
                <w:szCs w:val="24"/>
              </w:rPr>
              <w:fldChar w:fldCharType="end"/>
            </w:r>
          </w:hyperlink>
        </w:p>
        <w:p w14:paraId="73B0AAD0" w14:textId="77777777" w:rsidR="00BC5E15" w:rsidRPr="00BC5E15" w:rsidRDefault="00000000">
          <w:pPr>
            <w:pStyle w:val="TOC1"/>
            <w:rPr>
              <w:rFonts w:ascii="Times New Roman" w:hAnsi="Times New Roman"/>
              <w:noProof/>
              <w:color w:val="000000" w:themeColor="text1"/>
              <w:sz w:val="24"/>
              <w:szCs w:val="24"/>
            </w:rPr>
          </w:pPr>
          <w:hyperlink w:anchor="_Toc168080405" w:history="1">
            <w:r w:rsidR="00BC5E15" w:rsidRPr="00BC5E15">
              <w:rPr>
                <w:rStyle w:val="Hyperlink"/>
                <w:rFonts w:ascii="Times New Roman" w:hAnsi="Times New Roman"/>
                <w:noProof/>
                <w:color w:val="000000" w:themeColor="text1"/>
                <w:sz w:val="24"/>
                <w:szCs w:val="24"/>
              </w:rPr>
              <w:t>3</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shd w:val="clear" w:color="auto" w:fill="FFFFFF"/>
              </w:rPr>
              <w:t>Key Reasons for the decline in profitability</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_Toc168080405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6</w:t>
            </w:r>
            <w:r w:rsidR="00BC5E15" w:rsidRPr="00BC5E15">
              <w:rPr>
                <w:rFonts w:ascii="Times New Roman" w:hAnsi="Times New Roman"/>
                <w:noProof/>
                <w:webHidden/>
                <w:color w:val="000000" w:themeColor="text1"/>
                <w:sz w:val="24"/>
                <w:szCs w:val="24"/>
              </w:rPr>
              <w:fldChar w:fldCharType="end"/>
            </w:r>
          </w:hyperlink>
        </w:p>
        <w:p w14:paraId="5B95E9B8" w14:textId="77777777" w:rsidR="00BC5E15" w:rsidRPr="00BC5E15" w:rsidRDefault="00000000">
          <w:pPr>
            <w:pStyle w:val="TOC1"/>
            <w:rPr>
              <w:rFonts w:ascii="Times New Roman" w:hAnsi="Times New Roman"/>
              <w:noProof/>
              <w:color w:val="000000" w:themeColor="text1"/>
              <w:sz w:val="24"/>
              <w:szCs w:val="24"/>
            </w:rPr>
          </w:pPr>
          <w:hyperlink w:anchor="_Toc168080406" w:history="1">
            <w:r w:rsidR="00BC5E15" w:rsidRPr="00BC5E15">
              <w:rPr>
                <w:rStyle w:val="Hyperlink"/>
                <w:rFonts w:ascii="Times New Roman" w:hAnsi="Times New Roman"/>
                <w:noProof/>
                <w:color w:val="000000" w:themeColor="text1"/>
                <w:sz w:val="24"/>
                <w:szCs w:val="24"/>
              </w:rPr>
              <w:t>4</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Turnaround strategy</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_Toc168080406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7</w:t>
            </w:r>
            <w:r w:rsidR="00BC5E15" w:rsidRPr="00BC5E15">
              <w:rPr>
                <w:rFonts w:ascii="Times New Roman" w:hAnsi="Times New Roman"/>
                <w:noProof/>
                <w:webHidden/>
                <w:color w:val="000000" w:themeColor="text1"/>
                <w:sz w:val="24"/>
                <w:szCs w:val="24"/>
              </w:rPr>
              <w:fldChar w:fldCharType="end"/>
            </w:r>
          </w:hyperlink>
        </w:p>
        <w:p w14:paraId="213410F0" w14:textId="77777777" w:rsidR="00BC5E15" w:rsidRPr="00BC5E15" w:rsidRDefault="00000000">
          <w:pPr>
            <w:pStyle w:val="TOC1"/>
            <w:rPr>
              <w:rFonts w:ascii="Times New Roman" w:hAnsi="Times New Roman"/>
              <w:noProof/>
              <w:color w:val="000000" w:themeColor="text1"/>
              <w:sz w:val="24"/>
              <w:szCs w:val="24"/>
            </w:rPr>
          </w:pPr>
          <w:hyperlink w:anchor="_Toc168080407" w:history="1">
            <w:r w:rsidR="00BC5E15" w:rsidRPr="00BC5E15">
              <w:rPr>
                <w:rStyle w:val="Hyperlink"/>
                <w:rFonts w:ascii="Times New Roman" w:hAnsi="Times New Roman"/>
                <w:noProof/>
                <w:color w:val="000000" w:themeColor="text1"/>
                <w:sz w:val="24"/>
                <w:szCs w:val="24"/>
              </w:rPr>
              <w:t>5</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Financial Projections</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_Toc168080407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8</w:t>
            </w:r>
            <w:r w:rsidR="00BC5E15" w:rsidRPr="00BC5E15">
              <w:rPr>
                <w:rFonts w:ascii="Times New Roman" w:hAnsi="Times New Roman"/>
                <w:noProof/>
                <w:webHidden/>
                <w:color w:val="000000" w:themeColor="text1"/>
                <w:sz w:val="24"/>
                <w:szCs w:val="24"/>
              </w:rPr>
              <w:fldChar w:fldCharType="end"/>
            </w:r>
          </w:hyperlink>
        </w:p>
        <w:p w14:paraId="657A798A" w14:textId="77777777" w:rsidR="00BC5E15" w:rsidRPr="00BC5E15" w:rsidRDefault="00000000">
          <w:pPr>
            <w:pStyle w:val="TOC1"/>
            <w:rPr>
              <w:rFonts w:ascii="Times New Roman" w:hAnsi="Times New Roman"/>
              <w:noProof/>
              <w:color w:val="000000" w:themeColor="text1"/>
              <w:sz w:val="24"/>
              <w:szCs w:val="24"/>
            </w:rPr>
          </w:pPr>
          <w:hyperlink w:anchor="_Toc168080408" w:history="1">
            <w:r w:rsidR="00BC5E15" w:rsidRPr="00BC5E15">
              <w:rPr>
                <w:rStyle w:val="Hyperlink"/>
                <w:rFonts w:ascii="Times New Roman" w:hAnsi="Times New Roman"/>
                <w:noProof/>
                <w:color w:val="000000" w:themeColor="text1"/>
                <w:sz w:val="24"/>
                <w:szCs w:val="24"/>
              </w:rPr>
              <w:t>6</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Conclusion</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_Toc168080408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10</w:t>
            </w:r>
            <w:r w:rsidR="00BC5E15" w:rsidRPr="00BC5E15">
              <w:rPr>
                <w:rFonts w:ascii="Times New Roman" w:hAnsi="Times New Roman"/>
                <w:noProof/>
                <w:webHidden/>
                <w:color w:val="000000" w:themeColor="text1"/>
                <w:sz w:val="24"/>
                <w:szCs w:val="24"/>
              </w:rPr>
              <w:fldChar w:fldCharType="end"/>
            </w:r>
          </w:hyperlink>
        </w:p>
        <w:p w14:paraId="26957F5F" w14:textId="77777777" w:rsidR="00BC5E15" w:rsidRPr="00BC5E15" w:rsidRDefault="00000000">
          <w:pPr>
            <w:pStyle w:val="TOC1"/>
            <w:rPr>
              <w:rFonts w:ascii="Times New Roman" w:hAnsi="Times New Roman"/>
              <w:noProof/>
              <w:color w:val="000000" w:themeColor="text1"/>
              <w:sz w:val="24"/>
              <w:szCs w:val="24"/>
            </w:rPr>
          </w:pPr>
          <w:hyperlink w:anchor="_Toc168080409" w:history="1">
            <w:r w:rsidR="00BC5E15" w:rsidRPr="00BC5E15">
              <w:rPr>
                <w:rStyle w:val="Hyperlink"/>
                <w:rFonts w:ascii="Times New Roman" w:hAnsi="Times New Roman"/>
                <w:noProof/>
                <w:color w:val="000000" w:themeColor="text1"/>
                <w:sz w:val="24"/>
                <w:szCs w:val="24"/>
              </w:rPr>
              <w:t>7</w:t>
            </w:r>
            <w:r w:rsidR="00BC5E15" w:rsidRPr="00BC5E15">
              <w:rPr>
                <w:rFonts w:ascii="Times New Roman" w:hAnsi="Times New Roman"/>
                <w:noProof/>
                <w:color w:val="000000" w:themeColor="text1"/>
                <w:sz w:val="24"/>
                <w:szCs w:val="24"/>
              </w:rPr>
              <w:tab/>
            </w:r>
            <w:r w:rsidR="00BC5E15" w:rsidRPr="00BC5E15">
              <w:rPr>
                <w:rStyle w:val="Hyperlink"/>
                <w:rFonts w:ascii="Times New Roman" w:hAnsi="Times New Roman"/>
                <w:noProof/>
                <w:color w:val="000000" w:themeColor="text1"/>
                <w:sz w:val="24"/>
                <w:szCs w:val="24"/>
              </w:rPr>
              <w:t>References</w:t>
            </w:r>
            <w:r w:rsidR="00BC5E15" w:rsidRPr="00BC5E15">
              <w:rPr>
                <w:rFonts w:ascii="Times New Roman" w:hAnsi="Times New Roman"/>
                <w:noProof/>
                <w:webHidden/>
                <w:color w:val="000000" w:themeColor="text1"/>
                <w:sz w:val="24"/>
                <w:szCs w:val="24"/>
              </w:rPr>
              <w:tab/>
            </w:r>
            <w:r w:rsidR="00BC5E15" w:rsidRPr="00BC5E15">
              <w:rPr>
                <w:rFonts w:ascii="Times New Roman" w:hAnsi="Times New Roman"/>
                <w:noProof/>
                <w:webHidden/>
                <w:color w:val="000000" w:themeColor="text1"/>
                <w:sz w:val="24"/>
                <w:szCs w:val="24"/>
              </w:rPr>
              <w:fldChar w:fldCharType="begin"/>
            </w:r>
            <w:r w:rsidR="00BC5E15" w:rsidRPr="00BC5E15">
              <w:rPr>
                <w:rFonts w:ascii="Times New Roman" w:hAnsi="Times New Roman"/>
                <w:noProof/>
                <w:webHidden/>
                <w:color w:val="000000" w:themeColor="text1"/>
                <w:sz w:val="24"/>
                <w:szCs w:val="24"/>
              </w:rPr>
              <w:instrText xml:space="preserve"> PAGEREF _Toc168080409 \h </w:instrText>
            </w:r>
            <w:r w:rsidR="00BC5E15" w:rsidRPr="00BC5E15">
              <w:rPr>
                <w:rFonts w:ascii="Times New Roman" w:hAnsi="Times New Roman"/>
                <w:noProof/>
                <w:webHidden/>
                <w:color w:val="000000" w:themeColor="text1"/>
                <w:sz w:val="24"/>
                <w:szCs w:val="24"/>
              </w:rPr>
            </w:r>
            <w:r w:rsidR="00BC5E15" w:rsidRPr="00BC5E15">
              <w:rPr>
                <w:rFonts w:ascii="Times New Roman" w:hAnsi="Times New Roman"/>
                <w:noProof/>
                <w:webHidden/>
                <w:color w:val="000000" w:themeColor="text1"/>
                <w:sz w:val="24"/>
                <w:szCs w:val="24"/>
              </w:rPr>
              <w:fldChar w:fldCharType="separate"/>
            </w:r>
            <w:r w:rsidR="0067458C">
              <w:rPr>
                <w:rFonts w:ascii="Times New Roman" w:hAnsi="Times New Roman"/>
                <w:noProof/>
                <w:webHidden/>
                <w:color w:val="000000" w:themeColor="text1"/>
                <w:sz w:val="24"/>
                <w:szCs w:val="24"/>
              </w:rPr>
              <w:t>11</w:t>
            </w:r>
            <w:r w:rsidR="00BC5E15" w:rsidRPr="00BC5E15">
              <w:rPr>
                <w:rFonts w:ascii="Times New Roman" w:hAnsi="Times New Roman"/>
                <w:noProof/>
                <w:webHidden/>
                <w:color w:val="000000" w:themeColor="text1"/>
                <w:sz w:val="24"/>
                <w:szCs w:val="24"/>
              </w:rPr>
              <w:fldChar w:fldCharType="end"/>
            </w:r>
          </w:hyperlink>
        </w:p>
        <w:p w14:paraId="504429FD" w14:textId="77777777" w:rsidR="00C1755F" w:rsidRPr="000B50E3" w:rsidRDefault="00C1755F">
          <w:pPr>
            <w:rPr>
              <w:rFonts w:cs="Times New Roman"/>
              <w:szCs w:val="24"/>
            </w:rPr>
          </w:pPr>
          <w:r w:rsidRPr="00BC5E15">
            <w:rPr>
              <w:rFonts w:cs="Times New Roman"/>
              <w:bCs/>
              <w:noProof/>
              <w:color w:val="000000" w:themeColor="text1"/>
              <w:szCs w:val="24"/>
            </w:rPr>
            <w:fldChar w:fldCharType="end"/>
          </w:r>
        </w:p>
      </w:sdtContent>
    </w:sdt>
    <w:p w14:paraId="620BBDE1" w14:textId="77777777" w:rsidR="003C25D8" w:rsidRPr="000B50E3" w:rsidRDefault="003C25D8" w:rsidP="00FE7871">
      <w:pPr>
        <w:jc w:val="center"/>
        <w:rPr>
          <w:rFonts w:cs="Times New Roman"/>
          <w:szCs w:val="24"/>
        </w:rPr>
      </w:pPr>
    </w:p>
    <w:p w14:paraId="77803AF3" w14:textId="77777777" w:rsidR="003C25D8" w:rsidRPr="000B50E3" w:rsidRDefault="003C25D8">
      <w:pPr>
        <w:rPr>
          <w:rFonts w:cs="Times New Roman"/>
          <w:szCs w:val="24"/>
        </w:rPr>
      </w:pPr>
    </w:p>
    <w:p w14:paraId="0D6270CB" w14:textId="77777777" w:rsidR="003C25D8" w:rsidRPr="000B50E3" w:rsidRDefault="003C25D8">
      <w:pPr>
        <w:rPr>
          <w:rFonts w:cs="Times New Roman"/>
          <w:szCs w:val="24"/>
        </w:rPr>
      </w:pPr>
    </w:p>
    <w:p w14:paraId="148DE09C" w14:textId="77777777" w:rsidR="003C25D8" w:rsidRPr="000B50E3" w:rsidRDefault="003C25D8">
      <w:pPr>
        <w:rPr>
          <w:rFonts w:cs="Times New Roman"/>
          <w:szCs w:val="24"/>
        </w:rPr>
      </w:pPr>
    </w:p>
    <w:p w14:paraId="21EE7161" w14:textId="77777777" w:rsidR="003C25D8" w:rsidRPr="000B50E3" w:rsidRDefault="003C25D8">
      <w:pPr>
        <w:rPr>
          <w:rFonts w:cs="Times New Roman"/>
          <w:szCs w:val="24"/>
        </w:rPr>
      </w:pPr>
    </w:p>
    <w:p w14:paraId="53804C43" w14:textId="77777777" w:rsidR="003C25D8" w:rsidRPr="000B50E3" w:rsidRDefault="003C25D8">
      <w:pPr>
        <w:rPr>
          <w:rFonts w:cs="Times New Roman"/>
          <w:szCs w:val="24"/>
        </w:rPr>
      </w:pPr>
    </w:p>
    <w:p w14:paraId="7BFA7EC0" w14:textId="77777777" w:rsidR="003C25D8" w:rsidRPr="000B50E3" w:rsidRDefault="003C25D8">
      <w:pPr>
        <w:rPr>
          <w:rFonts w:cs="Times New Roman"/>
          <w:szCs w:val="24"/>
        </w:rPr>
      </w:pPr>
    </w:p>
    <w:p w14:paraId="53DD98D7" w14:textId="77777777" w:rsidR="003C25D8" w:rsidRPr="000B50E3" w:rsidRDefault="003C25D8">
      <w:pPr>
        <w:rPr>
          <w:rFonts w:cs="Times New Roman"/>
          <w:szCs w:val="24"/>
        </w:rPr>
      </w:pPr>
    </w:p>
    <w:p w14:paraId="773D4B24" w14:textId="77777777" w:rsidR="003C25D8" w:rsidRPr="000B50E3" w:rsidRDefault="003C25D8">
      <w:pPr>
        <w:rPr>
          <w:rFonts w:cs="Times New Roman"/>
          <w:szCs w:val="24"/>
        </w:rPr>
      </w:pPr>
    </w:p>
    <w:p w14:paraId="05789885" w14:textId="77777777" w:rsidR="003C25D8" w:rsidRPr="000B50E3" w:rsidRDefault="003C25D8">
      <w:pPr>
        <w:rPr>
          <w:rFonts w:cs="Times New Roman"/>
          <w:szCs w:val="24"/>
        </w:rPr>
      </w:pPr>
    </w:p>
    <w:p w14:paraId="7E7FE447" w14:textId="77777777" w:rsidR="003C25D8" w:rsidRPr="000B50E3" w:rsidRDefault="003C25D8">
      <w:pPr>
        <w:rPr>
          <w:rFonts w:cs="Times New Roman"/>
          <w:szCs w:val="24"/>
        </w:rPr>
      </w:pPr>
    </w:p>
    <w:p w14:paraId="0B658051" w14:textId="77777777" w:rsidR="003C25D8" w:rsidRPr="000B50E3" w:rsidRDefault="003C25D8">
      <w:pPr>
        <w:rPr>
          <w:rFonts w:cs="Times New Roman"/>
          <w:szCs w:val="24"/>
        </w:rPr>
      </w:pPr>
    </w:p>
    <w:p w14:paraId="4FF8551A" w14:textId="77777777" w:rsidR="003C25D8" w:rsidRPr="000B50E3" w:rsidRDefault="003C25D8">
      <w:pPr>
        <w:rPr>
          <w:rFonts w:cs="Times New Roman"/>
          <w:szCs w:val="24"/>
        </w:rPr>
      </w:pPr>
    </w:p>
    <w:p w14:paraId="04E5B0B3" w14:textId="77777777" w:rsidR="003C25D8" w:rsidRPr="000B50E3" w:rsidRDefault="003C25D8">
      <w:pPr>
        <w:rPr>
          <w:rFonts w:cs="Times New Roman"/>
          <w:szCs w:val="24"/>
        </w:rPr>
      </w:pPr>
    </w:p>
    <w:p w14:paraId="7AB865DE" w14:textId="77777777" w:rsidR="003C25D8" w:rsidRPr="000B50E3" w:rsidRDefault="004B4B10" w:rsidP="00161998">
      <w:pPr>
        <w:pStyle w:val="Heading1"/>
        <w:rPr>
          <w:rFonts w:cs="Times New Roman"/>
          <w:szCs w:val="24"/>
        </w:rPr>
      </w:pPr>
      <w:bookmarkStart w:id="0" w:name="_Toc168080401"/>
      <w:r w:rsidRPr="000B50E3">
        <w:rPr>
          <w:rFonts w:cs="Times New Roman"/>
          <w:szCs w:val="24"/>
        </w:rPr>
        <w:t>Introduction</w:t>
      </w:r>
      <w:bookmarkEnd w:id="0"/>
    </w:p>
    <w:p w14:paraId="0F28E140" w14:textId="701BCC82" w:rsidR="003C25D8" w:rsidRPr="000B50E3" w:rsidRDefault="004B4B10" w:rsidP="00FE7871">
      <w:pPr>
        <w:ind w:firstLine="283"/>
        <w:rPr>
          <w:rFonts w:cs="Times New Roman"/>
          <w:szCs w:val="24"/>
        </w:rPr>
      </w:pPr>
      <w:r w:rsidRPr="000B50E3">
        <w:rPr>
          <w:rFonts w:cs="Times New Roman"/>
          <w:szCs w:val="24"/>
        </w:rPr>
        <w:t>The Urban Height Hotel with restaurants, bars and event facilities</w:t>
      </w:r>
      <w:r w:rsidR="00BB7787">
        <w:rPr>
          <w:rFonts w:cs="Times New Roman"/>
          <w:szCs w:val="24"/>
        </w:rPr>
        <w:t xml:space="preserve"> is</w:t>
      </w:r>
      <w:r w:rsidRPr="000B50E3">
        <w:rPr>
          <w:rFonts w:cs="Times New Roman"/>
          <w:szCs w:val="24"/>
        </w:rPr>
        <w:t xml:space="preserve"> situated in a metropolitan landscape. Lodgings and tourism </w:t>
      </w:r>
      <w:proofErr w:type="gramStart"/>
      <w:r w:rsidRPr="000B50E3">
        <w:rPr>
          <w:rFonts w:cs="Times New Roman"/>
          <w:szCs w:val="24"/>
        </w:rPr>
        <w:t>plays</w:t>
      </w:r>
      <w:proofErr w:type="gramEnd"/>
      <w:r w:rsidRPr="000B50E3">
        <w:rPr>
          <w:rFonts w:cs="Times New Roman"/>
          <w:szCs w:val="24"/>
        </w:rPr>
        <w:t xml:space="preserve"> a </w:t>
      </w:r>
      <w:r w:rsidR="00BB7787">
        <w:rPr>
          <w:rFonts w:cs="Times New Roman"/>
          <w:szCs w:val="24"/>
        </w:rPr>
        <w:t xml:space="preserve">vital and </w:t>
      </w:r>
      <w:r w:rsidRPr="000B50E3">
        <w:rPr>
          <w:rFonts w:cs="Times New Roman"/>
          <w:szCs w:val="24"/>
        </w:rPr>
        <w:t>significant part in the metropolitan economy in the</w:t>
      </w:r>
      <w:r w:rsidR="00BB7787">
        <w:rPr>
          <w:rFonts w:cs="Times New Roman"/>
          <w:szCs w:val="24"/>
        </w:rPr>
        <w:t xml:space="preserve">se modern </w:t>
      </w:r>
      <w:r w:rsidRPr="000B50E3">
        <w:rPr>
          <w:rFonts w:cs="Times New Roman"/>
          <w:szCs w:val="24"/>
        </w:rPr>
        <w:t>advanced times. The operator's management capacity, the scale and level of the hotel binds with nearby business sectors are referenced to be the general circumstances for choosing the achievement and disappointment of hotel management (</w:t>
      </w:r>
      <w:r w:rsidRPr="000B50E3">
        <w:rPr>
          <w:rFonts w:cs="Times New Roman"/>
          <w:color w:val="222222"/>
          <w:szCs w:val="24"/>
          <w:shd w:val="clear" w:color="auto" w:fill="FFFFFF"/>
        </w:rPr>
        <w:t>Sejati et al., 2018)</w:t>
      </w:r>
      <w:r w:rsidRPr="000B50E3">
        <w:rPr>
          <w:rFonts w:cs="Times New Roman"/>
          <w:szCs w:val="24"/>
        </w:rPr>
        <w:t>. The hotel administrations are flourishing and giving accommodations to travellers, particularly in computerized contributions which enormously influence the quantity of requests</w:t>
      </w:r>
      <w:r w:rsidR="00EC6FB8" w:rsidRPr="000B50E3">
        <w:rPr>
          <w:rFonts w:cs="Times New Roman"/>
          <w:szCs w:val="24"/>
        </w:rPr>
        <w:t xml:space="preserve"> (</w:t>
      </w:r>
      <w:r w:rsidR="00EC6FB8" w:rsidRPr="000B50E3">
        <w:rPr>
          <w:rFonts w:cs="Times New Roman"/>
          <w:color w:val="222222"/>
          <w:szCs w:val="24"/>
          <w:shd w:val="clear" w:color="auto" w:fill="FFFFFF"/>
        </w:rPr>
        <w:t>Wang et al., 2019)</w:t>
      </w:r>
      <w:r w:rsidRPr="000B50E3">
        <w:rPr>
          <w:rFonts w:cs="Times New Roman"/>
          <w:szCs w:val="24"/>
        </w:rPr>
        <w:t xml:space="preserve">. However, in recent years, hotels have encountered a decrease in income, inhabitance rates and consumer loyalty. The owner is worried about the future suitability of the business and has enrolled their expertise to evaluate to assess if the business can be rescued through a turnaround strategy. </w:t>
      </w:r>
      <w:r w:rsidR="001F339F" w:rsidRPr="000B50E3">
        <w:rPr>
          <w:rFonts w:cs="Times New Roman"/>
          <w:szCs w:val="24"/>
        </w:rPr>
        <w:t>This report may cover the financial performances of Urban Height Hotel in the past three years which will focus on revenue, profitability, liquidity and solvency of the hotel. Moreover, it will also include the reasons for the decline in profitability of the hotel and will also include the strategies to restore the hotel and help the owner gain his reputation.</w:t>
      </w:r>
    </w:p>
    <w:p w14:paraId="2E56016F" w14:textId="77777777" w:rsidR="00BA0305" w:rsidRPr="000B50E3" w:rsidRDefault="004B4B10" w:rsidP="00161998">
      <w:pPr>
        <w:pStyle w:val="Heading1"/>
        <w:rPr>
          <w:rFonts w:cs="Times New Roman"/>
          <w:szCs w:val="24"/>
        </w:rPr>
      </w:pPr>
      <w:bookmarkStart w:id="1" w:name="_Toc168080402"/>
      <w:r w:rsidRPr="000B50E3">
        <w:rPr>
          <w:rFonts w:cs="Times New Roman"/>
          <w:szCs w:val="24"/>
        </w:rPr>
        <w:t>Scope of the objectives</w:t>
      </w:r>
      <w:bookmarkEnd w:id="1"/>
    </w:p>
    <w:p w14:paraId="3481C71B" w14:textId="77777777" w:rsidR="001F339F" w:rsidRPr="000B50E3" w:rsidRDefault="00161998" w:rsidP="00161998">
      <w:pPr>
        <w:pStyle w:val="Heading2"/>
        <w:numPr>
          <w:ilvl w:val="0"/>
          <w:numId w:val="0"/>
        </w:numPr>
        <w:rPr>
          <w:rFonts w:cs="Times New Roman"/>
          <w:szCs w:val="24"/>
        </w:rPr>
      </w:pPr>
      <w:bookmarkStart w:id="2" w:name="_Toc168080403"/>
      <w:r w:rsidRPr="000B50E3">
        <w:rPr>
          <w:rFonts w:cs="Times New Roman"/>
          <w:szCs w:val="24"/>
        </w:rPr>
        <w:t>2.1</w:t>
      </w:r>
      <w:r w:rsidR="004B4B10" w:rsidRPr="000B50E3">
        <w:rPr>
          <w:rFonts w:cs="Times New Roman"/>
          <w:szCs w:val="24"/>
        </w:rPr>
        <w:t xml:space="preserve"> Trends and Patterns of Urban Height Hotel</w:t>
      </w:r>
      <w:bookmarkEnd w:id="2"/>
    </w:p>
    <w:p w14:paraId="71C03118" w14:textId="77777777" w:rsidR="009E708A" w:rsidRPr="000B50E3" w:rsidRDefault="0056518B" w:rsidP="00FE7871">
      <w:pPr>
        <w:ind w:firstLine="283"/>
        <w:rPr>
          <w:rFonts w:cs="Times New Roman"/>
          <w:szCs w:val="24"/>
        </w:rPr>
      </w:pPr>
      <w:r w:rsidRPr="000B50E3">
        <w:rPr>
          <w:rFonts w:cs="Times New Roman"/>
          <w:szCs w:val="24"/>
        </w:rPr>
        <w:t xml:space="preserve">Several variables are impacting the hotel's situation affecting its reputation, customer loyalty and overall success. Being near famous places of interest, business districts or occasions can attract additional visitors. Therefore location plays a significant role in </w:t>
      </w:r>
      <w:r w:rsidR="0050702E" w:rsidRPr="000B50E3">
        <w:rPr>
          <w:rFonts w:cs="Times New Roman"/>
          <w:szCs w:val="24"/>
        </w:rPr>
        <w:t>maintaining the hotel's reputation. Simple admittance to public transportation, airports and significant highways is crucial. The security and neatness of the encompassing region can affect the visitor's satisfaction (</w:t>
      </w:r>
      <w:r w:rsidR="0050702E" w:rsidRPr="000B50E3">
        <w:rPr>
          <w:rFonts w:cs="Times New Roman"/>
          <w:color w:val="222222"/>
          <w:szCs w:val="24"/>
          <w:shd w:val="clear" w:color="auto" w:fill="FFFFFF"/>
        </w:rPr>
        <w:t>Qin et al., 2021)</w:t>
      </w:r>
      <w:r w:rsidR="0050702E" w:rsidRPr="000B50E3">
        <w:rPr>
          <w:rFonts w:cs="Times New Roman"/>
          <w:szCs w:val="24"/>
        </w:rPr>
        <w:t xml:space="preserve">. Pricing of the Urban Height hotel also plays a major role, they offer competitive pricing as compared to other hotels in the locality and they are offering more money for providing good services and amenities to the customers. </w:t>
      </w:r>
      <w:r w:rsidR="002E4A16" w:rsidRPr="000B50E3">
        <w:rPr>
          <w:rFonts w:cs="Times New Roman"/>
          <w:szCs w:val="24"/>
        </w:rPr>
        <w:t xml:space="preserve">They are providing well-trained staff who can offer better </w:t>
      </w:r>
      <w:r w:rsidR="002E4A16" w:rsidRPr="000B50E3">
        <w:rPr>
          <w:rFonts w:cs="Times New Roman"/>
          <w:szCs w:val="24"/>
        </w:rPr>
        <w:lastRenderedPageBreak/>
        <w:t>assistance and further develop visitor fulfilment</w:t>
      </w:r>
      <w:r w:rsidR="004B4B10" w:rsidRPr="000B50E3">
        <w:rPr>
          <w:rFonts w:cs="Times New Roman"/>
          <w:szCs w:val="24"/>
        </w:rPr>
        <w:t xml:space="preserve"> (Ball et al., 2024)</w:t>
      </w:r>
      <w:r w:rsidR="002E4A16" w:rsidRPr="000B50E3">
        <w:rPr>
          <w:rFonts w:cs="Times New Roman"/>
          <w:szCs w:val="24"/>
        </w:rPr>
        <w:t xml:space="preserve">. Moreover, Urban Height Hotel are proficient utilization of innovation for appointments, registrations and visitor administration. </w:t>
      </w:r>
      <w:r w:rsidR="004B4B10" w:rsidRPr="000B50E3">
        <w:rPr>
          <w:rFonts w:cs="Times New Roman"/>
          <w:szCs w:val="24"/>
        </w:rPr>
        <w:t xml:space="preserve">Local economy and global trends are also the variables which impact the hotel situation. The financial strength of the area can impact travel patterns and spending power. Worldwide financial patterns can affect the </w:t>
      </w:r>
      <w:proofErr w:type="spellStart"/>
      <w:r w:rsidR="004B4B10" w:rsidRPr="000B50E3">
        <w:rPr>
          <w:rFonts w:cs="Times New Roman"/>
          <w:szCs w:val="24"/>
        </w:rPr>
        <w:t>traveller's</w:t>
      </w:r>
      <w:proofErr w:type="spellEnd"/>
      <w:r w:rsidR="004B4B10" w:rsidRPr="000B50E3">
        <w:rPr>
          <w:rFonts w:cs="Times New Roman"/>
          <w:szCs w:val="24"/>
        </w:rPr>
        <w:t xml:space="preserve"> streams and logical execution (</w:t>
      </w:r>
      <w:r w:rsidR="004B4B10" w:rsidRPr="000B50E3">
        <w:rPr>
          <w:rFonts w:cs="Times New Roman"/>
          <w:color w:val="222222"/>
          <w:szCs w:val="24"/>
          <w:shd w:val="clear" w:color="auto" w:fill="FFFFFF"/>
        </w:rPr>
        <w:t>Bhattacharyya and Malik, 2020)</w:t>
      </w:r>
      <w:r w:rsidR="004B4B10" w:rsidRPr="000B50E3">
        <w:rPr>
          <w:rFonts w:cs="Times New Roman"/>
          <w:szCs w:val="24"/>
        </w:rPr>
        <w:t xml:space="preserve">. </w:t>
      </w:r>
      <w:r w:rsidR="00B92A34" w:rsidRPr="000B50E3">
        <w:rPr>
          <w:rFonts w:cs="Times New Roman"/>
          <w:szCs w:val="24"/>
        </w:rPr>
        <w:t>By cautiously considering and advancing these factors, Urban Height Hotel can advance its market position, draw in additional visitors and guarantee long-haul achievement</w:t>
      </w:r>
      <w:r w:rsidR="00C17EAD">
        <w:rPr>
          <w:rFonts w:cs="Times New Roman"/>
          <w:szCs w:val="24"/>
        </w:rPr>
        <w:t xml:space="preserve"> (Hastings et al., 2020: </w:t>
      </w:r>
      <w:r w:rsidR="004B4B10" w:rsidRPr="000B50E3">
        <w:rPr>
          <w:rFonts w:cs="Times New Roman"/>
          <w:color w:val="222222"/>
          <w:szCs w:val="24"/>
          <w:shd w:val="clear" w:color="auto" w:fill="FFFFFF"/>
        </w:rPr>
        <w:t>Budović et al., 2020)</w:t>
      </w:r>
      <w:r w:rsidR="00B92A34" w:rsidRPr="000B50E3">
        <w:rPr>
          <w:rFonts w:cs="Times New Roman"/>
          <w:szCs w:val="24"/>
        </w:rPr>
        <w:t>.</w:t>
      </w:r>
    </w:p>
    <w:p w14:paraId="75286133" w14:textId="77777777" w:rsidR="00B92A34" w:rsidRPr="000B50E3" w:rsidRDefault="00161998" w:rsidP="00161998">
      <w:pPr>
        <w:pStyle w:val="Heading2"/>
        <w:numPr>
          <w:ilvl w:val="0"/>
          <w:numId w:val="0"/>
        </w:numPr>
        <w:ind w:left="576"/>
        <w:rPr>
          <w:rFonts w:cs="Times New Roman"/>
          <w:szCs w:val="24"/>
        </w:rPr>
      </w:pPr>
      <w:bookmarkStart w:id="3" w:name="_Toc168080404"/>
      <w:r w:rsidRPr="000B50E3">
        <w:rPr>
          <w:rFonts w:cs="Times New Roman"/>
          <w:szCs w:val="24"/>
        </w:rPr>
        <w:t>2.2.</w:t>
      </w:r>
      <w:r w:rsidR="004B4B10" w:rsidRPr="000B50E3">
        <w:rPr>
          <w:rFonts w:cs="Times New Roman"/>
          <w:szCs w:val="24"/>
        </w:rPr>
        <w:t xml:space="preserve"> Financial performance over the past three years</w:t>
      </w:r>
      <w:bookmarkEnd w:id="3"/>
    </w:p>
    <w:p w14:paraId="2925C88E" w14:textId="77777777" w:rsidR="00BA0305" w:rsidRPr="000B50E3" w:rsidRDefault="004B4B10" w:rsidP="00FE7871">
      <w:pPr>
        <w:ind w:firstLine="283"/>
        <w:rPr>
          <w:rFonts w:cs="Times New Roman"/>
          <w:szCs w:val="24"/>
        </w:rPr>
      </w:pPr>
      <w:r w:rsidRPr="000B50E3">
        <w:rPr>
          <w:rFonts w:cs="Times New Roman"/>
          <w:szCs w:val="24"/>
        </w:rPr>
        <w:t>To analyze the financial performance of Urban Height over the past three years, the report will focus on key aspects such as revenue, expenses, profitability, liquidity and solvency.</w:t>
      </w:r>
    </w:p>
    <w:p w14:paraId="298BC023" w14:textId="77777777" w:rsidR="00250738" w:rsidRPr="000B50E3" w:rsidRDefault="004B4B10" w:rsidP="00B92A34">
      <w:pPr>
        <w:rPr>
          <w:rFonts w:cs="Times New Roman"/>
          <w:b/>
          <w:szCs w:val="24"/>
        </w:rPr>
      </w:pPr>
      <w:r w:rsidRPr="000B50E3">
        <w:rPr>
          <w:rFonts w:cs="Times New Roman"/>
          <w:b/>
          <w:szCs w:val="24"/>
        </w:rPr>
        <w:t xml:space="preserve">Table 1: </w:t>
      </w:r>
    </w:p>
    <w:p w14:paraId="7156BC4E" w14:textId="77777777" w:rsidR="00FE7871" w:rsidRPr="000B50E3" w:rsidRDefault="004B4B10" w:rsidP="00250738">
      <w:pPr>
        <w:rPr>
          <w:rFonts w:cs="Times New Roman"/>
          <w:szCs w:val="24"/>
        </w:rPr>
      </w:pPr>
      <w:r w:rsidRPr="000B50E3">
        <w:rPr>
          <w:rFonts w:cs="Times New Roman"/>
          <w:noProof/>
          <w:szCs w:val="24"/>
        </w:rPr>
        <w:drawing>
          <wp:inline distT="0" distB="0" distL="0" distR="0" wp14:anchorId="03FCFAB3" wp14:editId="1B2A4DA4">
            <wp:extent cx="6248400" cy="13199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89834" cy="1328705"/>
                    </a:xfrm>
                    <a:prstGeom prst="rect">
                      <a:avLst/>
                    </a:prstGeom>
                  </pic:spPr>
                </pic:pic>
              </a:graphicData>
            </a:graphic>
          </wp:inline>
        </w:drawing>
      </w:r>
    </w:p>
    <w:p w14:paraId="2782E204" w14:textId="77777777" w:rsidR="00250738" w:rsidRPr="000B50E3" w:rsidRDefault="004B4B10" w:rsidP="00B92A34">
      <w:pPr>
        <w:rPr>
          <w:rFonts w:cs="Times New Roman"/>
          <w:b/>
          <w:szCs w:val="24"/>
        </w:rPr>
      </w:pPr>
      <w:r w:rsidRPr="000B50E3">
        <w:rPr>
          <w:rFonts w:cs="Times New Roman"/>
          <w:b/>
          <w:szCs w:val="24"/>
        </w:rPr>
        <w:t xml:space="preserve">Table 2 </w:t>
      </w:r>
    </w:p>
    <w:p w14:paraId="632579A9" w14:textId="77777777" w:rsidR="00250738" w:rsidRPr="000B50E3" w:rsidRDefault="004B4B10" w:rsidP="00250738">
      <w:pPr>
        <w:rPr>
          <w:rFonts w:cs="Times New Roman"/>
          <w:szCs w:val="24"/>
        </w:rPr>
      </w:pPr>
      <w:r w:rsidRPr="000B50E3">
        <w:rPr>
          <w:rFonts w:cs="Times New Roman"/>
          <w:noProof/>
          <w:szCs w:val="24"/>
        </w:rPr>
        <w:drawing>
          <wp:inline distT="0" distB="0" distL="0" distR="0" wp14:anchorId="40F1514A" wp14:editId="04C84D04">
            <wp:extent cx="6324600" cy="2219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6324600" cy="2219325"/>
                    </a:xfrm>
                    <a:prstGeom prst="rect">
                      <a:avLst/>
                    </a:prstGeom>
                  </pic:spPr>
                </pic:pic>
              </a:graphicData>
            </a:graphic>
          </wp:inline>
        </w:drawing>
      </w:r>
    </w:p>
    <w:p w14:paraId="2FB929CD" w14:textId="77777777" w:rsidR="00250738" w:rsidRPr="000B50E3" w:rsidRDefault="004B4B10" w:rsidP="00250738">
      <w:pPr>
        <w:rPr>
          <w:rFonts w:cs="Times New Roman"/>
          <w:b/>
          <w:i/>
          <w:szCs w:val="24"/>
        </w:rPr>
      </w:pPr>
      <w:r w:rsidRPr="000B50E3">
        <w:rPr>
          <w:rFonts w:cs="Times New Roman"/>
          <w:b/>
          <w:i/>
          <w:szCs w:val="24"/>
        </w:rPr>
        <w:t>Revenue</w:t>
      </w:r>
    </w:p>
    <w:p w14:paraId="6D857C68" w14:textId="77777777" w:rsidR="0021267B" w:rsidRPr="000B50E3" w:rsidRDefault="004B4B10" w:rsidP="00250738">
      <w:pPr>
        <w:tabs>
          <w:tab w:val="right" w:pos="9360"/>
        </w:tabs>
        <w:rPr>
          <w:rFonts w:cs="Times New Roman"/>
          <w:color w:val="0D0D0D"/>
          <w:szCs w:val="24"/>
          <w:shd w:val="clear" w:color="auto" w:fill="FFFFFF"/>
        </w:rPr>
      </w:pPr>
      <w:r w:rsidRPr="000B50E3">
        <w:rPr>
          <w:rFonts w:cs="Times New Roman"/>
          <w:szCs w:val="24"/>
        </w:rPr>
        <w:lastRenderedPageBreak/>
        <w:tab/>
        <w:t>According</w:t>
      </w:r>
      <w:r w:rsidR="00250738" w:rsidRPr="000B50E3">
        <w:rPr>
          <w:rFonts w:cs="Times New Roman"/>
          <w:szCs w:val="24"/>
        </w:rPr>
        <w:t xml:space="preserve"> to Table 1, there has been a consistent decline in revenue over the past three years. From 2021 to 2022 revenue decreased by </w:t>
      </w:r>
      <w:r w:rsidR="00250738" w:rsidRPr="000B50E3">
        <w:rPr>
          <w:rFonts w:cs="Times New Roman"/>
          <w:color w:val="0D0D0D"/>
          <w:szCs w:val="24"/>
          <w:shd w:val="clear" w:color="auto" w:fill="FFFFFF"/>
        </w:rPr>
        <w:t>£300,000 which is about a 12% decrease. From 2022 to 2023 revenue further decreased by £400,000</w:t>
      </w:r>
      <w:r w:rsidRPr="000B50E3">
        <w:rPr>
          <w:rFonts w:cs="Times New Roman"/>
          <w:color w:val="0D0D0D"/>
          <w:szCs w:val="24"/>
          <w:shd w:val="clear" w:color="auto" w:fill="FFFFFF"/>
        </w:rPr>
        <w:t xml:space="preserve"> which is about a decrease of 18.2%. Overall there is a decrease of 28% in the revenue from 2021 to 2023. </w:t>
      </w:r>
    </w:p>
    <w:p w14:paraId="350280F1" w14:textId="77777777" w:rsidR="0021267B" w:rsidRPr="000B50E3" w:rsidRDefault="004B4B10" w:rsidP="00250738">
      <w:pPr>
        <w:tabs>
          <w:tab w:val="right" w:pos="9360"/>
        </w:tabs>
        <w:rPr>
          <w:rFonts w:cs="Times New Roman"/>
          <w:b/>
          <w:i/>
          <w:szCs w:val="24"/>
        </w:rPr>
      </w:pPr>
      <w:r w:rsidRPr="000B50E3">
        <w:rPr>
          <w:rFonts w:cs="Times New Roman"/>
          <w:b/>
          <w:i/>
          <w:color w:val="0D0D0D"/>
          <w:szCs w:val="24"/>
          <w:shd w:val="clear" w:color="auto" w:fill="FFFFFF"/>
        </w:rPr>
        <w:t xml:space="preserve">Operating Expenses </w:t>
      </w:r>
    </w:p>
    <w:p w14:paraId="3C196B67" w14:textId="77777777" w:rsidR="00250738" w:rsidRPr="000B50E3" w:rsidRDefault="004B4B10" w:rsidP="00250738">
      <w:pPr>
        <w:tabs>
          <w:tab w:val="right" w:pos="9360"/>
        </w:tabs>
        <w:rPr>
          <w:rFonts w:cs="Times New Roman"/>
          <w:color w:val="0D0D0D"/>
          <w:szCs w:val="24"/>
          <w:shd w:val="clear" w:color="auto" w:fill="FFFFFF"/>
        </w:rPr>
      </w:pPr>
      <w:r w:rsidRPr="000B50E3">
        <w:rPr>
          <w:rFonts w:cs="Times New Roman"/>
          <w:szCs w:val="24"/>
        </w:rPr>
        <w:t xml:space="preserve">Table 1 shows that operating expenses increased from 2021 to 2023. From 2021 to 2022 expenses increased by </w:t>
      </w:r>
      <w:r w:rsidRPr="000B50E3">
        <w:rPr>
          <w:rFonts w:cs="Times New Roman"/>
          <w:color w:val="0D0D0D"/>
          <w:szCs w:val="24"/>
          <w:shd w:val="clear" w:color="auto" w:fill="FFFFFF"/>
        </w:rPr>
        <w:t>£200,000</w:t>
      </w:r>
      <w:r w:rsidRPr="000B50E3">
        <w:rPr>
          <w:rFonts w:cs="Times New Roman"/>
          <w:b/>
          <w:i/>
          <w:szCs w:val="24"/>
        </w:rPr>
        <w:t xml:space="preserve"> </w:t>
      </w:r>
      <w:r w:rsidRPr="000B50E3">
        <w:rPr>
          <w:rFonts w:cs="Times New Roman"/>
          <w:szCs w:val="24"/>
        </w:rPr>
        <w:t xml:space="preserve">which is an increase of 11.1%. There is an increase of 15% in the expenses by </w:t>
      </w:r>
      <w:r w:rsidRPr="000B50E3">
        <w:rPr>
          <w:rFonts w:cs="Times New Roman"/>
          <w:color w:val="0D0D0D"/>
          <w:szCs w:val="24"/>
          <w:shd w:val="clear" w:color="auto" w:fill="FFFFFF"/>
        </w:rPr>
        <w:t xml:space="preserve">£300,000 from the year 2021 to 2023. Overall from 2021 to 2023, the operating expenses increased by 27.8% which is a huge margin. </w:t>
      </w:r>
    </w:p>
    <w:p w14:paraId="363A1DB1" w14:textId="77777777" w:rsidR="0021267B" w:rsidRPr="000B50E3" w:rsidRDefault="004B4B10" w:rsidP="00250738">
      <w:pPr>
        <w:tabs>
          <w:tab w:val="right" w:pos="9360"/>
        </w:tabs>
        <w:rPr>
          <w:rFonts w:cs="Times New Roman"/>
          <w:b/>
          <w:i/>
          <w:color w:val="0D0D0D"/>
          <w:szCs w:val="24"/>
          <w:shd w:val="clear" w:color="auto" w:fill="FFFFFF"/>
        </w:rPr>
      </w:pPr>
      <w:r w:rsidRPr="000B50E3">
        <w:rPr>
          <w:rFonts w:cs="Times New Roman"/>
          <w:b/>
          <w:i/>
          <w:color w:val="0D0D0D"/>
          <w:szCs w:val="24"/>
          <w:shd w:val="clear" w:color="auto" w:fill="FFFFFF"/>
        </w:rPr>
        <w:t>Profitability</w:t>
      </w:r>
    </w:p>
    <w:p w14:paraId="6E91EFE1" w14:textId="77777777" w:rsidR="00250738" w:rsidRPr="000B50E3" w:rsidRDefault="004B4B10" w:rsidP="008B2C88">
      <w:pPr>
        <w:tabs>
          <w:tab w:val="right" w:pos="9360"/>
        </w:tabs>
        <w:rPr>
          <w:rFonts w:cs="Times New Roman"/>
          <w:color w:val="0D0D0D"/>
          <w:szCs w:val="24"/>
          <w:shd w:val="clear" w:color="auto" w:fill="FFFFFF"/>
        </w:rPr>
      </w:pPr>
      <w:r w:rsidRPr="000B50E3">
        <w:rPr>
          <w:rFonts w:cs="Times New Roman"/>
          <w:color w:val="0D0D0D"/>
          <w:szCs w:val="24"/>
          <w:shd w:val="clear" w:color="auto" w:fill="FFFFFF"/>
        </w:rPr>
        <w:t>Profitability proportions evaluate an organization's capacity to pro</w:t>
      </w:r>
      <w:r w:rsidR="00D919A5" w:rsidRPr="000B50E3">
        <w:rPr>
          <w:rFonts w:cs="Times New Roman"/>
          <w:color w:val="0D0D0D"/>
          <w:szCs w:val="24"/>
          <w:shd w:val="clear" w:color="auto" w:fill="FFFFFF"/>
        </w:rPr>
        <w:t>c</w:t>
      </w:r>
      <w:r w:rsidRPr="000B50E3">
        <w:rPr>
          <w:rFonts w:cs="Times New Roman"/>
          <w:color w:val="0D0D0D"/>
          <w:szCs w:val="24"/>
          <w:shd w:val="clear" w:color="auto" w:fill="FFFFFF"/>
        </w:rPr>
        <w:t>ure benefits</w:t>
      </w:r>
      <w:r w:rsidR="00D919A5" w:rsidRPr="000B50E3">
        <w:rPr>
          <w:rFonts w:cs="Times New Roman"/>
          <w:color w:val="0D0D0D"/>
          <w:szCs w:val="24"/>
          <w:shd w:val="clear" w:color="auto" w:fill="FFFFFF"/>
        </w:rPr>
        <w:t xml:space="preserve"> from its deals or tasks, balance sheet assets or investor's value. They show how effectively an organization creates benefits and incentives for investors (</w:t>
      </w:r>
      <w:r w:rsidR="00D919A5" w:rsidRPr="000B50E3">
        <w:rPr>
          <w:rFonts w:cs="Times New Roman"/>
          <w:color w:val="222222"/>
          <w:szCs w:val="24"/>
          <w:shd w:val="clear" w:color="auto" w:fill="FFFFFF"/>
        </w:rPr>
        <w:t>Matar and Eneizan, 2018).</w:t>
      </w:r>
      <w:r w:rsidR="00D919A5" w:rsidRPr="000B50E3">
        <w:rPr>
          <w:rFonts w:cs="Times New Roman"/>
          <w:color w:val="0D0D0D"/>
          <w:szCs w:val="24"/>
          <w:shd w:val="clear" w:color="auto" w:fill="FFFFFF"/>
        </w:rPr>
        <w:t xml:space="preserve"> Profitability proportions incorporate edge proportions and return ratios. </w:t>
      </w:r>
      <w:r w:rsidR="0021267B" w:rsidRPr="000B50E3">
        <w:rPr>
          <w:rFonts w:cs="Times New Roman"/>
          <w:color w:val="0D0D0D"/>
          <w:szCs w:val="24"/>
          <w:shd w:val="clear" w:color="auto" w:fill="FFFFFF"/>
        </w:rPr>
        <w:t>Analysis of Table 1 shows that there is a sharp decline in the profitability of the Urban Height Hotel. Net income decreased by £</w:t>
      </w:r>
      <w:r w:rsidR="008B2C88" w:rsidRPr="000B50E3">
        <w:rPr>
          <w:rFonts w:cs="Times New Roman"/>
          <w:color w:val="0D0D0D"/>
          <w:szCs w:val="24"/>
          <w:shd w:val="clear" w:color="auto" w:fill="FFFFFF"/>
        </w:rPr>
        <w:t>5</w:t>
      </w:r>
      <w:r w:rsidR="0021267B" w:rsidRPr="000B50E3">
        <w:rPr>
          <w:rFonts w:cs="Times New Roman"/>
          <w:color w:val="0D0D0D"/>
          <w:szCs w:val="24"/>
          <w:shd w:val="clear" w:color="auto" w:fill="FFFFFF"/>
        </w:rPr>
        <w:t>00,000</w:t>
      </w:r>
      <w:r w:rsidR="008B2C88" w:rsidRPr="000B50E3">
        <w:rPr>
          <w:rFonts w:cs="Times New Roman"/>
          <w:color w:val="0D0D0D"/>
          <w:szCs w:val="24"/>
          <w:shd w:val="clear" w:color="auto" w:fill="FFFFFF"/>
        </w:rPr>
        <w:t xml:space="preserve"> which is about a 71.4% decrease in the year 2021 to 2022. From the year 2022 to 2023, the company incurred a net loss of £500,000. Overall, the net income from 2021 to 2023 decreased by £1,200,000, which is shifting from positive net income to a net loss. </w:t>
      </w:r>
    </w:p>
    <w:p w14:paraId="6FAC901C" w14:textId="77777777" w:rsidR="008B2C88" w:rsidRPr="000B50E3" w:rsidRDefault="004B4B10" w:rsidP="008B2C88">
      <w:pPr>
        <w:tabs>
          <w:tab w:val="right" w:pos="9360"/>
        </w:tabs>
        <w:rPr>
          <w:rFonts w:cs="Times New Roman"/>
          <w:b/>
          <w:i/>
          <w:color w:val="0D0D0D"/>
          <w:szCs w:val="24"/>
          <w:shd w:val="clear" w:color="auto" w:fill="FFFFFF"/>
        </w:rPr>
      </w:pPr>
      <w:r w:rsidRPr="000B50E3">
        <w:rPr>
          <w:rFonts w:cs="Times New Roman"/>
          <w:b/>
          <w:i/>
          <w:color w:val="0D0D0D"/>
          <w:szCs w:val="24"/>
          <w:shd w:val="clear" w:color="auto" w:fill="FFFFFF"/>
        </w:rPr>
        <w:t>Liquidity</w:t>
      </w:r>
    </w:p>
    <w:p w14:paraId="4A21684D" w14:textId="77777777" w:rsidR="009A45D7" w:rsidRPr="000B50E3" w:rsidRDefault="004B4B10" w:rsidP="008B2C88">
      <w:pPr>
        <w:tabs>
          <w:tab w:val="right" w:pos="9360"/>
        </w:tabs>
        <w:rPr>
          <w:rFonts w:cs="Times New Roman"/>
          <w:color w:val="0D0D0D"/>
          <w:szCs w:val="24"/>
          <w:shd w:val="clear" w:color="auto" w:fill="FFFFFF"/>
        </w:rPr>
      </w:pPr>
      <w:r w:rsidRPr="000B50E3">
        <w:rPr>
          <w:rFonts w:cs="Times New Roman"/>
          <w:color w:val="0D0D0D"/>
          <w:szCs w:val="24"/>
          <w:shd w:val="clear" w:color="auto" w:fill="FFFFFF"/>
        </w:rPr>
        <w:t>Liquidity refers to</w:t>
      </w:r>
      <w:r w:rsidR="00331224" w:rsidRPr="000B50E3">
        <w:rPr>
          <w:rFonts w:cs="Times New Roman"/>
          <w:color w:val="0D0D0D"/>
          <w:szCs w:val="24"/>
          <w:shd w:val="clear" w:color="auto" w:fill="FFFFFF"/>
        </w:rPr>
        <w:t xml:space="preserve"> the capacity to cover short-term obligations. Solvency, on the other hand, is a company's capacity to pay long-haul commitments. For a firm this will frequently incorporate, having the option to reimburse the interest and head on obligations like securities or long-haul leases (</w:t>
      </w:r>
      <w:r w:rsidR="00331224" w:rsidRPr="000B50E3">
        <w:rPr>
          <w:rFonts w:cs="Times New Roman"/>
          <w:color w:val="222222"/>
          <w:szCs w:val="24"/>
          <w:shd w:val="clear" w:color="auto" w:fill="FFFFFF"/>
        </w:rPr>
        <w:t>Li et al., 2020)</w:t>
      </w:r>
      <w:r w:rsidR="00331224" w:rsidRPr="000B50E3">
        <w:rPr>
          <w:rFonts w:cs="Times New Roman"/>
          <w:color w:val="0D0D0D"/>
          <w:szCs w:val="24"/>
          <w:shd w:val="clear" w:color="auto" w:fill="FFFFFF"/>
        </w:rPr>
        <w:t xml:space="preserve">. </w:t>
      </w:r>
      <w:r w:rsidR="008B2C88" w:rsidRPr="000B50E3">
        <w:rPr>
          <w:rFonts w:cs="Times New Roman"/>
          <w:color w:val="0D0D0D"/>
          <w:szCs w:val="24"/>
          <w:shd w:val="clear" w:color="auto" w:fill="FFFFFF"/>
        </w:rPr>
        <w:t xml:space="preserve">Liquidity has weakened in the past three years at Urban Height Hotel. </w:t>
      </w:r>
      <w:r w:rsidRPr="000B50E3">
        <w:rPr>
          <w:rFonts w:cs="Times New Roman"/>
          <w:color w:val="0D0D0D"/>
          <w:szCs w:val="24"/>
          <w:shd w:val="clear" w:color="auto" w:fill="FFFFFF"/>
        </w:rPr>
        <w:t xml:space="preserve">According to the cash and equivalent analysis from </w:t>
      </w:r>
      <w:r w:rsidR="008B2C88" w:rsidRPr="000B50E3">
        <w:rPr>
          <w:rFonts w:cs="Times New Roman"/>
          <w:color w:val="0D0D0D"/>
          <w:szCs w:val="24"/>
          <w:shd w:val="clear" w:color="auto" w:fill="FFFFFF"/>
        </w:rPr>
        <w:t>2021 to 2022 cash and equivalents decreased by about £100,000 which is 33.3%. Cash equivalents further decreased by £100,000 (50% decrease) from the year 2022 to 2023. Overall from 2022 to 2023, there is a decrease of 66.7% decrease in cash and equivalents.</w:t>
      </w:r>
      <w:r w:rsidRPr="000B50E3">
        <w:rPr>
          <w:rFonts w:cs="Times New Roman"/>
          <w:color w:val="0D0D0D"/>
          <w:szCs w:val="24"/>
          <w:shd w:val="clear" w:color="auto" w:fill="FFFFFF"/>
        </w:rPr>
        <w:t xml:space="preserve"> Furthermore according to the accounts receivable analysis from 2021 to 2022 accounts receivable decreased by £50,000 which is about a 33.3% decrease, from </w:t>
      </w:r>
      <w:r w:rsidRPr="000B50E3">
        <w:rPr>
          <w:rFonts w:cs="Times New Roman"/>
          <w:color w:val="0D0D0D"/>
          <w:szCs w:val="24"/>
          <w:shd w:val="clear" w:color="auto" w:fill="FFFFFF"/>
        </w:rPr>
        <w:lastRenderedPageBreak/>
        <w:t>the year 2022 to 2023 accounts receivable decreased by £20,000 (20% decrease). Overall from the year 2021 to 2023, there is a 46.7% decrease in accounts receivable.</w:t>
      </w:r>
    </w:p>
    <w:p w14:paraId="7EAB1BA0" w14:textId="77777777" w:rsidR="009A45D7" w:rsidRPr="000B50E3" w:rsidRDefault="004B4B10" w:rsidP="008B2C88">
      <w:pPr>
        <w:tabs>
          <w:tab w:val="right" w:pos="9360"/>
        </w:tabs>
        <w:rPr>
          <w:rFonts w:cs="Times New Roman"/>
          <w:b/>
          <w:i/>
          <w:color w:val="0D0D0D"/>
          <w:szCs w:val="24"/>
          <w:shd w:val="clear" w:color="auto" w:fill="FFFFFF"/>
        </w:rPr>
      </w:pPr>
      <w:r w:rsidRPr="000B50E3">
        <w:rPr>
          <w:rFonts w:cs="Times New Roman"/>
          <w:b/>
          <w:i/>
          <w:color w:val="0D0D0D"/>
          <w:szCs w:val="24"/>
          <w:shd w:val="clear" w:color="auto" w:fill="FFFFFF"/>
        </w:rPr>
        <w:t>Solvency</w:t>
      </w:r>
    </w:p>
    <w:p w14:paraId="054FB82C" w14:textId="77777777" w:rsidR="009A45D7" w:rsidRPr="000B50E3" w:rsidRDefault="004B4B10" w:rsidP="008B2C88">
      <w:pPr>
        <w:tabs>
          <w:tab w:val="right" w:pos="9360"/>
        </w:tabs>
        <w:rPr>
          <w:rFonts w:cs="Times New Roman"/>
          <w:color w:val="0D0D0D"/>
          <w:szCs w:val="24"/>
          <w:shd w:val="clear" w:color="auto" w:fill="FFFFFF"/>
        </w:rPr>
      </w:pPr>
      <w:r w:rsidRPr="000B50E3">
        <w:rPr>
          <w:rFonts w:cs="Times New Roman"/>
          <w:color w:val="0D0D0D"/>
          <w:szCs w:val="24"/>
          <w:shd w:val="clear" w:color="auto" w:fill="FFFFFF"/>
        </w:rPr>
        <w:t>Solvency depicts the capacity of the business (or individual) to take care of its monetary commitments. Consequently, the fastest evaluation of an organization’s solvency is its resources short liabilities which is equivalent to its investor’s value (</w:t>
      </w:r>
      <w:r w:rsidRPr="000B50E3">
        <w:rPr>
          <w:rFonts w:cs="Times New Roman"/>
          <w:color w:val="222222"/>
          <w:szCs w:val="24"/>
          <w:shd w:val="clear" w:color="auto" w:fill="FFFFFF"/>
        </w:rPr>
        <w:t>DAHIYAT et al., 2021)</w:t>
      </w:r>
      <w:r w:rsidRPr="000B50E3">
        <w:rPr>
          <w:rFonts w:cs="Times New Roman"/>
          <w:color w:val="0D0D0D"/>
          <w:szCs w:val="24"/>
          <w:shd w:val="clear" w:color="auto" w:fill="FFFFFF"/>
        </w:rPr>
        <w:t xml:space="preserve">. So for checking the Urban Height solvency </w:t>
      </w:r>
      <w:r w:rsidR="00331224" w:rsidRPr="000B50E3">
        <w:rPr>
          <w:rFonts w:cs="Times New Roman"/>
          <w:color w:val="0D0D0D"/>
          <w:szCs w:val="24"/>
          <w:shd w:val="clear" w:color="auto" w:fill="FFFFFF"/>
        </w:rPr>
        <w:t xml:space="preserve">long-term debt, </w:t>
      </w:r>
      <w:r w:rsidRPr="000B50E3">
        <w:rPr>
          <w:rFonts w:cs="Times New Roman"/>
          <w:color w:val="0D0D0D"/>
          <w:szCs w:val="24"/>
          <w:shd w:val="clear" w:color="auto" w:fill="FFFFFF"/>
        </w:rPr>
        <w:t>total liabilities analysis</w:t>
      </w:r>
      <w:r w:rsidR="00331224" w:rsidRPr="000B50E3">
        <w:rPr>
          <w:rFonts w:cs="Times New Roman"/>
          <w:color w:val="0D0D0D"/>
          <w:szCs w:val="24"/>
          <w:shd w:val="clear" w:color="auto" w:fill="FFFFFF"/>
        </w:rPr>
        <w:t xml:space="preserve"> and equity analysis</w:t>
      </w:r>
      <w:r w:rsidRPr="000B50E3">
        <w:rPr>
          <w:rFonts w:cs="Times New Roman"/>
          <w:color w:val="0D0D0D"/>
          <w:szCs w:val="24"/>
          <w:shd w:val="clear" w:color="auto" w:fill="FFFFFF"/>
        </w:rPr>
        <w:t xml:space="preserve"> were conducted. It was </w:t>
      </w:r>
      <w:r w:rsidR="00331224" w:rsidRPr="000B50E3">
        <w:rPr>
          <w:rFonts w:cs="Times New Roman"/>
          <w:color w:val="0D0D0D"/>
          <w:szCs w:val="24"/>
          <w:shd w:val="clear" w:color="auto" w:fill="FFFFFF"/>
        </w:rPr>
        <w:t xml:space="preserve">concluded that long-term debt remained constant through the past three years which is about £3,000,000. </w:t>
      </w:r>
      <w:r w:rsidR="00EE1D7E" w:rsidRPr="000B50E3">
        <w:rPr>
          <w:rFonts w:cs="Times New Roman"/>
          <w:color w:val="0D0D0D"/>
          <w:szCs w:val="24"/>
          <w:shd w:val="clear" w:color="auto" w:fill="FFFFFF"/>
        </w:rPr>
        <w:t>Whilst</w:t>
      </w:r>
      <w:r w:rsidR="00331224" w:rsidRPr="000B50E3">
        <w:rPr>
          <w:rFonts w:cs="Times New Roman"/>
          <w:color w:val="0D0D0D"/>
          <w:szCs w:val="24"/>
          <w:shd w:val="clear" w:color="auto" w:fill="FFFFFF"/>
        </w:rPr>
        <w:t xml:space="preserve"> total liabilities of the hotel has been slightly increased. From 2021 to 2022 it increased by £20,000 (0.6% increase). From the year 2022 to 2023, total liabilities increased by £30,000 which is about 0.9%. So overall from 2021 to 2023, there is a 1.5% increase in total liabilities. Moreover, equity has decreased in the past three years. From 2021 to 2022 equity decreased by £370,000 (16.8% decrease). Equity decreased by £450,000 which is about a 24.6% decrease from the year 2022 to 2023. The overall rate of equity decre</w:t>
      </w:r>
      <w:r w:rsidRPr="000B50E3">
        <w:rPr>
          <w:rFonts w:cs="Times New Roman"/>
          <w:color w:val="0D0D0D"/>
          <w:szCs w:val="24"/>
          <w:shd w:val="clear" w:color="auto" w:fill="FFFFFF"/>
        </w:rPr>
        <w:t>ase from 2021 to 2023 was 37.3% (</w:t>
      </w:r>
      <w:r w:rsidRPr="000B50E3">
        <w:rPr>
          <w:rFonts w:cs="Times New Roman"/>
          <w:color w:val="222222"/>
          <w:szCs w:val="24"/>
          <w:shd w:val="clear" w:color="auto" w:fill="FFFFFF"/>
        </w:rPr>
        <w:t>Burhan et al., 2021).</w:t>
      </w:r>
      <w:r w:rsidR="00331224" w:rsidRPr="000B50E3">
        <w:rPr>
          <w:rFonts w:cs="Times New Roman"/>
          <w:color w:val="0D0D0D"/>
          <w:szCs w:val="24"/>
          <w:shd w:val="clear" w:color="auto" w:fill="FFFFFF"/>
        </w:rPr>
        <w:t xml:space="preserve"> </w:t>
      </w:r>
    </w:p>
    <w:p w14:paraId="5E592AF4" w14:textId="77777777" w:rsidR="00BA0305" w:rsidRPr="000B50E3" w:rsidRDefault="004B4B10" w:rsidP="00161998">
      <w:pPr>
        <w:pStyle w:val="Heading1"/>
        <w:rPr>
          <w:rFonts w:cs="Times New Roman"/>
          <w:szCs w:val="24"/>
        </w:rPr>
      </w:pPr>
      <w:r w:rsidRPr="000B50E3">
        <w:rPr>
          <w:rFonts w:cs="Times New Roman"/>
          <w:szCs w:val="24"/>
          <w:shd w:val="clear" w:color="auto" w:fill="FFFFFF"/>
        </w:rPr>
        <w:t xml:space="preserve"> </w:t>
      </w:r>
      <w:bookmarkStart w:id="4" w:name="_Toc168080405"/>
      <w:r w:rsidRPr="000B50E3">
        <w:rPr>
          <w:rFonts w:cs="Times New Roman"/>
          <w:szCs w:val="24"/>
          <w:shd w:val="clear" w:color="auto" w:fill="FFFFFF"/>
        </w:rPr>
        <w:t>Key Reasons for the decline in profitability</w:t>
      </w:r>
      <w:bookmarkEnd w:id="4"/>
      <w:r w:rsidRPr="000B50E3">
        <w:rPr>
          <w:rFonts w:cs="Times New Roman"/>
          <w:szCs w:val="24"/>
          <w:shd w:val="clear" w:color="auto" w:fill="FFFFFF"/>
        </w:rPr>
        <w:t xml:space="preserve"> </w:t>
      </w:r>
    </w:p>
    <w:p w14:paraId="1DD1AA9C" w14:textId="77777777" w:rsidR="00410CC9" w:rsidRPr="000B50E3" w:rsidRDefault="004B4B10" w:rsidP="002D5460">
      <w:pPr>
        <w:tabs>
          <w:tab w:val="right" w:pos="9360"/>
        </w:tabs>
        <w:rPr>
          <w:rFonts w:cs="Times New Roman"/>
          <w:szCs w:val="24"/>
        </w:rPr>
      </w:pPr>
      <w:r w:rsidRPr="000B50E3">
        <w:rPr>
          <w:rFonts w:cs="Times New Roman"/>
          <w:szCs w:val="24"/>
        </w:rPr>
        <w:tab/>
      </w:r>
      <w:r w:rsidRPr="000B50E3">
        <w:rPr>
          <w:rFonts w:cs="Times New Roman"/>
          <w:szCs w:val="24"/>
        </w:rPr>
        <w:tab/>
      </w:r>
      <w:r w:rsidR="002D5460" w:rsidRPr="000B50E3">
        <w:rPr>
          <w:rFonts w:cs="Times New Roman"/>
          <w:szCs w:val="24"/>
        </w:rPr>
        <w:t>The hotel has confronted critical difficulties throughout recent years, with declining income and expanding costs, prompting a deterioration in the benefits. Liquidity has debilitated extensively, and even though solvency ratios have not deteriorated essentially, the substantial decrease in equity is a concern. The overall financial health proposes the requirement for strategic adjustments to further develop income generation and control costs</w:t>
      </w:r>
      <w:r w:rsidRPr="000B50E3">
        <w:rPr>
          <w:rFonts w:cs="Times New Roman"/>
          <w:szCs w:val="24"/>
        </w:rPr>
        <w:t xml:space="preserve"> (Chen et al., 2021)</w:t>
      </w:r>
      <w:r w:rsidR="002D5460" w:rsidRPr="000B50E3">
        <w:rPr>
          <w:rFonts w:cs="Times New Roman"/>
          <w:szCs w:val="24"/>
        </w:rPr>
        <w:t xml:space="preserve">. There are several reasons for the decrease in the </w:t>
      </w:r>
      <w:r w:rsidR="00BE411C" w:rsidRPr="000B50E3">
        <w:rPr>
          <w:rFonts w:cs="Times New Roman"/>
          <w:szCs w:val="24"/>
        </w:rPr>
        <w:t>productivity of the hotel. Such as revenue might be reduced due to market conditions and customer preferences. Economic downturns, diminished consumer spending, or expanded rivalry might have influenced hotel appointments (</w:t>
      </w:r>
      <w:r w:rsidR="00BE411C" w:rsidRPr="000B50E3">
        <w:rPr>
          <w:rFonts w:cs="Times New Roman"/>
          <w:color w:val="222222"/>
          <w:szCs w:val="24"/>
          <w:shd w:val="clear" w:color="auto" w:fill="FFFFFF"/>
        </w:rPr>
        <w:t>Alvarez-Ferrer et al., 2018).</w:t>
      </w:r>
      <w:r w:rsidR="00BE411C" w:rsidRPr="000B50E3">
        <w:rPr>
          <w:rFonts w:cs="Times New Roman"/>
          <w:szCs w:val="24"/>
        </w:rPr>
        <w:t xml:space="preserve"> Changes in client preferences, for example, a shift towards elective accommodations options like Airbnb, might have added to bring down the income of the hotel. An increase in inflation is due to an increase in the expenses of labour and products, including utilities, supplies and support. Also, the increase in daily wages of the labourers and benefits for the employees have increased the expenses of the hotel (</w:t>
      </w:r>
      <w:r w:rsidR="00BE411C" w:rsidRPr="000B50E3">
        <w:rPr>
          <w:rFonts w:cs="Times New Roman"/>
          <w:color w:val="222222"/>
          <w:szCs w:val="24"/>
          <w:shd w:val="clear" w:color="auto" w:fill="FFFFFF"/>
        </w:rPr>
        <w:t>Pelaez-Verdet. and Loscertales-Sanchez, 2021)</w:t>
      </w:r>
      <w:r w:rsidR="00BE411C" w:rsidRPr="000B50E3">
        <w:rPr>
          <w:rFonts w:cs="Times New Roman"/>
          <w:szCs w:val="24"/>
        </w:rPr>
        <w:t xml:space="preserve">. </w:t>
      </w:r>
    </w:p>
    <w:p w14:paraId="0F8ADF98" w14:textId="77777777" w:rsidR="00410CC9" w:rsidRPr="000B50E3" w:rsidRDefault="004B4B10" w:rsidP="00410CC9">
      <w:pPr>
        <w:rPr>
          <w:rFonts w:cs="Times New Roman"/>
          <w:szCs w:val="24"/>
        </w:rPr>
      </w:pPr>
      <w:r w:rsidRPr="000B50E3">
        <w:rPr>
          <w:rFonts w:cs="Times New Roman"/>
          <w:szCs w:val="24"/>
        </w:rPr>
        <w:lastRenderedPageBreak/>
        <w:t>Shortcomings in overseeing assets, prompting higher functional expenses might be another reason.  The reasons for the decline in profit margins might be because of the reduction in revenue. High fixed expenses, for example, contract instalments on property, which stay consistent paying regardless of revenue fluctuations. Inflated costs without enhancements in functional effectiveness can dissolve net revenues</w:t>
      </w:r>
      <w:r w:rsidR="005E0885" w:rsidRPr="000B50E3">
        <w:rPr>
          <w:rFonts w:cs="Times New Roman"/>
          <w:szCs w:val="24"/>
        </w:rPr>
        <w:t xml:space="preserve"> (</w:t>
      </w:r>
      <w:r w:rsidR="005E0885" w:rsidRPr="000B50E3">
        <w:rPr>
          <w:rFonts w:cs="Times New Roman"/>
          <w:color w:val="222222"/>
          <w:szCs w:val="24"/>
          <w:shd w:val="clear" w:color="auto" w:fill="FFFFFF"/>
        </w:rPr>
        <w:t>Dimitrić, et al., 2019).</w:t>
      </w:r>
      <w:r w:rsidRPr="000B50E3">
        <w:rPr>
          <w:rFonts w:cs="Times New Roman"/>
          <w:szCs w:val="24"/>
        </w:rPr>
        <w:t xml:space="preserve"> Reasons for the decrease in liquidity and solvency of the hotel might be reduced in cash flow. Lower-income and higher costs have likely prompted diminished income, influencing liquidity. Continuous commitments to support long-haul obligations without adequate income age</w:t>
      </w:r>
      <w:r w:rsidR="005E0885" w:rsidRPr="000B50E3">
        <w:rPr>
          <w:rFonts w:cs="Times New Roman"/>
          <w:szCs w:val="24"/>
        </w:rPr>
        <w:t xml:space="preserve">. </w:t>
      </w:r>
      <w:r w:rsidRPr="000B50E3">
        <w:rPr>
          <w:rFonts w:cs="Times New Roman"/>
          <w:szCs w:val="24"/>
        </w:rPr>
        <w:t xml:space="preserve">The decline in the worth of property and gear affects general resource esteem (He et al., 2019). It is concluded that a decrease in revenue, an increase in operational expenses, eroding profit margins and challenging liquidity and solvency </w:t>
      </w:r>
      <w:r w:rsidR="005E0885" w:rsidRPr="000B50E3">
        <w:rPr>
          <w:rFonts w:cs="Times New Roman"/>
          <w:szCs w:val="24"/>
        </w:rPr>
        <w:t>are the key reasons for the decline in profitability of hotels. Resolving these issues will require an essential way to deal with improving income, control costs, work on functional efficiencies and oversee liquidity and solvency effectively</w:t>
      </w:r>
      <w:r w:rsidRPr="000B50E3">
        <w:rPr>
          <w:rFonts w:cs="Times New Roman"/>
          <w:szCs w:val="24"/>
        </w:rPr>
        <w:t xml:space="preserve"> (</w:t>
      </w:r>
      <w:r w:rsidRPr="000B50E3">
        <w:rPr>
          <w:rFonts w:cs="Times New Roman"/>
          <w:color w:val="222222"/>
          <w:szCs w:val="24"/>
          <w:shd w:val="clear" w:color="auto" w:fill="FFFFFF"/>
        </w:rPr>
        <w:t>Ahmad et al., 2022)</w:t>
      </w:r>
      <w:r w:rsidR="005E0885" w:rsidRPr="000B50E3">
        <w:rPr>
          <w:rFonts w:cs="Times New Roman"/>
          <w:szCs w:val="24"/>
        </w:rPr>
        <w:t xml:space="preserve">.  </w:t>
      </w:r>
    </w:p>
    <w:p w14:paraId="5DB0712E" w14:textId="77777777" w:rsidR="00BB778B" w:rsidRPr="000B50E3" w:rsidRDefault="004B4B10" w:rsidP="00161998">
      <w:pPr>
        <w:pStyle w:val="Heading1"/>
        <w:rPr>
          <w:rFonts w:cs="Times New Roman"/>
          <w:szCs w:val="24"/>
        </w:rPr>
      </w:pPr>
      <w:r w:rsidRPr="000B50E3">
        <w:rPr>
          <w:rFonts w:cs="Times New Roman"/>
          <w:szCs w:val="24"/>
        </w:rPr>
        <w:t xml:space="preserve"> </w:t>
      </w:r>
      <w:bookmarkStart w:id="5" w:name="_Toc168080406"/>
      <w:r w:rsidRPr="000B50E3">
        <w:rPr>
          <w:rFonts w:cs="Times New Roman"/>
          <w:szCs w:val="24"/>
        </w:rPr>
        <w:t>Turnaround strategy</w:t>
      </w:r>
      <w:bookmarkEnd w:id="5"/>
    </w:p>
    <w:p w14:paraId="54F2DCEF" w14:textId="77777777" w:rsidR="00161998" w:rsidRPr="000B50E3" w:rsidRDefault="00161998" w:rsidP="00161998">
      <w:pPr>
        <w:rPr>
          <w:rFonts w:cs="Times New Roman"/>
          <w:b/>
          <w:i/>
          <w:szCs w:val="24"/>
        </w:rPr>
      </w:pPr>
      <w:r w:rsidRPr="000B50E3">
        <w:rPr>
          <w:rFonts w:cs="Times New Roman"/>
          <w:b/>
          <w:i/>
          <w:szCs w:val="24"/>
        </w:rPr>
        <w:t>Cost efficiency strategy</w:t>
      </w:r>
    </w:p>
    <w:p w14:paraId="041293E5" w14:textId="77777777" w:rsidR="00BA0305" w:rsidRPr="000B50E3" w:rsidRDefault="004B4B10" w:rsidP="00EE1D7E">
      <w:pPr>
        <w:ind w:firstLine="283"/>
        <w:rPr>
          <w:rFonts w:cs="Times New Roman"/>
          <w:color w:val="222222"/>
          <w:szCs w:val="24"/>
          <w:shd w:val="clear" w:color="auto" w:fill="FFFFFF"/>
        </w:rPr>
      </w:pPr>
      <w:r w:rsidRPr="000B50E3">
        <w:rPr>
          <w:rFonts w:cs="Times New Roman"/>
          <w:szCs w:val="24"/>
        </w:rPr>
        <w:t xml:space="preserve"> </w:t>
      </w:r>
      <w:r w:rsidR="00FE7871" w:rsidRPr="000B50E3">
        <w:rPr>
          <w:rFonts w:cs="Times New Roman"/>
          <w:szCs w:val="24"/>
        </w:rPr>
        <w:t>Revive</w:t>
      </w:r>
      <w:r w:rsidRPr="000B50E3">
        <w:rPr>
          <w:rFonts w:cs="Times New Roman"/>
          <w:szCs w:val="24"/>
        </w:rPr>
        <w:t xml:space="preserve"> the hotel’s financial development </w:t>
      </w:r>
      <w:r w:rsidR="000069A8" w:rsidRPr="000B50E3">
        <w:rPr>
          <w:rFonts w:cs="Times New Roman"/>
          <w:szCs w:val="24"/>
        </w:rPr>
        <w:t xml:space="preserve">and to regain its reputation a good turnout strategy is essential. The strategy mainly focuses on supporting income, controlling expenses, working on functional proficiency and improving their visitor experience. </w:t>
      </w:r>
      <w:r w:rsidR="0065131A" w:rsidRPr="000B50E3">
        <w:rPr>
          <w:rFonts w:cs="Times New Roman"/>
          <w:szCs w:val="24"/>
        </w:rPr>
        <w:t xml:space="preserve">For developing a turnout strategy, Urban Height Hotel needs to foster prompting efforts focusing on specific customer portions like business </w:t>
      </w:r>
      <w:r w:rsidR="00161998" w:rsidRPr="000B50E3">
        <w:rPr>
          <w:rFonts w:cs="Times New Roman"/>
          <w:szCs w:val="24"/>
        </w:rPr>
        <w:t>explorers, families and couples</w:t>
      </w:r>
      <w:r w:rsidR="0065131A" w:rsidRPr="000B50E3">
        <w:rPr>
          <w:rFonts w:cs="Times New Roman"/>
          <w:color w:val="222222"/>
          <w:szCs w:val="24"/>
          <w:shd w:val="clear" w:color="auto" w:fill="FFFFFF"/>
        </w:rPr>
        <w:t>. The requirement for turn-out strategy is not restricted to only firms during financial downturns or outer variables</w:t>
      </w:r>
      <w:r w:rsidR="00161998" w:rsidRPr="000B50E3">
        <w:rPr>
          <w:rFonts w:cs="Times New Roman"/>
          <w:color w:val="222222"/>
          <w:szCs w:val="24"/>
          <w:shd w:val="clear" w:color="auto" w:fill="FFFFFF"/>
        </w:rPr>
        <w:t xml:space="preserve"> </w:t>
      </w:r>
      <w:r w:rsidR="00161998" w:rsidRPr="000B50E3">
        <w:rPr>
          <w:rFonts w:cs="Times New Roman"/>
          <w:szCs w:val="24"/>
        </w:rPr>
        <w:t>(</w:t>
      </w:r>
      <w:r w:rsidR="00161998" w:rsidRPr="000B50E3">
        <w:rPr>
          <w:rFonts w:cs="Times New Roman"/>
          <w:color w:val="222222"/>
          <w:szCs w:val="24"/>
          <w:shd w:val="clear" w:color="auto" w:fill="FFFFFF"/>
        </w:rPr>
        <w:t>Igosheva et al., 2024)</w:t>
      </w:r>
      <w:r w:rsidR="0065131A" w:rsidRPr="000B50E3">
        <w:rPr>
          <w:rFonts w:cs="Times New Roman"/>
          <w:color w:val="222222"/>
          <w:szCs w:val="24"/>
          <w:shd w:val="clear" w:color="auto" w:fill="FFFFFF"/>
        </w:rPr>
        <w:t xml:space="preserve">. The reason for turnout execution could be boundless to incorporate the underperformance or fumble of firm methodology by the authority or management structure.  It is at the basic point that many organizations in the hospitality business face critical difficulties (Fairley, 2019).  </w:t>
      </w:r>
    </w:p>
    <w:p w14:paraId="57C06E37" w14:textId="77777777" w:rsidR="00D86958" w:rsidRPr="000B50E3" w:rsidRDefault="004B4B10" w:rsidP="00EC6FB8">
      <w:pPr>
        <w:ind w:firstLine="283"/>
        <w:rPr>
          <w:rFonts w:cs="Times New Roman"/>
          <w:color w:val="222222"/>
          <w:szCs w:val="24"/>
          <w:shd w:val="clear" w:color="auto" w:fill="FFFFFF"/>
        </w:rPr>
      </w:pPr>
      <w:r w:rsidRPr="000B50E3">
        <w:rPr>
          <w:rFonts w:cs="Times New Roman"/>
          <w:color w:val="222222"/>
          <w:szCs w:val="24"/>
          <w:shd w:val="clear" w:color="auto" w:fill="FFFFFF"/>
        </w:rPr>
        <w:t xml:space="preserve">Turnaround can be operational and strategic (Malačič and Malačič, 2016). </w:t>
      </w:r>
      <w:r w:rsidR="0095217C" w:rsidRPr="000B50E3">
        <w:rPr>
          <w:rFonts w:cs="Times New Roman"/>
          <w:color w:val="222222"/>
          <w:szCs w:val="24"/>
          <w:shd w:val="clear" w:color="auto" w:fill="FFFFFF"/>
        </w:rPr>
        <w:t>Operational review ordinally brings about conversations which conversations which address a bunch of activities pointed toward decreasing expenses. These processes are also referred to as recovery, they are not consecutive and may happen at the same time or autonomously</w:t>
      </w:r>
      <w:r w:rsidR="00527D53" w:rsidRPr="000B50E3">
        <w:rPr>
          <w:rFonts w:cs="Times New Roman"/>
          <w:color w:val="222222"/>
          <w:szCs w:val="24"/>
          <w:shd w:val="clear" w:color="auto" w:fill="FFFFFF"/>
        </w:rPr>
        <w:t xml:space="preserve"> (Mulwa, 2017)</w:t>
      </w:r>
      <w:r w:rsidR="0095217C" w:rsidRPr="000B50E3">
        <w:rPr>
          <w:rFonts w:cs="Times New Roman"/>
          <w:color w:val="222222"/>
          <w:szCs w:val="24"/>
          <w:shd w:val="clear" w:color="auto" w:fill="FFFFFF"/>
        </w:rPr>
        <w:t xml:space="preserve">. </w:t>
      </w:r>
      <w:r w:rsidR="004008F9" w:rsidRPr="000B50E3">
        <w:rPr>
          <w:rFonts w:cs="Times New Roman"/>
          <w:color w:val="222222"/>
          <w:szCs w:val="24"/>
          <w:shd w:val="clear" w:color="auto" w:fill="FFFFFF"/>
        </w:rPr>
        <w:t xml:space="preserve">For the hospitality business, turnaround strategy includes several components such as the Urban Height hotel must develop techniques for generating a profit and reducing cost, must navigate and understand market </w:t>
      </w:r>
      <w:r w:rsidR="004008F9" w:rsidRPr="000B50E3">
        <w:rPr>
          <w:rFonts w:cs="Times New Roman"/>
          <w:color w:val="222222"/>
          <w:szCs w:val="24"/>
          <w:shd w:val="clear" w:color="auto" w:fill="FFFFFF"/>
        </w:rPr>
        <w:lastRenderedPageBreak/>
        <w:t>competition and position, enhance front office tasks, increase food and beverage options and streamline housekeeping operations</w:t>
      </w:r>
      <w:r w:rsidR="00D86958" w:rsidRPr="000B50E3">
        <w:rPr>
          <w:rFonts w:cs="Times New Roman"/>
          <w:color w:val="222222"/>
          <w:szCs w:val="24"/>
          <w:shd w:val="clear" w:color="auto" w:fill="FFFFFF"/>
        </w:rPr>
        <w:t xml:space="preserve"> (</w:t>
      </w:r>
      <w:proofErr w:type="spellStart"/>
      <w:r w:rsidR="00D86958" w:rsidRPr="000B50E3">
        <w:rPr>
          <w:rFonts w:cs="Times New Roman"/>
          <w:color w:val="222222"/>
          <w:szCs w:val="24"/>
          <w:shd w:val="clear" w:color="auto" w:fill="FFFFFF"/>
        </w:rPr>
        <w:t>Artana</w:t>
      </w:r>
      <w:proofErr w:type="spellEnd"/>
      <w:r w:rsidR="00D86958" w:rsidRPr="000B50E3">
        <w:rPr>
          <w:rFonts w:cs="Times New Roman"/>
          <w:color w:val="222222"/>
          <w:szCs w:val="24"/>
          <w:shd w:val="clear" w:color="auto" w:fill="FFFFFF"/>
        </w:rPr>
        <w:t xml:space="preserve"> and </w:t>
      </w:r>
      <w:proofErr w:type="spellStart"/>
      <w:r w:rsidR="00D86958" w:rsidRPr="000B50E3">
        <w:rPr>
          <w:rFonts w:cs="Times New Roman"/>
          <w:color w:val="222222"/>
          <w:szCs w:val="24"/>
          <w:shd w:val="clear" w:color="auto" w:fill="FFFFFF"/>
        </w:rPr>
        <w:t>Wiagustini</w:t>
      </w:r>
      <w:proofErr w:type="spellEnd"/>
      <w:r w:rsidR="00D86958" w:rsidRPr="000B50E3">
        <w:rPr>
          <w:rFonts w:cs="Times New Roman"/>
          <w:color w:val="222222"/>
          <w:szCs w:val="24"/>
          <w:shd w:val="clear" w:color="auto" w:fill="FFFFFF"/>
        </w:rPr>
        <w:t>, 2018)</w:t>
      </w:r>
      <w:r w:rsidR="004008F9" w:rsidRPr="000B50E3">
        <w:rPr>
          <w:rFonts w:cs="Times New Roman"/>
          <w:color w:val="222222"/>
          <w:szCs w:val="24"/>
          <w:shd w:val="clear" w:color="auto" w:fill="FFFFFF"/>
        </w:rPr>
        <w:t>. For better productivity, the hotel must adopt technologies which are effective across other hospitality businesses (Dimitrios et al., 2020).</w:t>
      </w:r>
    </w:p>
    <w:p w14:paraId="0C510C66" w14:textId="77777777" w:rsidR="00161998" w:rsidRPr="000B50E3" w:rsidRDefault="00161998" w:rsidP="00161998">
      <w:pPr>
        <w:pStyle w:val="Heading1"/>
        <w:rPr>
          <w:rFonts w:cs="Times New Roman"/>
          <w:szCs w:val="24"/>
        </w:rPr>
      </w:pPr>
      <w:bookmarkStart w:id="6" w:name="_Toc168080407"/>
      <w:r w:rsidRPr="000B50E3">
        <w:rPr>
          <w:rFonts w:cs="Times New Roman"/>
          <w:szCs w:val="24"/>
        </w:rPr>
        <w:t>Financial Projections</w:t>
      </w:r>
      <w:bookmarkEnd w:id="6"/>
    </w:p>
    <w:p w14:paraId="1C55656C" w14:textId="77777777" w:rsidR="00161998" w:rsidRPr="000B50E3" w:rsidRDefault="00161998" w:rsidP="00161998">
      <w:pPr>
        <w:rPr>
          <w:rFonts w:cs="Times New Roman"/>
          <w:b/>
          <w:i/>
          <w:szCs w:val="24"/>
        </w:rPr>
      </w:pPr>
      <w:r w:rsidRPr="000B50E3">
        <w:rPr>
          <w:rFonts w:cs="Times New Roman"/>
          <w:b/>
          <w:i/>
          <w:szCs w:val="24"/>
        </w:rPr>
        <w:t xml:space="preserve">Income Statement </w:t>
      </w:r>
    </w:p>
    <w:p w14:paraId="132094D6" w14:textId="77777777" w:rsidR="00EC6FB8" w:rsidRPr="000B50E3" w:rsidRDefault="0067458C" w:rsidP="00161998">
      <w:pPr>
        <w:rPr>
          <w:rFonts w:cs="Times New Roman"/>
          <w:b/>
          <w:i/>
          <w:szCs w:val="24"/>
        </w:rPr>
      </w:pPr>
      <w:r w:rsidRPr="0067458C">
        <w:rPr>
          <w:noProof/>
        </w:rPr>
        <w:lastRenderedPageBreak/>
        <w:drawing>
          <wp:inline distT="0" distB="0" distL="0" distR="0" wp14:anchorId="133F50B9" wp14:editId="7F087A82">
            <wp:extent cx="5942857" cy="6809524"/>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2857" cy="6809524"/>
                    </a:xfrm>
                    <a:prstGeom prst="rect">
                      <a:avLst/>
                    </a:prstGeom>
                  </pic:spPr>
                </pic:pic>
              </a:graphicData>
            </a:graphic>
          </wp:inline>
        </w:drawing>
      </w:r>
    </w:p>
    <w:p w14:paraId="63FA9CD9" w14:textId="77777777" w:rsidR="0067458C" w:rsidRDefault="0067458C">
      <w:pPr>
        <w:spacing w:line="259" w:lineRule="auto"/>
        <w:jc w:val="left"/>
        <w:rPr>
          <w:rFonts w:cs="Times New Roman"/>
          <w:b/>
          <w:i/>
          <w:szCs w:val="24"/>
        </w:rPr>
      </w:pPr>
      <w:r>
        <w:rPr>
          <w:rFonts w:cs="Times New Roman"/>
          <w:b/>
          <w:i/>
          <w:szCs w:val="24"/>
        </w:rPr>
        <w:br w:type="page"/>
      </w:r>
    </w:p>
    <w:p w14:paraId="20601922" w14:textId="77777777" w:rsidR="00EC6FB8" w:rsidRDefault="00EC6FB8" w:rsidP="00161998">
      <w:pPr>
        <w:rPr>
          <w:rFonts w:cs="Times New Roman"/>
          <w:b/>
          <w:i/>
          <w:szCs w:val="24"/>
        </w:rPr>
      </w:pPr>
      <w:r w:rsidRPr="000B50E3">
        <w:rPr>
          <w:rFonts w:cs="Times New Roman"/>
          <w:b/>
          <w:i/>
          <w:szCs w:val="24"/>
        </w:rPr>
        <w:lastRenderedPageBreak/>
        <w:t xml:space="preserve">Balance sheet </w:t>
      </w:r>
    </w:p>
    <w:p w14:paraId="21B10133" w14:textId="77777777" w:rsidR="0067458C" w:rsidRPr="000B50E3" w:rsidRDefault="0067458C" w:rsidP="00161998">
      <w:pPr>
        <w:rPr>
          <w:rFonts w:cs="Times New Roman"/>
          <w:b/>
          <w:i/>
          <w:szCs w:val="24"/>
        </w:rPr>
      </w:pPr>
      <w:r>
        <w:t>s</w:t>
      </w:r>
      <w:r w:rsidRPr="0067458C">
        <w:rPr>
          <w:noProof/>
        </w:rPr>
        <w:drawing>
          <wp:inline distT="0" distB="0" distL="0" distR="0" wp14:anchorId="0350BB00" wp14:editId="4B22A686">
            <wp:extent cx="5467958" cy="7465866"/>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77369" cy="7478716"/>
                    </a:xfrm>
                    <a:prstGeom prst="rect">
                      <a:avLst/>
                    </a:prstGeom>
                  </pic:spPr>
                </pic:pic>
              </a:graphicData>
            </a:graphic>
          </wp:inline>
        </w:drawing>
      </w:r>
    </w:p>
    <w:p w14:paraId="1E87BED2" w14:textId="77777777" w:rsidR="00FE7871" w:rsidRPr="000B50E3" w:rsidRDefault="004B4B10" w:rsidP="00EC6FB8">
      <w:pPr>
        <w:pStyle w:val="Heading1"/>
        <w:rPr>
          <w:rFonts w:cs="Times New Roman"/>
          <w:szCs w:val="24"/>
        </w:rPr>
      </w:pPr>
      <w:bookmarkStart w:id="7" w:name="_Toc168080408"/>
      <w:r w:rsidRPr="000B50E3">
        <w:rPr>
          <w:rFonts w:cs="Times New Roman"/>
          <w:szCs w:val="24"/>
        </w:rPr>
        <w:lastRenderedPageBreak/>
        <w:t>Conclusion</w:t>
      </w:r>
      <w:bookmarkEnd w:id="7"/>
    </w:p>
    <w:p w14:paraId="58B04818" w14:textId="77777777" w:rsidR="00B82A54" w:rsidRDefault="004B4B10" w:rsidP="00410CC9">
      <w:pPr>
        <w:tabs>
          <w:tab w:val="left" w:pos="2865"/>
        </w:tabs>
        <w:rPr>
          <w:rFonts w:cs="Times New Roman"/>
          <w:szCs w:val="24"/>
        </w:rPr>
      </w:pPr>
      <w:r w:rsidRPr="000B50E3">
        <w:rPr>
          <w:rFonts w:cs="Times New Roman"/>
          <w:szCs w:val="24"/>
        </w:rPr>
        <w:t>The</w:t>
      </w:r>
      <w:r w:rsidR="00527D53" w:rsidRPr="000B50E3">
        <w:rPr>
          <w:rFonts w:cs="Times New Roman"/>
          <w:szCs w:val="24"/>
        </w:rPr>
        <w:t xml:space="preserve"> idea of the corporate procedure and investigation on the segmental in markets is never a simple cycle in any event, for individuals who get by in the field of inn business. Nonetheless, his review offered me a chance to all the more likely comprehend the market portion of the lodging business (</w:t>
      </w:r>
      <w:r w:rsidR="00527D53" w:rsidRPr="000B50E3">
        <w:rPr>
          <w:rFonts w:cs="Times New Roman"/>
          <w:color w:val="222222"/>
          <w:szCs w:val="24"/>
          <w:shd w:val="clear" w:color="auto" w:fill="FFFFFF"/>
        </w:rPr>
        <w:t xml:space="preserve">Richard, 2017). </w:t>
      </w:r>
      <w:r w:rsidR="008C5F9E" w:rsidRPr="000B50E3">
        <w:rPr>
          <w:rFonts w:cs="Times New Roman"/>
          <w:color w:val="222222"/>
          <w:szCs w:val="24"/>
          <w:shd w:val="clear" w:color="auto" w:fill="FFFFFF"/>
        </w:rPr>
        <w:t xml:space="preserve">In this report, the trends and patterns of Urban Height hotels </w:t>
      </w:r>
      <w:r w:rsidR="008C5F9E" w:rsidRPr="000B50E3">
        <w:rPr>
          <w:rFonts w:cs="Times New Roman"/>
          <w:szCs w:val="24"/>
        </w:rPr>
        <w:t xml:space="preserve">are discussed in detail. The financial performance of the past three years of Urban Height is also discussed. It is concluded that the operational expenses of the hotel have been increased which has reduced the overall revenue of the hotel. The profitability of the hotel has also been slightly decreased </w:t>
      </w:r>
      <w:r w:rsidR="00EE1D7E" w:rsidRPr="000B50E3">
        <w:rPr>
          <w:rFonts w:cs="Times New Roman"/>
          <w:szCs w:val="24"/>
        </w:rPr>
        <w:t>from the year 2020 to 2023. Profitability has shifted from positive net income to net loss. Moreover, the liquidity and solvency of the hotel have also decreased in the past three years</w:t>
      </w:r>
      <w:r w:rsidR="00D86958" w:rsidRPr="000B50E3">
        <w:rPr>
          <w:rFonts w:cs="Times New Roman"/>
          <w:szCs w:val="24"/>
        </w:rPr>
        <w:t xml:space="preserve"> (Babajee et al., 2020)</w:t>
      </w:r>
      <w:r w:rsidR="00EE1D7E" w:rsidRPr="000B50E3">
        <w:rPr>
          <w:rFonts w:cs="Times New Roman"/>
          <w:szCs w:val="24"/>
        </w:rPr>
        <w:t xml:space="preserve">. </w:t>
      </w:r>
    </w:p>
    <w:p w14:paraId="7DCA9755" w14:textId="77777777" w:rsidR="00B82A54" w:rsidRDefault="00B82A54">
      <w:pPr>
        <w:spacing w:line="259" w:lineRule="auto"/>
        <w:jc w:val="left"/>
        <w:rPr>
          <w:rFonts w:cs="Times New Roman"/>
          <w:szCs w:val="24"/>
        </w:rPr>
      </w:pPr>
      <w:r>
        <w:rPr>
          <w:rFonts w:cs="Times New Roman"/>
          <w:szCs w:val="24"/>
        </w:rPr>
        <w:br w:type="page"/>
      </w:r>
    </w:p>
    <w:p w14:paraId="601C972E" w14:textId="77777777" w:rsidR="00EE1D7E" w:rsidRPr="000B50E3" w:rsidRDefault="004B4B10" w:rsidP="00C1755F">
      <w:pPr>
        <w:pStyle w:val="Heading1"/>
        <w:rPr>
          <w:rFonts w:cs="Times New Roman"/>
          <w:szCs w:val="24"/>
        </w:rPr>
      </w:pPr>
      <w:bookmarkStart w:id="8" w:name="_Toc168080409"/>
      <w:r w:rsidRPr="000B50E3">
        <w:rPr>
          <w:rFonts w:cs="Times New Roman"/>
          <w:szCs w:val="24"/>
        </w:rPr>
        <w:lastRenderedPageBreak/>
        <w:t>References</w:t>
      </w:r>
      <w:bookmarkEnd w:id="8"/>
    </w:p>
    <w:p w14:paraId="43E0B0ED" w14:textId="77777777" w:rsidR="00EC6FB8" w:rsidRPr="000B50E3" w:rsidRDefault="00EC6FB8" w:rsidP="00D86958">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 xml:space="preserve">Ahmad, N., Ullah, Z., </w:t>
      </w:r>
      <w:proofErr w:type="spellStart"/>
      <w:r w:rsidRPr="000B50E3">
        <w:rPr>
          <w:rFonts w:cs="Times New Roman"/>
          <w:color w:val="222222"/>
          <w:szCs w:val="24"/>
          <w:shd w:val="clear" w:color="auto" w:fill="FFFFFF"/>
        </w:rPr>
        <w:t>AlDhaen</w:t>
      </w:r>
      <w:proofErr w:type="spellEnd"/>
      <w:r w:rsidRPr="000B50E3">
        <w:rPr>
          <w:rFonts w:cs="Times New Roman"/>
          <w:color w:val="222222"/>
          <w:szCs w:val="24"/>
          <w:shd w:val="clear" w:color="auto" w:fill="FFFFFF"/>
        </w:rPr>
        <w:t>, E., Han, H., Ariza-Montes, A. and Vega-Muñoz, A., 2022. Fostering advocacy behavior of employees: A corporate social responsibility perspective from the hospitality sector. </w:t>
      </w:r>
      <w:r w:rsidRPr="000B50E3">
        <w:rPr>
          <w:rFonts w:cs="Times New Roman"/>
          <w:i/>
          <w:iCs/>
          <w:color w:val="222222"/>
          <w:szCs w:val="24"/>
          <w:shd w:val="clear" w:color="auto" w:fill="FFFFFF"/>
        </w:rPr>
        <w:t>Frontiers in Psychology</w:t>
      </w:r>
      <w:r w:rsidRPr="000B50E3">
        <w:rPr>
          <w:rFonts w:cs="Times New Roman"/>
          <w:color w:val="222222"/>
          <w:szCs w:val="24"/>
          <w:shd w:val="clear" w:color="auto" w:fill="FFFFFF"/>
        </w:rPr>
        <w:t>, </w:t>
      </w:r>
      <w:r w:rsidRPr="000B50E3">
        <w:rPr>
          <w:rFonts w:cs="Times New Roman"/>
          <w:i/>
          <w:iCs/>
          <w:color w:val="222222"/>
          <w:szCs w:val="24"/>
          <w:shd w:val="clear" w:color="auto" w:fill="FFFFFF"/>
        </w:rPr>
        <w:t>13</w:t>
      </w:r>
      <w:r w:rsidRPr="000B50E3">
        <w:rPr>
          <w:rFonts w:cs="Times New Roman"/>
          <w:color w:val="222222"/>
          <w:szCs w:val="24"/>
          <w:shd w:val="clear" w:color="auto" w:fill="FFFFFF"/>
        </w:rPr>
        <w:t>, p.865021.</w:t>
      </w:r>
    </w:p>
    <w:p w14:paraId="1DF05F8C"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Alvarez-Ferrer, A., Campa-Planas, F. and Gonzales-Bustos, J.P., 2018. Identification of the key factors for success in the hotel sector. </w:t>
      </w:r>
      <w:r w:rsidRPr="000B50E3">
        <w:rPr>
          <w:rFonts w:cs="Times New Roman"/>
          <w:i/>
          <w:iCs/>
          <w:color w:val="222222"/>
          <w:szCs w:val="24"/>
          <w:shd w:val="clear" w:color="auto" w:fill="FFFFFF"/>
        </w:rPr>
        <w:t>Intangible Capital</w:t>
      </w:r>
      <w:r w:rsidRPr="000B50E3">
        <w:rPr>
          <w:rFonts w:cs="Times New Roman"/>
          <w:color w:val="222222"/>
          <w:szCs w:val="24"/>
          <w:shd w:val="clear" w:color="auto" w:fill="FFFFFF"/>
        </w:rPr>
        <w:t>, </w:t>
      </w:r>
      <w:r w:rsidRPr="000B50E3">
        <w:rPr>
          <w:rFonts w:cs="Times New Roman"/>
          <w:i/>
          <w:iCs/>
          <w:color w:val="222222"/>
          <w:szCs w:val="24"/>
          <w:shd w:val="clear" w:color="auto" w:fill="FFFFFF"/>
        </w:rPr>
        <w:t>14</w:t>
      </w:r>
      <w:r w:rsidRPr="000B50E3">
        <w:rPr>
          <w:rFonts w:cs="Times New Roman"/>
          <w:color w:val="222222"/>
          <w:szCs w:val="24"/>
          <w:shd w:val="clear" w:color="auto" w:fill="FFFFFF"/>
        </w:rPr>
        <w:t>(1), pp.74-98.</w:t>
      </w:r>
    </w:p>
    <w:p w14:paraId="298E4378" w14:textId="77777777" w:rsidR="00EC6FB8" w:rsidRPr="000B50E3" w:rsidRDefault="00EC6FB8" w:rsidP="00D86958">
      <w:pPr>
        <w:ind w:left="720" w:hanging="720"/>
        <w:rPr>
          <w:rFonts w:cs="Times New Roman"/>
          <w:szCs w:val="24"/>
        </w:rPr>
      </w:pPr>
      <w:proofErr w:type="spellStart"/>
      <w:r w:rsidRPr="000B50E3">
        <w:rPr>
          <w:rFonts w:cs="Times New Roman"/>
          <w:color w:val="222222"/>
          <w:szCs w:val="24"/>
          <w:shd w:val="clear" w:color="auto" w:fill="FFFFFF"/>
        </w:rPr>
        <w:t>Artana</w:t>
      </w:r>
      <w:proofErr w:type="spellEnd"/>
      <w:r w:rsidRPr="000B50E3">
        <w:rPr>
          <w:rFonts w:cs="Times New Roman"/>
          <w:color w:val="222222"/>
          <w:szCs w:val="24"/>
          <w:shd w:val="clear" w:color="auto" w:fill="FFFFFF"/>
        </w:rPr>
        <w:t xml:space="preserve">, I.M. and </w:t>
      </w:r>
      <w:proofErr w:type="spellStart"/>
      <w:r w:rsidRPr="000B50E3">
        <w:rPr>
          <w:rFonts w:cs="Times New Roman"/>
          <w:color w:val="222222"/>
          <w:szCs w:val="24"/>
          <w:shd w:val="clear" w:color="auto" w:fill="FFFFFF"/>
        </w:rPr>
        <w:t>Wiagustini</w:t>
      </w:r>
      <w:proofErr w:type="spellEnd"/>
      <w:r w:rsidRPr="000B50E3">
        <w:rPr>
          <w:rFonts w:cs="Times New Roman"/>
          <w:color w:val="222222"/>
          <w:szCs w:val="24"/>
          <w:shd w:val="clear" w:color="auto" w:fill="FFFFFF"/>
        </w:rPr>
        <w:t xml:space="preserve">, L.P., 2018. Formulation Process of Turnaround Strategy to Overcome Financial Distress in Pt. </w:t>
      </w:r>
      <w:proofErr w:type="spellStart"/>
      <w:r w:rsidRPr="000B50E3">
        <w:rPr>
          <w:rFonts w:cs="Times New Roman"/>
          <w:color w:val="222222"/>
          <w:szCs w:val="24"/>
          <w:shd w:val="clear" w:color="auto" w:fill="FFFFFF"/>
        </w:rPr>
        <w:t>Pn</w:t>
      </w:r>
      <w:proofErr w:type="spellEnd"/>
      <w:r w:rsidRPr="000B50E3">
        <w:rPr>
          <w:rFonts w:cs="Times New Roman"/>
          <w:color w:val="222222"/>
          <w:szCs w:val="24"/>
          <w:shd w:val="clear" w:color="auto" w:fill="FFFFFF"/>
        </w:rPr>
        <w:t>. </w:t>
      </w:r>
      <w:r w:rsidRPr="000B50E3">
        <w:rPr>
          <w:rFonts w:cs="Times New Roman"/>
          <w:i/>
          <w:iCs/>
          <w:color w:val="222222"/>
          <w:szCs w:val="24"/>
          <w:shd w:val="clear" w:color="auto" w:fill="FFFFFF"/>
        </w:rPr>
        <w:t>International Journal of Novel Research in Marketing Management and Economics</w:t>
      </w:r>
      <w:r w:rsidRPr="000B50E3">
        <w:rPr>
          <w:rFonts w:cs="Times New Roman"/>
          <w:color w:val="222222"/>
          <w:szCs w:val="24"/>
          <w:shd w:val="clear" w:color="auto" w:fill="FFFFFF"/>
        </w:rPr>
        <w:t>, </w:t>
      </w:r>
      <w:r w:rsidRPr="000B50E3">
        <w:rPr>
          <w:rFonts w:cs="Times New Roman"/>
          <w:i/>
          <w:iCs/>
          <w:color w:val="222222"/>
          <w:szCs w:val="24"/>
          <w:shd w:val="clear" w:color="auto" w:fill="FFFFFF"/>
        </w:rPr>
        <w:t>5</w:t>
      </w:r>
      <w:r w:rsidRPr="000B50E3">
        <w:rPr>
          <w:rFonts w:cs="Times New Roman"/>
          <w:color w:val="222222"/>
          <w:szCs w:val="24"/>
          <w:shd w:val="clear" w:color="auto" w:fill="FFFFFF"/>
        </w:rPr>
        <w:t>(3), pp.36-45.</w:t>
      </w:r>
    </w:p>
    <w:p w14:paraId="51BF229E" w14:textId="77777777" w:rsidR="00EC6FB8" w:rsidRPr="000B50E3" w:rsidRDefault="00EC6FB8" w:rsidP="00D86958">
      <w:pPr>
        <w:spacing w:after="0"/>
        <w:ind w:left="720" w:hanging="720"/>
        <w:rPr>
          <w:rFonts w:cs="Times New Roman"/>
          <w:szCs w:val="24"/>
        </w:rPr>
      </w:pPr>
      <w:proofErr w:type="spellStart"/>
      <w:r w:rsidRPr="000B50E3">
        <w:rPr>
          <w:rFonts w:cs="Times New Roman"/>
          <w:szCs w:val="24"/>
        </w:rPr>
        <w:t>Babajee</w:t>
      </w:r>
      <w:proofErr w:type="spellEnd"/>
      <w:r w:rsidRPr="000B50E3">
        <w:rPr>
          <w:rFonts w:cs="Times New Roman"/>
          <w:szCs w:val="24"/>
        </w:rPr>
        <w:t xml:space="preserve">, R.B., </w:t>
      </w:r>
      <w:proofErr w:type="spellStart"/>
      <w:r w:rsidRPr="000B50E3">
        <w:rPr>
          <w:rFonts w:cs="Times New Roman"/>
          <w:szCs w:val="24"/>
        </w:rPr>
        <w:t>Seetanah</w:t>
      </w:r>
      <w:proofErr w:type="spellEnd"/>
      <w:r w:rsidRPr="000B50E3">
        <w:rPr>
          <w:rFonts w:cs="Times New Roman"/>
          <w:szCs w:val="24"/>
        </w:rPr>
        <w:t xml:space="preserve">, B. and </w:t>
      </w:r>
      <w:proofErr w:type="spellStart"/>
      <w:r w:rsidRPr="000B50E3">
        <w:rPr>
          <w:rFonts w:cs="Times New Roman"/>
          <w:szCs w:val="24"/>
        </w:rPr>
        <w:t>Nunkoo</w:t>
      </w:r>
      <w:proofErr w:type="spellEnd"/>
      <w:r w:rsidRPr="000B50E3">
        <w:rPr>
          <w:rFonts w:cs="Times New Roman"/>
          <w:szCs w:val="24"/>
        </w:rPr>
        <w:t>, R., 2020. The determinants of hotel financial performance: an intellectual capital perspective. </w:t>
      </w:r>
      <w:r w:rsidRPr="000B50E3">
        <w:rPr>
          <w:rFonts w:cs="Times New Roman"/>
          <w:i/>
          <w:iCs/>
          <w:szCs w:val="24"/>
        </w:rPr>
        <w:t>Journal of Hospitality Marketing &amp; Management</w:t>
      </w:r>
      <w:r w:rsidRPr="000B50E3">
        <w:rPr>
          <w:rFonts w:cs="Times New Roman"/>
          <w:szCs w:val="24"/>
        </w:rPr>
        <w:t>, </w:t>
      </w:r>
      <w:r w:rsidRPr="000B50E3">
        <w:rPr>
          <w:rFonts w:cs="Times New Roman"/>
          <w:i/>
          <w:iCs/>
          <w:szCs w:val="24"/>
        </w:rPr>
        <w:t>29</w:t>
      </w:r>
      <w:r w:rsidRPr="000B50E3">
        <w:rPr>
          <w:rFonts w:cs="Times New Roman"/>
          <w:szCs w:val="24"/>
        </w:rPr>
        <w:t>(8), pp.1008-1026.</w:t>
      </w:r>
    </w:p>
    <w:p w14:paraId="2C9FE0F0" w14:textId="77777777" w:rsidR="00EC6FB8" w:rsidRPr="000B50E3" w:rsidRDefault="00EC6FB8" w:rsidP="00D86958">
      <w:pPr>
        <w:spacing w:after="0"/>
        <w:ind w:left="720" w:hanging="720"/>
        <w:rPr>
          <w:rFonts w:cs="Times New Roman"/>
          <w:szCs w:val="24"/>
        </w:rPr>
      </w:pPr>
      <w:r w:rsidRPr="000B50E3">
        <w:rPr>
          <w:rFonts w:cs="Times New Roman"/>
          <w:szCs w:val="24"/>
        </w:rPr>
        <w:t xml:space="preserve">Ball, I., </w:t>
      </w:r>
      <w:proofErr w:type="spellStart"/>
      <w:r w:rsidRPr="000B50E3">
        <w:rPr>
          <w:rFonts w:cs="Times New Roman"/>
          <w:szCs w:val="24"/>
        </w:rPr>
        <w:t>Buiter</w:t>
      </w:r>
      <w:proofErr w:type="spellEnd"/>
      <w:r w:rsidRPr="000B50E3">
        <w:rPr>
          <w:rFonts w:cs="Times New Roman"/>
          <w:szCs w:val="24"/>
        </w:rPr>
        <w:t xml:space="preserve">, W., Crompton, J., </w:t>
      </w:r>
      <w:proofErr w:type="spellStart"/>
      <w:r w:rsidRPr="000B50E3">
        <w:rPr>
          <w:rFonts w:cs="Times New Roman"/>
          <w:szCs w:val="24"/>
        </w:rPr>
        <w:t>Detter</w:t>
      </w:r>
      <w:proofErr w:type="spellEnd"/>
      <w:r w:rsidRPr="000B50E3">
        <w:rPr>
          <w:rFonts w:cs="Times New Roman"/>
          <w:szCs w:val="24"/>
        </w:rPr>
        <w:t>, D. and Soll, J., 2024. Looking to the Future: The Comprehensive Balance Sheet. In </w:t>
      </w:r>
      <w:r w:rsidRPr="000B50E3">
        <w:rPr>
          <w:rFonts w:cs="Times New Roman"/>
          <w:i/>
          <w:iCs/>
          <w:szCs w:val="24"/>
        </w:rPr>
        <w:t>Public Net Worth: Accounting–Government-Democracy</w:t>
      </w:r>
      <w:r w:rsidRPr="000B50E3">
        <w:rPr>
          <w:rFonts w:cs="Times New Roman"/>
          <w:szCs w:val="24"/>
        </w:rPr>
        <w:t> (pp. 97-109).</w:t>
      </w:r>
    </w:p>
    <w:p w14:paraId="0C85335A" w14:textId="77777777" w:rsidR="00EC6FB8" w:rsidRPr="000B50E3" w:rsidRDefault="00EC6FB8" w:rsidP="00D86958">
      <w:pPr>
        <w:ind w:left="720" w:hanging="720"/>
        <w:rPr>
          <w:rFonts w:cs="Times New Roman"/>
          <w:szCs w:val="24"/>
        </w:rPr>
      </w:pPr>
      <w:r w:rsidRPr="000B50E3">
        <w:rPr>
          <w:rFonts w:cs="Times New Roman"/>
          <w:color w:val="222222"/>
          <w:szCs w:val="24"/>
          <w:shd w:val="clear" w:color="auto" w:fill="FFFFFF"/>
        </w:rPr>
        <w:t>Bhattacharyya, S.S. and Malik, A., 2020. Development of an integrated canvas on turnaround strategy. </w:t>
      </w:r>
      <w:r w:rsidRPr="000B50E3">
        <w:rPr>
          <w:rFonts w:cs="Times New Roman"/>
          <w:i/>
          <w:iCs/>
          <w:color w:val="222222"/>
          <w:szCs w:val="24"/>
          <w:shd w:val="clear" w:color="auto" w:fill="FFFFFF"/>
        </w:rPr>
        <w:t>International Journal of Organizational Analysis</w:t>
      </w:r>
      <w:r w:rsidRPr="000B50E3">
        <w:rPr>
          <w:rFonts w:cs="Times New Roman"/>
          <w:color w:val="222222"/>
          <w:szCs w:val="24"/>
          <w:shd w:val="clear" w:color="auto" w:fill="FFFFFF"/>
        </w:rPr>
        <w:t>, </w:t>
      </w:r>
      <w:r w:rsidRPr="000B50E3">
        <w:rPr>
          <w:rFonts w:cs="Times New Roman"/>
          <w:i/>
          <w:iCs/>
          <w:color w:val="222222"/>
          <w:szCs w:val="24"/>
          <w:shd w:val="clear" w:color="auto" w:fill="FFFFFF"/>
        </w:rPr>
        <w:t>28</w:t>
      </w:r>
      <w:r w:rsidRPr="000B50E3">
        <w:rPr>
          <w:rFonts w:cs="Times New Roman"/>
          <w:color w:val="222222"/>
          <w:szCs w:val="24"/>
          <w:shd w:val="clear" w:color="auto" w:fill="FFFFFF"/>
        </w:rPr>
        <w:t>(2), pp.523-554.</w:t>
      </w:r>
    </w:p>
    <w:p w14:paraId="6D0FC734" w14:textId="77777777" w:rsidR="00EC6FB8" w:rsidRPr="000B50E3" w:rsidRDefault="00EC6FB8" w:rsidP="00D86958">
      <w:pPr>
        <w:ind w:left="720" w:hanging="720"/>
        <w:rPr>
          <w:rFonts w:cs="Times New Roman"/>
          <w:szCs w:val="24"/>
        </w:rPr>
      </w:pPr>
      <w:proofErr w:type="spellStart"/>
      <w:r w:rsidRPr="000B50E3">
        <w:rPr>
          <w:rFonts w:cs="Times New Roman"/>
          <w:color w:val="222222"/>
          <w:szCs w:val="24"/>
          <w:shd w:val="clear" w:color="auto" w:fill="FFFFFF"/>
        </w:rPr>
        <w:t>Budović</w:t>
      </w:r>
      <w:proofErr w:type="spellEnd"/>
      <w:r w:rsidRPr="000B50E3">
        <w:rPr>
          <w:rFonts w:cs="Times New Roman"/>
          <w:color w:val="222222"/>
          <w:szCs w:val="24"/>
          <w:shd w:val="clear" w:color="auto" w:fill="FFFFFF"/>
        </w:rPr>
        <w:t xml:space="preserve">, A., </w:t>
      </w:r>
      <w:proofErr w:type="spellStart"/>
      <w:r w:rsidRPr="000B50E3">
        <w:rPr>
          <w:rFonts w:cs="Times New Roman"/>
          <w:color w:val="222222"/>
          <w:szCs w:val="24"/>
          <w:shd w:val="clear" w:color="auto" w:fill="FFFFFF"/>
        </w:rPr>
        <w:t>Ratkaj</w:t>
      </w:r>
      <w:proofErr w:type="spellEnd"/>
      <w:r w:rsidRPr="000B50E3">
        <w:rPr>
          <w:rFonts w:cs="Times New Roman"/>
          <w:color w:val="222222"/>
          <w:szCs w:val="24"/>
          <w:shd w:val="clear" w:color="auto" w:fill="FFFFFF"/>
        </w:rPr>
        <w:t xml:space="preserve">, I. and </w:t>
      </w:r>
      <w:proofErr w:type="spellStart"/>
      <w:r w:rsidRPr="000B50E3">
        <w:rPr>
          <w:rFonts w:cs="Times New Roman"/>
          <w:color w:val="222222"/>
          <w:szCs w:val="24"/>
          <w:shd w:val="clear" w:color="auto" w:fill="FFFFFF"/>
        </w:rPr>
        <w:t>Antić</w:t>
      </w:r>
      <w:proofErr w:type="spellEnd"/>
      <w:r w:rsidRPr="000B50E3">
        <w:rPr>
          <w:rFonts w:cs="Times New Roman"/>
          <w:color w:val="222222"/>
          <w:szCs w:val="24"/>
          <w:shd w:val="clear" w:color="auto" w:fill="FFFFFF"/>
        </w:rPr>
        <w:t>, M., 2020. Evolution of urban hotel geography–a case study of Belgrade. </w:t>
      </w:r>
      <w:r w:rsidRPr="000B50E3">
        <w:rPr>
          <w:rFonts w:cs="Times New Roman"/>
          <w:i/>
          <w:iCs/>
          <w:color w:val="222222"/>
          <w:szCs w:val="24"/>
          <w:shd w:val="clear" w:color="auto" w:fill="FFFFFF"/>
        </w:rPr>
        <w:t>Current Issues in Tourism</w:t>
      </w:r>
      <w:r w:rsidRPr="000B50E3">
        <w:rPr>
          <w:rFonts w:cs="Times New Roman"/>
          <w:color w:val="222222"/>
          <w:szCs w:val="24"/>
          <w:shd w:val="clear" w:color="auto" w:fill="FFFFFF"/>
        </w:rPr>
        <w:t>, </w:t>
      </w:r>
      <w:r w:rsidRPr="000B50E3">
        <w:rPr>
          <w:rFonts w:cs="Times New Roman"/>
          <w:i/>
          <w:iCs/>
          <w:color w:val="222222"/>
          <w:szCs w:val="24"/>
          <w:shd w:val="clear" w:color="auto" w:fill="FFFFFF"/>
        </w:rPr>
        <w:t>23</w:t>
      </w:r>
      <w:r w:rsidRPr="000B50E3">
        <w:rPr>
          <w:rFonts w:cs="Times New Roman"/>
          <w:color w:val="222222"/>
          <w:szCs w:val="24"/>
          <w:shd w:val="clear" w:color="auto" w:fill="FFFFFF"/>
        </w:rPr>
        <w:t>(6), pp.707-722.</w:t>
      </w:r>
    </w:p>
    <w:p w14:paraId="115A08FC" w14:textId="77777777" w:rsidR="00EC6FB8" w:rsidRPr="000B50E3" w:rsidRDefault="00EC6FB8" w:rsidP="00D86958">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Burhan, M., Salam, M.T., Abou Hamdan, O. and Tariq, H., 2021. Crisis management in the hospitality sector SMEs in Pakistan during COVID-19. </w:t>
      </w:r>
      <w:r w:rsidRPr="000B50E3">
        <w:rPr>
          <w:rFonts w:cs="Times New Roman"/>
          <w:i/>
          <w:iCs/>
          <w:color w:val="222222"/>
          <w:szCs w:val="24"/>
          <w:shd w:val="clear" w:color="auto" w:fill="FFFFFF"/>
        </w:rPr>
        <w:t>International Journal of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98</w:t>
      </w:r>
      <w:r w:rsidRPr="000B50E3">
        <w:rPr>
          <w:rFonts w:cs="Times New Roman"/>
          <w:color w:val="222222"/>
          <w:szCs w:val="24"/>
          <w:shd w:val="clear" w:color="auto" w:fill="FFFFFF"/>
        </w:rPr>
        <w:t>, p.103037.</w:t>
      </w:r>
    </w:p>
    <w:p w14:paraId="46175F06" w14:textId="77777777" w:rsidR="00EC6FB8" w:rsidRPr="000B50E3" w:rsidRDefault="00EC6FB8" w:rsidP="00D86958">
      <w:pPr>
        <w:tabs>
          <w:tab w:val="left" w:pos="2220"/>
        </w:tabs>
        <w:ind w:left="720" w:hanging="720"/>
        <w:rPr>
          <w:rFonts w:cs="Times New Roman"/>
          <w:szCs w:val="24"/>
        </w:rPr>
      </w:pPr>
      <w:r w:rsidRPr="000B50E3">
        <w:rPr>
          <w:rFonts w:cs="Times New Roman"/>
          <w:szCs w:val="24"/>
        </w:rPr>
        <w:t xml:space="preserve">Chen, Y., Kumara, E.K. and Sivakumar, V., 2021. Investigation of the finance industry on risk awareness model and digital economic growth. </w:t>
      </w:r>
      <w:r w:rsidRPr="000B50E3">
        <w:rPr>
          <w:rFonts w:cs="Times New Roman"/>
          <w:i/>
          <w:iCs/>
          <w:szCs w:val="24"/>
        </w:rPr>
        <w:t>Annals of Operations Research</w:t>
      </w:r>
      <w:r w:rsidRPr="000B50E3">
        <w:rPr>
          <w:rFonts w:cs="Times New Roman"/>
          <w:szCs w:val="24"/>
        </w:rPr>
        <w:t>, pp.1-22</w:t>
      </w:r>
    </w:p>
    <w:p w14:paraId="09A53ADB"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 xml:space="preserve">DAHIYAT, A.A., </w:t>
      </w:r>
      <w:proofErr w:type="spellStart"/>
      <w:r w:rsidRPr="000B50E3">
        <w:rPr>
          <w:rFonts w:cs="Times New Roman"/>
          <w:color w:val="222222"/>
          <w:szCs w:val="24"/>
          <w:shd w:val="clear" w:color="auto" w:fill="FFFFFF"/>
        </w:rPr>
        <w:t>Weshah</w:t>
      </w:r>
      <w:proofErr w:type="spellEnd"/>
      <w:r w:rsidRPr="000B50E3">
        <w:rPr>
          <w:rFonts w:cs="Times New Roman"/>
          <w:color w:val="222222"/>
          <w:szCs w:val="24"/>
          <w:shd w:val="clear" w:color="auto" w:fill="FFFFFF"/>
        </w:rPr>
        <w:t>, S.R. and ALDAHIYAT, M., 2021. Liquidity and solvency management and its impact on financial performance: Empirical evidence from Jordan. </w:t>
      </w:r>
      <w:r w:rsidRPr="000B50E3">
        <w:rPr>
          <w:rFonts w:cs="Times New Roman"/>
          <w:i/>
          <w:iCs/>
          <w:color w:val="222222"/>
          <w:szCs w:val="24"/>
          <w:shd w:val="clear" w:color="auto" w:fill="FFFFFF"/>
        </w:rPr>
        <w:t>The Journal of Asian Finance, Economics and Business</w:t>
      </w:r>
      <w:r w:rsidRPr="000B50E3">
        <w:rPr>
          <w:rFonts w:cs="Times New Roman"/>
          <w:color w:val="222222"/>
          <w:szCs w:val="24"/>
          <w:shd w:val="clear" w:color="auto" w:fill="FFFFFF"/>
        </w:rPr>
        <w:t>, </w:t>
      </w:r>
      <w:r w:rsidRPr="000B50E3">
        <w:rPr>
          <w:rFonts w:cs="Times New Roman"/>
          <w:i/>
          <w:iCs/>
          <w:color w:val="222222"/>
          <w:szCs w:val="24"/>
          <w:shd w:val="clear" w:color="auto" w:fill="FFFFFF"/>
        </w:rPr>
        <w:t>8</w:t>
      </w:r>
      <w:r w:rsidRPr="000B50E3">
        <w:rPr>
          <w:rFonts w:cs="Times New Roman"/>
          <w:color w:val="222222"/>
          <w:szCs w:val="24"/>
          <w:shd w:val="clear" w:color="auto" w:fill="FFFFFF"/>
        </w:rPr>
        <w:t>(5), pp.135-141.</w:t>
      </w:r>
    </w:p>
    <w:p w14:paraId="22CF9696" w14:textId="77777777" w:rsidR="00EC6FB8" w:rsidRPr="000B50E3" w:rsidRDefault="00EC6FB8" w:rsidP="00EE1D7E">
      <w:pPr>
        <w:ind w:left="567" w:hanging="567"/>
        <w:rPr>
          <w:rFonts w:cs="Times New Roman"/>
          <w:szCs w:val="24"/>
        </w:rPr>
      </w:pPr>
      <w:proofErr w:type="spellStart"/>
      <w:r w:rsidRPr="000B50E3">
        <w:rPr>
          <w:rFonts w:cs="Times New Roman"/>
          <w:color w:val="222222"/>
          <w:szCs w:val="24"/>
          <w:shd w:val="clear" w:color="auto" w:fill="FFFFFF"/>
        </w:rPr>
        <w:lastRenderedPageBreak/>
        <w:t>Dimitrić</w:t>
      </w:r>
      <w:proofErr w:type="spellEnd"/>
      <w:r w:rsidRPr="000B50E3">
        <w:rPr>
          <w:rFonts w:cs="Times New Roman"/>
          <w:color w:val="222222"/>
          <w:szCs w:val="24"/>
          <w:shd w:val="clear" w:color="auto" w:fill="FFFFFF"/>
        </w:rPr>
        <w:t>, M., Tomas Žiković, I. and Arbula Blecich, A., 2019. Profitability determinants of hotel companies in selected Mediterranean countries. </w:t>
      </w:r>
      <w:r w:rsidRPr="000B50E3">
        <w:rPr>
          <w:rFonts w:cs="Times New Roman"/>
          <w:i/>
          <w:iCs/>
          <w:color w:val="222222"/>
          <w:szCs w:val="24"/>
          <w:shd w:val="clear" w:color="auto" w:fill="FFFFFF"/>
        </w:rPr>
        <w:t>Economic research-Ekonomska istraživanja</w:t>
      </w:r>
      <w:r w:rsidRPr="000B50E3">
        <w:rPr>
          <w:rFonts w:cs="Times New Roman"/>
          <w:color w:val="222222"/>
          <w:szCs w:val="24"/>
          <w:shd w:val="clear" w:color="auto" w:fill="FFFFFF"/>
        </w:rPr>
        <w:t>, </w:t>
      </w:r>
      <w:r w:rsidRPr="000B50E3">
        <w:rPr>
          <w:rFonts w:cs="Times New Roman"/>
          <w:i/>
          <w:iCs/>
          <w:color w:val="222222"/>
          <w:szCs w:val="24"/>
          <w:shd w:val="clear" w:color="auto" w:fill="FFFFFF"/>
        </w:rPr>
        <w:t>32</w:t>
      </w:r>
      <w:r w:rsidRPr="000B50E3">
        <w:rPr>
          <w:rFonts w:cs="Times New Roman"/>
          <w:color w:val="222222"/>
          <w:szCs w:val="24"/>
          <w:shd w:val="clear" w:color="auto" w:fill="FFFFFF"/>
        </w:rPr>
        <w:t>(1), pp.1977-1993.</w:t>
      </w:r>
    </w:p>
    <w:p w14:paraId="10D0C6B8" w14:textId="77777777" w:rsidR="00EC6FB8" w:rsidRPr="000B50E3" w:rsidRDefault="00EC6FB8" w:rsidP="00F20746">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Dixit, S.K., Lee, K.H. and Loo, P.T., 2021. Consumer behavior in hospitality and tourism. In </w:t>
      </w:r>
      <w:r w:rsidRPr="000B50E3">
        <w:rPr>
          <w:rFonts w:cs="Times New Roman"/>
          <w:i/>
          <w:iCs/>
          <w:color w:val="222222"/>
          <w:szCs w:val="24"/>
          <w:shd w:val="clear" w:color="auto" w:fill="FFFFFF"/>
        </w:rPr>
        <w:t>Consumer Behaviour in Hospitality and Tourism</w:t>
      </w:r>
      <w:r w:rsidRPr="000B50E3">
        <w:rPr>
          <w:rFonts w:cs="Times New Roman"/>
          <w:color w:val="222222"/>
          <w:szCs w:val="24"/>
          <w:shd w:val="clear" w:color="auto" w:fill="FFFFFF"/>
        </w:rPr>
        <w:t> (pp. 1-9). Routledge.</w:t>
      </w:r>
    </w:p>
    <w:p w14:paraId="34644C99" w14:textId="77777777" w:rsidR="00EC6FB8" w:rsidRPr="000B50E3" w:rsidRDefault="00EC6FB8" w:rsidP="00F20746">
      <w:pPr>
        <w:spacing w:after="0"/>
        <w:ind w:left="720" w:hanging="720"/>
        <w:rPr>
          <w:rFonts w:cs="Times New Roman"/>
          <w:color w:val="222222"/>
          <w:szCs w:val="24"/>
          <w:shd w:val="clear" w:color="auto" w:fill="FFFFFF"/>
        </w:rPr>
      </w:pPr>
      <w:proofErr w:type="spellStart"/>
      <w:r w:rsidRPr="000B50E3">
        <w:rPr>
          <w:rFonts w:cs="Times New Roman"/>
          <w:color w:val="222222"/>
          <w:szCs w:val="24"/>
          <w:shd w:val="clear" w:color="auto" w:fill="FFFFFF"/>
        </w:rPr>
        <w:t>Elsharnouby</w:t>
      </w:r>
      <w:proofErr w:type="spellEnd"/>
      <w:r w:rsidRPr="000B50E3">
        <w:rPr>
          <w:rFonts w:cs="Times New Roman"/>
          <w:color w:val="222222"/>
          <w:szCs w:val="24"/>
          <w:shd w:val="clear" w:color="auto" w:fill="FFFFFF"/>
        </w:rPr>
        <w:t xml:space="preserve">, T.H. and </w:t>
      </w:r>
      <w:proofErr w:type="spellStart"/>
      <w:r w:rsidRPr="000B50E3">
        <w:rPr>
          <w:rFonts w:cs="Times New Roman"/>
          <w:color w:val="222222"/>
          <w:szCs w:val="24"/>
          <w:shd w:val="clear" w:color="auto" w:fill="FFFFFF"/>
        </w:rPr>
        <w:t>Elbanna</w:t>
      </w:r>
      <w:proofErr w:type="spellEnd"/>
      <w:r w:rsidRPr="000B50E3">
        <w:rPr>
          <w:rFonts w:cs="Times New Roman"/>
          <w:color w:val="222222"/>
          <w:szCs w:val="24"/>
          <w:shd w:val="clear" w:color="auto" w:fill="FFFFFF"/>
        </w:rPr>
        <w:t>, S., 2021. Change or perish: Examining the role of human capital and dynamic marketing capabilities in the hospitality sector. </w:t>
      </w:r>
      <w:r w:rsidRPr="000B50E3">
        <w:rPr>
          <w:rFonts w:cs="Times New Roman"/>
          <w:i/>
          <w:iCs/>
          <w:color w:val="222222"/>
          <w:szCs w:val="24"/>
          <w:shd w:val="clear" w:color="auto" w:fill="FFFFFF"/>
        </w:rPr>
        <w:t>Tourism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82</w:t>
      </w:r>
      <w:r w:rsidRPr="000B50E3">
        <w:rPr>
          <w:rFonts w:cs="Times New Roman"/>
          <w:color w:val="222222"/>
          <w:szCs w:val="24"/>
          <w:shd w:val="clear" w:color="auto" w:fill="FFFFFF"/>
        </w:rPr>
        <w:t>, p.104184.</w:t>
      </w:r>
    </w:p>
    <w:p w14:paraId="06DB5590"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Fairley, J., 2019. Turnaround Strategies in Destination Marketing Organizations. </w:t>
      </w:r>
      <w:r w:rsidRPr="000B50E3">
        <w:rPr>
          <w:rFonts w:cs="Times New Roman"/>
          <w:i/>
          <w:iCs/>
          <w:color w:val="222222"/>
          <w:szCs w:val="24"/>
          <w:shd w:val="clear" w:color="auto" w:fill="FFFFFF"/>
        </w:rPr>
        <w:t>Tourist Destination Management: Instruments, Products, and Case Studies</w:t>
      </w:r>
      <w:r w:rsidRPr="000B50E3">
        <w:rPr>
          <w:rFonts w:cs="Times New Roman"/>
          <w:color w:val="222222"/>
          <w:szCs w:val="24"/>
          <w:shd w:val="clear" w:color="auto" w:fill="FFFFFF"/>
        </w:rPr>
        <w:t>, pp.227-239.</w:t>
      </w:r>
    </w:p>
    <w:p w14:paraId="276E2FD5" w14:textId="77777777" w:rsidR="00EC6FB8" w:rsidRPr="000B50E3" w:rsidRDefault="00EC6FB8" w:rsidP="00F20746">
      <w:pPr>
        <w:spacing w:after="0"/>
        <w:ind w:left="720" w:hanging="720"/>
        <w:rPr>
          <w:rFonts w:cs="Times New Roman"/>
          <w:color w:val="222222"/>
          <w:szCs w:val="24"/>
          <w:shd w:val="clear" w:color="auto" w:fill="FFFFFF"/>
        </w:rPr>
      </w:pPr>
      <w:proofErr w:type="spellStart"/>
      <w:r w:rsidRPr="000B50E3">
        <w:rPr>
          <w:rFonts w:cs="Times New Roman"/>
          <w:color w:val="222222"/>
          <w:szCs w:val="24"/>
          <w:shd w:val="clear" w:color="auto" w:fill="FFFFFF"/>
        </w:rPr>
        <w:t>Filimonau</w:t>
      </w:r>
      <w:proofErr w:type="spellEnd"/>
      <w:r w:rsidRPr="000B50E3">
        <w:rPr>
          <w:rFonts w:cs="Times New Roman"/>
          <w:color w:val="222222"/>
          <w:szCs w:val="24"/>
          <w:shd w:val="clear" w:color="auto" w:fill="FFFFFF"/>
        </w:rPr>
        <w:t>, V., 2021. The prospects of waste management in the hospitality sector post COVID-19. </w:t>
      </w:r>
      <w:r w:rsidRPr="000B50E3">
        <w:rPr>
          <w:rFonts w:cs="Times New Roman"/>
          <w:i/>
          <w:iCs/>
          <w:color w:val="222222"/>
          <w:szCs w:val="24"/>
          <w:shd w:val="clear" w:color="auto" w:fill="FFFFFF"/>
        </w:rPr>
        <w:t>Resources, Conservation and Recycling</w:t>
      </w:r>
      <w:r w:rsidRPr="000B50E3">
        <w:rPr>
          <w:rFonts w:cs="Times New Roman"/>
          <w:color w:val="222222"/>
          <w:szCs w:val="24"/>
          <w:shd w:val="clear" w:color="auto" w:fill="FFFFFF"/>
        </w:rPr>
        <w:t>, </w:t>
      </w:r>
      <w:r w:rsidRPr="000B50E3">
        <w:rPr>
          <w:rFonts w:cs="Times New Roman"/>
          <w:i/>
          <w:iCs/>
          <w:color w:val="222222"/>
          <w:szCs w:val="24"/>
          <w:shd w:val="clear" w:color="auto" w:fill="FFFFFF"/>
        </w:rPr>
        <w:t>168</w:t>
      </w:r>
      <w:r w:rsidRPr="000B50E3">
        <w:rPr>
          <w:rFonts w:cs="Times New Roman"/>
          <w:color w:val="222222"/>
          <w:szCs w:val="24"/>
          <w:shd w:val="clear" w:color="auto" w:fill="FFFFFF"/>
        </w:rPr>
        <w:t>, p.105272.</w:t>
      </w:r>
    </w:p>
    <w:p w14:paraId="492DD2E6" w14:textId="77777777" w:rsidR="00EC6FB8" w:rsidRPr="000B50E3" w:rsidRDefault="00EC6FB8" w:rsidP="00F20746">
      <w:pPr>
        <w:spacing w:after="0"/>
        <w:ind w:left="720" w:hanging="720"/>
        <w:rPr>
          <w:rFonts w:cs="Times New Roman"/>
          <w:szCs w:val="24"/>
        </w:rPr>
      </w:pPr>
      <w:r w:rsidRPr="000B50E3">
        <w:rPr>
          <w:rFonts w:cs="Times New Roman"/>
          <w:szCs w:val="24"/>
        </w:rPr>
        <w:t>Hastings, G., Angus, K., Eadie, D. and Hunt, K., 2020. Selling second best: how infant formula marketing works. </w:t>
      </w:r>
      <w:r w:rsidRPr="000B50E3">
        <w:rPr>
          <w:rFonts w:cs="Times New Roman"/>
          <w:i/>
          <w:iCs/>
          <w:szCs w:val="24"/>
        </w:rPr>
        <w:t>Globalization and Health</w:t>
      </w:r>
      <w:r w:rsidRPr="000B50E3">
        <w:rPr>
          <w:rFonts w:cs="Times New Roman"/>
          <w:szCs w:val="24"/>
        </w:rPr>
        <w:t>, </w:t>
      </w:r>
      <w:r w:rsidRPr="000B50E3">
        <w:rPr>
          <w:rFonts w:cs="Times New Roman"/>
          <w:i/>
          <w:iCs/>
          <w:szCs w:val="24"/>
        </w:rPr>
        <w:t>16</w:t>
      </w:r>
      <w:r w:rsidRPr="000B50E3">
        <w:rPr>
          <w:rFonts w:cs="Times New Roman"/>
          <w:szCs w:val="24"/>
        </w:rPr>
        <w:t>, pp.1-12.</w:t>
      </w:r>
    </w:p>
    <w:p w14:paraId="7E009732"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He, P., Qiu, Y., Wang, Y.D., Cobanoglu, C., Ciftci, O. and Liu, Z., 2019. Loss of profit in the hotel industry of the United States due to climate change. </w:t>
      </w:r>
      <w:r w:rsidRPr="000B50E3">
        <w:rPr>
          <w:rFonts w:cs="Times New Roman"/>
          <w:i/>
          <w:iCs/>
          <w:color w:val="222222"/>
          <w:szCs w:val="24"/>
          <w:shd w:val="clear" w:color="auto" w:fill="FFFFFF"/>
        </w:rPr>
        <w:t>Environmental Research Letters</w:t>
      </w:r>
      <w:r w:rsidRPr="000B50E3">
        <w:rPr>
          <w:rFonts w:cs="Times New Roman"/>
          <w:color w:val="222222"/>
          <w:szCs w:val="24"/>
          <w:shd w:val="clear" w:color="auto" w:fill="FFFFFF"/>
        </w:rPr>
        <w:t>, </w:t>
      </w:r>
      <w:r w:rsidRPr="000B50E3">
        <w:rPr>
          <w:rFonts w:cs="Times New Roman"/>
          <w:i/>
          <w:iCs/>
          <w:color w:val="222222"/>
          <w:szCs w:val="24"/>
          <w:shd w:val="clear" w:color="auto" w:fill="FFFFFF"/>
        </w:rPr>
        <w:t>14</w:t>
      </w:r>
      <w:r w:rsidRPr="000B50E3">
        <w:rPr>
          <w:rFonts w:cs="Times New Roman"/>
          <w:color w:val="222222"/>
          <w:szCs w:val="24"/>
          <w:shd w:val="clear" w:color="auto" w:fill="FFFFFF"/>
        </w:rPr>
        <w:t>(8), p.084022.</w:t>
      </w:r>
    </w:p>
    <w:p w14:paraId="77B54A9A" w14:textId="77777777" w:rsidR="00EC6FB8" w:rsidRPr="000B50E3" w:rsidRDefault="00EC6FB8" w:rsidP="00F20746">
      <w:pPr>
        <w:spacing w:after="0"/>
        <w:ind w:left="720" w:hanging="720"/>
        <w:rPr>
          <w:rFonts w:cs="Times New Roman"/>
          <w:szCs w:val="24"/>
        </w:rPr>
      </w:pPr>
      <w:r w:rsidRPr="000B50E3">
        <w:rPr>
          <w:rFonts w:cs="Times New Roman"/>
          <w:szCs w:val="24"/>
        </w:rPr>
        <w:t>Hickel, J., 2021. What does degrowth mean? A few points of clarification. </w:t>
      </w:r>
      <w:r w:rsidRPr="000B50E3">
        <w:rPr>
          <w:rFonts w:cs="Times New Roman"/>
          <w:i/>
          <w:iCs/>
          <w:szCs w:val="24"/>
        </w:rPr>
        <w:t>Globalizations</w:t>
      </w:r>
      <w:r w:rsidRPr="000B50E3">
        <w:rPr>
          <w:rFonts w:cs="Times New Roman"/>
          <w:szCs w:val="24"/>
        </w:rPr>
        <w:t>, </w:t>
      </w:r>
      <w:r w:rsidRPr="000B50E3">
        <w:rPr>
          <w:rFonts w:cs="Times New Roman"/>
          <w:i/>
          <w:iCs/>
          <w:szCs w:val="24"/>
        </w:rPr>
        <w:t>18</w:t>
      </w:r>
      <w:r w:rsidRPr="000B50E3">
        <w:rPr>
          <w:rFonts w:cs="Times New Roman"/>
          <w:szCs w:val="24"/>
        </w:rPr>
        <w:t>(7), pp.1105-1111.</w:t>
      </w:r>
    </w:p>
    <w:p w14:paraId="00FBF674" w14:textId="77777777" w:rsidR="00EC6FB8" w:rsidRPr="000B50E3" w:rsidRDefault="00EC6FB8" w:rsidP="00EE1D7E">
      <w:pPr>
        <w:tabs>
          <w:tab w:val="left" w:pos="3660"/>
        </w:tabs>
        <w:ind w:left="567" w:hanging="567"/>
        <w:rPr>
          <w:rFonts w:cs="Times New Roman"/>
          <w:szCs w:val="24"/>
        </w:rPr>
      </w:pPr>
      <w:proofErr w:type="spellStart"/>
      <w:r w:rsidRPr="000B50E3">
        <w:rPr>
          <w:rFonts w:cs="Times New Roman"/>
          <w:color w:val="222222"/>
          <w:szCs w:val="24"/>
          <w:shd w:val="clear" w:color="auto" w:fill="FFFFFF"/>
        </w:rPr>
        <w:t>Igosheva</w:t>
      </w:r>
      <w:proofErr w:type="spellEnd"/>
      <w:r w:rsidRPr="000B50E3">
        <w:rPr>
          <w:rFonts w:cs="Times New Roman"/>
          <w:color w:val="222222"/>
          <w:szCs w:val="24"/>
          <w:shd w:val="clear" w:color="auto" w:fill="FFFFFF"/>
        </w:rPr>
        <w:t>, L., Filimonau, V., Ciraulo, M., Ashton, M. and Ermolaev, V.A., 2024. Revisiting the taxonomy of market exit strategies in hotels. </w:t>
      </w:r>
      <w:r w:rsidRPr="000B50E3">
        <w:rPr>
          <w:rFonts w:cs="Times New Roman"/>
          <w:i/>
          <w:iCs/>
          <w:color w:val="222222"/>
          <w:szCs w:val="24"/>
          <w:shd w:val="clear" w:color="auto" w:fill="FFFFFF"/>
        </w:rPr>
        <w:t>International Journal of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120</w:t>
      </w:r>
      <w:r w:rsidRPr="000B50E3">
        <w:rPr>
          <w:rFonts w:cs="Times New Roman"/>
          <w:color w:val="222222"/>
          <w:szCs w:val="24"/>
          <w:shd w:val="clear" w:color="auto" w:fill="FFFFFF"/>
        </w:rPr>
        <w:t>, p.103777.</w:t>
      </w:r>
      <w:r w:rsidRPr="000B50E3">
        <w:rPr>
          <w:rFonts w:cs="Times New Roman"/>
          <w:szCs w:val="24"/>
        </w:rPr>
        <w:tab/>
      </w:r>
    </w:p>
    <w:p w14:paraId="5D2A6108" w14:textId="77777777" w:rsidR="00EC6FB8" w:rsidRPr="000B50E3" w:rsidRDefault="00EC6FB8" w:rsidP="00F20746">
      <w:pPr>
        <w:spacing w:after="0"/>
        <w:ind w:left="720" w:hanging="720"/>
        <w:rPr>
          <w:rFonts w:cs="Times New Roman"/>
          <w:color w:val="222222"/>
          <w:szCs w:val="24"/>
          <w:shd w:val="clear" w:color="auto" w:fill="FFFFFF"/>
        </w:rPr>
      </w:pPr>
      <w:proofErr w:type="spellStart"/>
      <w:r w:rsidRPr="000B50E3">
        <w:rPr>
          <w:rFonts w:cs="Times New Roman"/>
          <w:color w:val="222222"/>
          <w:szCs w:val="24"/>
          <w:shd w:val="clear" w:color="auto" w:fill="FFFFFF"/>
        </w:rPr>
        <w:t>Khanra</w:t>
      </w:r>
      <w:proofErr w:type="spellEnd"/>
      <w:r w:rsidRPr="000B50E3">
        <w:rPr>
          <w:rFonts w:cs="Times New Roman"/>
          <w:color w:val="222222"/>
          <w:szCs w:val="24"/>
          <w:shd w:val="clear" w:color="auto" w:fill="FFFFFF"/>
        </w:rPr>
        <w:t>, S., Dhir, A., Kaur, P. and Joseph, R.P., 2021. Factors influencing the adoption postponement of mobile payment services in the hospitality sector during a pandemic. </w:t>
      </w:r>
      <w:r w:rsidRPr="000B50E3">
        <w:rPr>
          <w:rFonts w:cs="Times New Roman"/>
          <w:i/>
          <w:iCs/>
          <w:color w:val="222222"/>
          <w:szCs w:val="24"/>
          <w:shd w:val="clear" w:color="auto" w:fill="FFFFFF"/>
        </w:rPr>
        <w:t>Journal of Hospitality and Tourism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46</w:t>
      </w:r>
      <w:r w:rsidRPr="000B50E3">
        <w:rPr>
          <w:rFonts w:cs="Times New Roman"/>
          <w:color w:val="222222"/>
          <w:szCs w:val="24"/>
          <w:shd w:val="clear" w:color="auto" w:fill="FFFFFF"/>
        </w:rPr>
        <w:t>, pp.26-39.</w:t>
      </w:r>
    </w:p>
    <w:p w14:paraId="3DD96625" w14:textId="77777777" w:rsidR="00EC6FB8" w:rsidRPr="000B50E3" w:rsidRDefault="00EC6FB8" w:rsidP="00EE1D7E">
      <w:pPr>
        <w:ind w:left="567" w:hanging="567"/>
        <w:rPr>
          <w:rFonts w:cs="Times New Roman"/>
          <w:color w:val="222222"/>
          <w:szCs w:val="24"/>
          <w:shd w:val="clear" w:color="auto" w:fill="FFFFFF"/>
        </w:rPr>
      </w:pPr>
      <w:r w:rsidRPr="000B50E3">
        <w:rPr>
          <w:rFonts w:cs="Times New Roman"/>
          <w:color w:val="222222"/>
          <w:szCs w:val="24"/>
          <w:shd w:val="clear" w:color="auto" w:fill="FFFFFF"/>
        </w:rPr>
        <w:t>Li, K., Musah, M., Kong, Y., Adjei Mensah, I., Antwi, S.K., Bawuah, J., Donkor, M., Coffie, C.P.K. and Andrew Osei, A., 2020. Liquidity and firms’ financial performance nexus: panel evidence from non-financial firms listed on the Ghana Stock Exchange. </w:t>
      </w:r>
      <w:r w:rsidRPr="000B50E3">
        <w:rPr>
          <w:rFonts w:cs="Times New Roman"/>
          <w:i/>
          <w:iCs/>
          <w:color w:val="222222"/>
          <w:szCs w:val="24"/>
          <w:shd w:val="clear" w:color="auto" w:fill="FFFFFF"/>
        </w:rPr>
        <w:t>Sage Open</w:t>
      </w:r>
      <w:r w:rsidRPr="000B50E3">
        <w:rPr>
          <w:rFonts w:cs="Times New Roman"/>
          <w:color w:val="222222"/>
          <w:szCs w:val="24"/>
          <w:shd w:val="clear" w:color="auto" w:fill="FFFFFF"/>
        </w:rPr>
        <w:t>, </w:t>
      </w:r>
      <w:r w:rsidRPr="000B50E3">
        <w:rPr>
          <w:rFonts w:cs="Times New Roman"/>
          <w:i/>
          <w:iCs/>
          <w:color w:val="222222"/>
          <w:szCs w:val="24"/>
          <w:shd w:val="clear" w:color="auto" w:fill="FFFFFF"/>
        </w:rPr>
        <w:t>10</w:t>
      </w:r>
      <w:r w:rsidRPr="000B50E3">
        <w:rPr>
          <w:rFonts w:cs="Times New Roman"/>
          <w:color w:val="222222"/>
          <w:szCs w:val="24"/>
          <w:shd w:val="clear" w:color="auto" w:fill="FFFFFF"/>
        </w:rPr>
        <w:t>(3), p.2158244020950363.</w:t>
      </w:r>
    </w:p>
    <w:p w14:paraId="58307082" w14:textId="77777777" w:rsidR="00EC6FB8" w:rsidRPr="000B50E3" w:rsidRDefault="00EC6FB8" w:rsidP="00EE1D7E">
      <w:pPr>
        <w:tabs>
          <w:tab w:val="left" w:pos="1740"/>
        </w:tabs>
        <w:ind w:left="567" w:hanging="567"/>
        <w:rPr>
          <w:rFonts w:cs="Times New Roman"/>
          <w:szCs w:val="24"/>
        </w:rPr>
      </w:pPr>
      <w:proofErr w:type="spellStart"/>
      <w:r w:rsidRPr="000B50E3">
        <w:rPr>
          <w:rFonts w:cs="Times New Roman"/>
          <w:color w:val="222222"/>
          <w:szCs w:val="24"/>
          <w:shd w:val="clear" w:color="auto" w:fill="FFFFFF"/>
        </w:rPr>
        <w:lastRenderedPageBreak/>
        <w:t>Malačič</w:t>
      </w:r>
      <w:proofErr w:type="spellEnd"/>
      <w:r w:rsidRPr="000B50E3">
        <w:rPr>
          <w:rFonts w:cs="Times New Roman"/>
          <w:color w:val="222222"/>
          <w:szCs w:val="24"/>
          <w:shd w:val="clear" w:color="auto" w:fill="FFFFFF"/>
        </w:rPr>
        <w:t>, N. and Malačič, I., 2016. </w:t>
      </w:r>
      <w:r w:rsidRPr="000B50E3">
        <w:rPr>
          <w:rFonts w:cs="Times New Roman"/>
          <w:i/>
          <w:iCs/>
          <w:color w:val="222222"/>
          <w:szCs w:val="24"/>
          <w:shd w:val="clear" w:color="auto" w:fill="FFFFFF"/>
        </w:rPr>
        <w:t>Key factors for successful financial and business restructuring with a general corporate restructuring model and Slovenian companies case studies</w:t>
      </w:r>
      <w:r w:rsidRPr="000B50E3">
        <w:rPr>
          <w:rFonts w:cs="Times New Roman"/>
          <w:color w:val="222222"/>
          <w:szCs w:val="24"/>
          <w:shd w:val="clear" w:color="auto" w:fill="FFFFFF"/>
        </w:rPr>
        <w:t>. Inštitut za ekonomska raziskovanja.</w:t>
      </w:r>
    </w:p>
    <w:p w14:paraId="5559079D" w14:textId="77777777" w:rsidR="00EC6FB8" w:rsidRPr="000B50E3" w:rsidRDefault="00EC6FB8" w:rsidP="00F20746">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Martínez, P., Herrero, Á. and Gómez‐López, R., 2019. Corporate images and customer behavioral intentions in an environmentally certified context: Promoting environmental sustainability in the hospitality industry. </w:t>
      </w:r>
      <w:r w:rsidRPr="000B50E3">
        <w:rPr>
          <w:rFonts w:cs="Times New Roman"/>
          <w:i/>
          <w:iCs/>
          <w:color w:val="222222"/>
          <w:szCs w:val="24"/>
          <w:shd w:val="clear" w:color="auto" w:fill="FFFFFF"/>
        </w:rPr>
        <w:t>Corporate Social Responsibility and Environmental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26</w:t>
      </w:r>
      <w:r w:rsidRPr="000B50E3">
        <w:rPr>
          <w:rFonts w:cs="Times New Roman"/>
          <w:color w:val="222222"/>
          <w:szCs w:val="24"/>
          <w:shd w:val="clear" w:color="auto" w:fill="FFFFFF"/>
        </w:rPr>
        <w:t>(6), pp.1382-1391.</w:t>
      </w:r>
    </w:p>
    <w:p w14:paraId="5385EA73" w14:textId="77777777" w:rsidR="00EC6FB8" w:rsidRPr="000B50E3" w:rsidRDefault="00EC6FB8" w:rsidP="00EE1D7E">
      <w:pPr>
        <w:ind w:left="567" w:hanging="567"/>
        <w:rPr>
          <w:rFonts w:cs="Times New Roman"/>
          <w:szCs w:val="24"/>
        </w:rPr>
      </w:pPr>
      <w:proofErr w:type="spellStart"/>
      <w:r w:rsidRPr="000B50E3">
        <w:rPr>
          <w:rFonts w:cs="Times New Roman"/>
          <w:color w:val="222222"/>
          <w:szCs w:val="24"/>
          <w:shd w:val="clear" w:color="auto" w:fill="FFFFFF"/>
        </w:rPr>
        <w:t>Matar</w:t>
      </w:r>
      <w:proofErr w:type="spellEnd"/>
      <w:r w:rsidRPr="000B50E3">
        <w:rPr>
          <w:rFonts w:cs="Times New Roman"/>
          <w:color w:val="222222"/>
          <w:szCs w:val="24"/>
          <w:shd w:val="clear" w:color="auto" w:fill="FFFFFF"/>
        </w:rPr>
        <w:t>, A. and Eneizan, B., 2018. Determinants of financial performance in the industrial firms: Evidence from Jordan. </w:t>
      </w:r>
      <w:r w:rsidRPr="000B50E3">
        <w:rPr>
          <w:rFonts w:cs="Times New Roman"/>
          <w:i/>
          <w:iCs/>
          <w:color w:val="222222"/>
          <w:szCs w:val="24"/>
          <w:shd w:val="clear" w:color="auto" w:fill="FFFFFF"/>
        </w:rPr>
        <w:t>Asian Journal of Agricultural Extension, Economics &amp; Sociology</w:t>
      </w:r>
      <w:r w:rsidRPr="000B50E3">
        <w:rPr>
          <w:rFonts w:cs="Times New Roman"/>
          <w:color w:val="222222"/>
          <w:szCs w:val="24"/>
          <w:shd w:val="clear" w:color="auto" w:fill="FFFFFF"/>
        </w:rPr>
        <w:t>, </w:t>
      </w:r>
      <w:r w:rsidRPr="000B50E3">
        <w:rPr>
          <w:rFonts w:cs="Times New Roman"/>
          <w:i/>
          <w:iCs/>
          <w:color w:val="222222"/>
          <w:szCs w:val="24"/>
          <w:shd w:val="clear" w:color="auto" w:fill="FFFFFF"/>
        </w:rPr>
        <w:t>22</w:t>
      </w:r>
      <w:r w:rsidRPr="000B50E3">
        <w:rPr>
          <w:rFonts w:cs="Times New Roman"/>
          <w:color w:val="222222"/>
          <w:szCs w:val="24"/>
          <w:shd w:val="clear" w:color="auto" w:fill="FFFFFF"/>
        </w:rPr>
        <w:t>(1), pp.1-10.</w:t>
      </w:r>
    </w:p>
    <w:p w14:paraId="53802481" w14:textId="77777777" w:rsidR="00EC6FB8" w:rsidRPr="000B50E3" w:rsidRDefault="00EC6FB8" w:rsidP="00F20746">
      <w:pPr>
        <w:spacing w:after="0"/>
        <w:ind w:left="720" w:hanging="720"/>
        <w:rPr>
          <w:rFonts w:cs="Times New Roman"/>
          <w:szCs w:val="24"/>
        </w:rPr>
      </w:pPr>
      <w:proofErr w:type="spellStart"/>
      <w:r w:rsidRPr="000B50E3">
        <w:rPr>
          <w:rFonts w:cs="Times New Roman"/>
          <w:szCs w:val="24"/>
        </w:rPr>
        <w:t>Milasinovic</w:t>
      </w:r>
      <w:proofErr w:type="spellEnd"/>
      <w:r w:rsidRPr="000B50E3">
        <w:rPr>
          <w:rFonts w:cs="Times New Roman"/>
          <w:szCs w:val="24"/>
        </w:rPr>
        <w:t xml:space="preserve">, M., </w:t>
      </w:r>
      <w:proofErr w:type="spellStart"/>
      <w:r w:rsidRPr="000B50E3">
        <w:rPr>
          <w:rFonts w:cs="Times New Roman"/>
          <w:szCs w:val="24"/>
        </w:rPr>
        <w:t>Mitrović</w:t>
      </w:r>
      <w:proofErr w:type="spellEnd"/>
      <w:r w:rsidRPr="000B50E3">
        <w:rPr>
          <w:rFonts w:cs="Times New Roman"/>
          <w:szCs w:val="24"/>
        </w:rPr>
        <w:t xml:space="preserve">, A. and </w:t>
      </w:r>
      <w:proofErr w:type="spellStart"/>
      <w:r w:rsidRPr="000B50E3">
        <w:rPr>
          <w:rFonts w:cs="Times New Roman"/>
          <w:szCs w:val="24"/>
        </w:rPr>
        <w:t>Milojević</w:t>
      </w:r>
      <w:proofErr w:type="spellEnd"/>
      <w:r w:rsidRPr="000B50E3">
        <w:rPr>
          <w:rFonts w:cs="Times New Roman"/>
          <w:szCs w:val="24"/>
        </w:rPr>
        <w:t>, S., 2020. Financial performance measuring of a hotel company-case study. </w:t>
      </w:r>
      <w:r w:rsidRPr="000B50E3">
        <w:rPr>
          <w:rFonts w:cs="Times New Roman"/>
          <w:i/>
          <w:iCs/>
          <w:szCs w:val="24"/>
        </w:rPr>
        <w:t>Challenges of Tourism and Business Logistics in the 21st Century</w:t>
      </w:r>
      <w:r w:rsidRPr="000B50E3">
        <w:rPr>
          <w:rFonts w:cs="Times New Roman"/>
          <w:szCs w:val="24"/>
        </w:rPr>
        <w:t>, </w:t>
      </w:r>
      <w:r w:rsidRPr="000B50E3">
        <w:rPr>
          <w:rFonts w:cs="Times New Roman"/>
          <w:i/>
          <w:iCs/>
          <w:szCs w:val="24"/>
        </w:rPr>
        <w:t>3</w:t>
      </w:r>
      <w:r w:rsidRPr="000B50E3">
        <w:rPr>
          <w:rFonts w:cs="Times New Roman"/>
          <w:szCs w:val="24"/>
        </w:rPr>
        <w:t>(1), pp.228-234.</w:t>
      </w:r>
    </w:p>
    <w:p w14:paraId="760543D3" w14:textId="77777777" w:rsidR="00EC6FB8" w:rsidRPr="000B50E3" w:rsidRDefault="00EC6FB8" w:rsidP="00F20746">
      <w:pPr>
        <w:spacing w:after="0"/>
        <w:ind w:left="720" w:hanging="720"/>
        <w:rPr>
          <w:rFonts w:cs="Times New Roman"/>
          <w:szCs w:val="24"/>
        </w:rPr>
      </w:pPr>
      <w:r w:rsidRPr="000B50E3">
        <w:rPr>
          <w:rFonts w:cs="Times New Roman"/>
          <w:szCs w:val="24"/>
        </w:rPr>
        <w:t xml:space="preserve">Mitrovic, A., </w:t>
      </w:r>
      <w:proofErr w:type="spellStart"/>
      <w:r w:rsidRPr="000B50E3">
        <w:rPr>
          <w:rFonts w:cs="Times New Roman"/>
          <w:szCs w:val="24"/>
        </w:rPr>
        <w:t>Milašinović</w:t>
      </w:r>
      <w:proofErr w:type="spellEnd"/>
      <w:r w:rsidRPr="000B50E3">
        <w:rPr>
          <w:rFonts w:cs="Times New Roman"/>
          <w:szCs w:val="24"/>
        </w:rPr>
        <w:t xml:space="preserve">, M. and </w:t>
      </w:r>
      <w:proofErr w:type="spellStart"/>
      <w:r w:rsidRPr="000B50E3">
        <w:rPr>
          <w:rFonts w:cs="Times New Roman"/>
          <w:szCs w:val="24"/>
        </w:rPr>
        <w:t>Knežević</w:t>
      </w:r>
      <w:proofErr w:type="spellEnd"/>
      <w:r w:rsidRPr="000B50E3">
        <w:rPr>
          <w:rFonts w:cs="Times New Roman"/>
          <w:szCs w:val="24"/>
        </w:rPr>
        <w:t>, S., 2023. The importance of net working capital in the hotel companies’ liquidity assessment. In </w:t>
      </w:r>
      <w:r w:rsidRPr="000B50E3">
        <w:rPr>
          <w:rFonts w:cs="Times New Roman"/>
          <w:i/>
          <w:iCs/>
          <w:szCs w:val="24"/>
        </w:rPr>
        <w:t>1st International Scientific Conference on Economy, Management and Information Technologies–ICEMIT 2023</w:t>
      </w:r>
      <w:r w:rsidRPr="000B50E3">
        <w:rPr>
          <w:rFonts w:cs="Times New Roman"/>
          <w:szCs w:val="24"/>
        </w:rPr>
        <w:t>.</w:t>
      </w:r>
    </w:p>
    <w:p w14:paraId="4307E31F" w14:textId="77777777" w:rsidR="00EC6FB8" w:rsidRPr="000B50E3" w:rsidRDefault="00EC6FB8" w:rsidP="00F20746">
      <w:pPr>
        <w:spacing w:after="0"/>
        <w:ind w:left="720" w:hanging="720"/>
        <w:rPr>
          <w:rFonts w:cs="Times New Roman"/>
          <w:szCs w:val="24"/>
        </w:rPr>
      </w:pPr>
      <w:r w:rsidRPr="000B50E3">
        <w:rPr>
          <w:rFonts w:cs="Times New Roman"/>
          <w:szCs w:val="24"/>
        </w:rPr>
        <w:t xml:space="preserve">Mohamad Said, N.H., </w:t>
      </w:r>
      <w:proofErr w:type="spellStart"/>
      <w:r w:rsidRPr="000B50E3">
        <w:rPr>
          <w:rFonts w:cs="Times New Roman"/>
          <w:szCs w:val="24"/>
        </w:rPr>
        <w:t>Abdull</w:t>
      </w:r>
      <w:proofErr w:type="spellEnd"/>
      <w:r w:rsidRPr="000B50E3">
        <w:rPr>
          <w:rFonts w:cs="Times New Roman"/>
          <w:szCs w:val="24"/>
        </w:rPr>
        <w:t xml:space="preserve"> Rahman, N.L., Abd </w:t>
      </w:r>
      <w:proofErr w:type="spellStart"/>
      <w:r w:rsidRPr="000B50E3">
        <w:rPr>
          <w:rFonts w:cs="Times New Roman"/>
          <w:szCs w:val="24"/>
        </w:rPr>
        <w:t>Mutalib</w:t>
      </w:r>
      <w:proofErr w:type="spellEnd"/>
      <w:r w:rsidRPr="000B50E3">
        <w:rPr>
          <w:rFonts w:cs="Times New Roman"/>
          <w:szCs w:val="24"/>
        </w:rPr>
        <w:t xml:space="preserve">, H. and Badri Shah, N.S., 2021. Profitability performance analysis on </w:t>
      </w:r>
      <w:proofErr w:type="spellStart"/>
      <w:r w:rsidRPr="000B50E3">
        <w:rPr>
          <w:rFonts w:cs="Times New Roman"/>
          <w:szCs w:val="24"/>
        </w:rPr>
        <w:t>malaysian</w:t>
      </w:r>
      <w:proofErr w:type="spellEnd"/>
      <w:r w:rsidRPr="000B50E3">
        <w:rPr>
          <w:rFonts w:cs="Times New Roman"/>
          <w:szCs w:val="24"/>
        </w:rPr>
        <w:t xml:space="preserve"> hotel industry during covid-19 pandemic. </w:t>
      </w:r>
      <w:r w:rsidRPr="000B50E3">
        <w:rPr>
          <w:rFonts w:cs="Times New Roman"/>
          <w:i/>
          <w:iCs/>
          <w:szCs w:val="24"/>
        </w:rPr>
        <w:t>Journal of Academia</w:t>
      </w:r>
      <w:r w:rsidRPr="000B50E3">
        <w:rPr>
          <w:rFonts w:cs="Times New Roman"/>
          <w:szCs w:val="24"/>
        </w:rPr>
        <w:t>, </w:t>
      </w:r>
      <w:r w:rsidRPr="000B50E3">
        <w:rPr>
          <w:rFonts w:cs="Times New Roman"/>
          <w:i/>
          <w:iCs/>
          <w:szCs w:val="24"/>
        </w:rPr>
        <w:t>9</w:t>
      </w:r>
      <w:r w:rsidRPr="000B50E3">
        <w:rPr>
          <w:rFonts w:cs="Times New Roman"/>
          <w:szCs w:val="24"/>
        </w:rPr>
        <w:t>, pp.84-92.</w:t>
      </w:r>
    </w:p>
    <w:p w14:paraId="20A104A4"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Mulwa, M., 2017. </w:t>
      </w:r>
      <w:r w:rsidRPr="000B50E3">
        <w:rPr>
          <w:rFonts w:cs="Times New Roman"/>
          <w:i/>
          <w:iCs/>
          <w:color w:val="222222"/>
          <w:szCs w:val="24"/>
          <w:shd w:val="clear" w:color="auto" w:fill="FFFFFF"/>
        </w:rPr>
        <w:t>The Effect Of Turnaround Strategy On The Performance Of Kenya Airways</w:t>
      </w:r>
      <w:r w:rsidRPr="000B50E3">
        <w:rPr>
          <w:rFonts w:cs="Times New Roman"/>
          <w:color w:val="222222"/>
          <w:szCs w:val="24"/>
          <w:shd w:val="clear" w:color="auto" w:fill="FFFFFF"/>
        </w:rPr>
        <w:t> (Doctoral dissertation, University of Nairobi). Dimitrios, B., Christos, P., Ioannis, R. and Vasiliadis, L., 2020. Strategic management in the hotel industry: proposed strategic practices to recover from COVID-19 global crisis. </w:t>
      </w:r>
      <w:r w:rsidRPr="000B50E3">
        <w:rPr>
          <w:rFonts w:cs="Times New Roman"/>
          <w:i/>
          <w:iCs/>
          <w:color w:val="222222"/>
          <w:szCs w:val="24"/>
          <w:shd w:val="clear" w:color="auto" w:fill="FFFFFF"/>
        </w:rPr>
        <w:t>Academic Journal of Interdisciplinary Studies</w:t>
      </w:r>
      <w:r w:rsidRPr="000B50E3">
        <w:rPr>
          <w:rFonts w:cs="Times New Roman"/>
          <w:color w:val="222222"/>
          <w:szCs w:val="24"/>
          <w:shd w:val="clear" w:color="auto" w:fill="FFFFFF"/>
        </w:rPr>
        <w:t>, </w:t>
      </w:r>
      <w:r w:rsidRPr="000B50E3">
        <w:rPr>
          <w:rFonts w:cs="Times New Roman"/>
          <w:i/>
          <w:iCs/>
          <w:color w:val="222222"/>
          <w:szCs w:val="24"/>
          <w:shd w:val="clear" w:color="auto" w:fill="FFFFFF"/>
        </w:rPr>
        <w:t>9</w:t>
      </w:r>
      <w:r w:rsidRPr="000B50E3">
        <w:rPr>
          <w:rFonts w:cs="Times New Roman"/>
          <w:color w:val="222222"/>
          <w:szCs w:val="24"/>
          <w:shd w:val="clear" w:color="auto" w:fill="FFFFFF"/>
        </w:rPr>
        <w:t>(6), pp.130-130.</w:t>
      </w:r>
    </w:p>
    <w:p w14:paraId="5C3BBC07" w14:textId="77777777" w:rsidR="00EC6FB8" w:rsidRPr="000B50E3" w:rsidRDefault="00EC6FB8" w:rsidP="00F20746">
      <w:pPr>
        <w:tabs>
          <w:tab w:val="left" w:pos="2220"/>
        </w:tabs>
        <w:ind w:left="720" w:hanging="720"/>
        <w:rPr>
          <w:rFonts w:cs="Times New Roman"/>
          <w:color w:val="222222"/>
          <w:szCs w:val="24"/>
          <w:shd w:val="clear" w:color="auto" w:fill="FFFFFF"/>
        </w:rPr>
      </w:pPr>
      <w:r w:rsidRPr="000B50E3">
        <w:rPr>
          <w:rFonts w:cs="Times New Roman"/>
          <w:color w:val="222222"/>
          <w:szCs w:val="24"/>
          <w:shd w:val="clear" w:color="auto" w:fill="FFFFFF"/>
        </w:rPr>
        <w:t>Nguyen, L.T.M., Le, D., Vu, K.T. and Tran, T.K., 2023. The role of capital structure management in maintaining the financial stability of hotel firms during the pandemic—A global investigation. </w:t>
      </w:r>
      <w:r w:rsidRPr="000B50E3">
        <w:rPr>
          <w:rFonts w:cs="Times New Roman"/>
          <w:i/>
          <w:iCs/>
          <w:color w:val="222222"/>
          <w:szCs w:val="24"/>
          <w:shd w:val="clear" w:color="auto" w:fill="FFFFFF"/>
        </w:rPr>
        <w:t>International Journal of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109</w:t>
      </w:r>
      <w:r w:rsidRPr="000B50E3">
        <w:rPr>
          <w:rFonts w:cs="Times New Roman"/>
          <w:color w:val="222222"/>
          <w:szCs w:val="24"/>
          <w:shd w:val="clear" w:color="auto" w:fill="FFFFFF"/>
        </w:rPr>
        <w:t>, p.103366.</w:t>
      </w:r>
    </w:p>
    <w:p w14:paraId="7AA93813" w14:textId="77777777" w:rsidR="00EC6FB8" w:rsidRPr="000B50E3" w:rsidRDefault="00EC6FB8" w:rsidP="00F20746">
      <w:pPr>
        <w:spacing w:after="0"/>
        <w:ind w:left="720" w:hanging="720"/>
        <w:rPr>
          <w:rFonts w:cs="Times New Roman"/>
          <w:color w:val="222222"/>
          <w:szCs w:val="24"/>
          <w:shd w:val="clear" w:color="auto" w:fill="FFFFFF"/>
        </w:rPr>
      </w:pPr>
      <w:proofErr w:type="spellStart"/>
      <w:r w:rsidRPr="000B50E3">
        <w:rPr>
          <w:rFonts w:cs="Times New Roman"/>
          <w:color w:val="222222"/>
          <w:szCs w:val="24"/>
          <w:shd w:val="clear" w:color="auto" w:fill="FFFFFF"/>
        </w:rPr>
        <w:t>Ntounis</w:t>
      </w:r>
      <w:proofErr w:type="spellEnd"/>
      <w:r w:rsidRPr="000B50E3">
        <w:rPr>
          <w:rFonts w:cs="Times New Roman"/>
          <w:color w:val="222222"/>
          <w:szCs w:val="24"/>
          <w:shd w:val="clear" w:color="auto" w:fill="FFFFFF"/>
        </w:rPr>
        <w:t xml:space="preserve">, N., Parker, C., Skinner, H., Steadman, C. and </w:t>
      </w:r>
      <w:proofErr w:type="spellStart"/>
      <w:r w:rsidRPr="000B50E3">
        <w:rPr>
          <w:rFonts w:cs="Times New Roman"/>
          <w:color w:val="222222"/>
          <w:szCs w:val="24"/>
          <w:shd w:val="clear" w:color="auto" w:fill="FFFFFF"/>
        </w:rPr>
        <w:t>Warnaby</w:t>
      </w:r>
      <w:proofErr w:type="spellEnd"/>
      <w:r w:rsidRPr="000B50E3">
        <w:rPr>
          <w:rFonts w:cs="Times New Roman"/>
          <w:color w:val="222222"/>
          <w:szCs w:val="24"/>
          <w:shd w:val="clear" w:color="auto" w:fill="FFFFFF"/>
        </w:rPr>
        <w:t>, G., 2022. Tourism and Hospitality industry resilience during the Covid-19 pandemic: Evidence from England. </w:t>
      </w:r>
      <w:r w:rsidRPr="000B50E3">
        <w:rPr>
          <w:rFonts w:cs="Times New Roman"/>
          <w:i/>
          <w:iCs/>
          <w:color w:val="222222"/>
          <w:szCs w:val="24"/>
          <w:shd w:val="clear" w:color="auto" w:fill="FFFFFF"/>
        </w:rPr>
        <w:t>Current Issues in Tourism</w:t>
      </w:r>
      <w:r w:rsidRPr="000B50E3">
        <w:rPr>
          <w:rFonts w:cs="Times New Roman"/>
          <w:color w:val="222222"/>
          <w:szCs w:val="24"/>
          <w:shd w:val="clear" w:color="auto" w:fill="FFFFFF"/>
        </w:rPr>
        <w:t>, </w:t>
      </w:r>
      <w:r w:rsidRPr="000B50E3">
        <w:rPr>
          <w:rFonts w:cs="Times New Roman"/>
          <w:i/>
          <w:iCs/>
          <w:color w:val="222222"/>
          <w:szCs w:val="24"/>
          <w:shd w:val="clear" w:color="auto" w:fill="FFFFFF"/>
        </w:rPr>
        <w:t>25</w:t>
      </w:r>
      <w:r w:rsidRPr="000B50E3">
        <w:rPr>
          <w:rFonts w:cs="Times New Roman"/>
          <w:color w:val="222222"/>
          <w:szCs w:val="24"/>
          <w:shd w:val="clear" w:color="auto" w:fill="FFFFFF"/>
        </w:rPr>
        <w:t>(1), pp.46-59.</w:t>
      </w:r>
    </w:p>
    <w:p w14:paraId="48D92172" w14:textId="77777777" w:rsidR="00EC6FB8" w:rsidRPr="000B50E3" w:rsidRDefault="00EC6FB8" w:rsidP="00EE1D7E">
      <w:pPr>
        <w:ind w:left="567" w:hanging="567"/>
        <w:rPr>
          <w:rFonts w:cs="Times New Roman"/>
          <w:szCs w:val="24"/>
        </w:rPr>
      </w:pPr>
      <w:proofErr w:type="spellStart"/>
      <w:r w:rsidRPr="000B50E3">
        <w:rPr>
          <w:rFonts w:cs="Times New Roman"/>
          <w:color w:val="222222"/>
          <w:szCs w:val="24"/>
          <w:shd w:val="clear" w:color="auto" w:fill="FFFFFF"/>
        </w:rPr>
        <w:lastRenderedPageBreak/>
        <w:t>Pelaez-Verdet</w:t>
      </w:r>
      <w:proofErr w:type="spellEnd"/>
      <w:r w:rsidRPr="000B50E3">
        <w:rPr>
          <w:rFonts w:cs="Times New Roman"/>
          <w:color w:val="222222"/>
          <w:szCs w:val="24"/>
          <w:shd w:val="clear" w:color="auto" w:fill="FFFFFF"/>
        </w:rPr>
        <w:t>, A. and Loscertales-Sanchez, P., 2021. Key ratios for long-term prediction of hotel financial distress and corporate default: Survival analysis for an economic stagnation. </w:t>
      </w:r>
      <w:r w:rsidRPr="000B50E3">
        <w:rPr>
          <w:rFonts w:cs="Times New Roman"/>
          <w:i/>
          <w:iCs/>
          <w:color w:val="222222"/>
          <w:szCs w:val="24"/>
          <w:shd w:val="clear" w:color="auto" w:fill="FFFFFF"/>
        </w:rPr>
        <w:t>Sustainability</w:t>
      </w:r>
      <w:r w:rsidRPr="000B50E3">
        <w:rPr>
          <w:rFonts w:cs="Times New Roman"/>
          <w:color w:val="222222"/>
          <w:szCs w:val="24"/>
          <w:shd w:val="clear" w:color="auto" w:fill="FFFFFF"/>
        </w:rPr>
        <w:t>, </w:t>
      </w:r>
      <w:r w:rsidRPr="000B50E3">
        <w:rPr>
          <w:rFonts w:cs="Times New Roman"/>
          <w:i/>
          <w:iCs/>
          <w:color w:val="222222"/>
          <w:szCs w:val="24"/>
          <w:shd w:val="clear" w:color="auto" w:fill="FFFFFF"/>
        </w:rPr>
        <w:t>13</w:t>
      </w:r>
      <w:r w:rsidRPr="000B50E3">
        <w:rPr>
          <w:rFonts w:cs="Times New Roman"/>
          <w:color w:val="222222"/>
          <w:szCs w:val="24"/>
          <w:shd w:val="clear" w:color="auto" w:fill="FFFFFF"/>
        </w:rPr>
        <w:t>(3), p.1473.</w:t>
      </w:r>
    </w:p>
    <w:p w14:paraId="4CE4E5A9"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Qin, Y., Qin, J. and Liu, C., 2021. Spatial-temporal evolution patterns of hotels in China: 1978–2018. </w:t>
      </w:r>
      <w:r w:rsidRPr="000B50E3">
        <w:rPr>
          <w:rFonts w:cs="Times New Roman"/>
          <w:i/>
          <w:iCs/>
          <w:color w:val="222222"/>
          <w:szCs w:val="24"/>
          <w:shd w:val="clear" w:color="auto" w:fill="FFFFFF"/>
        </w:rPr>
        <w:t>International Journal of Contemporary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33</w:t>
      </w:r>
      <w:r w:rsidRPr="000B50E3">
        <w:rPr>
          <w:rFonts w:cs="Times New Roman"/>
          <w:color w:val="222222"/>
          <w:szCs w:val="24"/>
          <w:shd w:val="clear" w:color="auto" w:fill="FFFFFF"/>
        </w:rPr>
        <w:t>(6), pp.2194-2218.</w:t>
      </w:r>
    </w:p>
    <w:p w14:paraId="044B56AB" w14:textId="77777777" w:rsidR="00EC6FB8" w:rsidRPr="000B50E3" w:rsidRDefault="00EC6FB8" w:rsidP="00F20746">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 xml:space="preserve">Rather, R.A., </w:t>
      </w:r>
      <w:proofErr w:type="spellStart"/>
      <w:r w:rsidRPr="000B50E3">
        <w:rPr>
          <w:rFonts w:cs="Times New Roman"/>
          <w:color w:val="222222"/>
          <w:szCs w:val="24"/>
          <w:shd w:val="clear" w:color="auto" w:fill="FFFFFF"/>
        </w:rPr>
        <w:t>Tehseen</w:t>
      </w:r>
      <w:proofErr w:type="spellEnd"/>
      <w:r w:rsidRPr="000B50E3">
        <w:rPr>
          <w:rFonts w:cs="Times New Roman"/>
          <w:color w:val="222222"/>
          <w:szCs w:val="24"/>
          <w:shd w:val="clear" w:color="auto" w:fill="FFFFFF"/>
        </w:rPr>
        <w:t xml:space="preserve">, S., </w:t>
      </w:r>
      <w:proofErr w:type="spellStart"/>
      <w:r w:rsidRPr="000B50E3">
        <w:rPr>
          <w:rFonts w:cs="Times New Roman"/>
          <w:color w:val="222222"/>
          <w:szCs w:val="24"/>
          <w:shd w:val="clear" w:color="auto" w:fill="FFFFFF"/>
        </w:rPr>
        <w:t>Itoo</w:t>
      </w:r>
      <w:proofErr w:type="spellEnd"/>
      <w:r w:rsidRPr="000B50E3">
        <w:rPr>
          <w:rFonts w:cs="Times New Roman"/>
          <w:color w:val="222222"/>
          <w:szCs w:val="24"/>
          <w:shd w:val="clear" w:color="auto" w:fill="FFFFFF"/>
        </w:rPr>
        <w:t xml:space="preserve">, M.H. and </w:t>
      </w:r>
      <w:proofErr w:type="spellStart"/>
      <w:r w:rsidRPr="000B50E3">
        <w:rPr>
          <w:rFonts w:cs="Times New Roman"/>
          <w:color w:val="222222"/>
          <w:szCs w:val="24"/>
          <w:shd w:val="clear" w:color="auto" w:fill="FFFFFF"/>
        </w:rPr>
        <w:t>Parrey</w:t>
      </w:r>
      <w:proofErr w:type="spellEnd"/>
      <w:r w:rsidRPr="000B50E3">
        <w:rPr>
          <w:rFonts w:cs="Times New Roman"/>
          <w:color w:val="222222"/>
          <w:szCs w:val="24"/>
          <w:shd w:val="clear" w:color="auto" w:fill="FFFFFF"/>
        </w:rPr>
        <w:t>, S.H., 2021. Customer brand identification, affective commitment, customer satisfaction, and brand trust as antecedents of customer behavioral intention of loyalty: An empirical study in the hospitality sector. In </w:t>
      </w:r>
      <w:r w:rsidRPr="000B50E3">
        <w:rPr>
          <w:rFonts w:cs="Times New Roman"/>
          <w:i/>
          <w:iCs/>
          <w:color w:val="222222"/>
          <w:szCs w:val="24"/>
          <w:shd w:val="clear" w:color="auto" w:fill="FFFFFF"/>
        </w:rPr>
        <w:t xml:space="preserve">Consumer </w:t>
      </w:r>
      <w:proofErr w:type="spellStart"/>
      <w:r w:rsidRPr="000B50E3">
        <w:rPr>
          <w:rFonts w:cs="Times New Roman"/>
          <w:i/>
          <w:iCs/>
          <w:color w:val="222222"/>
          <w:szCs w:val="24"/>
          <w:shd w:val="clear" w:color="auto" w:fill="FFFFFF"/>
        </w:rPr>
        <w:t>behaviour</w:t>
      </w:r>
      <w:proofErr w:type="spellEnd"/>
      <w:r w:rsidRPr="000B50E3">
        <w:rPr>
          <w:rFonts w:cs="Times New Roman"/>
          <w:i/>
          <w:iCs/>
          <w:color w:val="222222"/>
          <w:szCs w:val="24"/>
          <w:shd w:val="clear" w:color="auto" w:fill="FFFFFF"/>
        </w:rPr>
        <w:t xml:space="preserve"> in hospitality and tourism</w:t>
      </w:r>
      <w:r w:rsidRPr="000B50E3">
        <w:rPr>
          <w:rFonts w:cs="Times New Roman"/>
          <w:color w:val="222222"/>
          <w:szCs w:val="24"/>
          <w:shd w:val="clear" w:color="auto" w:fill="FFFFFF"/>
        </w:rPr>
        <w:t> (pp. 44-65). Routledge.</w:t>
      </w:r>
    </w:p>
    <w:p w14:paraId="5948A288" w14:textId="77777777" w:rsidR="00EC6FB8" w:rsidRPr="000B50E3" w:rsidRDefault="00EC6FB8" w:rsidP="00EE1D7E">
      <w:pPr>
        <w:ind w:left="567" w:hanging="567"/>
        <w:rPr>
          <w:rFonts w:cs="Times New Roman"/>
          <w:szCs w:val="24"/>
        </w:rPr>
      </w:pPr>
      <w:r w:rsidRPr="000B50E3">
        <w:rPr>
          <w:rFonts w:cs="Times New Roman"/>
          <w:color w:val="222222"/>
          <w:szCs w:val="24"/>
          <w:shd w:val="clear" w:color="auto" w:fill="FFFFFF"/>
        </w:rPr>
        <w:t>Richard, B., 2017. Hotel chains: survival strategies for a dynamic future. </w:t>
      </w:r>
      <w:r w:rsidRPr="000B50E3">
        <w:rPr>
          <w:rFonts w:cs="Times New Roman"/>
          <w:i/>
          <w:iCs/>
          <w:color w:val="222222"/>
          <w:szCs w:val="24"/>
          <w:shd w:val="clear" w:color="auto" w:fill="FFFFFF"/>
        </w:rPr>
        <w:t>Journal of Tourism Futures</w:t>
      </w:r>
      <w:r w:rsidRPr="000B50E3">
        <w:rPr>
          <w:rFonts w:cs="Times New Roman"/>
          <w:color w:val="222222"/>
          <w:szCs w:val="24"/>
          <w:shd w:val="clear" w:color="auto" w:fill="FFFFFF"/>
        </w:rPr>
        <w:t>, </w:t>
      </w:r>
      <w:r w:rsidRPr="000B50E3">
        <w:rPr>
          <w:rFonts w:cs="Times New Roman"/>
          <w:i/>
          <w:iCs/>
          <w:color w:val="222222"/>
          <w:szCs w:val="24"/>
          <w:shd w:val="clear" w:color="auto" w:fill="FFFFFF"/>
        </w:rPr>
        <w:t>3</w:t>
      </w:r>
      <w:r w:rsidRPr="000B50E3">
        <w:rPr>
          <w:rFonts w:cs="Times New Roman"/>
          <w:color w:val="222222"/>
          <w:szCs w:val="24"/>
          <w:shd w:val="clear" w:color="auto" w:fill="FFFFFF"/>
        </w:rPr>
        <w:t>(1), pp.56-65.</w:t>
      </w:r>
    </w:p>
    <w:p w14:paraId="52900F07" w14:textId="77777777" w:rsidR="00EC6FB8" w:rsidRPr="000B50E3" w:rsidRDefault="00EC6FB8" w:rsidP="00EE1D7E">
      <w:pPr>
        <w:ind w:left="567" w:hanging="567"/>
        <w:rPr>
          <w:rFonts w:cs="Times New Roman"/>
          <w:color w:val="222222"/>
          <w:szCs w:val="24"/>
          <w:shd w:val="clear" w:color="auto" w:fill="FFFFFF"/>
        </w:rPr>
      </w:pPr>
      <w:proofErr w:type="spellStart"/>
      <w:r w:rsidRPr="000B50E3">
        <w:rPr>
          <w:rFonts w:cs="Times New Roman"/>
          <w:color w:val="222222"/>
          <w:szCs w:val="24"/>
          <w:shd w:val="clear" w:color="auto" w:fill="FFFFFF"/>
        </w:rPr>
        <w:t>Sejati</w:t>
      </w:r>
      <w:proofErr w:type="spellEnd"/>
      <w:r w:rsidRPr="000B50E3">
        <w:rPr>
          <w:rFonts w:cs="Times New Roman"/>
          <w:color w:val="222222"/>
          <w:szCs w:val="24"/>
          <w:shd w:val="clear" w:color="auto" w:fill="FFFFFF"/>
        </w:rPr>
        <w:t xml:space="preserve">, A.W., </w:t>
      </w:r>
      <w:proofErr w:type="spellStart"/>
      <w:r w:rsidRPr="000B50E3">
        <w:rPr>
          <w:rFonts w:cs="Times New Roman"/>
          <w:color w:val="222222"/>
          <w:szCs w:val="24"/>
          <w:shd w:val="clear" w:color="auto" w:fill="FFFFFF"/>
        </w:rPr>
        <w:t>Rahayu</w:t>
      </w:r>
      <w:proofErr w:type="spellEnd"/>
      <w:r w:rsidRPr="000B50E3">
        <w:rPr>
          <w:rFonts w:cs="Times New Roman"/>
          <w:color w:val="222222"/>
          <w:szCs w:val="24"/>
          <w:shd w:val="clear" w:color="auto" w:fill="FFFFFF"/>
        </w:rPr>
        <w:t>, S., Pigawati, B. and Winarendri, J., 2018. The Ex-Ante Evaluation of Hotel Buildings Height in Airport Area: A Case of Hotel in Kaliwungu, Peri-Urban Area of Semarang. </w:t>
      </w:r>
      <w:r w:rsidRPr="000B50E3">
        <w:rPr>
          <w:rFonts w:cs="Times New Roman"/>
          <w:i/>
          <w:iCs/>
          <w:color w:val="222222"/>
          <w:szCs w:val="24"/>
          <w:shd w:val="clear" w:color="auto" w:fill="FFFFFF"/>
        </w:rPr>
        <w:t>Journal of Architectural Design and Urbanism</w:t>
      </w:r>
      <w:r w:rsidRPr="000B50E3">
        <w:rPr>
          <w:rFonts w:cs="Times New Roman"/>
          <w:color w:val="222222"/>
          <w:szCs w:val="24"/>
          <w:shd w:val="clear" w:color="auto" w:fill="FFFFFF"/>
        </w:rPr>
        <w:t>, </w:t>
      </w:r>
      <w:r w:rsidRPr="000B50E3">
        <w:rPr>
          <w:rFonts w:cs="Times New Roman"/>
          <w:i/>
          <w:iCs/>
          <w:color w:val="222222"/>
          <w:szCs w:val="24"/>
          <w:shd w:val="clear" w:color="auto" w:fill="FFFFFF"/>
        </w:rPr>
        <w:t>1</w:t>
      </w:r>
      <w:r w:rsidRPr="000B50E3">
        <w:rPr>
          <w:rFonts w:cs="Times New Roman"/>
          <w:color w:val="222222"/>
          <w:szCs w:val="24"/>
          <w:shd w:val="clear" w:color="auto" w:fill="FFFFFF"/>
        </w:rPr>
        <w:t>(1), pp.31-39.</w:t>
      </w:r>
    </w:p>
    <w:p w14:paraId="7B9D4E4A" w14:textId="77777777" w:rsidR="00EC6FB8" w:rsidRPr="000B50E3" w:rsidRDefault="00EC6FB8" w:rsidP="00F20746">
      <w:pPr>
        <w:spacing w:after="0"/>
        <w:ind w:left="720" w:hanging="720"/>
        <w:rPr>
          <w:rFonts w:cs="Times New Roman"/>
          <w:szCs w:val="24"/>
        </w:rPr>
      </w:pPr>
      <w:proofErr w:type="spellStart"/>
      <w:r w:rsidRPr="000B50E3">
        <w:rPr>
          <w:rFonts w:cs="Times New Roman"/>
          <w:szCs w:val="24"/>
        </w:rPr>
        <w:t>Sikveland</w:t>
      </w:r>
      <w:proofErr w:type="spellEnd"/>
      <w:r w:rsidRPr="000B50E3">
        <w:rPr>
          <w:rFonts w:cs="Times New Roman"/>
          <w:szCs w:val="24"/>
        </w:rPr>
        <w:t>, M., Xie, J. and Zhang, D., 2022. Determinants of capital structure in the hospitality industry: Impact of clustering and seasonality on debt and liquidity. </w:t>
      </w:r>
      <w:r w:rsidRPr="000B50E3">
        <w:rPr>
          <w:rFonts w:cs="Times New Roman"/>
          <w:i/>
          <w:iCs/>
          <w:szCs w:val="24"/>
        </w:rPr>
        <w:t>International Journal of Hospitality Management</w:t>
      </w:r>
      <w:r w:rsidRPr="000B50E3">
        <w:rPr>
          <w:rFonts w:cs="Times New Roman"/>
          <w:szCs w:val="24"/>
        </w:rPr>
        <w:t>, </w:t>
      </w:r>
      <w:r w:rsidRPr="000B50E3">
        <w:rPr>
          <w:rFonts w:cs="Times New Roman"/>
          <w:i/>
          <w:iCs/>
          <w:szCs w:val="24"/>
        </w:rPr>
        <w:t>102</w:t>
      </w:r>
      <w:r w:rsidRPr="000B50E3">
        <w:rPr>
          <w:rFonts w:cs="Times New Roman"/>
          <w:szCs w:val="24"/>
        </w:rPr>
        <w:t>, p.103172.</w:t>
      </w:r>
    </w:p>
    <w:p w14:paraId="5CD1696A" w14:textId="77777777" w:rsidR="00EC6FB8" w:rsidRPr="000B50E3" w:rsidRDefault="00EC6FB8" w:rsidP="00F20746">
      <w:pPr>
        <w:spacing w:after="0"/>
        <w:ind w:left="720" w:hanging="720"/>
        <w:rPr>
          <w:rFonts w:cs="Times New Roman"/>
          <w:szCs w:val="24"/>
        </w:rPr>
      </w:pPr>
      <w:proofErr w:type="spellStart"/>
      <w:r w:rsidRPr="000B50E3">
        <w:rPr>
          <w:rFonts w:cs="Times New Roman"/>
          <w:color w:val="222222"/>
          <w:szCs w:val="24"/>
          <w:shd w:val="clear" w:color="auto" w:fill="FFFFFF"/>
        </w:rPr>
        <w:t>Umrani</w:t>
      </w:r>
      <w:proofErr w:type="spellEnd"/>
      <w:r w:rsidRPr="000B50E3">
        <w:rPr>
          <w:rFonts w:cs="Times New Roman"/>
          <w:color w:val="222222"/>
          <w:szCs w:val="24"/>
          <w:shd w:val="clear" w:color="auto" w:fill="FFFFFF"/>
        </w:rPr>
        <w:t xml:space="preserve">, W.A., Channa, N.A., Ahmed, U., Syed, J., </w:t>
      </w:r>
      <w:proofErr w:type="spellStart"/>
      <w:r w:rsidRPr="000B50E3">
        <w:rPr>
          <w:rFonts w:cs="Times New Roman"/>
          <w:color w:val="222222"/>
          <w:szCs w:val="24"/>
          <w:shd w:val="clear" w:color="auto" w:fill="FFFFFF"/>
        </w:rPr>
        <w:t>Pahi</w:t>
      </w:r>
      <w:proofErr w:type="spellEnd"/>
      <w:r w:rsidRPr="000B50E3">
        <w:rPr>
          <w:rFonts w:cs="Times New Roman"/>
          <w:color w:val="222222"/>
          <w:szCs w:val="24"/>
          <w:shd w:val="clear" w:color="auto" w:fill="FFFFFF"/>
        </w:rPr>
        <w:t xml:space="preserve">, M.H. and </w:t>
      </w:r>
      <w:proofErr w:type="spellStart"/>
      <w:r w:rsidRPr="000B50E3">
        <w:rPr>
          <w:rFonts w:cs="Times New Roman"/>
          <w:color w:val="222222"/>
          <w:szCs w:val="24"/>
          <w:shd w:val="clear" w:color="auto" w:fill="FFFFFF"/>
        </w:rPr>
        <w:t>Ramayah</w:t>
      </w:r>
      <w:proofErr w:type="spellEnd"/>
      <w:r w:rsidRPr="000B50E3">
        <w:rPr>
          <w:rFonts w:cs="Times New Roman"/>
          <w:color w:val="222222"/>
          <w:szCs w:val="24"/>
          <w:shd w:val="clear" w:color="auto" w:fill="FFFFFF"/>
        </w:rPr>
        <w:t>, T., 2022. The laws of attraction: Role of green human resources, culture and environmental performance in the hospitality sector. </w:t>
      </w:r>
      <w:r w:rsidRPr="000B50E3">
        <w:rPr>
          <w:rFonts w:cs="Times New Roman"/>
          <w:i/>
          <w:iCs/>
          <w:color w:val="222222"/>
          <w:szCs w:val="24"/>
          <w:shd w:val="clear" w:color="auto" w:fill="FFFFFF"/>
        </w:rPr>
        <w:t>International Journal of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103</w:t>
      </w:r>
      <w:r w:rsidRPr="000B50E3">
        <w:rPr>
          <w:rFonts w:cs="Times New Roman"/>
          <w:color w:val="222222"/>
          <w:szCs w:val="24"/>
          <w:shd w:val="clear" w:color="auto" w:fill="FFFFFF"/>
        </w:rPr>
        <w:t>, p.103222.</w:t>
      </w:r>
    </w:p>
    <w:p w14:paraId="68C5DD26" w14:textId="77777777" w:rsidR="00EC6FB8" w:rsidRPr="000B50E3" w:rsidRDefault="00EC6FB8" w:rsidP="00F20746">
      <w:pPr>
        <w:spacing w:after="0"/>
        <w:ind w:left="720" w:hanging="720"/>
        <w:rPr>
          <w:rFonts w:cs="Times New Roman"/>
          <w:color w:val="222222"/>
          <w:szCs w:val="24"/>
          <w:shd w:val="clear" w:color="auto" w:fill="FFFFFF"/>
        </w:rPr>
      </w:pPr>
      <w:r w:rsidRPr="000B50E3">
        <w:rPr>
          <w:rFonts w:cs="Times New Roman"/>
          <w:color w:val="222222"/>
          <w:szCs w:val="24"/>
          <w:shd w:val="clear" w:color="auto" w:fill="FFFFFF"/>
        </w:rPr>
        <w:t>Wang, S., Hung, K. and Huang, W.J., 2019. Motivations for entrepreneurship in the tourism and hospitality sector: A social cognitive theory perspective. </w:t>
      </w:r>
      <w:r w:rsidRPr="000B50E3">
        <w:rPr>
          <w:rFonts w:cs="Times New Roman"/>
          <w:i/>
          <w:iCs/>
          <w:color w:val="222222"/>
          <w:szCs w:val="24"/>
          <w:shd w:val="clear" w:color="auto" w:fill="FFFFFF"/>
        </w:rPr>
        <w:t>International Journal of Hospitality Management</w:t>
      </w:r>
      <w:r w:rsidRPr="000B50E3">
        <w:rPr>
          <w:rFonts w:cs="Times New Roman"/>
          <w:color w:val="222222"/>
          <w:szCs w:val="24"/>
          <w:shd w:val="clear" w:color="auto" w:fill="FFFFFF"/>
        </w:rPr>
        <w:t>, </w:t>
      </w:r>
      <w:r w:rsidRPr="000B50E3">
        <w:rPr>
          <w:rFonts w:cs="Times New Roman"/>
          <w:i/>
          <w:iCs/>
          <w:color w:val="222222"/>
          <w:szCs w:val="24"/>
          <w:shd w:val="clear" w:color="auto" w:fill="FFFFFF"/>
        </w:rPr>
        <w:t>78</w:t>
      </w:r>
      <w:r w:rsidRPr="000B50E3">
        <w:rPr>
          <w:rFonts w:cs="Times New Roman"/>
          <w:color w:val="222222"/>
          <w:szCs w:val="24"/>
          <w:shd w:val="clear" w:color="auto" w:fill="FFFFFF"/>
        </w:rPr>
        <w:t>, pp.78-88.</w:t>
      </w:r>
    </w:p>
    <w:p w14:paraId="09C1EC40" w14:textId="77777777" w:rsidR="00D86958" w:rsidRPr="000B50E3" w:rsidRDefault="00D86958" w:rsidP="00D86958">
      <w:pPr>
        <w:tabs>
          <w:tab w:val="left" w:pos="2220"/>
        </w:tabs>
        <w:ind w:left="720" w:hanging="720"/>
        <w:rPr>
          <w:rFonts w:cs="Times New Roman"/>
          <w:szCs w:val="24"/>
        </w:rPr>
      </w:pPr>
    </w:p>
    <w:p w14:paraId="6F9106DF" w14:textId="77777777" w:rsidR="00F20746" w:rsidRPr="000B50E3" w:rsidRDefault="00F20746" w:rsidP="00F20746">
      <w:pPr>
        <w:spacing w:after="0"/>
        <w:ind w:left="720" w:hanging="720"/>
        <w:rPr>
          <w:rFonts w:cs="Times New Roman"/>
          <w:szCs w:val="24"/>
        </w:rPr>
      </w:pPr>
    </w:p>
    <w:p w14:paraId="29C19EFC" w14:textId="77777777" w:rsidR="00F20746" w:rsidRPr="000B50E3" w:rsidRDefault="00F20746" w:rsidP="00F20746">
      <w:pPr>
        <w:ind w:left="3600" w:hanging="3600"/>
        <w:rPr>
          <w:rFonts w:cs="Times New Roman"/>
          <w:szCs w:val="24"/>
        </w:rPr>
      </w:pPr>
    </w:p>
    <w:sectPr w:rsidR="00F20746" w:rsidRPr="000B50E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A31"/>
    <w:multiLevelType w:val="multilevel"/>
    <w:tmpl w:val="21646454"/>
    <w:lvl w:ilvl="0">
      <w:start w:val="1"/>
      <w:numFmt w:val="decimal"/>
      <w:lvlText w:val="%1."/>
      <w:lvlJc w:val="left"/>
      <w:pPr>
        <w:ind w:left="643" w:hanging="360"/>
      </w:pPr>
      <w:rPr>
        <w:rFonts w:hint="default"/>
        <w:b/>
      </w:rPr>
    </w:lvl>
    <w:lvl w:ilvl="1">
      <w:start w:val="1"/>
      <w:numFmt w:val="decimal"/>
      <w:isLgl/>
      <w:lvlText w:val="%1.%2."/>
      <w:lvlJc w:val="left"/>
      <w:pPr>
        <w:ind w:left="643" w:hanging="360"/>
      </w:pPr>
      <w:rPr>
        <w:rFonts w:hint="default"/>
        <w:b/>
      </w:rPr>
    </w:lvl>
    <w:lvl w:ilvl="2">
      <w:start w:val="1"/>
      <w:numFmt w:val="decimal"/>
      <w:isLgl/>
      <w:lvlText w:val="%1.%2.%3."/>
      <w:lvlJc w:val="left"/>
      <w:pPr>
        <w:ind w:left="1003" w:hanging="720"/>
      </w:pPr>
      <w:rPr>
        <w:rFonts w:hint="default"/>
        <w:b/>
      </w:rPr>
    </w:lvl>
    <w:lvl w:ilvl="3">
      <w:start w:val="1"/>
      <w:numFmt w:val="decimal"/>
      <w:isLgl/>
      <w:lvlText w:val="%1.%2.%3.%4."/>
      <w:lvlJc w:val="left"/>
      <w:pPr>
        <w:ind w:left="1003" w:hanging="720"/>
      </w:pPr>
      <w:rPr>
        <w:rFonts w:hint="default"/>
        <w:b/>
      </w:rPr>
    </w:lvl>
    <w:lvl w:ilvl="4">
      <w:start w:val="1"/>
      <w:numFmt w:val="decimal"/>
      <w:isLgl/>
      <w:lvlText w:val="%1.%2.%3.%4.%5."/>
      <w:lvlJc w:val="left"/>
      <w:pPr>
        <w:ind w:left="1363" w:hanging="1080"/>
      </w:pPr>
      <w:rPr>
        <w:rFonts w:hint="default"/>
        <w:b/>
      </w:rPr>
    </w:lvl>
    <w:lvl w:ilvl="5">
      <w:start w:val="1"/>
      <w:numFmt w:val="decimal"/>
      <w:isLgl/>
      <w:lvlText w:val="%1.%2.%3.%4.%5.%6."/>
      <w:lvlJc w:val="left"/>
      <w:pPr>
        <w:ind w:left="1363" w:hanging="1080"/>
      </w:pPr>
      <w:rPr>
        <w:rFonts w:hint="default"/>
        <w:b/>
      </w:rPr>
    </w:lvl>
    <w:lvl w:ilvl="6">
      <w:start w:val="1"/>
      <w:numFmt w:val="decimal"/>
      <w:isLgl/>
      <w:lvlText w:val="%1.%2.%3.%4.%5.%6.%7."/>
      <w:lvlJc w:val="left"/>
      <w:pPr>
        <w:ind w:left="1723" w:hanging="1440"/>
      </w:pPr>
      <w:rPr>
        <w:rFonts w:hint="default"/>
        <w:b/>
      </w:rPr>
    </w:lvl>
    <w:lvl w:ilvl="7">
      <w:start w:val="1"/>
      <w:numFmt w:val="decimal"/>
      <w:isLgl/>
      <w:lvlText w:val="%1.%2.%3.%4.%5.%6.%7.%8."/>
      <w:lvlJc w:val="left"/>
      <w:pPr>
        <w:ind w:left="1723" w:hanging="1440"/>
      </w:pPr>
      <w:rPr>
        <w:rFonts w:hint="default"/>
        <w:b/>
      </w:rPr>
    </w:lvl>
    <w:lvl w:ilvl="8">
      <w:start w:val="1"/>
      <w:numFmt w:val="decimal"/>
      <w:isLgl/>
      <w:lvlText w:val="%1.%2.%3.%4.%5.%6.%7.%8.%9."/>
      <w:lvlJc w:val="left"/>
      <w:pPr>
        <w:ind w:left="2083" w:hanging="1800"/>
      </w:pPr>
      <w:rPr>
        <w:rFonts w:hint="default"/>
        <w:b/>
      </w:rPr>
    </w:lvl>
  </w:abstractNum>
  <w:abstractNum w:abstractNumId="1" w15:restartNumberingAfterBreak="0">
    <w:nsid w:val="0F0B547C"/>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3C06316"/>
    <w:multiLevelType w:val="multilevel"/>
    <w:tmpl w:val="DAFECF56"/>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 w15:restartNumberingAfterBreak="0">
    <w:nsid w:val="5E1A56CD"/>
    <w:multiLevelType w:val="multilevel"/>
    <w:tmpl w:val="07B865D2"/>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3521246"/>
    <w:multiLevelType w:val="multilevel"/>
    <w:tmpl w:val="1BC80EC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36759544">
    <w:abstractNumId w:val="4"/>
  </w:num>
  <w:num w:numId="2" w16cid:durableId="1664622898">
    <w:abstractNumId w:val="4"/>
  </w:num>
  <w:num w:numId="3" w16cid:durableId="1560895913">
    <w:abstractNumId w:val="1"/>
  </w:num>
  <w:num w:numId="4" w16cid:durableId="120659649">
    <w:abstractNumId w:val="3"/>
  </w:num>
  <w:num w:numId="5" w16cid:durableId="866984621">
    <w:abstractNumId w:val="3"/>
  </w:num>
  <w:num w:numId="6" w16cid:durableId="871041785">
    <w:abstractNumId w:val="3"/>
  </w:num>
  <w:num w:numId="7" w16cid:durableId="1346790665">
    <w:abstractNumId w:val="4"/>
  </w:num>
  <w:num w:numId="8" w16cid:durableId="308945869">
    <w:abstractNumId w:val="4"/>
  </w:num>
  <w:num w:numId="9" w16cid:durableId="378360746">
    <w:abstractNumId w:val="0"/>
  </w:num>
  <w:num w:numId="10" w16cid:durableId="755174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5D8"/>
    <w:rsid w:val="000069A8"/>
    <w:rsid w:val="000B50E3"/>
    <w:rsid w:val="000C031A"/>
    <w:rsid w:val="00161998"/>
    <w:rsid w:val="001F339F"/>
    <w:rsid w:val="0021267B"/>
    <w:rsid w:val="00247788"/>
    <w:rsid w:val="00250738"/>
    <w:rsid w:val="002D5460"/>
    <w:rsid w:val="002E4A16"/>
    <w:rsid w:val="00331224"/>
    <w:rsid w:val="00373ABC"/>
    <w:rsid w:val="003925DB"/>
    <w:rsid w:val="003C25D8"/>
    <w:rsid w:val="004008F9"/>
    <w:rsid w:val="00410CC9"/>
    <w:rsid w:val="004B4B10"/>
    <w:rsid w:val="0050702E"/>
    <w:rsid w:val="00527D53"/>
    <w:rsid w:val="005341BA"/>
    <w:rsid w:val="0056518B"/>
    <w:rsid w:val="005E0885"/>
    <w:rsid w:val="0065131A"/>
    <w:rsid w:val="0067458C"/>
    <w:rsid w:val="0067746A"/>
    <w:rsid w:val="008B2C88"/>
    <w:rsid w:val="008C5F9E"/>
    <w:rsid w:val="008F6AB5"/>
    <w:rsid w:val="00905C4D"/>
    <w:rsid w:val="0095217C"/>
    <w:rsid w:val="009A45D7"/>
    <w:rsid w:val="009C6E05"/>
    <w:rsid w:val="009E708A"/>
    <w:rsid w:val="00A71157"/>
    <w:rsid w:val="00AD4ADB"/>
    <w:rsid w:val="00B82A54"/>
    <w:rsid w:val="00B92A34"/>
    <w:rsid w:val="00BA0305"/>
    <w:rsid w:val="00BB7787"/>
    <w:rsid w:val="00BB778B"/>
    <w:rsid w:val="00BC5E15"/>
    <w:rsid w:val="00BE411C"/>
    <w:rsid w:val="00C1755F"/>
    <w:rsid w:val="00C17EAD"/>
    <w:rsid w:val="00D86958"/>
    <w:rsid w:val="00D919A5"/>
    <w:rsid w:val="00EC6FB8"/>
    <w:rsid w:val="00EE1D7E"/>
    <w:rsid w:val="00F02C2A"/>
    <w:rsid w:val="00F20746"/>
    <w:rsid w:val="00F33B88"/>
    <w:rsid w:val="00FE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1B3B"/>
  <w15:chartTrackingRefBased/>
  <w15:docId w15:val="{298DFC05-118F-4448-A771-62357BC95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C2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02C2A"/>
    <w:pPr>
      <w:keepNext/>
      <w:keepLines/>
      <w:numPr>
        <w:numId w:val="5"/>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F02C2A"/>
    <w:pPr>
      <w:keepNext/>
      <w:keepLines/>
      <w:numPr>
        <w:ilvl w:val="1"/>
        <w:numId w:val="2"/>
      </w:numPr>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C2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02C2A"/>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3C25D8"/>
    <w:pPr>
      <w:ind w:left="720"/>
      <w:contextualSpacing/>
    </w:pPr>
  </w:style>
  <w:style w:type="paragraph" w:styleId="Header">
    <w:name w:val="header"/>
    <w:basedOn w:val="Normal"/>
    <w:link w:val="HeaderChar"/>
    <w:uiPriority w:val="99"/>
    <w:unhideWhenUsed/>
    <w:rsid w:val="00EE1D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1D7E"/>
    <w:rPr>
      <w:rFonts w:ascii="Times New Roman" w:hAnsi="Times New Roman"/>
      <w:sz w:val="24"/>
    </w:rPr>
  </w:style>
  <w:style w:type="paragraph" w:styleId="Footer">
    <w:name w:val="footer"/>
    <w:basedOn w:val="Normal"/>
    <w:link w:val="FooterChar"/>
    <w:uiPriority w:val="99"/>
    <w:unhideWhenUsed/>
    <w:rsid w:val="00EE1D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1D7E"/>
    <w:rPr>
      <w:rFonts w:ascii="Times New Roman" w:hAnsi="Times New Roman"/>
      <w:sz w:val="24"/>
    </w:rPr>
  </w:style>
  <w:style w:type="paragraph" w:styleId="TOCHeading">
    <w:name w:val="TOC Heading"/>
    <w:basedOn w:val="Heading1"/>
    <w:next w:val="Normal"/>
    <w:uiPriority w:val="39"/>
    <w:unhideWhenUsed/>
    <w:qFormat/>
    <w:rsid w:val="00FE7871"/>
    <w:pPr>
      <w:numPr>
        <w:numId w:val="0"/>
      </w:numPr>
      <w:spacing w:line="259" w:lineRule="auto"/>
      <w:jc w:val="left"/>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FE7871"/>
    <w:pPr>
      <w:spacing w:after="100" w:line="259" w:lineRule="auto"/>
      <w:jc w:val="left"/>
    </w:pPr>
    <w:rPr>
      <w:rFonts w:eastAsiaTheme="minorEastAsia" w:cs="Times New Roman"/>
      <w:b/>
      <w:sz w:val="22"/>
    </w:rPr>
  </w:style>
  <w:style w:type="paragraph" w:styleId="TOC1">
    <w:name w:val="toc 1"/>
    <w:basedOn w:val="Normal"/>
    <w:next w:val="Normal"/>
    <w:autoRedefine/>
    <w:uiPriority w:val="39"/>
    <w:unhideWhenUsed/>
    <w:rsid w:val="00C1755F"/>
    <w:pPr>
      <w:tabs>
        <w:tab w:val="left" w:pos="440"/>
        <w:tab w:val="right" w:leader="dot" w:pos="9350"/>
      </w:tabs>
      <w:spacing w:after="100" w:line="259" w:lineRule="auto"/>
      <w:jc w:val="center"/>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FE7871"/>
    <w:pPr>
      <w:spacing w:after="100" w:line="259" w:lineRule="auto"/>
      <w:ind w:left="440"/>
      <w:jc w:val="left"/>
    </w:pPr>
    <w:rPr>
      <w:rFonts w:asciiTheme="minorHAnsi" w:eastAsiaTheme="minorEastAsia" w:hAnsiTheme="minorHAnsi" w:cs="Times New Roman"/>
      <w:sz w:val="22"/>
    </w:rPr>
  </w:style>
  <w:style w:type="character" w:styleId="Strong">
    <w:name w:val="Strong"/>
    <w:basedOn w:val="DefaultParagraphFont"/>
    <w:uiPriority w:val="22"/>
    <w:qFormat/>
    <w:rsid w:val="00161998"/>
    <w:rPr>
      <w:b/>
      <w:bCs/>
    </w:rPr>
  </w:style>
  <w:style w:type="table" w:styleId="TableGrid">
    <w:name w:val="Table Grid"/>
    <w:basedOn w:val="TableNormal"/>
    <w:uiPriority w:val="39"/>
    <w:rsid w:val="00F20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F2074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F2074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6Colorful-Accent3">
    <w:name w:val="Grid Table 6 Colorful Accent 3"/>
    <w:basedOn w:val="TableNormal"/>
    <w:uiPriority w:val="51"/>
    <w:rsid w:val="00F20746"/>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F2074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2074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2074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F2074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5">
    <w:name w:val="Grid Table 1 Light Accent 5"/>
    <w:basedOn w:val="TableNormal"/>
    <w:uiPriority w:val="46"/>
    <w:rsid w:val="00F20746"/>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F2074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F207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F2074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C17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05798">
      <w:bodyDiv w:val="1"/>
      <w:marLeft w:val="0"/>
      <w:marRight w:val="0"/>
      <w:marTop w:val="0"/>
      <w:marBottom w:val="0"/>
      <w:divBdr>
        <w:top w:val="none" w:sz="0" w:space="0" w:color="auto"/>
        <w:left w:val="none" w:sz="0" w:space="0" w:color="auto"/>
        <w:bottom w:val="none" w:sz="0" w:space="0" w:color="auto"/>
        <w:right w:val="none" w:sz="0" w:space="0" w:color="auto"/>
      </w:divBdr>
    </w:div>
    <w:div w:id="225725886">
      <w:bodyDiv w:val="1"/>
      <w:marLeft w:val="0"/>
      <w:marRight w:val="0"/>
      <w:marTop w:val="0"/>
      <w:marBottom w:val="0"/>
      <w:divBdr>
        <w:top w:val="none" w:sz="0" w:space="0" w:color="auto"/>
        <w:left w:val="none" w:sz="0" w:space="0" w:color="auto"/>
        <w:bottom w:val="none" w:sz="0" w:space="0" w:color="auto"/>
        <w:right w:val="none" w:sz="0" w:space="0" w:color="auto"/>
      </w:divBdr>
    </w:div>
    <w:div w:id="829491189">
      <w:bodyDiv w:val="1"/>
      <w:marLeft w:val="0"/>
      <w:marRight w:val="0"/>
      <w:marTop w:val="0"/>
      <w:marBottom w:val="0"/>
      <w:divBdr>
        <w:top w:val="none" w:sz="0" w:space="0" w:color="auto"/>
        <w:left w:val="none" w:sz="0" w:space="0" w:color="auto"/>
        <w:bottom w:val="none" w:sz="0" w:space="0" w:color="auto"/>
        <w:right w:val="none" w:sz="0" w:space="0" w:color="auto"/>
      </w:divBdr>
    </w:div>
    <w:div w:id="861087142">
      <w:bodyDiv w:val="1"/>
      <w:marLeft w:val="0"/>
      <w:marRight w:val="0"/>
      <w:marTop w:val="0"/>
      <w:marBottom w:val="0"/>
      <w:divBdr>
        <w:top w:val="none" w:sz="0" w:space="0" w:color="auto"/>
        <w:left w:val="none" w:sz="0" w:space="0" w:color="auto"/>
        <w:bottom w:val="none" w:sz="0" w:space="0" w:color="auto"/>
        <w:right w:val="none" w:sz="0" w:space="0" w:color="auto"/>
      </w:divBdr>
    </w:div>
    <w:div w:id="1543519808">
      <w:bodyDiv w:val="1"/>
      <w:marLeft w:val="0"/>
      <w:marRight w:val="0"/>
      <w:marTop w:val="0"/>
      <w:marBottom w:val="0"/>
      <w:divBdr>
        <w:top w:val="none" w:sz="0" w:space="0" w:color="auto"/>
        <w:left w:val="none" w:sz="0" w:space="0" w:color="auto"/>
        <w:bottom w:val="none" w:sz="0" w:space="0" w:color="auto"/>
        <w:right w:val="none" w:sz="0" w:space="0" w:color="auto"/>
      </w:divBdr>
    </w:div>
    <w:div w:id="160021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7158A-0967-41F1-A712-872572EA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15</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 Petronela Ferent</cp:lastModifiedBy>
  <cp:revision>18</cp:revision>
  <dcterms:created xsi:type="dcterms:W3CDTF">2024-05-27T06:03:00Z</dcterms:created>
  <dcterms:modified xsi:type="dcterms:W3CDTF">2024-06-06T21:22:00Z</dcterms:modified>
</cp:coreProperties>
</file>